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802AF9" w14:paraId="04865616" w14:textId="77777777">
        <w:trPr>
          <w:trHeight w:val="720"/>
        </w:trPr>
        <w:tc>
          <w:tcPr>
            <w:tcW w:w="7061" w:type="dxa"/>
            <w:gridSpan w:val="2"/>
            <w:tcBorders>
              <w:bottom w:val="single" w:sz="18" w:space="0" w:color="auto"/>
            </w:tcBorders>
          </w:tcPr>
          <w:p w14:paraId="264EDE27" w14:textId="77777777" w:rsidR="00441083" w:rsidRPr="00802AF9"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bookmarkStart w:id="0" w:name="_GoBack"/>
            <w:bookmarkEnd w:id="0"/>
            <w:r w:rsidRPr="00802AF9">
              <w:rPr>
                <w:rFonts w:ascii="Univers" w:hAnsi="Univers"/>
                <w:b/>
                <w:sz w:val="28"/>
                <w:szCs w:val="28"/>
                <w:lang w:val="fr-CA"/>
              </w:rPr>
              <w:t>NATIONS</w:t>
            </w:r>
          </w:p>
          <w:p w14:paraId="3AAD35FD" w14:textId="77777777" w:rsidR="00441083" w:rsidRPr="00802AF9"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802AF9">
              <w:rPr>
                <w:rFonts w:ascii="Univers" w:hAnsi="Univers"/>
                <w:b/>
                <w:sz w:val="28"/>
                <w:szCs w:val="28"/>
                <w:lang w:val="fr-CA"/>
              </w:rPr>
              <w:t xml:space="preserve">UNIES </w:t>
            </w:r>
          </w:p>
        </w:tc>
        <w:tc>
          <w:tcPr>
            <w:tcW w:w="3544" w:type="dxa"/>
            <w:tcBorders>
              <w:bottom w:val="single" w:sz="18" w:space="0" w:color="auto"/>
            </w:tcBorders>
          </w:tcPr>
          <w:p w14:paraId="21FD111D" w14:textId="77777777" w:rsidR="00441083" w:rsidRPr="00802AF9" w:rsidRDefault="00E60D9C">
            <w:pPr>
              <w:tabs>
                <w:tab w:val="left" w:pos="3010"/>
              </w:tabs>
              <w:jc w:val="center"/>
              <w:rPr>
                <w:sz w:val="52"/>
                <w:szCs w:val="52"/>
                <w:lang w:val="fr-CA"/>
              </w:rPr>
            </w:pPr>
            <w:r w:rsidRPr="00802AF9">
              <w:rPr>
                <w:rFonts w:ascii="Univers Bold" w:hAnsi="Univers Bold"/>
                <w:b/>
                <w:sz w:val="72"/>
                <w:lang w:val="fr-CA"/>
              </w:rPr>
              <w:t xml:space="preserve">          EP</w:t>
            </w:r>
          </w:p>
        </w:tc>
      </w:tr>
      <w:tr w:rsidR="00441083" w:rsidRPr="00802AF9" w14:paraId="5136D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0A14796" w14:textId="77777777" w:rsidR="00441083" w:rsidRPr="00802AF9" w:rsidRDefault="00C6443E">
            <w:pPr>
              <w:spacing w:before="120"/>
              <w:rPr>
                <w:lang w:val="fr-CA"/>
              </w:rPr>
            </w:pPr>
            <w:r w:rsidRPr="00802AF9">
              <w:rPr>
                <w:noProof/>
                <w:lang w:val="en-US"/>
              </w:rPr>
              <w:drawing>
                <wp:anchor distT="0" distB="0" distL="114300" distR="114300" simplePos="0" relativeHeight="251660288" behindDoc="0" locked="0" layoutInCell="1" allowOverlap="1" wp14:anchorId="66B786E6" wp14:editId="29BF119A">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802AF9">
              <w:rPr>
                <w:noProof/>
                <w:lang w:val="en-US"/>
              </w:rPr>
              <w:drawing>
                <wp:anchor distT="0" distB="0" distL="114300" distR="114300" simplePos="0" relativeHeight="251661312" behindDoc="1" locked="0" layoutInCell="0" allowOverlap="1" wp14:anchorId="221317F0" wp14:editId="518A279B">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64404CF" w14:textId="77777777" w:rsidR="00441083" w:rsidRPr="00802AF9"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6A793F54" w14:textId="77777777" w:rsidR="00441083" w:rsidRPr="00802AF9"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802AF9">
              <w:rPr>
                <w:rFonts w:ascii="Univers" w:hAnsi="Univers"/>
                <w:b/>
                <w:sz w:val="32"/>
                <w:lang w:val="fr-CA"/>
              </w:rPr>
              <w:t>Programme des</w:t>
            </w:r>
          </w:p>
          <w:p w14:paraId="487F7A51" w14:textId="77777777" w:rsidR="00441083" w:rsidRPr="00802AF9" w:rsidRDefault="00E60D9C">
            <w:pPr>
              <w:rPr>
                <w:rFonts w:ascii="Univers" w:hAnsi="Univers"/>
                <w:b/>
                <w:sz w:val="32"/>
                <w:lang w:val="fr-CA"/>
              </w:rPr>
            </w:pPr>
            <w:r w:rsidRPr="00802AF9">
              <w:rPr>
                <w:rFonts w:ascii="Univers" w:hAnsi="Univers"/>
                <w:b/>
                <w:sz w:val="32"/>
                <w:lang w:val="fr-CA"/>
              </w:rPr>
              <w:t>Nations Unies pour</w:t>
            </w:r>
          </w:p>
          <w:p w14:paraId="5D84587B" w14:textId="77777777" w:rsidR="00441083" w:rsidRPr="00802AF9" w:rsidRDefault="00E60D9C">
            <w:pPr>
              <w:rPr>
                <w:rFonts w:ascii="Univers" w:hAnsi="Univers"/>
                <w:b/>
                <w:sz w:val="32"/>
                <w:lang w:val="fr-CA"/>
              </w:rPr>
            </w:pPr>
            <w:r w:rsidRPr="00802AF9">
              <w:rPr>
                <w:rFonts w:ascii="Univers" w:hAnsi="Univers"/>
                <w:b/>
                <w:sz w:val="32"/>
                <w:lang w:val="fr-CA"/>
              </w:rPr>
              <w:t>l’environnement</w:t>
            </w:r>
          </w:p>
          <w:p w14:paraId="39434578" w14:textId="77777777" w:rsidR="00441083" w:rsidRPr="00802AF9" w:rsidRDefault="00E60D9C">
            <w:pPr>
              <w:spacing w:before="720"/>
              <w:ind w:left="158"/>
              <w:rPr>
                <w:lang w:val="fr-CA"/>
              </w:rPr>
            </w:pPr>
            <w:r w:rsidRPr="00802AF9">
              <w:rPr>
                <w:lang w:val="fr-CA"/>
              </w:rPr>
              <w:t xml:space="preserve"> </w:t>
            </w:r>
          </w:p>
        </w:tc>
        <w:tc>
          <w:tcPr>
            <w:tcW w:w="3544" w:type="dxa"/>
            <w:tcBorders>
              <w:top w:val="nil"/>
              <w:left w:val="nil"/>
              <w:bottom w:val="single" w:sz="36" w:space="0" w:color="auto"/>
              <w:right w:val="nil"/>
            </w:tcBorders>
          </w:tcPr>
          <w:p w14:paraId="64CCDDD0" w14:textId="77777777" w:rsidR="00441083" w:rsidRPr="00802AF9" w:rsidRDefault="00441083">
            <w:pPr>
              <w:rPr>
                <w:lang w:val="fr-CA"/>
              </w:rPr>
            </w:pPr>
          </w:p>
          <w:p w14:paraId="226670DF" w14:textId="77777777" w:rsidR="00441083" w:rsidRPr="00802AF9" w:rsidRDefault="00E60D9C">
            <w:pPr>
              <w:rPr>
                <w:lang w:val="fr-CA"/>
              </w:rPr>
            </w:pPr>
            <w:r w:rsidRPr="00802AF9">
              <w:rPr>
                <w:lang w:val="fr-CA"/>
              </w:rPr>
              <w:t>Distr.</w:t>
            </w:r>
          </w:p>
          <w:p w14:paraId="4F04DB99" w14:textId="77777777" w:rsidR="00441083" w:rsidRPr="00802AF9" w:rsidRDefault="00E60D9C" w:rsidP="00DD3433">
            <w:pPr>
              <w:rPr>
                <w:lang w:val="fr-CA"/>
              </w:rPr>
            </w:pPr>
            <w:r w:rsidRPr="00802AF9">
              <w:rPr>
                <w:lang w:val="fr-CA"/>
              </w:rPr>
              <w:t>G</w:t>
            </w:r>
            <w:r w:rsidR="00DD3433" w:rsidRPr="00802AF9">
              <w:rPr>
                <w:lang w:val="fr-CA"/>
              </w:rPr>
              <w:t>É</w:t>
            </w:r>
            <w:r w:rsidRPr="00802AF9">
              <w:rPr>
                <w:lang w:val="fr-CA"/>
              </w:rPr>
              <w:t>N</w:t>
            </w:r>
            <w:r w:rsidR="00DD3433" w:rsidRPr="00802AF9">
              <w:rPr>
                <w:lang w:val="fr-CA"/>
              </w:rPr>
              <w:t>É</w:t>
            </w:r>
            <w:r w:rsidRPr="00802AF9">
              <w:rPr>
                <w:lang w:val="fr-CA"/>
              </w:rPr>
              <w:t>RAL</w:t>
            </w:r>
            <w:r w:rsidR="00FF3CF1" w:rsidRPr="00802AF9">
              <w:rPr>
                <w:lang w:val="fr-CA"/>
              </w:rPr>
              <w:t>E</w:t>
            </w:r>
          </w:p>
          <w:p w14:paraId="08696C74" w14:textId="77777777" w:rsidR="00441083" w:rsidRPr="00802AF9" w:rsidRDefault="00441083">
            <w:pPr>
              <w:rPr>
                <w:lang w:val="fr-CA"/>
              </w:rPr>
            </w:pPr>
          </w:p>
          <w:p w14:paraId="4F7258E2" w14:textId="120826EF" w:rsidR="00441083" w:rsidRPr="00E3303D" w:rsidRDefault="00E60D9C">
            <w:pPr>
              <w:rPr>
                <w:lang w:val="en-US"/>
              </w:rPr>
            </w:pPr>
            <w:r w:rsidRPr="00802AF9">
              <w:rPr>
                <w:lang w:val="fr-CA"/>
              </w:rPr>
              <w:fldChar w:fldCharType="begin"/>
            </w:r>
            <w:r w:rsidRPr="00E3303D">
              <w:rPr>
                <w:lang w:val="en-US"/>
              </w:rPr>
              <w:instrText xml:space="preserve"> DOCPROPERTY "Document number"  \* MERGEFORMAT </w:instrText>
            </w:r>
            <w:r w:rsidRPr="00802AF9">
              <w:rPr>
                <w:lang w:val="fr-CA"/>
              </w:rPr>
              <w:fldChar w:fldCharType="separate"/>
            </w:r>
            <w:r w:rsidR="0070425F" w:rsidRPr="00E3303D">
              <w:rPr>
                <w:lang w:val="en-US"/>
              </w:rPr>
              <w:t>UNEP/OzL.Pro/ExCom/86/21/Add.1</w:t>
            </w:r>
            <w:r w:rsidRPr="00802AF9">
              <w:rPr>
                <w:lang w:val="fr-CA"/>
              </w:rPr>
              <w:fldChar w:fldCharType="end"/>
            </w:r>
          </w:p>
          <w:p w14:paraId="70C8BF86" w14:textId="0EFF39BD" w:rsidR="002F0B57" w:rsidRPr="00802AF9" w:rsidRDefault="002F0B57" w:rsidP="000F6C8E">
            <w:pPr>
              <w:rPr>
                <w:lang w:val="fr-CA"/>
              </w:rPr>
            </w:pPr>
            <w:r w:rsidRPr="00802AF9">
              <w:rPr>
                <w:lang w:val="fr-CA"/>
              </w:rPr>
              <w:fldChar w:fldCharType="begin"/>
            </w:r>
            <w:r w:rsidRPr="00802AF9">
              <w:rPr>
                <w:lang w:val="fr-CA"/>
              </w:rPr>
              <w:instrText xml:space="preserve"> DOCPROPERTY "Revision date" \@ "d MMMM YYYY"  \* MERGEFORMAT </w:instrText>
            </w:r>
            <w:r w:rsidRPr="00802AF9">
              <w:rPr>
                <w:lang w:val="fr-CA"/>
              </w:rPr>
              <w:fldChar w:fldCharType="separate"/>
            </w:r>
            <w:r w:rsidR="003F073E" w:rsidRPr="00802AF9">
              <w:rPr>
                <w:lang w:val="fr-CA"/>
              </w:rPr>
              <w:t>6 novembre</w:t>
            </w:r>
            <w:r w:rsidR="006B6E38" w:rsidRPr="00802AF9">
              <w:rPr>
                <w:lang w:val="fr-CA"/>
              </w:rPr>
              <w:t xml:space="preserve"> 2020</w:t>
            </w:r>
            <w:r w:rsidRPr="00802AF9">
              <w:rPr>
                <w:lang w:val="fr-CA"/>
              </w:rPr>
              <w:fldChar w:fldCharType="end"/>
            </w:r>
          </w:p>
          <w:p w14:paraId="60686752" w14:textId="77777777" w:rsidR="00441083" w:rsidRPr="00802AF9" w:rsidRDefault="00FC5578">
            <w:pPr>
              <w:rPr>
                <w:caps/>
                <w:lang w:val="fr-CA"/>
              </w:rPr>
            </w:pPr>
            <w:r w:rsidRPr="00802AF9">
              <w:rPr>
                <w:caps/>
                <w:lang w:val="fr-CA"/>
              </w:rPr>
              <w:br/>
            </w:r>
            <w:r w:rsidR="00E60D9C" w:rsidRPr="00802AF9">
              <w:rPr>
                <w:caps/>
                <w:lang w:val="fr-CA"/>
              </w:rPr>
              <w:t>FRANÇAIS</w:t>
            </w:r>
          </w:p>
          <w:p w14:paraId="2050A782" w14:textId="77777777" w:rsidR="00441083" w:rsidRPr="00802AF9" w:rsidRDefault="00E60D9C">
            <w:pPr>
              <w:rPr>
                <w:lang w:val="fr-CA"/>
              </w:rPr>
            </w:pPr>
            <w:r w:rsidRPr="00802AF9">
              <w:rPr>
                <w:lang w:val="fr-CA"/>
              </w:rPr>
              <w:t xml:space="preserve">ORIGINAL: </w:t>
            </w:r>
            <w:r w:rsidR="0091161A" w:rsidRPr="00802AF9">
              <w:rPr>
                <w:lang w:val="fr-CA"/>
              </w:rPr>
              <w:t>ANGLAIS</w:t>
            </w:r>
          </w:p>
        </w:tc>
      </w:tr>
    </w:tbl>
    <w:p w14:paraId="48D8D010" w14:textId="77777777" w:rsidR="00441083" w:rsidRPr="00802AF9" w:rsidRDefault="00E60D9C" w:rsidP="00DD3433">
      <w:pPr>
        <w:jc w:val="left"/>
        <w:rPr>
          <w:lang w:val="fr-CA"/>
        </w:rPr>
      </w:pPr>
      <w:r w:rsidRPr="00802AF9">
        <w:rPr>
          <w:lang w:val="fr-CA"/>
        </w:rPr>
        <w:t>COMIT</w:t>
      </w:r>
      <w:r w:rsidR="00DD3433" w:rsidRPr="00802AF9">
        <w:rPr>
          <w:lang w:val="fr-CA"/>
        </w:rPr>
        <w:t>É</w:t>
      </w:r>
      <w:r w:rsidRPr="00802AF9">
        <w:rPr>
          <w:lang w:val="fr-CA"/>
        </w:rPr>
        <w:t xml:space="preserve"> EX</w:t>
      </w:r>
      <w:r w:rsidR="00DD3433" w:rsidRPr="00802AF9">
        <w:rPr>
          <w:lang w:val="fr-CA"/>
        </w:rPr>
        <w:t xml:space="preserve">ÉCUTIF </w:t>
      </w:r>
      <w:r w:rsidR="00DD3433" w:rsidRPr="00802AF9">
        <w:rPr>
          <w:lang w:val="fr-CA"/>
        </w:rPr>
        <w:br/>
        <w:t xml:space="preserve">  DU FONDS MULTILATÉ</w:t>
      </w:r>
      <w:r w:rsidRPr="00802AF9">
        <w:rPr>
          <w:lang w:val="fr-CA"/>
        </w:rPr>
        <w:t xml:space="preserve">RAL AUX FINS </w:t>
      </w:r>
      <w:r w:rsidRPr="00802AF9">
        <w:rPr>
          <w:lang w:val="fr-CA"/>
        </w:rPr>
        <w:br/>
        <w:t xml:space="preserve">  D’APPLICATION DU PROTOCOLE DE MONTR</w:t>
      </w:r>
      <w:r w:rsidR="00DD3433" w:rsidRPr="00802AF9">
        <w:rPr>
          <w:lang w:val="fr-CA"/>
        </w:rPr>
        <w:t>É</w:t>
      </w:r>
      <w:r w:rsidRPr="00802AF9">
        <w:rPr>
          <w:lang w:val="fr-CA"/>
        </w:rPr>
        <w:t>AL</w:t>
      </w:r>
      <w:r w:rsidRPr="00802AF9">
        <w:rPr>
          <w:lang w:val="fr-CA"/>
        </w:rPr>
        <w:br/>
      </w:r>
      <w:r w:rsidR="00E54871" w:rsidRPr="00802AF9">
        <w:rPr>
          <w:lang w:val="fr-CA"/>
        </w:rPr>
        <w:t>Quatre</w:t>
      </w:r>
      <w:r w:rsidRPr="00802AF9">
        <w:rPr>
          <w:lang w:val="fr-CA"/>
        </w:rPr>
        <w:t>-</w:t>
      </w:r>
      <w:r w:rsidR="00E54871" w:rsidRPr="00802AF9">
        <w:rPr>
          <w:lang w:val="fr-CA"/>
        </w:rPr>
        <w:t>vingt</w:t>
      </w:r>
      <w:r w:rsidR="009666A1" w:rsidRPr="00802AF9">
        <w:rPr>
          <w:lang w:val="fr-CA"/>
        </w:rPr>
        <w:t>-</w:t>
      </w:r>
      <w:r w:rsidR="009568BB" w:rsidRPr="00802AF9">
        <w:rPr>
          <w:lang w:val="fr-CA"/>
        </w:rPr>
        <w:t>six</w:t>
      </w:r>
      <w:r w:rsidR="004C2C87" w:rsidRPr="00802AF9">
        <w:rPr>
          <w:lang w:val="fr-CA"/>
        </w:rPr>
        <w:t>i</w:t>
      </w:r>
      <w:r w:rsidR="00E54871" w:rsidRPr="00802AF9">
        <w:rPr>
          <w:lang w:val="fr-CA"/>
        </w:rPr>
        <w:t>ème</w:t>
      </w:r>
      <w:r w:rsidR="00FC5578" w:rsidRPr="00802AF9">
        <w:rPr>
          <w:lang w:val="fr-CA"/>
        </w:rPr>
        <w:t xml:space="preserve"> </w:t>
      </w:r>
      <w:r w:rsidRPr="00802AF9">
        <w:rPr>
          <w:lang w:val="fr-CA"/>
        </w:rPr>
        <w:t>réunion</w:t>
      </w:r>
    </w:p>
    <w:p w14:paraId="40B2D5A5" w14:textId="77777777" w:rsidR="00C27322" w:rsidRPr="00802AF9" w:rsidRDefault="00C27322" w:rsidP="00C27322">
      <w:pPr>
        <w:jc w:val="left"/>
        <w:rPr>
          <w:lang w:val="fr-CA"/>
        </w:rPr>
      </w:pPr>
      <w:r w:rsidRPr="00802AF9">
        <w:rPr>
          <w:lang w:val="fr-CA"/>
        </w:rPr>
        <w:t>Montréal, 2</w:t>
      </w:r>
      <w:r w:rsidR="00812387" w:rsidRPr="00802AF9">
        <w:rPr>
          <w:lang w:val="fr-CA"/>
        </w:rPr>
        <w:t xml:space="preserve"> – 6 novembre</w:t>
      </w:r>
      <w:r w:rsidRPr="00802AF9">
        <w:rPr>
          <w:lang w:val="fr-CA"/>
        </w:rPr>
        <w:t xml:space="preserve"> 2020</w:t>
      </w:r>
    </w:p>
    <w:p w14:paraId="27BB00FF" w14:textId="282E40C9" w:rsidR="00441083" w:rsidRPr="00802AF9" w:rsidRDefault="00202E1D" w:rsidP="00AC013C">
      <w:pPr>
        <w:jc w:val="left"/>
        <w:rPr>
          <w:lang w:val="fr-CA"/>
        </w:rPr>
      </w:pPr>
      <w:r w:rsidRPr="00802AF9">
        <w:rPr>
          <w:lang w:val="fr-CA"/>
        </w:rPr>
        <w:t>Rapport</w:t>
      </w:r>
      <w:r w:rsidR="00C27322" w:rsidRPr="00802AF9">
        <w:rPr>
          <w:lang w:val="fr-CA"/>
        </w:rPr>
        <w:t>ée:</w:t>
      </w:r>
      <w:r w:rsidR="00FC5578" w:rsidRPr="00802AF9">
        <w:rPr>
          <w:lang w:val="fr-CA"/>
        </w:rPr>
        <w:t xml:space="preserve"> </w:t>
      </w:r>
      <w:r w:rsidR="00812387" w:rsidRPr="00802AF9">
        <w:rPr>
          <w:lang w:val="fr-CA"/>
        </w:rPr>
        <w:t>8</w:t>
      </w:r>
      <w:r w:rsidR="00AC013C" w:rsidRPr="00802AF9">
        <w:rPr>
          <w:lang w:val="fr-CA"/>
        </w:rPr>
        <w:t xml:space="preserve"> </w:t>
      </w:r>
      <w:r w:rsidR="00E60D9C" w:rsidRPr="00802AF9">
        <w:rPr>
          <w:lang w:val="fr-CA"/>
        </w:rPr>
        <w:t xml:space="preserve">– </w:t>
      </w:r>
      <w:r w:rsidR="00812387" w:rsidRPr="00802AF9">
        <w:rPr>
          <w:lang w:val="fr-CA"/>
        </w:rPr>
        <w:t>1</w:t>
      </w:r>
      <w:r w:rsidR="009666A1" w:rsidRPr="00802AF9">
        <w:rPr>
          <w:lang w:val="fr-CA"/>
        </w:rPr>
        <w:t xml:space="preserve">2 </w:t>
      </w:r>
      <w:r w:rsidR="00812387" w:rsidRPr="00802AF9">
        <w:rPr>
          <w:lang w:val="fr-CA"/>
        </w:rPr>
        <w:t>mars</w:t>
      </w:r>
      <w:r w:rsidR="009666A1" w:rsidRPr="00802AF9">
        <w:rPr>
          <w:lang w:val="fr-CA"/>
        </w:rPr>
        <w:t xml:space="preserve"> 202</w:t>
      </w:r>
      <w:r w:rsidR="00812387" w:rsidRPr="00802AF9">
        <w:rPr>
          <w:lang w:val="fr-CA"/>
        </w:rPr>
        <w:t>1</w:t>
      </w:r>
      <w:r w:rsidR="0053421C">
        <w:rPr>
          <w:rStyle w:val="FootnoteReference"/>
          <w:lang w:val="fr-CA"/>
        </w:rPr>
        <w:footnoteReference w:id="1"/>
      </w:r>
    </w:p>
    <w:p w14:paraId="03CABEB3" w14:textId="1BD29978" w:rsidR="0029763D" w:rsidRPr="00802AF9" w:rsidRDefault="0029763D" w:rsidP="0029763D">
      <w:pPr>
        <w:jc w:val="left"/>
        <w:rPr>
          <w:lang w:val="fr-CA"/>
        </w:rPr>
      </w:pPr>
    </w:p>
    <w:p w14:paraId="7E4018DE" w14:textId="77777777" w:rsidR="0029763D" w:rsidRPr="00802AF9" w:rsidRDefault="0029763D" w:rsidP="0029763D">
      <w:pPr>
        <w:pStyle w:val="Title1"/>
        <w:rPr>
          <w:lang w:val="fr-CA"/>
        </w:rPr>
      </w:pPr>
      <w:r w:rsidRPr="00802AF9">
        <w:rPr>
          <w:caps w:val="0"/>
          <w:lang w:val="fr-CA"/>
        </w:rPr>
        <w:t>Addendum</w:t>
      </w:r>
    </w:p>
    <w:p w14:paraId="7C070145" w14:textId="77777777" w:rsidR="0029763D" w:rsidRPr="00802AF9" w:rsidRDefault="0029763D" w:rsidP="0029763D">
      <w:pPr>
        <w:pStyle w:val="Title1"/>
        <w:rPr>
          <w:lang w:val="fr-CA"/>
        </w:rPr>
      </w:pPr>
    </w:p>
    <w:p w14:paraId="33C8A163" w14:textId="29E7A2A4" w:rsidR="0029763D" w:rsidRDefault="0070425F" w:rsidP="00825570">
      <w:pPr>
        <w:pStyle w:val="Title1"/>
        <w:rPr>
          <w:caps w:val="0"/>
          <w:lang w:val="fr-CA"/>
        </w:rPr>
      </w:pPr>
      <w:r w:rsidRPr="00802AF9">
        <w:rPr>
          <w:caps w:val="0"/>
          <w:lang w:val="fr-CA"/>
        </w:rPr>
        <w:t>RAPPORTS SUR LES PROJETS COMPORTANT DES EXIGENCES PARTICULIÈRES POUR LA REMISE DES RAPPORTS</w:t>
      </w:r>
    </w:p>
    <w:p w14:paraId="365734B0" w14:textId="77777777" w:rsidR="00E3303D" w:rsidRPr="00802AF9" w:rsidRDefault="00E3303D" w:rsidP="00825570">
      <w:pPr>
        <w:pStyle w:val="Title1"/>
        <w:rPr>
          <w:lang w:val="fr-CA"/>
        </w:rPr>
      </w:pPr>
    </w:p>
    <w:p w14:paraId="32E42D68" w14:textId="77777777" w:rsidR="0029763D" w:rsidRPr="00802AF9" w:rsidRDefault="0029763D" w:rsidP="0029763D">
      <w:pPr>
        <w:pStyle w:val="Title1"/>
        <w:rPr>
          <w:lang w:val="fr-CA"/>
        </w:rPr>
      </w:pPr>
    </w:p>
    <w:p w14:paraId="76AEAB78" w14:textId="2232E97D" w:rsidR="0029763D" w:rsidRPr="00802AF9" w:rsidRDefault="00825570" w:rsidP="0029763D">
      <w:pPr>
        <w:pStyle w:val="Heading1"/>
        <w:rPr>
          <w:lang w:val="fr-CA"/>
        </w:rPr>
      </w:pPr>
      <w:r w:rsidRPr="00802AF9">
        <w:rPr>
          <w:lang w:val="fr-CA"/>
        </w:rPr>
        <w:t>La 85</w:t>
      </w:r>
      <w:r w:rsidRPr="00802AF9">
        <w:rPr>
          <w:vertAlign w:val="superscript"/>
          <w:lang w:val="fr-CA"/>
        </w:rPr>
        <w:t>e</w:t>
      </w:r>
      <w:r w:rsidRPr="00802AF9">
        <w:rPr>
          <w:lang w:val="fr-CA"/>
        </w:rPr>
        <w:t> </w:t>
      </w:r>
      <w:r w:rsidR="00202E1D" w:rsidRPr="00802AF9">
        <w:rPr>
          <w:lang w:val="fr-CA"/>
        </w:rPr>
        <w:t>réunion</w:t>
      </w:r>
      <w:r w:rsidRPr="00802AF9">
        <w:rPr>
          <w:lang w:val="fr-CA"/>
        </w:rPr>
        <w:t xml:space="preserve"> ayant été </w:t>
      </w:r>
      <w:r w:rsidR="00202E1D" w:rsidRPr="00802AF9">
        <w:rPr>
          <w:lang w:val="fr-CA"/>
        </w:rPr>
        <w:t>rapport</w:t>
      </w:r>
      <w:r w:rsidRPr="00802AF9">
        <w:rPr>
          <w:lang w:val="fr-CA"/>
        </w:rPr>
        <w:t xml:space="preserve">ée en raison de la pandémie de </w:t>
      </w:r>
      <w:r w:rsidR="0029763D" w:rsidRPr="00802AF9">
        <w:rPr>
          <w:lang w:val="fr-CA"/>
        </w:rPr>
        <w:t>COVID-19</w:t>
      </w:r>
      <w:r w:rsidRPr="00802AF9">
        <w:rPr>
          <w:lang w:val="fr-CA"/>
        </w:rPr>
        <w:t xml:space="preserve">, le </w:t>
      </w:r>
      <w:r w:rsidR="0014063A" w:rsidRPr="00802AF9">
        <w:rPr>
          <w:lang w:val="fr-CA"/>
        </w:rPr>
        <w:t>Comité exécutif</w:t>
      </w:r>
      <w:r w:rsidR="0029763D" w:rsidRPr="00802AF9">
        <w:rPr>
          <w:lang w:val="fr-CA"/>
        </w:rPr>
        <w:t xml:space="preserve"> </w:t>
      </w:r>
      <w:r w:rsidRPr="00802AF9">
        <w:rPr>
          <w:lang w:val="fr-CA"/>
        </w:rPr>
        <w:t xml:space="preserve">est convenu d’établir une </w:t>
      </w:r>
      <w:r w:rsidR="00202E1D" w:rsidRPr="00802AF9">
        <w:rPr>
          <w:lang w:val="fr-CA"/>
        </w:rPr>
        <w:t>procédure</w:t>
      </w:r>
      <w:r w:rsidRPr="00802AF9">
        <w:rPr>
          <w:lang w:val="fr-CA"/>
        </w:rPr>
        <w:t xml:space="preserve"> d’approbation intersessions</w:t>
      </w:r>
      <w:r w:rsidR="00202E1D" w:rsidRPr="00802AF9">
        <w:rPr>
          <w:lang w:val="fr-CA"/>
        </w:rPr>
        <w:t xml:space="preserve"> (PAI) afin d’examiner certains rapports et propositions de projets</w:t>
      </w:r>
      <w:r w:rsidR="0029763D" w:rsidRPr="00802AF9">
        <w:rPr>
          <w:lang w:val="fr-CA"/>
        </w:rPr>
        <w:t xml:space="preserve">. </w:t>
      </w:r>
      <w:r w:rsidR="00202E1D" w:rsidRPr="00802AF9">
        <w:rPr>
          <w:lang w:val="fr-CA"/>
        </w:rPr>
        <w:t>L</w:t>
      </w:r>
      <w:r w:rsidR="0029763D" w:rsidRPr="00802AF9">
        <w:rPr>
          <w:lang w:val="fr-CA"/>
        </w:rPr>
        <w:t xml:space="preserve">e </w:t>
      </w:r>
      <w:r w:rsidR="0014063A" w:rsidRPr="00802AF9">
        <w:rPr>
          <w:lang w:val="fr-CA"/>
        </w:rPr>
        <w:t>Comité exécutif</w:t>
      </w:r>
      <w:r w:rsidR="0029763D" w:rsidRPr="00802AF9">
        <w:rPr>
          <w:lang w:val="fr-CA"/>
        </w:rPr>
        <w:t xml:space="preserve"> </w:t>
      </w:r>
      <w:r w:rsidR="00202E1D" w:rsidRPr="00802AF9">
        <w:rPr>
          <w:lang w:val="fr-CA"/>
        </w:rPr>
        <w:t xml:space="preserve">est convenu par ailleurs que la </w:t>
      </w:r>
      <w:r w:rsidR="0029763D" w:rsidRPr="00802AF9">
        <w:rPr>
          <w:lang w:val="fr-CA"/>
        </w:rPr>
        <w:t>86</w:t>
      </w:r>
      <w:r w:rsidR="00202E1D" w:rsidRPr="00802AF9">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sidR="00202E1D" w:rsidRPr="00802AF9">
        <w:rPr>
          <w:lang w:val="fr-CA"/>
        </w:rPr>
        <w:t xml:space="preserve">examinerait les points restants de l’ordre du jour de la </w:t>
      </w:r>
      <w:r w:rsidR="0029763D" w:rsidRPr="00802AF9">
        <w:rPr>
          <w:lang w:val="fr-CA"/>
        </w:rPr>
        <w:t>85</w:t>
      </w:r>
      <w:r w:rsidR="00202E1D" w:rsidRPr="00802AF9">
        <w:rPr>
          <w:vertAlign w:val="superscript"/>
          <w:lang w:val="fr-CA"/>
        </w:rPr>
        <w:t>e</w:t>
      </w:r>
      <w:r w:rsidR="0029763D" w:rsidRPr="00802AF9">
        <w:rPr>
          <w:vertAlign w:val="superscript"/>
          <w:lang w:val="fr-CA"/>
        </w:rPr>
        <w:t> </w:t>
      </w:r>
      <w:r w:rsidR="0014063A" w:rsidRPr="00802AF9">
        <w:rPr>
          <w:lang w:val="fr-CA"/>
        </w:rPr>
        <w:t>réunion</w:t>
      </w:r>
      <w:r w:rsidR="00202E1D" w:rsidRPr="00802AF9">
        <w:rPr>
          <w:lang w:val="fr-CA"/>
        </w:rPr>
        <w:t xml:space="preserve">, en notant que les </w:t>
      </w:r>
      <w:r w:rsidR="0029763D" w:rsidRPr="00802AF9">
        <w:rPr>
          <w:lang w:val="fr-CA"/>
        </w:rPr>
        <w:t xml:space="preserve">documents </w:t>
      </w:r>
      <w:r w:rsidR="00202E1D" w:rsidRPr="00802AF9">
        <w:rPr>
          <w:lang w:val="fr-CA"/>
        </w:rPr>
        <w:t>de la</w:t>
      </w:r>
      <w:r w:rsidR="0029763D" w:rsidRPr="00802AF9">
        <w:rPr>
          <w:lang w:val="fr-CA"/>
        </w:rPr>
        <w:t xml:space="preserve"> 85</w:t>
      </w:r>
      <w:r w:rsidR="00202E1D" w:rsidRPr="00802AF9">
        <w:rPr>
          <w:vertAlign w:val="superscript"/>
          <w:lang w:val="fr-CA"/>
        </w:rPr>
        <w:t>e</w:t>
      </w:r>
      <w:r w:rsidR="0029763D" w:rsidRPr="00802AF9">
        <w:rPr>
          <w:vertAlign w:val="superscript"/>
          <w:lang w:val="fr-CA"/>
        </w:rPr>
        <w:t> </w:t>
      </w:r>
      <w:r w:rsidR="0014063A" w:rsidRPr="00802AF9">
        <w:rPr>
          <w:lang w:val="fr-CA"/>
        </w:rPr>
        <w:t>réunion</w:t>
      </w:r>
      <w:r w:rsidR="0029763D" w:rsidRPr="00802AF9">
        <w:rPr>
          <w:lang w:val="fr-CA"/>
        </w:rPr>
        <w:t xml:space="preserve"> </w:t>
      </w:r>
      <w:r w:rsidR="00202E1D" w:rsidRPr="00802AF9">
        <w:rPr>
          <w:lang w:val="fr-CA"/>
        </w:rPr>
        <w:t xml:space="preserve">portaient sur des points régulièrement inscrits à l’ordre du jour, notamment les rapports sur des projets sujets à des exigences de compte rendu particulières pouvant être soumis à la </w:t>
      </w:r>
      <w:r w:rsidR="0029763D" w:rsidRPr="00802AF9">
        <w:rPr>
          <w:lang w:val="fr-CA"/>
        </w:rPr>
        <w:t>86</w:t>
      </w:r>
      <w:r w:rsidR="00202E1D" w:rsidRPr="00802AF9">
        <w:rPr>
          <w:vertAlign w:val="superscript"/>
          <w:lang w:val="fr-CA"/>
        </w:rPr>
        <w:t>e</w:t>
      </w:r>
      <w:r w:rsidR="0029763D" w:rsidRPr="00802AF9">
        <w:rPr>
          <w:vertAlign w:val="superscript"/>
          <w:lang w:val="fr-CA"/>
        </w:rPr>
        <w:t> </w:t>
      </w:r>
      <w:r w:rsidR="0014063A" w:rsidRPr="00802AF9">
        <w:rPr>
          <w:lang w:val="fr-CA"/>
        </w:rPr>
        <w:t>réunion</w:t>
      </w:r>
      <w:r w:rsidR="0029763D" w:rsidRPr="00802AF9">
        <w:rPr>
          <w:lang w:val="fr-CA"/>
        </w:rPr>
        <w:t xml:space="preserve">. </w:t>
      </w:r>
      <w:r w:rsidR="00202E1D" w:rsidRPr="00802AF9">
        <w:rPr>
          <w:lang w:val="fr-CA"/>
        </w:rPr>
        <w:t xml:space="preserve">C’est pourquoi le présent </w:t>
      </w:r>
      <w:r w:rsidR="0029763D" w:rsidRPr="00802AF9">
        <w:rPr>
          <w:lang w:val="fr-CA"/>
        </w:rPr>
        <w:t xml:space="preserve">document </w:t>
      </w:r>
      <w:r w:rsidR="00202E1D" w:rsidRPr="00802AF9">
        <w:rPr>
          <w:lang w:val="fr-CA"/>
        </w:rPr>
        <w:t xml:space="preserve">comprend des rapports sur des projets pour la Chine qui font l’objet d’exigences particulières de compte rendu, qui ont été soumis aux fins d’examen individuel à la </w:t>
      </w:r>
      <w:r w:rsidR="0029763D" w:rsidRPr="00802AF9">
        <w:rPr>
          <w:lang w:val="fr-CA"/>
        </w:rPr>
        <w:t>85</w:t>
      </w:r>
      <w:r w:rsidR="00202E1D" w:rsidRPr="00802AF9">
        <w:rPr>
          <w:vertAlign w:val="superscript"/>
          <w:lang w:val="fr-CA"/>
        </w:rPr>
        <w:t>e</w:t>
      </w:r>
      <w:r w:rsidR="0029763D" w:rsidRPr="00802AF9">
        <w:rPr>
          <w:vertAlign w:val="superscript"/>
          <w:lang w:val="fr-CA"/>
        </w:rPr>
        <w:t> </w:t>
      </w:r>
      <w:r w:rsidR="0014063A" w:rsidRPr="00802AF9">
        <w:rPr>
          <w:lang w:val="fr-CA"/>
        </w:rPr>
        <w:t>réunion</w:t>
      </w:r>
      <w:r w:rsidR="0029763D" w:rsidRPr="00802AF9">
        <w:rPr>
          <w:lang w:val="fr-CA"/>
        </w:rPr>
        <w:t xml:space="preserve"> </w:t>
      </w:r>
      <w:r w:rsidR="00202E1D" w:rsidRPr="00802AF9">
        <w:rPr>
          <w:lang w:val="fr-CA"/>
        </w:rPr>
        <w:t xml:space="preserve">et rapportés à la </w:t>
      </w:r>
      <w:r w:rsidR="0029763D" w:rsidRPr="00802AF9">
        <w:rPr>
          <w:lang w:val="fr-CA"/>
        </w:rPr>
        <w:t>86</w:t>
      </w:r>
      <w:r w:rsidR="00202E1D" w:rsidRPr="00802AF9">
        <w:rPr>
          <w:vertAlign w:val="superscript"/>
          <w:lang w:val="fr-CA"/>
        </w:rPr>
        <w:t>e</w:t>
      </w:r>
      <w:r w:rsidR="0029763D" w:rsidRPr="00802AF9">
        <w:rPr>
          <w:lang w:val="fr-CA"/>
        </w:rPr>
        <w:t> </w:t>
      </w:r>
      <w:r w:rsidR="0014063A" w:rsidRPr="00802AF9">
        <w:rPr>
          <w:lang w:val="fr-CA"/>
        </w:rPr>
        <w:t>réunion</w:t>
      </w:r>
      <w:r w:rsidR="00202E1D" w:rsidRPr="00802AF9">
        <w:rPr>
          <w:lang w:val="fr-CA"/>
        </w:rPr>
        <w:t xml:space="preserve"> comme convenu avec le </w:t>
      </w:r>
      <w:r w:rsidR="0014063A" w:rsidRPr="00802AF9">
        <w:rPr>
          <w:lang w:val="fr-CA"/>
        </w:rPr>
        <w:t>Comité exécutif</w:t>
      </w:r>
      <w:r w:rsidR="0029763D" w:rsidRPr="00802AF9">
        <w:rPr>
          <w:lang w:val="fr-CA"/>
        </w:rPr>
        <w:t>, a</w:t>
      </w:r>
      <w:r w:rsidR="00202E1D" w:rsidRPr="00802AF9">
        <w:rPr>
          <w:lang w:val="fr-CA"/>
        </w:rPr>
        <w:t>i</w:t>
      </w:r>
      <w:r w:rsidR="0029763D" w:rsidRPr="00802AF9">
        <w:rPr>
          <w:lang w:val="fr-CA"/>
        </w:rPr>
        <w:t>n</w:t>
      </w:r>
      <w:r w:rsidR="00202E1D" w:rsidRPr="00802AF9">
        <w:rPr>
          <w:lang w:val="fr-CA"/>
        </w:rPr>
        <w:t>si que les rapport</w:t>
      </w:r>
      <w:r w:rsidR="0029763D" w:rsidRPr="00802AF9">
        <w:rPr>
          <w:lang w:val="fr-CA"/>
        </w:rPr>
        <w:t xml:space="preserve">s </w:t>
      </w:r>
      <w:r w:rsidR="00202E1D" w:rsidRPr="00802AF9">
        <w:rPr>
          <w:lang w:val="fr-CA"/>
        </w:rPr>
        <w:t>soumis à la</w:t>
      </w:r>
      <w:r w:rsidR="0029763D" w:rsidRPr="00802AF9">
        <w:rPr>
          <w:lang w:val="fr-CA"/>
        </w:rPr>
        <w:t xml:space="preserve"> 86</w:t>
      </w:r>
      <w:r w:rsidR="00202E1D" w:rsidRPr="00802AF9">
        <w:rPr>
          <w:vertAlign w:val="superscript"/>
          <w:lang w:val="fr-CA"/>
        </w:rPr>
        <w:t>e</w:t>
      </w:r>
      <w:r w:rsidR="0029763D" w:rsidRPr="00802AF9">
        <w:rPr>
          <w:vertAlign w:val="superscript"/>
          <w:lang w:val="fr-CA"/>
        </w:rPr>
        <w:t> </w:t>
      </w:r>
      <w:r w:rsidR="0014063A" w:rsidRPr="00802AF9">
        <w:rPr>
          <w:lang w:val="fr-CA"/>
        </w:rPr>
        <w:t>réunion</w:t>
      </w:r>
      <w:r w:rsidR="0029763D" w:rsidRPr="00802AF9">
        <w:rPr>
          <w:lang w:val="fr-CA"/>
        </w:rPr>
        <w:t xml:space="preserve">. </w:t>
      </w:r>
    </w:p>
    <w:p w14:paraId="25F51FBE" w14:textId="5F7BC0C5" w:rsidR="0029763D" w:rsidRPr="00802AF9" w:rsidRDefault="00545827" w:rsidP="0029763D">
      <w:pPr>
        <w:pStyle w:val="Heading1"/>
        <w:spacing w:after="0"/>
        <w:rPr>
          <w:lang w:val="fr-CA"/>
        </w:rPr>
      </w:pPr>
      <w:r w:rsidRPr="00802AF9">
        <w:rPr>
          <w:lang w:val="fr-CA"/>
        </w:rPr>
        <w:t>Le présent</w:t>
      </w:r>
      <w:r w:rsidR="0029763D" w:rsidRPr="00802AF9">
        <w:rPr>
          <w:lang w:val="fr-CA"/>
        </w:rPr>
        <w:t xml:space="preserve"> document </w:t>
      </w:r>
      <w:r w:rsidRPr="00802AF9">
        <w:rPr>
          <w:lang w:val="fr-CA"/>
        </w:rPr>
        <w:t>se compose de sept parties, comme suit</w:t>
      </w:r>
      <w:r w:rsidR="0029763D" w:rsidRPr="00802AF9">
        <w:rPr>
          <w:lang w:val="fr-CA"/>
        </w:rPr>
        <w:t>:</w:t>
      </w:r>
    </w:p>
    <w:p w14:paraId="47CF8D52" w14:textId="77777777" w:rsidR="0029763D" w:rsidRPr="00802AF9" w:rsidRDefault="0029763D" w:rsidP="0029763D">
      <w:pPr>
        <w:rPr>
          <w:lang w:val="fr-CA"/>
        </w:rPr>
      </w:pPr>
    </w:p>
    <w:tbl>
      <w:tblPr>
        <w:tblStyle w:val="TableGrid"/>
        <w:tblW w:w="0" w:type="auto"/>
        <w:tblInd w:w="720" w:type="dxa"/>
        <w:tblLayout w:type="fixed"/>
        <w:tblLook w:val="04A0" w:firstRow="1" w:lastRow="0" w:firstColumn="1" w:lastColumn="0" w:noHBand="0" w:noVBand="1"/>
      </w:tblPr>
      <w:tblGrid>
        <w:gridCol w:w="835"/>
        <w:gridCol w:w="6455"/>
        <w:gridCol w:w="1318"/>
      </w:tblGrid>
      <w:tr w:rsidR="0029763D" w:rsidRPr="00802AF9" w14:paraId="3499B699" w14:textId="77777777" w:rsidTr="0014063A">
        <w:trPr>
          <w:tblHeader/>
        </w:trPr>
        <w:tc>
          <w:tcPr>
            <w:tcW w:w="835" w:type="dxa"/>
          </w:tcPr>
          <w:p w14:paraId="006D5FB4" w14:textId="2DC7451C" w:rsidR="0029763D" w:rsidRPr="00802AF9" w:rsidRDefault="0029763D" w:rsidP="003F073E">
            <w:pPr>
              <w:widowControl w:val="0"/>
              <w:jc w:val="left"/>
              <w:rPr>
                <w:b/>
                <w:sz w:val="20"/>
                <w:szCs w:val="20"/>
                <w:lang w:val="fr-CA"/>
              </w:rPr>
            </w:pPr>
            <w:r w:rsidRPr="00802AF9">
              <w:rPr>
                <w:b/>
                <w:sz w:val="20"/>
                <w:szCs w:val="20"/>
                <w:lang w:val="fr-CA"/>
              </w:rPr>
              <w:t>Part</w:t>
            </w:r>
            <w:r w:rsidR="0014063A" w:rsidRPr="00802AF9">
              <w:rPr>
                <w:b/>
                <w:sz w:val="20"/>
                <w:szCs w:val="20"/>
                <w:lang w:val="fr-CA"/>
              </w:rPr>
              <w:t>ie</w:t>
            </w:r>
          </w:p>
        </w:tc>
        <w:tc>
          <w:tcPr>
            <w:tcW w:w="6455" w:type="dxa"/>
            <w:vAlign w:val="center"/>
          </w:tcPr>
          <w:p w14:paraId="7EFD38DB" w14:textId="12037F78" w:rsidR="0029763D" w:rsidRPr="00802AF9" w:rsidRDefault="0014063A" w:rsidP="003F073E">
            <w:pPr>
              <w:widowControl w:val="0"/>
              <w:jc w:val="center"/>
              <w:rPr>
                <w:b/>
                <w:sz w:val="20"/>
                <w:szCs w:val="20"/>
                <w:lang w:val="fr-CA"/>
              </w:rPr>
            </w:pPr>
            <w:r w:rsidRPr="00802AF9">
              <w:rPr>
                <w:b/>
                <w:sz w:val="20"/>
                <w:szCs w:val="20"/>
                <w:lang w:val="fr-CA"/>
              </w:rPr>
              <w:t>Titre du d</w:t>
            </w:r>
            <w:r w:rsidR="0029763D" w:rsidRPr="00802AF9">
              <w:rPr>
                <w:b/>
                <w:sz w:val="20"/>
                <w:szCs w:val="20"/>
                <w:lang w:val="fr-CA"/>
              </w:rPr>
              <w:t>ocument</w:t>
            </w:r>
          </w:p>
        </w:tc>
        <w:tc>
          <w:tcPr>
            <w:tcW w:w="1318" w:type="dxa"/>
            <w:vAlign w:val="center"/>
          </w:tcPr>
          <w:p w14:paraId="537B19CD" w14:textId="2B3DE8C6" w:rsidR="0029763D" w:rsidRPr="00802AF9" w:rsidRDefault="0029763D" w:rsidP="003F073E">
            <w:pPr>
              <w:widowControl w:val="0"/>
              <w:jc w:val="center"/>
              <w:rPr>
                <w:b/>
                <w:sz w:val="20"/>
                <w:szCs w:val="20"/>
                <w:lang w:val="fr-CA"/>
              </w:rPr>
            </w:pPr>
            <w:r w:rsidRPr="00802AF9">
              <w:rPr>
                <w:b/>
                <w:sz w:val="20"/>
                <w:szCs w:val="20"/>
                <w:lang w:val="fr-CA"/>
              </w:rPr>
              <w:t>Paragraph</w:t>
            </w:r>
            <w:r w:rsidR="0014063A" w:rsidRPr="00802AF9">
              <w:rPr>
                <w:b/>
                <w:sz w:val="20"/>
                <w:szCs w:val="20"/>
                <w:lang w:val="fr-CA"/>
              </w:rPr>
              <w:t>e</w:t>
            </w:r>
            <w:r w:rsidRPr="00802AF9">
              <w:rPr>
                <w:b/>
                <w:sz w:val="20"/>
                <w:szCs w:val="20"/>
                <w:lang w:val="fr-CA"/>
              </w:rPr>
              <w:t>s</w:t>
            </w:r>
          </w:p>
        </w:tc>
      </w:tr>
      <w:tr w:rsidR="0029763D" w:rsidRPr="00802AF9" w14:paraId="3E42B649" w14:textId="77777777" w:rsidTr="0014063A">
        <w:tc>
          <w:tcPr>
            <w:tcW w:w="835" w:type="dxa"/>
          </w:tcPr>
          <w:p w14:paraId="07FEDF5B" w14:textId="77777777" w:rsidR="0029763D" w:rsidRPr="00802AF9" w:rsidRDefault="0029763D" w:rsidP="003F073E">
            <w:pPr>
              <w:widowControl w:val="0"/>
              <w:rPr>
                <w:b/>
                <w:sz w:val="20"/>
                <w:szCs w:val="20"/>
                <w:lang w:val="fr-CA"/>
              </w:rPr>
            </w:pPr>
            <w:r w:rsidRPr="00802AF9">
              <w:rPr>
                <w:b/>
                <w:sz w:val="20"/>
                <w:szCs w:val="20"/>
                <w:lang w:val="fr-CA"/>
              </w:rPr>
              <w:t xml:space="preserve">I </w:t>
            </w:r>
          </w:p>
        </w:tc>
        <w:tc>
          <w:tcPr>
            <w:tcW w:w="6455" w:type="dxa"/>
          </w:tcPr>
          <w:p w14:paraId="57CB5C61" w14:textId="04F55A6C" w:rsidR="0029763D" w:rsidRPr="00802AF9" w:rsidRDefault="0014063A" w:rsidP="003F073E">
            <w:pPr>
              <w:widowControl w:val="0"/>
              <w:jc w:val="left"/>
              <w:rPr>
                <w:b/>
                <w:sz w:val="20"/>
                <w:szCs w:val="20"/>
                <w:lang w:val="fr-CA"/>
              </w:rPr>
            </w:pPr>
            <w:r w:rsidRPr="00802AF9">
              <w:rPr>
                <w:b/>
                <w:sz w:val="20"/>
                <w:szCs w:val="20"/>
                <w:lang w:val="fr-CA"/>
              </w:rPr>
              <w:t>Phase</w:t>
            </w:r>
            <w:r w:rsidR="0029763D" w:rsidRPr="00802AF9">
              <w:rPr>
                <w:b/>
                <w:sz w:val="20"/>
                <w:szCs w:val="20"/>
                <w:lang w:val="fr-CA"/>
              </w:rPr>
              <w:t xml:space="preserve"> I </w:t>
            </w:r>
            <w:r w:rsidR="00545827" w:rsidRPr="00802AF9">
              <w:rPr>
                <w:b/>
                <w:sz w:val="20"/>
                <w:szCs w:val="20"/>
                <w:lang w:val="fr-CA"/>
              </w:rPr>
              <w:t>du</w:t>
            </w:r>
            <w:r w:rsidR="0029763D" w:rsidRPr="00802AF9">
              <w:rPr>
                <w:b/>
                <w:sz w:val="20"/>
                <w:szCs w:val="20"/>
                <w:lang w:val="fr-CA"/>
              </w:rPr>
              <w:t xml:space="preserve"> </w:t>
            </w:r>
            <w:r w:rsidR="00545827" w:rsidRPr="00802AF9">
              <w:rPr>
                <w:b/>
                <w:sz w:val="20"/>
                <w:szCs w:val="20"/>
                <w:lang w:val="fr-CA"/>
              </w:rPr>
              <w:t>p</w:t>
            </w:r>
            <w:r w:rsidRPr="00802AF9">
              <w:rPr>
                <w:b/>
                <w:sz w:val="20"/>
                <w:szCs w:val="20"/>
                <w:lang w:val="fr-CA"/>
              </w:rPr>
              <w:t>lan de gestion de l’élimination de HCFC</w:t>
            </w:r>
          </w:p>
        </w:tc>
        <w:tc>
          <w:tcPr>
            <w:tcW w:w="1318" w:type="dxa"/>
            <w:vAlign w:val="center"/>
          </w:tcPr>
          <w:p w14:paraId="2FA3E987" w14:textId="77777777" w:rsidR="0029763D" w:rsidRPr="00802AF9" w:rsidRDefault="0029763D" w:rsidP="003F073E">
            <w:pPr>
              <w:widowControl w:val="0"/>
              <w:jc w:val="center"/>
              <w:rPr>
                <w:b/>
                <w:sz w:val="20"/>
                <w:szCs w:val="20"/>
                <w:lang w:val="fr-CA"/>
              </w:rPr>
            </w:pPr>
            <w:r w:rsidRPr="00802AF9">
              <w:rPr>
                <w:sz w:val="20"/>
                <w:szCs w:val="20"/>
                <w:lang w:val="fr-CA"/>
              </w:rPr>
              <w:t>3 – 27</w:t>
            </w:r>
          </w:p>
        </w:tc>
      </w:tr>
      <w:tr w:rsidR="0029763D" w:rsidRPr="00802AF9" w14:paraId="6CAF9C7E" w14:textId="77777777" w:rsidTr="0014063A">
        <w:tc>
          <w:tcPr>
            <w:tcW w:w="835" w:type="dxa"/>
          </w:tcPr>
          <w:p w14:paraId="2057EAFC" w14:textId="77777777" w:rsidR="0029763D" w:rsidRPr="00802AF9" w:rsidRDefault="0029763D" w:rsidP="003F073E">
            <w:pPr>
              <w:widowControl w:val="0"/>
              <w:rPr>
                <w:sz w:val="20"/>
                <w:szCs w:val="20"/>
                <w:lang w:val="fr-CA"/>
              </w:rPr>
            </w:pPr>
          </w:p>
        </w:tc>
        <w:tc>
          <w:tcPr>
            <w:tcW w:w="6455" w:type="dxa"/>
          </w:tcPr>
          <w:p w14:paraId="67DE7E91" w14:textId="40B9EDD8" w:rsidR="0029763D" w:rsidRPr="00802AF9" w:rsidRDefault="00545827" w:rsidP="003F073E">
            <w:pPr>
              <w:widowControl w:val="0"/>
              <w:jc w:val="left"/>
              <w:rPr>
                <w:sz w:val="20"/>
                <w:szCs w:val="20"/>
                <w:lang w:val="fr-CA"/>
              </w:rPr>
            </w:pPr>
            <w:r w:rsidRPr="00802AF9">
              <w:rPr>
                <w:sz w:val="20"/>
                <w:szCs w:val="20"/>
                <w:lang w:val="fr-CA"/>
              </w:rPr>
              <w:t xml:space="preserve">Aperçu de la </w:t>
            </w:r>
            <w:r w:rsidR="0014063A" w:rsidRPr="00802AF9">
              <w:rPr>
                <w:sz w:val="20"/>
                <w:szCs w:val="20"/>
                <w:lang w:val="fr-CA"/>
              </w:rPr>
              <w:t>phase</w:t>
            </w:r>
            <w:r w:rsidR="0029763D" w:rsidRPr="00802AF9">
              <w:rPr>
                <w:sz w:val="20"/>
                <w:szCs w:val="20"/>
                <w:lang w:val="fr-CA"/>
              </w:rPr>
              <w:t xml:space="preserve"> I </w:t>
            </w:r>
            <w:r w:rsidRPr="00802AF9">
              <w:rPr>
                <w:sz w:val="20"/>
                <w:szCs w:val="20"/>
                <w:lang w:val="fr-CA"/>
              </w:rPr>
              <w:t>incluant un résumé de l’état de mise en œuvre de</w:t>
            </w:r>
            <w:r w:rsidR="00E5163D">
              <w:rPr>
                <w:sz w:val="20"/>
                <w:szCs w:val="20"/>
                <w:lang w:val="fr-CA"/>
              </w:rPr>
              <w:t>s</w:t>
            </w:r>
            <w:r w:rsidRPr="00802AF9">
              <w:rPr>
                <w:sz w:val="20"/>
                <w:szCs w:val="20"/>
                <w:lang w:val="fr-CA"/>
              </w:rPr>
              <w:t xml:space="preserve"> </w:t>
            </w:r>
            <w:r w:rsidR="0029763D" w:rsidRPr="00802AF9">
              <w:rPr>
                <w:sz w:val="20"/>
                <w:szCs w:val="20"/>
                <w:lang w:val="fr-CA"/>
              </w:rPr>
              <w:t xml:space="preserve">six </w:t>
            </w:r>
            <w:r w:rsidR="00494A38" w:rsidRPr="00802AF9">
              <w:rPr>
                <w:sz w:val="20"/>
                <w:szCs w:val="20"/>
                <w:lang w:val="fr-CA"/>
              </w:rPr>
              <w:t>plan</w:t>
            </w:r>
            <w:r w:rsidR="00C709F6">
              <w:rPr>
                <w:sz w:val="20"/>
                <w:szCs w:val="20"/>
                <w:lang w:val="fr-CA"/>
              </w:rPr>
              <w:t>s</w:t>
            </w:r>
            <w:r w:rsidR="00494A38" w:rsidRPr="00802AF9">
              <w:rPr>
                <w:sz w:val="20"/>
                <w:szCs w:val="20"/>
                <w:lang w:val="fr-CA"/>
              </w:rPr>
              <w:t xml:space="preserve"> sectoriel</w:t>
            </w:r>
            <w:r w:rsidR="0029763D" w:rsidRPr="00802AF9">
              <w:rPr>
                <w:sz w:val="20"/>
                <w:szCs w:val="20"/>
                <w:lang w:val="fr-CA"/>
              </w:rPr>
              <w:t xml:space="preserve">s </w:t>
            </w:r>
          </w:p>
        </w:tc>
        <w:tc>
          <w:tcPr>
            <w:tcW w:w="1318" w:type="dxa"/>
          </w:tcPr>
          <w:p w14:paraId="5DAA6348" w14:textId="77777777" w:rsidR="0029763D" w:rsidRPr="00802AF9" w:rsidRDefault="0029763D" w:rsidP="003F073E">
            <w:pPr>
              <w:widowControl w:val="0"/>
              <w:jc w:val="center"/>
              <w:rPr>
                <w:sz w:val="20"/>
                <w:szCs w:val="20"/>
                <w:lang w:val="fr-CA"/>
              </w:rPr>
            </w:pPr>
            <w:r w:rsidRPr="00802AF9">
              <w:rPr>
                <w:sz w:val="20"/>
                <w:szCs w:val="20"/>
                <w:lang w:val="fr-CA"/>
              </w:rPr>
              <w:t>3 – 14</w:t>
            </w:r>
          </w:p>
        </w:tc>
      </w:tr>
      <w:tr w:rsidR="0029763D" w:rsidRPr="00802AF9" w14:paraId="2B8C190B" w14:textId="77777777" w:rsidTr="0014063A">
        <w:tc>
          <w:tcPr>
            <w:tcW w:w="835" w:type="dxa"/>
          </w:tcPr>
          <w:p w14:paraId="281377B9" w14:textId="77777777" w:rsidR="0029763D" w:rsidRPr="00802AF9" w:rsidRDefault="0029763D" w:rsidP="003F073E">
            <w:pPr>
              <w:widowControl w:val="0"/>
              <w:rPr>
                <w:sz w:val="20"/>
                <w:szCs w:val="20"/>
                <w:lang w:val="fr-CA"/>
              </w:rPr>
            </w:pPr>
          </w:p>
        </w:tc>
        <w:tc>
          <w:tcPr>
            <w:tcW w:w="6455" w:type="dxa"/>
          </w:tcPr>
          <w:p w14:paraId="0DE4C80E" w14:textId="0CAB9CF4" w:rsidR="0029763D" w:rsidRPr="00802AF9" w:rsidRDefault="0014063A" w:rsidP="003F073E">
            <w:pPr>
              <w:widowControl w:val="0"/>
              <w:jc w:val="left"/>
              <w:rPr>
                <w:sz w:val="20"/>
                <w:szCs w:val="20"/>
                <w:lang w:val="fr-CA"/>
              </w:rPr>
            </w:pPr>
            <w:r w:rsidRPr="00802AF9">
              <w:rPr>
                <w:sz w:val="20"/>
                <w:szCs w:val="20"/>
                <w:lang w:val="fr-CA"/>
              </w:rPr>
              <w:t>Recommandation</w:t>
            </w:r>
          </w:p>
        </w:tc>
        <w:tc>
          <w:tcPr>
            <w:tcW w:w="1318" w:type="dxa"/>
            <w:vAlign w:val="center"/>
          </w:tcPr>
          <w:p w14:paraId="1CDB7E61" w14:textId="77777777" w:rsidR="0029763D" w:rsidRPr="00802AF9" w:rsidRDefault="0029763D" w:rsidP="003F073E">
            <w:pPr>
              <w:widowControl w:val="0"/>
              <w:jc w:val="center"/>
              <w:rPr>
                <w:sz w:val="20"/>
                <w:szCs w:val="20"/>
                <w:lang w:val="fr-CA"/>
              </w:rPr>
            </w:pPr>
            <w:r w:rsidRPr="00802AF9">
              <w:rPr>
                <w:sz w:val="20"/>
                <w:szCs w:val="20"/>
                <w:lang w:val="fr-CA"/>
              </w:rPr>
              <w:t>15</w:t>
            </w:r>
          </w:p>
        </w:tc>
      </w:tr>
      <w:tr w:rsidR="0029763D" w:rsidRPr="00802AF9" w14:paraId="1454DB10" w14:textId="77777777" w:rsidTr="0014063A">
        <w:tc>
          <w:tcPr>
            <w:tcW w:w="835" w:type="dxa"/>
          </w:tcPr>
          <w:p w14:paraId="38A9919D" w14:textId="77777777" w:rsidR="0029763D" w:rsidRPr="00802AF9" w:rsidRDefault="0029763D" w:rsidP="003F073E">
            <w:pPr>
              <w:widowControl w:val="0"/>
              <w:rPr>
                <w:sz w:val="20"/>
                <w:szCs w:val="20"/>
                <w:lang w:val="fr-CA"/>
              </w:rPr>
            </w:pPr>
          </w:p>
        </w:tc>
        <w:tc>
          <w:tcPr>
            <w:tcW w:w="6455" w:type="dxa"/>
          </w:tcPr>
          <w:p w14:paraId="5C440CF9" w14:textId="211A0DD3" w:rsidR="0029763D" w:rsidRPr="00802AF9" w:rsidRDefault="00494A38" w:rsidP="006E1759">
            <w:pPr>
              <w:widowControl w:val="0"/>
              <w:rPr>
                <w:sz w:val="20"/>
                <w:szCs w:val="20"/>
                <w:lang w:val="fr-CA"/>
              </w:rPr>
            </w:pPr>
            <w:r w:rsidRPr="00802AF9">
              <w:rPr>
                <w:sz w:val="20"/>
                <w:szCs w:val="20"/>
                <w:lang w:val="fr-CA"/>
              </w:rPr>
              <w:t>Rapport périodique</w:t>
            </w:r>
            <w:r w:rsidR="0029763D" w:rsidRPr="00802AF9">
              <w:rPr>
                <w:sz w:val="20"/>
                <w:szCs w:val="20"/>
                <w:lang w:val="fr-CA"/>
              </w:rPr>
              <w:t xml:space="preserve"> </w:t>
            </w:r>
            <w:r w:rsidR="00545827" w:rsidRPr="00802AF9">
              <w:rPr>
                <w:sz w:val="20"/>
                <w:szCs w:val="20"/>
                <w:lang w:val="fr-CA"/>
              </w:rPr>
              <w:t>sur le plan sectoriel de</w:t>
            </w:r>
            <w:r w:rsidR="002A109F" w:rsidRPr="00802AF9">
              <w:rPr>
                <w:sz w:val="20"/>
                <w:szCs w:val="20"/>
                <w:lang w:val="fr-CA"/>
              </w:rPr>
              <w:t xml:space="preserve"> </w:t>
            </w:r>
            <w:r w:rsidR="00545827" w:rsidRPr="00802AF9">
              <w:rPr>
                <w:sz w:val="20"/>
                <w:szCs w:val="20"/>
                <w:lang w:val="fr-CA"/>
              </w:rPr>
              <w:t>la</w:t>
            </w:r>
            <w:r w:rsidR="0029763D" w:rsidRPr="00802AF9">
              <w:rPr>
                <w:sz w:val="20"/>
                <w:szCs w:val="20"/>
                <w:lang w:val="fr-CA"/>
              </w:rPr>
              <w:t xml:space="preserve"> </w:t>
            </w:r>
            <w:r w:rsidR="0014063A" w:rsidRPr="00802AF9">
              <w:rPr>
                <w:sz w:val="20"/>
                <w:szCs w:val="20"/>
                <w:lang w:val="fr-CA"/>
              </w:rPr>
              <w:t>phase</w:t>
            </w:r>
            <w:r w:rsidR="0029763D" w:rsidRPr="00802AF9">
              <w:rPr>
                <w:sz w:val="20"/>
                <w:szCs w:val="20"/>
                <w:lang w:val="fr-CA"/>
              </w:rPr>
              <w:t xml:space="preserve"> I </w:t>
            </w:r>
            <w:r w:rsidR="002A109F" w:rsidRPr="00802AF9">
              <w:rPr>
                <w:sz w:val="20"/>
                <w:szCs w:val="20"/>
                <w:lang w:val="fr-CA"/>
              </w:rPr>
              <w:t xml:space="preserve">pour les climatiseurs individuel </w:t>
            </w:r>
            <w:r w:rsidR="0029763D" w:rsidRPr="00802AF9">
              <w:rPr>
                <w:sz w:val="20"/>
                <w:szCs w:val="20"/>
                <w:lang w:val="fr-CA"/>
              </w:rPr>
              <w:t>(</w:t>
            </w:r>
            <w:r w:rsidRPr="00802AF9">
              <w:rPr>
                <w:sz w:val="20"/>
                <w:szCs w:val="20"/>
                <w:lang w:val="fr-CA"/>
              </w:rPr>
              <w:t>R&amp;C</w:t>
            </w:r>
            <w:r w:rsidR="0029763D" w:rsidRPr="00802AF9">
              <w:rPr>
                <w:sz w:val="20"/>
                <w:szCs w:val="20"/>
                <w:lang w:val="fr-CA"/>
              </w:rPr>
              <w:t xml:space="preserve">) </w:t>
            </w:r>
          </w:p>
        </w:tc>
        <w:tc>
          <w:tcPr>
            <w:tcW w:w="1318" w:type="dxa"/>
          </w:tcPr>
          <w:p w14:paraId="39B29D99" w14:textId="77777777" w:rsidR="0029763D" w:rsidRPr="00802AF9" w:rsidRDefault="0029763D" w:rsidP="003F073E">
            <w:pPr>
              <w:widowControl w:val="0"/>
              <w:jc w:val="center"/>
              <w:rPr>
                <w:sz w:val="20"/>
                <w:szCs w:val="20"/>
                <w:lang w:val="fr-CA"/>
              </w:rPr>
            </w:pPr>
            <w:r w:rsidRPr="00802AF9">
              <w:rPr>
                <w:sz w:val="20"/>
                <w:szCs w:val="20"/>
                <w:lang w:val="fr-CA"/>
              </w:rPr>
              <w:t>16 – 26</w:t>
            </w:r>
          </w:p>
        </w:tc>
      </w:tr>
      <w:tr w:rsidR="0029763D" w:rsidRPr="00802AF9" w14:paraId="6A256144" w14:textId="77777777" w:rsidTr="0014063A">
        <w:tc>
          <w:tcPr>
            <w:tcW w:w="835" w:type="dxa"/>
          </w:tcPr>
          <w:p w14:paraId="1664BE8B" w14:textId="77777777" w:rsidR="0029763D" w:rsidRPr="00802AF9" w:rsidRDefault="0029763D" w:rsidP="003F073E">
            <w:pPr>
              <w:widowControl w:val="0"/>
              <w:rPr>
                <w:sz w:val="20"/>
                <w:szCs w:val="20"/>
                <w:lang w:val="fr-CA"/>
              </w:rPr>
            </w:pPr>
          </w:p>
        </w:tc>
        <w:tc>
          <w:tcPr>
            <w:tcW w:w="6455" w:type="dxa"/>
          </w:tcPr>
          <w:p w14:paraId="31EEAA25" w14:textId="57BE80A0"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2C022A81" w14:textId="77777777" w:rsidR="0029763D" w:rsidRPr="00802AF9" w:rsidRDefault="0029763D" w:rsidP="003F073E">
            <w:pPr>
              <w:widowControl w:val="0"/>
              <w:jc w:val="center"/>
              <w:rPr>
                <w:sz w:val="20"/>
                <w:szCs w:val="20"/>
                <w:lang w:val="fr-CA"/>
              </w:rPr>
            </w:pPr>
            <w:r w:rsidRPr="00802AF9">
              <w:rPr>
                <w:sz w:val="20"/>
                <w:szCs w:val="20"/>
                <w:lang w:val="fr-CA"/>
              </w:rPr>
              <w:t>27</w:t>
            </w:r>
          </w:p>
        </w:tc>
      </w:tr>
      <w:tr w:rsidR="0029763D" w:rsidRPr="00802AF9" w14:paraId="54506FA3" w14:textId="77777777" w:rsidTr="0014063A">
        <w:tc>
          <w:tcPr>
            <w:tcW w:w="835" w:type="dxa"/>
          </w:tcPr>
          <w:p w14:paraId="371155B4" w14:textId="77777777" w:rsidR="0029763D" w:rsidRPr="00802AF9" w:rsidRDefault="0029763D" w:rsidP="003F073E">
            <w:pPr>
              <w:widowControl w:val="0"/>
              <w:rPr>
                <w:sz w:val="20"/>
                <w:szCs w:val="20"/>
                <w:lang w:val="fr-CA"/>
              </w:rPr>
            </w:pPr>
          </w:p>
        </w:tc>
        <w:tc>
          <w:tcPr>
            <w:tcW w:w="6455" w:type="dxa"/>
          </w:tcPr>
          <w:p w14:paraId="2F11B8BA" w14:textId="77777777" w:rsidR="0029763D" w:rsidRPr="00802AF9" w:rsidRDefault="0029763D" w:rsidP="003F073E">
            <w:pPr>
              <w:widowControl w:val="0"/>
              <w:jc w:val="left"/>
              <w:rPr>
                <w:sz w:val="20"/>
                <w:szCs w:val="20"/>
                <w:lang w:val="fr-CA"/>
              </w:rPr>
            </w:pPr>
          </w:p>
        </w:tc>
        <w:tc>
          <w:tcPr>
            <w:tcW w:w="1318" w:type="dxa"/>
          </w:tcPr>
          <w:p w14:paraId="55E88558" w14:textId="77777777" w:rsidR="0029763D" w:rsidRPr="00802AF9" w:rsidRDefault="0029763D" w:rsidP="003F073E">
            <w:pPr>
              <w:widowControl w:val="0"/>
              <w:jc w:val="center"/>
              <w:rPr>
                <w:sz w:val="20"/>
                <w:szCs w:val="20"/>
                <w:lang w:val="fr-CA"/>
              </w:rPr>
            </w:pPr>
          </w:p>
        </w:tc>
      </w:tr>
      <w:tr w:rsidR="0029763D" w:rsidRPr="00802AF9" w14:paraId="26819B47" w14:textId="77777777" w:rsidTr="0014063A">
        <w:tc>
          <w:tcPr>
            <w:tcW w:w="835" w:type="dxa"/>
          </w:tcPr>
          <w:p w14:paraId="2CD7A4EC" w14:textId="77777777" w:rsidR="0029763D" w:rsidRPr="00802AF9" w:rsidRDefault="0029763D" w:rsidP="003F073E">
            <w:pPr>
              <w:widowControl w:val="0"/>
              <w:rPr>
                <w:b/>
                <w:sz w:val="20"/>
                <w:szCs w:val="20"/>
                <w:lang w:val="fr-CA"/>
              </w:rPr>
            </w:pPr>
            <w:r w:rsidRPr="00802AF9">
              <w:rPr>
                <w:b/>
                <w:sz w:val="20"/>
                <w:szCs w:val="20"/>
                <w:lang w:val="fr-CA"/>
              </w:rPr>
              <w:t xml:space="preserve">II </w:t>
            </w:r>
          </w:p>
        </w:tc>
        <w:tc>
          <w:tcPr>
            <w:tcW w:w="6455" w:type="dxa"/>
          </w:tcPr>
          <w:p w14:paraId="67DEAA01" w14:textId="5E834B19" w:rsidR="0029763D" w:rsidRPr="00802AF9" w:rsidRDefault="0014063A" w:rsidP="003F073E">
            <w:pPr>
              <w:widowControl w:val="0"/>
              <w:jc w:val="left"/>
              <w:rPr>
                <w:b/>
                <w:sz w:val="20"/>
                <w:szCs w:val="20"/>
                <w:lang w:val="fr-CA"/>
              </w:rPr>
            </w:pPr>
            <w:r w:rsidRPr="00802AF9">
              <w:rPr>
                <w:b/>
                <w:sz w:val="20"/>
                <w:szCs w:val="20"/>
                <w:lang w:val="fr-CA"/>
              </w:rPr>
              <w:t>Phase</w:t>
            </w:r>
            <w:r w:rsidR="0029763D" w:rsidRPr="00802AF9">
              <w:rPr>
                <w:b/>
                <w:sz w:val="20"/>
                <w:szCs w:val="20"/>
                <w:lang w:val="fr-CA"/>
              </w:rPr>
              <w:t xml:space="preserve"> II </w:t>
            </w:r>
            <w:r w:rsidR="002A109F" w:rsidRPr="00802AF9">
              <w:rPr>
                <w:b/>
                <w:sz w:val="20"/>
                <w:szCs w:val="20"/>
                <w:lang w:val="fr-CA"/>
              </w:rPr>
              <w:t>du</w:t>
            </w:r>
            <w:r w:rsidR="0029763D" w:rsidRPr="00802AF9">
              <w:rPr>
                <w:b/>
                <w:sz w:val="20"/>
                <w:szCs w:val="20"/>
                <w:lang w:val="fr-CA"/>
              </w:rPr>
              <w:t xml:space="preserve"> </w:t>
            </w:r>
            <w:r w:rsidR="002A109F" w:rsidRPr="00802AF9">
              <w:rPr>
                <w:b/>
                <w:sz w:val="20"/>
                <w:szCs w:val="20"/>
                <w:lang w:val="fr-CA"/>
              </w:rPr>
              <w:t>p</w:t>
            </w:r>
            <w:r w:rsidRPr="00802AF9">
              <w:rPr>
                <w:b/>
                <w:sz w:val="20"/>
                <w:szCs w:val="20"/>
                <w:lang w:val="fr-CA"/>
              </w:rPr>
              <w:t>lan de gestion de l’élimination de HCFC</w:t>
            </w:r>
            <w:r w:rsidR="0029763D" w:rsidRPr="00802AF9">
              <w:rPr>
                <w:b/>
                <w:sz w:val="20"/>
                <w:szCs w:val="20"/>
                <w:lang w:val="fr-CA"/>
              </w:rPr>
              <w:t xml:space="preserve"> </w:t>
            </w:r>
          </w:p>
        </w:tc>
        <w:tc>
          <w:tcPr>
            <w:tcW w:w="1318" w:type="dxa"/>
          </w:tcPr>
          <w:p w14:paraId="642CD203" w14:textId="77777777" w:rsidR="0029763D" w:rsidRPr="00802AF9" w:rsidRDefault="0029763D" w:rsidP="003F073E">
            <w:pPr>
              <w:widowControl w:val="0"/>
              <w:jc w:val="center"/>
              <w:rPr>
                <w:sz w:val="20"/>
                <w:szCs w:val="20"/>
                <w:lang w:val="fr-CA"/>
              </w:rPr>
            </w:pPr>
            <w:r w:rsidRPr="00802AF9">
              <w:rPr>
                <w:sz w:val="20"/>
                <w:szCs w:val="20"/>
                <w:lang w:val="fr-CA"/>
              </w:rPr>
              <w:t>28 – 51</w:t>
            </w:r>
          </w:p>
        </w:tc>
      </w:tr>
      <w:tr w:rsidR="0029763D" w:rsidRPr="00802AF9" w14:paraId="590B148E" w14:textId="77777777" w:rsidTr="0014063A">
        <w:tc>
          <w:tcPr>
            <w:tcW w:w="835" w:type="dxa"/>
          </w:tcPr>
          <w:p w14:paraId="552EB2A2" w14:textId="77777777" w:rsidR="0029763D" w:rsidRPr="00802AF9" w:rsidRDefault="0029763D" w:rsidP="003F073E">
            <w:pPr>
              <w:widowControl w:val="0"/>
              <w:rPr>
                <w:sz w:val="20"/>
                <w:szCs w:val="20"/>
                <w:lang w:val="fr-CA"/>
              </w:rPr>
            </w:pPr>
          </w:p>
        </w:tc>
        <w:tc>
          <w:tcPr>
            <w:tcW w:w="6455" w:type="dxa"/>
          </w:tcPr>
          <w:p w14:paraId="7B87C165" w14:textId="15D460AD" w:rsidR="0029763D" w:rsidRPr="00802AF9" w:rsidRDefault="002A109F" w:rsidP="003F073E">
            <w:pPr>
              <w:widowControl w:val="0"/>
              <w:jc w:val="left"/>
              <w:rPr>
                <w:sz w:val="20"/>
                <w:szCs w:val="20"/>
                <w:lang w:val="fr-CA"/>
              </w:rPr>
            </w:pPr>
            <w:r w:rsidRPr="00802AF9">
              <w:rPr>
                <w:sz w:val="20"/>
                <w:szCs w:val="20"/>
                <w:lang w:val="fr-CA"/>
              </w:rPr>
              <w:t xml:space="preserve">Aperçu de la stratégie générale pour la </w:t>
            </w:r>
            <w:r w:rsidR="0014063A" w:rsidRPr="00802AF9">
              <w:rPr>
                <w:sz w:val="20"/>
                <w:szCs w:val="20"/>
                <w:lang w:val="fr-CA"/>
              </w:rPr>
              <w:t>phase</w:t>
            </w:r>
            <w:r w:rsidR="0029763D" w:rsidRPr="00802AF9">
              <w:rPr>
                <w:sz w:val="20"/>
                <w:szCs w:val="20"/>
                <w:lang w:val="fr-CA"/>
              </w:rPr>
              <w:t> II</w:t>
            </w:r>
          </w:p>
        </w:tc>
        <w:tc>
          <w:tcPr>
            <w:tcW w:w="1318" w:type="dxa"/>
          </w:tcPr>
          <w:p w14:paraId="22134A03" w14:textId="77777777" w:rsidR="0029763D" w:rsidRPr="00802AF9" w:rsidRDefault="0029763D" w:rsidP="003F073E">
            <w:pPr>
              <w:widowControl w:val="0"/>
              <w:jc w:val="center"/>
              <w:rPr>
                <w:sz w:val="20"/>
                <w:szCs w:val="20"/>
                <w:lang w:val="fr-CA"/>
              </w:rPr>
            </w:pPr>
            <w:r w:rsidRPr="00802AF9">
              <w:rPr>
                <w:sz w:val="20"/>
                <w:szCs w:val="20"/>
                <w:lang w:val="fr-CA"/>
              </w:rPr>
              <w:t>28 – 30</w:t>
            </w:r>
          </w:p>
        </w:tc>
      </w:tr>
      <w:tr w:rsidR="0029763D" w:rsidRPr="00802AF9" w14:paraId="59EF3F1D" w14:textId="77777777" w:rsidTr="0014063A">
        <w:tc>
          <w:tcPr>
            <w:tcW w:w="835" w:type="dxa"/>
          </w:tcPr>
          <w:p w14:paraId="19205FA8" w14:textId="77777777" w:rsidR="0029763D" w:rsidRPr="00802AF9" w:rsidRDefault="0029763D" w:rsidP="003F073E">
            <w:pPr>
              <w:widowControl w:val="0"/>
              <w:rPr>
                <w:sz w:val="20"/>
                <w:szCs w:val="20"/>
                <w:lang w:val="fr-CA"/>
              </w:rPr>
            </w:pPr>
          </w:p>
        </w:tc>
        <w:tc>
          <w:tcPr>
            <w:tcW w:w="6455" w:type="dxa"/>
          </w:tcPr>
          <w:p w14:paraId="0A02823B" w14:textId="08BDD1E9" w:rsidR="0029763D" w:rsidRPr="00802AF9" w:rsidRDefault="0029763D" w:rsidP="003F073E">
            <w:pPr>
              <w:widowControl w:val="0"/>
              <w:jc w:val="left"/>
              <w:rPr>
                <w:sz w:val="20"/>
                <w:szCs w:val="20"/>
                <w:lang w:val="fr-CA"/>
              </w:rPr>
            </w:pPr>
            <w:r w:rsidRPr="00802AF9">
              <w:rPr>
                <w:sz w:val="20"/>
                <w:szCs w:val="20"/>
                <w:lang w:val="fr-CA"/>
              </w:rPr>
              <w:t>Ajust</w:t>
            </w:r>
            <w:r w:rsidR="002A109F" w:rsidRPr="00802AF9">
              <w:rPr>
                <w:sz w:val="20"/>
                <w:szCs w:val="20"/>
                <w:lang w:val="fr-CA"/>
              </w:rPr>
              <w:t>e</w:t>
            </w:r>
            <w:r w:rsidRPr="00802AF9">
              <w:rPr>
                <w:sz w:val="20"/>
                <w:szCs w:val="20"/>
                <w:lang w:val="fr-CA"/>
              </w:rPr>
              <w:t xml:space="preserve">ments </w:t>
            </w:r>
            <w:r w:rsidR="002A109F" w:rsidRPr="00802AF9">
              <w:rPr>
                <w:sz w:val="20"/>
                <w:szCs w:val="20"/>
                <w:lang w:val="fr-CA"/>
              </w:rPr>
              <w:t xml:space="preserve">pour la </w:t>
            </w:r>
            <w:r w:rsidR="0014063A" w:rsidRPr="00802AF9">
              <w:rPr>
                <w:sz w:val="20"/>
                <w:szCs w:val="20"/>
                <w:lang w:val="fr-CA"/>
              </w:rPr>
              <w:t>phase</w:t>
            </w:r>
            <w:r w:rsidRPr="00802AF9">
              <w:rPr>
                <w:sz w:val="20"/>
                <w:szCs w:val="20"/>
                <w:lang w:val="fr-CA"/>
              </w:rPr>
              <w:t> II d</w:t>
            </w:r>
            <w:r w:rsidR="002A109F" w:rsidRPr="00802AF9">
              <w:rPr>
                <w:sz w:val="20"/>
                <w:szCs w:val="20"/>
                <w:lang w:val="fr-CA"/>
              </w:rPr>
              <w:t>é</w:t>
            </w:r>
            <w:r w:rsidRPr="00802AF9">
              <w:rPr>
                <w:sz w:val="20"/>
                <w:szCs w:val="20"/>
                <w:lang w:val="fr-CA"/>
              </w:rPr>
              <w:t>cid</w:t>
            </w:r>
            <w:r w:rsidR="002A109F" w:rsidRPr="00802AF9">
              <w:rPr>
                <w:sz w:val="20"/>
                <w:szCs w:val="20"/>
                <w:lang w:val="fr-CA"/>
              </w:rPr>
              <w:t xml:space="preserve">és à la </w:t>
            </w:r>
            <w:r w:rsidRPr="00802AF9">
              <w:rPr>
                <w:sz w:val="20"/>
                <w:szCs w:val="20"/>
                <w:lang w:val="fr-CA"/>
              </w:rPr>
              <w:t>84</w:t>
            </w:r>
            <w:r w:rsidR="002A109F" w:rsidRPr="00802AF9">
              <w:rPr>
                <w:sz w:val="20"/>
                <w:szCs w:val="20"/>
                <w:vertAlign w:val="superscript"/>
                <w:lang w:val="fr-CA"/>
              </w:rPr>
              <w:t>e</w:t>
            </w:r>
            <w:r w:rsidRPr="00802AF9">
              <w:rPr>
                <w:sz w:val="20"/>
                <w:szCs w:val="20"/>
                <w:lang w:val="fr-CA"/>
              </w:rPr>
              <w:t> </w:t>
            </w:r>
            <w:r w:rsidR="0014063A" w:rsidRPr="00802AF9">
              <w:rPr>
                <w:sz w:val="20"/>
                <w:szCs w:val="20"/>
                <w:lang w:val="fr-CA"/>
              </w:rPr>
              <w:t>réunion</w:t>
            </w:r>
            <w:r w:rsidRPr="00802AF9">
              <w:rPr>
                <w:sz w:val="20"/>
                <w:szCs w:val="20"/>
                <w:lang w:val="fr-CA"/>
              </w:rPr>
              <w:t>, inclu</w:t>
            </w:r>
            <w:r w:rsidR="002A109F" w:rsidRPr="00802AF9">
              <w:rPr>
                <w:sz w:val="20"/>
                <w:szCs w:val="20"/>
                <w:lang w:val="fr-CA"/>
              </w:rPr>
              <w:t xml:space="preserve">ant les quantités de </w:t>
            </w:r>
            <w:r w:rsidRPr="00802AF9">
              <w:rPr>
                <w:sz w:val="20"/>
                <w:szCs w:val="20"/>
                <w:lang w:val="fr-CA"/>
              </w:rPr>
              <w:t xml:space="preserve">HCFC </w:t>
            </w:r>
            <w:r w:rsidR="002A109F" w:rsidRPr="00802AF9">
              <w:rPr>
                <w:sz w:val="20"/>
                <w:szCs w:val="20"/>
                <w:lang w:val="fr-CA"/>
              </w:rPr>
              <w:t>à éliminer et le financement connexe</w:t>
            </w:r>
            <w:r w:rsidRPr="00802AF9">
              <w:rPr>
                <w:sz w:val="20"/>
                <w:szCs w:val="20"/>
                <w:lang w:val="fr-CA"/>
              </w:rPr>
              <w:t xml:space="preserve"> </w:t>
            </w:r>
          </w:p>
        </w:tc>
        <w:tc>
          <w:tcPr>
            <w:tcW w:w="1318" w:type="dxa"/>
          </w:tcPr>
          <w:p w14:paraId="1D4ACEE1" w14:textId="77777777" w:rsidR="0029763D" w:rsidRPr="00802AF9" w:rsidRDefault="0029763D" w:rsidP="003F073E">
            <w:pPr>
              <w:widowControl w:val="0"/>
              <w:jc w:val="center"/>
              <w:rPr>
                <w:sz w:val="20"/>
                <w:szCs w:val="20"/>
                <w:lang w:val="fr-CA"/>
              </w:rPr>
            </w:pPr>
            <w:r w:rsidRPr="00802AF9">
              <w:rPr>
                <w:sz w:val="20"/>
                <w:szCs w:val="20"/>
                <w:lang w:val="fr-CA"/>
              </w:rPr>
              <w:t>31 – 32</w:t>
            </w:r>
          </w:p>
        </w:tc>
      </w:tr>
      <w:tr w:rsidR="0029763D" w:rsidRPr="00802AF9" w14:paraId="00AE1F46" w14:textId="77777777" w:rsidTr="0014063A">
        <w:tc>
          <w:tcPr>
            <w:tcW w:w="835" w:type="dxa"/>
          </w:tcPr>
          <w:p w14:paraId="4A553046" w14:textId="77777777" w:rsidR="0029763D" w:rsidRPr="00802AF9" w:rsidRDefault="0029763D" w:rsidP="003F073E">
            <w:pPr>
              <w:widowControl w:val="0"/>
              <w:rPr>
                <w:sz w:val="20"/>
                <w:szCs w:val="20"/>
                <w:lang w:val="fr-CA"/>
              </w:rPr>
            </w:pPr>
          </w:p>
        </w:tc>
        <w:tc>
          <w:tcPr>
            <w:tcW w:w="6455" w:type="dxa"/>
          </w:tcPr>
          <w:p w14:paraId="4129C71E" w14:textId="173E69FF" w:rsidR="0029763D" w:rsidRPr="00802AF9" w:rsidRDefault="002A109F" w:rsidP="003F073E">
            <w:pPr>
              <w:widowControl w:val="0"/>
              <w:jc w:val="left"/>
              <w:rPr>
                <w:sz w:val="20"/>
                <w:szCs w:val="20"/>
                <w:lang w:val="fr-CA"/>
              </w:rPr>
            </w:pPr>
            <w:r w:rsidRPr="00802AF9">
              <w:rPr>
                <w:sz w:val="20"/>
                <w:szCs w:val="20"/>
                <w:lang w:val="fr-CA"/>
              </w:rPr>
              <w:t xml:space="preserve">Aperçu des plans d’action révisés pour les </w:t>
            </w:r>
            <w:r w:rsidR="00494A38" w:rsidRPr="00802AF9">
              <w:rPr>
                <w:sz w:val="20"/>
                <w:szCs w:val="20"/>
                <w:lang w:val="fr-CA"/>
              </w:rPr>
              <w:t>plan</w:t>
            </w:r>
            <w:r w:rsidRPr="00802AF9">
              <w:rPr>
                <w:sz w:val="20"/>
                <w:szCs w:val="20"/>
                <w:lang w:val="fr-CA"/>
              </w:rPr>
              <w:t>s</w:t>
            </w:r>
            <w:r w:rsidR="00494A38" w:rsidRPr="00802AF9">
              <w:rPr>
                <w:sz w:val="20"/>
                <w:szCs w:val="20"/>
                <w:lang w:val="fr-CA"/>
              </w:rPr>
              <w:t xml:space="preserve"> sectoriel</w:t>
            </w:r>
            <w:r w:rsidR="0029763D" w:rsidRPr="00802AF9">
              <w:rPr>
                <w:sz w:val="20"/>
                <w:szCs w:val="20"/>
                <w:lang w:val="fr-CA"/>
              </w:rPr>
              <w:t xml:space="preserve">s </w:t>
            </w:r>
            <w:r w:rsidRPr="00802AF9">
              <w:rPr>
                <w:sz w:val="20"/>
                <w:szCs w:val="20"/>
                <w:lang w:val="fr-CA"/>
              </w:rPr>
              <w:t>de la</w:t>
            </w:r>
            <w:r w:rsidR="0029763D" w:rsidRPr="00802AF9">
              <w:rPr>
                <w:sz w:val="20"/>
                <w:szCs w:val="20"/>
                <w:lang w:val="fr-CA"/>
              </w:rPr>
              <w:t xml:space="preserve"> </w:t>
            </w:r>
            <w:r w:rsidR="0014063A" w:rsidRPr="00802AF9">
              <w:rPr>
                <w:sz w:val="20"/>
                <w:szCs w:val="20"/>
                <w:lang w:val="fr-CA"/>
              </w:rPr>
              <w:t>phase</w:t>
            </w:r>
            <w:r w:rsidR="0029763D" w:rsidRPr="00802AF9">
              <w:rPr>
                <w:sz w:val="20"/>
                <w:szCs w:val="20"/>
                <w:lang w:val="fr-CA"/>
              </w:rPr>
              <w:t xml:space="preserve"> II </w:t>
            </w:r>
            <w:r w:rsidR="0029763D" w:rsidRPr="00802AF9">
              <w:rPr>
                <w:sz w:val="20"/>
                <w:szCs w:val="20"/>
                <w:lang w:val="fr-CA"/>
              </w:rPr>
              <w:lastRenderedPageBreak/>
              <w:t>(2021</w:t>
            </w:r>
            <w:r w:rsidR="0029763D" w:rsidRPr="00802AF9">
              <w:rPr>
                <w:sz w:val="20"/>
                <w:szCs w:val="20"/>
                <w:lang w:val="fr-CA"/>
              </w:rPr>
              <w:noBreakHyphen/>
              <w:t>2026)</w:t>
            </w:r>
          </w:p>
        </w:tc>
        <w:tc>
          <w:tcPr>
            <w:tcW w:w="1318" w:type="dxa"/>
          </w:tcPr>
          <w:p w14:paraId="7AC8B3FE" w14:textId="77777777" w:rsidR="0029763D" w:rsidRPr="00802AF9" w:rsidRDefault="0029763D" w:rsidP="003F073E">
            <w:pPr>
              <w:widowControl w:val="0"/>
              <w:jc w:val="center"/>
              <w:rPr>
                <w:sz w:val="20"/>
                <w:szCs w:val="20"/>
                <w:lang w:val="fr-CA"/>
              </w:rPr>
            </w:pPr>
            <w:r w:rsidRPr="00802AF9">
              <w:rPr>
                <w:sz w:val="20"/>
                <w:szCs w:val="20"/>
                <w:lang w:val="fr-CA"/>
              </w:rPr>
              <w:lastRenderedPageBreak/>
              <w:t>33 – 42</w:t>
            </w:r>
          </w:p>
        </w:tc>
      </w:tr>
      <w:tr w:rsidR="0029763D" w:rsidRPr="00802AF9" w14:paraId="0C849A08" w14:textId="77777777" w:rsidTr="0014063A">
        <w:tc>
          <w:tcPr>
            <w:tcW w:w="835" w:type="dxa"/>
          </w:tcPr>
          <w:p w14:paraId="32F2679E" w14:textId="77777777" w:rsidR="0029763D" w:rsidRPr="00802AF9" w:rsidRDefault="0029763D" w:rsidP="003F073E">
            <w:pPr>
              <w:widowControl w:val="0"/>
              <w:rPr>
                <w:sz w:val="20"/>
                <w:szCs w:val="20"/>
                <w:lang w:val="fr-CA"/>
              </w:rPr>
            </w:pPr>
          </w:p>
        </w:tc>
        <w:tc>
          <w:tcPr>
            <w:tcW w:w="6455" w:type="dxa"/>
          </w:tcPr>
          <w:p w14:paraId="187DF22B" w14:textId="2ADB28F5" w:rsidR="0029763D" w:rsidRPr="00802AF9" w:rsidRDefault="002A109F" w:rsidP="003F073E">
            <w:pPr>
              <w:widowControl w:val="0"/>
              <w:jc w:val="left"/>
              <w:rPr>
                <w:sz w:val="20"/>
                <w:szCs w:val="20"/>
                <w:lang w:val="fr-CA"/>
              </w:rPr>
            </w:pPr>
            <w:r w:rsidRPr="00802AF9">
              <w:rPr>
                <w:sz w:val="20"/>
                <w:szCs w:val="20"/>
                <w:lang w:val="fr-CA"/>
              </w:rPr>
              <w:t xml:space="preserve">Projet d’accord révisé pour la </w:t>
            </w:r>
            <w:r w:rsidR="0014063A" w:rsidRPr="00802AF9">
              <w:rPr>
                <w:sz w:val="20"/>
                <w:szCs w:val="20"/>
                <w:lang w:val="fr-CA"/>
              </w:rPr>
              <w:t>phase</w:t>
            </w:r>
            <w:r w:rsidR="0029763D" w:rsidRPr="00802AF9">
              <w:rPr>
                <w:sz w:val="20"/>
                <w:szCs w:val="20"/>
                <w:lang w:val="fr-CA"/>
              </w:rPr>
              <w:t xml:space="preserve"> II </w:t>
            </w:r>
            <w:r w:rsidRPr="00802AF9">
              <w:rPr>
                <w:sz w:val="20"/>
                <w:szCs w:val="20"/>
                <w:lang w:val="fr-CA"/>
              </w:rPr>
              <w:t>du</w:t>
            </w:r>
            <w:r w:rsidR="0029763D" w:rsidRPr="00802AF9">
              <w:rPr>
                <w:sz w:val="20"/>
                <w:szCs w:val="20"/>
                <w:lang w:val="fr-CA"/>
              </w:rPr>
              <w:t xml:space="preserve"> </w:t>
            </w:r>
            <w:r w:rsidR="00494A38" w:rsidRPr="00802AF9">
              <w:rPr>
                <w:sz w:val="20"/>
                <w:szCs w:val="20"/>
                <w:lang w:val="fr-CA"/>
              </w:rPr>
              <w:t>PGEH</w:t>
            </w:r>
            <w:r w:rsidR="0029763D" w:rsidRPr="00802AF9">
              <w:rPr>
                <w:sz w:val="20"/>
                <w:szCs w:val="20"/>
                <w:lang w:val="fr-CA"/>
              </w:rPr>
              <w:t xml:space="preserve"> </w:t>
            </w:r>
          </w:p>
        </w:tc>
        <w:tc>
          <w:tcPr>
            <w:tcW w:w="1318" w:type="dxa"/>
          </w:tcPr>
          <w:p w14:paraId="32C00B77" w14:textId="77777777" w:rsidR="0029763D" w:rsidRPr="00802AF9" w:rsidRDefault="0029763D" w:rsidP="003F073E">
            <w:pPr>
              <w:widowControl w:val="0"/>
              <w:jc w:val="center"/>
              <w:rPr>
                <w:sz w:val="20"/>
                <w:szCs w:val="20"/>
                <w:lang w:val="fr-CA"/>
              </w:rPr>
            </w:pPr>
            <w:r w:rsidRPr="00802AF9">
              <w:rPr>
                <w:sz w:val="20"/>
                <w:szCs w:val="20"/>
                <w:lang w:val="fr-CA"/>
              </w:rPr>
              <w:t>43 – 45</w:t>
            </w:r>
          </w:p>
        </w:tc>
      </w:tr>
      <w:tr w:rsidR="0029763D" w:rsidRPr="00802AF9" w14:paraId="48DD2E40" w14:textId="77777777" w:rsidTr="0014063A">
        <w:tc>
          <w:tcPr>
            <w:tcW w:w="835" w:type="dxa"/>
          </w:tcPr>
          <w:p w14:paraId="5615CCCE" w14:textId="77777777" w:rsidR="0029763D" w:rsidRPr="00802AF9" w:rsidRDefault="0029763D" w:rsidP="003F073E">
            <w:pPr>
              <w:widowControl w:val="0"/>
              <w:rPr>
                <w:sz w:val="20"/>
                <w:szCs w:val="20"/>
                <w:lang w:val="fr-CA"/>
              </w:rPr>
            </w:pPr>
          </w:p>
        </w:tc>
        <w:tc>
          <w:tcPr>
            <w:tcW w:w="6455" w:type="dxa"/>
          </w:tcPr>
          <w:p w14:paraId="1D5EDD42" w14:textId="7958E64F"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5B5AE3AC" w14:textId="77777777" w:rsidR="0029763D" w:rsidRPr="00802AF9" w:rsidRDefault="0029763D" w:rsidP="003F073E">
            <w:pPr>
              <w:widowControl w:val="0"/>
              <w:jc w:val="center"/>
              <w:rPr>
                <w:sz w:val="20"/>
                <w:szCs w:val="20"/>
                <w:lang w:val="fr-CA"/>
              </w:rPr>
            </w:pPr>
            <w:r w:rsidRPr="00802AF9">
              <w:rPr>
                <w:sz w:val="20"/>
                <w:szCs w:val="20"/>
                <w:lang w:val="fr-CA"/>
              </w:rPr>
              <w:t>46 – 50</w:t>
            </w:r>
          </w:p>
        </w:tc>
      </w:tr>
      <w:tr w:rsidR="0029763D" w:rsidRPr="00802AF9" w14:paraId="59582D5F" w14:textId="77777777" w:rsidTr="0014063A">
        <w:tc>
          <w:tcPr>
            <w:tcW w:w="835" w:type="dxa"/>
          </w:tcPr>
          <w:p w14:paraId="68443540" w14:textId="77777777" w:rsidR="0029763D" w:rsidRPr="00802AF9" w:rsidRDefault="0029763D" w:rsidP="003F073E">
            <w:pPr>
              <w:widowControl w:val="0"/>
              <w:rPr>
                <w:sz w:val="20"/>
                <w:szCs w:val="20"/>
                <w:lang w:val="fr-CA"/>
              </w:rPr>
            </w:pPr>
          </w:p>
        </w:tc>
        <w:tc>
          <w:tcPr>
            <w:tcW w:w="6455" w:type="dxa"/>
          </w:tcPr>
          <w:p w14:paraId="1BBBB696" w14:textId="7A94BE44"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0B586645" w14:textId="77777777" w:rsidR="0029763D" w:rsidRPr="00802AF9" w:rsidRDefault="0029763D" w:rsidP="003F073E">
            <w:pPr>
              <w:widowControl w:val="0"/>
              <w:jc w:val="center"/>
              <w:rPr>
                <w:sz w:val="20"/>
                <w:szCs w:val="20"/>
                <w:lang w:val="fr-CA"/>
              </w:rPr>
            </w:pPr>
            <w:r w:rsidRPr="00802AF9">
              <w:rPr>
                <w:sz w:val="20"/>
                <w:szCs w:val="20"/>
                <w:lang w:val="fr-CA"/>
              </w:rPr>
              <w:t>51</w:t>
            </w:r>
          </w:p>
        </w:tc>
      </w:tr>
      <w:tr w:rsidR="0029763D" w:rsidRPr="00802AF9" w14:paraId="14AA25C3" w14:textId="77777777" w:rsidTr="0014063A">
        <w:tc>
          <w:tcPr>
            <w:tcW w:w="835" w:type="dxa"/>
          </w:tcPr>
          <w:p w14:paraId="26D17A38" w14:textId="77777777" w:rsidR="0029763D" w:rsidRPr="00802AF9" w:rsidRDefault="0029763D" w:rsidP="003F073E">
            <w:pPr>
              <w:widowControl w:val="0"/>
              <w:rPr>
                <w:sz w:val="20"/>
                <w:szCs w:val="20"/>
                <w:lang w:val="fr-CA"/>
              </w:rPr>
            </w:pPr>
          </w:p>
        </w:tc>
        <w:tc>
          <w:tcPr>
            <w:tcW w:w="6455" w:type="dxa"/>
          </w:tcPr>
          <w:p w14:paraId="4D4A6E9D" w14:textId="77777777" w:rsidR="0029763D" w:rsidRPr="00802AF9" w:rsidRDefault="0029763D" w:rsidP="003F073E">
            <w:pPr>
              <w:widowControl w:val="0"/>
              <w:jc w:val="left"/>
              <w:rPr>
                <w:sz w:val="20"/>
                <w:szCs w:val="20"/>
                <w:lang w:val="fr-CA"/>
              </w:rPr>
            </w:pPr>
          </w:p>
        </w:tc>
        <w:tc>
          <w:tcPr>
            <w:tcW w:w="1318" w:type="dxa"/>
          </w:tcPr>
          <w:p w14:paraId="3B8266AF" w14:textId="77777777" w:rsidR="0029763D" w:rsidRPr="00802AF9" w:rsidRDefault="0029763D" w:rsidP="003F073E">
            <w:pPr>
              <w:widowControl w:val="0"/>
              <w:jc w:val="center"/>
              <w:rPr>
                <w:sz w:val="20"/>
                <w:szCs w:val="20"/>
                <w:lang w:val="fr-CA"/>
              </w:rPr>
            </w:pPr>
          </w:p>
        </w:tc>
      </w:tr>
      <w:tr w:rsidR="0029763D" w:rsidRPr="00802AF9" w14:paraId="455C07A3" w14:textId="77777777" w:rsidTr="0014063A">
        <w:tc>
          <w:tcPr>
            <w:tcW w:w="835" w:type="dxa"/>
          </w:tcPr>
          <w:p w14:paraId="5E7769AD" w14:textId="77777777" w:rsidR="0029763D" w:rsidRPr="00802AF9" w:rsidRDefault="0029763D" w:rsidP="003F073E">
            <w:pPr>
              <w:widowControl w:val="0"/>
              <w:rPr>
                <w:b/>
                <w:sz w:val="20"/>
                <w:szCs w:val="20"/>
                <w:lang w:val="fr-CA"/>
              </w:rPr>
            </w:pPr>
            <w:r w:rsidRPr="00802AF9">
              <w:rPr>
                <w:b/>
                <w:sz w:val="20"/>
                <w:szCs w:val="20"/>
                <w:lang w:val="fr-CA"/>
              </w:rPr>
              <w:t xml:space="preserve">III </w:t>
            </w:r>
          </w:p>
        </w:tc>
        <w:tc>
          <w:tcPr>
            <w:tcW w:w="6455" w:type="dxa"/>
          </w:tcPr>
          <w:p w14:paraId="261E08C3" w14:textId="22956674" w:rsidR="0029763D" w:rsidRPr="00802AF9" w:rsidRDefault="002A109F" w:rsidP="003F073E">
            <w:pPr>
              <w:widowControl w:val="0"/>
              <w:rPr>
                <w:sz w:val="20"/>
                <w:szCs w:val="20"/>
                <w:lang w:val="fr-CA"/>
              </w:rPr>
            </w:pPr>
            <w:r w:rsidRPr="00802AF9">
              <w:rPr>
                <w:b/>
                <w:sz w:val="20"/>
                <w:szCs w:val="20"/>
                <w:lang w:val="fr-CA"/>
              </w:rPr>
              <w:t>P</w:t>
            </w:r>
            <w:r w:rsidR="00494A38" w:rsidRPr="00802AF9">
              <w:rPr>
                <w:b/>
                <w:sz w:val="20"/>
                <w:szCs w:val="20"/>
                <w:lang w:val="fr-CA"/>
              </w:rPr>
              <w:t>lan</w:t>
            </w:r>
            <w:r w:rsidRPr="00802AF9">
              <w:rPr>
                <w:b/>
                <w:sz w:val="20"/>
                <w:szCs w:val="20"/>
                <w:lang w:val="fr-CA"/>
              </w:rPr>
              <w:t>s</w:t>
            </w:r>
            <w:r w:rsidR="00494A38" w:rsidRPr="00802AF9">
              <w:rPr>
                <w:b/>
                <w:sz w:val="20"/>
                <w:szCs w:val="20"/>
                <w:lang w:val="fr-CA"/>
              </w:rPr>
              <w:t xml:space="preserve"> sectoriel</w:t>
            </w:r>
            <w:r w:rsidR="0029763D" w:rsidRPr="00802AF9">
              <w:rPr>
                <w:b/>
                <w:sz w:val="20"/>
                <w:szCs w:val="20"/>
                <w:lang w:val="fr-CA"/>
              </w:rPr>
              <w:t xml:space="preserve">s </w:t>
            </w:r>
            <w:r w:rsidRPr="00802AF9">
              <w:rPr>
                <w:b/>
                <w:sz w:val="20"/>
                <w:szCs w:val="20"/>
                <w:lang w:val="fr-CA"/>
              </w:rPr>
              <w:t xml:space="preserve">révisés pour la </w:t>
            </w:r>
            <w:r w:rsidR="0014063A" w:rsidRPr="00802AF9">
              <w:rPr>
                <w:b/>
                <w:sz w:val="20"/>
                <w:szCs w:val="20"/>
                <w:lang w:val="fr-CA"/>
              </w:rPr>
              <w:t>phase</w:t>
            </w:r>
            <w:r w:rsidR="0029763D" w:rsidRPr="00802AF9">
              <w:rPr>
                <w:b/>
                <w:sz w:val="20"/>
                <w:szCs w:val="20"/>
                <w:lang w:val="fr-CA"/>
              </w:rPr>
              <w:t xml:space="preserve"> II </w:t>
            </w:r>
            <w:r w:rsidRPr="00802AF9">
              <w:rPr>
                <w:b/>
                <w:sz w:val="20"/>
                <w:szCs w:val="20"/>
                <w:lang w:val="fr-CA"/>
              </w:rPr>
              <w:t>du</w:t>
            </w:r>
            <w:r w:rsidR="0029763D" w:rsidRPr="00802AF9">
              <w:rPr>
                <w:b/>
                <w:sz w:val="20"/>
                <w:szCs w:val="20"/>
                <w:lang w:val="fr-CA"/>
              </w:rPr>
              <w:t xml:space="preserve"> </w:t>
            </w:r>
            <w:r w:rsidR="00494A38" w:rsidRPr="00802AF9">
              <w:rPr>
                <w:b/>
                <w:sz w:val="20"/>
                <w:szCs w:val="20"/>
                <w:lang w:val="fr-CA"/>
              </w:rPr>
              <w:t>PGEH</w:t>
            </w:r>
            <w:r w:rsidR="0029763D" w:rsidRPr="00802AF9">
              <w:rPr>
                <w:b/>
                <w:sz w:val="20"/>
                <w:szCs w:val="20"/>
                <w:lang w:val="fr-CA"/>
              </w:rPr>
              <w:t xml:space="preserve"> </w:t>
            </w:r>
            <w:r w:rsidRPr="00802AF9">
              <w:rPr>
                <w:b/>
                <w:sz w:val="20"/>
                <w:szCs w:val="20"/>
                <w:lang w:val="fr-CA"/>
              </w:rPr>
              <w:t>de la</w:t>
            </w:r>
            <w:r w:rsidR="0029763D" w:rsidRPr="00802AF9">
              <w:rPr>
                <w:b/>
                <w:sz w:val="20"/>
                <w:szCs w:val="20"/>
                <w:lang w:val="fr-CA"/>
              </w:rPr>
              <w:t xml:space="preserve"> </w:t>
            </w:r>
            <w:r w:rsidR="00494A38" w:rsidRPr="00802AF9">
              <w:rPr>
                <w:b/>
                <w:sz w:val="20"/>
                <w:szCs w:val="20"/>
                <w:lang w:val="fr-CA"/>
              </w:rPr>
              <w:t>Chine</w:t>
            </w:r>
            <w:r w:rsidR="0029763D" w:rsidRPr="00802AF9">
              <w:rPr>
                <w:b/>
                <w:sz w:val="20"/>
                <w:szCs w:val="20"/>
                <w:lang w:val="fr-CA"/>
              </w:rPr>
              <w:t xml:space="preserve"> </w:t>
            </w:r>
          </w:p>
        </w:tc>
        <w:tc>
          <w:tcPr>
            <w:tcW w:w="1318" w:type="dxa"/>
          </w:tcPr>
          <w:p w14:paraId="6942DE6E" w14:textId="77777777" w:rsidR="0029763D" w:rsidRPr="00802AF9" w:rsidRDefault="0029763D" w:rsidP="003F073E">
            <w:pPr>
              <w:widowControl w:val="0"/>
              <w:jc w:val="center"/>
              <w:rPr>
                <w:sz w:val="20"/>
                <w:szCs w:val="20"/>
                <w:lang w:val="fr-CA"/>
              </w:rPr>
            </w:pPr>
            <w:r w:rsidRPr="00802AF9">
              <w:rPr>
                <w:sz w:val="20"/>
                <w:szCs w:val="20"/>
                <w:lang w:val="fr-CA"/>
              </w:rPr>
              <w:t>52 – 250</w:t>
            </w:r>
          </w:p>
        </w:tc>
      </w:tr>
      <w:tr w:rsidR="0029763D" w:rsidRPr="00802AF9" w14:paraId="7224283B" w14:textId="77777777" w:rsidTr="0014063A">
        <w:tc>
          <w:tcPr>
            <w:tcW w:w="835" w:type="dxa"/>
          </w:tcPr>
          <w:p w14:paraId="769DE4B5" w14:textId="77777777" w:rsidR="0029763D" w:rsidRPr="00802AF9" w:rsidRDefault="0029763D" w:rsidP="003F073E">
            <w:pPr>
              <w:widowControl w:val="0"/>
              <w:rPr>
                <w:sz w:val="20"/>
                <w:szCs w:val="20"/>
                <w:lang w:val="fr-CA"/>
              </w:rPr>
            </w:pPr>
          </w:p>
        </w:tc>
        <w:tc>
          <w:tcPr>
            <w:tcW w:w="6455" w:type="dxa"/>
          </w:tcPr>
          <w:p w14:paraId="225BF48F" w14:textId="694685A1" w:rsidR="0029763D" w:rsidRPr="00802AF9" w:rsidRDefault="00802AF9" w:rsidP="003F073E">
            <w:pPr>
              <w:widowControl w:val="0"/>
              <w:jc w:val="left"/>
              <w:rPr>
                <w:sz w:val="20"/>
                <w:szCs w:val="20"/>
                <w:u w:val="single"/>
                <w:lang w:val="fr-CA"/>
              </w:rPr>
            </w:pPr>
            <w:r w:rsidRPr="00802AF9">
              <w:rPr>
                <w:sz w:val="20"/>
                <w:szCs w:val="20"/>
                <w:u w:val="single"/>
                <w:lang w:val="fr-CA"/>
              </w:rPr>
              <w:t xml:space="preserve">Plan sectoriel élargi révisé de la réfrigération industrielle et commerciale </w:t>
            </w:r>
            <w:r w:rsidR="0029763D" w:rsidRPr="00802AF9">
              <w:rPr>
                <w:sz w:val="20"/>
                <w:szCs w:val="20"/>
                <w:u w:val="single"/>
                <w:lang w:val="fr-CA"/>
              </w:rPr>
              <w:t>(</w:t>
            </w:r>
            <w:r w:rsidR="0014063A" w:rsidRPr="00802AF9">
              <w:rPr>
                <w:sz w:val="20"/>
                <w:szCs w:val="20"/>
                <w:u w:val="single"/>
                <w:lang w:val="fr-CA"/>
              </w:rPr>
              <w:t>PNUD</w:t>
            </w:r>
            <w:r w:rsidR="0029763D" w:rsidRPr="00802AF9">
              <w:rPr>
                <w:sz w:val="20"/>
                <w:szCs w:val="20"/>
                <w:u w:val="single"/>
                <w:lang w:val="fr-CA"/>
              </w:rPr>
              <w:t>)</w:t>
            </w:r>
          </w:p>
        </w:tc>
        <w:tc>
          <w:tcPr>
            <w:tcW w:w="1318" w:type="dxa"/>
          </w:tcPr>
          <w:p w14:paraId="3CC1CEB7" w14:textId="77777777" w:rsidR="0029763D" w:rsidRPr="00802AF9" w:rsidRDefault="0029763D" w:rsidP="003F073E">
            <w:pPr>
              <w:widowControl w:val="0"/>
              <w:jc w:val="center"/>
              <w:rPr>
                <w:sz w:val="20"/>
                <w:szCs w:val="20"/>
                <w:lang w:val="fr-CA"/>
              </w:rPr>
            </w:pPr>
            <w:r w:rsidRPr="00802AF9">
              <w:rPr>
                <w:sz w:val="20"/>
                <w:szCs w:val="20"/>
                <w:lang w:val="fr-CA"/>
              </w:rPr>
              <w:t>54 – 100</w:t>
            </w:r>
          </w:p>
        </w:tc>
      </w:tr>
      <w:tr w:rsidR="0029763D" w:rsidRPr="00802AF9" w14:paraId="46A37913" w14:textId="77777777" w:rsidTr="0014063A">
        <w:tc>
          <w:tcPr>
            <w:tcW w:w="835" w:type="dxa"/>
          </w:tcPr>
          <w:p w14:paraId="702852E5" w14:textId="77777777" w:rsidR="0029763D" w:rsidRPr="00802AF9" w:rsidRDefault="0029763D" w:rsidP="003F073E">
            <w:pPr>
              <w:widowControl w:val="0"/>
              <w:rPr>
                <w:sz w:val="20"/>
                <w:szCs w:val="20"/>
                <w:lang w:val="fr-CA"/>
              </w:rPr>
            </w:pPr>
          </w:p>
        </w:tc>
        <w:tc>
          <w:tcPr>
            <w:tcW w:w="6455" w:type="dxa"/>
          </w:tcPr>
          <w:p w14:paraId="560117F2" w14:textId="567249D3" w:rsidR="0029763D" w:rsidRPr="00802AF9" w:rsidRDefault="00802AF9" w:rsidP="003F073E">
            <w:pPr>
              <w:widowControl w:val="0"/>
              <w:jc w:val="left"/>
              <w:rPr>
                <w:sz w:val="20"/>
                <w:szCs w:val="20"/>
                <w:lang w:val="fr-CA"/>
              </w:rPr>
            </w:pPr>
            <w:r w:rsidRPr="00802AF9">
              <w:rPr>
                <w:sz w:val="20"/>
                <w:szCs w:val="20"/>
                <w:lang w:val="fr-CA"/>
              </w:rPr>
              <w:t>D</w:t>
            </w:r>
            <w:r w:rsidR="0029763D" w:rsidRPr="00802AF9">
              <w:rPr>
                <w:sz w:val="20"/>
                <w:szCs w:val="20"/>
                <w:lang w:val="fr-CA"/>
              </w:rPr>
              <w:t>escription</w:t>
            </w:r>
            <w:r w:rsidRPr="00802AF9">
              <w:rPr>
                <w:sz w:val="20"/>
                <w:szCs w:val="20"/>
                <w:lang w:val="fr-CA"/>
              </w:rPr>
              <w:t xml:space="preserve"> du plan sectoriel</w:t>
            </w:r>
          </w:p>
        </w:tc>
        <w:tc>
          <w:tcPr>
            <w:tcW w:w="1318" w:type="dxa"/>
          </w:tcPr>
          <w:p w14:paraId="03008964" w14:textId="77777777" w:rsidR="0029763D" w:rsidRPr="00802AF9" w:rsidRDefault="0029763D" w:rsidP="003F073E">
            <w:pPr>
              <w:widowControl w:val="0"/>
              <w:jc w:val="center"/>
              <w:rPr>
                <w:sz w:val="20"/>
                <w:szCs w:val="20"/>
                <w:lang w:val="fr-CA"/>
              </w:rPr>
            </w:pPr>
            <w:r w:rsidRPr="00802AF9">
              <w:rPr>
                <w:sz w:val="20"/>
                <w:szCs w:val="20"/>
                <w:lang w:val="fr-CA"/>
              </w:rPr>
              <w:t>54 – 87</w:t>
            </w:r>
          </w:p>
        </w:tc>
      </w:tr>
      <w:tr w:rsidR="0029763D" w:rsidRPr="00802AF9" w14:paraId="18C67D59" w14:textId="77777777" w:rsidTr="0014063A">
        <w:tc>
          <w:tcPr>
            <w:tcW w:w="835" w:type="dxa"/>
          </w:tcPr>
          <w:p w14:paraId="0868AD24" w14:textId="77777777" w:rsidR="0029763D" w:rsidRPr="00802AF9" w:rsidRDefault="0029763D" w:rsidP="003F073E">
            <w:pPr>
              <w:widowControl w:val="0"/>
              <w:rPr>
                <w:sz w:val="20"/>
                <w:szCs w:val="20"/>
                <w:lang w:val="fr-CA"/>
              </w:rPr>
            </w:pPr>
          </w:p>
        </w:tc>
        <w:tc>
          <w:tcPr>
            <w:tcW w:w="6455" w:type="dxa"/>
          </w:tcPr>
          <w:p w14:paraId="32C70363" w14:textId="23ADF999"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17D9C77B" w14:textId="77777777" w:rsidR="0029763D" w:rsidRPr="00802AF9" w:rsidRDefault="0029763D" w:rsidP="003F073E">
            <w:pPr>
              <w:widowControl w:val="0"/>
              <w:jc w:val="center"/>
              <w:rPr>
                <w:sz w:val="20"/>
                <w:szCs w:val="20"/>
                <w:lang w:val="fr-CA"/>
              </w:rPr>
            </w:pPr>
            <w:r w:rsidRPr="00802AF9">
              <w:rPr>
                <w:sz w:val="20"/>
                <w:szCs w:val="20"/>
                <w:lang w:val="fr-CA"/>
              </w:rPr>
              <w:t>88 - 99</w:t>
            </w:r>
          </w:p>
        </w:tc>
      </w:tr>
      <w:tr w:rsidR="0029763D" w:rsidRPr="00802AF9" w14:paraId="5994A3DF" w14:textId="77777777" w:rsidTr="0014063A">
        <w:tc>
          <w:tcPr>
            <w:tcW w:w="835" w:type="dxa"/>
          </w:tcPr>
          <w:p w14:paraId="11C373A3" w14:textId="77777777" w:rsidR="0029763D" w:rsidRPr="00802AF9" w:rsidRDefault="0029763D" w:rsidP="003F073E">
            <w:pPr>
              <w:widowControl w:val="0"/>
              <w:rPr>
                <w:sz w:val="20"/>
                <w:szCs w:val="20"/>
                <w:lang w:val="fr-CA"/>
              </w:rPr>
            </w:pPr>
          </w:p>
        </w:tc>
        <w:tc>
          <w:tcPr>
            <w:tcW w:w="6455" w:type="dxa"/>
          </w:tcPr>
          <w:p w14:paraId="1237DF74" w14:textId="348ED6D2"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04841134" w14:textId="77777777" w:rsidR="0029763D" w:rsidRPr="00802AF9" w:rsidRDefault="0029763D" w:rsidP="003F073E">
            <w:pPr>
              <w:widowControl w:val="0"/>
              <w:jc w:val="center"/>
              <w:rPr>
                <w:sz w:val="20"/>
                <w:szCs w:val="20"/>
                <w:lang w:val="fr-CA"/>
              </w:rPr>
            </w:pPr>
            <w:r w:rsidRPr="00802AF9">
              <w:rPr>
                <w:sz w:val="20"/>
                <w:szCs w:val="20"/>
                <w:lang w:val="fr-CA"/>
              </w:rPr>
              <w:t>100</w:t>
            </w:r>
          </w:p>
        </w:tc>
      </w:tr>
      <w:tr w:rsidR="0029763D" w:rsidRPr="00802AF9" w14:paraId="6792E78A" w14:textId="77777777" w:rsidTr="0014063A">
        <w:tc>
          <w:tcPr>
            <w:tcW w:w="835" w:type="dxa"/>
          </w:tcPr>
          <w:p w14:paraId="365F93C1" w14:textId="77777777" w:rsidR="0029763D" w:rsidRPr="00802AF9" w:rsidRDefault="0029763D" w:rsidP="003F073E">
            <w:pPr>
              <w:widowControl w:val="0"/>
              <w:rPr>
                <w:sz w:val="20"/>
                <w:szCs w:val="20"/>
                <w:lang w:val="fr-CA"/>
              </w:rPr>
            </w:pPr>
          </w:p>
        </w:tc>
        <w:tc>
          <w:tcPr>
            <w:tcW w:w="6455" w:type="dxa"/>
          </w:tcPr>
          <w:p w14:paraId="0BB4229E" w14:textId="62FA62D8" w:rsidR="0029763D" w:rsidRPr="00802AF9" w:rsidRDefault="00802AF9" w:rsidP="003F073E">
            <w:pPr>
              <w:widowControl w:val="0"/>
              <w:jc w:val="left"/>
              <w:rPr>
                <w:sz w:val="20"/>
                <w:szCs w:val="20"/>
                <w:u w:val="single"/>
                <w:lang w:val="fr-CA"/>
              </w:rPr>
            </w:pPr>
            <w:r w:rsidRPr="00802AF9">
              <w:rPr>
                <w:sz w:val="20"/>
                <w:szCs w:val="20"/>
                <w:u w:val="single"/>
                <w:lang w:val="fr-CA"/>
              </w:rPr>
              <w:t>Plan sectoriel élargi révisé de de la fabrication de climatiseurs individuels et de pompes thermiques</w:t>
            </w:r>
            <w:r w:rsidR="0029763D" w:rsidRPr="00802AF9">
              <w:rPr>
                <w:sz w:val="20"/>
                <w:szCs w:val="20"/>
                <w:u w:val="single"/>
                <w:lang w:val="fr-CA"/>
              </w:rPr>
              <w:t xml:space="preserve"> (</w:t>
            </w:r>
            <w:r w:rsidR="0014063A" w:rsidRPr="00802AF9">
              <w:rPr>
                <w:sz w:val="20"/>
                <w:szCs w:val="20"/>
                <w:u w:val="single"/>
                <w:lang w:val="fr-CA"/>
              </w:rPr>
              <w:t>ONUDI</w:t>
            </w:r>
            <w:r w:rsidR="0029763D" w:rsidRPr="00802AF9">
              <w:rPr>
                <w:sz w:val="20"/>
                <w:szCs w:val="20"/>
                <w:u w:val="single"/>
                <w:lang w:val="fr-CA"/>
              </w:rPr>
              <w:t xml:space="preserve">, </w:t>
            </w:r>
            <w:r w:rsidR="00494A38" w:rsidRPr="00802AF9">
              <w:rPr>
                <w:sz w:val="20"/>
                <w:szCs w:val="20"/>
                <w:u w:val="single"/>
                <w:lang w:val="fr-CA"/>
              </w:rPr>
              <w:t>Autriche</w:t>
            </w:r>
            <w:r w:rsidR="0029763D" w:rsidRPr="00802AF9">
              <w:rPr>
                <w:sz w:val="20"/>
                <w:szCs w:val="20"/>
                <w:u w:val="single"/>
                <w:lang w:val="fr-CA"/>
              </w:rPr>
              <w:t xml:space="preserve">, </w:t>
            </w:r>
            <w:r w:rsidR="00494A38" w:rsidRPr="00802AF9">
              <w:rPr>
                <w:sz w:val="20"/>
                <w:szCs w:val="20"/>
                <w:u w:val="single"/>
                <w:lang w:val="fr-CA"/>
              </w:rPr>
              <w:t>Italie</w:t>
            </w:r>
            <w:r w:rsidR="0029763D" w:rsidRPr="00802AF9">
              <w:rPr>
                <w:sz w:val="20"/>
                <w:szCs w:val="20"/>
                <w:u w:val="single"/>
                <w:lang w:val="fr-CA"/>
              </w:rPr>
              <w:t>)</w:t>
            </w:r>
          </w:p>
        </w:tc>
        <w:tc>
          <w:tcPr>
            <w:tcW w:w="1318" w:type="dxa"/>
          </w:tcPr>
          <w:p w14:paraId="18A0B02A" w14:textId="77777777" w:rsidR="0029763D" w:rsidRPr="00802AF9" w:rsidRDefault="0029763D" w:rsidP="003F073E">
            <w:pPr>
              <w:widowControl w:val="0"/>
              <w:jc w:val="center"/>
              <w:rPr>
                <w:sz w:val="20"/>
                <w:szCs w:val="20"/>
                <w:lang w:val="fr-CA"/>
              </w:rPr>
            </w:pPr>
            <w:r w:rsidRPr="00802AF9">
              <w:rPr>
                <w:sz w:val="20"/>
                <w:szCs w:val="20"/>
                <w:lang w:val="fr-CA"/>
              </w:rPr>
              <w:t>101 – 138</w:t>
            </w:r>
          </w:p>
        </w:tc>
      </w:tr>
      <w:tr w:rsidR="0029763D" w:rsidRPr="00802AF9" w14:paraId="268616C3" w14:textId="77777777" w:rsidTr="0014063A">
        <w:tc>
          <w:tcPr>
            <w:tcW w:w="835" w:type="dxa"/>
          </w:tcPr>
          <w:p w14:paraId="09C98063" w14:textId="77777777" w:rsidR="0029763D" w:rsidRPr="00802AF9" w:rsidRDefault="0029763D" w:rsidP="003F073E">
            <w:pPr>
              <w:widowControl w:val="0"/>
              <w:rPr>
                <w:sz w:val="20"/>
                <w:szCs w:val="20"/>
                <w:lang w:val="fr-CA"/>
              </w:rPr>
            </w:pPr>
          </w:p>
        </w:tc>
        <w:tc>
          <w:tcPr>
            <w:tcW w:w="6455" w:type="dxa"/>
          </w:tcPr>
          <w:p w14:paraId="124F14FC" w14:textId="645FCECD" w:rsidR="0029763D" w:rsidRPr="00802AF9" w:rsidRDefault="00802AF9" w:rsidP="003F073E">
            <w:pPr>
              <w:widowControl w:val="0"/>
              <w:jc w:val="left"/>
              <w:rPr>
                <w:sz w:val="20"/>
                <w:szCs w:val="20"/>
                <w:lang w:val="fr-CA"/>
              </w:rPr>
            </w:pPr>
            <w:r w:rsidRPr="00802AF9">
              <w:rPr>
                <w:sz w:val="20"/>
                <w:szCs w:val="20"/>
                <w:lang w:val="fr-CA"/>
              </w:rPr>
              <w:t>Description du plan sectoriel</w:t>
            </w:r>
          </w:p>
        </w:tc>
        <w:tc>
          <w:tcPr>
            <w:tcW w:w="1318" w:type="dxa"/>
          </w:tcPr>
          <w:p w14:paraId="7EE4B1CE" w14:textId="77777777" w:rsidR="0029763D" w:rsidRPr="00802AF9" w:rsidRDefault="0029763D" w:rsidP="003F073E">
            <w:pPr>
              <w:widowControl w:val="0"/>
              <w:jc w:val="center"/>
              <w:rPr>
                <w:sz w:val="20"/>
                <w:szCs w:val="20"/>
                <w:lang w:val="fr-CA"/>
              </w:rPr>
            </w:pPr>
            <w:r w:rsidRPr="00802AF9">
              <w:rPr>
                <w:sz w:val="20"/>
                <w:szCs w:val="20"/>
                <w:lang w:val="fr-CA"/>
              </w:rPr>
              <w:t>101 – 120</w:t>
            </w:r>
          </w:p>
        </w:tc>
      </w:tr>
      <w:tr w:rsidR="0029763D" w:rsidRPr="00802AF9" w14:paraId="2EB3B7BC" w14:textId="77777777" w:rsidTr="0014063A">
        <w:tc>
          <w:tcPr>
            <w:tcW w:w="835" w:type="dxa"/>
          </w:tcPr>
          <w:p w14:paraId="0123F21D" w14:textId="77777777" w:rsidR="0029763D" w:rsidRPr="00802AF9" w:rsidRDefault="0029763D" w:rsidP="003F073E">
            <w:pPr>
              <w:widowControl w:val="0"/>
              <w:rPr>
                <w:sz w:val="20"/>
                <w:szCs w:val="20"/>
                <w:lang w:val="fr-CA"/>
              </w:rPr>
            </w:pPr>
          </w:p>
        </w:tc>
        <w:tc>
          <w:tcPr>
            <w:tcW w:w="6455" w:type="dxa"/>
          </w:tcPr>
          <w:p w14:paraId="5B0BE9A5" w14:textId="7F3C8D9F"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730F5819" w14:textId="77777777" w:rsidR="0029763D" w:rsidRPr="00802AF9" w:rsidRDefault="0029763D" w:rsidP="003F073E">
            <w:pPr>
              <w:widowControl w:val="0"/>
              <w:jc w:val="center"/>
              <w:rPr>
                <w:sz w:val="20"/>
                <w:szCs w:val="20"/>
                <w:lang w:val="fr-CA"/>
              </w:rPr>
            </w:pPr>
            <w:r w:rsidRPr="00802AF9">
              <w:rPr>
                <w:sz w:val="20"/>
                <w:szCs w:val="20"/>
                <w:lang w:val="fr-CA"/>
              </w:rPr>
              <w:t>121 - 137</w:t>
            </w:r>
          </w:p>
        </w:tc>
      </w:tr>
      <w:tr w:rsidR="0029763D" w:rsidRPr="00802AF9" w14:paraId="207CACCA" w14:textId="77777777" w:rsidTr="0014063A">
        <w:tc>
          <w:tcPr>
            <w:tcW w:w="835" w:type="dxa"/>
          </w:tcPr>
          <w:p w14:paraId="3F9C7C7E" w14:textId="77777777" w:rsidR="0029763D" w:rsidRPr="00802AF9" w:rsidRDefault="0029763D" w:rsidP="003F073E">
            <w:pPr>
              <w:widowControl w:val="0"/>
              <w:rPr>
                <w:sz w:val="20"/>
                <w:szCs w:val="20"/>
                <w:lang w:val="fr-CA"/>
              </w:rPr>
            </w:pPr>
          </w:p>
        </w:tc>
        <w:tc>
          <w:tcPr>
            <w:tcW w:w="6455" w:type="dxa"/>
          </w:tcPr>
          <w:p w14:paraId="7160B567" w14:textId="6E39CDA7"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261C2323" w14:textId="77777777" w:rsidR="0029763D" w:rsidRPr="00802AF9" w:rsidRDefault="0029763D" w:rsidP="003F073E">
            <w:pPr>
              <w:widowControl w:val="0"/>
              <w:jc w:val="center"/>
              <w:rPr>
                <w:sz w:val="20"/>
                <w:szCs w:val="20"/>
                <w:lang w:val="fr-CA"/>
              </w:rPr>
            </w:pPr>
            <w:r w:rsidRPr="00802AF9">
              <w:rPr>
                <w:sz w:val="20"/>
                <w:szCs w:val="20"/>
                <w:lang w:val="fr-CA"/>
              </w:rPr>
              <w:t>138</w:t>
            </w:r>
          </w:p>
        </w:tc>
      </w:tr>
      <w:tr w:rsidR="0029763D" w:rsidRPr="00802AF9" w14:paraId="62F58869" w14:textId="77777777" w:rsidTr="0014063A">
        <w:tc>
          <w:tcPr>
            <w:tcW w:w="835" w:type="dxa"/>
          </w:tcPr>
          <w:p w14:paraId="69FD8843" w14:textId="77777777" w:rsidR="0029763D" w:rsidRPr="00802AF9" w:rsidRDefault="0029763D" w:rsidP="003F073E">
            <w:pPr>
              <w:widowControl w:val="0"/>
              <w:rPr>
                <w:sz w:val="20"/>
                <w:szCs w:val="20"/>
                <w:lang w:val="fr-CA"/>
              </w:rPr>
            </w:pPr>
          </w:p>
        </w:tc>
        <w:tc>
          <w:tcPr>
            <w:tcW w:w="6455" w:type="dxa"/>
          </w:tcPr>
          <w:p w14:paraId="3E616C19" w14:textId="19828471" w:rsidR="0029763D" w:rsidRPr="00802AF9" w:rsidRDefault="00802AF9" w:rsidP="003F073E">
            <w:pPr>
              <w:widowControl w:val="0"/>
              <w:jc w:val="left"/>
              <w:rPr>
                <w:sz w:val="20"/>
                <w:szCs w:val="20"/>
                <w:u w:val="single"/>
                <w:lang w:val="fr-CA"/>
              </w:rPr>
            </w:pPr>
            <w:r>
              <w:rPr>
                <w:sz w:val="20"/>
                <w:szCs w:val="20"/>
                <w:u w:val="single"/>
                <w:lang w:val="fr-CA"/>
              </w:rPr>
              <w:t xml:space="preserve">Plan sectoriel élargi révisé de l’entretien en réfrigération et programme de facilitation </w:t>
            </w:r>
            <w:r w:rsidR="0029763D" w:rsidRPr="00802AF9">
              <w:rPr>
                <w:sz w:val="20"/>
                <w:szCs w:val="20"/>
                <w:u w:val="single"/>
                <w:lang w:val="fr-CA"/>
              </w:rPr>
              <w:t>(</w:t>
            </w:r>
            <w:r w:rsidR="0014063A" w:rsidRPr="00802AF9">
              <w:rPr>
                <w:sz w:val="20"/>
                <w:szCs w:val="20"/>
                <w:u w:val="single"/>
                <w:lang w:val="fr-CA"/>
              </w:rPr>
              <w:t>PNUE</w:t>
            </w:r>
            <w:r w:rsidR="0029763D" w:rsidRPr="00802AF9">
              <w:rPr>
                <w:sz w:val="20"/>
                <w:szCs w:val="20"/>
                <w:u w:val="single"/>
                <w:lang w:val="fr-CA"/>
              </w:rPr>
              <w:t xml:space="preserve">, </w:t>
            </w:r>
            <w:r w:rsidR="00494A38" w:rsidRPr="00802AF9">
              <w:rPr>
                <w:sz w:val="20"/>
                <w:szCs w:val="20"/>
                <w:u w:val="single"/>
                <w:lang w:val="fr-CA"/>
              </w:rPr>
              <w:t>Allemagne</w:t>
            </w:r>
            <w:r w:rsidR="0029763D" w:rsidRPr="00802AF9">
              <w:rPr>
                <w:sz w:val="20"/>
                <w:szCs w:val="20"/>
                <w:u w:val="single"/>
                <w:lang w:val="fr-CA"/>
              </w:rPr>
              <w:t xml:space="preserve">, </w:t>
            </w:r>
            <w:r w:rsidR="00494A38" w:rsidRPr="00802AF9">
              <w:rPr>
                <w:sz w:val="20"/>
                <w:szCs w:val="20"/>
                <w:u w:val="single"/>
                <w:lang w:val="fr-CA"/>
              </w:rPr>
              <w:t>Japon</w:t>
            </w:r>
            <w:r w:rsidR="0029763D" w:rsidRPr="00802AF9">
              <w:rPr>
                <w:sz w:val="20"/>
                <w:szCs w:val="20"/>
                <w:u w:val="single"/>
                <w:lang w:val="fr-CA"/>
              </w:rPr>
              <w:t>)</w:t>
            </w:r>
          </w:p>
        </w:tc>
        <w:tc>
          <w:tcPr>
            <w:tcW w:w="1318" w:type="dxa"/>
          </w:tcPr>
          <w:p w14:paraId="3A7CDB4A" w14:textId="77777777" w:rsidR="0029763D" w:rsidRPr="00802AF9" w:rsidRDefault="0029763D" w:rsidP="003F073E">
            <w:pPr>
              <w:widowControl w:val="0"/>
              <w:jc w:val="center"/>
              <w:rPr>
                <w:sz w:val="20"/>
                <w:szCs w:val="20"/>
                <w:lang w:val="fr-CA"/>
              </w:rPr>
            </w:pPr>
            <w:r w:rsidRPr="00802AF9">
              <w:rPr>
                <w:sz w:val="20"/>
                <w:szCs w:val="20"/>
                <w:lang w:val="fr-CA"/>
              </w:rPr>
              <w:t xml:space="preserve">139 - 157 </w:t>
            </w:r>
          </w:p>
        </w:tc>
      </w:tr>
      <w:tr w:rsidR="0029763D" w:rsidRPr="00802AF9" w14:paraId="5DA6A609" w14:textId="77777777" w:rsidTr="0014063A">
        <w:tc>
          <w:tcPr>
            <w:tcW w:w="835" w:type="dxa"/>
          </w:tcPr>
          <w:p w14:paraId="007F1EE2" w14:textId="77777777" w:rsidR="0029763D" w:rsidRPr="00802AF9" w:rsidRDefault="0029763D" w:rsidP="003F073E">
            <w:pPr>
              <w:widowControl w:val="0"/>
              <w:rPr>
                <w:sz w:val="20"/>
                <w:szCs w:val="20"/>
                <w:lang w:val="fr-CA"/>
              </w:rPr>
            </w:pPr>
          </w:p>
        </w:tc>
        <w:tc>
          <w:tcPr>
            <w:tcW w:w="6455" w:type="dxa"/>
          </w:tcPr>
          <w:p w14:paraId="27D06572" w14:textId="3EF60114" w:rsidR="0029763D" w:rsidRPr="00802AF9" w:rsidRDefault="00802AF9" w:rsidP="003F073E">
            <w:pPr>
              <w:widowControl w:val="0"/>
              <w:jc w:val="left"/>
              <w:rPr>
                <w:sz w:val="20"/>
                <w:szCs w:val="20"/>
                <w:lang w:val="fr-CA"/>
              </w:rPr>
            </w:pPr>
            <w:r w:rsidRPr="00802AF9">
              <w:rPr>
                <w:sz w:val="20"/>
                <w:szCs w:val="20"/>
                <w:lang w:val="fr-CA"/>
              </w:rPr>
              <w:t>Description du plan sectoriel</w:t>
            </w:r>
          </w:p>
        </w:tc>
        <w:tc>
          <w:tcPr>
            <w:tcW w:w="1318" w:type="dxa"/>
          </w:tcPr>
          <w:p w14:paraId="00D099BD" w14:textId="77777777" w:rsidR="0029763D" w:rsidRPr="00802AF9" w:rsidRDefault="0029763D" w:rsidP="003F073E">
            <w:pPr>
              <w:widowControl w:val="0"/>
              <w:jc w:val="center"/>
              <w:rPr>
                <w:sz w:val="20"/>
                <w:szCs w:val="20"/>
                <w:lang w:val="fr-CA"/>
              </w:rPr>
            </w:pPr>
            <w:r w:rsidRPr="00802AF9">
              <w:rPr>
                <w:sz w:val="20"/>
                <w:szCs w:val="20"/>
                <w:lang w:val="fr-CA"/>
              </w:rPr>
              <w:t>139 - 152</w:t>
            </w:r>
          </w:p>
        </w:tc>
      </w:tr>
      <w:tr w:rsidR="0029763D" w:rsidRPr="00802AF9" w14:paraId="3F46F1C1" w14:textId="77777777" w:rsidTr="0014063A">
        <w:tc>
          <w:tcPr>
            <w:tcW w:w="835" w:type="dxa"/>
          </w:tcPr>
          <w:p w14:paraId="5D3C9C92" w14:textId="77777777" w:rsidR="0029763D" w:rsidRPr="00802AF9" w:rsidRDefault="0029763D" w:rsidP="003F073E">
            <w:pPr>
              <w:widowControl w:val="0"/>
              <w:rPr>
                <w:sz w:val="20"/>
                <w:szCs w:val="20"/>
                <w:lang w:val="fr-CA"/>
              </w:rPr>
            </w:pPr>
          </w:p>
        </w:tc>
        <w:tc>
          <w:tcPr>
            <w:tcW w:w="6455" w:type="dxa"/>
          </w:tcPr>
          <w:p w14:paraId="794F6CF2" w14:textId="3D7C8669"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77136CEF" w14:textId="77777777" w:rsidR="0029763D" w:rsidRPr="00802AF9" w:rsidRDefault="0029763D" w:rsidP="003F073E">
            <w:pPr>
              <w:widowControl w:val="0"/>
              <w:jc w:val="center"/>
              <w:rPr>
                <w:sz w:val="20"/>
                <w:szCs w:val="20"/>
                <w:lang w:val="fr-CA"/>
              </w:rPr>
            </w:pPr>
            <w:r w:rsidRPr="00802AF9">
              <w:rPr>
                <w:sz w:val="20"/>
                <w:szCs w:val="20"/>
                <w:lang w:val="fr-CA"/>
              </w:rPr>
              <w:t>153 – 156</w:t>
            </w:r>
          </w:p>
        </w:tc>
      </w:tr>
      <w:tr w:rsidR="0029763D" w:rsidRPr="00802AF9" w14:paraId="428DD84D" w14:textId="77777777" w:rsidTr="0014063A">
        <w:tc>
          <w:tcPr>
            <w:tcW w:w="835" w:type="dxa"/>
          </w:tcPr>
          <w:p w14:paraId="1FB5465E" w14:textId="77777777" w:rsidR="0029763D" w:rsidRPr="00802AF9" w:rsidRDefault="0029763D" w:rsidP="003F073E">
            <w:pPr>
              <w:widowControl w:val="0"/>
              <w:rPr>
                <w:sz w:val="20"/>
                <w:szCs w:val="20"/>
                <w:lang w:val="fr-CA"/>
              </w:rPr>
            </w:pPr>
          </w:p>
        </w:tc>
        <w:tc>
          <w:tcPr>
            <w:tcW w:w="6455" w:type="dxa"/>
          </w:tcPr>
          <w:p w14:paraId="0859420B" w14:textId="45335B7D"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634754D2" w14:textId="77777777" w:rsidR="0029763D" w:rsidRPr="00802AF9" w:rsidRDefault="0029763D" w:rsidP="003F073E">
            <w:pPr>
              <w:widowControl w:val="0"/>
              <w:jc w:val="center"/>
              <w:rPr>
                <w:sz w:val="20"/>
                <w:szCs w:val="20"/>
                <w:lang w:val="fr-CA"/>
              </w:rPr>
            </w:pPr>
            <w:r w:rsidRPr="00802AF9">
              <w:rPr>
                <w:sz w:val="20"/>
                <w:szCs w:val="20"/>
                <w:lang w:val="fr-CA"/>
              </w:rPr>
              <w:t>157</w:t>
            </w:r>
          </w:p>
        </w:tc>
      </w:tr>
      <w:tr w:rsidR="0029763D" w:rsidRPr="00802AF9" w14:paraId="341FCC57" w14:textId="77777777" w:rsidTr="0014063A">
        <w:tc>
          <w:tcPr>
            <w:tcW w:w="835" w:type="dxa"/>
          </w:tcPr>
          <w:p w14:paraId="56AFDDE9" w14:textId="77777777" w:rsidR="0029763D" w:rsidRPr="00802AF9" w:rsidRDefault="0029763D" w:rsidP="003F073E">
            <w:pPr>
              <w:widowControl w:val="0"/>
              <w:rPr>
                <w:sz w:val="20"/>
                <w:szCs w:val="20"/>
                <w:lang w:val="fr-CA"/>
              </w:rPr>
            </w:pPr>
          </w:p>
        </w:tc>
        <w:tc>
          <w:tcPr>
            <w:tcW w:w="6455" w:type="dxa"/>
          </w:tcPr>
          <w:p w14:paraId="33E1089D" w14:textId="4782CFBE" w:rsidR="0029763D" w:rsidRPr="00802AF9" w:rsidRDefault="00802AF9" w:rsidP="003F073E">
            <w:pPr>
              <w:widowControl w:val="0"/>
              <w:jc w:val="left"/>
              <w:rPr>
                <w:sz w:val="20"/>
                <w:szCs w:val="20"/>
                <w:u w:val="single"/>
                <w:lang w:val="fr-CA"/>
              </w:rPr>
            </w:pPr>
            <w:r w:rsidRPr="00802AF9">
              <w:rPr>
                <w:sz w:val="20"/>
                <w:szCs w:val="20"/>
                <w:u w:val="single"/>
                <w:lang w:val="fr-CA"/>
              </w:rPr>
              <w:t>Plan sectoriel élargi révisé de</w:t>
            </w:r>
            <w:r>
              <w:rPr>
                <w:sz w:val="20"/>
                <w:szCs w:val="20"/>
                <w:u w:val="single"/>
                <w:lang w:val="fr-CA"/>
              </w:rPr>
              <w:t xml:space="preserve"> </w:t>
            </w:r>
            <w:r w:rsidR="00B6667F">
              <w:rPr>
                <w:sz w:val="20"/>
                <w:szCs w:val="20"/>
                <w:u w:val="single"/>
                <w:lang w:val="fr-CA"/>
              </w:rPr>
              <w:t>mousses</w:t>
            </w:r>
            <w:r>
              <w:rPr>
                <w:sz w:val="20"/>
                <w:szCs w:val="20"/>
                <w:u w:val="single"/>
                <w:lang w:val="fr-CA"/>
              </w:rPr>
              <w:t xml:space="preserve"> de polystyrène extrudé </w:t>
            </w:r>
            <w:r w:rsidR="0029763D" w:rsidRPr="00802AF9">
              <w:rPr>
                <w:sz w:val="20"/>
                <w:szCs w:val="20"/>
                <w:u w:val="single"/>
                <w:lang w:val="fr-CA"/>
              </w:rPr>
              <w:t>(XPS) (</w:t>
            </w:r>
            <w:r w:rsidR="0014063A" w:rsidRPr="00802AF9">
              <w:rPr>
                <w:sz w:val="20"/>
                <w:szCs w:val="20"/>
                <w:u w:val="single"/>
                <w:lang w:val="fr-CA"/>
              </w:rPr>
              <w:t>ONUDI</w:t>
            </w:r>
            <w:r w:rsidR="0029763D" w:rsidRPr="00802AF9">
              <w:rPr>
                <w:sz w:val="20"/>
                <w:szCs w:val="20"/>
                <w:u w:val="single"/>
                <w:lang w:val="fr-CA"/>
              </w:rPr>
              <w:t xml:space="preserve">, </w:t>
            </w:r>
            <w:r w:rsidR="00494A38" w:rsidRPr="00802AF9">
              <w:rPr>
                <w:sz w:val="20"/>
                <w:szCs w:val="20"/>
                <w:u w:val="single"/>
                <w:lang w:val="fr-CA"/>
              </w:rPr>
              <w:t>Allemagne</w:t>
            </w:r>
            <w:r w:rsidR="0029763D" w:rsidRPr="00802AF9">
              <w:rPr>
                <w:sz w:val="20"/>
                <w:szCs w:val="20"/>
                <w:u w:val="single"/>
                <w:lang w:val="fr-CA"/>
              </w:rPr>
              <w:t>)</w:t>
            </w:r>
          </w:p>
        </w:tc>
        <w:tc>
          <w:tcPr>
            <w:tcW w:w="1318" w:type="dxa"/>
          </w:tcPr>
          <w:p w14:paraId="5B144820" w14:textId="77777777" w:rsidR="0029763D" w:rsidRPr="00802AF9" w:rsidRDefault="0029763D" w:rsidP="003F073E">
            <w:pPr>
              <w:widowControl w:val="0"/>
              <w:jc w:val="center"/>
              <w:rPr>
                <w:sz w:val="20"/>
                <w:szCs w:val="20"/>
                <w:lang w:val="fr-CA"/>
              </w:rPr>
            </w:pPr>
            <w:r w:rsidRPr="00802AF9">
              <w:rPr>
                <w:sz w:val="20"/>
                <w:szCs w:val="20"/>
                <w:lang w:val="fr-CA"/>
              </w:rPr>
              <w:t>158 – 186</w:t>
            </w:r>
          </w:p>
        </w:tc>
      </w:tr>
      <w:tr w:rsidR="0029763D" w:rsidRPr="00802AF9" w14:paraId="28E94F51" w14:textId="77777777" w:rsidTr="0014063A">
        <w:tc>
          <w:tcPr>
            <w:tcW w:w="835" w:type="dxa"/>
          </w:tcPr>
          <w:p w14:paraId="42EF01D8" w14:textId="77777777" w:rsidR="0029763D" w:rsidRPr="00802AF9" w:rsidRDefault="0029763D" w:rsidP="003F073E">
            <w:pPr>
              <w:widowControl w:val="0"/>
              <w:rPr>
                <w:sz w:val="20"/>
                <w:szCs w:val="20"/>
                <w:lang w:val="fr-CA"/>
              </w:rPr>
            </w:pPr>
          </w:p>
        </w:tc>
        <w:tc>
          <w:tcPr>
            <w:tcW w:w="6455" w:type="dxa"/>
          </w:tcPr>
          <w:p w14:paraId="662685F2" w14:textId="76891C31" w:rsidR="0029763D" w:rsidRPr="00802AF9" w:rsidRDefault="00802AF9" w:rsidP="003F073E">
            <w:pPr>
              <w:widowControl w:val="0"/>
              <w:jc w:val="left"/>
              <w:rPr>
                <w:sz w:val="20"/>
                <w:szCs w:val="20"/>
                <w:lang w:val="fr-CA"/>
              </w:rPr>
            </w:pPr>
            <w:r w:rsidRPr="00802AF9">
              <w:rPr>
                <w:sz w:val="20"/>
                <w:szCs w:val="20"/>
                <w:lang w:val="fr-CA"/>
              </w:rPr>
              <w:t>Description du plan sectoriel</w:t>
            </w:r>
          </w:p>
        </w:tc>
        <w:tc>
          <w:tcPr>
            <w:tcW w:w="1318" w:type="dxa"/>
          </w:tcPr>
          <w:p w14:paraId="6EED83E1" w14:textId="77777777" w:rsidR="0029763D" w:rsidRPr="00802AF9" w:rsidRDefault="0029763D" w:rsidP="003F073E">
            <w:pPr>
              <w:widowControl w:val="0"/>
              <w:jc w:val="center"/>
              <w:rPr>
                <w:sz w:val="20"/>
                <w:szCs w:val="20"/>
                <w:lang w:val="fr-CA"/>
              </w:rPr>
            </w:pPr>
            <w:r w:rsidRPr="00802AF9">
              <w:rPr>
                <w:sz w:val="20"/>
                <w:szCs w:val="20"/>
                <w:lang w:val="fr-CA"/>
              </w:rPr>
              <w:t>158 - 181</w:t>
            </w:r>
          </w:p>
        </w:tc>
      </w:tr>
      <w:tr w:rsidR="0029763D" w:rsidRPr="00802AF9" w14:paraId="7554ED5E" w14:textId="77777777" w:rsidTr="0014063A">
        <w:tc>
          <w:tcPr>
            <w:tcW w:w="835" w:type="dxa"/>
          </w:tcPr>
          <w:p w14:paraId="1994A494" w14:textId="77777777" w:rsidR="0029763D" w:rsidRPr="00802AF9" w:rsidRDefault="0029763D" w:rsidP="003F073E">
            <w:pPr>
              <w:widowControl w:val="0"/>
              <w:rPr>
                <w:sz w:val="20"/>
                <w:szCs w:val="20"/>
                <w:lang w:val="fr-CA"/>
              </w:rPr>
            </w:pPr>
          </w:p>
        </w:tc>
        <w:tc>
          <w:tcPr>
            <w:tcW w:w="6455" w:type="dxa"/>
          </w:tcPr>
          <w:p w14:paraId="767A868C" w14:textId="619415A8"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55889F52" w14:textId="77777777" w:rsidR="0029763D" w:rsidRPr="00802AF9" w:rsidRDefault="0029763D" w:rsidP="003F073E">
            <w:pPr>
              <w:widowControl w:val="0"/>
              <w:jc w:val="center"/>
              <w:rPr>
                <w:sz w:val="20"/>
                <w:szCs w:val="20"/>
                <w:lang w:val="fr-CA"/>
              </w:rPr>
            </w:pPr>
            <w:r w:rsidRPr="00802AF9">
              <w:rPr>
                <w:sz w:val="20"/>
                <w:szCs w:val="20"/>
                <w:lang w:val="fr-CA"/>
              </w:rPr>
              <w:t>182 – 185</w:t>
            </w:r>
          </w:p>
        </w:tc>
      </w:tr>
      <w:tr w:rsidR="0029763D" w:rsidRPr="00802AF9" w14:paraId="249B165A" w14:textId="77777777" w:rsidTr="0014063A">
        <w:tc>
          <w:tcPr>
            <w:tcW w:w="835" w:type="dxa"/>
          </w:tcPr>
          <w:p w14:paraId="56233485" w14:textId="77777777" w:rsidR="0029763D" w:rsidRPr="00802AF9" w:rsidRDefault="0029763D" w:rsidP="003F073E">
            <w:pPr>
              <w:widowControl w:val="0"/>
              <w:rPr>
                <w:sz w:val="20"/>
                <w:szCs w:val="20"/>
                <w:lang w:val="fr-CA"/>
              </w:rPr>
            </w:pPr>
          </w:p>
        </w:tc>
        <w:tc>
          <w:tcPr>
            <w:tcW w:w="6455" w:type="dxa"/>
          </w:tcPr>
          <w:p w14:paraId="1FA2B872" w14:textId="4AAA975C"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408AB6FE" w14:textId="77777777" w:rsidR="0029763D" w:rsidRPr="00802AF9" w:rsidRDefault="0029763D" w:rsidP="003F073E">
            <w:pPr>
              <w:widowControl w:val="0"/>
              <w:jc w:val="center"/>
              <w:rPr>
                <w:sz w:val="20"/>
                <w:szCs w:val="20"/>
                <w:lang w:val="fr-CA"/>
              </w:rPr>
            </w:pPr>
            <w:r w:rsidRPr="00802AF9">
              <w:rPr>
                <w:sz w:val="20"/>
                <w:szCs w:val="20"/>
                <w:lang w:val="fr-CA"/>
              </w:rPr>
              <w:t>186</w:t>
            </w:r>
          </w:p>
        </w:tc>
      </w:tr>
      <w:tr w:rsidR="0029763D" w:rsidRPr="00802AF9" w14:paraId="18AC516E" w14:textId="77777777" w:rsidTr="0014063A">
        <w:tc>
          <w:tcPr>
            <w:tcW w:w="835" w:type="dxa"/>
          </w:tcPr>
          <w:p w14:paraId="6CB539A2" w14:textId="77777777" w:rsidR="0029763D" w:rsidRPr="00802AF9" w:rsidRDefault="0029763D" w:rsidP="003F073E">
            <w:pPr>
              <w:widowControl w:val="0"/>
              <w:rPr>
                <w:sz w:val="20"/>
                <w:szCs w:val="20"/>
                <w:lang w:val="fr-CA"/>
              </w:rPr>
            </w:pPr>
          </w:p>
        </w:tc>
        <w:tc>
          <w:tcPr>
            <w:tcW w:w="6455" w:type="dxa"/>
          </w:tcPr>
          <w:p w14:paraId="7F70EBDE" w14:textId="4DE4399B" w:rsidR="0029763D" w:rsidRPr="00802AF9" w:rsidRDefault="00802AF9" w:rsidP="003F073E">
            <w:pPr>
              <w:widowControl w:val="0"/>
              <w:jc w:val="left"/>
              <w:rPr>
                <w:sz w:val="20"/>
                <w:szCs w:val="20"/>
                <w:lang w:val="fr-CA"/>
              </w:rPr>
            </w:pPr>
            <w:r>
              <w:rPr>
                <w:sz w:val="20"/>
                <w:szCs w:val="20"/>
                <w:lang w:val="fr-CA"/>
              </w:rPr>
              <w:t xml:space="preserve">Plan sectoriel révisé de </w:t>
            </w:r>
            <w:r w:rsidR="00B6667F">
              <w:rPr>
                <w:sz w:val="20"/>
                <w:szCs w:val="20"/>
                <w:lang w:val="fr-CA"/>
              </w:rPr>
              <w:t>mousses</w:t>
            </w:r>
            <w:r>
              <w:rPr>
                <w:sz w:val="20"/>
                <w:szCs w:val="20"/>
                <w:lang w:val="fr-CA"/>
              </w:rPr>
              <w:t xml:space="preserve"> de </w:t>
            </w:r>
            <w:r w:rsidR="0029763D" w:rsidRPr="00802AF9">
              <w:rPr>
                <w:sz w:val="20"/>
                <w:szCs w:val="20"/>
                <w:lang w:val="fr-CA"/>
              </w:rPr>
              <w:t>polyur</w:t>
            </w:r>
            <w:r>
              <w:rPr>
                <w:sz w:val="20"/>
                <w:szCs w:val="20"/>
                <w:lang w:val="fr-CA"/>
              </w:rPr>
              <w:t>é</w:t>
            </w:r>
            <w:r w:rsidR="0029763D" w:rsidRPr="00802AF9">
              <w:rPr>
                <w:sz w:val="20"/>
                <w:szCs w:val="20"/>
                <w:lang w:val="fr-CA"/>
              </w:rPr>
              <w:t>thane (PU) (</w:t>
            </w:r>
            <w:r w:rsidR="00825570" w:rsidRPr="00802AF9">
              <w:rPr>
                <w:sz w:val="20"/>
                <w:szCs w:val="20"/>
                <w:lang w:val="fr-CA"/>
              </w:rPr>
              <w:t>Banque mondiale</w:t>
            </w:r>
            <w:r w:rsidR="0029763D" w:rsidRPr="00802AF9">
              <w:rPr>
                <w:sz w:val="20"/>
                <w:szCs w:val="20"/>
                <w:lang w:val="fr-CA"/>
              </w:rPr>
              <w:t>)</w:t>
            </w:r>
          </w:p>
        </w:tc>
        <w:tc>
          <w:tcPr>
            <w:tcW w:w="1318" w:type="dxa"/>
          </w:tcPr>
          <w:p w14:paraId="2A1592C5" w14:textId="77777777" w:rsidR="0029763D" w:rsidRPr="00802AF9" w:rsidRDefault="0029763D" w:rsidP="003F073E">
            <w:pPr>
              <w:widowControl w:val="0"/>
              <w:jc w:val="center"/>
              <w:rPr>
                <w:sz w:val="20"/>
                <w:szCs w:val="20"/>
                <w:lang w:val="fr-CA"/>
              </w:rPr>
            </w:pPr>
            <w:r w:rsidRPr="00802AF9">
              <w:rPr>
                <w:sz w:val="20"/>
                <w:szCs w:val="20"/>
                <w:lang w:val="fr-CA"/>
              </w:rPr>
              <w:t>187 – 227</w:t>
            </w:r>
          </w:p>
        </w:tc>
      </w:tr>
      <w:tr w:rsidR="0029763D" w:rsidRPr="00802AF9" w14:paraId="7B71FE86" w14:textId="77777777" w:rsidTr="0014063A">
        <w:tc>
          <w:tcPr>
            <w:tcW w:w="835" w:type="dxa"/>
          </w:tcPr>
          <w:p w14:paraId="25BCB5D7" w14:textId="77777777" w:rsidR="0029763D" w:rsidRPr="00802AF9" w:rsidRDefault="0029763D" w:rsidP="003F073E">
            <w:pPr>
              <w:widowControl w:val="0"/>
              <w:rPr>
                <w:sz w:val="20"/>
                <w:szCs w:val="20"/>
                <w:lang w:val="fr-CA"/>
              </w:rPr>
            </w:pPr>
          </w:p>
        </w:tc>
        <w:tc>
          <w:tcPr>
            <w:tcW w:w="6455" w:type="dxa"/>
          </w:tcPr>
          <w:p w14:paraId="5398BA84" w14:textId="68042532" w:rsidR="0029763D" w:rsidRPr="00802AF9" w:rsidRDefault="00802AF9" w:rsidP="003F073E">
            <w:pPr>
              <w:widowControl w:val="0"/>
              <w:jc w:val="left"/>
              <w:rPr>
                <w:sz w:val="20"/>
                <w:szCs w:val="20"/>
                <w:lang w:val="fr-CA"/>
              </w:rPr>
            </w:pPr>
            <w:r w:rsidRPr="00802AF9">
              <w:rPr>
                <w:sz w:val="20"/>
                <w:szCs w:val="20"/>
                <w:lang w:val="fr-CA"/>
              </w:rPr>
              <w:t>Description du plan sectoriel</w:t>
            </w:r>
          </w:p>
        </w:tc>
        <w:tc>
          <w:tcPr>
            <w:tcW w:w="1318" w:type="dxa"/>
          </w:tcPr>
          <w:p w14:paraId="253849C0" w14:textId="77777777" w:rsidR="0029763D" w:rsidRPr="00802AF9" w:rsidRDefault="0029763D" w:rsidP="003F073E">
            <w:pPr>
              <w:widowControl w:val="0"/>
              <w:jc w:val="center"/>
              <w:rPr>
                <w:sz w:val="20"/>
                <w:szCs w:val="20"/>
                <w:lang w:val="fr-CA"/>
              </w:rPr>
            </w:pPr>
            <w:r w:rsidRPr="00802AF9">
              <w:rPr>
                <w:sz w:val="20"/>
                <w:szCs w:val="20"/>
                <w:lang w:val="fr-CA"/>
              </w:rPr>
              <w:t>187 - 218</w:t>
            </w:r>
          </w:p>
        </w:tc>
      </w:tr>
      <w:tr w:rsidR="0029763D" w:rsidRPr="00802AF9" w14:paraId="10FE6376" w14:textId="77777777" w:rsidTr="0014063A">
        <w:tc>
          <w:tcPr>
            <w:tcW w:w="835" w:type="dxa"/>
          </w:tcPr>
          <w:p w14:paraId="5F3E4839" w14:textId="77777777" w:rsidR="0029763D" w:rsidRPr="00802AF9" w:rsidRDefault="0029763D" w:rsidP="003F073E">
            <w:pPr>
              <w:widowControl w:val="0"/>
              <w:rPr>
                <w:sz w:val="20"/>
                <w:szCs w:val="20"/>
                <w:lang w:val="fr-CA"/>
              </w:rPr>
            </w:pPr>
          </w:p>
        </w:tc>
        <w:tc>
          <w:tcPr>
            <w:tcW w:w="6455" w:type="dxa"/>
          </w:tcPr>
          <w:p w14:paraId="7365A21F" w14:textId="3D707097"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1D09834A" w14:textId="77777777" w:rsidR="0029763D" w:rsidRPr="00802AF9" w:rsidRDefault="0029763D" w:rsidP="003F073E">
            <w:pPr>
              <w:widowControl w:val="0"/>
              <w:jc w:val="center"/>
              <w:rPr>
                <w:sz w:val="20"/>
                <w:szCs w:val="20"/>
                <w:lang w:val="fr-CA"/>
              </w:rPr>
            </w:pPr>
            <w:r w:rsidRPr="00802AF9">
              <w:rPr>
                <w:sz w:val="20"/>
                <w:szCs w:val="20"/>
                <w:lang w:val="fr-CA"/>
              </w:rPr>
              <w:t>219 – 226</w:t>
            </w:r>
          </w:p>
        </w:tc>
      </w:tr>
      <w:tr w:rsidR="0029763D" w:rsidRPr="00802AF9" w14:paraId="0C455D24" w14:textId="77777777" w:rsidTr="0014063A">
        <w:tc>
          <w:tcPr>
            <w:tcW w:w="835" w:type="dxa"/>
          </w:tcPr>
          <w:p w14:paraId="0A3A547A" w14:textId="77777777" w:rsidR="0029763D" w:rsidRPr="00802AF9" w:rsidRDefault="0029763D" w:rsidP="003F073E">
            <w:pPr>
              <w:widowControl w:val="0"/>
              <w:rPr>
                <w:sz w:val="20"/>
                <w:szCs w:val="20"/>
                <w:lang w:val="fr-CA"/>
              </w:rPr>
            </w:pPr>
          </w:p>
        </w:tc>
        <w:tc>
          <w:tcPr>
            <w:tcW w:w="6455" w:type="dxa"/>
          </w:tcPr>
          <w:p w14:paraId="7AC77F0B" w14:textId="2480E992"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5261C813" w14:textId="77777777" w:rsidR="0029763D" w:rsidRPr="00802AF9" w:rsidRDefault="0029763D" w:rsidP="003F073E">
            <w:pPr>
              <w:widowControl w:val="0"/>
              <w:jc w:val="center"/>
              <w:rPr>
                <w:sz w:val="20"/>
                <w:szCs w:val="20"/>
                <w:lang w:val="fr-CA"/>
              </w:rPr>
            </w:pPr>
            <w:r w:rsidRPr="00802AF9">
              <w:rPr>
                <w:sz w:val="20"/>
                <w:szCs w:val="20"/>
                <w:lang w:val="fr-CA"/>
              </w:rPr>
              <w:t>227</w:t>
            </w:r>
          </w:p>
        </w:tc>
      </w:tr>
      <w:tr w:rsidR="0029763D" w:rsidRPr="00802AF9" w14:paraId="6750C19F" w14:textId="77777777" w:rsidTr="0014063A">
        <w:tc>
          <w:tcPr>
            <w:tcW w:w="835" w:type="dxa"/>
          </w:tcPr>
          <w:p w14:paraId="5C12F88E" w14:textId="77777777" w:rsidR="0029763D" w:rsidRPr="00802AF9" w:rsidRDefault="0029763D" w:rsidP="003F073E">
            <w:pPr>
              <w:widowControl w:val="0"/>
              <w:rPr>
                <w:sz w:val="20"/>
                <w:szCs w:val="20"/>
                <w:lang w:val="fr-CA"/>
              </w:rPr>
            </w:pPr>
          </w:p>
        </w:tc>
        <w:tc>
          <w:tcPr>
            <w:tcW w:w="6455" w:type="dxa"/>
          </w:tcPr>
          <w:p w14:paraId="5ED64E8E" w14:textId="1E0F6102" w:rsidR="0029763D" w:rsidRPr="00802AF9" w:rsidRDefault="00802AF9" w:rsidP="003F073E">
            <w:pPr>
              <w:widowControl w:val="0"/>
              <w:jc w:val="left"/>
              <w:rPr>
                <w:sz w:val="20"/>
                <w:szCs w:val="20"/>
                <w:u w:val="single"/>
                <w:lang w:val="fr-CA"/>
              </w:rPr>
            </w:pPr>
            <w:r>
              <w:rPr>
                <w:sz w:val="20"/>
                <w:szCs w:val="20"/>
                <w:u w:val="single"/>
                <w:lang w:val="fr-CA"/>
              </w:rPr>
              <w:t>P</w:t>
            </w:r>
            <w:r w:rsidR="00494A38" w:rsidRPr="00802AF9">
              <w:rPr>
                <w:sz w:val="20"/>
                <w:szCs w:val="20"/>
                <w:u w:val="single"/>
                <w:lang w:val="fr-CA"/>
              </w:rPr>
              <w:t>lan sectoriel</w:t>
            </w:r>
            <w:r w:rsidR="0029763D" w:rsidRPr="00802AF9">
              <w:rPr>
                <w:sz w:val="20"/>
                <w:szCs w:val="20"/>
                <w:u w:val="single"/>
                <w:lang w:val="fr-CA"/>
              </w:rPr>
              <w:t xml:space="preserve"> </w:t>
            </w:r>
            <w:r>
              <w:rPr>
                <w:sz w:val="20"/>
                <w:szCs w:val="20"/>
                <w:u w:val="single"/>
                <w:lang w:val="fr-CA"/>
              </w:rPr>
              <w:t xml:space="preserve">révisé de solvants </w:t>
            </w:r>
            <w:r w:rsidR="0029763D" w:rsidRPr="00802AF9">
              <w:rPr>
                <w:sz w:val="20"/>
                <w:szCs w:val="20"/>
                <w:u w:val="single"/>
                <w:lang w:val="fr-CA"/>
              </w:rPr>
              <w:t>(</w:t>
            </w:r>
            <w:r w:rsidR="0014063A" w:rsidRPr="00802AF9">
              <w:rPr>
                <w:sz w:val="20"/>
                <w:szCs w:val="20"/>
                <w:u w:val="single"/>
                <w:lang w:val="fr-CA"/>
              </w:rPr>
              <w:t>PNUD</w:t>
            </w:r>
            <w:r w:rsidR="0029763D" w:rsidRPr="00802AF9">
              <w:rPr>
                <w:sz w:val="20"/>
                <w:szCs w:val="20"/>
                <w:u w:val="single"/>
                <w:lang w:val="fr-CA"/>
              </w:rPr>
              <w:t>)</w:t>
            </w:r>
          </w:p>
        </w:tc>
        <w:tc>
          <w:tcPr>
            <w:tcW w:w="1318" w:type="dxa"/>
          </w:tcPr>
          <w:p w14:paraId="5E9077CC" w14:textId="77777777" w:rsidR="0029763D" w:rsidRPr="00802AF9" w:rsidRDefault="0029763D" w:rsidP="003F073E">
            <w:pPr>
              <w:widowControl w:val="0"/>
              <w:jc w:val="center"/>
              <w:rPr>
                <w:sz w:val="20"/>
                <w:szCs w:val="20"/>
                <w:lang w:val="fr-CA"/>
              </w:rPr>
            </w:pPr>
            <w:r w:rsidRPr="00802AF9">
              <w:rPr>
                <w:sz w:val="20"/>
                <w:szCs w:val="20"/>
                <w:lang w:val="fr-CA"/>
              </w:rPr>
              <w:t>228 – 250</w:t>
            </w:r>
          </w:p>
        </w:tc>
      </w:tr>
      <w:tr w:rsidR="0029763D" w:rsidRPr="00802AF9" w14:paraId="43E3DF72" w14:textId="77777777" w:rsidTr="0014063A">
        <w:tc>
          <w:tcPr>
            <w:tcW w:w="835" w:type="dxa"/>
          </w:tcPr>
          <w:p w14:paraId="2020DBE9" w14:textId="77777777" w:rsidR="0029763D" w:rsidRPr="00802AF9" w:rsidRDefault="0029763D" w:rsidP="003F073E">
            <w:pPr>
              <w:widowControl w:val="0"/>
              <w:rPr>
                <w:sz w:val="20"/>
                <w:szCs w:val="20"/>
                <w:lang w:val="fr-CA"/>
              </w:rPr>
            </w:pPr>
          </w:p>
        </w:tc>
        <w:tc>
          <w:tcPr>
            <w:tcW w:w="6455" w:type="dxa"/>
          </w:tcPr>
          <w:p w14:paraId="27A149BF" w14:textId="1880834A" w:rsidR="0029763D" w:rsidRPr="00802AF9" w:rsidRDefault="00802AF9" w:rsidP="003F073E">
            <w:pPr>
              <w:widowControl w:val="0"/>
              <w:jc w:val="left"/>
              <w:rPr>
                <w:sz w:val="20"/>
                <w:szCs w:val="20"/>
                <w:lang w:val="fr-CA"/>
              </w:rPr>
            </w:pPr>
            <w:r w:rsidRPr="00802AF9">
              <w:rPr>
                <w:sz w:val="20"/>
                <w:szCs w:val="20"/>
                <w:lang w:val="fr-CA"/>
              </w:rPr>
              <w:t>Description du plan sectoriel</w:t>
            </w:r>
          </w:p>
        </w:tc>
        <w:tc>
          <w:tcPr>
            <w:tcW w:w="1318" w:type="dxa"/>
          </w:tcPr>
          <w:p w14:paraId="7196DE87" w14:textId="77777777" w:rsidR="0029763D" w:rsidRPr="00802AF9" w:rsidRDefault="0029763D" w:rsidP="003F073E">
            <w:pPr>
              <w:widowControl w:val="0"/>
              <w:jc w:val="center"/>
              <w:rPr>
                <w:sz w:val="20"/>
                <w:szCs w:val="20"/>
                <w:lang w:val="fr-CA"/>
              </w:rPr>
            </w:pPr>
            <w:r w:rsidRPr="00802AF9">
              <w:rPr>
                <w:sz w:val="20"/>
                <w:szCs w:val="20"/>
                <w:lang w:val="fr-CA"/>
              </w:rPr>
              <w:t>228 - 246</w:t>
            </w:r>
          </w:p>
        </w:tc>
      </w:tr>
      <w:tr w:rsidR="0029763D" w:rsidRPr="00802AF9" w14:paraId="5097AB7A" w14:textId="77777777" w:rsidTr="0014063A">
        <w:tc>
          <w:tcPr>
            <w:tcW w:w="835" w:type="dxa"/>
          </w:tcPr>
          <w:p w14:paraId="180002BD" w14:textId="77777777" w:rsidR="0029763D" w:rsidRPr="00802AF9" w:rsidRDefault="0029763D" w:rsidP="003F073E">
            <w:pPr>
              <w:widowControl w:val="0"/>
              <w:rPr>
                <w:sz w:val="20"/>
                <w:szCs w:val="20"/>
                <w:lang w:val="fr-CA"/>
              </w:rPr>
            </w:pPr>
          </w:p>
        </w:tc>
        <w:tc>
          <w:tcPr>
            <w:tcW w:w="6455" w:type="dxa"/>
          </w:tcPr>
          <w:p w14:paraId="5375DCD5" w14:textId="0C6C3156"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6BA5BEDA" w14:textId="77777777" w:rsidR="0029763D" w:rsidRPr="00802AF9" w:rsidRDefault="0029763D" w:rsidP="003F073E">
            <w:pPr>
              <w:widowControl w:val="0"/>
              <w:jc w:val="center"/>
              <w:rPr>
                <w:sz w:val="20"/>
                <w:szCs w:val="20"/>
                <w:lang w:val="fr-CA"/>
              </w:rPr>
            </w:pPr>
            <w:r w:rsidRPr="00802AF9">
              <w:rPr>
                <w:sz w:val="20"/>
                <w:szCs w:val="20"/>
                <w:lang w:val="fr-CA"/>
              </w:rPr>
              <w:t>247 – 249</w:t>
            </w:r>
          </w:p>
        </w:tc>
      </w:tr>
      <w:tr w:rsidR="0029763D" w:rsidRPr="00802AF9" w14:paraId="58A9B6E5" w14:textId="77777777" w:rsidTr="0014063A">
        <w:tc>
          <w:tcPr>
            <w:tcW w:w="835" w:type="dxa"/>
          </w:tcPr>
          <w:p w14:paraId="659A51F1" w14:textId="77777777" w:rsidR="0029763D" w:rsidRPr="00802AF9" w:rsidRDefault="0029763D" w:rsidP="003F073E">
            <w:pPr>
              <w:widowControl w:val="0"/>
              <w:rPr>
                <w:sz w:val="20"/>
                <w:szCs w:val="20"/>
                <w:lang w:val="fr-CA"/>
              </w:rPr>
            </w:pPr>
          </w:p>
        </w:tc>
        <w:tc>
          <w:tcPr>
            <w:tcW w:w="6455" w:type="dxa"/>
          </w:tcPr>
          <w:p w14:paraId="6C467698" w14:textId="48D5413B"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6640A292" w14:textId="77777777" w:rsidR="0029763D" w:rsidRPr="00802AF9" w:rsidRDefault="0029763D" w:rsidP="003F073E">
            <w:pPr>
              <w:widowControl w:val="0"/>
              <w:jc w:val="center"/>
              <w:rPr>
                <w:sz w:val="20"/>
                <w:szCs w:val="20"/>
                <w:lang w:val="fr-CA"/>
              </w:rPr>
            </w:pPr>
            <w:r w:rsidRPr="00802AF9">
              <w:rPr>
                <w:sz w:val="20"/>
                <w:szCs w:val="20"/>
                <w:lang w:val="fr-CA"/>
              </w:rPr>
              <w:t>250</w:t>
            </w:r>
          </w:p>
        </w:tc>
      </w:tr>
      <w:tr w:rsidR="0029763D" w:rsidRPr="00802AF9" w14:paraId="238B69EB" w14:textId="77777777" w:rsidTr="0014063A">
        <w:tc>
          <w:tcPr>
            <w:tcW w:w="835" w:type="dxa"/>
          </w:tcPr>
          <w:p w14:paraId="01DA52B3" w14:textId="77777777" w:rsidR="0029763D" w:rsidRPr="00802AF9" w:rsidRDefault="0029763D" w:rsidP="003F073E">
            <w:pPr>
              <w:widowControl w:val="0"/>
              <w:rPr>
                <w:sz w:val="20"/>
                <w:szCs w:val="20"/>
                <w:lang w:val="fr-CA"/>
              </w:rPr>
            </w:pPr>
          </w:p>
        </w:tc>
        <w:tc>
          <w:tcPr>
            <w:tcW w:w="6455" w:type="dxa"/>
          </w:tcPr>
          <w:p w14:paraId="2FA358E5" w14:textId="77777777" w:rsidR="0029763D" w:rsidRPr="00802AF9" w:rsidRDefault="0029763D" w:rsidP="003F073E">
            <w:pPr>
              <w:widowControl w:val="0"/>
              <w:jc w:val="left"/>
              <w:rPr>
                <w:sz w:val="20"/>
                <w:szCs w:val="20"/>
                <w:lang w:val="fr-CA"/>
              </w:rPr>
            </w:pPr>
          </w:p>
        </w:tc>
        <w:tc>
          <w:tcPr>
            <w:tcW w:w="1318" w:type="dxa"/>
          </w:tcPr>
          <w:p w14:paraId="2896280E" w14:textId="77777777" w:rsidR="0029763D" w:rsidRPr="00802AF9" w:rsidRDefault="0029763D" w:rsidP="003F073E">
            <w:pPr>
              <w:widowControl w:val="0"/>
              <w:jc w:val="center"/>
              <w:rPr>
                <w:sz w:val="20"/>
                <w:szCs w:val="20"/>
                <w:lang w:val="fr-CA"/>
              </w:rPr>
            </w:pPr>
          </w:p>
        </w:tc>
      </w:tr>
      <w:tr w:rsidR="0029763D" w:rsidRPr="00802AF9" w14:paraId="6F2A0C6C" w14:textId="77777777" w:rsidTr="0014063A">
        <w:tc>
          <w:tcPr>
            <w:tcW w:w="835" w:type="dxa"/>
          </w:tcPr>
          <w:p w14:paraId="366B2521" w14:textId="77777777" w:rsidR="0029763D" w:rsidRPr="00802AF9" w:rsidRDefault="0029763D" w:rsidP="003F073E">
            <w:pPr>
              <w:widowControl w:val="0"/>
              <w:rPr>
                <w:b/>
                <w:sz w:val="20"/>
                <w:szCs w:val="20"/>
                <w:lang w:val="fr-CA"/>
              </w:rPr>
            </w:pPr>
            <w:r w:rsidRPr="00802AF9">
              <w:rPr>
                <w:b/>
                <w:sz w:val="20"/>
                <w:szCs w:val="20"/>
                <w:lang w:val="fr-CA"/>
              </w:rPr>
              <w:t>IV</w:t>
            </w:r>
          </w:p>
        </w:tc>
        <w:tc>
          <w:tcPr>
            <w:tcW w:w="6455" w:type="dxa"/>
          </w:tcPr>
          <w:p w14:paraId="477C24C6" w14:textId="664A9D78" w:rsidR="0029763D" w:rsidRPr="00802AF9" w:rsidRDefault="00202E1D" w:rsidP="003F073E">
            <w:pPr>
              <w:widowControl w:val="0"/>
              <w:jc w:val="left"/>
              <w:rPr>
                <w:b/>
                <w:sz w:val="20"/>
                <w:szCs w:val="20"/>
                <w:lang w:val="fr-CA"/>
              </w:rPr>
            </w:pPr>
            <w:r w:rsidRPr="00802AF9">
              <w:rPr>
                <w:b/>
                <w:sz w:val="20"/>
                <w:szCs w:val="20"/>
                <w:lang w:val="fr-CA"/>
              </w:rPr>
              <w:t>Rapport</w:t>
            </w:r>
            <w:r w:rsidR="0029763D" w:rsidRPr="00802AF9">
              <w:rPr>
                <w:b/>
                <w:sz w:val="20"/>
                <w:szCs w:val="20"/>
                <w:lang w:val="fr-CA"/>
              </w:rPr>
              <w:t xml:space="preserve"> </w:t>
            </w:r>
            <w:r w:rsidR="00802AF9">
              <w:rPr>
                <w:b/>
                <w:sz w:val="20"/>
                <w:szCs w:val="20"/>
                <w:lang w:val="fr-CA"/>
              </w:rPr>
              <w:t xml:space="preserve">sur l’avancement de la mise en œuvre des activités indiquées dans la </w:t>
            </w:r>
            <w:r w:rsidR="00494A38" w:rsidRPr="00802AF9">
              <w:rPr>
                <w:b/>
                <w:sz w:val="20"/>
                <w:szCs w:val="20"/>
                <w:lang w:val="fr-CA"/>
              </w:rPr>
              <w:t>décision</w:t>
            </w:r>
            <w:r w:rsidR="0029763D" w:rsidRPr="00802AF9">
              <w:rPr>
                <w:b/>
                <w:sz w:val="20"/>
                <w:szCs w:val="20"/>
                <w:lang w:val="fr-CA"/>
              </w:rPr>
              <w:t> 83/41(e)</w:t>
            </w:r>
          </w:p>
        </w:tc>
        <w:tc>
          <w:tcPr>
            <w:tcW w:w="1318" w:type="dxa"/>
          </w:tcPr>
          <w:p w14:paraId="009BAC35" w14:textId="77777777" w:rsidR="0029763D" w:rsidRPr="00802AF9" w:rsidRDefault="0029763D" w:rsidP="003F073E">
            <w:pPr>
              <w:widowControl w:val="0"/>
              <w:jc w:val="center"/>
              <w:rPr>
                <w:sz w:val="20"/>
                <w:szCs w:val="20"/>
                <w:lang w:val="fr-CA"/>
              </w:rPr>
            </w:pPr>
            <w:r w:rsidRPr="00802AF9">
              <w:rPr>
                <w:sz w:val="20"/>
                <w:szCs w:val="20"/>
                <w:lang w:val="fr-CA"/>
              </w:rPr>
              <w:t>251 – 254</w:t>
            </w:r>
          </w:p>
        </w:tc>
      </w:tr>
      <w:tr w:rsidR="0029763D" w:rsidRPr="00802AF9" w14:paraId="1222646D" w14:textId="77777777" w:rsidTr="0014063A">
        <w:tc>
          <w:tcPr>
            <w:tcW w:w="835" w:type="dxa"/>
          </w:tcPr>
          <w:p w14:paraId="3B2B7AA8" w14:textId="77777777" w:rsidR="0029763D" w:rsidRPr="00802AF9" w:rsidRDefault="0029763D" w:rsidP="003F073E">
            <w:pPr>
              <w:widowControl w:val="0"/>
              <w:rPr>
                <w:sz w:val="20"/>
                <w:szCs w:val="20"/>
                <w:lang w:val="fr-CA"/>
              </w:rPr>
            </w:pPr>
          </w:p>
        </w:tc>
        <w:tc>
          <w:tcPr>
            <w:tcW w:w="6455" w:type="dxa"/>
          </w:tcPr>
          <w:p w14:paraId="0E0D41F2" w14:textId="77777777" w:rsidR="0029763D" w:rsidRPr="00802AF9" w:rsidRDefault="0029763D" w:rsidP="003F073E">
            <w:pPr>
              <w:widowControl w:val="0"/>
              <w:jc w:val="left"/>
              <w:rPr>
                <w:sz w:val="20"/>
                <w:szCs w:val="20"/>
                <w:lang w:val="fr-CA"/>
              </w:rPr>
            </w:pPr>
          </w:p>
        </w:tc>
        <w:tc>
          <w:tcPr>
            <w:tcW w:w="1318" w:type="dxa"/>
          </w:tcPr>
          <w:p w14:paraId="2DA79C42" w14:textId="77777777" w:rsidR="0029763D" w:rsidRPr="00802AF9" w:rsidRDefault="0029763D" w:rsidP="003F073E">
            <w:pPr>
              <w:widowControl w:val="0"/>
              <w:jc w:val="center"/>
              <w:rPr>
                <w:sz w:val="20"/>
                <w:szCs w:val="20"/>
                <w:lang w:val="fr-CA"/>
              </w:rPr>
            </w:pPr>
          </w:p>
        </w:tc>
      </w:tr>
      <w:tr w:rsidR="0029763D" w:rsidRPr="00802AF9" w14:paraId="246336C3" w14:textId="77777777" w:rsidTr="0014063A">
        <w:tc>
          <w:tcPr>
            <w:tcW w:w="835" w:type="dxa"/>
          </w:tcPr>
          <w:p w14:paraId="4C7351E9" w14:textId="77777777" w:rsidR="0029763D" w:rsidRPr="00802AF9" w:rsidRDefault="0029763D" w:rsidP="003F073E">
            <w:pPr>
              <w:widowControl w:val="0"/>
              <w:rPr>
                <w:b/>
                <w:sz w:val="20"/>
                <w:szCs w:val="20"/>
                <w:lang w:val="fr-CA"/>
              </w:rPr>
            </w:pPr>
            <w:r w:rsidRPr="00802AF9">
              <w:rPr>
                <w:b/>
                <w:sz w:val="20"/>
                <w:szCs w:val="20"/>
                <w:lang w:val="fr-CA"/>
              </w:rPr>
              <w:t>V</w:t>
            </w:r>
          </w:p>
        </w:tc>
        <w:tc>
          <w:tcPr>
            <w:tcW w:w="6455" w:type="dxa"/>
          </w:tcPr>
          <w:p w14:paraId="7F1A26D7" w14:textId="117D5669" w:rsidR="0029763D" w:rsidRPr="00802AF9" w:rsidRDefault="00802AF9" w:rsidP="003F073E">
            <w:pPr>
              <w:widowControl w:val="0"/>
              <w:jc w:val="left"/>
              <w:rPr>
                <w:b/>
                <w:sz w:val="20"/>
                <w:szCs w:val="20"/>
                <w:lang w:val="fr-CA"/>
              </w:rPr>
            </w:pPr>
            <w:r>
              <w:rPr>
                <w:b/>
                <w:sz w:val="20"/>
                <w:szCs w:val="20"/>
                <w:lang w:val="fr-CA"/>
              </w:rPr>
              <w:t xml:space="preserve">Étude pour déterminer </w:t>
            </w:r>
            <w:r w:rsidR="00E5163D" w:rsidRPr="00E5163D">
              <w:rPr>
                <w:b/>
                <w:sz w:val="20"/>
                <w:szCs w:val="20"/>
                <w:lang w:val="fr-CA"/>
              </w:rPr>
              <w:t>les circonstances réglementaires, d’exécution, d’orientation ou de marché pouvant avoir mené à une utilisation et une</w:t>
            </w:r>
            <w:r w:rsidR="00E5163D">
              <w:rPr>
                <w:b/>
                <w:sz w:val="20"/>
                <w:szCs w:val="20"/>
                <w:lang w:val="fr-CA"/>
              </w:rPr>
              <w:t xml:space="preserve"> </w:t>
            </w:r>
            <w:r w:rsidR="00E5163D" w:rsidRPr="00E5163D">
              <w:rPr>
                <w:b/>
                <w:sz w:val="20"/>
                <w:szCs w:val="20"/>
                <w:lang w:val="fr-CA"/>
              </w:rPr>
              <w:t>production</w:t>
            </w:r>
            <w:r w:rsidR="00E5163D">
              <w:rPr>
                <w:b/>
                <w:sz w:val="20"/>
                <w:szCs w:val="20"/>
                <w:lang w:val="fr-CA"/>
              </w:rPr>
              <w:t xml:space="preserve"> </w:t>
            </w:r>
            <w:r w:rsidR="00E5163D" w:rsidRPr="00E5163D">
              <w:rPr>
                <w:b/>
                <w:sz w:val="20"/>
                <w:szCs w:val="20"/>
                <w:lang w:val="fr-CA"/>
              </w:rPr>
              <w:t xml:space="preserve">illicites </w:t>
            </w:r>
            <w:r w:rsidR="00E5163D">
              <w:rPr>
                <w:b/>
                <w:sz w:val="20"/>
                <w:szCs w:val="20"/>
                <w:lang w:val="fr-CA"/>
              </w:rPr>
              <w:t xml:space="preserve">de </w:t>
            </w:r>
            <w:r w:rsidR="0029763D" w:rsidRPr="00802AF9">
              <w:rPr>
                <w:b/>
                <w:sz w:val="20"/>
                <w:szCs w:val="20"/>
                <w:lang w:val="fr-CA"/>
              </w:rPr>
              <w:t xml:space="preserve">CFC-11 </w:t>
            </w:r>
            <w:r w:rsidR="00E5163D">
              <w:rPr>
                <w:b/>
                <w:sz w:val="20"/>
                <w:szCs w:val="20"/>
                <w:lang w:val="fr-CA"/>
              </w:rPr>
              <w:t>et</w:t>
            </w:r>
            <w:r w:rsidR="0029763D" w:rsidRPr="00802AF9">
              <w:rPr>
                <w:b/>
                <w:sz w:val="20"/>
                <w:szCs w:val="20"/>
                <w:lang w:val="fr-CA"/>
              </w:rPr>
              <w:t xml:space="preserve"> CFC-12 (</w:t>
            </w:r>
            <w:r w:rsidR="00494A38" w:rsidRPr="00802AF9">
              <w:rPr>
                <w:b/>
                <w:sz w:val="20"/>
                <w:szCs w:val="20"/>
                <w:lang w:val="fr-CA"/>
              </w:rPr>
              <w:t>décision</w:t>
            </w:r>
            <w:r w:rsidR="0029763D" w:rsidRPr="00802AF9">
              <w:rPr>
                <w:b/>
                <w:sz w:val="20"/>
                <w:szCs w:val="20"/>
                <w:lang w:val="fr-CA"/>
              </w:rPr>
              <w:t> 83/41(d))</w:t>
            </w:r>
          </w:p>
        </w:tc>
        <w:tc>
          <w:tcPr>
            <w:tcW w:w="1318" w:type="dxa"/>
          </w:tcPr>
          <w:p w14:paraId="29510616" w14:textId="77777777" w:rsidR="0029763D" w:rsidRPr="00802AF9" w:rsidRDefault="0029763D" w:rsidP="003F073E">
            <w:pPr>
              <w:widowControl w:val="0"/>
              <w:jc w:val="center"/>
              <w:rPr>
                <w:sz w:val="20"/>
                <w:szCs w:val="20"/>
                <w:lang w:val="fr-CA"/>
              </w:rPr>
            </w:pPr>
            <w:r w:rsidRPr="00802AF9">
              <w:rPr>
                <w:sz w:val="20"/>
                <w:szCs w:val="20"/>
                <w:lang w:val="fr-CA"/>
              </w:rPr>
              <w:t>255– 256</w:t>
            </w:r>
          </w:p>
        </w:tc>
      </w:tr>
      <w:tr w:rsidR="0029763D" w:rsidRPr="00802AF9" w14:paraId="1D80076D" w14:textId="77777777" w:rsidTr="0014063A">
        <w:tc>
          <w:tcPr>
            <w:tcW w:w="835" w:type="dxa"/>
          </w:tcPr>
          <w:p w14:paraId="0D38963C" w14:textId="77777777" w:rsidR="0029763D" w:rsidRPr="00802AF9" w:rsidRDefault="0029763D" w:rsidP="003F073E">
            <w:pPr>
              <w:widowControl w:val="0"/>
              <w:rPr>
                <w:sz w:val="20"/>
                <w:szCs w:val="20"/>
                <w:lang w:val="fr-CA"/>
              </w:rPr>
            </w:pPr>
          </w:p>
        </w:tc>
        <w:tc>
          <w:tcPr>
            <w:tcW w:w="6455" w:type="dxa"/>
          </w:tcPr>
          <w:p w14:paraId="4EE82289" w14:textId="77777777" w:rsidR="0029763D" w:rsidRPr="00802AF9" w:rsidRDefault="0029763D" w:rsidP="003F073E">
            <w:pPr>
              <w:widowControl w:val="0"/>
              <w:jc w:val="left"/>
              <w:rPr>
                <w:sz w:val="20"/>
                <w:szCs w:val="20"/>
                <w:lang w:val="fr-CA"/>
              </w:rPr>
            </w:pPr>
          </w:p>
        </w:tc>
        <w:tc>
          <w:tcPr>
            <w:tcW w:w="1318" w:type="dxa"/>
          </w:tcPr>
          <w:p w14:paraId="3A81B816" w14:textId="77777777" w:rsidR="0029763D" w:rsidRPr="00802AF9" w:rsidRDefault="0029763D" w:rsidP="003F073E">
            <w:pPr>
              <w:widowControl w:val="0"/>
              <w:jc w:val="center"/>
              <w:rPr>
                <w:sz w:val="20"/>
                <w:szCs w:val="20"/>
                <w:lang w:val="fr-CA"/>
              </w:rPr>
            </w:pPr>
          </w:p>
        </w:tc>
      </w:tr>
      <w:tr w:rsidR="0029763D" w:rsidRPr="00802AF9" w14:paraId="227EEBD3" w14:textId="77777777" w:rsidTr="0014063A">
        <w:tc>
          <w:tcPr>
            <w:tcW w:w="835" w:type="dxa"/>
          </w:tcPr>
          <w:p w14:paraId="53A9957F" w14:textId="77777777" w:rsidR="0029763D" w:rsidRPr="00802AF9" w:rsidRDefault="0029763D" w:rsidP="003F073E">
            <w:pPr>
              <w:widowControl w:val="0"/>
              <w:rPr>
                <w:b/>
                <w:sz w:val="20"/>
                <w:szCs w:val="20"/>
                <w:lang w:val="fr-CA"/>
              </w:rPr>
            </w:pPr>
            <w:r w:rsidRPr="00802AF9">
              <w:rPr>
                <w:b/>
                <w:sz w:val="20"/>
                <w:szCs w:val="20"/>
                <w:lang w:val="fr-CA"/>
              </w:rPr>
              <w:t>VI</w:t>
            </w:r>
          </w:p>
        </w:tc>
        <w:tc>
          <w:tcPr>
            <w:tcW w:w="6455" w:type="dxa"/>
          </w:tcPr>
          <w:p w14:paraId="2BD90C1E" w14:textId="3F35455D" w:rsidR="0029763D" w:rsidRPr="00802AF9" w:rsidRDefault="00E5163D" w:rsidP="003F073E">
            <w:pPr>
              <w:widowControl w:val="0"/>
              <w:jc w:val="left"/>
              <w:rPr>
                <w:b/>
                <w:sz w:val="20"/>
                <w:szCs w:val="20"/>
                <w:lang w:val="fr-CA"/>
              </w:rPr>
            </w:pPr>
            <w:r>
              <w:rPr>
                <w:b/>
                <w:sz w:val="20"/>
                <w:szCs w:val="20"/>
                <w:lang w:val="fr-CA"/>
              </w:rPr>
              <w:t>Rapports d’audits financiers pour les secteurs de la production de CFC, des halons</w:t>
            </w:r>
            <w:r w:rsidR="0029763D" w:rsidRPr="00802AF9">
              <w:rPr>
                <w:b/>
                <w:sz w:val="20"/>
                <w:szCs w:val="20"/>
                <w:lang w:val="fr-CA"/>
              </w:rPr>
              <w:t xml:space="preserve">, </w:t>
            </w:r>
            <w:r>
              <w:rPr>
                <w:b/>
                <w:sz w:val="20"/>
                <w:szCs w:val="20"/>
                <w:lang w:val="fr-CA"/>
              </w:rPr>
              <w:t xml:space="preserve">de </w:t>
            </w:r>
            <w:r w:rsidR="00B6667F">
              <w:rPr>
                <w:b/>
                <w:sz w:val="20"/>
                <w:szCs w:val="20"/>
                <w:lang w:val="fr-CA"/>
              </w:rPr>
              <w:t>mousses</w:t>
            </w:r>
            <w:r>
              <w:rPr>
                <w:b/>
                <w:sz w:val="20"/>
                <w:szCs w:val="20"/>
                <w:lang w:val="fr-CA"/>
              </w:rPr>
              <w:t xml:space="preserve"> </w:t>
            </w:r>
            <w:r w:rsidR="0029763D" w:rsidRPr="00802AF9">
              <w:rPr>
                <w:b/>
                <w:sz w:val="20"/>
                <w:szCs w:val="20"/>
                <w:lang w:val="fr-CA"/>
              </w:rPr>
              <w:t xml:space="preserve">PU, </w:t>
            </w:r>
            <w:r>
              <w:rPr>
                <w:b/>
                <w:sz w:val="20"/>
                <w:szCs w:val="20"/>
                <w:lang w:val="fr-CA"/>
              </w:rPr>
              <w:t xml:space="preserve">de l’agent de transformation </w:t>
            </w:r>
            <w:r w:rsidR="0029763D" w:rsidRPr="00802AF9">
              <w:rPr>
                <w:b/>
                <w:sz w:val="20"/>
                <w:szCs w:val="20"/>
                <w:lang w:val="fr-CA"/>
              </w:rPr>
              <w:t xml:space="preserve">II, </w:t>
            </w:r>
            <w:r>
              <w:rPr>
                <w:b/>
                <w:sz w:val="20"/>
                <w:szCs w:val="20"/>
                <w:lang w:val="fr-CA"/>
              </w:rPr>
              <w:t xml:space="preserve">de l’entretien en </w:t>
            </w:r>
            <w:r w:rsidRPr="00802AF9">
              <w:rPr>
                <w:b/>
                <w:sz w:val="20"/>
                <w:szCs w:val="20"/>
                <w:lang w:val="fr-CA"/>
              </w:rPr>
              <w:t>réfrigération</w:t>
            </w:r>
            <w:r>
              <w:rPr>
                <w:b/>
                <w:sz w:val="20"/>
                <w:szCs w:val="20"/>
                <w:lang w:val="fr-CA"/>
              </w:rPr>
              <w:t xml:space="preserve"> et des solvants</w:t>
            </w:r>
          </w:p>
        </w:tc>
        <w:tc>
          <w:tcPr>
            <w:tcW w:w="1318" w:type="dxa"/>
          </w:tcPr>
          <w:p w14:paraId="40B2B2B7" w14:textId="77777777" w:rsidR="0029763D" w:rsidRPr="00802AF9" w:rsidRDefault="0029763D" w:rsidP="003F073E">
            <w:pPr>
              <w:widowControl w:val="0"/>
              <w:jc w:val="center"/>
              <w:rPr>
                <w:sz w:val="20"/>
                <w:szCs w:val="20"/>
                <w:lang w:val="fr-CA"/>
              </w:rPr>
            </w:pPr>
            <w:r w:rsidRPr="00802AF9">
              <w:rPr>
                <w:sz w:val="20"/>
                <w:szCs w:val="20"/>
                <w:lang w:val="fr-CA"/>
              </w:rPr>
              <w:t>257 – 264</w:t>
            </w:r>
          </w:p>
        </w:tc>
      </w:tr>
      <w:tr w:rsidR="0029763D" w:rsidRPr="00802AF9" w14:paraId="3237E560" w14:textId="77777777" w:rsidTr="0014063A">
        <w:tc>
          <w:tcPr>
            <w:tcW w:w="835" w:type="dxa"/>
          </w:tcPr>
          <w:p w14:paraId="7A29D338" w14:textId="77777777" w:rsidR="0029763D" w:rsidRPr="00802AF9" w:rsidRDefault="0029763D" w:rsidP="003F073E">
            <w:pPr>
              <w:widowControl w:val="0"/>
              <w:rPr>
                <w:sz w:val="20"/>
                <w:szCs w:val="20"/>
                <w:lang w:val="fr-CA"/>
              </w:rPr>
            </w:pPr>
          </w:p>
        </w:tc>
        <w:tc>
          <w:tcPr>
            <w:tcW w:w="6455" w:type="dxa"/>
          </w:tcPr>
          <w:p w14:paraId="3198F5D1" w14:textId="7E0AAC45" w:rsidR="0029763D" w:rsidRPr="00802AF9" w:rsidRDefault="0029763D" w:rsidP="003F073E">
            <w:pPr>
              <w:widowControl w:val="0"/>
              <w:jc w:val="left"/>
              <w:rPr>
                <w:sz w:val="20"/>
                <w:szCs w:val="20"/>
                <w:lang w:val="fr-CA"/>
              </w:rPr>
            </w:pPr>
            <w:r w:rsidRPr="00802AF9">
              <w:rPr>
                <w:sz w:val="20"/>
                <w:szCs w:val="20"/>
                <w:lang w:val="fr-CA"/>
              </w:rPr>
              <w:t xml:space="preserve">Note </w:t>
            </w:r>
            <w:r w:rsidR="00E5163D">
              <w:rPr>
                <w:sz w:val="20"/>
                <w:szCs w:val="20"/>
                <w:lang w:val="fr-CA"/>
              </w:rPr>
              <w:t>du</w:t>
            </w:r>
            <w:r w:rsidRPr="00802AF9">
              <w:rPr>
                <w:sz w:val="20"/>
                <w:szCs w:val="20"/>
                <w:lang w:val="fr-CA"/>
              </w:rPr>
              <w:t xml:space="preserve"> </w:t>
            </w:r>
            <w:r w:rsidR="0014063A" w:rsidRPr="00802AF9">
              <w:rPr>
                <w:sz w:val="20"/>
                <w:szCs w:val="20"/>
                <w:lang w:val="fr-CA"/>
              </w:rPr>
              <w:t>Secrétariat</w:t>
            </w:r>
          </w:p>
        </w:tc>
        <w:tc>
          <w:tcPr>
            <w:tcW w:w="1318" w:type="dxa"/>
          </w:tcPr>
          <w:p w14:paraId="541B311C" w14:textId="77777777" w:rsidR="0029763D" w:rsidRPr="00802AF9" w:rsidRDefault="0029763D" w:rsidP="003F073E">
            <w:pPr>
              <w:widowControl w:val="0"/>
              <w:jc w:val="center"/>
              <w:rPr>
                <w:sz w:val="20"/>
                <w:szCs w:val="20"/>
                <w:lang w:val="fr-CA"/>
              </w:rPr>
            </w:pPr>
            <w:r w:rsidRPr="00802AF9">
              <w:rPr>
                <w:sz w:val="20"/>
                <w:szCs w:val="20"/>
                <w:lang w:val="fr-CA"/>
              </w:rPr>
              <w:t>257 – 258</w:t>
            </w:r>
          </w:p>
        </w:tc>
      </w:tr>
      <w:tr w:rsidR="0029763D" w:rsidRPr="00802AF9" w14:paraId="47C77F08" w14:textId="77777777" w:rsidTr="0014063A">
        <w:tc>
          <w:tcPr>
            <w:tcW w:w="835" w:type="dxa"/>
          </w:tcPr>
          <w:p w14:paraId="2567646D" w14:textId="77777777" w:rsidR="0029763D" w:rsidRPr="00802AF9" w:rsidRDefault="0029763D" w:rsidP="003F073E">
            <w:pPr>
              <w:widowControl w:val="0"/>
              <w:rPr>
                <w:sz w:val="20"/>
                <w:szCs w:val="20"/>
                <w:lang w:val="fr-CA"/>
              </w:rPr>
            </w:pPr>
          </w:p>
        </w:tc>
        <w:tc>
          <w:tcPr>
            <w:tcW w:w="6455" w:type="dxa"/>
          </w:tcPr>
          <w:p w14:paraId="0A846731" w14:textId="72DF7898" w:rsidR="0029763D" w:rsidRPr="00802AF9" w:rsidRDefault="00494A38" w:rsidP="003F073E">
            <w:pPr>
              <w:widowControl w:val="0"/>
              <w:jc w:val="left"/>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1477821E" w14:textId="77777777" w:rsidR="0029763D" w:rsidRPr="00802AF9" w:rsidRDefault="0029763D" w:rsidP="003F073E">
            <w:pPr>
              <w:widowControl w:val="0"/>
              <w:jc w:val="center"/>
              <w:rPr>
                <w:sz w:val="20"/>
                <w:szCs w:val="20"/>
                <w:lang w:val="fr-CA"/>
              </w:rPr>
            </w:pPr>
            <w:r w:rsidRPr="00802AF9">
              <w:rPr>
                <w:sz w:val="20"/>
                <w:szCs w:val="20"/>
                <w:lang w:val="fr-CA"/>
              </w:rPr>
              <w:t>262 – 263</w:t>
            </w:r>
          </w:p>
        </w:tc>
      </w:tr>
      <w:tr w:rsidR="0029763D" w:rsidRPr="00802AF9" w14:paraId="252FE3F4" w14:textId="77777777" w:rsidTr="0014063A">
        <w:tc>
          <w:tcPr>
            <w:tcW w:w="835" w:type="dxa"/>
          </w:tcPr>
          <w:p w14:paraId="4B613058" w14:textId="77777777" w:rsidR="0029763D" w:rsidRPr="00802AF9" w:rsidRDefault="0029763D" w:rsidP="003F073E">
            <w:pPr>
              <w:widowControl w:val="0"/>
              <w:rPr>
                <w:sz w:val="20"/>
                <w:szCs w:val="20"/>
                <w:lang w:val="fr-CA"/>
              </w:rPr>
            </w:pPr>
          </w:p>
        </w:tc>
        <w:tc>
          <w:tcPr>
            <w:tcW w:w="6455" w:type="dxa"/>
          </w:tcPr>
          <w:p w14:paraId="6A888306" w14:textId="4B4C7DD0" w:rsidR="0029763D" w:rsidRPr="00802AF9" w:rsidRDefault="0014063A" w:rsidP="003F073E">
            <w:pPr>
              <w:widowControl w:val="0"/>
              <w:jc w:val="left"/>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12175BF8" w14:textId="77777777" w:rsidR="0029763D" w:rsidRPr="00802AF9" w:rsidRDefault="0029763D" w:rsidP="003F073E">
            <w:pPr>
              <w:widowControl w:val="0"/>
              <w:jc w:val="center"/>
              <w:rPr>
                <w:sz w:val="20"/>
                <w:szCs w:val="20"/>
                <w:lang w:val="fr-CA"/>
              </w:rPr>
            </w:pPr>
            <w:r w:rsidRPr="00802AF9">
              <w:rPr>
                <w:sz w:val="20"/>
                <w:szCs w:val="20"/>
                <w:lang w:val="fr-CA"/>
              </w:rPr>
              <w:t>264</w:t>
            </w:r>
          </w:p>
        </w:tc>
      </w:tr>
      <w:tr w:rsidR="0029763D" w:rsidRPr="00802AF9" w14:paraId="55A27075" w14:textId="77777777" w:rsidTr="0014063A">
        <w:tc>
          <w:tcPr>
            <w:tcW w:w="835" w:type="dxa"/>
          </w:tcPr>
          <w:p w14:paraId="3948DD96" w14:textId="77777777" w:rsidR="0029763D" w:rsidRPr="00802AF9" w:rsidRDefault="0029763D" w:rsidP="003F073E">
            <w:pPr>
              <w:widowControl w:val="0"/>
              <w:rPr>
                <w:sz w:val="20"/>
                <w:szCs w:val="20"/>
                <w:lang w:val="fr-CA"/>
              </w:rPr>
            </w:pPr>
          </w:p>
        </w:tc>
        <w:tc>
          <w:tcPr>
            <w:tcW w:w="6455" w:type="dxa"/>
          </w:tcPr>
          <w:p w14:paraId="3B698415" w14:textId="77777777" w:rsidR="0029763D" w:rsidRPr="00802AF9" w:rsidRDefault="0029763D" w:rsidP="003F073E">
            <w:pPr>
              <w:widowControl w:val="0"/>
              <w:jc w:val="left"/>
              <w:rPr>
                <w:sz w:val="20"/>
                <w:szCs w:val="20"/>
                <w:lang w:val="fr-CA"/>
              </w:rPr>
            </w:pPr>
          </w:p>
        </w:tc>
        <w:tc>
          <w:tcPr>
            <w:tcW w:w="1318" w:type="dxa"/>
          </w:tcPr>
          <w:p w14:paraId="59FCE322" w14:textId="77777777" w:rsidR="0029763D" w:rsidRPr="00802AF9" w:rsidRDefault="0029763D" w:rsidP="003F073E">
            <w:pPr>
              <w:widowControl w:val="0"/>
              <w:jc w:val="center"/>
              <w:rPr>
                <w:sz w:val="20"/>
                <w:szCs w:val="20"/>
                <w:lang w:val="fr-CA"/>
              </w:rPr>
            </w:pPr>
          </w:p>
        </w:tc>
      </w:tr>
      <w:tr w:rsidR="0029763D" w:rsidRPr="00802AF9" w14:paraId="3BD0817F" w14:textId="77777777" w:rsidTr="0014063A">
        <w:tc>
          <w:tcPr>
            <w:tcW w:w="835" w:type="dxa"/>
          </w:tcPr>
          <w:p w14:paraId="53C121ED" w14:textId="77777777" w:rsidR="0029763D" w:rsidRPr="00802AF9" w:rsidRDefault="0029763D" w:rsidP="003F073E">
            <w:pPr>
              <w:widowControl w:val="0"/>
              <w:rPr>
                <w:b/>
                <w:sz w:val="20"/>
                <w:szCs w:val="20"/>
                <w:lang w:val="fr-CA"/>
              </w:rPr>
            </w:pPr>
            <w:r w:rsidRPr="00802AF9">
              <w:rPr>
                <w:b/>
                <w:sz w:val="20"/>
                <w:szCs w:val="20"/>
                <w:lang w:val="fr-CA"/>
              </w:rPr>
              <w:t>VII</w:t>
            </w:r>
          </w:p>
        </w:tc>
        <w:tc>
          <w:tcPr>
            <w:tcW w:w="6455" w:type="dxa"/>
          </w:tcPr>
          <w:p w14:paraId="333F70BE" w14:textId="03428888" w:rsidR="0029763D" w:rsidRPr="00802AF9" w:rsidRDefault="00494A38" w:rsidP="003F073E">
            <w:pPr>
              <w:widowControl w:val="0"/>
              <w:jc w:val="left"/>
              <w:rPr>
                <w:b/>
                <w:sz w:val="20"/>
                <w:szCs w:val="20"/>
                <w:lang w:val="fr-CA"/>
              </w:rPr>
            </w:pPr>
            <w:r w:rsidRPr="00802AF9">
              <w:rPr>
                <w:b/>
                <w:sz w:val="20"/>
                <w:szCs w:val="20"/>
                <w:lang w:val="fr-CA"/>
              </w:rPr>
              <w:t>Plan sectoriel</w:t>
            </w:r>
            <w:r w:rsidR="0029763D" w:rsidRPr="00802AF9">
              <w:rPr>
                <w:b/>
                <w:sz w:val="20"/>
                <w:szCs w:val="20"/>
                <w:lang w:val="fr-CA"/>
              </w:rPr>
              <w:t xml:space="preserve"> </w:t>
            </w:r>
            <w:r w:rsidR="00A43AB8">
              <w:rPr>
                <w:b/>
                <w:sz w:val="20"/>
                <w:szCs w:val="20"/>
                <w:lang w:val="fr-CA"/>
              </w:rPr>
              <w:t xml:space="preserve">l’élimination de la production de bromure de </w:t>
            </w:r>
            <w:r w:rsidR="0029763D" w:rsidRPr="00802AF9">
              <w:rPr>
                <w:b/>
                <w:sz w:val="20"/>
                <w:szCs w:val="20"/>
                <w:lang w:val="fr-CA"/>
              </w:rPr>
              <w:t>m</w:t>
            </w:r>
            <w:r w:rsidR="00A43AB8">
              <w:rPr>
                <w:b/>
                <w:sz w:val="20"/>
                <w:szCs w:val="20"/>
                <w:lang w:val="fr-CA"/>
              </w:rPr>
              <w:t>é</w:t>
            </w:r>
            <w:r w:rsidR="0029763D" w:rsidRPr="00802AF9">
              <w:rPr>
                <w:b/>
                <w:sz w:val="20"/>
                <w:szCs w:val="20"/>
                <w:lang w:val="fr-CA"/>
              </w:rPr>
              <w:t>thyl</w:t>
            </w:r>
            <w:r w:rsidR="00A43AB8">
              <w:rPr>
                <w:b/>
                <w:sz w:val="20"/>
                <w:szCs w:val="20"/>
                <w:lang w:val="fr-CA"/>
              </w:rPr>
              <w:t>e</w:t>
            </w:r>
            <w:r w:rsidR="0029763D" w:rsidRPr="00802AF9">
              <w:rPr>
                <w:b/>
                <w:sz w:val="20"/>
                <w:szCs w:val="20"/>
                <w:lang w:val="fr-CA"/>
              </w:rPr>
              <w:t xml:space="preserve"> (</w:t>
            </w:r>
            <w:r w:rsidR="00A43AB8">
              <w:rPr>
                <w:b/>
                <w:sz w:val="20"/>
                <w:szCs w:val="20"/>
                <w:lang w:val="fr-CA"/>
              </w:rPr>
              <w:t>B</w:t>
            </w:r>
            <w:r w:rsidR="0029763D" w:rsidRPr="00802AF9">
              <w:rPr>
                <w:b/>
                <w:sz w:val="20"/>
                <w:szCs w:val="20"/>
                <w:lang w:val="fr-CA"/>
              </w:rPr>
              <w:t xml:space="preserve">M) </w:t>
            </w:r>
          </w:p>
        </w:tc>
        <w:tc>
          <w:tcPr>
            <w:tcW w:w="1318" w:type="dxa"/>
          </w:tcPr>
          <w:p w14:paraId="23D4F53A" w14:textId="77777777" w:rsidR="0029763D" w:rsidRPr="00802AF9" w:rsidRDefault="0029763D" w:rsidP="003F073E">
            <w:pPr>
              <w:widowControl w:val="0"/>
              <w:jc w:val="center"/>
              <w:rPr>
                <w:sz w:val="20"/>
                <w:szCs w:val="20"/>
                <w:lang w:val="fr-CA"/>
              </w:rPr>
            </w:pPr>
            <w:r w:rsidRPr="00802AF9">
              <w:rPr>
                <w:sz w:val="20"/>
                <w:szCs w:val="20"/>
                <w:lang w:val="fr-CA"/>
              </w:rPr>
              <w:t>265 – 273</w:t>
            </w:r>
          </w:p>
        </w:tc>
      </w:tr>
      <w:tr w:rsidR="0029763D" w:rsidRPr="00802AF9" w14:paraId="0E2C56A2" w14:textId="77777777" w:rsidTr="0014063A">
        <w:tc>
          <w:tcPr>
            <w:tcW w:w="835" w:type="dxa"/>
          </w:tcPr>
          <w:p w14:paraId="4904AD4B" w14:textId="77777777" w:rsidR="0029763D" w:rsidRPr="00802AF9" w:rsidRDefault="0029763D" w:rsidP="003F073E">
            <w:pPr>
              <w:widowControl w:val="0"/>
              <w:rPr>
                <w:b/>
                <w:sz w:val="20"/>
                <w:szCs w:val="20"/>
                <w:lang w:val="fr-CA"/>
              </w:rPr>
            </w:pPr>
          </w:p>
        </w:tc>
        <w:tc>
          <w:tcPr>
            <w:tcW w:w="6455" w:type="dxa"/>
          </w:tcPr>
          <w:p w14:paraId="5378ED03" w14:textId="47837492" w:rsidR="0029763D" w:rsidRPr="00802AF9" w:rsidRDefault="00494A38" w:rsidP="003F073E">
            <w:pPr>
              <w:widowControl w:val="0"/>
              <w:rPr>
                <w:sz w:val="20"/>
                <w:szCs w:val="20"/>
                <w:lang w:val="fr-CA"/>
              </w:rPr>
            </w:pPr>
            <w:r w:rsidRPr="00802AF9">
              <w:rPr>
                <w:sz w:val="20"/>
                <w:szCs w:val="20"/>
                <w:lang w:val="fr-CA"/>
              </w:rPr>
              <w:t>Rapport périodique</w:t>
            </w:r>
          </w:p>
        </w:tc>
        <w:tc>
          <w:tcPr>
            <w:tcW w:w="1318" w:type="dxa"/>
          </w:tcPr>
          <w:p w14:paraId="612972F7" w14:textId="77777777" w:rsidR="0029763D" w:rsidRPr="00802AF9" w:rsidRDefault="0029763D" w:rsidP="003F073E">
            <w:pPr>
              <w:widowControl w:val="0"/>
              <w:jc w:val="center"/>
              <w:rPr>
                <w:sz w:val="20"/>
                <w:szCs w:val="20"/>
                <w:lang w:val="fr-CA"/>
              </w:rPr>
            </w:pPr>
            <w:r w:rsidRPr="00802AF9">
              <w:rPr>
                <w:sz w:val="20"/>
                <w:szCs w:val="20"/>
                <w:lang w:val="fr-CA"/>
              </w:rPr>
              <w:t>269 – 271</w:t>
            </w:r>
          </w:p>
        </w:tc>
      </w:tr>
      <w:tr w:rsidR="0029763D" w:rsidRPr="00802AF9" w14:paraId="22CF9423" w14:textId="77777777" w:rsidTr="0014063A">
        <w:tc>
          <w:tcPr>
            <w:tcW w:w="835" w:type="dxa"/>
          </w:tcPr>
          <w:p w14:paraId="560443B7" w14:textId="77777777" w:rsidR="0029763D" w:rsidRPr="00802AF9" w:rsidRDefault="0029763D" w:rsidP="003F073E">
            <w:pPr>
              <w:widowControl w:val="0"/>
              <w:rPr>
                <w:sz w:val="20"/>
                <w:szCs w:val="20"/>
                <w:lang w:val="fr-CA"/>
              </w:rPr>
            </w:pPr>
          </w:p>
        </w:tc>
        <w:tc>
          <w:tcPr>
            <w:tcW w:w="6455" w:type="dxa"/>
          </w:tcPr>
          <w:p w14:paraId="7CA6AC87" w14:textId="2BCAABB4" w:rsidR="0029763D" w:rsidRPr="00802AF9" w:rsidRDefault="00494A38" w:rsidP="003F073E">
            <w:pPr>
              <w:widowControl w:val="0"/>
              <w:rPr>
                <w:sz w:val="20"/>
                <w:szCs w:val="20"/>
                <w:lang w:val="fr-CA"/>
              </w:rPr>
            </w:pPr>
            <w:r w:rsidRPr="00802AF9">
              <w:rPr>
                <w:sz w:val="20"/>
                <w:szCs w:val="20"/>
                <w:lang w:val="fr-CA"/>
              </w:rPr>
              <w:t>Observations du Secrétariat</w:t>
            </w:r>
            <w:r w:rsidR="0029763D" w:rsidRPr="00802AF9">
              <w:rPr>
                <w:sz w:val="20"/>
                <w:szCs w:val="20"/>
                <w:lang w:val="fr-CA"/>
              </w:rPr>
              <w:t xml:space="preserve"> </w:t>
            </w:r>
          </w:p>
        </w:tc>
        <w:tc>
          <w:tcPr>
            <w:tcW w:w="1318" w:type="dxa"/>
          </w:tcPr>
          <w:p w14:paraId="2135AA36" w14:textId="77777777" w:rsidR="0029763D" w:rsidRPr="00802AF9" w:rsidRDefault="0029763D" w:rsidP="003F073E">
            <w:pPr>
              <w:widowControl w:val="0"/>
              <w:jc w:val="center"/>
              <w:rPr>
                <w:sz w:val="20"/>
                <w:szCs w:val="20"/>
                <w:lang w:val="fr-CA"/>
              </w:rPr>
            </w:pPr>
            <w:r w:rsidRPr="00802AF9">
              <w:rPr>
                <w:sz w:val="20"/>
                <w:szCs w:val="20"/>
                <w:lang w:val="fr-CA"/>
              </w:rPr>
              <w:t>272</w:t>
            </w:r>
          </w:p>
        </w:tc>
      </w:tr>
      <w:tr w:rsidR="0029763D" w:rsidRPr="00802AF9" w14:paraId="6B9A3BFA" w14:textId="77777777" w:rsidTr="0014063A">
        <w:tc>
          <w:tcPr>
            <w:tcW w:w="835" w:type="dxa"/>
          </w:tcPr>
          <w:p w14:paraId="1072D73D" w14:textId="77777777" w:rsidR="0029763D" w:rsidRPr="00802AF9" w:rsidRDefault="0029763D" w:rsidP="003F073E">
            <w:pPr>
              <w:widowControl w:val="0"/>
              <w:rPr>
                <w:sz w:val="20"/>
                <w:szCs w:val="20"/>
                <w:lang w:val="fr-CA"/>
              </w:rPr>
            </w:pPr>
          </w:p>
        </w:tc>
        <w:tc>
          <w:tcPr>
            <w:tcW w:w="6455" w:type="dxa"/>
          </w:tcPr>
          <w:p w14:paraId="20B7EE71" w14:textId="5E5A29A3" w:rsidR="0029763D" w:rsidRPr="00802AF9" w:rsidRDefault="0014063A" w:rsidP="003F073E">
            <w:pPr>
              <w:widowControl w:val="0"/>
              <w:rPr>
                <w:sz w:val="20"/>
                <w:szCs w:val="20"/>
                <w:lang w:val="fr-CA"/>
              </w:rPr>
            </w:pPr>
            <w:r w:rsidRPr="00802AF9">
              <w:rPr>
                <w:sz w:val="20"/>
                <w:szCs w:val="20"/>
                <w:lang w:val="fr-CA"/>
              </w:rPr>
              <w:t>Recommandation</w:t>
            </w:r>
            <w:r w:rsidR="0029763D" w:rsidRPr="00802AF9">
              <w:rPr>
                <w:sz w:val="20"/>
                <w:szCs w:val="20"/>
                <w:lang w:val="fr-CA"/>
              </w:rPr>
              <w:t xml:space="preserve"> </w:t>
            </w:r>
          </w:p>
        </w:tc>
        <w:tc>
          <w:tcPr>
            <w:tcW w:w="1318" w:type="dxa"/>
          </w:tcPr>
          <w:p w14:paraId="4B433021" w14:textId="77777777" w:rsidR="0029763D" w:rsidRPr="00802AF9" w:rsidRDefault="0029763D" w:rsidP="003F073E">
            <w:pPr>
              <w:widowControl w:val="0"/>
              <w:jc w:val="center"/>
              <w:rPr>
                <w:sz w:val="20"/>
                <w:szCs w:val="20"/>
                <w:lang w:val="fr-CA"/>
              </w:rPr>
            </w:pPr>
            <w:r w:rsidRPr="00802AF9">
              <w:rPr>
                <w:sz w:val="20"/>
                <w:szCs w:val="20"/>
                <w:lang w:val="fr-CA"/>
              </w:rPr>
              <w:t>273</w:t>
            </w:r>
          </w:p>
        </w:tc>
      </w:tr>
    </w:tbl>
    <w:p w14:paraId="16FBC56F" w14:textId="5C6705CF" w:rsidR="0029763D" w:rsidRPr="00802AF9" w:rsidRDefault="0029763D" w:rsidP="0029763D">
      <w:pPr>
        <w:pStyle w:val="Heading1"/>
        <w:numPr>
          <w:ilvl w:val="0"/>
          <w:numId w:val="0"/>
        </w:numPr>
        <w:jc w:val="left"/>
        <w:rPr>
          <w:lang w:val="fr-CA"/>
        </w:rPr>
      </w:pPr>
    </w:p>
    <w:p w14:paraId="53D1DE1B" w14:textId="253617F7" w:rsidR="0029763D" w:rsidRPr="00802AF9" w:rsidRDefault="0029763D" w:rsidP="0029763D">
      <w:pPr>
        <w:spacing w:after="240"/>
        <w:ind w:left="1440" w:hanging="1440"/>
        <w:rPr>
          <w:b/>
          <w:lang w:val="fr-CA"/>
        </w:rPr>
      </w:pPr>
      <w:r w:rsidRPr="00802AF9">
        <w:rPr>
          <w:b/>
          <w:lang w:val="fr-CA"/>
        </w:rPr>
        <w:lastRenderedPageBreak/>
        <w:t>PART</w:t>
      </w:r>
      <w:r w:rsidR="00E5163D">
        <w:rPr>
          <w:b/>
          <w:lang w:val="fr-CA"/>
        </w:rPr>
        <w:t>IE</w:t>
      </w:r>
      <w:r w:rsidRPr="00802AF9">
        <w:rPr>
          <w:b/>
          <w:lang w:val="fr-CA"/>
        </w:rPr>
        <w:t xml:space="preserve"> I</w:t>
      </w:r>
      <w:r w:rsidRPr="00802AF9">
        <w:rPr>
          <w:b/>
          <w:lang w:val="fr-CA"/>
        </w:rPr>
        <w:tab/>
      </w:r>
      <w:r w:rsidR="0014063A" w:rsidRPr="00802AF9">
        <w:rPr>
          <w:b/>
          <w:lang w:val="fr-CA"/>
        </w:rPr>
        <w:t>PHASE</w:t>
      </w:r>
      <w:r w:rsidRPr="00802AF9">
        <w:rPr>
          <w:b/>
          <w:lang w:val="fr-CA"/>
        </w:rPr>
        <w:t xml:space="preserve"> I </w:t>
      </w:r>
      <w:r w:rsidR="00E5163D">
        <w:rPr>
          <w:b/>
          <w:lang w:val="fr-CA"/>
        </w:rPr>
        <w:t xml:space="preserve">DU </w:t>
      </w:r>
      <w:r w:rsidR="0014063A" w:rsidRPr="00802AF9">
        <w:rPr>
          <w:b/>
          <w:lang w:val="fr-CA"/>
        </w:rPr>
        <w:t>PLAN DE GESTION DE L’ÉLIMINATION DE HCFC</w:t>
      </w:r>
      <w:r w:rsidRPr="00802AF9">
        <w:rPr>
          <w:b/>
          <w:lang w:val="fr-CA"/>
        </w:rPr>
        <w:t xml:space="preserve"> </w:t>
      </w:r>
    </w:p>
    <w:p w14:paraId="04DDDE88" w14:textId="266DB252" w:rsidR="00661CF2" w:rsidRDefault="00661CF2" w:rsidP="00661CF2">
      <w:pPr>
        <w:spacing w:after="240"/>
        <w:outlineLvl w:val="0"/>
        <w:rPr>
          <w:b/>
          <w:lang w:val="fr-CA"/>
        </w:rPr>
      </w:pPr>
      <w:r>
        <w:rPr>
          <w:b/>
          <w:lang w:val="fr-CA"/>
        </w:rPr>
        <w:t>A</w:t>
      </w:r>
      <w:r w:rsidR="00E5163D">
        <w:rPr>
          <w:b/>
          <w:lang w:val="fr-CA"/>
        </w:rPr>
        <w:t xml:space="preserve">perçu de la </w:t>
      </w:r>
      <w:r w:rsidR="0014063A" w:rsidRPr="00802AF9">
        <w:rPr>
          <w:b/>
          <w:lang w:val="fr-CA"/>
        </w:rPr>
        <w:t>phase</w:t>
      </w:r>
      <w:r w:rsidR="0029763D" w:rsidRPr="00802AF9">
        <w:rPr>
          <w:b/>
          <w:lang w:val="fr-CA"/>
        </w:rPr>
        <w:t> I inclu</w:t>
      </w:r>
      <w:r w:rsidR="00E5163D">
        <w:rPr>
          <w:b/>
          <w:lang w:val="fr-CA"/>
        </w:rPr>
        <w:t xml:space="preserve">ant un résumé de l’état de mise en œuvre des </w:t>
      </w:r>
      <w:r w:rsidR="0029763D" w:rsidRPr="00802AF9">
        <w:rPr>
          <w:b/>
          <w:lang w:val="fr-CA"/>
        </w:rPr>
        <w:t xml:space="preserve">six </w:t>
      </w:r>
      <w:r w:rsidR="00494A38" w:rsidRPr="00802AF9">
        <w:rPr>
          <w:b/>
          <w:lang w:val="fr-CA"/>
        </w:rPr>
        <w:t>plan</w:t>
      </w:r>
      <w:r w:rsidR="00C709F6">
        <w:rPr>
          <w:b/>
          <w:lang w:val="fr-CA"/>
        </w:rPr>
        <w:t>s</w:t>
      </w:r>
      <w:r w:rsidR="00494A38" w:rsidRPr="00802AF9">
        <w:rPr>
          <w:b/>
          <w:lang w:val="fr-CA"/>
        </w:rPr>
        <w:t xml:space="preserve"> sectoriel</w:t>
      </w:r>
      <w:r w:rsidR="0029763D" w:rsidRPr="00802AF9">
        <w:rPr>
          <w:b/>
          <w:lang w:val="fr-CA"/>
        </w:rPr>
        <w:t>s</w:t>
      </w:r>
    </w:p>
    <w:p w14:paraId="59132183" w14:textId="79ABFACC" w:rsidR="0029763D" w:rsidRPr="00802AF9" w:rsidRDefault="00C709F6" w:rsidP="00661CF2">
      <w:pPr>
        <w:pStyle w:val="Heading1"/>
        <w:rPr>
          <w:lang w:val="fr-CA"/>
        </w:rPr>
      </w:pPr>
      <w:r>
        <w:rPr>
          <w:lang w:val="fr-CA"/>
        </w:rPr>
        <w:t xml:space="preserve">À sa </w:t>
      </w:r>
      <w:r w:rsidR="0029763D" w:rsidRPr="00802AF9">
        <w:rPr>
          <w:lang w:val="fr-CA"/>
        </w:rPr>
        <w:t>64</w:t>
      </w:r>
      <w:r>
        <w:rPr>
          <w:vertAlign w:val="superscript"/>
          <w:lang w:val="fr-CA"/>
        </w:rPr>
        <w:t>e</w:t>
      </w:r>
      <w:r w:rsidR="0029763D" w:rsidRPr="00802AF9">
        <w:rPr>
          <w:vertAlign w:val="superscript"/>
          <w:lang w:val="fr-CA"/>
        </w:rPr>
        <w:t> </w:t>
      </w:r>
      <w:r w:rsidR="0014063A" w:rsidRPr="00802AF9">
        <w:rPr>
          <w:lang w:val="fr-CA"/>
        </w:rPr>
        <w:t>réunion</w:t>
      </w:r>
      <w:r w:rsidR="0029763D" w:rsidRPr="00802AF9">
        <w:rPr>
          <w:lang w:val="fr-CA"/>
        </w:rPr>
        <w:t xml:space="preserve">, </w:t>
      </w:r>
      <w:r>
        <w:rPr>
          <w:lang w:val="fr-CA"/>
        </w:rPr>
        <w:t>l</w:t>
      </w:r>
      <w:r w:rsidR="0029763D" w:rsidRPr="00802AF9">
        <w:rPr>
          <w:lang w:val="fr-CA"/>
        </w:rPr>
        <w:t xml:space="preserve">e </w:t>
      </w:r>
      <w:r w:rsidR="0014063A" w:rsidRPr="00802AF9">
        <w:rPr>
          <w:lang w:val="fr-CA"/>
        </w:rPr>
        <w:t>Comité exécutif</w:t>
      </w:r>
      <w:r w:rsidR="0029763D" w:rsidRPr="00802AF9">
        <w:rPr>
          <w:lang w:val="fr-CA"/>
        </w:rPr>
        <w:t xml:space="preserve"> </w:t>
      </w:r>
      <w:r>
        <w:rPr>
          <w:lang w:val="fr-CA"/>
        </w:rPr>
        <w:t xml:space="preserve">avait approuvé en principe la </w:t>
      </w:r>
      <w:r w:rsidR="0014063A" w:rsidRPr="00802AF9">
        <w:rPr>
          <w:lang w:val="fr-CA"/>
        </w:rPr>
        <w:t>phase</w:t>
      </w:r>
      <w:r w:rsidR="0029763D" w:rsidRPr="00802AF9">
        <w:rPr>
          <w:lang w:val="fr-CA"/>
        </w:rPr>
        <w:t xml:space="preserve"> I </w:t>
      </w:r>
      <w:r>
        <w:rPr>
          <w:lang w:val="fr-CA"/>
        </w:rPr>
        <w:t>du</w:t>
      </w:r>
      <w:r w:rsidR="0029763D" w:rsidRPr="00802AF9">
        <w:rPr>
          <w:lang w:val="fr-CA"/>
        </w:rPr>
        <w:t xml:space="preserve"> </w:t>
      </w:r>
      <w:r>
        <w:rPr>
          <w:lang w:val="fr-CA"/>
        </w:rPr>
        <w:t>p</w:t>
      </w:r>
      <w:r w:rsidR="0014063A" w:rsidRPr="00802AF9">
        <w:rPr>
          <w:lang w:val="fr-CA"/>
        </w:rPr>
        <w:t>lan de gestion de l’élimination de HCFC</w:t>
      </w:r>
      <w:r w:rsidR="0029763D" w:rsidRPr="00802AF9">
        <w:rPr>
          <w:lang w:val="fr-CA"/>
        </w:rPr>
        <w:t xml:space="preserve"> (</w:t>
      </w:r>
      <w:r w:rsidR="00494A38" w:rsidRPr="00802AF9">
        <w:rPr>
          <w:lang w:val="fr-CA"/>
        </w:rPr>
        <w:t>PGEH</w:t>
      </w:r>
      <w:r w:rsidR="0029763D" w:rsidRPr="00802AF9">
        <w:rPr>
          <w:lang w:val="fr-CA"/>
        </w:rPr>
        <w:t xml:space="preserve">) </w:t>
      </w:r>
      <w:r>
        <w:rPr>
          <w:lang w:val="fr-CA"/>
        </w:rPr>
        <w:t xml:space="preserve">de la </w:t>
      </w:r>
      <w:r w:rsidR="00494A38" w:rsidRPr="00802AF9">
        <w:rPr>
          <w:lang w:val="fr-CA"/>
        </w:rPr>
        <w:t>Chine</w:t>
      </w:r>
      <w:r w:rsidR="0029763D" w:rsidRPr="00802AF9">
        <w:rPr>
          <w:lang w:val="fr-CA"/>
        </w:rPr>
        <w:t xml:space="preserve"> </w:t>
      </w:r>
      <w:r>
        <w:rPr>
          <w:lang w:val="fr-CA"/>
        </w:rPr>
        <w:t xml:space="preserve">pour la période </w:t>
      </w:r>
      <w:r w:rsidR="0029763D" w:rsidRPr="00802AF9">
        <w:rPr>
          <w:lang w:val="fr-CA"/>
        </w:rPr>
        <w:t>2011</w:t>
      </w:r>
      <w:r>
        <w:rPr>
          <w:lang w:val="fr-CA"/>
        </w:rPr>
        <w:t>-</w:t>
      </w:r>
      <w:r w:rsidR="0029763D" w:rsidRPr="00802AF9">
        <w:rPr>
          <w:lang w:val="fr-CA"/>
        </w:rPr>
        <w:t>2015</w:t>
      </w:r>
      <w:r>
        <w:rPr>
          <w:lang w:val="fr-CA"/>
        </w:rPr>
        <w:t xml:space="preserve">, pour un montant de </w:t>
      </w:r>
      <w:r w:rsidR="0029763D" w:rsidRPr="00802AF9">
        <w:rPr>
          <w:lang w:val="fr-CA"/>
        </w:rPr>
        <w:t>265</w:t>
      </w:r>
      <w:r>
        <w:rPr>
          <w:lang w:val="fr-CA"/>
        </w:rPr>
        <w:t> </w:t>
      </w:r>
      <w:r w:rsidR="0029763D" w:rsidRPr="00802AF9">
        <w:rPr>
          <w:lang w:val="fr-CA"/>
        </w:rPr>
        <w:t>million</w:t>
      </w:r>
      <w:r>
        <w:rPr>
          <w:lang w:val="fr-CA"/>
        </w:rPr>
        <w:t>s $US</w:t>
      </w:r>
      <w:r w:rsidR="0029763D" w:rsidRPr="00802AF9">
        <w:rPr>
          <w:lang w:val="fr-CA"/>
        </w:rPr>
        <w:t xml:space="preserve"> (exclu</w:t>
      </w:r>
      <w:r>
        <w:rPr>
          <w:lang w:val="fr-CA"/>
        </w:rPr>
        <w:t>ant les coûts d’appui d’agence</w:t>
      </w:r>
      <w:r w:rsidR="0029763D" w:rsidRPr="00802AF9">
        <w:rPr>
          <w:lang w:val="fr-CA"/>
        </w:rPr>
        <w:t xml:space="preserve">), </w:t>
      </w:r>
      <w:r>
        <w:rPr>
          <w:lang w:val="fr-CA"/>
        </w:rPr>
        <w:t xml:space="preserve">concernant la </w:t>
      </w:r>
      <w:r w:rsidR="00B6667F">
        <w:rPr>
          <w:lang w:val="fr-CA"/>
        </w:rPr>
        <w:t>mousses</w:t>
      </w:r>
      <w:r>
        <w:rPr>
          <w:lang w:val="fr-CA"/>
        </w:rPr>
        <w:t xml:space="preserve"> de </w:t>
      </w:r>
      <w:r w:rsidR="0029763D" w:rsidRPr="00802AF9">
        <w:rPr>
          <w:lang w:val="fr-CA"/>
        </w:rPr>
        <w:t>polystyr</w:t>
      </w:r>
      <w:r>
        <w:rPr>
          <w:lang w:val="fr-CA"/>
        </w:rPr>
        <w:t>è</w:t>
      </w:r>
      <w:r w:rsidR="0029763D" w:rsidRPr="00802AF9">
        <w:rPr>
          <w:lang w:val="fr-CA"/>
        </w:rPr>
        <w:t>ne</w:t>
      </w:r>
      <w:r>
        <w:rPr>
          <w:lang w:val="fr-CA"/>
        </w:rPr>
        <w:t xml:space="preserve"> extrudé</w:t>
      </w:r>
      <w:r w:rsidR="0029763D" w:rsidRPr="00802AF9">
        <w:rPr>
          <w:lang w:val="fr-CA"/>
        </w:rPr>
        <w:t xml:space="preserve"> (XPS), </w:t>
      </w:r>
      <w:r>
        <w:rPr>
          <w:lang w:val="fr-CA"/>
        </w:rPr>
        <w:t xml:space="preserve">la </w:t>
      </w:r>
      <w:r w:rsidR="00B6667F">
        <w:rPr>
          <w:lang w:val="fr-CA"/>
        </w:rPr>
        <w:t>mousses</w:t>
      </w:r>
      <w:r>
        <w:rPr>
          <w:lang w:val="fr-CA"/>
        </w:rPr>
        <w:t xml:space="preserve"> de </w:t>
      </w:r>
      <w:r w:rsidR="0029763D" w:rsidRPr="00802AF9">
        <w:rPr>
          <w:lang w:val="fr-CA"/>
        </w:rPr>
        <w:t>polyur</w:t>
      </w:r>
      <w:r>
        <w:rPr>
          <w:lang w:val="fr-CA"/>
        </w:rPr>
        <w:t>é</w:t>
      </w:r>
      <w:r w:rsidR="0029763D" w:rsidRPr="00802AF9">
        <w:rPr>
          <w:lang w:val="fr-CA"/>
        </w:rPr>
        <w:t xml:space="preserve">thane (PU), </w:t>
      </w:r>
      <w:r>
        <w:rPr>
          <w:lang w:val="fr-CA"/>
        </w:rPr>
        <w:t xml:space="preserve">la réfrigération et la climatisation </w:t>
      </w:r>
      <w:r w:rsidR="0029763D" w:rsidRPr="00802AF9">
        <w:rPr>
          <w:lang w:val="fr-CA"/>
        </w:rPr>
        <w:t>industri</w:t>
      </w:r>
      <w:r>
        <w:rPr>
          <w:lang w:val="fr-CA"/>
        </w:rPr>
        <w:t>e</w:t>
      </w:r>
      <w:r w:rsidR="0029763D" w:rsidRPr="00802AF9">
        <w:rPr>
          <w:lang w:val="fr-CA"/>
        </w:rPr>
        <w:t>l</w:t>
      </w:r>
      <w:r>
        <w:rPr>
          <w:lang w:val="fr-CA"/>
        </w:rPr>
        <w:t>les et commerciales</w:t>
      </w:r>
      <w:r w:rsidR="00D46BEA">
        <w:rPr>
          <w:lang w:val="fr-CA"/>
        </w:rPr>
        <w:t xml:space="preserve"> (ICR)</w:t>
      </w:r>
      <w:r w:rsidR="0029763D" w:rsidRPr="00802AF9">
        <w:rPr>
          <w:lang w:val="fr-CA"/>
        </w:rPr>
        <w:t xml:space="preserve">, </w:t>
      </w:r>
      <w:r>
        <w:rPr>
          <w:lang w:val="fr-CA"/>
        </w:rPr>
        <w:t xml:space="preserve">la fabrication de climatiseurs individuels, le secteur de l’entretien en réfrigération et climatisation (R&amp;C), le programme national de facilitation et le plan national de </w:t>
      </w:r>
      <w:r w:rsidR="0029763D" w:rsidRPr="00802AF9">
        <w:rPr>
          <w:lang w:val="fr-CA"/>
        </w:rPr>
        <w:t xml:space="preserve">coordination. </w:t>
      </w:r>
      <w:r>
        <w:rPr>
          <w:lang w:val="fr-CA"/>
        </w:rPr>
        <w:t>Le Comité a</w:t>
      </w:r>
      <w:r w:rsidR="00A8096B">
        <w:rPr>
          <w:lang w:val="fr-CA"/>
        </w:rPr>
        <w:t>vait</w:t>
      </w:r>
      <w:r>
        <w:rPr>
          <w:lang w:val="fr-CA"/>
        </w:rPr>
        <w:t xml:space="preserve"> décidé en outre que le secteur des solvants, </w:t>
      </w:r>
      <w:r w:rsidR="00A8096B">
        <w:rPr>
          <w:lang w:val="fr-CA"/>
        </w:rPr>
        <w:t xml:space="preserve">qui est à un niveau maximal de financement allant jusqu’à </w:t>
      </w:r>
      <w:r w:rsidR="0029763D" w:rsidRPr="00802AF9">
        <w:rPr>
          <w:lang w:val="fr-CA"/>
        </w:rPr>
        <w:t>5</w:t>
      </w:r>
      <w:r w:rsidR="00A8096B">
        <w:rPr>
          <w:lang w:val="fr-CA"/>
        </w:rPr>
        <w:t> </w:t>
      </w:r>
      <w:r w:rsidR="0029763D" w:rsidRPr="00802AF9">
        <w:rPr>
          <w:lang w:val="fr-CA"/>
        </w:rPr>
        <w:t>000</w:t>
      </w:r>
      <w:r w:rsidR="00A8096B">
        <w:rPr>
          <w:lang w:val="fr-CA"/>
        </w:rPr>
        <w:t> </w:t>
      </w:r>
      <w:r w:rsidR="0029763D" w:rsidRPr="00802AF9">
        <w:rPr>
          <w:lang w:val="fr-CA"/>
        </w:rPr>
        <w:t>000</w:t>
      </w:r>
      <w:r w:rsidR="00A8096B">
        <w:rPr>
          <w:lang w:val="fr-CA"/>
        </w:rPr>
        <w:t> $US</w:t>
      </w:r>
      <w:r w:rsidR="0029763D" w:rsidRPr="00802AF9">
        <w:rPr>
          <w:lang w:val="fr-CA"/>
        </w:rPr>
        <w:t xml:space="preserve"> (</w:t>
      </w:r>
      <w:r w:rsidR="00A8096B">
        <w:rPr>
          <w:lang w:val="fr-CA"/>
        </w:rPr>
        <w:t>excluant les coûts d’appui</w:t>
      </w:r>
      <w:r w:rsidR="0029763D" w:rsidRPr="00802AF9">
        <w:rPr>
          <w:lang w:val="fr-CA"/>
        </w:rPr>
        <w:t xml:space="preserve">), </w:t>
      </w:r>
      <w:r w:rsidR="00A8096B">
        <w:rPr>
          <w:lang w:val="fr-CA"/>
        </w:rPr>
        <w:t xml:space="preserve">pourrait être à la </w:t>
      </w:r>
      <w:r w:rsidR="0029763D" w:rsidRPr="00802AF9">
        <w:rPr>
          <w:lang w:val="fr-CA"/>
        </w:rPr>
        <w:t>65</w:t>
      </w:r>
      <w:r w:rsidR="00A8096B">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sidR="00494A38" w:rsidRPr="00802AF9">
        <w:rPr>
          <w:lang w:val="fr-CA"/>
        </w:rPr>
        <w:t>décision</w:t>
      </w:r>
      <w:r w:rsidR="0029763D" w:rsidRPr="00802AF9">
        <w:rPr>
          <w:lang w:val="fr-CA"/>
        </w:rPr>
        <w:t xml:space="preserve"> 64/49). </w:t>
      </w:r>
      <w:r w:rsidR="00A8096B">
        <w:rPr>
          <w:lang w:val="fr-CA"/>
        </w:rPr>
        <w:t xml:space="preserve">Avec l’approbation du </w:t>
      </w:r>
      <w:r w:rsidR="00494A38" w:rsidRPr="00802AF9">
        <w:rPr>
          <w:lang w:val="fr-CA"/>
        </w:rPr>
        <w:t>plan sectoriel</w:t>
      </w:r>
      <w:r w:rsidR="0029763D" w:rsidRPr="00802AF9">
        <w:rPr>
          <w:lang w:val="fr-CA"/>
        </w:rPr>
        <w:t xml:space="preserve"> </w:t>
      </w:r>
      <w:r w:rsidR="00A8096B">
        <w:rPr>
          <w:lang w:val="fr-CA"/>
        </w:rPr>
        <w:t xml:space="preserve">des solvants à la </w:t>
      </w:r>
      <w:r w:rsidR="0029763D" w:rsidRPr="00802AF9">
        <w:rPr>
          <w:lang w:val="fr-CA"/>
        </w:rPr>
        <w:t>65</w:t>
      </w:r>
      <w:r w:rsidR="00A8096B">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sidR="00494A38" w:rsidRPr="00802AF9">
        <w:rPr>
          <w:lang w:val="fr-CA"/>
        </w:rPr>
        <w:t>décision</w:t>
      </w:r>
      <w:r w:rsidR="0029763D" w:rsidRPr="00802AF9">
        <w:rPr>
          <w:lang w:val="fr-CA"/>
        </w:rPr>
        <w:t xml:space="preserve"> 65/36), </w:t>
      </w:r>
      <w:r w:rsidR="00A8096B">
        <w:rPr>
          <w:lang w:val="fr-CA"/>
        </w:rPr>
        <w:t xml:space="preserve">le financement global de la </w:t>
      </w:r>
      <w:r w:rsidR="0014063A" w:rsidRPr="00802AF9">
        <w:rPr>
          <w:lang w:val="fr-CA"/>
        </w:rPr>
        <w:t>phase</w:t>
      </w:r>
      <w:r w:rsidR="0029763D" w:rsidRPr="00802AF9">
        <w:rPr>
          <w:lang w:val="fr-CA"/>
        </w:rPr>
        <w:t xml:space="preserve"> I </w:t>
      </w:r>
      <w:r w:rsidR="00A8096B">
        <w:rPr>
          <w:lang w:val="fr-CA"/>
        </w:rPr>
        <w:t>du</w:t>
      </w:r>
      <w:r w:rsidR="0029763D" w:rsidRPr="00802AF9">
        <w:rPr>
          <w:lang w:val="fr-CA"/>
        </w:rPr>
        <w:t xml:space="preserve"> </w:t>
      </w:r>
      <w:r w:rsidR="00494A38" w:rsidRPr="00802AF9">
        <w:rPr>
          <w:lang w:val="fr-CA"/>
        </w:rPr>
        <w:t>PGEH</w:t>
      </w:r>
      <w:r w:rsidR="0029763D" w:rsidRPr="00802AF9">
        <w:rPr>
          <w:lang w:val="fr-CA"/>
        </w:rPr>
        <w:t xml:space="preserve"> </w:t>
      </w:r>
      <w:r w:rsidR="00A8096B">
        <w:rPr>
          <w:lang w:val="fr-CA"/>
        </w:rPr>
        <w:t>de la</w:t>
      </w:r>
      <w:r w:rsidR="0029763D" w:rsidRPr="00802AF9">
        <w:rPr>
          <w:lang w:val="fr-CA"/>
        </w:rPr>
        <w:t xml:space="preserve"> </w:t>
      </w:r>
      <w:r w:rsidR="00494A38" w:rsidRPr="00802AF9">
        <w:rPr>
          <w:lang w:val="fr-CA"/>
        </w:rPr>
        <w:t>Chine</w:t>
      </w:r>
      <w:r w:rsidR="0029763D" w:rsidRPr="00802AF9">
        <w:rPr>
          <w:lang w:val="fr-CA"/>
        </w:rPr>
        <w:t xml:space="preserve"> </w:t>
      </w:r>
      <w:r w:rsidR="00A8096B">
        <w:rPr>
          <w:lang w:val="fr-CA"/>
        </w:rPr>
        <w:t xml:space="preserve">s’élevait à </w:t>
      </w:r>
      <w:r w:rsidR="0029763D" w:rsidRPr="00802AF9">
        <w:rPr>
          <w:lang w:val="fr-CA"/>
        </w:rPr>
        <w:t>270</w:t>
      </w:r>
      <w:r w:rsidR="00A8096B">
        <w:rPr>
          <w:lang w:val="fr-CA"/>
        </w:rPr>
        <w:t> </w:t>
      </w:r>
      <w:r w:rsidR="0029763D" w:rsidRPr="00802AF9">
        <w:rPr>
          <w:lang w:val="fr-CA"/>
        </w:rPr>
        <w:t>000</w:t>
      </w:r>
      <w:r w:rsidR="00A8096B">
        <w:rPr>
          <w:lang w:val="fr-CA"/>
        </w:rPr>
        <w:t> </w:t>
      </w:r>
      <w:r w:rsidR="0029763D" w:rsidRPr="00802AF9">
        <w:rPr>
          <w:lang w:val="fr-CA"/>
        </w:rPr>
        <w:t>000</w:t>
      </w:r>
      <w:r w:rsidR="00A8096B">
        <w:rPr>
          <w:lang w:val="fr-CA"/>
        </w:rPr>
        <w:t> $US</w:t>
      </w:r>
      <w:r w:rsidR="0029763D" w:rsidRPr="00802AF9">
        <w:rPr>
          <w:lang w:val="fr-CA"/>
        </w:rPr>
        <w:t xml:space="preserve">. </w:t>
      </w:r>
    </w:p>
    <w:p w14:paraId="4DF98E15" w14:textId="1FDA6FB0" w:rsidR="0029763D" w:rsidRPr="00802AF9" w:rsidRDefault="00A8096B" w:rsidP="0029763D">
      <w:pPr>
        <w:numPr>
          <w:ilvl w:val="0"/>
          <w:numId w:val="1"/>
        </w:numPr>
        <w:spacing w:after="240"/>
        <w:outlineLvl w:val="0"/>
        <w:rPr>
          <w:lang w:val="fr-CA"/>
        </w:rPr>
      </w:pPr>
      <w:r>
        <w:rPr>
          <w:lang w:val="fr-CA"/>
        </w:rPr>
        <w:t xml:space="preserve">L’Accord conclu entre le </w:t>
      </w:r>
      <w:r w:rsidR="00494A38" w:rsidRPr="00802AF9">
        <w:rPr>
          <w:lang w:val="fr-CA"/>
        </w:rPr>
        <w:t>Gouvernement</w:t>
      </w:r>
      <w:r w:rsidR="0029763D" w:rsidRPr="00802AF9">
        <w:rPr>
          <w:lang w:val="fr-CA"/>
        </w:rPr>
        <w:t xml:space="preserve"> </w:t>
      </w:r>
      <w:r>
        <w:rPr>
          <w:lang w:val="fr-CA"/>
        </w:rPr>
        <w:t xml:space="preserve">chinois et le </w:t>
      </w:r>
      <w:r w:rsidR="0014063A" w:rsidRPr="00802AF9">
        <w:rPr>
          <w:lang w:val="fr-CA"/>
        </w:rPr>
        <w:t>Comité exécutif</w:t>
      </w:r>
      <w:r w:rsidR="0029763D" w:rsidRPr="00802AF9">
        <w:rPr>
          <w:lang w:val="fr-CA"/>
        </w:rPr>
        <w:t xml:space="preserve"> </w:t>
      </w:r>
      <w:r>
        <w:rPr>
          <w:lang w:val="fr-CA"/>
        </w:rPr>
        <w:t xml:space="preserve">a été mis à jour plusieurs fois et finalisé à la </w:t>
      </w:r>
      <w:r w:rsidR="0029763D" w:rsidRPr="00802AF9">
        <w:rPr>
          <w:lang w:val="fr-CA"/>
        </w:rPr>
        <w:t>67</w:t>
      </w:r>
      <w:r>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Pr>
          <w:lang w:val="fr-CA"/>
        </w:rPr>
        <w:t>pour tenir compte du niveau de référence des HCFC nouvellement établi pour la Chine aux fins de conformité</w:t>
      </w:r>
      <w:r w:rsidR="0029763D" w:rsidRPr="00802AF9">
        <w:rPr>
          <w:lang w:val="fr-CA"/>
        </w:rPr>
        <w:t xml:space="preserve">, </w:t>
      </w:r>
      <w:r>
        <w:rPr>
          <w:lang w:val="fr-CA"/>
        </w:rPr>
        <w:t>le changement de responsabilité des agences coopérantes</w:t>
      </w:r>
      <w:r w:rsidR="0029763D" w:rsidRPr="00802AF9">
        <w:rPr>
          <w:lang w:val="fr-CA"/>
        </w:rPr>
        <w:t xml:space="preserve">, </w:t>
      </w:r>
      <w:r>
        <w:rPr>
          <w:lang w:val="fr-CA"/>
        </w:rPr>
        <w:t xml:space="preserve">et les coûts </w:t>
      </w:r>
      <w:r w:rsidR="00C709F6">
        <w:rPr>
          <w:lang w:val="fr-CA"/>
        </w:rPr>
        <w:t>d’appui</w:t>
      </w:r>
      <w:r w:rsidR="0029763D" w:rsidRPr="00802AF9">
        <w:rPr>
          <w:lang w:val="fr-CA"/>
        </w:rPr>
        <w:t xml:space="preserve"> </w:t>
      </w:r>
      <w:r>
        <w:rPr>
          <w:lang w:val="fr-CA"/>
        </w:rPr>
        <w:t xml:space="preserve">d’agence établis </w:t>
      </w:r>
      <w:r w:rsidR="0029763D" w:rsidRPr="00802AF9">
        <w:rPr>
          <w:lang w:val="fr-CA"/>
        </w:rPr>
        <w:t>(</w:t>
      </w:r>
      <w:r w:rsidR="00494A38" w:rsidRPr="00802AF9">
        <w:rPr>
          <w:lang w:val="fr-CA"/>
        </w:rPr>
        <w:t>décision</w:t>
      </w:r>
      <w:r w:rsidR="0029763D" w:rsidRPr="00802AF9">
        <w:rPr>
          <w:lang w:val="fr-CA"/>
        </w:rPr>
        <w:t> 67/20).</w:t>
      </w:r>
    </w:p>
    <w:p w14:paraId="79CCA041" w14:textId="0124B56B" w:rsidR="0029763D" w:rsidRPr="00802AF9" w:rsidRDefault="00A8096B" w:rsidP="0029763D">
      <w:pPr>
        <w:numPr>
          <w:ilvl w:val="0"/>
          <w:numId w:val="1"/>
        </w:numPr>
        <w:spacing w:after="240"/>
        <w:outlineLvl w:val="0"/>
        <w:rPr>
          <w:lang w:val="fr-CA"/>
        </w:rPr>
      </w:pPr>
      <w:r>
        <w:rPr>
          <w:lang w:val="fr-CA"/>
        </w:rPr>
        <w:t xml:space="preserve">Afin d’assurer l’application des niveaux de contrôle de référence de la consommation des HCFC en Chine, établis en 2013 et 2915 dans le </w:t>
      </w:r>
      <w:r w:rsidR="00494A38" w:rsidRPr="00802AF9">
        <w:rPr>
          <w:lang w:val="fr-CA"/>
        </w:rPr>
        <w:t>Protocole de Montréal</w:t>
      </w:r>
      <w:r>
        <w:rPr>
          <w:lang w:val="fr-CA"/>
        </w:rPr>
        <w:t xml:space="preserve">, des niveaux de </w:t>
      </w:r>
      <w:r w:rsidR="00825570" w:rsidRPr="00802AF9">
        <w:rPr>
          <w:lang w:val="fr-CA"/>
        </w:rPr>
        <w:t>consommation</w:t>
      </w:r>
      <w:r w:rsidR="0029763D" w:rsidRPr="00802AF9">
        <w:rPr>
          <w:lang w:val="fr-CA"/>
        </w:rPr>
        <w:t xml:space="preserve"> </w:t>
      </w:r>
      <w:r>
        <w:rPr>
          <w:lang w:val="fr-CA"/>
        </w:rPr>
        <w:t xml:space="preserve">visés ont été établis pour chacun des </w:t>
      </w:r>
      <w:r w:rsidR="0029763D" w:rsidRPr="00802AF9">
        <w:rPr>
          <w:lang w:val="fr-CA"/>
        </w:rPr>
        <w:t xml:space="preserve">six </w:t>
      </w:r>
      <w:r w:rsidR="00494A38" w:rsidRPr="00802AF9">
        <w:rPr>
          <w:lang w:val="fr-CA"/>
        </w:rPr>
        <w:t>plan</w:t>
      </w:r>
      <w:r>
        <w:rPr>
          <w:lang w:val="fr-CA"/>
        </w:rPr>
        <w:t>s</w:t>
      </w:r>
      <w:r w:rsidR="00494A38" w:rsidRPr="00802AF9">
        <w:rPr>
          <w:lang w:val="fr-CA"/>
        </w:rPr>
        <w:t xml:space="preserve"> sectoriel</w:t>
      </w:r>
      <w:r w:rsidR="0029763D" w:rsidRPr="00802AF9">
        <w:rPr>
          <w:lang w:val="fr-CA"/>
        </w:rPr>
        <w:t xml:space="preserve">s, </w:t>
      </w:r>
      <w:r>
        <w:rPr>
          <w:lang w:val="fr-CA"/>
        </w:rPr>
        <w:t xml:space="preserve">comme l’indique le </w:t>
      </w:r>
      <w:r w:rsidR="0029763D" w:rsidRPr="00802AF9">
        <w:rPr>
          <w:lang w:val="fr-CA"/>
        </w:rPr>
        <w:t>Table</w:t>
      </w:r>
      <w:r>
        <w:rPr>
          <w:lang w:val="fr-CA"/>
        </w:rPr>
        <w:t>au</w:t>
      </w:r>
      <w:r w:rsidR="0029763D" w:rsidRPr="00802AF9">
        <w:rPr>
          <w:lang w:val="fr-CA"/>
        </w:rPr>
        <w:t> 1.</w:t>
      </w:r>
    </w:p>
    <w:p w14:paraId="3A2CDBA5" w14:textId="34745A40" w:rsidR="0029763D" w:rsidRPr="00802AF9" w:rsidRDefault="0029763D" w:rsidP="0029763D">
      <w:pPr>
        <w:rPr>
          <w:b/>
          <w:sz w:val="21"/>
          <w:szCs w:val="21"/>
          <w:lang w:val="fr-CA"/>
        </w:rPr>
      </w:pPr>
      <w:r w:rsidRPr="00802AF9">
        <w:rPr>
          <w:b/>
          <w:sz w:val="21"/>
          <w:szCs w:val="21"/>
          <w:lang w:val="fr-CA"/>
        </w:rPr>
        <w:t>Table</w:t>
      </w:r>
      <w:r w:rsidR="00D46BEA">
        <w:rPr>
          <w:b/>
          <w:sz w:val="21"/>
          <w:szCs w:val="21"/>
          <w:lang w:val="fr-CA"/>
        </w:rPr>
        <w:t>au</w:t>
      </w:r>
      <w:r w:rsidRPr="00802AF9">
        <w:rPr>
          <w:b/>
          <w:sz w:val="21"/>
          <w:szCs w:val="21"/>
          <w:lang w:val="fr-CA"/>
        </w:rPr>
        <w:t xml:space="preserve"> 1. </w:t>
      </w:r>
      <w:r w:rsidR="00D46BEA">
        <w:rPr>
          <w:b/>
          <w:sz w:val="21"/>
          <w:szCs w:val="21"/>
          <w:lang w:val="fr-CA"/>
        </w:rPr>
        <w:t xml:space="preserve">Limites de </w:t>
      </w:r>
      <w:r w:rsidR="00825570" w:rsidRPr="00802AF9">
        <w:rPr>
          <w:b/>
          <w:sz w:val="21"/>
          <w:szCs w:val="21"/>
          <w:lang w:val="fr-CA"/>
        </w:rPr>
        <w:t>consommation</w:t>
      </w:r>
      <w:r w:rsidRPr="00802AF9">
        <w:rPr>
          <w:b/>
          <w:sz w:val="21"/>
          <w:szCs w:val="21"/>
          <w:lang w:val="fr-CA"/>
        </w:rPr>
        <w:t xml:space="preserve"> </w:t>
      </w:r>
      <w:r w:rsidR="00D46BEA">
        <w:rPr>
          <w:b/>
          <w:sz w:val="21"/>
          <w:szCs w:val="21"/>
          <w:lang w:val="fr-CA"/>
        </w:rPr>
        <w:t xml:space="preserve">de HCFC et quantité d’élimination visée dans les secteurs de la consommation pour la </w:t>
      </w:r>
      <w:r w:rsidR="0014063A" w:rsidRPr="00802AF9">
        <w:rPr>
          <w:b/>
          <w:sz w:val="21"/>
          <w:szCs w:val="21"/>
          <w:lang w:val="fr-CA"/>
        </w:rPr>
        <w:t>phase</w:t>
      </w:r>
      <w:r w:rsidRPr="00802AF9">
        <w:rPr>
          <w:b/>
          <w:sz w:val="21"/>
          <w:szCs w:val="21"/>
          <w:lang w:val="fr-CA"/>
        </w:rPr>
        <w:t xml:space="preserve"> I </w:t>
      </w:r>
      <w:r w:rsidR="00D46BEA">
        <w:rPr>
          <w:b/>
          <w:sz w:val="21"/>
          <w:szCs w:val="21"/>
          <w:lang w:val="fr-CA"/>
        </w:rPr>
        <w:t>du</w:t>
      </w:r>
      <w:r w:rsidRPr="00802AF9">
        <w:rPr>
          <w:b/>
          <w:sz w:val="21"/>
          <w:szCs w:val="21"/>
          <w:lang w:val="fr-CA"/>
        </w:rPr>
        <w:t xml:space="preserve"> </w:t>
      </w:r>
      <w:r w:rsidR="00494A38" w:rsidRPr="00802AF9">
        <w:rPr>
          <w:b/>
          <w:sz w:val="21"/>
          <w:szCs w:val="21"/>
          <w:lang w:val="fr-CA"/>
        </w:rPr>
        <w:t>PGEH</w:t>
      </w:r>
      <w:r w:rsidRPr="00802AF9">
        <w:rPr>
          <w:b/>
          <w:sz w:val="21"/>
          <w:szCs w:val="21"/>
          <w:lang w:val="fr-CA"/>
        </w:rPr>
        <w:t xml:space="preserve"> </w:t>
      </w:r>
      <w:r w:rsidR="00D46BEA">
        <w:rPr>
          <w:b/>
          <w:sz w:val="21"/>
          <w:szCs w:val="21"/>
          <w:lang w:val="fr-CA"/>
        </w:rPr>
        <w:t>de la</w:t>
      </w:r>
      <w:r w:rsidRPr="00802AF9">
        <w:rPr>
          <w:b/>
          <w:sz w:val="21"/>
          <w:szCs w:val="21"/>
          <w:lang w:val="fr-CA"/>
        </w:rPr>
        <w:t xml:space="preserve"> </w:t>
      </w:r>
      <w:r w:rsidR="00494A38" w:rsidRPr="00802AF9">
        <w:rPr>
          <w:b/>
          <w:sz w:val="21"/>
          <w:szCs w:val="21"/>
          <w:lang w:val="fr-CA"/>
        </w:rPr>
        <w:t>Chine</w:t>
      </w:r>
    </w:p>
    <w:tbl>
      <w:tblPr>
        <w:tblStyle w:val="TableGrid10"/>
        <w:tblW w:w="0" w:type="auto"/>
        <w:tblInd w:w="-5" w:type="dxa"/>
        <w:tblLook w:val="04A0" w:firstRow="1" w:lastRow="0" w:firstColumn="1" w:lastColumn="0" w:noHBand="0" w:noVBand="1"/>
      </w:tblPr>
      <w:tblGrid>
        <w:gridCol w:w="3068"/>
        <w:gridCol w:w="1571"/>
        <w:gridCol w:w="1572"/>
        <w:gridCol w:w="1572"/>
        <w:gridCol w:w="1572"/>
      </w:tblGrid>
      <w:tr w:rsidR="0029763D" w:rsidRPr="00802AF9" w14:paraId="2D34B808" w14:textId="77777777" w:rsidTr="003F073E">
        <w:tc>
          <w:tcPr>
            <w:tcW w:w="3068" w:type="dxa"/>
            <w:vMerge w:val="restart"/>
            <w:vAlign w:val="center"/>
          </w:tcPr>
          <w:p w14:paraId="65F3107F" w14:textId="0B2E174A" w:rsidR="0029763D" w:rsidRPr="00802AF9" w:rsidRDefault="0029763D" w:rsidP="003F073E">
            <w:pPr>
              <w:jc w:val="left"/>
              <w:rPr>
                <w:b/>
                <w:sz w:val="20"/>
                <w:szCs w:val="20"/>
                <w:lang w:val="fr-CA"/>
              </w:rPr>
            </w:pPr>
            <w:r w:rsidRPr="00802AF9">
              <w:rPr>
                <w:b/>
                <w:sz w:val="20"/>
                <w:szCs w:val="20"/>
                <w:lang w:val="fr-CA"/>
              </w:rPr>
              <w:t>N</w:t>
            </w:r>
            <w:r w:rsidR="00D46BEA">
              <w:rPr>
                <w:b/>
                <w:sz w:val="20"/>
                <w:szCs w:val="20"/>
                <w:lang w:val="fr-CA"/>
              </w:rPr>
              <w:t>iveau n</w:t>
            </w:r>
            <w:r w:rsidRPr="00802AF9">
              <w:rPr>
                <w:b/>
                <w:sz w:val="20"/>
                <w:szCs w:val="20"/>
                <w:lang w:val="fr-CA"/>
              </w:rPr>
              <w:t>ational/sector</w:t>
            </w:r>
            <w:r w:rsidR="00D46BEA">
              <w:rPr>
                <w:b/>
                <w:sz w:val="20"/>
                <w:szCs w:val="20"/>
                <w:lang w:val="fr-CA"/>
              </w:rPr>
              <w:t>iel</w:t>
            </w:r>
          </w:p>
        </w:tc>
        <w:tc>
          <w:tcPr>
            <w:tcW w:w="3143" w:type="dxa"/>
            <w:gridSpan w:val="2"/>
          </w:tcPr>
          <w:p w14:paraId="38CCC3E2" w14:textId="6FBE24EC" w:rsidR="0029763D" w:rsidRPr="00802AF9" w:rsidRDefault="0029763D" w:rsidP="003F073E">
            <w:pPr>
              <w:jc w:val="center"/>
              <w:rPr>
                <w:b/>
                <w:sz w:val="20"/>
                <w:szCs w:val="20"/>
                <w:lang w:val="fr-CA"/>
              </w:rPr>
            </w:pPr>
            <w:r w:rsidRPr="00802AF9">
              <w:rPr>
                <w:b/>
                <w:sz w:val="20"/>
                <w:szCs w:val="20"/>
                <w:lang w:val="fr-CA"/>
              </w:rPr>
              <w:t>2013 (</w:t>
            </w:r>
            <w:r w:rsidR="00D46BEA">
              <w:rPr>
                <w:b/>
                <w:sz w:val="20"/>
                <w:szCs w:val="20"/>
                <w:lang w:val="fr-CA"/>
              </w:rPr>
              <w:t>t</w:t>
            </w:r>
            <w:r w:rsidR="00494A38" w:rsidRPr="00802AF9">
              <w:rPr>
                <w:b/>
                <w:sz w:val="20"/>
                <w:szCs w:val="20"/>
                <w:lang w:val="fr-CA"/>
              </w:rPr>
              <w:t>onnes PAO</w:t>
            </w:r>
            <w:r w:rsidRPr="00802AF9">
              <w:rPr>
                <w:b/>
                <w:sz w:val="20"/>
                <w:szCs w:val="20"/>
                <w:lang w:val="fr-CA"/>
              </w:rPr>
              <w:t>)</w:t>
            </w:r>
          </w:p>
        </w:tc>
        <w:tc>
          <w:tcPr>
            <w:tcW w:w="3144" w:type="dxa"/>
            <w:gridSpan w:val="2"/>
          </w:tcPr>
          <w:p w14:paraId="22839696" w14:textId="2035C679" w:rsidR="0029763D" w:rsidRPr="00802AF9" w:rsidRDefault="0029763D" w:rsidP="003F073E">
            <w:pPr>
              <w:jc w:val="center"/>
              <w:rPr>
                <w:b/>
                <w:sz w:val="20"/>
                <w:szCs w:val="20"/>
                <w:lang w:val="fr-CA"/>
              </w:rPr>
            </w:pPr>
            <w:r w:rsidRPr="00802AF9">
              <w:rPr>
                <w:b/>
                <w:sz w:val="20"/>
                <w:szCs w:val="20"/>
                <w:lang w:val="fr-CA"/>
              </w:rPr>
              <w:t>2015 (</w:t>
            </w:r>
            <w:r w:rsidR="00D46BEA">
              <w:rPr>
                <w:b/>
                <w:sz w:val="20"/>
                <w:szCs w:val="20"/>
                <w:lang w:val="fr-CA"/>
              </w:rPr>
              <w:t>t</w:t>
            </w:r>
            <w:r w:rsidR="00494A38" w:rsidRPr="00802AF9">
              <w:rPr>
                <w:b/>
                <w:sz w:val="20"/>
                <w:szCs w:val="20"/>
                <w:lang w:val="fr-CA"/>
              </w:rPr>
              <w:t>onnes PAO</w:t>
            </w:r>
            <w:r w:rsidRPr="00802AF9">
              <w:rPr>
                <w:b/>
                <w:sz w:val="20"/>
                <w:szCs w:val="20"/>
                <w:lang w:val="fr-CA"/>
              </w:rPr>
              <w:t>)</w:t>
            </w:r>
          </w:p>
        </w:tc>
      </w:tr>
      <w:tr w:rsidR="0029763D" w:rsidRPr="00802AF9" w14:paraId="41962C55" w14:textId="77777777" w:rsidTr="003F073E">
        <w:tc>
          <w:tcPr>
            <w:tcW w:w="3068" w:type="dxa"/>
            <w:vMerge/>
          </w:tcPr>
          <w:p w14:paraId="5A84E5F1" w14:textId="77777777" w:rsidR="0029763D" w:rsidRPr="00802AF9" w:rsidRDefault="0029763D" w:rsidP="003F073E">
            <w:pPr>
              <w:rPr>
                <w:sz w:val="20"/>
                <w:szCs w:val="20"/>
                <w:lang w:val="fr-CA"/>
              </w:rPr>
            </w:pPr>
          </w:p>
        </w:tc>
        <w:tc>
          <w:tcPr>
            <w:tcW w:w="1571" w:type="dxa"/>
            <w:tcMar>
              <w:left w:w="0" w:type="dxa"/>
              <w:right w:w="0" w:type="dxa"/>
            </w:tcMar>
          </w:tcPr>
          <w:p w14:paraId="377642FD" w14:textId="3FBCB7A7" w:rsidR="0029763D" w:rsidRPr="00802AF9" w:rsidRDefault="00D46BEA" w:rsidP="003F073E">
            <w:pPr>
              <w:jc w:val="center"/>
              <w:rPr>
                <w:sz w:val="20"/>
                <w:szCs w:val="20"/>
                <w:lang w:val="fr-CA"/>
              </w:rPr>
            </w:pPr>
            <w:r>
              <w:rPr>
                <w:sz w:val="20"/>
                <w:szCs w:val="20"/>
                <w:lang w:val="fr-CA"/>
              </w:rPr>
              <w:t>C</w:t>
            </w:r>
            <w:r w:rsidR="00825570" w:rsidRPr="00802AF9">
              <w:rPr>
                <w:sz w:val="20"/>
                <w:szCs w:val="20"/>
                <w:lang w:val="fr-CA"/>
              </w:rPr>
              <w:t>onsommation</w:t>
            </w:r>
            <w:r>
              <w:rPr>
                <w:sz w:val="20"/>
                <w:szCs w:val="20"/>
                <w:lang w:val="fr-CA"/>
              </w:rPr>
              <w:t xml:space="preserve"> maximale admissible</w:t>
            </w:r>
          </w:p>
        </w:tc>
        <w:tc>
          <w:tcPr>
            <w:tcW w:w="1572" w:type="dxa"/>
            <w:tcMar>
              <w:left w:w="0" w:type="dxa"/>
              <w:right w:w="0" w:type="dxa"/>
            </w:tcMar>
          </w:tcPr>
          <w:p w14:paraId="4EF4C817" w14:textId="1CB93FA8" w:rsidR="0029763D" w:rsidRPr="00802AF9" w:rsidRDefault="00D46BEA" w:rsidP="003F073E">
            <w:pPr>
              <w:jc w:val="center"/>
              <w:rPr>
                <w:sz w:val="20"/>
                <w:szCs w:val="20"/>
                <w:lang w:val="fr-CA"/>
              </w:rPr>
            </w:pPr>
            <w:r>
              <w:rPr>
                <w:sz w:val="20"/>
                <w:szCs w:val="20"/>
                <w:lang w:val="fr-CA"/>
              </w:rPr>
              <w:t xml:space="preserve">Quantité éliminée </w:t>
            </w:r>
          </w:p>
        </w:tc>
        <w:tc>
          <w:tcPr>
            <w:tcW w:w="1572" w:type="dxa"/>
            <w:tcMar>
              <w:left w:w="0" w:type="dxa"/>
              <w:right w:w="0" w:type="dxa"/>
            </w:tcMar>
          </w:tcPr>
          <w:p w14:paraId="1FACEE94" w14:textId="51BA80D9" w:rsidR="0029763D" w:rsidRPr="00802AF9" w:rsidRDefault="00D46BEA" w:rsidP="003F073E">
            <w:pPr>
              <w:jc w:val="center"/>
              <w:rPr>
                <w:sz w:val="20"/>
                <w:szCs w:val="20"/>
                <w:lang w:val="fr-CA"/>
              </w:rPr>
            </w:pPr>
            <w:r w:rsidRPr="00D46BEA">
              <w:rPr>
                <w:sz w:val="20"/>
                <w:szCs w:val="20"/>
                <w:lang w:val="fr-CA"/>
              </w:rPr>
              <w:t>Consommation maximale admissible</w:t>
            </w:r>
          </w:p>
        </w:tc>
        <w:tc>
          <w:tcPr>
            <w:tcW w:w="1572" w:type="dxa"/>
            <w:tcMar>
              <w:left w:w="0" w:type="dxa"/>
              <w:right w:w="0" w:type="dxa"/>
            </w:tcMar>
          </w:tcPr>
          <w:p w14:paraId="48495D89" w14:textId="76E8B22D" w:rsidR="0029763D" w:rsidRPr="00802AF9" w:rsidRDefault="00D46BEA" w:rsidP="003F073E">
            <w:pPr>
              <w:jc w:val="center"/>
              <w:rPr>
                <w:sz w:val="20"/>
                <w:szCs w:val="20"/>
                <w:lang w:val="fr-CA"/>
              </w:rPr>
            </w:pPr>
            <w:r w:rsidRPr="00D46BEA">
              <w:rPr>
                <w:sz w:val="20"/>
                <w:szCs w:val="20"/>
                <w:lang w:val="fr-CA"/>
              </w:rPr>
              <w:t>Quantité éliminée</w:t>
            </w:r>
          </w:p>
        </w:tc>
      </w:tr>
      <w:tr w:rsidR="0029763D" w:rsidRPr="00802AF9" w14:paraId="064B9F14" w14:textId="77777777" w:rsidTr="003F073E">
        <w:tc>
          <w:tcPr>
            <w:tcW w:w="3068" w:type="dxa"/>
          </w:tcPr>
          <w:p w14:paraId="392F915F" w14:textId="77777777" w:rsidR="0029763D" w:rsidRPr="00802AF9" w:rsidRDefault="0029763D" w:rsidP="003F073E">
            <w:pPr>
              <w:rPr>
                <w:b/>
                <w:sz w:val="20"/>
                <w:szCs w:val="20"/>
                <w:lang w:val="fr-CA"/>
              </w:rPr>
            </w:pPr>
            <w:r w:rsidRPr="00802AF9">
              <w:rPr>
                <w:b/>
                <w:sz w:val="20"/>
                <w:szCs w:val="20"/>
                <w:lang w:val="fr-CA"/>
              </w:rPr>
              <w:t>National</w:t>
            </w:r>
          </w:p>
        </w:tc>
        <w:tc>
          <w:tcPr>
            <w:tcW w:w="1571" w:type="dxa"/>
            <w:tcMar>
              <w:left w:w="115" w:type="dxa"/>
              <w:right w:w="173" w:type="dxa"/>
            </w:tcMar>
          </w:tcPr>
          <w:p w14:paraId="70E8B0D7" w14:textId="3CE9617F" w:rsidR="0029763D" w:rsidRPr="00802AF9" w:rsidRDefault="0029763D" w:rsidP="003F073E">
            <w:pPr>
              <w:jc w:val="right"/>
              <w:rPr>
                <w:sz w:val="20"/>
                <w:szCs w:val="20"/>
                <w:lang w:val="fr-CA"/>
              </w:rPr>
            </w:pPr>
            <w:r w:rsidRPr="00802AF9">
              <w:rPr>
                <w:sz w:val="20"/>
                <w:szCs w:val="20"/>
                <w:lang w:val="fr-CA"/>
              </w:rPr>
              <w:t>18</w:t>
            </w:r>
            <w:r w:rsidR="00D46BEA">
              <w:rPr>
                <w:sz w:val="20"/>
                <w:szCs w:val="20"/>
                <w:lang w:val="fr-CA"/>
              </w:rPr>
              <w:t> </w:t>
            </w:r>
            <w:r w:rsidRPr="00802AF9">
              <w:rPr>
                <w:sz w:val="20"/>
                <w:szCs w:val="20"/>
                <w:lang w:val="fr-CA"/>
              </w:rPr>
              <w:t>865</w:t>
            </w:r>
          </w:p>
        </w:tc>
        <w:tc>
          <w:tcPr>
            <w:tcW w:w="1572" w:type="dxa"/>
            <w:tcMar>
              <w:left w:w="115" w:type="dxa"/>
              <w:right w:w="173" w:type="dxa"/>
            </w:tcMar>
          </w:tcPr>
          <w:p w14:paraId="29D52550" w14:textId="319A7B0B" w:rsidR="0029763D" w:rsidRPr="00802AF9" w:rsidRDefault="00494A38" w:rsidP="003F073E">
            <w:pPr>
              <w:jc w:val="right"/>
              <w:rPr>
                <w:sz w:val="20"/>
                <w:szCs w:val="20"/>
                <w:lang w:val="fr-CA"/>
              </w:rPr>
            </w:pPr>
            <w:r w:rsidRPr="00802AF9">
              <w:rPr>
                <w:sz w:val="20"/>
                <w:szCs w:val="20"/>
                <w:lang w:val="fr-CA"/>
              </w:rPr>
              <w:t>n/d</w:t>
            </w:r>
          </w:p>
        </w:tc>
        <w:tc>
          <w:tcPr>
            <w:tcW w:w="1572" w:type="dxa"/>
            <w:tcMar>
              <w:left w:w="115" w:type="dxa"/>
              <w:right w:w="173" w:type="dxa"/>
            </w:tcMar>
          </w:tcPr>
          <w:p w14:paraId="7105359E" w14:textId="312F412C" w:rsidR="0029763D" w:rsidRPr="00802AF9" w:rsidRDefault="0029763D" w:rsidP="003F073E">
            <w:pPr>
              <w:jc w:val="right"/>
              <w:rPr>
                <w:sz w:val="20"/>
                <w:szCs w:val="20"/>
                <w:lang w:val="fr-CA"/>
              </w:rPr>
            </w:pPr>
            <w:r w:rsidRPr="00802AF9">
              <w:rPr>
                <w:sz w:val="20"/>
                <w:szCs w:val="20"/>
                <w:lang w:val="fr-CA"/>
              </w:rPr>
              <w:t>16</w:t>
            </w:r>
            <w:r w:rsidR="00D46BEA">
              <w:rPr>
                <w:sz w:val="20"/>
                <w:szCs w:val="20"/>
                <w:lang w:val="fr-CA"/>
              </w:rPr>
              <w:t> </w:t>
            </w:r>
            <w:r w:rsidRPr="00802AF9">
              <w:rPr>
                <w:sz w:val="20"/>
                <w:szCs w:val="20"/>
                <w:lang w:val="fr-CA"/>
              </w:rPr>
              <w:t>979</w:t>
            </w:r>
          </w:p>
        </w:tc>
        <w:tc>
          <w:tcPr>
            <w:tcW w:w="1572" w:type="dxa"/>
            <w:tcMar>
              <w:left w:w="115" w:type="dxa"/>
              <w:right w:w="173" w:type="dxa"/>
            </w:tcMar>
          </w:tcPr>
          <w:p w14:paraId="6FE6DA25" w14:textId="55C72E91" w:rsidR="0029763D" w:rsidRPr="00802AF9" w:rsidRDefault="00494A38" w:rsidP="003F073E">
            <w:pPr>
              <w:jc w:val="right"/>
              <w:rPr>
                <w:sz w:val="20"/>
                <w:szCs w:val="20"/>
                <w:lang w:val="fr-CA"/>
              </w:rPr>
            </w:pPr>
            <w:r w:rsidRPr="00802AF9">
              <w:rPr>
                <w:sz w:val="20"/>
                <w:szCs w:val="20"/>
                <w:lang w:val="fr-CA"/>
              </w:rPr>
              <w:t>n/d</w:t>
            </w:r>
          </w:p>
        </w:tc>
      </w:tr>
      <w:tr w:rsidR="0029763D" w:rsidRPr="00802AF9" w14:paraId="293460E8" w14:textId="77777777" w:rsidTr="003F073E">
        <w:tc>
          <w:tcPr>
            <w:tcW w:w="9355" w:type="dxa"/>
            <w:gridSpan w:val="5"/>
            <w:tcMar>
              <w:left w:w="115" w:type="dxa"/>
              <w:right w:w="173" w:type="dxa"/>
            </w:tcMar>
          </w:tcPr>
          <w:p w14:paraId="1E226975" w14:textId="580856A4" w:rsidR="0029763D" w:rsidRPr="00802AF9" w:rsidRDefault="00494A38" w:rsidP="003F073E">
            <w:pPr>
              <w:jc w:val="left"/>
              <w:rPr>
                <w:b/>
                <w:sz w:val="20"/>
                <w:szCs w:val="20"/>
                <w:lang w:val="fr-CA"/>
              </w:rPr>
            </w:pPr>
            <w:r w:rsidRPr="00802AF9">
              <w:rPr>
                <w:b/>
                <w:sz w:val="20"/>
                <w:szCs w:val="20"/>
                <w:lang w:val="fr-CA"/>
              </w:rPr>
              <w:t>Plan</w:t>
            </w:r>
            <w:r w:rsidR="00D46BEA">
              <w:rPr>
                <w:b/>
                <w:sz w:val="20"/>
                <w:szCs w:val="20"/>
                <w:lang w:val="fr-CA"/>
              </w:rPr>
              <w:t>s</w:t>
            </w:r>
            <w:r w:rsidRPr="00802AF9">
              <w:rPr>
                <w:b/>
                <w:sz w:val="20"/>
                <w:szCs w:val="20"/>
                <w:lang w:val="fr-CA"/>
              </w:rPr>
              <w:t xml:space="preserve"> sectoriel</w:t>
            </w:r>
            <w:r w:rsidR="0029763D" w:rsidRPr="00802AF9">
              <w:rPr>
                <w:b/>
                <w:sz w:val="20"/>
                <w:szCs w:val="20"/>
                <w:lang w:val="fr-CA"/>
              </w:rPr>
              <w:t>s</w:t>
            </w:r>
          </w:p>
        </w:tc>
      </w:tr>
      <w:tr w:rsidR="0029763D" w:rsidRPr="00802AF9" w14:paraId="2C0EB0AE" w14:textId="77777777" w:rsidTr="003F073E">
        <w:tc>
          <w:tcPr>
            <w:tcW w:w="3068" w:type="dxa"/>
          </w:tcPr>
          <w:p w14:paraId="59766EFC" w14:textId="77777777" w:rsidR="0029763D" w:rsidRPr="00802AF9" w:rsidRDefault="0029763D" w:rsidP="003F073E">
            <w:pPr>
              <w:rPr>
                <w:sz w:val="20"/>
                <w:szCs w:val="20"/>
                <w:lang w:val="fr-CA"/>
              </w:rPr>
            </w:pPr>
            <w:r w:rsidRPr="00802AF9">
              <w:rPr>
                <w:sz w:val="20"/>
                <w:szCs w:val="20"/>
                <w:lang w:val="fr-CA"/>
              </w:rPr>
              <w:t>XPS</w:t>
            </w:r>
          </w:p>
        </w:tc>
        <w:tc>
          <w:tcPr>
            <w:tcW w:w="1571" w:type="dxa"/>
            <w:tcMar>
              <w:left w:w="115" w:type="dxa"/>
              <w:right w:w="173" w:type="dxa"/>
            </w:tcMar>
          </w:tcPr>
          <w:p w14:paraId="2F8C970F" w14:textId="53A96B5E" w:rsidR="0029763D" w:rsidRPr="00802AF9" w:rsidRDefault="0029763D" w:rsidP="003F073E">
            <w:pPr>
              <w:jc w:val="right"/>
              <w:rPr>
                <w:sz w:val="20"/>
                <w:szCs w:val="20"/>
                <w:lang w:val="fr-CA"/>
              </w:rPr>
            </w:pPr>
            <w:r w:rsidRPr="00802AF9">
              <w:rPr>
                <w:sz w:val="20"/>
                <w:szCs w:val="20"/>
                <w:lang w:val="fr-CA"/>
              </w:rPr>
              <w:t>2</w:t>
            </w:r>
            <w:r w:rsidR="00D46BEA">
              <w:rPr>
                <w:sz w:val="20"/>
                <w:szCs w:val="20"/>
                <w:lang w:val="fr-CA"/>
              </w:rPr>
              <w:t> </w:t>
            </w:r>
            <w:r w:rsidRPr="00802AF9">
              <w:rPr>
                <w:sz w:val="20"/>
                <w:szCs w:val="20"/>
                <w:lang w:val="fr-CA"/>
              </w:rPr>
              <w:t>540</w:t>
            </w:r>
          </w:p>
        </w:tc>
        <w:tc>
          <w:tcPr>
            <w:tcW w:w="1572" w:type="dxa"/>
            <w:tcMar>
              <w:left w:w="115" w:type="dxa"/>
              <w:right w:w="173" w:type="dxa"/>
            </w:tcMar>
          </w:tcPr>
          <w:p w14:paraId="3F8BE84D" w14:textId="77777777" w:rsidR="0029763D" w:rsidRPr="00802AF9" w:rsidRDefault="0029763D" w:rsidP="003F073E">
            <w:pPr>
              <w:jc w:val="right"/>
              <w:rPr>
                <w:sz w:val="20"/>
                <w:szCs w:val="20"/>
                <w:lang w:val="fr-CA"/>
              </w:rPr>
            </w:pPr>
            <w:r w:rsidRPr="00802AF9">
              <w:rPr>
                <w:sz w:val="20"/>
                <w:szCs w:val="20"/>
                <w:lang w:val="fr-CA"/>
              </w:rPr>
              <w:t>338</w:t>
            </w:r>
          </w:p>
        </w:tc>
        <w:tc>
          <w:tcPr>
            <w:tcW w:w="1572" w:type="dxa"/>
            <w:tcMar>
              <w:left w:w="115" w:type="dxa"/>
              <w:right w:w="173" w:type="dxa"/>
            </w:tcMar>
          </w:tcPr>
          <w:p w14:paraId="755BA13E" w14:textId="0D8205B0" w:rsidR="0029763D" w:rsidRPr="00802AF9" w:rsidRDefault="0029763D" w:rsidP="003F073E">
            <w:pPr>
              <w:jc w:val="right"/>
              <w:rPr>
                <w:sz w:val="20"/>
                <w:szCs w:val="20"/>
                <w:lang w:val="fr-CA"/>
              </w:rPr>
            </w:pPr>
            <w:r w:rsidRPr="00802AF9">
              <w:rPr>
                <w:sz w:val="20"/>
                <w:szCs w:val="20"/>
                <w:lang w:val="fr-CA"/>
              </w:rPr>
              <w:t>2</w:t>
            </w:r>
            <w:r w:rsidR="00D46BEA">
              <w:rPr>
                <w:sz w:val="20"/>
                <w:szCs w:val="20"/>
                <w:lang w:val="fr-CA"/>
              </w:rPr>
              <w:t> </w:t>
            </w:r>
            <w:r w:rsidRPr="00802AF9">
              <w:rPr>
                <w:sz w:val="20"/>
                <w:szCs w:val="20"/>
                <w:lang w:val="fr-CA"/>
              </w:rPr>
              <w:t>286</w:t>
            </w:r>
          </w:p>
        </w:tc>
        <w:tc>
          <w:tcPr>
            <w:tcW w:w="1572" w:type="dxa"/>
            <w:tcMar>
              <w:left w:w="115" w:type="dxa"/>
              <w:right w:w="173" w:type="dxa"/>
            </w:tcMar>
          </w:tcPr>
          <w:p w14:paraId="5745CE78" w14:textId="77777777" w:rsidR="0029763D" w:rsidRPr="00802AF9" w:rsidRDefault="0029763D" w:rsidP="003F073E">
            <w:pPr>
              <w:jc w:val="right"/>
              <w:rPr>
                <w:sz w:val="20"/>
                <w:szCs w:val="20"/>
                <w:lang w:val="fr-CA"/>
              </w:rPr>
            </w:pPr>
            <w:r w:rsidRPr="00802AF9">
              <w:rPr>
                <w:sz w:val="20"/>
                <w:szCs w:val="20"/>
                <w:lang w:val="fr-CA"/>
              </w:rPr>
              <w:t>254</w:t>
            </w:r>
          </w:p>
        </w:tc>
      </w:tr>
      <w:tr w:rsidR="0029763D" w:rsidRPr="00802AF9" w14:paraId="6D7054AD" w14:textId="77777777" w:rsidTr="003F073E">
        <w:tc>
          <w:tcPr>
            <w:tcW w:w="3068" w:type="dxa"/>
          </w:tcPr>
          <w:p w14:paraId="4A9CC9F1" w14:textId="77777777" w:rsidR="0029763D" w:rsidRPr="00802AF9" w:rsidRDefault="0029763D" w:rsidP="003F073E">
            <w:pPr>
              <w:rPr>
                <w:sz w:val="20"/>
                <w:szCs w:val="20"/>
                <w:lang w:val="fr-CA"/>
              </w:rPr>
            </w:pPr>
            <w:r w:rsidRPr="00802AF9">
              <w:rPr>
                <w:sz w:val="20"/>
                <w:szCs w:val="20"/>
                <w:lang w:val="fr-CA"/>
              </w:rPr>
              <w:t>PU</w:t>
            </w:r>
          </w:p>
        </w:tc>
        <w:tc>
          <w:tcPr>
            <w:tcW w:w="1571" w:type="dxa"/>
            <w:tcMar>
              <w:left w:w="115" w:type="dxa"/>
              <w:right w:w="173" w:type="dxa"/>
            </w:tcMar>
          </w:tcPr>
          <w:p w14:paraId="7BFC0E5F" w14:textId="1982C133" w:rsidR="0029763D" w:rsidRPr="00802AF9" w:rsidRDefault="0029763D" w:rsidP="003F073E">
            <w:pPr>
              <w:jc w:val="right"/>
              <w:rPr>
                <w:sz w:val="20"/>
                <w:szCs w:val="20"/>
                <w:lang w:val="fr-CA"/>
              </w:rPr>
            </w:pPr>
            <w:r w:rsidRPr="00802AF9">
              <w:rPr>
                <w:sz w:val="20"/>
                <w:szCs w:val="20"/>
                <w:lang w:val="fr-CA"/>
              </w:rPr>
              <w:t>5</w:t>
            </w:r>
            <w:r w:rsidR="00D46BEA">
              <w:rPr>
                <w:sz w:val="20"/>
                <w:szCs w:val="20"/>
                <w:lang w:val="fr-CA"/>
              </w:rPr>
              <w:t> </w:t>
            </w:r>
            <w:r w:rsidRPr="00802AF9">
              <w:rPr>
                <w:sz w:val="20"/>
                <w:szCs w:val="20"/>
                <w:lang w:val="fr-CA"/>
              </w:rPr>
              <w:t>392</w:t>
            </w:r>
          </w:p>
        </w:tc>
        <w:tc>
          <w:tcPr>
            <w:tcW w:w="1572" w:type="dxa"/>
            <w:tcMar>
              <w:left w:w="115" w:type="dxa"/>
              <w:right w:w="173" w:type="dxa"/>
            </w:tcMar>
          </w:tcPr>
          <w:p w14:paraId="0FC03AF7" w14:textId="77777777"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673</w:t>
            </w:r>
          </w:p>
        </w:tc>
        <w:tc>
          <w:tcPr>
            <w:tcW w:w="1572" w:type="dxa"/>
            <w:tcMar>
              <w:left w:w="115" w:type="dxa"/>
              <w:right w:w="173" w:type="dxa"/>
            </w:tcMar>
          </w:tcPr>
          <w:p w14:paraId="5CA2D14C" w14:textId="06BB6CA0"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4</w:t>
            </w:r>
            <w:r w:rsidR="00D46BEA">
              <w:rPr>
                <w:color w:val="000000" w:themeColor="text1"/>
                <w:sz w:val="20"/>
                <w:szCs w:val="20"/>
                <w:lang w:val="fr-CA"/>
              </w:rPr>
              <w:t> </w:t>
            </w:r>
            <w:r w:rsidRPr="00802AF9">
              <w:rPr>
                <w:color w:val="000000" w:themeColor="text1"/>
                <w:sz w:val="20"/>
                <w:szCs w:val="20"/>
                <w:lang w:val="fr-CA"/>
              </w:rPr>
              <w:t>450</w:t>
            </w:r>
          </w:p>
        </w:tc>
        <w:tc>
          <w:tcPr>
            <w:tcW w:w="1572" w:type="dxa"/>
            <w:tcMar>
              <w:left w:w="115" w:type="dxa"/>
              <w:right w:w="173" w:type="dxa"/>
            </w:tcMar>
          </w:tcPr>
          <w:p w14:paraId="6D4439F5" w14:textId="77777777"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942</w:t>
            </w:r>
          </w:p>
        </w:tc>
      </w:tr>
      <w:tr w:rsidR="0029763D" w:rsidRPr="00802AF9" w14:paraId="7ED51332" w14:textId="77777777" w:rsidTr="003F073E">
        <w:tc>
          <w:tcPr>
            <w:tcW w:w="3068" w:type="dxa"/>
          </w:tcPr>
          <w:p w14:paraId="096D679D" w14:textId="77777777" w:rsidR="0029763D" w:rsidRPr="00802AF9" w:rsidRDefault="0029763D" w:rsidP="003F073E">
            <w:pPr>
              <w:rPr>
                <w:sz w:val="20"/>
                <w:szCs w:val="20"/>
                <w:lang w:val="fr-CA"/>
              </w:rPr>
            </w:pPr>
            <w:r w:rsidRPr="00802AF9">
              <w:rPr>
                <w:sz w:val="20"/>
                <w:szCs w:val="20"/>
                <w:lang w:val="fr-CA"/>
              </w:rPr>
              <w:t>ICR</w:t>
            </w:r>
          </w:p>
        </w:tc>
        <w:tc>
          <w:tcPr>
            <w:tcW w:w="1571" w:type="dxa"/>
            <w:tcMar>
              <w:left w:w="115" w:type="dxa"/>
              <w:right w:w="173" w:type="dxa"/>
            </w:tcMar>
          </w:tcPr>
          <w:p w14:paraId="452CA1C4" w14:textId="232B6016" w:rsidR="0029763D" w:rsidRPr="00802AF9" w:rsidRDefault="0029763D" w:rsidP="003F073E">
            <w:pPr>
              <w:jc w:val="right"/>
              <w:rPr>
                <w:sz w:val="20"/>
                <w:szCs w:val="20"/>
                <w:lang w:val="fr-CA"/>
              </w:rPr>
            </w:pPr>
            <w:r w:rsidRPr="00802AF9">
              <w:rPr>
                <w:sz w:val="20"/>
                <w:szCs w:val="20"/>
                <w:lang w:val="fr-CA"/>
              </w:rPr>
              <w:t>2</w:t>
            </w:r>
            <w:r w:rsidR="00D46BEA">
              <w:rPr>
                <w:sz w:val="20"/>
                <w:szCs w:val="20"/>
                <w:lang w:val="fr-CA"/>
              </w:rPr>
              <w:t> </w:t>
            </w:r>
            <w:r w:rsidRPr="00802AF9">
              <w:rPr>
                <w:sz w:val="20"/>
                <w:szCs w:val="20"/>
                <w:lang w:val="fr-CA"/>
              </w:rPr>
              <w:t>403</w:t>
            </w:r>
          </w:p>
        </w:tc>
        <w:tc>
          <w:tcPr>
            <w:tcW w:w="1572" w:type="dxa"/>
            <w:tcMar>
              <w:left w:w="115" w:type="dxa"/>
              <w:right w:w="173" w:type="dxa"/>
            </w:tcMar>
          </w:tcPr>
          <w:p w14:paraId="5C46AABA" w14:textId="77777777"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224</w:t>
            </w:r>
          </w:p>
        </w:tc>
        <w:tc>
          <w:tcPr>
            <w:tcW w:w="1572" w:type="dxa"/>
            <w:tcMar>
              <w:left w:w="115" w:type="dxa"/>
              <w:right w:w="173" w:type="dxa"/>
            </w:tcMar>
          </w:tcPr>
          <w:p w14:paraId="1E108933" w14:textId="176E19F4"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2</w:t>
            </w:r>
            <w:r w:rsidR="00D46BEA">
              <w:rPr>
                <w:color w:val="000000" w:themeColor="text1"/>
                <w:sz w:val="20"/>
                <w:szCs w:val="20"/>
                <w:lang w:val="fr-CA"/>
              </w:rPr>
              <w:t> </w:t>
            </w:r>
            <w:r w:rsidRPr="00802AF9">
              <w:rPr>
                <w:color w:val="000000" w:themeColor="text1"/>
                <w:sz w:val="20"/>
                <w:szCs w:val="20"/>
                <w:lang w:val="fr-CA"/>
              </w:rPr>
              <w:t>163</w:t>
            </w:r>
          </w:p>
        </w:tc>
        <w:tc>
          <w:tcPr>
            <w:tcW w:w="1572" w:type="dxa"/>
            <w:tcMar>
              <w:left w:w="115" w:type="dxa"/>
              <w:right w:w="173" w:type="dxa"/>
            </w:tcMar>
          </w:tcPr>
          <w:p w14:paraId="7B6C2504" w14:textId="77777777"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240</w:t>
            </w:r>
          </w:p>
        </w:tc>
      </w:tr>
      <w:tr w:rsidR="0029763D" w:rsidRPr="00802AF9" w14:paraId="2ED63E89" w14:textId="77777777" w:rsidTr="003F073E">
        <w:tc>
          <w:tcPr>
            <w:tcW w:w="3068" w:type="dxa"/>
          </w:tcPr>
          <w:p w14:paraId="4F4E5209" w14:textId="2B7A4824" w:rsidR="0029763D" w:rsidRPr="00802AF9" w:rsidRDefault="00494A38" w:rsidP="003F073E">
            <w:pPr>
              <w:rPr>
                <w:sz w:val="20"/>
                <w:szCs w:val="20"/>
                <w:lang w:val="fr-CA"/>
              </w:rPr>
            </w:pPr>
            <w:r w:rsidRPr="00802AF9">
              <w:rPr>
                <w:sz w:val="20"/>
                <w:szCs w:val="20"/>
                <w:lang w:val="fr-CA"/>
              </w:rPr>
              <w:t>R&amp;C</w:t>
            </w:r>
          </w:p>
        </w:tc>
        <w:tc>
          <w:tcPr>
            <w:tcW w:w="1571" w:type="dxa"/>
            <w:tcMar>
              <w:left w:w="115" w:type="dxa"/>
              <w:right w:w="173" w:type="dxa"/>
            </w:tcMar>
          </w:tcPr>
          <w:p w14:paraId="0AADFA44" w14:textId="2037EE1C" w:rsidR="0029763D" w:rsidRPr="00802AF9" w:rsidRDefault="0029763D" w:rsidP="003F073E">
            <w:pPr>
              <w:jc w:val="right"/>
              <w:rPr>
                <w:sz w:val="20"/>
                <w:szCs w:val="20"/>
                <w:lang w:val="fr-CA"/>
              </w:rPr>
            </w:pPr>
            <w:r w:rsidRPr="00802AF9">
              <w:rPr>
                <w:sz w:val="20"/>
                <w:szCs w:val="20"/>
                <w:lang w:val="fr-CA"/>
              </w:rPr>
              <w:t>4</w:t>
            </w:r>
            <w:r w:rsidR="00D46BEA">
              <w:rPr>
                <w:sz w:val="20"/>
                <w:szCs w:val="20"/>
                <w:lang w:val="fr-CA"/>
              </w:rPr>
              <w:t> </w:t>
            </w:r>
            <w:r w:rsidRPr="00802AF9">
              <w:rPr>
                <w:sz w:val="20"/>
                <w:szCs w:val="20"/>
                <w:lang w:val="fr-CA"/>
              </w:rPr>
              <w:t>109</w:t>
            </w:r>
          </w:p>
        </w:tc>
        <w:tc>
          <w:tcPr>
            <w:tcW w:w="1572" w:type="dxa"/>
            <w:tcMar>
              <w:left w:w="115" w:type="dxa"/>
              <w:right w:w="173" w:type="dxa"/>
            </w:tcMar>
          </w:tcPr>
          <w:p w14:paraId="4F66B1C2" w14:textId="77777777" w:rsidR="0029763D" w:rsidRPr="00802AF9" w:rsidRDefault="0029763D" w:rsidP="003F073E">
            <w:pPr>
              <w:jc w:val="right"/>
              <w:rPr>
                <w:sz w:val="20"/>
                <w:szCs w:val="20"/>
                <w:lang w:val="fr-CA"/>
              </w:rPr>
            </w:pPr>
            <w:r w:rsidRPr="00802AF9">
              <w:rPr>
                <w:sz w:val="20"/>
                <w:szCs w:val="20"/>
                <w:lang w:val="fr-CA"/>
              </w:rPr>
              <w:t>176</w:t>
            </w:r>
          </w:p>
        </w:tc>
        <w:tc>
          <w:tcPr>
            <w:tcW w:w="1572" w:type="dxa"/>
            <w:tcMar>
              <w:left w:w="115" w:type="dxa"/>
              <w:right w:w="173" w:type="dxa"/>
            </w:tcMar>
          </w:tcPr>
          <w:p w14:paraId="31BE3C04" w14:textId="1B59BBCE" w:rsidR="0029763D" w:rsidRPr="00802AF9" w:rsidRDefault="0029763D" w:rsidP="003F073E">
            <w:pPr>
              <w:jc w:val="right"/>
              <w:rPr>
                <w:sz w:val="20"/>
                <w:szCs w:val="20"/>
                <w:lang w:val="fr-CA"/>
              </w:rPr>
            </w:pPr>
            <w:r w:rsidRPr="00802AF9">
              <w:rPr>
                <w:sz w:val="20"/>
                <w:szCs w:val="20"/>
                <w:lang w:val="fr-CA"/>
              </w:rPr>
              <w:t>3</w:t>
            </w:r>
            <w:r w:rsidR="00D46BEA">
              <w:rPr>
                <w:sz w:val="20"/>
                <w:szCs w:val="20"/>
                <w:lang w:val="fr-CA"/>
              </w:rPr>
              <w:t> </w:t>
            </w:r>
            <w:r w:rsidRPr="00802AF9">
              <w:rPr>
                <w:sz w:val="20"/>
                <w:szCs w:val="20"/>
                <w:lang w:val="fr-CA"/>
              </w:rPr>
              <w:t>698</w:t>
            </w:r>
          </w:p>
        </w:tc>
        <w:tc>
          <w:tcPr>
            <w:tcW w:w="1572" w:type="dxa"/>
            <w:tcMar>
              <w:left w:w="115" w:type="dxa"/>
              <w:right w:w="173" w:type="dxa"/>
            </w:tcMar>
          </w:tcPr>
          <w:p w14:paraId="6A112571" w14:textId="77777777" w:rsidR="0029763D" w:rsidRPr="00802AF9" w:rsidRDefault="0029763D" w:rsidP="003F073E">
            <w:pPr>
              <w:jc w:val="right"/>
              <w:rPr>
                <w:sz w:val="20"/>
                <w:szCs w:val="20"/>
                <w:lang w:val="fr-CA"/>
              </w:rPr>
            </w:pPr>
            <w:r w:rsidRPr="00802AF9">
              <w:rPr>
                <w:sz w:val="20"/>
                <w:szCs w:val="20"/>
                <w:lang w:val="fr-CA"/>
              </w:rPr>
              <w:t>411</w:t>
            </w:r>
          </w:p>
        </w:tc>
      </w:tr>
      <w:tr w:rsidR="0029763D" w:rsidRPr="00802AF9" w14:paraId="638EC94A" w14:textId="77777777" w:rsidTr="003F073E">
        <w:tc>
          <w:tcPr>
            <w:tcW w:w="3068" w:type="dxa"/>
          </w:tcPr>
          <w:p w14:paraId="6C29E97B" w14:textId="53FD8DE4" w:rsidR="0029763D" w:rsidRPr="00802AF9" w:rsidRDefault="0029763D" w:rsidP="003F073E">
            <w:pPr>
              <w:rPr>
                <w:sz w:val="20"/>
                <w:szCs w:val="20"/>
                <w:lang w:val="fr-CA"/>
              </w:rPr>
            </w:pPr>
            <w:r w:rsidRPr="00802AF9">
              <w:rPr>
                <w:sz w:val="20"/>
                <w:szCs w:val="20"/>
                <w:lang w:val="fr-CA"/>
              </w:rPr>
              <w:t>Solv</w:t>
            </w:r>
            <w:r w:rsidR="00D46BEA">
              <w:rPr>
                <w:sz w:val="20"/>
                <w:szCs w:val="20"/>
                <w:lang w:val="fr-CA"/>
              </w:rPr>
              <w:t>a</w:t>
            </w:r>
            <w:r w:rsidRPr="00802AF9">
              <w:rPr>
                <w:sz w:val="20"/>
                <w:szCs w:val="20"/>
                <w:lang w:val="fr-CA"/>
              </w:rPr>
              <w:t>nt</w:t>
            </w:r>
            <w:r w:rsidR="00D46BEA">
              <w:rPr>
                <w:sz w:val="20"/>
                <w:szCs w:val="20"/>
                <w:lang w:val="fr-CA"/>
              </w:rPr>
              <w:t>s</w:t>
            </w:r>
          </w:p>
        </w:tc>
        <w:tc>
          <w:tcPr>
            <w:tcW w:w="1571" w:type="dxa"/>
            <w:tcMar>
              <w:left w:w="115" w:type="dxa"/>
              <w:right w:w="173" w:type="dxa"/>
            </w:tcMar>
          </w:tcPr>
          <w:p w14:paraId="1EEEFA1D" w14:textId="77777777" w:rsidR="0029763D" w:rsidRPr="00802AF9" w:rsidRDefault="0029763D" w:rsidP="003F073E">
            <w:pPr>
              <w:jc w:val="right"/>
              <w:rPr>
                <w:sz w:val="20"/>
                <w:szCs w:val="20"/>
                <w:lang w:val="fr-CA"/>
              </w:rPr>
            </w:pPr>
            <w:r w:rsidRPr="00802AF9">
              <w:rPr>
                <w:sz w:val="20"/>
                <w:szCs w:val="20"/>
                <w:lang w:val="fr-CA"/>
              </w:rPr>
              <w:t>494</w:t>
            </w:r>
          </w:p>
        </w:tc>
        <w:tc>
          <w:tcPr>
            <w:tcW w:w="1572" w:type="dxa"/>
            <w:tcMar>
              <w:left w:w="115" w:type="dxa"/>
              <w:right w:w="173" w:type="dxa"/>
            </w:tcMar>
          </w:tcPr>
          <w:p w14:paraId="50FDE9B3" w14:textId="77777777"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30</w:t>
            </w:r>
          </w:p>
        </w:tc>
        <w:tc>
          <w:tcPr>
            <w:tcW w:w="1572" w:type="dxa"/>
            <w:tcMar>
              <w:left w:w="115" w:type="dxa"/>
              <w:right w:w="173" w:type="dxa"/>
            </w:tcMar>
          </w:tcPr>
          <w:p w14:paraId="37FB5696" w14:textId="77777777" w:rsidR="0029763D" w:rsidRPr="00802AF9" w:rsidRDefault="0029763D" w:rsidP="003F073E">
            <w:pPr>
              <w:jc w:val="right"/>
              <w:rPr>
                <w:color w:val="000000" w:themeColor="text1"/>
                <w:sz w:val="20"/>
                <w:szCs w:val="20"/>
                <w:lang w:val="fr-CA"/>
              </w:rPr>
            </w:pPr>
            <w:r w:rsidRPr="00802AF9">
              <w:rPr>
                <w:color w:val="000000" w:themeColor="text1"/>
                <w:sz w:val="20"/>
                <w:szCs w:val="20"/>
                <w:lang w:val="fr-CA"/>
              </w:rPr>
              <w:t>455</w:t>
            </w:r>
          </w:p>
        </w:tc>
        <w:tc>
          <w:tcPr>
            <w:tcW w:w="1572" w:type="dxa"/>
            <w:tcMar>
              <w:left w:w="115" w:type="dxa"/>
              <w:right w:w="173" w:type="dxa"/>
            </w:tcMar>
          </w:tcPr>
          <w:p w14:paraId="40359B2C" w14:textId="77777777" w:rsidR="0029763D" w:rsidRPr="00802AF9" w:rsidRDefault="0029763D" w:rsidP="003F073E">
            <w:pPr>
              <w:jc w:val="right"/>
              <w:rPr>
                <w:sz w:val="20"/>
                <w:szCs w:val="20"/>
                <w:lang w:val="fr-CA"/>
              </w:rPr>
            </w:pPr>
            <w:r w:rsidRPr="00802AF9">
              <w:rPr>
                <w:sz w:val="20"/>
                <w:szCs w:val="20"/>
                <w:lang w:val="fr-CA"/>
              </w:rPr>
              <w:t>39</w:t>
            </w:r>
          </w:p>
        </w:tc>
      </w:tr>
      <w:tr w:rsidR="0029763D" w:rsidRPr="00802AF9" w14:paraId="0DCFBEB7" w14:textId="77777777" w:rsidTr="003F073E">
        <w:tc>
          <w:tcPr>
            <w:tcW w:w="3068" w:type="dxa"/>
          </w:tcPr>
          <w:p w14:paraId="77CD01B5" w14:textId="3255A450" w:rsidR="0029763D" w:rsidRPr="00802AF9" w:rsidRDefault="00D46BEA" w:rsidP="003F073E">
            <w:pPr>
              <w:rPr>
                <w:sz w:val="20"/>
                <w:szCs w:val="20"/>
                <w:lang w:val="fr-CA"/>
              </w:rPr>
            </w:pPr>
            <w:r>
              <w:rPr>
                <w:sz w:val="20"/>
                <w:szCs w:val="20"/>
                <w:lang w:val="fr-CA"/>
              </w:rPr>
              <w:t>Entretien</w:t>
            </w:r>
          </w:p>
        </w:tc>
        <w:tc>
          <w:tcPr>
            <w:tcW w:w="1571" w:type="dxa"/>
            <w:tcMar>
              <w:left w:w="115" w:type="dxa"/>
              <w:right w:w="173" w:type="dxa"/>
            </w:tcMar>
          </w:tcPr>
          <w:p w14:paraId="0EC77731" w14:textId="51CD9271" w:rsidR="0029763D" w:rsidRPr="00802AF9" w:rsidRDefault="00494A38" w:rsidP="003F073E">
            <w:pPr>
              <w:jc w:val="right"/>
              <w:rPr>
                <w:sz w:val="20"/>
                <w:szCs w:val="20"/>
                <w:lang w:val="fr-CA"/>
              </w:rPr>
            </w:pPr>
            <w:r w:rsidRPr="00802AF9">
              <w:rPr>
                <w:sz w:val="20"/>
                <w:szCs w:val="20"/>
                <w:lang w:val="fr-CA"/>
              </w:rPr>
              <w:t>n/d</w:t>
            </w:r>
          </w:p>
        </w:tc>
        <w:tc>
          <w:tcPr>
            <w:tcW w:w="1572" w:type="dxa"/>
            <w:tcMar>
              <w:left w:w="115" w:type="dxa"/>
              <w:right w:w="173" w:type="dxa"/>
            </w:tcMar>
          </w:tcPr>
          <w:p w14:paraId="15343EC9" w14:textId="77777777" w:rsidR="0029763D" w:rsidRPr="00802AF9" w:rsidRDefault="0029763D" w:rsidP="003F073E">
            <w:pPr>
              <w:jc w:val="right"/>
              <w:rPr>
                <w:sz w:val="20"/>
                <w:szCs w:val="20"/>
                <w:lang w:val="fr-CA"/>
              </w:rPr>
            </w:pPr>
            <w:r w:rsidRPr="00802AF9">
              <w:rPr>
                <w:sz w:val="20"/>
                <w:szCs w:val="20"/>
                <w:lang w:val="fr-CA"/>
              </w:rPr>
              <w:t>61</w:t>
            </w:r>
          </w:p>
        </w:tc>
        <w:tc>
          <w:tcPr>
            <w:tcW w:w="1572" w:type="dxa"/>
            <w:tcMar>
              <w:left w:w="115" w:type="dxa"/>
              <w:right w:w="173" w:type="dxa"/>
            </w:tcMar>
          </w:tcPr>
          <w:p w14:paraId="10597067" w14:textId="4FF60E93" w:rsidR="0029763D" w:rsidRPr="00802AF9" w:rsidRDefault="00494A38" w:rsidP="003F073E">
            <w:pPr>
              <w:jc w:val="right"/>
              <w:rPr>
                <w:sz w:val="20"/>
                <w:szCs w:val="20"/>
                <w:lang w:val="fr-CA"/>
              </w:rPr>
            </w:pPr>
            <w:r w:rsidRPr="00802AF9">
              <w:rPr>
                <w:sz w:val="20"/>
                <w:szCs w:val="20"/>
                <w:lang w:val="fr-CA"/>
              </w:rPr>
              <w:t>n/d</w:t>
            </w:r>
          </w:p>
        </w:tc>
        <w:tc>
          <w:tcPr>
            <w:tcW w:w="1572" w:type="dxa"/>
            <w:tcMar>
              <w:left w:w="115" w:type="dxa"/>
              <w:right w:w="173" w:type="dxa"/>
            </w:tcMar>
          </w:tcPr>
          <w:p w14:paraId="5239C88E" w14:textId="77777777" w:rsidR="0029763D" w:rsidRPr="00802AF9" w:rsidRDefault="0029763D" w:rsidP="003F073E">
            <w:pPr>
              <w:jc w:val="right"/>
              <w:rPr>
                <w:sz w:val="20"/>
                <w:szCs w:val="20"/>
                <w:lang w:val="fr-CA"/>
              </w:rPr>
            </w:pPr>
            <w:r w:rsidRPr="00802AF9">
              <w:rPr>
                <w:sz w:val="20"/>
                <w:szCs w:val="20"/>
                <w:lang w:val="fr-CA"/>
              </w:rPr>
              <w:t>0</w:t>
            </w:r>
          </w:p>
        </w:tc>
      </w:tr>
      <w:tr w:rsidR="0029763D" w:rsidRPr="00802AF9" w14:paraId="20688E36" w14:textId="77777777" w:rsidTr="003F073E">
        <w:tc>
          <w:tcPr>
            <w:tcW w:w="3068" w:type="dxa"/>
          </w:tcPr>
          <w:p w14:paraId="75D41EC3" w14:textId="77777777" w:rsidR="0029763D" w:rsidRPr="00802AF9" w:rsidRDefault="0029763D" w:rsidP="003F073E">
            <w:pPr>
              <w:rPr>
                <w:b/>
                <w:sz w:val="20"/>
                <w:szCs w:val="20"/>
                <w:lang w:val="fr-CA"/>
              </w:rPr>
            </w:pPr>
            <w:r w:rsidRPr="00802AF9">
              <w:rPr>
                <w:b/>
                <w:sz w:val="20"/>
                <w:szCs w:val="20"/>
                <w:lang w:val="fr-CA"/>
              </w:rPr>
              <w:t>Total</w:t>
            </w:r>
          </w:p>
        </w:tc>
        <w:tc>
          <w:tcPr>
            <w:tcW w:w="1571" w:type="dxa"/>
            <w:tcMar>
              <w:left w:w="115" w:type="dxa"/>
              <w:right w:w="173" w:type="dxa"/>
            </w:tcMar>
          </w:tcPr>
          <w:p w14:paraId="65AD0617" w14:textId="07586F92" w:rsidR="0029763D" w:rsidRPr="00802AF9" w:rsidRDefault="00494A38" w:rsidP="003F073E">
            <w:pPr>
              <w:jc w:val="right"/>
              <w:rPr>
                <w:b/>
                <w:sz w:val="20"/>
                <w:szCs w:val="20"/>
                <w:lang w:val="fr-CA"/>
              </w:rPr>
            </w:pPr>
            <w:r w:rsidRPr="00802AF9">
              <w:rPr>
                <w:b/>
                <w:sz w:val="20"/>
                <w:szCs w:val="20"/>
                <w:lang w:val="fr-CA"/>
              </w:rPr>
              <w:t>n/d</w:t>
            </w:r>
          </w:p>
        </w:tc>
        <w:tc>
          <w:tcPr>
            <w:tcW w:w="1572" w:type="dxa"/>
            <w:tcMar>
              <w:left w:w="115" w:type="dxa"/>
              <w:right w:w="173" w:type="dxa"/>
            </w:tcMar>
          </w:tcPr>
          <w:p w14:paraId="39CF85E2" w14:textId="77777777" w:rsidR="0029763D" w:rsidRPr="00802AF9" w:rsidRDefault="0029763D" w:rsidP="003F073E">
            <w:pPr>
              <w:jc w:val="right"/>
              <w:rPr>
                <w:b/>
                <w:sz w:val="20"/>
                <w:szCs w:val="20"/>
                <w:lang w:val="fr-CA"/>
              </w:rPr>
            </w:pPr>
            <w:r w:rsidRPr="00802AF9">
              <w:rPr>
                <w:b/>
                <w:sz w:val="20"/>
                <w:szCs w:val="20"/>
                <w:lang w:val="fr-CA"/>
              </w:rPr>
              <w:t>1,502</w:t>
            </w:r>
          </w:p>
        </w:tc>
        <w:tc>
          <w:tcPr>
            <w:tcW w:w="1572" w:type="dxa"/>
            <w:tcMar>
              <w:left w:w="115" w:type="dxa"/>
              <w:right w:w="173" w:type="dxa"/>
            </w:tcMar>
          </w:tcPr>
          <w:p w14:paraId="69500DA9" w14:textId="7607FBC5" w:rsidR="0029763D" w:rsidRPr="00802AF9" w:rsidRDefault="00494A38" w:rsidP="003F073E">
            <w:pPr>
              <w:jc w:val="right"/>
              <w:rPr>
                <w:b/>
                <w:sz w:val="20"/>
                <w:szCs w:val="20"/>
                <w:lang w:val="fr-CA"/>
              </w:rPr>
            </w:pPr>
            <w:r w:rsidRPr="00802AF9">
              <w:rPr>
                <w:b/>
                <w:sz w:val="20"/>
                <w:szCs w:val="20"/>
                <w:lang w:val="fr-CA"/>
              </w:rPr>
              <w:t>n/d</w:t>
            </w:r>
          </w:p>
        </w:tc>
        <w:tc>
          <w:tcPr>
            <w:tcW w:w="1572" w:type="dxa"/>
            <w:tcMar>
              <w:left w:w="115" w:type="dxa"/>
              <w:right w:w="173" w:type="dxa"/>
            </w:tcMar>
          </w:tcPr>
          <w:p w14:paraId="3F28EF13" w14:textId="77777777" w:rsidR="0029763D" w:rsidRPr="00802AF9" w:rsidRDefault="0029763D" w:rsidP="003F073E">
            <w:pPr>
              <w:jc w:val="right"/>
              <w:rPr>
                <w:b/>
                <w:sz w:val="20"/>
                <w:szCs w:val="20"/>
                <w:lang w:val="fr-CA"/>
              </w:rPr>
            </w:pPr>
            <w:r w:rsidRPr="00802AF9">
              <w:rPr>
                <w:b/>
                <w:sz w:val="20"/>
                <w:szCs w:val="20"/>
                <w:lang w:val="fr-CA"/>
              </w:rPr>
              <w:t>1,886</w:t>
            </w:r>
          </w:p>
        </w:tc>
      </w:tr>
    </w:tbl>
    <w:p w14:paraId="66246D14" w14:textId="77777777" w:rsidR="0029763D" w:rsidRPr="00802AF9" w:rsidRDefault="0029763D" w:rsidP="0029763D">
      <w:pPr>
        <w:rPr>
          <w:lang w:val="fr-CA"/>
        </w:rPr>
      </w:pPr>
    </w:p>
    <w:p w14:paraId="1E7992B3" w14:textId="5175A9DF" w:rsidR="0029763D" w:rsidRPr="00802AF9" w:rsidRDefault="00D46BEA" w:rsidP="0029763D">
      <w:pPr>
        <w:numPr>
          <w:ilvl w:val="0"/>
          <w:numId w:val="1"/>
        </w:numPr>
        <w:spacing w:after="240"/>
        <w:outlineLvl w:val="0"/>
        <w:rPr>
          <w:lang w:val="fr-CA"/>
        </w:rPr>
      </w:pPr>
      <w:r>
        <w:rPr>
          <w:lang w:val="fr-CA"/>
        </w:rPr>
        <w:t>Toutes les</w:t>
      </w:r>
      <w:r w:rsidR="0029763D" w:rsidRPr="00802AF9">
        <w:rPr>
          <w:lang w:val="fr-CA"/>
        </w:rPr>
        <w:t xml:space="preserve"> tranches </w:t>
      </w:r>
      <w:r>
        <w:rPr>
          <w:lang w:val="fr-CA"/>
        </w:rPr>
        <w:t xml:space="preserve">liées aux </w:t>
      </w:r>
      <w:r w:rsidR="00494A38" w:rsidRPr="00802AF9">
        <w:rPr>
          <w:lang w:val="fr-CA"/>
        </w:rPr>
        <w:t>plan</w:t>
      </w:r>
      <w:r>
        <w:rPr>
          <w:lang w:val="fr-CA"/>
        </w:rPr>
        <w:t>s</w:t>
      </w:r>
      <w:r w:rsidR="00494A38" w:rsidRPr="00802AF9">
        <w:rPr>
          <w:lang w:val="fr-CA"/>
        </w:rPr>
        <w:t xml:space="preserve"> sectoriel</w:t>
      </w:r>
      <w:r w:rsidR="0029763D" w:rsidRPr="00802AF9">
        <w:rPr>
          <w:lang w:val="fr-CA"/>
        </w:rPr>
        <w:t xml:space="preserve">s </w:t>
      </w:r>
      <w:r>
        <w:rPr>
          <w:lang w:val="fr-CA"/>
        </w:rPr>
        <w:t>de la</w:t>
      </w:r>
      <w:r w:rsidR="0029763D" w:rsidRPr="00802AF9">
        <w:rPr>
          <w:lang w:val="fr-CA"/>
        </w:rPr>
        <w:t xml:space="preserve"> </w:t>
      </w:r>
      <w:r w:rsidR="0014063A" w:rsidRPr="00802AF9">
        <w:rPr>
          <w:lang w:val="fr-CA"/>
        </w:rPr>
        <w:t>phase</w:t>
      </w:r>
      <w:r w:rsidR="0029763D" w:rsidRPr="00802AF9">
        <w:rPr>
          <w:lang w:val="fr-CA"/>
        </w:rPr>
        <w:t xml:space="preserve"> I </w:t>
      </w:r>
      <w:r>
        <w:rPr>
          <w:lang w:val="fr-CA"/>
        </w:rPr>
        <w:t>du</w:t>
      </w:r>
      <w:r w:rsidR="0029763D" w:rsidRPr="00802AF9">
        <w:rPr>
          <w:lang w:val="fr-CA"/>
        </w:rPr>
        <w:t xml:space="preserve"> </w:t>
      </w:r>
      <w:r w:rsidR="00494A38" w:rsidRPr="00802AF9">
        <w:rPr>
          <w:lang w:val="fr-CA"/>
        </w:rPr>
        <w:t>PGEH</w:t>
      </w:r>
      <w:r w:rsidR="0029763D" w:rsidRPr="00802AF9">
        <w:rPr>
          <w:lang w:val="fr-CA"/>
        </w:rPr>
        <w:t xml:space="preserve"> </w:t>
      </w:r>
      <w:r>
        <w:rPr>
          <w:lang w:val="fr-CA"/>
        </w:rPr>
        <w:t xml:space="preserve">ont été approuvées, comme l’indique le </w:t>
      </w:r>
      <w:r w:rsidR="0029763D" w:rsidRPr="00802AF9">
        <w:rPr>
          <w:lang w:val="fr-CA"/>
        </w:rPr>
        <w:t>Table</w:t>
      </w:r>
      <w:r>
        <w:rPr>
          <w:lang w:val="fr-CA"/>
        </w:rPr>
        <w:t>au</w:t>
      </w:r>
      <w:r w:rsidR="0029763D" w:rsidRPr="00802AF9">
        <w:rPr>
          <w:lang w:val="fr-CA"/>
        </w:rPr>
        <w:t> 2.</w:t>
      </w:r>
    </w:p>
    <w:p w14:paraId="38FDAF39" w14:textId="570B4924" w:rsidR="0029763D" w:rsidRPr="00802AF9" w:rsidRDefault="0029763D" w:rsidP="0029763D">
      <w:pPr>
        <w:rPr>
          <w:b/>
          <w:lang w:val="fr-CA"/>
        </w:rPr>
      </w:pPr>
      <w:r w:rsidRPr="00802AF9">
        <w:rPr>
          <w:b/>
          <w:lang w:val="fr-CA"/>
        </w:rPr>
        <w:t>Table</w:t>
      </w:r>
      <w:r w:rsidR="00D46BEA">
        <w:rPr>
          <w:b/>
          <w:lang w:val="fr-CA"/>
        </w:rPr>
        <w:t>au</w:t>
      </w:r>
      <w:r w:rsidRPr="00802AF9">
        <w:rPr>
          <w:b/>
          <w:lang w:val="fr-CA"/>
        </w:rPr>
        <w:t xml:space="preserve"> 2. Appro</w:t>
      </w:r>
      <w:r w:rsidR="00D46BEA">
        <w:rPr>
          <w:b/>
          <w:lang w:val="fr-CA"/>
        </w:rPr>
        <w:t xml:space="preserve">bations des </w:t>
      </w:r>
      <w:r w:rsidRPr="00802AF9">
        <w:rPr>
          <w:b/>
          <w:lang w:val="fr-CA"/>
        </w:rPr>
        <w:t xml:space="preserve">tranches </w:t>
      </w:r>
      <w:r w:rsidR="00D46BEA">
        <w:rPr>
          <w:b/>
          <w:lang w:val="fr-CA"/>
        </w:rPr>
        <w:t xml:space="preserve">pour chaque </w:t>
      </w:r>
      <w:r w:rsidR="00494A38" w:rsidRPr="00802AF9">
        <w:rPr>
          <w:b/>
          <w:lang w:val="fr-CA"/>
        </w:rPr>
        <w:t>plan sectoriel</w:t>
      </w:r>
      <w:r w:rsidRPr="00802AF9">
        <w:rPr>
          <w:b/>
          <w:lang w:val="fr-CA"/>
        </w:rPr>
        <w:t xml:space="preserve"> </w:t>
      </w:r>
      <w:r w:rsidR="00D46BEA">
        <w:rPr>
          <w:b/>
          <w:lang w:val="fr-CA"/>
        </w:rPr>
        <w:t>de la</w:t>
      </w:r>
      <w:r w:rsidRPr="00802AF9">
        <w:rPr>
          <w:b/>
          <w:lang w:val="fr-CA"/>
        </w:rPr>
        <w:t xml:space="preserve"> </w:t>
      </w:r>
      <w:r w:rsidR="0014063A" w:rsidRPr="00802AF9">
        <w:rPr>
          <w:b/>
          <w:lang w:val="fr-CA"/>
        </w:rPr>
        <w:t>phase</w:t>
      </w:r>
      <w:r w:rsidRPr="00802AF9">
        <w:rPr>
          <w:b/>
          <w:lang w:val="fr-CA"/>
        </w:rPr>
        <w:t xml:space="preserve"> I </w:t>
      </w:r>
      <w:r w:rsidR="00D46BEA">
        <w:rPr>
          <w:b/>
          <w:lang w:val="fr-CA"/>
        </w:rPr>
        <w:t>du</w:t>
      </w:r>
      <w:r w:rsidRPr="00802AF9">
        <w:rPr>
          <w:b/>
          <w:lang w:val="fr-CA"/>
        </w:rPr>
        <w:t xml:space="preserve"> </w:t>
      </w:r>
      <w:r w:rsidR="00494A38" w:rsidRPr="00802AF9">
        <w:rPr>
          <w:b/>
          <w:lang w:val="fr-CA"/>
        </w:rPr>
        <w:t>PGEH</w:t>
      </w:r>
      <w:r w:rsidRPr="00802AF9">
        <w:rPr>
          <w:b/>
          <w:lang w:val="fr-CA"/>
        </w:rPr>
        <w:t xml:space="preserve"> </w:t>
      </w:r>
      <w:r w:rsidR="00D46BEA">
        <w:rPr>
          <w:b/>
          <w:lang w:val="fr-CA"/>
        </w:rPr>
        <w:t>de la</w:t>
      </w:r>
      <w:r w:rsidRPr="00802AF9">
        <w:rPr>
          <w:b/>
          <w:lang w:val="fr-CA"/>
        </w:rPr>
        <w:t xml:space="preserve"> </w:t>
      </w:r>
      <w:r w:rsidR="00494A38" w:rsidRPr="00802AF9">
        <w:rPr>
          <w:b/>
          <w:lang w:val="fr-CA"/>
        </w:rPr>
        <w:t>Chine</w:t>
      </w:r>
    </w:p>
    <w:tbl>
      <w:tblPr>
        <w:tblW w:w="5342" w:type="pct"/>
        <w:tblInd w:w="-95" w:type="dxa"/>
        <w:tblLayout w:type="fixed"/>
        <w:tblLook w:val="04A0" w:firstRow="1" w:lastRow="0" w:firstColumn="1" w:lastColumn="0" w:noHBand="0" w:noVBand="1"/>
      </w:tblPr>
      <w:tblGrid>
        <w:gridCol w:w="991"/>
        <w:gridCol w:w="901"/>
        <w:gridCol w:w="901"/>
        <w:gridCol w:w="1081"/>
        <w:gridCol w:w="991"/>
        <w:gridCol w:w="1081"/>
        <w:gridCol w:w="991"/>
        <w:gridCol w:w="989"/>
        <w:gridCol w:w="991"/>
        <w:gridCol w:w="1073"/>
      </w:tblGrid>
      <w:tr w:rsidR="0029763D" w:rsidRPr="00C02497" w14:paraId="7A914953" w14:textId="77777777" w:rsidTr="003F444E">
        <w:trPr>
          <w:trHeight w:val="170"/>
          <w:tblHeader/>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80182" w14:textId="0DFC9469" w:rsidR="0029763D" w:rsidRPr="00C02497" w:rsidRDefault="00494A38" w:rsidP="003F073E">
            <w:pPr>
              <w:jc w:val="left"/>
              <w:rPr>
                <w:b/>
                <w:bCs/>
                <w:color w:val="000000"/>
                <w:sz w:val="19"/>
                <w:szCs w:val="19"/>
                <w:lang w:val="fr-CA"/>
              </w:rPr>
            </w:pPr>
            <w:r w:rsidRPr="00C02497">
              <w:rPr>
                <w:b/>
                <w:bCs/>
                <w:color w:val="000000"/>
                <w:sz w:val="19"/>
                <w:szCs w:val="19"/>
                <w:lang w:val="fr-CA"/>
              </w:rPr>
              <w:t>Plan sectoriel</w:t>
            </w:r>
          </w:p>
        </w:tc>
        <w:tc>
          <w:tcPr>
            <w:tcW w:w="4504" w:type="pct"/>
            <w:gridSpan w:val="9"/>
            <w:tcBorders>
              <w:top w:val="single" w:sz="4" w:space="0" w:color="auto"/>
              <w:left w:val="nil"/>
              <w:bottom w:val="single" w:sz="4" w:space="0" w:color="auto"/>
              <w:right w:val="single" w:sz="4" w:space="0" w:color="auto"/>
            </w:tcBorders>
            <w:shd w:val="clear" w:color="auto" w:fill="auto"/>
            <w:noWrap/>
            <w:hideMark/>
          </w:tcPr>
          <w:p w14:paraId="3A9ED655" w14:textId="674E1D40" w:rsidR="0029763D" w:rsidRPr="00C02497" w:rsidRDefault="0014063A" w:rsidP="003F073E">
            <w:pPr>
              <w:jc w:val="center"/>
              <w:rPr>
                <w:b/>
                <w:bCs/>
                <w:color w:val="000000"/>
                <w:sz w:val="19"/>
                <w:szCs w:val="19"/>
                <w:lang w:val="fr-CA"/>
              </w:rPr>
            </w:pPr>
            <w:r w:rsidRPr="00C02497">
              <w:rPr>
                <w:b/>
                <w:bCs/>
                <w:color w:val="000000"/>
                <w:sz w:val="19"/>
                <w:szCs w:val="19"/>
                <w:lang w:val="fr-CA"/>
              </w:rPr>
              <w:t>Réunion</w:t>
            </w:r>
            <w:r w:rsidR="0029763D" w:rsidRPr="00C02497">
              <w:rPr>
                <w:b/>
                <w:bCs/>
                <w:color w:val="000000"/>
                <w:sz w:val="19"/>
                <w:szCs w:val="19"/>
                <w:lang w:val="fr-CA"/>
              </w:rPr>
              <w:t xml:space="preserve"> </w:t>
            </w:r>
            <w:r w:rsidR="00661CF2" w:rsidRPr="00C02497">
              <w:rPr>
                <w:b/>
                <w:bCs/>
                <w:color w:val="000000"/>
                <w:sz w:val="19"/>
                <w:szCs w:val="19"/>
                <w:lang w:val="fr-CA"/>
              </w:rPr>
              <w:t>du</w:t>
            </w:r>
            <w:r w:rsidR="0029763D" w:rsidRPr="00C02497">
              <w:rPr>
                <w:b/>
                <w:bCs/>
                <w:color w:val="000000"/>
                <w:sz w:val="19"/>
                <w:szCs w:val="19"/>
                <w:lang w:val="fr-CA"/>
              </w:rPr>
              <w:t xml:space="preserve"> </w:t>
            </w:r>
            <w:r w:rsidRPr="00C02497">
              <w:rPr>
                <w:b/>
                <w:bCs/>
                <w:color w:val="000000"/>
                <w:sz w:val="19"/>
                <w:szCs w:val="19"/>
                <w:lang w:val="fr-CA"/>
              </w:rPr>
              <w:t>Comité exécutif</w:t>
            </w:r>
          </w:p>
        </w:tc>
      </w:tr>
      <w:tr w:rsidR="003F444E" w:rsidRPr="00C02497" w14:paraId="46938AAC" w14:textId="77777777" w:rsidTr="003F444E">
        <w:trPr>
          <w:trHeight w:val="50"/>
          <w:tblHeader/>
        </w:trPr>
        <w:tc>
          <w:tcPr>
            <w:tcW w:w="496" w:type="pct"/>
            <w:vMerge/>
            <w:tcBorders>
              <w:top w:val="single" w:sz="4" w:space="0" w:color="auto"/>
              <w:left w:val="single" w:sz="4" w:space="0" w:color="auto"/>
              <w:bottom w:val="single" w:sz="4" w:space="0" w:color="auto"/>
              <w:right w:val="single" w:sz="4" w:space="0" w:color="auto"/>
            </w:tcBorders>
            <w:hideMark/>
          </w:tcPr>
          <w:p w14:paraId="32B6FC2D" w14:textId="77777777" w:rsidR="0029763D" w:rsidRPr="00C02497" w:rsidRDefault="0029763D" w:rsidP="003F073E">
            <w:pPr>
              <w:jc w:val="left"/>
              <w:rPr>
                <w:b/>
                <w:bCs/>
                <w:color w:val="000000"/>
                <w:sz w:val="19"/>
                <w:szCs w:val="19"/>
                <w:lang w:val="fr-CA"/>
              </w:rPr>
            </w:pPr>
          </w:p>
        </w:tc>
        <w:tc>
          <w:tcPr>
            <w:tcW w:w="451" w:type="pct"/>
            <w:tcBorders>
              <w:top w:val="nil"/>
              <w:left w:val="nil"/>
              <w:bottom w:val="single" w:sz="4" w:space="0" w:color="auto"/>
              <w:right w:val="single" w:sz="4" w:space="0" w:color="auto"/>
            </w:tcBorders>
            <w:shd w:val="clear" w:color="auto" w:fill="auto"/>
            <w:noWrap/>
            <w:hideMark/>
          </w:tcPr>
          <w:p w14:paraId="30F50A1D" w14:textId="4CBCBDE7" w:rsidR="0029763D" w:rsidRPr="00C02497" w:rsidRDefault="0029763D" w:rsidP="003F073E">
            <w:pPr>
              <w:jc w:val="center"/>
              <w:rPr>
                <w:b/>
                <w:bCs/>
                <w:color w:val="000000"/>
                <w:sz w:val="19"/>
                <w:szCs w:val="19"/>
                <w:lang w:val="fr-CA"/>
              </w:rPr>
            </w:pPr>
            <w:r w:rsidRPr="00C02497">
              <w:rPr>
                <w:b/>
                <w:bCs/>
                <w:color w:val="000000"/>
                <w:sz w:val="19"/>
                <w:szCs w:val="19"/>
                <w:lang w:val="fr-CA"/>
              </w:rPr>
              <w:t>64</w:t>
            </w:r>
            <w:r w:rsidR="00D46BEA" w:rsidRPr="00C02497">
              <w:rPr>
                <w:b/>
                <w:bCs/>
                <w:color w:val="000000"/>
                <w:sz w:val="19"/>
                <w:szCs w:val="19"/>
                <w:vertAlign w:val="superscript"/>
                <w:lang w:val="fr-CA"/>
              </w:rPr>
              <w:t>e</w:t>
            </w:r>
          </w:p>
        </w:tc>
        <w:tc>
          <w:tcPr>
            <w:tcW w:w="451" w:type="pct"/>
            <w:tcBorders>
              <w:top w:val="nil"/>
              <w:left w:val="nil"/>
              <w:bottom w:val="single" w:sz="4" w:space="0" w:color="auto"/>
              <w:right w:val="single" w:sz="4" w:space="0" w:color="auto"/>
            </w:tcBorders>
            <w:shd w:val="clear" w:color="auto" w:fill="auto"/>
            <w:noWrap/>
            <w:hideMark/>
          </w:tcPr>
          <w:p w14:paraId="4391C41D" w14:textId="1FA95CB9" w:rsidR="0029763D" w:rsidRPr="00C02497" w:rsidRDefault="0029763D" w:rsidP="003F073E">
            <w:pPr>
              <w:jc w:val="center"/>
              <w:rPr>
                <w:b/>
                <w:bCs/>
                <w:color w:val="000000"/>
                <w:sz w:val="19"/>
                <w:szCs w:val="19"/>
                <w:lang w:val="fr-CA"/>
              </w:rPr>
            </w:pPr>
            <w:r w:rsidRPr="00C02497">
              <w:rPr>
                <w:b/>
                <w:bCs/>
                <w:color w:val="000000"/>
                <w:sz w:val="19"/>
                <w:szCs w:val="19"/>
                <w:lang w:val="fr-CA"/>
              </w:rPr>
              <w:t>65</w:t>
            </w:r>
            <w:r w:rsidR="00D46BEA" w:rsidRPr="00C02497">
              <w:rPr>
                <w:b/>
                <w:bCs/>
                <w:color w:val="000000"/>
                <w:sz w:val="19"/>
                <w:szCs w:val="19"/>
                <w:vertAlign w:val="superscript"/>
                <w:lang w:val="fr-CA"/>
              </w:rPr>
              <w:t>e</w:t>
            </w:r>
          </w:p>
        </w:tc>
        <w:tc>
          <w:tcPr>
            <w:tcW w:w="541" w:type="pct"/>
            <w:tcBorders>
              <w:top w:val="nil"/>
              <w:left w:val="nil"/>
              <w:bottom w:val="single" w:sz="4" w:space="0" w:color="auto"/>
              <w:right w:val="single" w:sz="4" w:space="0" w:color="auto"/>
            </w:tcBorders>
            <w:shd w:val="clear" w:color="auto" w:fill="auto"/>
            <w:noWrap/>
            <w:hideMark/>
          </w:tcPr>
          <w:p w14:paraId="4A1D749C" w14:textId="040DE8DE" w:rsidR="0029763D" w:rsidRPr="00C02497" w:rsidRDefault="0029763D" w:rsidP="003F073E">
            <w:pPr>
              <w:jc w:val="center"/>
              <w:rPr>
                <w:b/>
                <w:bCs/>
                <w:color w:val="000000"/>
                <w:sz w:val="19"/>
                <w:szCs w:val="19"/>
                <w:lang w:val="fr-CA"/>
              </w:rPr>
            </w:pPr>
            <w:r w:rsidRPr="00C02497">
              <w:rPr>
                <w:b/>
                <w:bCs/>
                <w:color w:val="000000"/>
                <w:sz w:val="19"/>
                <w:szCs w:val="19"/>
                <w:lang w:val="fr-CA"/>
              </w:rPr>
              <w:t>68</w:t>
            </w:r>
            <w:r w:rsidR="00D46BEA" w:rsidRPr="00C02497">
              <w:rPr>
                <w:b/>
                <w:bCs/>
                <w:color w:val="000000"/>
                <w:sz w:val="19"/>
                <w:szCs w:val="19"/>
                <w:vertAlign w:val="superscript"/>
                <w:lang w:val="fr-CA"/>
              </w:rPr>
              <w:t>e</w:t>
            </w:r>
          </w:p>
        </w:tc>
        <w:tc>
          <w:tcPr>
            <w:tcW w:w="496" w:type="pct"/>
            <w:tcBorders>
              <w:top w:val="nil"/>
              <w:left w:val="nil"/>
              <w:bottom w:val="single" w:sz="4" w:space="0" w:color="auto"/>
              <w:right w:val="single" w:sz="4" w:space="0" w:color="auto"/>
            </w:tcBorders>
            <w:shd w:val="clear" w:color="auto" w:fill="auto"/>
            <w:noWrap/>
            <w:hideMark/>
          </w:tcPr>
          <w:p w14:paraId="670F69F9" w14:textId="59351862" w:rsidR="0029763D" w:rsidRPr="00C02497" w:rsidRDefault="0029763D" w:rsidP="003F073E">
            <w:pPr>
              <w:jc w:val="center"/>
              <w:rPr>
                <w:b/>
                <w:bCs/>
                <w:color w:val="000000"/>
                <w:sz w:val="19"/>
                <w:szCs w:val="19"/>
                <w:lang w:val="fr-CA"/>
              </w:rPr>
            </w:pPr>
            <w:r w:rsidRPr="00C02497">
              <w:rPr>
                <w:b/>
                <w:bCs/>
                <w:color w:val="000000"/>
                <w:sz w:val="19"/>
                <w:szCs w:val="19"/>
                <w:lang w:val="fr-CA"/>
              </w:rPr>
              <w:t>69</w:t>
            </w:r>
            <w:r w:rsidR="00D46BEA" w:rsidRPr="00C02497">
              <w:rPr>
                <w:b/>
                <w:bCs/>
                <w:color w:val="000000"/>
                <w:sz w:val="19"/>
                <w:szCs w:val="19"/>
                <w:vertAlign w:val="superscript"/>
                <w:lang w:val="fr-CA"/>
              </w:rPr>
              <w:t>e</w:t>
            </w:r>
          </w:p>
        </w:tc>
        <w:tc>
          <w:tcPr>
            <w:tcW w:w="541" w:type="pct"/>
            <w:tcBorders>
              <w:top w:val="nil"/>
              <w:left w:val="nil"/>
              <w:bottom w:val="single" w:sz="4" w:space="0" w:color="auto"/>
              <w:right w:val="single" w:sz="4" w:space="0" w:color="auto"/>
            </w:tcBorders>
            <w:shd w:val="clear" w:color="auto" w:fill="auto"/>
            <w:noWrap/>
            <w:hideMark/>
          </w:tcPr>
          <w:p w14:paraId="55616579" w14:textId="2F5263EE" w:rsidR="0029763D" w:rsidRPr="00C02497" w:rsidRDefault="0029763D" w:rsidP="003F073E">
            <w:pPr>
              <w:jc w:val="center"/>
              <w:rPr>
                <w:b/>
                <w:bCs/>
                <w:color w:val="000000"/>
                <w:sz w:val="19"/>
                <w:szCs w:val="19"/>
                <w:lang w:val="fr-CA"/>
              </w:rPr>
            </w:pPr>
            <w:r w:rsidRPr="00C02497">
              <w:rPr>
                <w:b/>
                <w:bCs/>
                <w:color w:val="000000"/>
                <w:sz w:val="19"/>
                <w:szCs w:val="19"/>
                <w:lang w:val="fr-CA"/>
              </w:rPr>
              <w:t>71</w:t>
            </w:r>
            <w:r w:rsidR="00D46BEA" w:rsidRPr="00C02497">
              <w:rPr>
                <w:b/>
                <w:bCs/>
                <w:color w:val="000000"/>
                <w:sz w:val="19"/>
                <w:szCs w:val="19"/>
                <w:vertAlign w:val="superscript"/>
                <w:lang w:val="fr-CA"/>
              </w:rPr>
              <w:t>e</w:t>
            </w:r>
          </w:p>
        </w:tc>
        <w:tc>
          <w:tcPr>
            <w:tcW w:w="496" w:type="pct"/>
            <w:tcBorders>
              <w:top w:val="nil"/>
              <w:left w:val="nil"/>
              <w:bottom w:val="single" w:sz="4" w:space="0" w:color="auto"/>
              <w:right w:val="single" w:sz="4" w:space="0" w:color="auto"/>
            </w:tcBorders>
            <w:shd w:val="clear" w:color="auto" w:fill="auto"/>
            <w:noWrap/>
            <w:hideMark/>
          </w:tcPr>
          <w:p w14:paraId="147EC201" w14:textId="07EBC114" w:rsidR="0029763D" w:rsidRPr="00C02497" w:rsidRDefault="0029763D" w:rsidP="003F073E">
            <w:pPr>
              <w:jc w:val="center"/>
              <w:rPr>
                <w:b/>
                <w:bCs/>
                <w:color w:val="000000"/>
                <w:sz w:val="19"/>
                <w:szCs w:val="19"/>
                <w:lang w:val="fr-CA"/>
              </w:rPr>
            </w:pPr>
            <w:r w:rsidRPr="00C02497">
              <w:rPr>
                <w:b/>
                <w:bCs/>
                <w:color w:val="000000"/>
                <w:sz w:val="19"/>
                <w:szCs w:val="19"/>
                <w:lang w:val="fr-CA"/>
              </w:rPr>
              <w:t>72</w:t>
            </w:r>
            <w:r w:rsidR="00D46BEA" w:rsidRPr="00C02497">
              <w:rPr>
                <w:b/>
                <w:bCs/>
                <w:color w:val="000000"/>
                <w:sz w:val="19"/>
                <w:szCs w:val="19"/>
                <w:vertAlign w:val="superscript"/>
                <w:lang w:val="fr-CA"/>
              </w:rPr>
              <w:t>e</w:t>
            </w:r>
          </w:p>
        </w:tc>
        <w:tc>
          <w:tcPr>
            <w:tcW w:w="495" w:type="pct"/>
            <w:tcBorders>
              <w:top w:val="nil"/>
              <w:left w:val="nil"/>
              <w:bottom w:val="single" w:sz="4" w:space="0" w:color="auto"/>
              <w:right w:val="single" w:sz="4" w:space="0" w:color="auto"/>
            </w:tcBorders>
          </w:tcPr>
          <w:p w14:paraId="5DE55B2E" w14:textId="0919FB1D" w:rsidR="0029763D" w:rsidRPr="00C02497" w:rsidRDefault="0029763D" w:rsidP="003F073E">
            <w:pPr>
              <w:jc w:val="center"/>
              <w:rPr>
                <w:b/>
                <w:bCs/>
                <w:color w:val="000000"/>
                <w:sz w:val="19"/>
                <w:szCs w:val="19"/>
                <w:lang w:val="fr-CA"/>
              </w:rPr>
            </w:pPr>
            <w:r w:rsidRPr="00C02497">
              <w:rPr>
                <w:b/>
                <w:bCs/>
                <w:color w:val="000000"/>
                <w:sz w:val="19"/>
                <w:szCs w:val="19"/>
                <w:lang w:val="fr-CA"/>
              </w:rPr>
              <w:t>73</w:t>
            </w:r>
            <w:r w:rsidR="00D46BEA" w:rsidRPr="00C02497">
              <w:rPr>
                <w:b/>
                <w:bCs/>
                <w:color w:val="000000"/>
                <w:sz w:val="19"/>
                <w:szCs w:val="19"/>
                <w:vertAlign w:val="superscript"/>
                <w:lang w:val="fr-CA"/>
              </w:rPr>
              <w:t>e</w:t>
            </w:r>
          </w:p>
        </w:tc>
        <w:tc>
          <w:tcPr>
            <w:tcW w:w="496" w:type="pct"/>
            <w:tcBorders>
              <w:top w:val="nil"/>
              <w:left w:val="nil"/>
              <w:bottom w:val="single" w:sz="4" w:space="0" w:color="auto"/>
              <w:right w:val="single" w:sz="4" w:space="0" w:color="auto"/>
            </w:tcBorders>
          </w:tcPr>
          <w:p w14:paraId="42E7E41B" w14:textId="0FD5BE1C" w:rsidR="0029763D" w:rsidRPr="00C02497" w:rsidRDefault="0029763D" w:rsidP="003F073E">
            <w:pPr>
              <w:jc w:val="center"/>
              <w:rPr>
                <w:b/>
                <w:bCs/>
                <w:color w:val="000000"/>
                <w:sz w:val="19"/>
                <w:szCs w:val="19"/>
                <w:lang w:val="fr-CA"/>
              </w:rPr>
            </w:pPr>
            <w:r w:rsidRPr="00C02497">
              <w:rPr>
                <w:b/>
                <w:bCs/>
                <w:color w:val="000000"/>
                <w:sz w:val="19"/>
                <w:szCs w:val="19"/>
                <w:lang w:val="fr-CA"/>
              </w:rPr>
              <w:t>74</w:t>
            </w:r>
            <w:r w:rsidR="00D46BEA" w:rsidRPr="00C02497">
              <w:rPr>
                <w:b/>
                <w:bCs/>
                <w:color w:val="000000"/>
                <w:sz w:val="19"/>
                <w:szCs w:val="19"/>
                <w:vertAlign w:val="superscript"/>
                <w:lang w:val="fr-CA"/>
              </w:rPr>
              <w:t>e</w:t>
            </w:r>
          </w:p>
        </w:tc>
        <w:tc>
          <w:tcPr>
            <w:tcW w:w="538" w:type="pct"/>
            <w:tcBorders>
              <w:top w:val="nil"/>
              <w:left w:val="nil"/>
              <w:bottom w:val="single" w:sz="4" w:space="0" w:color="auto"/>
              <w:right w:val="single" w:sz="4" w:space="0" w:color="auto"/>
            </w:tcBorders>
          </w:tcPr>
          <w:p w14:paraId="5526A4F7" w14:textId="73B7AA6F" w:rsidR="0029763D" w:rsidRPr="00C02497" w:rsidRDefault="0029763D" w:rsidP="003F073E">
            <w:pPr>
              <w:jc w:val="center"/>
              <w:rPr>
                <w:b/>
                <w:bCs/>
                <w:color w:val="000000"/>
                <w:sz w:val="19"/>
                <w:szCs w:val="19"/>
                <w:lang w:val="fr-CA"/>
              </w:rPr>
            </w:pPr>
            <w:r w:rsidRPr="00C02497">
              <w:rPr>
                <w:b/>
                <w:bCs/>
                <w:color w:val="000000"/>
                <w:sz w:val="19"/>
                <w:szCs w:val="19"/>
                <w:lang w:val="fr-CA"/>
              </w:rPr>
              <w:t>75</w:t>
            </w:r>
            <w:r w:rsidR="00D46BEA" w:rsidRPr="00C02497">
              <w:rPr>
                <w:b/>
                <w:bCs/>
                <w:color w:val="000000"/>
                <w:sz w:val="19"/>
                <w:szCs w:val="19"/>
                <w:vertAlign w:val="superscript"/>
                <w:lang w:val="fr-CA"/>
              </w:rPr>
              <w:t>e</w:t>
            </w:r>
          </w:p>
        </w:tc>
      </w:tr>
      <w:tr w:rsidR="003F444E" w:rsidRPr="00C02497" w14:paraId="6844A107" w14:textId="77777777" w:rsidTr="003F444E">
        <w:trPr>
          <w:trHeight w:val="50"/>
        </w:trPr>
        <w:tc>
          <w:tcPr>
            <w:tcW w:w="496" w:type="pct"/>
            <w:tcBorders>
              <w:top w:val="nil"/>
              <w:left w:val="single" w:sz="4" w:space="0" w:color="auto"/>
              <w:bottom w:val="single" w:sz="4" w:space="0" w:color="auto"/>
              <w:right w:val="single" w:sz="4" w:space="0" w:color="auto"/>
            </w:tcBorders>
            <w:shd w:val="clear" w:color="auto" w:fill="auto"/>
            <w:noWrap/>
            <w:hideMark/>
          </w:tcPr>
          <w:p w14:paraId="253BB464" w14:textId="77777777" w:rsidR="0029763D" w:rsidRPr="00C02497" w:rsidRDefault="0029763D" w:rsidP="003F073E">
            <w:pPr>
              <w:jc w:val="left"/>
              <w:rPr>
                <w:color w:val="000000"/>
                <w:sz w:val="19"/>
                <w:szCs w:val="19"/>
                <w:lang w:val="fr-CA"/>
              </w:rPr>
            </w:pPr>
            <w:r w:rsidRPr="00C02497">
              <w:rPr>
                <w:color w:val="000000"/>
                <w:sz w:val="19"/>
                <w:szCs w:val="19"/>
                <w:lang w:val="fr-CA"/>
              </w:rPr>
              <w:t>XPS</w:t>
            </w:r>
          </w:p>
        </w:tc>
        <w:tc>
          <w:tcPr>
            <w:tcW w:w="451" w:type="pct"/>
            <w:tcBorders>
              <w:top w:val="nil"/>
              <w:left w:val="nil"/>
              <w:bottom w:val="single" w:sz="4" w:space="0" w:color="auto"/>
              <w:right w:val="single" w:sz="4" w:space="0" w:color="auto"/>
            </w:tcBorders>
            <w:shd w:val="clear" w:color="auto" w:fill="auto"/>
            <w:noWrap/>
            <w:hideMark/>
          </w:tcPr>
          <w:p w14:paraId="7E8413E0" w14:textId="297330AB" w:rsidR="0029763D" w:rsidRPr="00C02497" w:rsidRDefault="00494A38" w:rsidP="003F073E">
            <w:pPr>
              <w:jc w:val="left"/>
              <w:rPr>
                <w:color w:val="000000"/>
                <w:sz w:val="18"/>
                <w:szCs w:val="18"/>
                <w:lang w:val="fr-CA"/>
              </w:rPr>
            </w:pPr>
            <w:r w:rsidRPr="00C02497">
              <w:rPr>
                <w:color w:val="000000"/>
                <w:sz w:val="18"/>
                <w:szCs w:val="18"/>
                <w:lang w:val="fr-CA"/>
              </w:rPr>
              <w:t>Première</w:t>
            </w:r>
            <w:r w:rsidR="0029763D" w:rsidRPr="00C02497">
              <w:rPr>
                <w:color w:val="000000"/>
                <w:sz w:val="18"/>
                <w:szCs w:val="18"/>
                <w:lang w:val="fr-CA"/>
              </w:rPr>
              <w:t xml:space="preserve"> </w:t>
            </w:r>
          </w:p>
        </w:tc>
        <w:tc>
          <w:tcPr>
            <w:tcW w:w="451" w:type="pct"/>
            <w:tcBorders>
              <w:top w:val="nil"/>
              <w:left w:val="nil"/>
              <w:bottom w:val="single" w:sz="4" w:space="0" w:color="auto"/>
              <w:right w:val="single" w:sz="4" w:space="0" w:color="auto"/>
            </w:tcBorders>
            <w:shd w:val="clear" w:color="auto" w:fill="auto"/>
            <w:noWrap/>
            <w:hideMark/>
          </w:tcPr>
          <w:p w14:paraId="2BFB7761"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691F9994" w14:textId="77777777" w:rsidR="0029763D" w:rsidRPr="00C02497" w:rsidRDefault="0029763D" w:rsidP="003F073E">
            <w:pPr>
              <w:jc w:val="left"/>
              <w:rPr>
                <w:color w:val="000000"/>
                <w:sz w:val="18"/>
                <w:szCs w:val="18"/>
                <w:lang w:val="fr-CA"/>
              </w:rPr>
            </w:pPr>
          </w:p>
        </w:tc>
        <w:tc>
          <w:tcPr>
            <w:tcW w:w="496" w:type="pct"/>
            <w:tcBorders>
              <w:top w:val="nil"/>
              <w:left w:val="nil"/>
              <w:bottom w:val="single" w:sz="4" w:space="0" w:color="auto"/>
              <w:right w:val="single" w:sz="4" w:space="0" w:color="auto"/>
            </w:tcBorders>
            <w:shd w:val="clear" w:color="auto" w:fill="auto"/>
            <w:noWrap/>
            <w:hideMark/>
          </w:tcPr>
          <w:p w14:paraId="7C53BEB2" w14:textId="6B6F93AC" w:rsidR="0029763D" w:rsidRPr="00C02497" w:rsidRDefault="00494A38" w:rsidP="003F073E">
            <w:pPr>
              <w:jc w:val="left"/>
              <w:rPr>
                <w:color w:val="000000"/>
                <w:sz w:val="18"/>
                <w:szCs w:val="18"/>
                <w:lang w:val="fr-CA"/>
              </w:rPr>
            </w:pPr>
            <w:r w:rsidRPr="00C02497">
              <w:rPr>
                <w:color w:val="000000"/>
                <w:sz w:val="18"/>
                <w:szCs w:val="18"/>
                <w:lang w:val="fr-CA"/>
              </w:rPr>
              <w:t>Deuxième</w:t>
            </w:r>
            <w:r w:rsidR="0029763D" w:rsidRPr="00C02497">
              <w:rPr>
                <w:color w:val="000000"/>
                <w:sz w:val="18"/>
                <w:szCs w:val="18"/>
                <w:lang w:val="fr-CA"/>
              </w:rPr>
              <w:t xml:space="preserve"> </w:t>
            </w:r>
          </w:p>
        </w:tc>
        <w:tc>
          <w:tcPr>
            <w:tcW w:w="541" w:type="pct"/>
            <w:tcBorders>
              <w:top w:val="nil"/>
              <w:left w:val="nil"/>
              <w:bottom w:val="single" w:sz="4" w:space="0" w:color="auto"/>
              <w:right w:val="single" w:sz="4" w:space="0" w:color="auto"/>
            </w:tcBorders>
            <w:shd w:val="clear" w:color="auto" w:fill="auto"/>
            <w:noWrap/>
            <w:hideMark/>
          </w:tcPr>
          <w:p w14:paraId="33C79D23" w14:textId="20A2748B" w:rsidR="0029763D" w:rsidRPr="00C02497" w:rsidRDefault="00494A38" w:rsidP="003F073E">
            <w:pPr>
              <w:jc w:val="left"/>
              <w:rPr>
                <w:color w:val="000000"/>
                <w:sz w:val="18"/>
                <w:szCs w:val="18"/>
                <w:lang w:val="fr-CA"/>
              </w:rPr>
            </w:pPr>
            <w:r w:rsidRPr="00C02497">
              <w:rPr>
                <w:color w:val="000000"/>
                <w:sz w:val="18"/>
                <w:szCs w:val="18"/>
                <w:lang w:val="fr-CA"/>
              </w:rPr>
              <w:t>Troisième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0BE425E7" w14:textId="77777777" w:rsidR="0029763D" w:rsidRPr="00C02497" w:rsidRDefault="0029763D" w:rsidP="003F073E">
            <w:pPr>
              <w:jc w:val="left"/>
              <w:rPr>
                <w:color w:val="000000"/>
                <w:sz w:val="18"/>
                <w:szCs w:val="18"/>
                <w:lang w:val="fr-CA"/>
              </w:rPr>
            </w:pPr>
          </w:p>
        </w:tc>
        <w:tc>
          <w:tcPr>
            <w:tcW w:w="495" w:type="pct"/>
            <w:tcBorders>
              <w:top w:val="nil"/>
              <w:left w:val="nil"/>
              <w:bottom w:val="single" w:sz="4" w:space="0" w:color="auto"/>
              <w:right w:val="single" w:sz="4" w:space="0" w:color="auto"/>
            </w:tcBorders>
          </w:tcPr>
          <w:p w14:paraId="4A8ECEC2" w14:textId="580AE829" w:rsidR="0029763D" w:rsidRPr="00C02497" w:rsidRDefault="00494A38" w:rsidP="003F073E">
            <w:pPr>
              <w:jc w:val="left"/>
              <w:rPr>
                <w:color w:val="000000"/>
                <w:sz w:val="18"/>
                <w:szCs w:val="18"/>
                <w:lang w:val="fr-CA"/>
              </w:rPr>
            </w:pPr>
            <w:r w:rsidRPr="00C02497">
              <w:rPr>
                <w:color w:val="000000"/>
                <w:sz w:val="18"/>
                <w:szCs w:val="18"/>
                <w:lang w:val="fr-CA"/>
              </w:rPr>
              <w:t>Quatrième</w:t>
            </w:r>
          </w:p>
        </w:tc>
        <w:tc>
          <w:tcPr>
            <w:tcW w:w="496" w:type="pct"/>
            <w:tcBorders>
              <w:top w:val="nil"/>
              <w:left w:val="nil"/>
              <w:bottom w:val="single" w:sz="4" w:space="0" w:color="auto"/>
              <w:right w:val="single" w:sz="4" w:space="0" w:color="auto"/>
            </w:tcBorders>
          </w:tcPr>
          <w:p w14:paraId="639EB906" w14:textId="77777777" w:rsidR="0029763D" w:rsidRPr="00C02497" w:rsidRDefault="0029763D" w:rsidP="003F073E">
            <w:pPr>
              <w:jc w:val="left"/>
              <w:rPr>
                <w:color w:val="000000"/>
                <w:sz w:val="18"/>
                <w:szCs w:val="18"/>
                <w:lang w:val="fr-CA"/>
              </w:rPr>
            </w:pPr>
          </w:p>
        </w:tc>
        <w:tc>
          <w:tcPr>
            <w:tcW w:w="538" w:type="pct"/>
            <w:tcBorders>
              <w:top w:val="nil"/>
              <w:left w:val="nil"/>
              <w:bottom w:val="single" w:sz="4" w:space="0" w:color="auto"/>
              <w:right w:val="single" w:sz="4" w:space="0" w:color="auto"/>
            </w:tcBorders>
          </w:tcPr>
          <w:p w14:paraId="5B2CFF22" w14:textId="5952ECD2" w:rsidR="0029763D" w:rsidRPr="00C02497" w:rsidRDefault="00494A38" w:rsidP="003F073E">
            <w:pPr>
              <w:jc w:val="left"/>
              <w:rPr>
                <w:color w:val="000000"/>
                <w:sz w:val="18"/>
                <w:szCs w:val="18"/>
                <w:lang w:val="fr-CA"/>
              </w:rPr>
            </w:pPr>
            <w:r w:rsidRPr="00C02497">
              <w:rPr>
                <w:color w:val="000000"/>
                <w:sz w:val="18"/>
                <w:szCs w:val="18"/>
                <w:lang w:val="fr-CA"/>
              </w:rPr>
              <w:t>Cinquième</w:t>
            </w:r>
          </w:p>
        </w:tc>
      </w:tr>
      <w:tr w:rsidR="003F444E" w:rsidRPr="00C02497" w14:paraId="71F5A68F" w14:textId="77777777" w:rsidTr="003F444E">
        <w:trPr>
          <w:trHeight w:val="89"/>
        </w:trPr>
        <w:tc>
          <w:tcPr>
            <w:tcW w:w="496" w:type="pct"/>
            <w:tcBorders>
              <w:top w:val="nil"/>
              <w:left w:val="single" w:sz="4" w:space="0" w:color="auto"/>
              <w:bottom w:val="single" w:sz="4" w:space="0" w:color="auto"/>
              <w:right w:val="single" w:sz="4" w:space="0" w:color="auto"/>
            </w:tcBorders>
            <w:shd w:val="clear" w:color="auto" w:fill="auto"/>
            <w:noWrap/>
            <w:hideMark/>
          </w:tcPr>
          <w:p w14:paraId="2BE2760A" w14:textId="77777777" w:rsidR="0029763D" w:rsidRPr="00C02497" w:rsidRDefault="0029763D" w:rsidP="003F073E">
            <w:pPr>
              <w:jc w:val="left"/>
              <w:rPr>
                <w:color w:val="000000"/>
                <w:sz w:val="19"/>
                <w:szCs w:val="19"/>
                <w:lang w:val="fr-CA"/>
              </w:rPr>
            </w:pPr>
            <w:r w:rsidRPr="00C02497">
              <w:rPr>
                <w:color w:val="000000"/>
                <w:sz w:val="19"/>
                <w:szCs w:val="19"/>
                <w:lang w:val="fr-CA"/>
              </w:rPr>
              <w:t>PU</w:t>
            </w:r>
          </w:p>
        </w:tc>
        <w:tc>
          <w:tcPr>
            <w:tcW w:w="451" w:type="pct"/>
            <w:tcBorders>
              <w:top w:val="nil"/>
              <w:left w:val="nil"/>
              <w:bottom w:val="single" w:sz="4" w:space="0" w:color="auto"/>
              <w:right w:val="single" w:sz="4" w:space="0" w:color="auto"/>
            </w:tcBorders>
            <w:shd w:val="clear" w:color="auto" w:fill="auto"/>
            <w:noWrap/>
            <w:hideMark/>
          </w:tcPr>
          <w:p w14:paraId="29D73813" w14:textId="14419132" w:rsidR="0029763D" w:rsidRPr="00C02497" w:rsidRDefault="00494A38" w:rsidP="003F073E">
            <w:pPr>
              <w:jc w:val="left"/>
              <w:rPr>
                <w:color w:val="000000"/>
                <w:sz w:val="18"/>
                <w:szCs w:val="18"/>
                <w:lang w:val="fr-CA"/>
              </w:rPr>
            </w:pPr>
            <w:r w:rsidRPr="00C02497">
              <w:rPr>
                <w:color w:val="000000"/>
                <w:sz w:val="18"/>
                <w:szCs w:val="18"/>
                <w:lang w:val="fr-CA"/>
              </w:rPr>
              <w:t>Première</w:t>
            </w:r>
            <w:r w:rsidR="0029763D" w:rsidRPr="00C02497">
              <w:rPr>
                <w:color w:val="000000"/>
                <w:sz w:val="18"/>
                <w:szCs w:val="18"/>
                <w:lang w:val="fr-CA"/>
              </w:rPr>
              <w:t xml:space="preserve"> </w:t>
            </w:r>
          </w:p>
        </w:tc>
        <w:tc>
          <w:tcPr>
            <w:tcW w:w="451" w:type="pct"/>
            <w:tcBorders>
              <w:top w:val="nil"/>
              <w:left w:val="nil"/>
              <w:bottom w:val="single" w:sz="4" w:space="0" w:color="auto"/>
              <w:right w:val="single" w:sz="4" w:space="0" w:color="auto"/>
            </w:tcBorders>
            <w:shd w:val="clear" w:color="auto" w:fill="auto"/>
            <w:noWrap/>
            <w:hideMark/>
          </w:tcPr>
          <w:p w14:paraId="408EED98"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463DBF01" w14:textId="1C89BB50" w:rsidR="0029763D" w:rsidRPr="00C02497" w:rsidRDefault="00494A38" w:rsidP="003F073E">
            <w:pPr>
              <w:jc w:val="left"/>
              <w:rPr>
                <w:color w:val="000000"/>
                <w:sz w:val="18"/>
                <w:szCs w:val="18"/>
                <w:lang w:val="fr-CA"/>
              </w:rPr>
            </w:pPr>
            <w:r w:rsidRPr="00C02497">
              <w:rPr>
                <w:color w:val="000000"/>
                <w:sz w:val="18"/>
                <w:szCs w:val="18"/>
                <w:lang w:val="fr-CA"/>
              </w:rPr>
              <w:t>Deuxième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49D55A96"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19010270" w14:textId="0CEE71DF" w:rsidR="0029763D" w:rsidRPr="00C02497" w:rsidRDefault="00494A38" w:rsidP="003F073E">
            <w:pPr>
              <w:jc w:val="left"/>
              <w:rPr>
                <w:color w:val="000000"/>
                <w:sz w:val="18"/>
                <w:szCs w:val="18"/>
                <w:lang w:val="fr-CA"/>
              </w:rPr>
            </w:pPr>
            <w:r w:rsidRPr="00C02497">
              <w:rPr>
                <w:color w:val="000000"/>
                <w:sz w:val="18"/>
                <w:szCs w:val="18"/>
                <w:lang w:val="fr-CA"/>
              </w:rPr>
              <w:t>Troisième</w:t>
            </w:r>
          </w:p>
        </w:tc>
        <w:tc>
          <w:tcPr>
            <w:tcW w:w="496" w:type="pct"/>
            <w:tcBorders>
              <w:top w:val="nil"/>
              <w:left w:val="nil"/>
              <w:bottom w:val="single" w:sz="4" w:space="0" w:color="auto"/>
              <w:right w:val="single" w:sz="4" w:space="0" w:color="auto"/>
            </w:tcBorders>
            <w:shd w:val="clear" w:color="auto" w:fill="auto"/>
            <w:noWrap/>
            <w:hideMark/>
          </w:tcPr>
          <w:p w14:paraId="56C74346" w14:textId="77777777" w:rsidR="0029763D" w:rsidRPr="00C02497" w:rsidRDefault="0029763D" w:rsidP="003F073E">
            <w:pPr>
              <w:jc w:val="left"/>
              <w:rPr>
                <w:color w:val="000000"/>
                <w:sz w:val="18"/>
                <w:szCs w:val="18"/>
                <w:lang w:val="fr-CA"/>
              </w:rPr>
            </w:pPr>
          </w:p>
        </w:tc>
        <w:tc>
          <w:tcPr>
            <w:tcW w:w="495" w:type="pct"/>
            <w:tcBorders>
              <w:top w:val="nil"/>
              <w:left w:val="nil"/>
              <w:bottom w:val="single" w:sz="4" w:space="0" w:color="auto"/>
              <w:right w:val="single" w:sz="4" w:space="0" w:color="auto"/>
            </w:tcBorders>
          </w:tcPr>
          <w:p w14:paraId="356CC44C" w14:textId="0A395959" w:rsidR="0029763D" w:rsidRPr="00C02497" w:rsidRDefault="00494A38" w:rsidP="003F073E">
            <w:pPr>
              <w:jc w:val="left"/>
              <w:rPr>
                <w:color w:val="000000"/>
                <w:sz w:val="18"/>
                <w:szCs w:val="18"/>
                <w:lang w:val="fr-CA"/>
              </w:rPr>
            </w:pPr>
            <w:r w:rsidRPr="00C02497">
              <w:rPr>
                <w:color w:val="000000"/>
                <w:sz w:val="18"/>
                <w:szCs w:val="18"/>
                <w:lang w:val="fr-CA"/>
              </w:rPr>
              <w:t>Quatrième</w:t>
            </w:r>
          </w:p>
        </w:tc>
        <w:tc>
          <w:tcPr>
            <w:tcW w:w="496" w:type="pct"/>
            <w:tcBorders>
              <w:top w:val="nil"/>
              <w:left w:val="nil"/>
              <w:bottom w:val="single" w:sz="4" w:space="0" w:color="auto"/>
              <w:right w:val="single" w:sz="4" w:space="0" w:color="auto"/>
            </w:tcBorders>
          </w:tcPr>
          <w:p w14:paraId="28B378B8" w14:textId="77777777" w:rsidR="0029763D" w:rsidRPr="00C02497" w:rsidRDefault="0029763D" w:rsidP="003F073E">
            <w:pPr>
              <w:jc w:val="left"/>
              <w:rPr>
                <w:color w:val="000000"/>
                <w:sz w:val="18"/>
                <w:szCs w:val="18"/>
                <w:lang w:val="fr-CA"/>
              </w:rPr>
            </w:pPr>
          </w:p>
        </w:tc>
        <w:tc>
          <w:tcPr>
            <w:tcW w:w="538" w:type="pct"/>
            <w:tcBorders>
              <w:top w:val="nil"/>
              <w:left w:val="nil"/>
              <w:bottom w:val="single" w:sz="4" w:space="0" w:color="auto"/>
              <w:right w:val="single" w:sz="4" w:space="0" w:color="auto"/>
            </w:tcBorders>
          </w:tcPr>
          <w:p w14:paraId="082AEDE9" w14:textId="7FD3B572" w:rsidR="0029763D" w:rsidRPr="00C02497" w:rsidRDefault="00494A38" w:rsidP="003F073E">
            <w:pPr>
              <w:jc w:val="left"/>
              <w:rPr>
                <w:color w:val="000000"/>
                <w:sz w:val="18"/>
                <w:szCs w:val="18"/>
                <w:lang w:val="fr-CA"/>
              </w:rPr>
            </w:pPr>
            <w:r w:rsidRPr="00C02497">
              <w:rPr>
                <w:color w:val="000000"/>
                <w:sz w:val="18"/>
                <w:szCs w:val="18"/>
                <w:lang w:val="fr-CA"/>
              </w:rPr>
              <w:t>Cinquième</w:t>
            </w:r>
          </w:p>
        </w:tc>
      </w:tr>
      <w:tr w:rsidR="003F444E" w:rsidRPr="00C02497" w14:paraId="17A3E6FE" w14:textId="77777777" w:rsidTr="003F444E">
        <w:trPr>
          <w:trHeight w:val="116"/>
        </w:trPr>
        <w:tc>
          <w:tcPr>
            <w:tcW w:w="496" w:type="pct"/>
            <w:tcBorders>
              <w:top w:val="nil"/>
              <w:left w:val="single" w:sz="4" w:space="0" w:color="auto"/>
              <w:bottom w:val="single" w:sz="4" w:space="0" w:color="auto"/>
              <w:right w:val="single" w:sz="4" w:space="0" w:color="auto"/>
            </w:tcBorders>
            <w:shd w:val="clear" w:color="auto" w:fill="auto"/>
            <w:noWrap/>
            <w:hideMark/>
          </w:tcPr>
          <w:p w14:paraId="7803AE83" w14:textId="77777777" w:rsidR="0029763D" w:rsidRPr="00C02497" w:rsidRDefault="0029763D" w:rsidP="003F073E">
            <w:pPr>
              <w:jc w:val="left"/>
              <w:rPr>
                <w:color w:val="000000"/>
                <w:sz w:val="19"/>
                <w:szCs w:val="19"/>
                <w:lang w:val="fr-CA"/>
              </w:rPr>
            </w:pPr>
            <w:r w:rsidRPr="00C02497">
              <w:rPr>
                <w:color w:val="000000"/>
                <w:sz w:val="19"/>
                <w:szCs w:val="19"/>
                <w:lang w:val="fr-CA"/>
              </w:rPr>
              <w:t>ICR</w:t>
            </w:r>
          </w:p>
        </w:tc>
        <w:tc>
          <w:tcPr>
            <w:tcW w:w="451" w:type="pct"/>
            <w:tcBorders>
              <w:top w:val="nil"/>
              <w:left w:val="nil"/>
              <w:bottom w:val="single" w:sz="4" w:space="0" w:color="auto"/>
              <w:right w:val="single" w:sz="4" w:space="0" w:color="auto"/>
            </w:tcBorders>
            <w:shd w:val="clear" w:color="auto" w:fill="auto"/>
            <w:noWrap/>
            <w:hideMark/>
          </w:tcPr>
          <w:p w14:paraId="404ACD74" w14:textId="72E0E1DD" w:rsidR="0029763D" w:rsidRPr="00C02497" w:rsidRDefault="00494A38" w:rsidP="003F073E">
            <w:pPr>
              <w:jc w:val="left"/>
              <w:rPr>
                <w:color w:val="000000"/>
                <w:sz w:val="18"/>
                <w:szCs w:val="18"/>
                <w:lang w:val="fr-CA"/>
              </w:rPr>
            </w:pPr>
            <w:r w:rsidRPr="00C02497">
              <w:rPr>
                <w:color w:val="000000"/>
                <w:sz w:val="18"/>
                <w:szCs w:val="18"/>
                <w:lang w:val="fr-CA"/>
              </w:rPr>
              <w:t>Première</w:t>
            </w:r>
            <w:r w:rsidR="0029763D" w:rsidRPr="00C02497">
              <w:rPr>
                <w:color w:val="000000"/>
                <w:sz w:val="18"/>
                <w:szCs w:val="18"/>
                <w:lang w:val="fr-CA"/>
              </w:rPr>
              <w:t xml:space="preserve"> </w:t>
            </w:r>
          </w:p>
        </w:tc>
        <w:tc>
          <w:tcPr>
            <w:tcW w:w="451" w:type="pct"/>
            <w:tcBorders>
              <w:top w:val="nil"/>
              <w:left w:val="nil"/>
              <w:bottom w:val="single" w:sz="4" w:space="0" w:color="auto"/>
              <w:right w:val="single" w:sz="4" w:space="0" w:color="auto"/>
            </w:tcBorders>
            <w:shd w:val="clear" w:color="auto" w:fill="auto"/>
            <w:noWrap/>
            <w:hideMark/>
          </w:tcPr>
          <w:p w14:paraId="10B8AA58"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176BA539" w14:textId="3CA53DB0" w:rsidR="0029763D" w:rsidRPr="00C02497" w:rsidRDefault="00494A38" w:rsidP="003F073E">
            <w:pPr>
              <w:jc w:val="left"/>
              <w:rPr>
                <w:color w:val="000000"/>
                <w:sz w:val="18"/>
                <w:szCs w:val="18"/>
                <w:lang w:val="fr-CA"/>
              </w:rPr>
            </w:pPr>
            <w:r w:rsidRPr="00C02497">
              <w:rPr>
                <w:color w:val="000000"/>
                <w:sz w:val="18"/>
                <w:szCs w:val="18"/>
                <w:lang w:val="fr-CA"/>
              </w:rPr>
              <w:t>Deuxième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17AE387A"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11B95FB6" w14:textId="54C41764" w:rsidR="0029763D" w:rsidRPr="00C02497" w:rsidRDefault="00494A38" w:rsidP="003F073E">
            <w:pPr>
              <w:jc w:val="left"/>
              <w:rPr>
                <w:color w:val="000000"/>
                <w:sz w:val="18"/>
                <w:szCs w:val="18"/>
                <w:lang w:val="fr-CA"/>
              </w:rPr>
            </w:pPr>
            <w:r w:rsidRPr="00C02497">
              <w:rPr>
                <w:color w:val="000000"/>
                <w:sz w:val="18"/>
                <w:szCs w:val="18"/>
                <w:lang w:val="fr-CA"/>
              </w:rPr>
              <w:t>Troisième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0F999639" w14:textId="77777777" w:rsidR="0029763D" w:rsidRPr="00C02497" w:rsidRDefault="0029763D" w:rsidP="003F073E">
            <w:pPr>
              <w:jc w:val="left"/>
              <w:rPr>
                <w:color w:val="000000"/>
                <w:sz w:val="18"/>
                <w:szCs w:val="18"/>
                <w:lang w:val="fr-CA"/>
              </w:rPr>
            </w:pPr>
          </w:p>
        </w:tc>
        <w:tc>
          <w:tcPr>
            <w:tcW w:w="495" w:type="pct"/>
            <w:tcBorders>
              <w:top w:val="nil"/>
              <w:left w:val="nil"/>
              <w:bottom w:val="single" w:sz="4" w:space="0" w:color="auto"/>
              <w:right w:val="single" w:sz="4" w:space="0" w:color="auto"/>
            </w:tcBorders>
          </w:tcPr>
          <w:p w14:paraId="1224B8AA" w14:textId="18AF9A79" w:rsidR="0029763D" w:rsidRPr="00C02497" w:rsidRDefault="00494A38" w:rsidP="003F073E">
            <w:pPr>
              <w:jc w:val="left"/>
              <w:rPr>
                <w:color w:val="000000"/>
                <w:sz w:val="18"/>
                <w:szCs w:val="18"/>
                <w:lang w:val="fr-CA"/>
              </w:rPr>
            </w:pPr>
            <w:r w:rsidRPr="00C02497">
              <w:rPr>
                <w:color w:val="000000"/>
                <w:sz w:val="18"/>
                <w:szCs w:val="18"/>
                <w:lang w:val="fr-CA"/>
              </w:rPr>
              <w:t>Quatrième</w:t>
            </w:r>
          </w:p>
        </w:tc>
        <w:tc>
          <w:tcPr>
            <w:tcW w:w="496" w:type="pct"/>
            <w:tcBorders>
              <w:top w:val="nil"/>
              <w:left w:val="nil"/>
              <w:bottom w:val="single" w:sz="4" w:space="0" w:color="auto"/>
              <w:right w:val="single" w:sz="4" w:space="0" w:color="auto"/>
            </w:tcBorders>
          </w:tcPr>
          <w:p w14:paraId="25CD0ED4" w14:textId="77777777" w:rsidR="0029763D" w:rsidRPr="00C02497" w:rsidRDefault="0029763D" w:rsidP="003F073E">
            <w:pPr>
              <w:jc w:val="left"/>
              <w:rPr>
                <w:color w:val="000000"/>
                <w:sz w:val="18"/>
                <w:szCs w:val="18"/>
                <w:lang w:val="fr-CA"/>
              </w:rPr>
            </w:pPr>
          </w:p>
        </w:tc>
        <w:tc>
          <w:tcPr>
            <w:tcW w:w="538" w:type="pct"/>
            <w:tcBorders>
              <w:top w:val="nil"/>
              <w:left w:val="nil"/>
              <w:bottom w:val="single" w:sz="4" w:space="0" w:color="auto"/>
              <w:right w:val="single" w:sz="4" w:space="0" w:color="auto"/>
            </w:tcBorders>
          </w:tcPr>
          <w:p w14:paraId="46BE8FEA" w14:textId="20860319" w:rsidR="0029763D" w:rsidRPr="00C02497" w:rsidRDefault="00494A38" w:rsidP="003F073E">
            <w:pPr>
              <w:jc w:val="left"/>
              <w:rPr>
                <w:color w:val="000000"/>
                <w:sz w:val="18"/>
                <w:szCs w:val="18"/>
                <w:lang w:val="fr-CA"/>
              </w:rPr>
            </w:pPr>
            <w:r w:rsidRPr="00C02497">
              <w:rPr>
                <w:color w:val="000000"/>
                <w:sz w:val="18"/>
                <w:szCs w:val="18"/>
                <w:lang w:val="fr-CA"/>
              </w:rPr>
              <w:t>Cinquième</w:t>
            </w:r>
          </w:p>
        </w:tc>
      </w:tr>
      <w:tr w:rsidR="003F444E" w:rsidRPr="00C02497" w14:paraId="5829D6FE" w14:textId="77777777" w:rsidTr="003F444E">
        <w:trPr>
          <w:trHeight w:val="56"/>
        </w:trPr>
        <w:tc>
          <w:tcPr>
            <w:tcW w:w="496" w:type="pct"/>
            <w:tcBorders>
              <w:top w:val="nil"/>
              <w:left w:val="single" w:sz="4" w:space="0" w:color="auto"/>
              <w:bottom w:val="single" w:sz="4" w:space="0" w:color="auto"/>
              <w:right w:val="single" w:sz="4" w:space="0" w:color="auto"/>
            </w:tcBorders>
            <w:shd w:val="clear" w:color="auto" w:fill="auto"/>
            <w:noWrap/>
            <w:hideMark/>
          </w:tcPr>
          <w:p w14:paraId="05E14FBB" w14:textId="470FA3FA" w:rsidR="0029763D" w:rsidRPr="00C02497" w:rsidRDefault="00494A38" w:rsidP="003F073E">
            <w:pPr>
              <w:jc w:val="left"/>
              <w:rPr>
                <w:color w:val="000000"/>
                <w:sz w:val="19"/>
                <w:szCs w:val="19"/>
                <w:lang w:val="fr-CA"/>
              </w:rPr>
            </w:pPr>
            <w:r w:rsidRPr="00C02497">
              <w:rPr>
                <w:color w:val="000000"/>
                <w:sz w:val="19"/>
                <w:szCs w:val="19"/>
                <w:lang w:val="fr-CA"/>
              </w:rPr>
              <w:t>R&amp;C</w:t>
            </w:r>
          </w:p>
        </w:tc>
        <w:tc>
          <w:tcPr>
            <w:tcW w:w="451" w:type="pct"/>
            <w:tcBorders>
              <w:top w:val="nil"/>
              <w:left w:val="nil"/>
              <w:bottom w:val="single" w:sz="4" w:space="0" w:color="auto"/>
              <w:right w:val="single" w:sz="4" w:space="0" w:color="auto"/>
            </w:tcBorders>
            <w:shd w:val="clear" w:color="auto" w:fill="auto"/>
            <w:noWrap/>
            <w:hideMark/>
          </w:tcPr>
          <w:p w14:paraId="2FBC67EA" w14:textId="68C8F5C3" w:rsidR="0029763D" w:rsidRPr="00C02497" w:rsidRDefault="00494A38" w:rsidP="003F073E">
            <w:pPr>
              <w:jc w:val="left"/>
              <w:rPr>
                <w:color w:val="000000"/>
                <w:sz w:val="18"/>
                <w:szCs w:val="18"/>
                <w:lang w:val="fr-CA"/>
              </w:rPr>
            </w:pPr>
            <w:r w:rsidRPr="00C02497">
              <w:rPr>
                <w:color w:val="000000"/>
                <w:sz w:val="18"/>
                <w:szCs w:val="18"/>
                <w:lang w:val="fr-CA"/>
              </w:rPr>
              <w:t>Première</w:t>
            </w:r>
            <w:r w:rsidR="0029763D" w:rsidRPr="00C02497">
              <w:rPr>
                <w:color w:val="000000"/>
                <w:sz w:val="18"/>
                <w:szCs w:val="18"/>
                <w:lang w:val="fr-CA"/>
              </w:rPr>
              <w:t xml:space="preserve"> </w:t>
            </w:r>
          </w:p>
        </w:tc>
        <w:tc>
          <w:tcPr>
            <w:tcW w:w="451" w:type="pct"/>
            <w:tcBorders>
              <w:top w:val="nil"/>
              <w:left w:val="nil"/>
              <w:bottom w:val="single" w:sz="4" w:space="0" w:color="auto"/>
              <w:right w:val="single" w:sz="4" w:space="0" w:color="auto"/>
            </w:tcBorders>
            <w:shd w:val="clear" w:color="auto" w:fill="auto"/>
            <w:noWrap/>
            <w:hideMark/>
          </w:tcPr>
          <w:p w14:paraId="69EB5193"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03A55EE1" w14:textId="6A91F35C" w:rsidR="0029763D" w:rsidRPr="00C02497" w:rsidRDefault="00494A38" w:rsidP="003F073E">
            <w:pPr>
              <w:jc w:val="left"/>
              <w:rPr>
                <w:color w:val="000000"/>
                <w:sz w:val="18"/>
                <w:szCs w:val="18"/>
                <w:lang w:val="fr-CA"/>
              </w:rPr>
            </w:pPr>
            <w:r w:rsidRPr="00C02497">
              <w:rPr>
                <w:color w:val="000000"/>
                <w:sz w:val="18"/>
                <w:szCs w:val="18"/>
                <w:lang w:val="fr-CA"/>
              </w:rPr>
              <w:t>Deuxième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7A35957B"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74B49547" w14:textId="10BFDD7D" w:rsidR="0029763D" w:rsidRPr="00C02497" w:rsidRDefault="00494A38" w:rsidP="003F073E">
            <w:pPr>
              <w:jc w:val="left"/>
              <w:rPr>
                <w:color w:val="000000"/>
                <w:sz w:val="18"/>
                <w:szCs w:val="18"/>
                <w:lang w:val="fr-CA"/>
              </w:rPr>
            </w:pPr>
            <w:r w:rsidRPr="00C02497">
              <w:rPr>
                <w:color w:val="000000"/>
                <w:sz w:val="18"/>
                <w:szCs w:val="18"/>
                <w:lang w:val="fr-CA"/>
              </w:rPr>
              <w:t>Troisième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4ECFBFE6" w14:textId="77777777" w:rsidR="0029763D" w:rsidRPr="00C02497" w:rsidRDefault="0029763D" w:rsidP="003F073E">
            <w:pPr>
              <w:jc w:val="left"/>
              <w:rPr>
                <w:color w:val="000000"/>
                <w:sz w:val="18"/>
                <w:szCs w:val="18"/>
                <w:lang w:val="fr-CA"/>
              </w:rPr>
            </w:pPr>
          </w:p>
        </w:tc>
        <w:tc>
          <w:tcPr>
            <w:tcW w:w="495" w:type="pct"/>
            <w:tcBorders>
              <w:top w:val="nil"/>
              <w:left w:val="nil"/>
              <w:bottom w:val="single" w:sz="4" w:space="0" w:color="auto"/>
              <w:right w:val="single" w:sz="4" w:space="0" w:color="auto"/>
            </w:tcBorders>
          </w:tcPr>
          <w:p w14:paraId="1301C52E" w14:textId="77E22393" w:rsidR="0029763D" w:rsidRPr="00C02497" w:rsidRDefault="00494A38" w:rsidP="003F073E">
            <w:pPr>
              <w:jc w:val="left"/>
              <w:rPr>
                <w:color w:val="000000"/>
                <w:sz w:val="18"/>
                <w:szCs w:val="18"/>
                <w:lang w:val="fr-CA"/>
              </w:rPr>
            </w:pPr>
            <w:r w:rsidRPr="00C02497">
              <w:rPr>
                <w:color w:val="000000"/>
                <w:sz w:val="18"/>
                <w:szCs w:val="18"/>
                <w:lang w:val="fr-CA"/>
              </w:rPr>
              <w:t>Quatrième</w:t>
            </w:r>
          </w:p>
        </w:tc>
        <w:tc>
          <w:tcPr>
            <w:tcW w:w="496" w:type="pct"/>
            <w:tcBorders>
              <w:top w:val="nil"/>
              <w:left w:val="nil"/>
              <w:bottom w:val="single" w:sz="4" w:space="0" w:color="auto"/>
              <w:right w:val="single" w:sz="4" w:space="0" w:color="auto"/>
            </w:tcBorders>
          </w:tcPr>
          <w:p w14:paraId="45F63B65" w14:textId="77777777" w:rsidR="0029763D" w:rsidRPr="00C02497" w:rsidRDefault="0029763D" w:rsidP="003F073E">
            <w:pPr>
              <w:jc w:val="left"/>
              <w:rPr>
                <w:color w:val="000000"/>
                <w:sz w:val="18"/>
                <w:szCs w:val="18"/>
                <w:lang w:val="fr-CA"/>
              </w:rPr>
            </w:pPr>
          </w:p>
        </w:tc>
        <w:tc>
          <w:tcPr>
            <w:tcW w:w="538" w:type="pct"/>
            <w:tcBorders>
              <w:top w:val="nil"/>
              <w:left w:val="nil"/>
              <w:bottom w:val="single" w:sz="4" w:space="0" w:color="auto"/>
              <w:right w:val="single" w:sz="4" w:space="0" w:color="auto"/>
            </w:tcBorders>
          </w:tcPr>
          <w:p w14:paraId="125168B0" w14:textId="181DBD1F" w:rsidR="0029763D" w:rsidRPr="00C02497" w:rsidRDefault="00494A38" w:rsidP="003F073E">
            <w:pPr>
              <w:jc w:val="left"/>
              <w:rPr>
                <w:color w:val="000000"/>
                <w:sz w:val="18"/>
                <w:szCs w:val="18"/>
                <w:lang w:val="fr-CA"/>
              </w:rPr>
            </w:pPr>
            <w:r w:rsidRPr="00C02497">
              <w:rPr>
                <w:color w:val="000000"/>
                <w:sz w:val="18"/>
                <w:szCs w:val="18"/>
                <w:lang w:val="fr-CA"/>
              </w:rPr>
              <w:t>Cinquième</w:t>
            </w:r>
          </w:p>
        </w:tc>
      </w:tr>
      <w:tr w:rsidR="003F444E" w:rsidRPr="00C02497" w14:paraId="68238CEE" w14:textId="77777777" w:rsidTr="003F444E">
        <w:trPr>
          <w:trHeight w:val="80"/>
        </w:trPr>
        <w:tc>
          <w:tcPr>
            <w:tcW w:w="496" w:type="pct"/>
            <w:tcBorders>
              <w:top w:val="nil"/>
              <w:left w:val="single" w:sz="4" w:space="0" w:color="auto"/>
              <w:bottom w:val="single" w:sz="4" w:space="0" w:color="auto"/>
              <w:right w:val="single" w:sz="4" w:space="0" w:color="auto"/>
            </w:tcBorders>
            <w:shd w:val="clear" w:color="auto" w:fill="auto"/>
            <w:noWrap/>
            <w:hideMark/>
          </w:tcPr>
          <w:p w14:paraId="5829AACF" w14:textId="6CA05DB4" w:rsidR="0029763D" w:rsidRPr="00C02497" w:rsidRDefault="0029763D" w:rsidP="003F073E">
            <w:pPr>
              <w:jc w:val="left"/>
              <w:rPr>
                <w:color w:val="000000"/>
                <w:sz w:val="19"/>
                <w:szCs w:val="19"/>
                <w:lang w:val="fr-CA"/>
              </w:rPr>
            </w:pPr>
            <w:r w:rsidRPr="00C02497">
              <w:rPr>
                <w:color w:val="000000"/>
                <w:sz w:val="19"/>
                <w:szCs w:val="19"/>
                <w:lang w:val="fr-CA"/>
              </w:rPr>
              <w:t>Solv</w:t>
            </w:r>
            <w:r w:rsidR="00D46BEA" w:rsidRPr="00C02497">
              <w:rPr>
                <w:color w:val="000000"/>
                <w:sz w:val="19"/>
                <w:szCs w:val="19"/>
                <w:lang w:val="fr-CA"/>
              </w:rPr>
              <w:t>a</w:t>
            </w:r>
            <w:r w:rsidRPr="00C02497">
              <w:rPr>
                <w:color w:val="000000"/>
                <w:sz w:val="19"/>
                <w:szCs w:val="19"/>
                <w:lang w:val="fr-CA"/>
              </w:rPr>
              <w:t>nt</w:t>
            </w:r>
            <w:r w:rsidR="00D46BEA" w:rsidRPr="00C02497">
              <w:rPr>
                <w:color w:val="000000"/>
                <w:sz w:val="19"/>
                <w:szCs w:val="19"/>
                <w:lang w:val="fr-CA"/>
              </w:rPr>
              <w:t>s</w:t>
            </w:r>
          </w:p>
        </w:tc>
        <w:tc>
          <w:tcPr>
            <w:tcW w:w="451" w:type="pct"/>
            <w:tcBorders>
              <w:top w:val="nil"/>
              <w:left w:val="nil"/>
              <w:bottom w:val="single" w:sz="4" w:space="0" w:color="auto"/>
              <w:right w:val="single" w:sz="4" w:space="0" w:color="auto"/>
            </w:tcBorders>
            <w:shd w:val="clear" w:color="auto" w:fill="auto"/>
            <w:noWrap/>
            <w:hideMark/>
          </w:tcPr>
          <w:p w14:paraId="518AAD8D" w14:textId="77777777" w:rsidR="0029763D" w:rsidRPr="00C02497" w:rsidRDefault="0029763D" w:rsidP="003F073E">
            <w:pPr>
              <w:jc w:val="left"/>
              <w:rPr>
                <w:color w:val="000000"/>
                <w:sz w:val="18"/>
                <w:szCs w:val="18"/>
                <w:lang w:val="fr-CA"/>
              </w:rPr>
            </w:pPr>
          </w:p>
        </w:tc>
        <w:tc>
          <w:tcPr>
            <w:tcW w:w="451" w:type="pct"/>
            <w:tcBorders>
              <w:top w:val="nil"/>
              <w:left w:val="nil"/>
              <w:bottom w:val="single" w:sz="4" w:space="0" w:color="auto"/>
              <w:right w:val="single" w:sz="4" w:space="0" w:color="auto"/>
            </w:tcBorders>
            <w:shd w:val="clear" w:color="auto" w:fill="auto"/>
            <w:noWrap/>
            <w:hideMark/>
          </w:tcPr>
          <w:p w14:paraId="5030D8B5" w14:textId="284B8EC9" w:rsidR="0029763D" w:rsidRPr="00C02497" w:rsidRDefault="00494A38" w:rsidP="003F073E">
            <w:pPr>
              <w:jc w:val="left"/>
              <w:rPr>
                <w:color w:val="000000"/>
                <w:sz w:val="18"/>
                <w:szCs w:val="18"/>
                <w:lang w:val="fr-CA"/>
              </w:rPr>
            </w:pPr>
            <w:r w:rsidRPr="00C02497">
              <w:rPr>
                <w:color w:val="000000"/>
                <w:sz w:val="18"/>
                <w:szCs w:val="18"/>
                <w:lang w:val="fr-CA"/>
              </w:rPr>
              <w:t>Première</w:t>
            </w:r>
            <w:r w:rsidR="0029763D" w:rsidRPr="00C02497">
              <w:rPr>
                <w:color w:val="000000"/>
                <w:sz w:val="18"/>
                <w:szCs w:val="18"/>
                <w:lang w:val="fr-CA"/>
              </w:rPr>
              <w:t xml:space="preserve"> </w:t>
            </w:r>
          </w:p>
        </w:tc>
        <w:tc>
          <w:tcPr>
            <w:tcW w:w="541" w:type="pct"/>
            <w:tcBorders>
              <w:top w:val="nil"/>
              <w:left w:val="nil"/>
              <w:bottom w:val="single" w:sz="4" w:space="0" w:color="auto"/>
              <w:right w:val="single" w:sz="4" w:space="0" w:color="auto"/>
            </w:tcBorders>
            <w:shd w:val="clear" w:color="auto" w:fill="auto"/>
            <w:noWrap/>
            <w:hideMark/>
          </w:tcPr>
          <w:p w14:paraId="7CF67376" w14:textId="77777777" w:rsidR="0029763D" w:rsidRPr="00C02497" w:rsidRDefault="0029763D" w:rsidP="003F073E">
            <w:pPr>
              <w:jc w:val="left"/>
              <w:rPr>
                <w:color w:val="000000"/>
                <w:sz w:val="18"/>
                <w:szCs w:val="18"/>
                <w:lang w:val="fr-CA"/>
              </w:rPr>
            </w:pPr>
          </w:p>
        </w:tc>
        <w:tc>
          <w:tcPr>
            <w:tcW w:w="496" w:type="pct"/>
            <w:tcBorders>
              <w:top w:val="nil"/>
              <w:left w:val="nil"/>
              <w:bottom w:val="single" w:sz="4" w:space="0" w:color="auto"/>
              <w:right w:val="single" w:sz="4" w:space="0" w:color="auto"/>
            </w:tcBorders>
            <w:shd w:val="clear" w:color="auto" w:fill="auto"/>
            <w:noWrap/>
            <w:hideMark/>
          </w:tcPr>
          <w:p w14:paraId="15B882A9"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62794C8F" w14:textId="22FD521E" w:rsidR="0029763D" w:rsidRPr="00C02497" w:rsidRDefault="00494A38" w:rsidP="003F073E">
            <w:pPr>
              <w:jc w:val="left"/>
              <w:rPr>
                <w:color w:val="000000"/>
                <w:sz w:val="18"/>
                <w:szCs w:val="18"/>
                <w:lang w:val="fr-CA"/>
              </w:rPr>
            </w:pPr>
            <w:r w:rsidRPr="00C02497">
              <w:rPr>
                <w:color w:val="000000"/>
                <w:sz w:val="18"/>
                <w:szCs w:val="18"/>
                <w:lang w:val="fr-CA"/>
              </w:rPr>
              <w:t>Deuxième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627AE882" w14:textId="77777777" w:rsidR="0029763D" w:rsidRPr="00C02497" w:rsidRDefault="0029763D" w:rsidP="003F073E">
            <w:pPr>
              <w:jc w:val="left"/>
              <w:rPr>
                <w:color w:val="000000"/>
                <w:sz w:val="18"/>
                <w:szCs w:val="18"/>
                <w:lang w:val="fr-CA"/>
              </w:rPr>
            </w:pPr>
          </w:p>
        </w:tc>
        <w:tc>
          <w:tcPr>
            <w:tcW w:w="495" w:type="pct"/>
            <w:tcBorders>
              <w:top w:val="nil"/>
              <w:left w:val="nil"/>
              <w:bottom w:val="single" w:sz="4" w:space="0" w:color="auto"/>
              <w:right w:val="single" w:sz="4" w:space="0" w:color="auto"/>
            </w:tcBorders>
          </w:tcPr>
          <w:p w14:paraId="2036A5E9" w14:textId="77777777" w:rsidR="0029763D" w:rsidRPr="00C02497" w:rsidRDefault="0029763D" w:rsidP="003F073E">
            <w:pPr>
              <w:jc w:val="left"/>
              <w:rPr>
                <w:color w:val="000000"/>
                <w:sz w:val="18"/>
                <w:szCs w:val="18"/>
                <w:lang w:val="fr-CA"/>
              </w:rPr>
            </w:pPr>
          </w:p>
        </w:tc>
        <w:tc>
          <w:tcPr>
            <w:tcW w:w="496" w:type="pct"/>
            <w:tcBorders>
              <w:top w:val="nil"/>
              <w:left w:val="nil"/>
              <w:bottom w:val="single" w:sz="4" w:space="0" w:color="auto"/>
              <w:right w:val="single" w:sz="4" w:space="0" w:color="auto"/>
            </w:tcBorders>
          </w:tcPr>
          <w:p w14:paraId="6B879796" w14:textId="77777777" w:rsidR="0029763D" w:rsidRPr="00C02497" w:rsidRDefault="0029763D" w:rsidP="003F073E">
            <w:pPr>
              <w:jc w:val="left"/>
              <w:rPr>
                <w:color w:val="000000"/>
                <w:sz w:val="18"/>
                <w:szCs w:val="18"/>
                <w:lang w:val="fr-CA"/>
              </w:rPr>
            </w:pPr>
          </w:p>
        </w:tc>
        <w:tc>
          <w:tcPr>
            <w:tcW w:w="538" w:type="pct"/>
            <w:tcBorders>
              <w:top w:val="nil"/>
              <w:left w:val="nil"/>
              <w:bottom w:val="single" w:sz="4" w:space="0" w:color="auto"/>
              <w:right w:val="single" w:sz="4" w:space="0" w:color="auto"/>
            </w:tcBorders>
          </w:tcPr>
          <w:p w14:paraId="4BCF3B52" w14:textId="4F6AEBC3" w:rsidR="0029763D" w:rsidRPr="00C02497" w:rsidRDefault="00494A38" w:rsidP="003F073E">
            <w:pPr>
              <w:jc w:val="left"/>
              <w:rPr>
                <w:color w:val="000000"/>
                <w:sz w:val="18"/>
                <w:szCs w:val="18"/>
                <w:lang w:val="fr-CA"/>
              </w:rPr>
            </w:pPr>
            <w:r w:rsidRPr="00C02497">
              <w:rPr>
                <w:color w:val="000000"/>
                <w:sz w:val="18"/>
                <w:szCs w:val="18"/>
                <w:lang w:val="fr-CA"/>
              </w:rPr>
              <w:t>Troisième</w:t>
            </w:r>
          </w:p>
        </w:tc>
      </w:tr>
      <w:tr w:rsidR="003F444E" w:rsidRPr="00C02497" w14:paraId="06229AE1" w14:textId="77777777" w:rsidTr="003F444E">
        <w:trPr>
          <w:trHeight w:val="50"/>
        </w:trPr>
        <w:tc>
          <w:tcPr>
            <w:tcW w:w="496" w:type="pct"/>
            <w:tcBorders>
              <w:top w:val="nil"/>
              <w:left w:val="single" w:sz="4" w:space="0" w:color="auto"/>
              <w:bottom w:val="single" w:sz="4" w:space="0" w:color="auto"/>
              <w:right w:val="single" w:sz="4" w:space="0" w:color="auto"/>
            </w:tcBorders>
            <w:shd w:val="clear" w:color="auto" w:fill="auto"/>
            <w:noWrap/>
            <w:hideMark/>
          </w:tcPr>
          <w:p w14:paraId="36E285FD" w14:textId="6D7B136D" w:rsidR="0029763D" w:rsidRPr="00C02497" w:rsidRDefault="00D46BEA" w:rsidP="003F073E">
            <w:pPr>
              <w:jc w:val="left"/>
              <w:rPr>
                <w:color w:val="000000"/>
                <w:sz w:val="19"/>
                <w:szCs w:val="19"/>
                <w:lang w:val="fr-CA"/>
              </w:rPr>
            </w:pPr>
            <w:r w:rsidRPr="00C02497">
              <w:rPr>
                <w:color w:val="000000"/>
                <w:sz w:val="19"/>
                <w:szCs w:val="19"/>
                <w:lang w:val="fr-CA"/>
              </w:rPr>
              <w:t>Entretien</w:t>
            </w:r>
          </w:p>
        </w:tc>
        <w:tc>
          <w:tcPr>
            <w:tcW w:w="451" w:type="pct"/>
            <w:tcBorders>
              <w:top w:val="nil"/>
              <w:left w:val="nil"/>
              <w:bottom w:val="single" w:sz="4" w:space="0" w:color="auto"/>
              <w:right w:val="single" w:sz="4" w:space="0" w:color="auto"/>
            </w:tcBorders>
            <w:shd w:val="clear" w:color="auto" w:fill="auto"/>
            <w:noWrap/>
            <w:hideMark/>
          </w:tcPr>
          <w:p w14:paraId="2B3B1A98" w14:textId="36B71720" w:rsidR="0029763D" w:rsidRPr="00C02497" w:rsidRDefault="00494A38" w:rsidP="003F073E">
            <w:pPr>
              <w:jc w:val="left"/>
              <w:rPr>
                <w:color w:val="000000"/>
                <w:sz w:val="18"/>
                <w:szCs w:val="18"/>
                <w:lang w:val="fr-CA"/>
              </w:rPr>
            </w:pPr>
            <w:r w:rsidRPr="00C02497">
              <w:rPr>
                <w:color w:val="000000"/>
                <w:sz w:val="18"/>
                <w:szCs w:val="18"/>
                <w:lang w:val="fr-CA"/>
              </w:rPr>
              <w:t>Première</w:t>
            </w:r>
            <w:r w:rsidR="0029763D" w:rsidRPr="00C02497">
              <w:rPr>
                <w:color w:val="000000"/>
                <w:sz w:val="18"/>
                <w:szCs w:val="18"/>
                <w:lang w:val="fr-CA"/>
              </w:rPr>
              <w:t xml:space="preserve"> </w:t>
            </w:r>
          </w:p>
        </w:tc>
        <w:tc>
          <w:tcPr>
            <w:tcW w:w="451" w:type="pct"/>
            <w:tcBorders>
              <w:top w:val="nil"/>
              <w:left w:val="nil"/>
              <w:bottom w:val="single" w:sz="4" w:space="0" w:color="auto"/>
              <w:right w:val="single" w:sz="4" w:space="0" w:color="auto"/>
            </w:tcBorders>
            <w:shd w:val="clear" w:color="auto" w:fill="auto"/>
            <w:noWrap/>
            <w:hideMark/>
          </w:tcPr>
          <w:p w14:paraId="15781156"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3A3DDB19" w14:textId="2AD6B94E" w:rsidR="0029763D" w:rsidRPr="00C02497" w:rsidRDefault="00494A38" w:rsidP="003F073E">
            <w:pPr>
              <w:jc w:val="left"/>
              <w:rPr>
                <w:color w:val="000000"/>
                <w:sz w:val="18"/>
                <w:szCs w:val="18"/>
                <w:lang w:val="fr-CA"/>
              </w:rPr>
            </w:pPr>
            <w:r w:rsidRPr="00C02497">
              <w:rPr>
                <w:color w:val="000000"/>
                <w:sz w:val="18"/>
                <w:szCs w:val="18"/>
                <w:lang w:val="fr-CA"/>
              </w:rPr>
              <w:t>Deuxième</w:t>
            </w:r>
            <w:r w:rsidR="0029763D" w:rsidRPr="00C02497">
              <w:rPr>
                <w:color w:val="000000"/>
                <w:sz w:val="18"/>
                <w:szCs w:val="18"/>
                <w:lang w:val="fr-CA"/>
              </w:rPr>
              <w:t xml:space="preserve"> </w:t>
            </w:r>
          </w:p>
        </w:tc>
        <w:tc>
          <w:tcPr>
            <w:tcW w:w="496" w:type="pct"/>
            <w:tcBorders>
              <w:top w:val="nil"/>
              <w:left w:val="nil"/>
              <w:bottom w:val="single" w:sz="4" w:space="0" w:color="auto"/>
              <w:right w:val="single" w:sz="4" w:space="0" w:color="auto"/>
            </w:tcBorders>
            <w:shd w:val="clear" w:color="auto" w:fill="auto"/>
            <w:noWrap/>
            <w:hideMark/>
          </w:tcPr>
          <w:p w14:paraId="720B132A" w14:textId="77777777" w:rsidR="0029763D" w:rsidRPr="00C02497" w:rsidRDefault="0029763D" w:rsidP="003F073E">
            <w:pPr>
              <w:jc w:val="left"/>
              <w:rPr>
                <w:color w:val="000000"/>
                <w:sz w:val="18"/>
                <w:szCs w:val="18"/>
                <w:lang w:val="fr-CA"/>
              </w:rPr>
            </w:pPr>
          </w:p>
        </w:tc>
        <w:tc>
          <w:tcPr>
            <w:tcW w:w="541" w:type="pct"/>
            <w:tcBorders>
              <w:top w:val="nil"/>
              <w:left w:val="nil"/>
              <w:bottom w:val="single" w:sz="4" w:space="0" w:color="auto"/>
              <w:right w:val="single" w:sz="4" w:space="0" w:color="auto"/>
            </w:tcBorders>
            <w:shd w:val="clear" w:color="auto" w:fill="auto"/>
            <w:noWrap/>
            <w:hideMark/>
          </w:tcPr>
          <w:p w14:paraId="2DEB1E3B" w14:textId="77777777" w:rsidR="0029763D" w:rsidRPr="00C02497" w:rsidRDefault="0029763D" w:rsidP="003F073E">
            <w:pPr>
              <w:jc w:val="left"/>
              <w:rPr>
                <w:color w:val="000000"/>
                <w:sz w:val="18"/>
                <w:szCs w:val="18"/>
                <w:lang w:val="fr-CA"/>
              </w:rPr>
            </w:pPr>
          </w:p>
        </w:tc>
        <w:tc>
          <w:tcPr>
            <w:tcW w:w="496" w:type="pct"/>
            <w:tcBorders>
              <w:top w:val="nil"/>
              <w:left w:val="nil"/>
              <w:bottom w:val="single" w:sz="4" w:space="0" w:color="auto"/>
              <w:right w:val="single" w:sz="4" w:space="0" w:color="auto"/>
            </w:tcBorders>
            <w:shd w:val="clear" w:color="auto" w:fill="auto"/>
            <w:noWrap/>
            <w:hideMark/>
          </w:tcPr>
          <w:p w14:paraId="2FF38D89" w14:textId="562B61CA" w:rsidR="0029763D" w:rsidRPr="00C02497" w:rsidRDefault="00494A38" w:rsidP="003F073E">
            <w:pPr>
              <w:jc w:val="left"/>
              <w:rPr>
                <w:color w:val="000000"/>
                <w:sz w:val="18"/>
                <w:szCs w:val="18"/>
                <w:lang w:val="fr-CA"/>
              </w:rPr>
            </w:pPr>
            <w:r w:rsidRPr="00C02497">
              <w:rPr>
                <w:color w:val="000000"/>
                <w:sz w:val="18"/>
                <w:szCs w:val="18"/>
                <w:lang w:val="fr-CA"/>
              </w:rPr>
              <w:t>Troisième</w:t>
            </w:r>
            <w:r w:rsidR="0029763D" w:rsidRPr="00C02497">
              <w:rPr>
                <w:color w:val="000000"/>
                <w:sz w:val="18"/>
                <w:szCs w:val="18"/>
                <w:lang w:val="fr-CA"/>
              </w:rPr>
              <w:t xml:space="preserve"> </w:t>
            </w:r>
          </w:p>
        </w:tc>
        <w:tc>
          <w:tcPr>
            <w:tcW w:w="495" w:type="pct"/>
            <w:tcBorders>
              <w:top w:val="nil"/>
              <w:left w:val="nil"/>
              <w:bottom w:val="single" w:sz="4" w:space="0" w:color="auto"/>
              <w:right w:val="single" w:sz="4" w:space="0" w:color="auto"/>
            </w:tcBorders>
          </w:tcPr>
          <w:p w14:paraId="2D897AEA" w14:textId="77777777" w:rsidR="0029763D" w:rsidRPr="00C02497" w:rsidRDefault="0029763D" w:rsidP="003F073E">
            <w:pPr>
              <w:jc w:val="left"/>
              <w:rPr>
                <w:color w:val="000000"/>
                <w:sz w:val="18"/>
                <w:szCs w:val="18"/>
                <w:lang w:val="fr-CA"/>
              </w:rPr>
            </w:pPr>
          </w:p>
        </w:tc>
        <w:tc>
          <w:tcPr>
            <w:tcW w:w="496" w:type="pct"/>
            <w:tcBorders>
              <w:top w:val="nil"/>
              <w:left w:val="nil"/>
              <w:bottom w:val="single" w:sz="4" w:space="0" w:color="auto"/>
              <w:right w:val="single" w:sz="4" w:space="0" w:color="auto"/>
            </w:tcBorders>
          </w:tcPr>
          <w:p w14:paraId="0E3D3B0D" w14:textId="5C8843D4" w:rsidR="0029763D" w:rsidRPr="00C02497" w:rsidRDefault="00494A38" w:rsidP="003F073E">
            <w:pPr>
              <w:jc w:val="left"/>
              <w:rPr>
                <w:color w:val="000000"/>
                <w:sz w:val="18"/>
                <w:szCs w:val="18"/>
                <w:lang w:val="fr-CA"/>
              </w:rPr>
            </w:pPr>
            <w:r w:rsidRPr="00C02497">
              <w:rPr>
                <w:color w:val="000000"/>
                <w:sz w:val="18"/>
                <w:szCs w:val="18"/>
                <w:lang w:val="fr-CA"/>
              </w:rPr>
              <w:t>Quatrième</w:t>
            </w:r>
          </w:p>
        </w:tc>
        <w:tc>
          <w:tcPr>
            <w:tcW w:w="538" w:type="pct"/>
            <w:tcBorders>
              <w:top w:val="nil"/>
              <w:left w:val="nil"/>
              <w:bottom w:val="single" w:sz="4" w:space="0" w:color="auto"/>
              <w:right w:val="single" w:sz="4" w:space="0" w:color="auto"/>
            </w:tcBorders>
          </w:tcPr>
          <w:p w14:paraId="5E0F259B" w14:textId="6EC3CF27" w:rsidR="0029763D" w:rsidRPr="00C02497" w:rsidRDefault="00494A38" w:rsidP="003F073E">
            <w:pPr>
              <w:jc w:val="left"/>
              <w:rPr>
                <w:color w:val="000000"/>
                <w:sz w:val="18"/>
                <w:szCs w:val="18"/>
                <w:lang w:val="fr-CA"/>
              </w:rPr>
            </w:pPr>
            <w:r w:rsidRPr="00C02497">
              <w:rPr>
                <w:color w:val="000000"/>
                <w:sz w:val="18"/>
                <w:szCs w:val="18"/>
                <w:lang w:val="fr-CA"/>
              </w:rPr>
              <w:t>Cinquième</w:t>
            </w:r>
          </w:p>
        </w:tc>
      </w:tr>
    </w:tbl>
    <w:p w14:paraId="789C6EF8" w14:textId="77777777" w:rsidR="0029763D" w:rsidRPr="00802AF9" w:rsidRDefault="0029763D" w:rsidP="0029763D">
      <w:pPr>
        <w:rPr>
          <w:b/>
          <w:lang w:val="fr-CA"/>
        </w:rPr>
      </w:pPr>
    </w:p>
    <w:p w14:paraId="2FA46039" w14:textId="33D0B3B6" w:rsidR="0029763D" w:rsidRPr="00802AF9" w:rsidRDefault="00D46BEA" w:rsidP="003F444E">
      <w:pPr>
        <w:keepNext/>
        <w:keepLines/>
        <w:spacing w:after="240"/>
        <w:rPr>
          <w:u w:val="single"/>
          <w:lang w:val="fr-CA"/>
        </w:rPr>
      </w:pPr>
      <w:r>
        <w:rPr>
          <w:u w:val="single"/>
          <w:lang w:val="fr-CA"/>
        </w:rPr>
        <w:lastRenderedPageBreak/>
        <w:t>C</w:t>
      </w:r>
      <w:r w:rsidR="00825570" w:rsidRPr="00802AF9">
        <w:rPr>
          <w:u w:val="single"/>
          <w:lang w:val="fr-CA"/>
        </w:rPr>
        <w:t>onsommation</w:t>
      </w:r>
      <w:r>
        <w:rPr>
          <w:u w:val="single"/>
          <w:lang w:val="fr-CA"/>
        </w:rPr>
        <w:t xml:space="preserve"> de HCFC</w:t>
      </w:r>
      <w:r w:rsidR="0029763D" w:rsidRPr="00802AF9">
        <w:rPr>
          <w:u w:val="single"/>
          <w:lang w:val="fr-CA"/>
        </w:rPr>
        <w:t xml:space="preserve"> </w:t>
      </w:r>
    </w:p>
    <w:p w14:paraId="500C259A" w14:textId="295A7D65" w:rsidR="0029763D" w:rsidRPr="00802AF9" w:rsidRDefault="00DC4453" w:rsidP="0029763D">
      <w:pPr>
        <w:numPr>
          <w:ilvl w:val="0"/>
          <w:numId w:val="1"/>
        </w:numPr>
        <w:spacing w:after="240"/>
        <w:outlineLvl w:val="0"/>
        <w:rPr>
          <w:lang w:val="fr-CA"/>
        </w:rPr>
      </w:pPr>
      <w:r>
        <w:rPr>
          <w:lang w:val="fr-CA"/>
        </w:rPr>
        <w:t>L</w:t>
      </w:r>
      <w:r w:rsidR="0029763D" w:rsidRPr="00802AF9">
        <w:rPr>
          <w:lang w:val="fr-CA"/>
        </w:rPr>
        <w:t xml:space="preserve">e </w:t>
      </w:r>
      <w:r w:rsidR="00494A38" w:rsidRPr="00802AF9">
        <w:rPr>
          <w:lang w:val="fr-CA"/>
        </w:rPr>
        <w:t>Gouvernement</w:t>
      </w:r>
      <w:r w:rsidR="0029763D" w:rsidRPr="00802AF9">
        <w:rPr>
          <w:lang w:val="fr-CA"/>
        </w:rPr>
        <w:t xml:space="preserve"> </w:t>
      </w:r>
      <w:r>
        <w:rPr>
          <w:lang w:val="fr-CA"/>
        </w:rPr>
        <w:t>de la</w:t>
      </w:r>
      <w:r w:rsidR="0029763D" w:rsidRPr="00802AF9">
        <w:rPr>
          <w:lang w:val="fr-CA"/>
        </w:rPr>
        <w:t xml:space="preserve"> </w:t>
      </w:r>
      <w:r w:rsidR="00494A38" w:rsidRPr="00802AF9">
        <w:rPr>
          <w:lang w:val="fr-CA"/>
        </w:rPr>
        <w:t>Chine</w:t>
      </w:r>
      <w:r w:rsidR="0029763D" w:rsidRPr="00802AF9">
        <w:rPr>
          <w:lang w:val="fr-CA"/>
        </w:rPr>
        <w:t xml:space="preserve"> </w:t>
      </w:r>
      <w:r>
        <w:rPr>
          <w:lang w:val="fr-CA"/>
        </w:rPr>
        <w:t xml:space="preserve">a </w:t>
      </w:r>
      <w:r w:rsidR="00661CF2">
        <w:rPr>
          <w:lang w:val="fr-CA"/>
        </w:rPr>
        <w:t>communiqué</w:t>
      </w:r>
      <w:r>
        <w:rPr>
          <w:lang w:val="fr-CA"/>
        </w:rPr>
        <w:t xml:space="preserve"> la consommation de </w:t>
      </w:r>
      <w:r w:rsidR="0029763D" w:rsidRPr="00802AF9">
        <w:rPr>
          <w:lang w:val="fr-CA"/>
        </w:rPr>
        <w:t xml:space="preserve">HCFC </w:t>
      </w:r>
      <w:r>
        <w:rPr>
          <w:lang w:val="fr-CA"/>
        </w:rPr>
        <w:t xml:space="preserve">pour </w:t>
      </w:r>
      <w:r w:rsidR="0029763D" w:rsidRPr="00802AF9">
        <w:rPr>
          <w:lang w:val="fr-CA"/>
        </w:rPr>
        <w:t xml:space="preserve">2019 </w:t>
      </w:r>
      <w:r>
        <w:rPr>
          <w:lang w:val="fr-CA"/>
        </w:rPr>
        <w:t>au titre de l’</w:t>
      </w:r>
      <w:r w:rsidR="0029763D" w:rsidRPr="00802AF9">
        <w:rPr>
          <w:lang w:val="fr-CA"/>
        </w:rPr>
        <w:t xml:space="preserve">Article 7 </w:t>
      </w:r>
      <w:r>
        <w:rPr>
          <w:lang w:val="fr-CA"/>
        </w:rPr>
        <w:t xml:space="preserve">du </w:t>
      </w:r>
      <w:r w:rsidR="00494A38" w:rsidRPr="00802AF9">
        <w:rPr>
          <w:lang w:val="fr-CA"/>
        </w:rPr>
        <w:t>Protocole de Montréal</w:t>
      </w:r>
      <w:r>
        <w:rPr>
          <w:lang w:val="fr-CA"/>
        </w:rPr>
        <w:t xml:space="preserve">, tel qu’indiqué dans le </w:t>
      </w:r>
      <w:r w:rsidR="0029763D" w:rsidRPr="00802AF9">
        <w:rPr>
          <w:lang w:val="fr-CA"/>
        </w:rPr>
        <w:t>Table</w:t>
      </w:r>
      <w:r>
        <w:rPr>
          <w:lang w:val="fr-CA"/>
        </w:rPr>
        <w:t>au</w:t>
      </w:r>
      <w:r w:rsidR="0029763D" w:rsidRPr="00802AF9">
        <w:rPr>
          <w:lang w:val="fr-CA"/>
        </w:rPr>
        <w:t xml:space="preserve"> 3. </w:t>
      </w:r>
    </w:p>
    <w:p w14:paraId="7D0B55F0" w14:textId="371F7379" w:rsidR="0029763D" w:rsidRPr="00802AF9" w:rsidRDefault="0029763D" w:rsidP="0029763D">
      <w:pPr>
        <w:widowControl w:val="0"/>
        <w:jc w:val="left"/>
        <w:outlineLvl w:val="0"/>
        <w:rPr>
          <w:b/>
          <w:lang w:val="fr-CA"/>
        </w:rPr>
      </w:pPr>
      <w:r w:rsidRPr="00802AF9">
        <w:rPr>
          <w:b/>
          <w:lang w:val="fr-CA"/>
        </w:rPr>
        <w:t>Table</w:t>
      </w:r>
      <w:r w:rsidR="00DC4453">
        <w:rPr>
          <w:b/>
          <w:lang w:val="fr-CA"/>
        </w:rPr>
        <w:t>au</w:t>
      </w:r>
      <w:r w:rsidRPr="00802AF9">
        <w:rPr>
          <w:b/>
          <w:lang w:val="fr-CA"/>
        </w:rPr>
        <w:t xml:space="preserve"> 3. </w:t>
      </w:r>
      <w:r w:rsidR="00DC4453">
        <w:rPr>
          <w:b/>
          <w:lang w:val="fr-CA"/>
        </w:rPr>
        <w:t>C</w:t>
      </w:r>
      <w:r w:rsidR="00825570" w:rsidRPr="00802AF9">
        <w:rPr>
          <w:b/>
          <w:lang w:val="fr-CA"/>
        </w:rPr>
        <w:t>onsommation</w:t>
      </w:r>
      <w:r w:rsidR="00DC4453">
        <w:rPr>
          <w:b/>
          <w:lang w:val="fr-CA"/>
        </w:rPr>
        <w:t xml:space="preserve"> de HCFC e</w:t>
      </w:r>
      <w:r w:rsidRPr="00802AF9">
        <w:rPr>
          <w:b/>
          <w:lang w:val="fr-CA"/>
        </w:rPr>
        <w:t xml:space="preserve">n </w:t>
      </w:r>
      <w:r w:rsidR="00494A38" w:rsidRPr="00802AF9">
        <w:rPr>
          <w:b/>
          <w:lang w:val="fr-CA"/>
        </w:rPr>
        <w:t>Chine</w:t>
      </w:r>
      <w:r w:rsidRPr="00802AF9">
        <w:rPr>
          <w:b/>
          <w:lang w:val="fr-CA"/>
        </w:rPr>
        <w:t xml:space="preserve"> (2015 </w:t>
      </w:r>
      <w:r w:rsidR="00DC4453">
        <w:rPr>
          <w:b/>
          <w:lang w:val="fr-CA"/>
        </w:rPr>
        <w:t>à</w:t>
      </w:r>
      <w:r w:rsidRPr="00802AF9">
        <w:rPr>
          <w:b/>
          <w:lang w:val="fr-CA"/>
        </w:rPr>
        <w:t xml:space="preserve"> 2019) (Article 7)</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244"/>
        <w:gridCol w:w="1245"/>
        <w:gridCol w:w="1245"/>
        <w:gridCol w:w="1245"/>
        <w:gridCol w:w="1245"/>
        <w:gridCol w:w="1247"/>
      </w:tblGrid>
      <w:tr w:rsidR="0029763D" w:rsidRPr="00802AF9" w14:paraId="3A3A0CB1" w14:textId="77777777" w:rsidTr="003F073E">
        <w:trPr>
          <w:trHeight w:val="206"/>
          <w:tblHeader/>
        </w:trPr>
        <w:tc>
          <w:tcPr>
            <w:tcW w:w="1009" w:type="pct"/>
            <w:shd w:val="clear" w:color="auto" w:fill="auto"/>
            <w:noWrap/>
            <w:hideMark/>
          </w:tcPr>
          <w:p w14:paraId="36ECE5F4" w14:textId="77777777" w:rsidR="0029763D" w:rsidRPr="00802AF9" w:rsidRDefault="0029763D" w:rsidP="003F073E">
            <w:pPr>
              <w:widowControl w:val="0"/>
              <w:jc w:val="left"/>
              <w:rPr>
                <w:b/>
                <w:bCs/>
                <w:color w:val="000000"/>
                <w:sz w:val="20"/>
                <w:szCs w:val="20"/>
                <w:lang w:val="fr-CA" w:eastAsia="en-CA"/>
              </w:rPr>
            </w:pPr>
            <w:r w:rsidRPr="00802AF9">
              <w:rPr>
                <w:b/>
                <w:bCs/>
                <w:color w:val="000000"/>
                <w:sz w:val="20"/>
                <w:szCs w:val="20"/>
                <w:lang w:val="fr-CA" w:eastAsia="en-CA"/>
              </w:rPr>
              <w:t>HCFC</w:t>
            </w:r>
          </w:p>
        </w:tc>
        <w:tc>
          <w:tcPr>
            <w:tcW w:w="665" w:type="pct"/>
            <w:shd w:val="clear" w:color="auto" w:fill="auto"/>
            <w:noWrap/>
          </w:tcPr>
          <w:p w14:paraId="393E8E98" w14:textId="77777777" w:rsidR="0029763D" w:rsidRPr="00802AF9" w:rsidRDefault="0029763D" w:rsidP="003F073E">
            <w:pPr>
              <w:widowControl w:val="0"/>
              <w:jc w:val="center"/>
              <w:rPr>
                <w:b/>
                <w:bCs/>
                <w:iCs/>
                <w:color w:val="000000"/>
                <w:sz w:val="20"/>
                <w:szCs w:val="20"/>
                <w:lang w:val="fr-CA" w:eastAsia="en-CA"/>
              </w:rPr>
            </w:pPr>
            <w:r w:rsidRPr="00802AF9">
              <w:rPr>
                <w:b/>
                <w:bCs/>
                <w:iCs/>
                <w:color w:val="000000"/>
                <w:sz w:val="20"/>
                <w:szCs w:val="20"/>
                <w:lang w:val="fr-CA" w:eastAsia="en-CA"/>
              </w:rPr>
              <w:t>2015</w:t>
            </w:r>
          </w:p>
        </w:tc>
        <w:tc>
          <w:tcPr>
            <w:tcW w:w="665" w:type="pct"/>
            <w:shd w:val="clear" w:color="auto" w:fill="auto"/>
            <w:noWrap/>
          </w:tcPr>
          <w:p w14:paraId="2FF1259A" w14:textId="77777777" w:rsidR="0029763D" w:rsidRPr="00802AF9" w:rsidRDefault="0029763D" w:rsidP="003F073E">
            <w:pPr>
              <w:widowControl w:val="0"/>
              <w:jc w:val="center"/>
              <w:rPr>
                <w:b/>
                <w:bCs/>
                <w:iCs/>
                <w:color w:val="000000"/>
                <w:sz w:val="20"/>
                <w:szCs w:val="20"/>
                <w:lang w:val="fr-CA" w:eastAsia="en-CA"/>
              </w:rPr>
            </w:pPr>
            <w:r w:rsidRPr="00802AF9">
              <w:rPr>
                <w:b/>
                <w:bCs/>
                <w:iCs/>
                <w:color w:val="000000"/>
                <w:sz w:val="20"/>
                <w:szCs w:val="20"/>
                <w:lang w:val="fr-CA" w:eastAsia="en-CA"/>
              </w:rPr>
              <w:t>2016</w:t>
            </w:r>
          </w:p>
        </w:tc>
        <w:tc>
          <w:tcPr>
            <w:tcW w:w="665" w:type="pct"/>
          </w:tcPr>
          <w:p w14:paraId="513C4A41" w14:textId="77777777" w:rsidR="0029763D" w:rsidRPr="00802AF9" w:rsidRDefault="0029763D" w:rsidP="003F073E">
            <w:pPr>
              <w:widowControl w:val="0"/>
              <w:jc w:val="center"/>
              <w:rPr>
                <w:b/>
                <w:bCs/>
                <w:iCs/>
                <w:color w:val="000000"/>
                <w:sz w:val="20"/>
                <w:szCs w:val="20"/>
                <w:lang w:val="fr-CA" w:eastAsia="en-CA"/>
              </w:rPr>
            </w:pPr>
            <w:r w:rsidRPr="00802AF9">
              <w:rPr>
                <w:b/>
                <w:bCs/>
                <w:iCs/>
                <w:color w:val="000000"/>
                <w:sz w:val="20"/>
                <w:szCs w:val="20"/>
                <w:lang w:val="fr-CA" w:eastAsia="en-CA"/>
              </w:rPr>
              <w:t>2017</w:t>
            </w:r>
          </w:p>
        </w:tc>
        <w:tc>
          <w:tcPr>
            <w:tcW w:w="665" w:type="pct"/>
          </w:tcPr>
          <w:p w14:paraId="10F97A21" w14:textId="77777777" w:rsidR="0029763D" w:rsidRPr="00802AF9" w:rsidRDefault="0029763D" w:rsidP="003F073E">
            <w:pPr>
              <w:widowControl w:val="0"/>
              <w:jc w:val="center"/>
              <w:rPr>
                <w:b/>
                <w:bCs/>
                <w:iCs/>
                <w:color w:val="000000"/>
                <w:sz w:val="20"/>
                <w:szCs w:val="20"/>
                <w:lang w:val="fr-CA" w:eastAsia="en-CA"/>
              </w:rPr>
            </w:pPr>
            <w:r w:rsidRPr="00802AF9">
              <w:rPr>
                <w:b/>
                <w:bCs/>
                <w:iCs/>
                <w:color w:val="000000"/>
                <w:sz w:val="20"/>
                <w:szCs w:val="20"/>
                <w:lang w:val="fr-CA" w:eastAsia="en-CA"/>
              </w:rPr>
              <w:t>2018</w:t>
            </w:r>
          </w:p>
        </w:tc>
        <w:tc>
          <w:tcPr>
            <w:tcW w:w="665" w:type="pct"/>
          </w:tcPr>
          <w:p w14:paraId="4DCF07A6" w14:textId="77777777" w:rsidR="0029763D" w:rsidRPr="00802AF9" w:rsidRDefault="0029763D" w:rsidP="003F073E">
            <w:pPr>
              <w:widowControl w:val="0"/>
              <w:jc w:val="center"/>
              <w:rPr>
                <w:b/>
                <w:bCs/>
                <w:iCs/>
                <w:color w:val="000000"/>
                <w:sz w:val="20"/>
                <w:szCs w:val="20"/>
                <w:lang w:val="fr-CA" w:eastAsia="en-CA"/>
              </w:rPr>
            </w:pPr>
            <w:r w:rsidRPr="00802AF9">
              <w:rPr>
                <w:b/>
                <w:bCs/>
                <w:iCs/>
                <w:color w:val="000000"/>
                <w:sz w:val="20"/>
                <w:szCs w:val="20"/>
                <w:lang w:val="fr-CA" w:eastAsia="en-CA"/>
              </w:rPr>
              <w:t>2019</w:t>
            </w:r>
          </w:p>
        </w:tc>
        <w:tc>
          <w:tcPr>
            <w:tcW w:w="666" w:type="pct"/>
            <w:shd w:val="clear" w:color="auto" w:fill="auto"/>
            <w:noWrap/>
            <w:tcMar>
              <w:left w:w="0" w:type="dxa"/>
              <w:right w:w="0" w:type="dxa"/>
            </w:tcMar>
            <w:hideMark/>
          </w:tcPr>
          <w:p w14:paraId="1A6545F8" w14:textId="1C137349" w:rsidR="0029763D" w:rsidRPr="00802AF9" w:rsidRDefault="00DC4453" w:rsidP="003F073E">
            <w:pPr>
              <w:widowControl w:val="0"/>
              <w:jc w:val="center"/>
              <w:rPr>
                <w:b/>
                <w:bCs/>
                <w:iCs/>
                <w:color w:val="000000"/>
                <w:sz w:val="20"/>
                <w:szCs w:val="20"/>
                <w:lang w:val="fr-CA" w:eastAsia="en-CA"/>
              </w:rPr>
            </w:pPr>
            <w:r>
              <w:rPr>
                <w:b/>
                <w:bCs/>
                <w:iCs/>
                <w:color w:val="000000"/>
                <w:sz w:val="20"/>
                <w:szCs w:val="20"/>
                <w:lang w:val="fr-CA" w:eastAsia="en-CA"/>
              </w:rPr>
              <w:t>Point de départ</w:t>
            </w:r>
          </w:p>
        </w:tc>
      </w:tr>
      <w:tr w:rsidR="0029763D" w:rsidRPr="00802AF9" w14:paraId="55F2EF8D" w14:textId="77777777" w:rsidTr="003F073E">
        <w:trPr>
          <w:trHeight w:val="206"/>
          <w:tblHeader/>
        </w:trPr>
        <w:tc>
          <w:tcPr>
            <w:tcW w:w="5000" w:type="pct"/>
            <w:gridSpan w:val="7"/>
            <w:shd w:val="clear" w:color="auto" w:fill="auto"/>
            <w:noWrap/>
          </w:tcPr>
          <w:p w14:paraId="6005B4B8" w14:textId="2A16B5F9" w:rsidR="0029763D" w:rsidRPr="00802AF9" w:rsidRDefault="00DC4453" w:rsidP="003F073E">
            <w:pPr>
              <w:widowControl w:val="0"/>
              <w:jc w:val="center"/>
              <w:rPr>
                <w:b/>
                <w:bCs/>
                <w:iCs/>
                <w:color w:val="000000"/>
                <w:sz w:val="20"/>
                <w:szCs w:val="20"/>
                <w:lang w:val="fr-CA" w:eastAsia="en-CA"/>
              </w:rPr>
            </w:pPr>
            <w:r>
              <w:rPr>
                <w:b/>
                <w:bCs/>
                <w:color w:val="000000"/>
                <w:sz w:val="20"/>
                <w:szCs w:val="20"/>
                <w:lang w:val="fr-CA" w:eastAsia="en-CA"/>
              </w:rPr>
              <w:t>T</w:t>
            </w:r>
            <w:r w:rsidR="0029763D" w:rsidRPr="00802AF9">
              <w:rPr>
                <w:b/>
                <w:bCs/>
                <w:color w:val="000000"/>
                <w:sz w:val="20"/>
                <w:szCs w:val="20"/>
                <w:lang w:val="fr-CA" w:eastAsia="en-CA"/>
              </w:rPr>
              <w:t>onnes</w:t>
            </w:r>
            <w:r>
              <w:rPr>
                <w:b/>
                <w:bCs/>
                <w:color w:val="000000"/>
                <w:sz w:val="20"/>
                <w:szCs w:val="20"/>
                <w:lang w:val="fr-CA" w:eastAsia="en-CA"/>
              </w:rPr>
              <w:t xml:space="preserve"> métriques</w:t>
            </w:r>
          </w:p>
        </w:tc>
      </w:tr>
      <w:tr w:rsidR="0029763D" w:rsidRPr="00802AF9" w14:paraId="2BB952F9" w14:textId="77777777" w:rsidTr="003F073E">
        <w:trPr>
          <w:trHeight w:val="124"/>
        </w:trPr>
        <w:tc>
          <w:tcPr>
            <w:tcW w:w="1009" w:type="pct"/>
            <w:shd w:val="clear" w:color="auto" w:fill="auto"/>
            <w:noWrap/>
            <w:hideMark/>
          </w:tcPr>
          <w:p w14:paraId="63DCE5F6"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HCFC-22*</w:t>
            </w:r>
          </w:p>
        </w:tc>
        <w:tc>
          <w:tcPr>
            <w:tcW w:w="665" w:type="pct"/>
            <w:shd w:val="clear" w:color="auto" w:fill="auto"/>
            <w:noWrap/>
            <w:tcMar>
              <w:left w:w="115" w:type="dxa"/>
              <w:right w:w="173" w:type="dxa"/>
            </w:tcMar>
          </w:tcPr>
          <w:p w14:paraId="2C6F043B" w14:textId="44DDE401" w:rsidR="0029763D" w:rsidRPr="00802AF9" w:rsidRDefault="0029763D" w:rsidP="003F073E">
            <w:pPr>
              <w:widowControl w:val="0"/>
              <w:jc w:val="right"/>
              <w:rPr>
                <w:sz w:val="20"/>
                <w:szCs w:val="20"/>
                <w:lang w:val="fr-CA"/>
              </w:rPr>
            </w:pPr>
            <w:r w:rsidRPr="00802AF9">
              <w:rPr>
                <w:sz w:val="20"/>
                <w:szCs w:val="20"/>
                <w:lang w:val="fr-CA"/>
              </w:rPr>
              <w:t>153</w:t>
            </w:r>
            <w:r w:rsidR="00DC4453">
              <w:rPr>
                <w:sz w:val="20"/>
                <w:szCs w:val="20"/>
                <w:lang w:val="fr-CA"/>
              </w:rPr>
              <w:t> </w:t>
            </w:r>
            <w:r w:rsidRPr="00802AF9">
              <w:rPr>
                <w:sz w:val="20"/>
                <w:szCs w:val="20"/>
                <w:lang w:val="fr-CA"/>
              </w:rPr>
              <w:t>971</w:t>
            </w:r>
          </w:p>
        </w:tc>
        <w:tc>
          <w:tcPr>
            <w:tcW w:w="665" w:type="pct"/>
            <w:shd w:val="clear" w:color="auto" w:fill="auto"/>
            <w:noWrap/>
            <w:tcMar>
              <w:left w:w="115" w:type="dxa"/>
              <w:right w:w="173" w:type="dxa"/>
            </w:tcMar>
          </w:tcPr>
          <w:p w14:paraId="3A021A8F" w14:textId="5A349943" w:rsidR="0029763D" w:rsidRPr="00802AF9" w:rsidRDefault="0029763D" w:rsidP="003F073E">
            <w:pPr>
              <w:widowControl w:val="0"/>
              <w:jc w:val="right"/>
              <w:rPr>
                <w:sz w:val="20"/>
                <w:szCs w:val="20"/>
                <w:lang w:val="fr-CA"/>
              </w:rPr>
            </w:pPr>
            <w:r w:rsidRPr="00802AF9">
              <w:rPr>
                <w:iCs/>
                <w:color w:val="000000"/>
                <w:sz w:val="20"/>
                <w:szCs w:val="20"/>
                <w:lang w:val="fr-CA" w:eastAsia="en-CA"/>
              </w:rPr>
              <w:t>168</w:t>
            </w:r>
            <w:r w:rsidR="00DC4453">
              <w:rPr>
                <w:iCs/>
                <w:color w:val="000000"/>
                <w:sz w:val="20"/>
                <w:szCs w:val="20"/>
                <w:lang w:val="fr-CA" w:eastAsia="en-CA"/>
              </w:rPr>
              <w:t> </w:t>
            </w:r>
            <w:r w:rsidRPr="00802AF9">
              <w:rPr>
                <w:iCs/>
                <w:color w:val="000000"/>
                <w:sz w:val="20"/>
                <w:szCs w:val="20"/>
                <w:lang w:val="fr-CA" w:eastAsia="en-CA"/>
              </w:rPr>
              <w:t>687</w:t>
            </w:r>
          </w:p>
        </w:tc>
        <w:tc>
          <w:tcPr>
            <w:tcW w:w="665" w:type="pct"/>
            <w:tcMar>
              <w:left w:w="115" w:type="dxa"/>
              <w:right w:w="173" w:type="dxa"/>
            </w:tcMar>
          </w:tcPr>
          <w:p w14:paraId="7DC1B297" w14:textId="2A6629E4"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172</w:t>
            </w:r>
            <w:r w:rsidR="00DC4453">
              <w:rPr>
                <w:iCs/>
                <w:color w:val="000000"/>
                <w:sz w:val="20"/>
                <w:szCs w:val="20"/>
                <w:lang w:val="fr-CA" w:eastAsia="en-CA"/>
              </w:rPr>
              <w:t> </w:t>
            </w:r>
            <w:r w:rsidRPr="00802AF9">
              <w:rPr>
                <w:iCs/>
                <w:color w:val="000000"/>
                <w:sz w:val="20"/>
                <w:szCs w:val="20"/>
                <w:lang w:val="fr-CA" w:eastAsia="en-CA"/>
              </w:rPr>
              <w:t>970</w:t>
            </w:r>
          </w:p>
        </w:tc>
        <w:tc>
          <w:tcPr>
            <w:tcW w:w="665" w:type="pct"/>
            <w:tcMar>
              <w:left w:w="115" w:type="dxa"/>
              <w:right w:w="173" w:type="dxa"/>
            </w:tcMar>
          </w:tcPr>
          <w:p w14:paraId="0AED5879" w14:textId="3E82AE04"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178</w:t>
            </w:r>
            <w:r w:rsidR="00DC4453">
              <w:rPr>
                <w:iCs/>
                <w:color w:val="000000"/>
                <w:sz w:val="20"/>
                <w:szCs w:val="20"/>
                <w:lang w:val="fr-CA" w:eastAsia="en-CA"/>
              </w:rPr>
              <w:t> </w:t>
            </w:r>
            <w:r w:rsidRPr="00802AF9">
              <w:rPr>
                <w:iCs/>
                <w:color w:val="000000"/>
                <w:sz w:val="20"/>
                <w:szCs w:val="20"/>
                <w:lang w:val="fr-CA" w:eastAsia="en-CA"/>
              </w:rPr>
              <w:t>658</w:t>
            </w:r>
          </w:p>
        </w:tc>
        <w:tc>
          <w:tcPr>
            <w:tcW w:w="665" w:type="pct"/>
            <w:tcMar>
              <w:left w:w="115" w:type="dxa"/>
              <w:right w:w="173" w:type="dxa"/>
            </w:tcMar>
          </w:tcPr>
          <w:p w14:paraId="4E67D91F" w14:textId="4E4B9D5C"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173</w:t>
            </w:r>
            <w:r w:rsidR="00DC4453">
              <w:rPr>
                <w:iCs/>
                <w:color w:val="000000"/>
                <w:sz w:val="20"/>
                <w:szCs w:val="20"/>
                <w:lang w:val="fr-CA" w:eastAsia="en-CA"/>
              </w:rPr>
              <w:t> </w:t>
            </w:r>
            <w:r w:rsidRPr="00802AF9">
              <w:rPr>
                <w:iCs/>
                <w:color w:val="000000"/>
                <w:sz w:val="20"/>
                <w:szCs w:val="20"/>
                <w:lang w:val="fr-CA" w:eastAsia="en-CA"/>
              </w:rPr>
              <w:t>656*</w:t>
            </w:r>
          </w:p>
        </w:tc>
        <w:tc>
          <w:tcPr>
            <w:tcW w:w="666" w:type="pct"/>
            <w:shd w:val="clear" w:color="auto" w:fill="auto"/>
            <w:noWrap/>
            <w:tcMar>
              <w:left w:w="115" w:type="dxa"/>
              <w:right w:w="173" w:type="dxa"/>
            </w:tcMar>
          </w:tcPr>
          <w:p w14:paraId="010158D3" w14:textId="56434343"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209</w:t>
            </w:r>
            <w:r w:rsidR="00DC4453">
              <w:rPr>
                <w:iCs/>
                <w:color w:val="000000"/>
                <w:sz w:val="20"/>
                <w:szCs w:val="20"/>
                <w:lang w:val="fr-CA" w:eastAsia="en-CA"/>
              </w:rPr>
              <w:t> </w:t>
            </w:r>
            <w:r w:rsidRPr="00802AF9">
              <w:rPr>
                <w:iCs/>
                <w:color w:val="000000"/>
                <w:sz w:val="20"/>
                <w:szCs w:val="20"/>
                <w:lang w:val="fr-CA" w:eastAsia="en-CA"/>
              </w:rPr>
              <w:t>006</w:t>
            </w:r>
          </w:p>
        </w:tc>
      </w:tr>
      <w:tr w:rsidR="0029763D" w:rsidRPr="00802AF9" w14:paraId="6B3D0D26" w14:textId="77777777" w:rsidTr="003F073E">
        <w:trPr>
          <w:trHeight w:val="215"/>
        </w:trPr>
        <w:tc>
          <w:tcPr>
            <w:tcW w:w="1009" w:type="pct"/>
            <w:shd w:val="clear" w:color="auto" w:fill="auto"/>
            <w:noWrap/>
            <w:hideMark/>
          </w:tcPr>
          <w:p w14:paraId="7FB0D666"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HCFC-123</w:t>
            </w:r>
          </w:p>
        </w:tc>
        <w:tc>
          <w:tcPr>
            <w:tcW w:w="665" w:type="pct"/>
            <w:shd w:val="clear" w:color="auto" w:fill="auto"/>
            <w:noWrap/>
            <w:tcMar>
              <w:left w:w="115" w:type="dxa"/>
              <w:right w:w="173" w:type="dxa"/>
            </w:tcMar>
          </w:tcPr>
          <w:p w14:paraId="3E1DF862" w14:textId="77777777" w:rsidR="0029763D" w:rsidRPr="00802AF9" w:rsidRDefault="0029763D" w:rsidP="003F073E">
            <w:pPr>
              <w:widowControl w:val="0"/>
              <w:jc w:val="right"/>
              <w:rPr>
                <w:sz w:val="20"/>
                <w:szCs w:val="20"/>
                <w:lang w:val="fr-CA"/>
              </w:rPr>
            </w:pPr>
            <w:r w:rsidRPr="00802AF9">
              <w:rPr>
                <w:sz w:val="20"/>
                <w:szCs w:val="20"/>
                <w:lang w:val="fr-CA"/>
              </w:rPr>
              <w:t>900</w:t>
            </w:r>
          </w:p>
        </w:tc>
        <w:tc>
          <w:tcPr>
            <w:tcW w:w="665" w:type="pct"/>
            <w:shd w:val="clear" w:color="auto" w:fill="auto"/>
            <w:noWrap/>
            <w:tcMar>
              <w:left w:w="115" w:type="dxa"/>
              <w:right w:w="173" w:type="dxa"/>
            </w:tcMar>
          </w:tcPr>
          <w:p w14:paraId="1ECEAA6F" w14:textId="77777777" w:rsidR="0029763D" w:rsidRPr="00802AF9" w:rsidRDefault="0029763D" w:rsidP="003F073E">
            <w:pPr>
              <w:widowControl w:val="0"/>
              <w:jc w:val="right"/>
              <w:rPr>
                <w:sz w:val="20"/>
                <w:szCs w:val="20"/>
                <w:lang w:val="fr-CA"/>
              </w:rPr>
            </w:pPr>
            <w:r w:rsidRPr="00802AF9">
              <w:rPr>
                <w:iCs/>
                <w:color w:val="000000"/>
                <w:sz w:val="20"/>
                <w:szCs w:val="20"/>
                <w:lang w:val="fr-CA" w:eastAsia="en-CA"/>
              </w:rPr>
              <w:t>943</w:t>
            </w:r>
          </w:p>
        </w:tc>
        <w:tc>
          <w:tcPr>
            <w:tcW w:w="665" w:type="pct"/>
            <w:tcMar>
              <w:left w:w="115" w:type="dxa"/>
              <w:right w:w="173" w:type="dxa"/>
            </w:tcMar>
          </w:tcPr>
          <w:p w14:paraId="796D2E33"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990</w:t>
            </w:r>
          </w:p>
        </w:tc>
        <w:tc>
          <w:tcPr>
            <w:tcW w:w="665" w:type="pct"/>
            <w:tcMar>
              <w:left w:w="115" w:type="dxa"/>
              <w:right w:w="173" w:type="dxa"/>
            </w:tcMar>
          </w:tcPr>
          <w:p w14:paraId="6C925E79"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991</w:t>
            </w:r>
          </w:p>
        </w:tc>
        <w:tc>
          <w:tcPr>
            <w:tcW w:w="665" w:type="pct"/>
            <w:tcMar>
              <w:left w:w="115" w:type="dxa"/>
              <w:right w:w="173" w:type="dxa"/>
            </w:tcMar>
          </w:tcPr>
          <w:p w14:paraId="463F4337"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958</w:t>
            </w:r>
          </w:p>
        </w:tc>
        <w:tc>
          <w:tcPr>
            <w:tcW w:w="666" w:type="pct"/>
            <w:shd w:val="clear" w:color="auto" w:fill="auto"/>
            <w:noWrap/>
            <w:tcMar>
              <w:left w:w="115" w:type="dxa"/>
              <w:right w:w="173" w:type="dxa"/>
            </w:tcMar>
          </w:tcPr>
          <w:p w14:paraId="0402672E"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507</w:t>
            </w:r>
          </w:p>
        </w:tc>
      </w:tr>
      <w:tr w:rsidR="0029763D" w:rsidRPr="00802AF9" w14:paraId="692548BF" w14:textId="77777777" w:rsidTr="003F073E">
        <w:trPr>
          <w:trHeight w:val="215"/>
        </w:trPr>
        <w:tc>
          <w:tcPr>
            <w:tcW w:w="1009" w:type="pct"/>
            <w:shd w:val="clear" w:color="auto" w:fill="auto"/>
            <w:noWrap/>
            <w:hideMark/>
          </w:tcPr>
          <w:p w14:paraId="202E68E9"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HCFC-124</w:t>
            </w:r>
          </w:p>
        </w:tc>
        <w:tc>
          <w:tcPr>
            <w:tcW w:w="665" w:type="pct"/>
            <w:shd w:val="clear" w:color="auto" w:fill="auto"/>
            <w:noWrap/>
            <w:tcMar>
              <w:left w:w="115" w:type="dxa"/>
              <w:right w:w="173" w:type="dxa"/>
            </w:tcMar>
          </w:tcPr>
          <w:p w14:paraId="2F7B8119" w14:textId="77777777" w:rsidR="0029763D" w:rsidRPr="00802AF9" w:rsidRDefault="0029763D" w:rsidP="003F073E">
            <w:pPr>
              <w:widowControl w:val="0"/>
              <w:jc w:val="right"/>
              <w:rPr>
                <w:sz w:val="20"/>
                <w:szCs w:val="20"/>
                <w:lang w:val="fr-CA"/>
              </w:rPr>
            </w:pPr>
            <w:r w:rsidRPr="00802AF9">
              <w:rPr>
                <w:sz w:val="20"/>
                <w:szCs w:val="20"/>
                <w:lang w:val="fr-CA"/>
              </w:rPr>
              <w:t>(46)</w:t>
            </w:r>
          </w:p>
        </w:tc>
        <w:tc>
          <w:tcPr>
            <w:tcW w:w="665" w:type="pct"/>
            <w:shd w:val="clear" w:color="auto" w:fill="auto"/>
            <w:noWrap/>
            <w:tcMar>
              <w:left w:w="115" w:type="dxa"/>
              <w:right w:w="173" w:type="dxa"/>
            </w:tcMar>
          </w:tcPr>
          <w:p w14:paraId="30145661" w14:textId="77777777" w:rsidR="0029763D" w:rsidRPr="00802AF9" w:rsidRDefault="0029763D" w:rsidP="003F073E">
            <w:pPr>
              <w:widowControl w:val="0"/>
              <w:jc w:val="right"/>
              <w:rPr>
                <w:sz w:val="20"/>
                <w:szCs w:val="20"/>
                <w:lang w:val="fr-CA"/>
              </w:rPr>
            </w:pPr>
            <w:r w:rsidRPr="00802AF9">
              <w:rPr>
                <w:iCs/>
                <w:color w:val="000000"/>
                <w:sz w:val="20"/>
                <w:szCs w:val="20"/>
                <w:lang w:val="fr-CA" w:eastAsia="en-CA"/>
              </w:rPr>
              <w:t>67</w:t>
            </w:r>
          </w:p>
        </w:tc>
        <w:tc>
          <w:tcPr>
            <w:tcW w:w="665" w:type="pct"/>
            <w:tcMar>
              <w:left w:w="115" w:type="dxa"/>
              <w:right w:w="173" w:type="dxa"/>
            </w:tcMar>
          </w:tcPr>
          <w:p w14:paraId="174286DB"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(6)</w:t>
            </w:r>
          </w:p>
        </w:tc>
        <w:tc>
          <w:tcPr>
            <w:tcW w:w="665" w:type="pct"/>
            <w:tcMar>
              <w:left w:w="115" w:type="dxa"/>
              <w:right w:w="173" w:type="dxa"/>
            </w:tcMar>
          </w:tcPr>
          <w:p w14:paraId="6E3C3B33"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5</w:t>
            </w:r>
          </w:p>
        </w:tc>
        <w:tc>
          <w:tcPr>
            <w:tcW w:w="665" w:type="pct"/>
            <w:tcMar>
              <w:left w:w="115" w:type="dxa"/>
              <w:right w:w="173" w:type="dxa"/>
            </w:tcMar>
          </w:tcPr>
          <w:p w14:paraId="17B803D9"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38</w:t>
            </w:r>
          </w:p>
        </w:tc>
        <w:tc>
          <w:tcPr>
            <w:tcW w:w="666" w:type="pct"/>
            <w:shd w:val="clear" w:color="auto" w:fill="auto"/>
            <w:noWrap/>
            <w:tcMar>
              <w:left w:w="115" w:type="dxa"/>
              <w:right w:w="173" w:type="dxa"/>
            </w:tcMar>
          </w:tcPr>
          <w:p w14:paraId="09785A1A"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140</w:t>
            </w:r>
          </w:p>
        </w:tc>
      </w:tr>
      <w:tr w:rsidR="0029763D" w:rsidRPr="00802AF9" w14:paraId="6D292247" w14:textId="77777777" w:rsidTr="003F073E">
        <w:trPr>
          <w:trHeight w:val="228"/>
        </w:trPr>
        <w:tc>
          <w:tcPr>
            <w:tcW w:w="1009" w:type="pct"/>
            <w:shd w:val="clear" w:color="auto" w:fill="auto"/>
            <w:noWrap/>
            <w:hideMark/>
          </w:tcPr>
          <w:p w14:paraId="5664B528"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HCFC-141b</w:t>
            </w:r>
          </w:p>
        </w:tc>
        <w:tc>
          <w:tcPr>
            <w:tcW w:w="665" w:type="pct"/>
            <w:shd w:val="clear" w:color="auto" w:fill="auto"/>
            <w:noWrap/>
            <w:tcMar>
              <w:left w:w="115" w:type="dxa"/>
              <w:right w:w="173" w:type="dxa"/>
            </w:tcMar>
          </w:tcPr>
          <w:p w14:paraId="70869D57" w14:textId="3A6EAF45" w:rsidR="0029763D" w:rsidRPr="00802AF9" w:rsidRDefault="0029763D" w:rsidP="003F073E">
            <w:pPr>
              <w:widowControl w:val="0"/>
              <w:jc w:val="right"/>
              <w:rPr>
                <w:sz w:val="20"/>
                <w:szCs w:val="20"/>
                <w:lang w:val="fr-CA"/>
              </w:rPr>
            </w:pPr>
            <w:r w:rsidRPr="00802AF9">
              <w:rPr>
                <w:sz w:val="20"/>
                <w:szCs w:val="20"/>
                <w:lang w:val="fr-CA"/>
              </w:rPr>
              <w:t>38</w:t>
            </w:r>
            <w:r w:rsidR="00DC4453">
              <w:rPr>
                <w:sz w:val="20"/>
                <w:szCs w:val="20"/>
                <w:lang w:val="fr-CA"/>
              </w:rPr>
              <w:t> </w:t>
            </w:r>
            <w:r w:rsidRPr="00802AF9">
              <w:rPr>
                <w:sz w:val="20"/>
                <w:szCs w:val="20"/>
                <w:lang w:val="fr-CA"/>
              </w:rPr>
              <w:t>584</w:t>
            </w:r>
          </w:p>
        </w:tc>
        <w:tc>
          <w:tcPr>
            <w:tcW w:w="665" w:type="pct"/>
            <w:shd w:val="clear" w:color="auto" w:fill="auto"/>
            <w:noWrap/>
            <w:tcMar>
              <w:left w:w="115" w:type="dxa"/>
              <w:right w:w="173" w:type="dxa"/>
            </w:tcMar>
          </w:tcPr>
          <w:p w14:paraId="774EFC54" w14:textId="0AA8C60C" w:rsidR="0029763D" w:rsidRPr="00802AF9" w:rsidRDefault="0029763D" w:rsidP="003F073E">
            <w:pPr>
              <w:widowControl w:val="0"/>
              <w:jc w:val="right"/>
              <w:rPr>
                <w:sz w:val="20"/>
                <w:szCs w:val="20"/>
                <w:lang w:val="fr-CA"/>
              </w:rPr>
            </w:pPr>
            <w:r w:rsidRPr="00802AF9">
              <w:rPr>
                <w:iCs/>
                <w:color w:val="000000"/>
                <w:sz w:val="20"/>
                <w:szCs w:val="20"/>
                <w:lang w:val="fr-CA" w:eastAsia="en-CA"/>
              </w:rPr>
              <w:t>39</w:t>
            </w:r>
            <w:r w:rsidR="00DC4453">
              <w:rPr>
                <w:iCs/>
                <w:color w:val="000000"/>
                <w:sz w:val="20"/>
                <w:szCs w:val="20"/>
                <w:lang w:val="fr-CA" w:eastAsia="en-CA"/>
              </w:rPr>
              <w:t> </w:t>
            </w:r>
            <w:r w:rsidRPr="00802AF9">
              <w:rPr>
                <w:iCs/>
                <w:color w:val="000000"/>
                <w:sz w:val="20"/>
                <w:szCs w:val="20"/>
                <w:lang w:val="fr-CA" w:eastAsia="en-CA"/>
              </w:rPr>
              <w:t>144</w:t>
            </w:r>
          </w:p>
        </w:tc>
        <w:tc>
          <w:tcPr>
            <w:tcW w:w="665" w:type="pct"/>
            <w:tcMar>
              <w:left w:w="115" w:type="dxa"/>
              <w:right w:w="173" w:type="dxa"/>
            </w:tcMar>
          </w:tcPr>
          <w:p w14:paraId="2C3307BF" w14:textId="47FF87CB"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40</w:t>
            </w:r>
            <w:r w:rsidR="00DC4453">
              <w:rPr>
                <w:iCs/>
                <w:color w:val="000000"/>
                <w:sz w:val="20"/>
                <w:szCs w:val="20"/>
                <w:lang w:val="fr-CA" w:eastAsia="en-CA"/>
              </w:rPr>
              <w:t> </w:t>
            </w:r>
            <w:r w:rsidRPr="00802AF9">
              <w:rPr>
                <w:iCs/>
                <w:color w:val="000000"/>
                <w:sz w:val="20"/>
                <w:szCs w:val="20"/>
                <w:lang w:val="fr-CA" w:eastAsia="en-CA"/>
              </w:rPr>
              <w:t>039</w:t>
            </w:r>
          </w:p>
        </w:tc>
        <w:tc>
          <w:tcPr>
            <w:tcW w:w="665" w:type="pct"/>
            <w:tcMar>
              <w:left w:w="115" w:type="dxa"/>
              <w:right w:w="173" w:type="dxa"/>
            </w:tcMar>
          </w:tcPr>
          <w:p w14:paraId="3CBCED26" w14:textId="4FEEFEF0"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38</w:t>
            </w:r>
            <w:r w:rsidR="00DC4453">
              <w:rPr>
                <w:iCs/>
                <w:color w:val="000000"/>
                <w:sz w:val="20"/>
                <w:szCs w:val="20"/>
                <w:lang w:val="fr-CA" w:eastAsia="en-CA"/>
              </w:rPr>
              <w:t> </w:t>
            </w:r>
            <w:r w:rsidRPr="00802AF9">
              <w:rPr>
                <w:iCs/>
                <w:color w:val="000000"/>
                <w:sz w:val="20"/>
                <w:szCs w:val="20"/>
                <w:lang w:val="fr-CA" w:eastAsia="en-CA"/>
              </w:rPr>
              <w:t>057</w:t>
            </w:r>
          </w:p>
        </w:tc>
        <w:tc>
          <w:tcPr>
            <w:tcW w:w="665" w:type="pct"/>
            <w:tcMar>
              <w:left w:w="115" w:type="dxa"/>
              <w:right w:w="173" w:type="dxa"/>
            </w:tcMar>
          </w:tcPr>
          <w:p w14:paraId="36E29E93" w14:textId="6F51CC5A"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38</w:t>
            </w:r>
            <w:r w:rsidR="00DC4453">
              <w:rPr>
                <w:iCs/>
                <w:color w:val="000000"/>
                <w:sz w:val="20"/>
                <w:szCs w:val="20"/>
                <w:lang w:val="fr-CA" w:eastAsia="en-CA"/>
              </w:rPr>
              <w:t> </w:t>
            </w:r>
            <w:r w:rsidRPr="00802AF9">
              <w:rPr>
                <w:iCs/>
                <w:color w:val="000000"/>
                <w:sz w:val="20"/>
                <w:szCs w:val="20"/>
                <w:lang w:val="fr-CA" w:eastAsia="en-CA"/>
              </w:rPr>
              <w:t>449</w:t>
            </w:r>
          </w:p>
        </w:tc>
        <w:tc>
          <w:tcPr>
            <w:tcW w:w="666" w:type="pct"/>
            <w:shd w:val="clear" w:color="auto" w:fill="auto"/>
            <w:noWrap/>
            <w:tcMar>
              <w:left w:w="115" w:type="dxa"/>
              <w:right w:w="173" w:type="dxa"/>
            </w:tcMar>
          </w:tcPr>
          <w:p w14:paraId="2EEA4A17" w14:textId="6064C8CD"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53</w:t>
            </w:r>
            <w:r w:rsidR="00DC4453">
              <w:rPr>
                <w:iCs/>
                <w:color w:val="000000"/>
                <w:sz w:val="20"/>
                <w:szCs w:val="20"/>
                <w:lang w:val="fr-CA" w:eastAsia="en-CA"/>
              </w:rPr>
              <w:t> </w:t>
            </w:r>
            <w:r w:rsidRPr="00802AF9">
              <w:rPr>
                <w:iCs/>
                <w:color w:val="000000"/>
                <w:sz w:val="20"/>
                <w:szCs w:val="20"/>
                <w:lang w:val="fr-CA" w:eastAsia="en-CA"/>
              </w:rPr>
              <w:t>502</w:t>
            </w:r>
          </w:p>
        </w:tc>
      </w:tr>
      <w:tr w:rsidR="0029763D" w:rsidRPr="00802AF9" w14:paraId="0920049B" w14:textId="77777777" w:rsidTr="003F073E">
        <w:trPr>
          <w:trHeight w:val="134"/>
        </w:trPr>
        <w:tc>
          <w:tcPr>
            <w:tcW w:w="1009" w:type="pct"/>
            <w:shd w:val="clear" w:color="auto" w:fill="auto"/>
            <w:noWrap/>
            <w:hideMark/>
          </w:tcPr>
          <w:p w14:paraId="5E14FA66"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HCFC-142b</w:t>
            </w:r>
          </w:p>
        </w:tc>
        <w:tc>
          <w:tcPr>
            <w:tcW w:w="665" w:type="pct"/>
            <w:shd w:val="clear" w:color="auto" w:fill="auto"/>
            <w:noWrap/>
            <w:tcMar>
              <w:left w:w="115" w:type="dxa"/>
              <w:right w:w="173" w:type="dxa"/>
            </w:tcMar>
          </w:tcPr>
          <w:p w14:paraId="65D6F797" w14:textId="42AF2639" w:rsidR="0029763D" w:rsidRPr="00802AF9" w:rsidRDefault="0029763D" w:rsidP="003F073E">
            <w:pPr>
              <w:widowControl w:val="0"/>
              <w:jc w:val="right"/>
              <w:rPr>
                <w:sz w:val="20"/>
                <w:szCs w:val="20"/>
                <w:lang w:val="fr-CA"/>
              </w:rPr>
            </w:pPr>
            <w:r w:rsidRPr="00802AF9">
              <w:rPr>
                <w:sz w:val="20"/>
                <w:szCs w:val="20"/>
                <w:lang w:val="fr-CA"/>
              </w:rPr>
              <w:t>11</w:t>
            </w:r>
            <w:r w:rsidR="00DC4453">
              <w:rPr>
                <w:sz w:val="20"/>
                <w:szCs w:val="20"/>
                <w:lang w:val="fr-CA"/>
              </w:rPr>
              <w:t> </w:t>
            </w:r>
            <w:r w:rsidRPr="00802AF9">
              <w:rPr>
                <w:sz w:val="20"/>
                <w:szCs w:val="20"/>
                <w:lang w:val="fr-CA"/>
              </w:rPr>
              <w:t>616</w:t>
            </w:r>
          </w:p>
        </w:tc>
        <w:tc>
          <w:tcPr>
            <w:tcW w:w="665" w:type="pct"/>
            <w:shd w:val="clear" w:color="auto" w:fill="auto"/>
            <w:noWrap/>
            <w:tcMar>
              <w:left w:w="115" w:type="dxa"/>
              <w:right w:w="173" w:type="dxa"/>
            </w:tcMar>
          </w:tcPr>
          <w:p w14:paraId="02E54236" w14:textId="232118BB" w:rsidR="0029763D" w:rsidRPr="00802AF9" w:rsidRDefault="0029763D" w:rsidP="003F073E">
            <w:pPr>
              <w:widowControl w:val="0"/>
              <w:jc w:val="right"/>
              <w:rPr>
                <w:sz w:val="20"/>
                <w:szCs w:val="20"/>
                <w:lang w:val="fr-CA"/>
              </w:rPr>
            </w:pPr>
            <w:r w:rsidRPr="00802AF9">
              <w:rPr>
                <w:iCs/>
                <w:color w:val="000000"/>
                <w:sz w:val="20"/>
                <w:szCs w:val="20"/>
                <w:lang w:val="fr-CA" w:eastAsia="en-CA"/>
              </w:rPr>
              <w:t>9</w:t>
            </w:r>
            <w:r w:rsidR="00DC4453">
              <w:rPr>
                <w:iCs/>
                <w:color w:val="000000"/>
                <w:sz w:val="20"/>
                <w:szCs w:val="20"/>
                <w:lang w:val="fr-CA" w:eastAsia="en-CA"/>
              </w:rPr>
              <w:t> </w:t>
            </w:r>
            <w:r w:rsidRPr="00802AF9">
              <w:rPr>
                <w:iCs/>
                <w:color w:val="000000"/>
                <w:sz w:val="20"/>
                <w:szCs w:val="20"/>
                <w:lang w:val="fr-CA" w:eastAsia="en-CA"/>
              </w:rPr>
              <w:t>471</w:t>
            </w:r>
          </w:p>
        </w:tc>
        <w:tc>
          <w:tcPr>
            <w:tcW w:w="665" w:type="pct"/>
            <w:tcMar>
              <w:left w:w="115" w:type="dxa"/>
              <w:right w:w="173" w:type="dxa"/>
            </w:tcMar>
          </w:tcPr>
          <w:p w14:paraId="3029C9BD" w14:textId="74C044E2"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10</w:t>
            </w:r>
            <w:r w:rsidR="00DC4453">
              <w:rPr>
                <w:iCs/>
                <w:color w:val="000000"/>
                <w:sz w:val="20"/>
                <w:szCs w:val="20"/>
                <w:lang w:val="fr-CA" w:eastAsia="en-CA"/>
              </w:rPr>
              <w:t> </w:t>
            </w:r>
            <w:r w:rsidRPr="00802AF9">
              <w:rPr>
                <w:iCs/>
                <w:color w:val="000000"/>
                <w:sz w:val="20"/>
                <w:szCs w:val="20"/>
                <w:lang w:val="fr-CA" w:eastAsia="en-CA"/>
              </w:rPr>
              <w:t>253</w:t>
            </w:r>
          </w:p>
        </w:tc>
        <w:tc>
          <w:tcPr>
            <w:tcW w:w="665" w:type="pct"/>
            <w:tcMar>
              <w:left w:w="115" w:type="dxa"/>
              <w:right w:w="173" w:type="dxa"/>
            </w:tcMar>
          </w:tcPr>
          <w:p w14:paraId="4E2D3360" w14:textId="4A591F5B"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5</w:t>
            </w:r>
            <w:r w:rsidR="00DC4453">
              <w:rPr>
                <w:iCs/>
                <w:color w:val="000000"/>
                <w:sz w:val="20"/>
                <w:szCs w:val="20"/>
                <w:lang w:val="fr-CA" w:eastAsia="en-CA"/>
              </w:rPr>
              <w:t> </w:t>
            </w:r>
            <w:r w:rsidRPr="00802AF9">
              <w:rPr>
                <w:iCs/>
                <w:color w:val="000000"/>
                <w:sz w:val="20"/>
                <w:szCs w:val="20"/>
                <w:lang w:val="fr-CA" w:eastAsia="en-CA"/>
              </w:rPr>
              <w:t>367</w:t>
            </w:r>
          </w:p>
        </w:tc>
        <w:tc>
          <w:tcPr>
            <w:tcW w:w="665" w:type="pct"/>
            <w:tcMar>
              <w:left w:w="115" w:type="dxa"/>
              <w:right w:w="173" w:type="dxa"/>
            </w:tcMar>
          </w:tcPr>
          <w:p w14:paraId="3718C0F1" w14:textId="2D71DEFB"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6</w:t>
            </w:r>
            <w:r w:rsidR="00DC4453">
              <w:rPr>
                <w:iCs/>
                <w:color w:val="000000"/>
                <w:sz w:val="20"/>
                <w:szCs w:val="20"/>
                <w:lang w:val="fr-CA" w:eastAsia="en-CA"/>
              </w:rPr>
              <w:t> </w:t>
            </w:r>
            <w:r w:rsidRPr="00802AF9">
              <w:rPr>
                <w:iCs/>
                <w:color w:val="000000"/>
                <w:sz w:val="20"/>
                <w:szCs w:val="20"/>
                <w:lang w:val="fr-CA" w:eastAsia="en-CA"/>
              </w:rPr>
              <w:t>500</w:t>
            </w:r>
          </w:p>
        </w:tc>
        <w:tc>
          <w:tcPr>
            <w:tcW w:w="666" w:type="pct"/>
            <w:shd w:val="clear" w:color="auto" w:fill="auto"/>
            <w:noWrap/>
            <w:tcMar>
              <w:left w:w="115" w:type="dxa"/>
              <w:right w:w="173" w:type="dxa"/>
            </w:tcMar>
          </w:tcPr>
          <w:p w14:paraId="4BAEB9F0" w14:textId="58D93DB1"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22</w:t>
            </w:r>
            <w:r w:rsidR="00DC4453">
              <w:rPr>
                <w:iCs/>
                <w:color w:val="000000"/>
                <w:sz w:val="20"/>
                <w:szCs w:val="20"/>
                <w:lang w:val="fr-CA" w:eastAsia="en-CA"/>
              </w:rPr>
              <w:t> </w:t>
            </w:r>
            <w:r w:rsidRPr="00802AF9">
              <w:rPr>
                <w:iCs/>
                <w:color w:val="000000"/>
                <w:sz w:val="20"/>
                <w:szCs w:val="20"/>
                <w:lang w:val="fr-CA" w:eastAsia="en-CA"/>
              </w:rPr>
              <w:t>624</w:t>
            </w:r>
          </w:p>
        </w:tc>
      </w:tr>
      <w:tr w:rsidR="0029763D" w:rsidRPr="00802AF9" w14:paraId="52CE68AB" w14:textId="77777777" w:rsidTr="003F073E">
        <w:trPr>
          <w:trHeight w:val="197"/>
        </w:trPr>
        <w:tc>
          <w:tcPr>
            <w:tcW w:w="1009" w:type="pct"/>
            <w:shd w:val="clear" w:color="auto" w:fill="auto"/>
            <w:noWrap/>
            <w:hideMark/>
          </w:tcPr>
          <w:p w14:paraId="2C5D6EAC"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HCFC-225ca/cb</w:t>
            </w:r>
          </w:p>
        </w:tc>
        <w:tc>
          <w:tcPr>
            <w:tcW w:w="665" w:type="pct"/>
            <w:shd w:val="clear" w:color="auto" w:fill="auto"/>
            <w:noWrap/>
            <w:tcMar>
              <w:left w:w="115" w:type="dxa"/>
              <w:right w:w="173" w:type="dxa"/>
            </w:tcMar>
          </w:tcPr>
          <w:p w14:paraId="176B9773" w14:textId="77777777" w:rsidR="0029763D" w:rsidRPr="00802AF9" w:rsidRDefault="0029763D" w:rsidP="003F073E">
            <w:pPr>
              <w:widowControl w:val="0"/>
              <w:jc w:val="right"/>
              <w:rPr>
                <w:sz w:val="20"/>
                <w:szCs w:val="20"/>
                <w:lang w:val="fr-CA"/>
              </w:rPr>
            </w:pPr>
            <w:r w:rsidRPr="00802AF9">
              <w:rPr>
                <w:sz w:val="20"/>
                <w:szCs w:val="20"/>
                <w:lang w:val="fr-CA"/>
              </w:rPr>
              <w:t>15</w:t>
            </w:r>
          </w:p>
        </w:tc>
        <w:tc>
          <w:tcPr>
            <w:tcW w:w="665" w:type="pct"/>
            <w:shd w:val="clear" w:color="auto" w:fill="auto"/>
            <w:noWrap/>
            <w:tcMar>
              <w:left w:w="115" w:type="dxa"/>
              <w:right w:w="173" w:type="dxa"/>
            </w:tcMar>
          </w:tcPr>
          <w:p w14:paraId="159DDDE3" w14:textId="77777777" w:rsidR="0029763D" w:rsidRPr="00802AF9" w:rsidRDefault="0029763D" w:rsidP="003F073E">
            <w:pPr>
              <w:widowControl w:val="0"/>
              <w:jc w:val="right"/>
              <w:rPr>
                <w:sz w:val="20"/>
                <w:szCs w:val="20"/>
                <w:lang w:val="fr-CA"/>
              </w:rPr>
            </w:pPr>
            <w:r w:rsidRPr="00802AF9">
              <w:rPr>
                <w:iCs/>
                <w:color w:val="000000"/>
                <w:sz w:val="20"/>
                <w:szCs w:val="20"/>
                <w:lang w:val="fr-CA" w:eastAsia="en-CA"/>
              </w:rPr>
              <w:t>38</w:t>
            </w:r>
          </w:p>
        </w:tc>
        <w:tc>
          <w:tcPr>
            <w:tcW w:w="665" w:type="pct"/>
            <w:tcMar>
              <w:left w:w="115" w:type="dxa"/>
              <w:right w:w="173" w:type="dxa"/>
            </w:tcMar>
          </w:tcPr>
          <w:p w14:paraId="64560F66"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38</w:t>
            </w:r>
          </w:p>
        </w:tc>
        <w:tc>
          <w:tcPr>
            <w:tcW w:w="665" w:type="pct"/>
            <w:tcMar>
              <w:left w:w="115" w:type="dxa"/>
              <w:right w:w="173" w:type="dxa"/>
            </w:tcMar>
          </w:tcPr>
          <w:p w14:paraId="5499B643"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38</w:t>
            </w:r>
          </w:p>
        </w:tc>
        <w:tc>
          <w:tcPr>
            <w:tcW w:w="665" w:type="pct"/>
            <w:tcMar>
              <w:left w:w="115" w:type="dxa"/>
              <w:right w:w="173" w:type="dxa"/>
            </w:tcMar>
          </w:tcPr>
          <w:p w14:paraId="27F20BFF"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0.57</w:t>
            </w:r>
          </w:p>
        </w:tc>
        <w:tc>
          <w:tcPr>
            <w:tcW w:w="666" w:type="pct"/>
            <w:shd w:val="clear" w:color="auto" w:fill="auto"/>
            <w:noWrap/>
            <w:tcMar>
              <w:left w:w="115" w:type="dxa"/>
              <w:right w:w="173" w:type="dxa"/>
            </w:tcMar>
          </w:tcPr>
          <w:p w14:paraId="0BC2FF72"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17</w:t>
            </w:r>
          </w:p>
        </w:tc>
      </w:tr>
      <w:tr w:rsidR="0029763D" w:rsidRPr="00802AF9" w14:paraId="21D4CF67" w14:textId="77777777" w:rsidTr="003F073E">
        <w:trPr>
          <w:trHeight w:val="197"/>
        </w:trPr>
        <w:tc>
          <w:tcPr>
            <w:tcW w:w="1009" w:type="pct"/>
            <w:shd w:val="clear" w:color="auto" w:fill="auto"/>
            <w:noWrap/>
          </w:tcPr>
          <w:p w14:paraId="5392410F" w14:textId="77777777" w:rsidR="0029763D" w:rsidRPr="00802AF9" w:rsidRDefault="0029763D" w:rsidP="003F073E">
            <w:pPr>
              <w:widowControl w:val="0"/>
              <w:jc w:val="left"/>
              <w:rPr>
                <w:b/>
                <w:color w:val="000000"/>
                <w:sz w:val="20"/>
                <w:szCs w:val="20"/>
                <w:lang w:val="fr-CA" w:eastAsia="en-CA"/>
              </w:rPr>
            </w:pPr>
            <w:r w:rsidRPr="00802AF9">
              <w:rPr>
                <w:b/>
                <w:color w:val="000000"/>
                <w:sz w:val="20"/>
                <w:szCs w:val="20"/>
                <w:lang w:val="fr-CA" w:eastAsia="en-CA"/>
              </w:rPr>
              <w:t>Total</w:t>
            </w:r>
          </w:p>
        </w:tc>
        <w:tc>
          <w:tcPr>
            <w:tcW w:w="665" w:type="pct"/>
            <w:shd w:val="clear" w:color="auto" w:fill="auto"/>
            <w:noWrap/>
            <w:tcMar>
              <w:left w:w="115" w:type="dxa"/>
              <w:right w:w="173" w:type="dxa"/>
            </w:tcMar>
          </w:tcPr>
          <w:p w14:paraId="2CD6CD98" w14:textId="77E69F7F" w:rsidR="0029763D" w:rsidRPr="00802AF9" w:rsidRDefault="0029763D" w:rsidP="003F073E">
            <w:pPr>
              <w:widowControl w:val="0"/>
              <w:jc w:val="right"/>
              <w:rPr>
                <w:b/>
                <w:sz w:val="20"/>
                <w:szCs w:val="20"/>
                <w:lang w:val="fr-CA"/>
              </w:rPr>
            </w:pPr>
            <w:r w:rsidRPr="00802AF9">
              <w:rPr>
                <w:b/>
                <w:sz w:val="20"/>
                <w:szCs w:val="20"/>
                <w:lang w:val="fr-CA"/>
              </w:rPr>
              <w:t>205</w:t>
            </w:r>
            <w:r w:rsidR="00DC4453">
              <w:rPr>
                <w:b/>
                <w:sz w:val="20"/>
                <w:szCs w:val="20"/>
                <w:lang w:val="fr-CA"/>
              </w:rPr>
              <w:t> </w:t>
            </w:r>
            <w:r w:rsidRPr="00802AF9">
              <w:rPr>
                <w:b/>
                <w:sz w:val="20"/>
                <w:szCs w:val="20"/>
                <w:lang w:val="fr-CA"/>
              </w:rPr>
              <w:t>040</w:t>
            </w:r>
          </w:p>
        </w:tc>
        <w:tc>
          <w:tcPr>
            <w:tcW w:w="665" w:type="pct"/>
            <w:shd w:val="clear" w:color="auto" w:fill="auto"/>
            <w:noWrap/>
            <w:tcMar>
              <w:left w:w="115" w:type="dxa"/>
              <w:right w:w="173" w:type="dxa"/>
            </w:tcMar>
          </w:tcPr>
          <w:p w14:paraId="4799FE56" w14:textId="3FFAF36C" w:rsidR="0029763D" w:rsidRPr="00802AF9" w:rsidRDefault="0029763D" w:rsidP="003F073E">
            <w:pPr>
              <w:widowControl w:val="0"/>
              <w:jc w:val="right"/>
              <w:rPr>
                <w:b/>
                <w:sz w:val="20"/>
                <w:szCs w:val="20"/>
                <w:lang w:val="fr-CA"/>
              </w:rPr>
            </w:pPr>
            <w:r w:rsidRPr="00802AF9">
              <w:rPr>
                <w:b/>
                <w:iCs/>
                <w:color w:val="000000"/>
                <w:sz w:val="20"/>
                <w:szCs w:val="20"/>
                <w:lang w:val="fr-CA" w:eastAsia="en-CA"/>
              </w:rPr>
              <w:t>218</w:t>
            </w:r>
            <w:r w:rsidR="00DC4453">
              <w:rPr>
                <w:b/>
                <w:iCs/>
                <w:color w:val="000000"/>
                <w:sz w:val="20"/>
                <w:szCs w:val="20"/>
                <w:lang w:val="fr-CA" w:eastAsia="en-CA"/>
              </w:rPr>
              <w:t> </w:t>
            </w:r>
            <w:r w:rsidRPr="00802AF9">
              <w:rPr>
                <w:b/>
                <w:iCs/>
                <w:color w:val="000000"/>
                <w:sz w:val="20"/>
                <w:szCs w:val="20"/>
                <w:lang w:val="fr-CA" w:eastAsia="en-CA"/>
              </w:rPr>
              <w:t>350</w:t>
            </w:r>
          </w:p>
        </w:tc>
        <w:tc>
          <w:tcPr>
            <w:tcW w:w="665" w:type="pct"/>
            <w:tcMar>
              <w:left w:w="115" w:type="dxa"/>
              <w:right w:w="173" w:type="dxa"/>
            </w:tcMar>
          </w:tcPr>
          <w:p w14:paraId="79BEF2F8" w14:textId="1413C70D" w:rsidR="0029763D" w:rsidRPr="00802AF9" w:rsidRDefault="0029763D" w:rsidP="003F073E">
            <w:pPr>
              <w:widowControl w:val="0"/>
              <w:jc w:val="right"/>
              <w:rPr>
                <w:b/>
                <w:iCs/>
                <w:color w:val="000000"/>
                <w:sz w:val="20"/>
                <w:szCs w:val="20"/>
                <w:lang w:val="fr-CA" w:eastAsia="en-CA"/>
              </w:rPr>
            </w:pPr>
            <w:r w:rsidRPr="00802AF9">
              <w:rPr>
                <w:b/>
                <w:iCs/>
                <w:color w:val="000000"/>
                <w:sz w:val="20"/>
                <w:szCs w:val="20"/>
                <w:lang w:val="fr-CA" w:eastAsia="en-CA"/>
              </w:rPr>
              <w:t>224</w:t>
            </w:r>
            <w:r w:rsidR="00DC4453">
              <w:rPr>
                <w:b/>
                <w:iCs/>
                <w:color w:val="000000"/>
                <w:sz w:val="20"/>
                <w:szCs w:val="20"/>
                <w:lang w:val="fr-CA" w:eastAsia="en-CA"/>
              </w:rPr>
              <w:t> </w:t>
            </w:r>
            <w:r w:rsidRPr="00802AF9">
              <w:rPr>
                <w:b/>
                <w:iCs/>
                <w:color w:val="000000"/>
                <w:sz w:val="20"/>
                <w:szCs w:val="20"/>
                <w:lang w:val="fr-CA" w:eastAsia="en-CA"/>
              </w:rPr>
              <w:t>284</w:t>
            </w:r>
          </w:p>
        </w:tc>
        <w:tc>
          <w:tcPr>
            <w:tcW w:w="665" w:type="pct"/>
            <w:tcMar>
              <w:left w:w="115" w:type="dxa"/>
              <w:right w:w="173" w:type="dxa"/>
            </w:tcMar>
          </w:tcPr>
          <w:p w14:paraId="2D7C0A1B" w14:textId="7126F296" w:rsidR="0029763D" w:rsidRPr="00802AF9" w:rsidRDefault="0029763D" w:rsidP="003F073E">
            <w:pPr>
              <w:widowControl w:val="0"/>
              <w:jc w:val="right"/>
              <w:rPr>
                <w:b/>
                <w:iCs/>
                <w:color w:val="000000"/>
                <w:sz w:val="20"/>
                <w:szCs w:val="20"/>
                <w:lang w:val="fr-CA" w:eastAsia="en-CA"/>
              </w:rPr>
            </w:pPr>
            <w:r w:rsidRPr="00802AF9">
              <w:rPr>
                <w:b/>
                <w:iCs/>
                <w:color w:val="000000"/>
                <w:sz w:val="20"/>
                <w:szCs w:val="20"/>
                <w:lang w:val="fr-CA" w:eastAsia="en-CA"/>
              </w:rPr>
              <w:t>223</w:t>
            </w:r>
            <w:r w:rsidR="00DC4453">
              <w:rPr>
                <w:b/>
                <w:iCs/>
                <w:color w:val="000000"/>
                <w:sz w:val="20"/>
                <w:szCs w:val="20"/>
                <w:lang w:val="fr-CA" w:eastAsia="en-CA"/>
              </w:rPr>
              <w:t> </w:t>
            </w:r>
            <w:r w:rsidRPr="00802AF9">
              <w:rPr>
                <w:b/>
                <w:iCs/>
                <w:color w:val="000000"/>
                <w:sz w:val="20"/>
                <w:szCs w:val="20"/>
                <w:lang w:val="fr-CA" w:eastAsia="en-CA"/>
              </w:rPr>
              <w:t>105</w:t>
            </w:r>
          </w:p>
        </w:tc>
        <w:tc>
          <w:tcPr>
            <w:tcW w:w="665" w:type="pct"/>
            <w:tcMar>
              <w:left w:w="115" w:type="dxa"/>
              <w:right w:w="173" w:type="dxa"/>
            </w:tcMar>
          </w:tcPr>
          <w:p w14:paraId="0A9C8AF3" w14:textId="6014819E" w:rsidR="0029763D" w:rsidRPr="00802AF9" w:rsidRDefault="0029763D" w:rsidP="003F073E">
            <w:pPr>
              <w:widowControl w:val="0"/>
              <w:jc w:val="right"/>
              <w:rPr>
                <w:b/>
                <w:color w:val="000000"/>
                <w:sz w:val="20"/>
                <w:szCs w:val="20"/>
                <w:lang w:val="fr-CA"/>
              </w:rPr>
            </w:pPr>
            <w:r w:rsidRPr="00802AF9">
              <w:rPr>
                <w:b/>
                <w:color w:val="000000"/>
                <w:sz w:val="20"/>
                <w:szCs w:val="20"/>
                <w:lang w:val="fr-CA"/>
              </w:rPr>
              <w:t>219</w:t>
            </w:r>
            <w:r w:rsidR="00DC4453">
              <w:rPr>
                <w:b/>
                <w:color w:val="000000"/>
                <w:sz w:val="20"/>
                <w:szCs w:val="20"/>
                <w:lang w:val="fr-CA"/>
              </w:rPr>
              <w:t> </w:t>
            </w:r>
            <w:r w:rsidRPr="00802AF9">
              <w:rPr>
                <w:b/>
                <w:color w:val="000000"/>
                <w:sz w:val="20"/>
                <w:szCs w:val="20"/>
                <w:lang w:val="fr-CA"/>
              </w:rPr>
              <w:t>600</w:t>
            </w:r>
          </w:p>
        </w:tc>
        <w:tc>
          <w:tcPr>
            <w:tcW w:w="666" w:type="pct"/>
            <w:shd w:val="clear" w:color="auto" w:fill="auto"/>
            <w:noWrap/>
            <w:tcMar>
              <w:left w:w="115" w:type="dxa"/>
              <w:right w:w="173" w:type="dxa"/>
            </w:tcMar>
          </w:tcPr>
          <w:p w14:paraId="328B374A" w14:textId="35484F02" w:rsidR="0029763D" w:rsidRPr="00802AF9" w:rsidRDefault="0029763D" w:rsidP="003F073E">
            <w:pPr>
              <w:widowControl w:val="0"/>
              <w:jc w:val="right"/>
              <w:rPr>
                <w:b/>
                <w:iCs/>
                <w:color w:val="000000"/>
                <w:sz w:val="20"/>
                <w:szCs w:val="20"/>
                <w:lang w:val="fr-CA" w:eastAsia="en-CA"/>
              </w:rPr>
            </w:pPr>
            <w:r w:rsidRPr="00802AF9">
              <w:rPr>
                <w:b/>
                <w:iCs/>
                <w:color w:val="000000"/>
                <w:sz w:val="20"/>
                <w:szCs w:val="20"/>
                <w:lang w:val="fr-CA" w:eastAsia="en-CA"/>
              </w:rPr>
              <w:fldChar w:fldCharType="begin"/>
            </w:r>
            <w:r w:rsidRPr="00802AF9">
              <w:rPr>
                <w:b/>
                <w:iCs/>
                <w:color w:val="000000"/>
                <w:sz w:val="20"/>
                <w:szCs w:val="20"/>
                <w:lang w:val="fr-CA" w:eastAsia="en-CA"/>
              </w:rPr>
              <w:instrText xml:space="preserve"> =SUM(ABOVE) </w:instrText>
            </w:r>
            <w:r w:rsidRPr="00802AF9">
              <w:rPr>
                <w:b/>
                <w:iCs/>
                <w:color w:val="000000"/>
                <w:sz w:val="20"/>
                <w:szCs w:val="20"/>
                <w:lang w:val="fr-CA" w:eastAsia="en-CA"/>
              </w:rPr>
              <w:fldChar w:fldCharType="separate"/>
            </w:r>
            <w:r w:rsidRPr="00802AF9">
              <w:rPr>
                <w:b/>
                <w:iCs/>
                <w:noProof/>
                <w:color w:val="000000"/>
                <w:sz w:val="20"/>
                <w:szCs w:val="20"/>
                <w:lang w:val="fr-CA" w:eastAsia="en-CA"/>
              </w:rPr>
              <w:t>285</w:t>
            </w:r>
            <w:r w:rsidR="00DC4453">
              <w:rPr>
                <w:b/>
                <w:iCs/>
                <w:noProof/>
                <w:color w:val="000000"/>
                <w:sz w:val="20"/>
                <w:szCs w:val="20"/>
                <w:lang w:val="fr-CA" w:eastAsia="en-CA"/>
              </w:rPr>
              <w:t> </w:t>
            </w:r>
            <w:r w:rsidRPr="00802AF9">
              <w:rPr>
                <w:b/>
                <w:iCs/>
                <w:noProof/>
                <w:color w:val="000000"/>
                <w:sz w:val="20"/>
                <w:szCs w:val="20"/>
                <w:lang w:val="fr-CA" w:eastAsia="en-CA"/>
              </w:rPr>
              <w:t>7</w:t>
            </w:r>
            <w:r w:rsidRPr="00802AF9">
              <w:rPr>
                <w:b/>
                <w:iCs/>
                <w:color w:val="000000"/>
                <w:sz w:val="20"/>
                <w:szCs w:val="20"/>
                <w:lang w:val="fr-CA" w:eastAsia="en-CA"/>
              </w:rPr>
              <w:fldChar w:fldCharType="end"/>
            </w:r>
            <w:r w:rsidRPr="00802AF9">
              <w:rPr>
                <w:b/>
                <w:iCs/>
                <w:color w:val="000000"/>
                <w:sz w:val="20"/>
                <w:szCs w:val="20"/>
                <w:lang w:val="fr-CA" w:eastAsia="en-CA"/>
              </w:rPr>
              <w:t>96</w:t>
            </w:r>
          </w:p>
        </w:tc>
      </w:tr>
      <w:tr w:rsidR="0029763D" w:rsidRPr="00802AF9" w14:paraId="4017DB75" w14:textId="77777777" w:rsidTr="003F073E">
        <w:trPr>
          <w:trHeight w:val="197"/>
        </w:trPr>
        <w:tc>
          <w:tcPr>
            <w:tcW w:w="5000" w:type="pct"/>
            <w:gridSpan w:val="7"/>
            <w:shd w:val="clear" w:color="auto" w:fill="auto"/>
            <w:noWrap/>
          </w:tcPr>
          <w:p w14:paraId="7C255AC3" w14:textId="68EBB30B" w:rsidR="0029763D" w:rsidRPr="00802AF9" w:rsidRDefault="00494A38" w:rsidP="003F073E">
            <w:pPr>
              <w:widowControl w:val="0"/>
              <w:jc w:val="center"/>
              <w:rPr>
                <w:b/>
                <w:iCs/>
                <w:color w:val="000000"/>
                <w:sz w:val="20"/>
                <w:szCs w:val="20"/>
                <w:lang w:val="fr-CA" w:eastAsia="en-CA"/>
              </w:rPr>
            </w:pPr>
            <w:r w:rsidRPr="00802AF9">
              <w:rPr>
                <w:b/>
                <w:color w:val="000000"/>
                <w:sz w:val="20"/>
                <w:szCs w:val="20"/>
                <w:lang w:val="fr-CA" w:eastAsia="en-CA"/>
              </w:rPr>
              <w:t>Tonnes PAO</w:t>
            </w:r>
          </w:p>
        </w:tc>
      </w:tr>
      <w:tr w:rsidR="0029763D" w:rsidRPr="00802AF9" w14:paraId="079B5B22" w14:textId="77777777" w:rsidTr="003F073E">
        <w:trPr>
          <w:trHeight w:val="152"/>
        </w:trPr>
        <w:tc>
          <w:tcPr>
            <w:tcW w:w="1009" w:type="pct"/>
            <w:shd w:val="clear" w:color="auto" w:fill="auto"/>
            <w:noWrap/>
            <w:hideMark/>
          </w:tcPr>
          <w:p w14:paraId="6E4AF1A4"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HCFC-22*</w:t>
            </w:r>
          </w:p>
        </w:tc>
        <w:tc>
          <w:tcPr>
            <w:tcW w:w="665" w:type="pct"/>
            <w:shd w:val="clear" w:color="auto" w:fill="auto"/>
            <w:noWrap/>
            <w:tcMar>
              <w:left w:w="115" w:type="dxa"/>
              <w:right w:w="173" w:type="dxa"/>
            </w:tcMar>
          </w:tcPr>
          <w:p w14:paraId="4C250E1F" w14:textId="078A50AF" w:rsidR="0029763D" w:rsidRPr="00802AF9" w:rsidRDefault="0029763D" w:rsidP="003F073E">
            <w:pPr>
              <w:widowControl w:val="0"/>
              <w:jc w:val="right"/>
              <w:rPr>
                <w:sz w:val="20"/>
                <w:szCs w:val="20"/>
                <w:lang w:val="fr-CA"/>
              </w:rPr>
            </w:pPr>
            <w:r w:rsidRPr="00802AF9">
              <w:rPr>
                <w:sz w:val="20"/>
                <w:szCs w:val="20"/>
                <w:lang w:val="fr-CA"/>
              </w:rPr>
              <w:t>8</w:t>
            </w:r>
            <w:r w:rsidR="00DC4453">
              <w:rPr>
                <w:sz w:val="20"/>
                <w:szCs w:val="20"/>
                <w:lang w:val="fr-CA"/>
              </w:rPr>
              <w:t> </w:t>
            </w:r>
            <w:r w:rsidRPr="00802AF9">
              <w:rPr>
                <w:sz w:val="20"/>
                <w:szCs w:val="20"/>
                <w:lang w:val="fr-CA"/>
              </w:rPr>
              <w:t>468</w:t>
            </w:r>
          </w:p>
        </w:tc>
        <w:tc>
          <w:tcPr>
            <w:tcW w:w="665" w:type="pct"/>
            <w:shd w:val="clear" w:color="auto" w:fill="auto"/>
            <w:noWrap/>
            <w:tcMar>
              <w:left w:w="115" w:type="dxa"/>
              <w:right w:w="173" w:type="dxa"/>
            </w:tcMar>
          </w:tcPr>
          <w:p w14:paraId="449BAAAE" w14:textId="79CA1937" w:rsidR="0029763D" w:rsidRPr="00802AF9" w:rsidRDefault="0029763D" w:rsidP="003F073E">
            <w:pPr>
              <w:widowControl w:val="0"/>
              <w:jc w:val="right"/>
              <w:rPr>
                <w:sz w:val="20"/>
                <w:szCs w:val="20"/>
                <w:lang w:val="fr-CA"/>
              </w:rPr>
            </w:pPr>
            <w:r w:rsidRPr="00802AF9">
              <w:rPr>
                <w:iCs/>
                <w:color w:val="000000"/>
                <w:sz w:val="20"/>
                <w:szCs w:val="20"/>
                <w:lang w:val="fr-CA" w:eastAsia="en-CA"/>
              </w:rPr>
              <w:t>9</w:t>
            </w:r>
            <w:r w:rsidR="00DC4453">
              <w:rPr>
                <w:iCs/>
                <w:color w:val="000000"/>
                <w:sz w:val="20"/>
                <w:szCs w:val="20"/>
                <w:lang w:val="fr-CA" w:eastAsia="en-CA"/>
              </w:rPr>
              <w:t> </w:t>
            </w:r>
            <w:r w:rsidRPr="00802AF9">
              <w:rPr>
                <w:iCs/>
                <w:color w:val="000000"/>
                <w:sz w:val="20"/>
                <w:szCs w:val="20"/>
                <w:lang w:val="fr-CA" w:eastAsia="en-CA"/>
              </w:rPr>
              <w:t>278</w:t>
            </w:r>
          </w:p>
        </w:tc>
        <w:tc>
          <w:tcPr>
            <w:tcW w:w="665" w:type="pct"/>
            <w:tcMar>
              <w:left w:w="115" w:type="dxa"/>
              <w:right w:w="173" w:type="dxa"/>
            </w:tcMar>
          </w:tcPr>
          <w:p w14:paraId="22EFB2E0" w14:textId="15753490"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9</w:t>
            </w:r>
            <w:r w:rsidR="00DC4453">
              <w:rPr>
                <w:iCs/>
                <w:color w:val="000000"/>
                <w:sz w:val="20"/>
                <w:szCs w:val="20"/>
                <w:lang w:val="fr-CA" w:eastAsia="en-CA"/>
              </w:rPr>
              <w:t> </w:t>
            </w:r>
            <w:r w:rsidRPr="00802AF9">
              <w:rPr>
                <w:iCs/>
                <w:color w:val="000000"/>
                <w:sz w:val="20"/>
                <w:szCs w:val="20"/>
                <w:lang w:val="fr-CA" w:eastAsia="en-CA"/>
              </w:rPr>
              <w:t>513</w:t>
            </w:r>
          </w:p>
        </w:tc>
        <w:tc>
          <w:tcPr>
            <w:tcW w:w="665" w:type="pct"/>
            <w:tcMar>
              <w:left w:w="115" w:type="dxa"/>
              <w:right w:w="173" w:type="dxa"/>
            </w:tcMar>
          </w:tcPr>
          <w:p w14:paraId="60ADF0CC" w14:textId="3C69F556"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9</w:t>
            </w:r>
            <w:r w:rsidR="00DC4453">
              <w:rPr>
                <w:iCs/>
                <w:color w:val="000000"/>
                <w:sz w:val="20"/>
                <w:szCs w:val="20"/>
                <w:lang w:val="fr-CA" w:eastAsia="en-CA"/>
              </w:rPr>
              <w:t> </w:t>
            </w:r>
            <w:r w:rsidRPr="00802AF9">
              <w:rPr>
                <w:iCs/>
                <w:color w:val="000000"/>
                <w:sz w:val="20"/>
                <w:szCs w:val="20"/>
                <w:lang w:val="fr-CA" w:eastAsia="en-CA"/>
              </w:rPr>
              <w:t>826</w:t>
            </w:r>
          </w:p>
        </w:tc>
        <w:tc>
          <w:tcPr>
            <w:tcW w:w="665" w:type="pct"/>
            <w:tcMar>
              <w:left w:w="115" w:type="dxa"/>
              <w:right w:w="173" w:type="dxa"/>
            </w:tcMar>
          </w:tcPr>
          <w:p w14:paraId="0BFBAF82" w14:textId="387329D9" w:rsidR="0029763D" w:rsidRPr="00802AF9" w:rsidRDefault="0029763D" w:rsidP="003F073E">
            <w:pPr>
              <w:widowControl w:val="0"/>
              <w:jc w:val="right"/>
              <w:rPr>
                <w:rFonts w:eastAsiaTheme="minorHAnsi"/>
                <w:color w:val="000000"/>
                <w:sz w:val="20"/>
                <w:szCs w:val="20"/>
                <w:lang w:val="fr-CA"/>
              </w:rPr>
            </w:pPr>
            <w:r w:rsidRPr="00802AF9">
              <w:rPr>
                <w:rFonts w:eastAsiaTheme="minorHAnsi"/>
                <w:color w:val="000000"/>
                <w:sz w:val="20"/>
                <w:szCs w:val="20"/>
                <w:lang w:val="fr-CA"/>
              </w:rPr>
              <w:t>9</w:t>
            </w:r>
            <w:r w:rsidR="00DC4453">
              <w:rPr>
                <w:rFonts w:eastAsiaTheme="minorHAnsi"/>
                <w:color w:val="000000"/>
                <w:sz w:val="20"/>
                <w:szCs w:val="20"/>
                <w:lang w:val="fr-CA"/>
              </w:rPr>
              <w:t> </w:t>
            </w:r>
            <w:r w:rsidRPr="00802AF9">
              <w:rPr>
                <w:rFonts w:eastAsiaTheme="minorHAnsi"/>
                <w:color w:val="000000"/>
                <w:sz w:val="20"/>
                <w:szCs w:val="20"/>
                <w:lang w:val="fr-CA"/>
              </w:rPr>
              <w:t>551</w:t>
            </w:r>
          </w:p>
        </w:tc>
        <w:tc>
          <w:tcPr>
            <w:tcW w:w="666" w:type="pct"/>
            <w:shd w:val="clear" w:color="auto" w:fill="auto"/>
            <w:noWrap/>
            <w:tcMar>
              <w:left w:w="115" w:type="dxa"/>
              <w:right w:w="173" w:type="dxa"/>
            </w:tcMar>
          </w:tcPr>
          <w:p w14:paraId="5188C932" w14:textId="21DEF658"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11</w:t>
            </w:r>
            <w:r w:rsidR="00DC4453">
              <w:rPr>
                <w:iCs/>
                <w:color w:val="000000"/>
                <w:sz w:val="20"/>
                <w:szCs w:val="20"/>
                <w:lang w:val="fr-CA" w:eastAsia="en-CA"/>
              </w:rPr>
              <w:t> </w:t>
            </w:r>
            <w:r w:rsidRPr="00802AF9">
              <w:rPr>
                <w:iCs/>
                <w:color w:val="000000"/>
                <w:sz w:val="20"/>
                <w:szCs w:val="20"/>
                <w:lang w:val="fr-CA" w:eastAsia="en-CA"/>
              </w:rPr>
              <w:t>495</w:t>
            </w:r>
          </w:p>
        </w:tc>
      </w:tr>
      <w:tr w:rsidR="0029763D" w:rsidRPr="00802AF9" w14:paraId="4EC612FF" w14:textId="77777777" w:rsidTr="003F073E">
        <w:trPr>
          <w:trHeight w:val="197"/>
        </w:trPr>
        <w:tc>
          <w:tcPr>
            <w:tcW w:w="1009" w:type="pct"/>
            <w:shd w:val="clear" w:color="auto" w:fill="auto"/>
            <w:noWrap/>
            <w:hideMark/>
          </w:tcPr>
          <w:p w14:paraId="6E03E444"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HCFC-123</w:t>
            </w:r>
          </w:p>
        </w:tc>
        <w:tc>
          <w:tcPr>
            <w:tcW w:w="665" w:type="pct"/>
            <w:shd w:val="clear" w:color="auto" w:fill="auto"/>
            <w:noWrap/>
            <w:tcMar>
              <w:left w:w="115" w:type="dxa"/>
              <w:right w:w="173" w:type="dxa"/>
            </w:tcMar>
          </w:tcPr>
          <w:p w14:paraId="2658F865" w14:textId="77777777" w:rsidR="0029763D" w:rsidRPr="00802AF9" w:rsidRDefault="0029763D" w:rsidP="003F073E">
            <w:pPr>
              <w:widowControl w:val="0"/>
              <w:jc w:val="right"/>
              <w:rPr>
                <w:sz w:val="20"/>
                <w:szCs w:val="20"/>
                <w:lang w:val="fr-CA"/>
              </w:rPr>
            </w:pPr>
            <w:r w:rsidRPr="00802AF9">
              <w:rPr>
                <w:sz w:val="20"/>
                <w:szCs w:val="20"/>
                <w:lang w:val="fr-CA"/>
              </w:rPr>
              <w:t>18</w:t>
            </w:r>
          </w:p>
        </w:tc>
        <w:tc>
          <w:tcPr>
            <w:tcW w:w="665" w:type="pct"/>
            <w:shd w:val="clear" w:color="auto" w:fill="auto"/>
            <w:noWrap/>
            <w:tcMar>
              <w:left w:w="115" w:type="dxa"/>
              <w:right w:w="173" w:type="dxa"/>
            </w:tcMar>
          </w:tcPr>
          <w:p w14:paraId="3E3DFF8D" w14:textId="77777777" w:rsidR="0029763D" w:rsidRPr="00802AF9" w:rsidRDefault="0029763D" w:rsidP="003F073E">
            <w:pPr>
              <w:widowControl w:val="0"/>
              <w:jc w:val="right"/>
              <w:rPr>
                <w:sz w:val="20"/>
                <w:szCs w:val="20"/>
                <w:lang w:val="fr-CA"/>
              </w:rPr>
            </w:pPr>
            <w:r w:rsidRPr="00802AF9">
              <w:rPr>
                <w:iCs/>
                <w:color w:val="000000"/>
                <w:sz w:val="20"/>
                <w:szCs w:val="20"/>
                <w:lang w:val="fr-CA" w:eastAsia="en-CA"/>
              </w:rPr>
              <w:t>19</w:t>
            </w:r>
          </w:p>
        </w:tc>
        <w:tc>
          <w:tcPr>
            <w:tcW w:w="665" w:type="pct"/>
            <w:tcMar>
              <w:left w:w="115" w:type="dxa"/>
              <w:right w:w="173" w:type="dxa"/>
            </w:tcMar>
          </w:tcPr>
          <w:p w14:paraId="6B819B49"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20</w:t>
            </w:r>
          </w:p>
        </w:tc>
        <w:tc>
          <w:tcPr>
            <w:tcW w:w="665" w:type="pct"/>
            <w:tcMar>
              <w:left w:w="115" w:type="dxa"/>
              <w:right w:w="173" w:type="dxa"/>
            </w:tcMar>
          </w:tcPr>
          <w:p w14:paraId="662F4244"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20</w:t>
            </w:r>
          </w:p>
        </w:tc>
        <w:tc>
          <w:tcPr>
            <w:tcW w:w="665" w:type="pct"/>
            <w:tcMar>
              <w:left w:w="115" w:type="dxa"/>
              <w:right w:w="173" w:type="dxa"/>
            </w:tcMar>
          </w:tcPr>
          <w:p w14:paraId="3E0E298F" w14:textId="77777777" w:rsidR="0029763D" w:rsidRPr="00802AF9" w:rsidRDefault="0029763D" w:rsidP="003F073E">
            <w:pPr>
              <w:widowControl w:val="0"/>
              <w:jc w:val="right"/>
              <w:rPr>
                <w:rFonts w:eastAsiaTheme="minorHAnsi"/>
                <w:color w:val="000000"/>
                <w:sz w:val="20"/>
                <w:szCs w:val="20"/>
                <w:lang w:val="fr-CA"/>
              </w:rPr>
            </w:pPr>
            <w:r w:rsidRPr="00802AF9">
              <w:rPr>
                <w:rFonts w:eastAsiaTheme="minorHAnsi"/>
                <w:color w:val="000000"/>
                <w:sz w:val="20"/>
                <w:szCs w:val="20"/>
                <w:lang w:val="fr-CA"/>
              </w:rPr>
              <w:t>19</w:t>
            </w:r>
          </w:p>
        </w:tc>
        <w:tc>
          <w:tcPr>
            <w:tcW w:w="666" w:type="pct"/>
            <w:shd w:val="clear" w:color="auto" w:fill="auto"/>
            <w:noWrap/>
            <w:tcMar>
              <w:left w:w="115" w:type="dxa"/>
              <w:right w:w="173" w:type="dxa"/>
            </w:tcMar>
          </w:tcPr>
          <w:p w14:paraId="405D1A48"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10</w:t>
            </w:r>
          </w:p>
        </w:tc>
      </w:tr>
      <w:tr w:rsidR="0029763D" w:rsidRPr="00802AF9" w14:paraId="5350D9E2" w14:textId="77777777" w:rsidTr="003F073E">
        <w:trPr>
          <w:trHeight w:val="124"/>
        </w:trPr>
        <w:tc>
          <w:tcPr>
            <w:tcW w:w="1009" w:type="pct"/>
            <w:shd w:val="clear" w:color="auto" w:fill="auto"/>
            <w:noWrap/>
            <w:hideMark/>
          </w:tcPr>
          <w:p w14:paraId="1FD3AE7C"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HCFC-124</w:t>
            </w:r>
          </w:p>
        </w:tc>
        <w:tc>
          <w:tcPr>
            <w:tcW w:w="665" w:type="pct"/>
            <w:shd w:val="clear" w:color="auto" w:fill="auto"/>
            <w:noWrap/>
            <w:tcMar>
              <w:left w:w="115" w:type="dxa"/>
              <w:right w:w="173" w:type="dxa"/>
            </w:tcMar>
          </w:tcPr>
          <w:p w14:paraId="16D98977" w14:textId="77777777" w:rsidR="0029763D" w:rsidRPr="00802AF9" w:rsidRDefault="0029763D" w:rsidP="003F073E">
            <w:pPr>
              <w:widowControl w:val="0"/>
              <w:jc w:val="right"/>
              <w:rPr>
                <w:sz w:val="20"/>
                <w:szCs w:val="20"/>
                <w:lang w:val="fr-CA"/>
              </w:rPr>
            </w:pPr>
            <w:r w:rsidRPr="00802AF9">
              <w:rPr>
                <w:sz w:val="20"/>
                <w:szCs w:val="20"/>
                <w:lang w:val="fr-CA"/>
              </w:rPr>
              <w:t>(1)</w:t>
            </w:r>
          </w:p>
        </w:tc>
        <w:tc>
          <w:tcPr>
            <w:tcW w:w="665" w:type="pct"/>
            <w:shd w:val="clear" w:color="auto" w:fill="auto"/>
            <w:noWrap/>
            <w:tcMar>
              <w:left w:w="115" w:type="dxa"/>
              <w:right w:w="173" w:type="dxa"/>
            </w:tcMar>
          </w:tcPr>
          <w:p w14:paraId="327B5979" w14:textId="77777777" w:rsidR="0029763D" w:rsidRPr="00802AF9" w:rsidRDefault="0029763D" w:rsidP="003F073E">
            <w:pPr>
              <w:widowControl w:val="0"/>
              <w:jc w:val="right"/>
              <w:rPr>
                <w:sz w:val="20"/>
                <w:szCs w:val="20"/>
                <w:lang w:val="fr-CA"/>
              </w:rPr>
            </w:pPr>
            <w:r w:rsidRPr="00802AF9">
              <w:rPr>
                <w:iCs/>
                <w:color w:val="000000"/>
                <w:sz w:val="20"/>
                <w:szCs w:val="20"/>
                <w:lang w:val="fr-CA" w:eastAsia="en-CA"/>
              </w:rPr>
              <w:t>1</w:t>
            </w:r>
          </w:p>
        </w:tc>
        <w:tc>
          <w:tcPr>
            <w:tcW w:w="665" w:type="pct"/>
            <w:tcMar>
              <w:left w:w="115" w:type="dxa"/>
              <w:right w:w="173" w:type="dxa"/>
            </w:tcMar>
          </w:tcPr>
          <w:p w14:paraId="4124361F"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(0.13)</w:t>
            </w:r>
          </w:p>
        </w:tc>
        <w:tc>
          <w:tcPr>
            <w:tcW w:w="665" w:type="pct"/>
            <w:tcMar>
              <w:left w:w="115" w:type="dxa"/>
              <w:right w:w="173" w:type="dxa"/>
            </w:tcMar>
          </w:tcPr>
          <w:p w14:paraId="253D21D3"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0.12</w:t>
            </w:r>
          </w:p>
        </w:tc>
        <w:tc>
          <w:tcPr>
            <w:tcW w:w="665" w:type="pct"/>
            <w:tcMar>
              <w:left w:w="115" w:type="dxa"/>
              <w:right w:w="173" w:type="dxa"/>
            </w:tcMar>
          </w:tcPr>
          <w:p w14:paraId="354757F8" w14:textId="77777777" w:rsidR="0029763D" w:rsidRPr="00802AF9" w:rsidRDefault="0029763D" w:rsidP="003F073E">
            <w:pPr>
              <w:widowControl w:val="0"/>
              <w:jc w:val="right"/>
              <w:rPr>
                <w:rFonts w:eastAsiaTheme="minorHAnsi"/>
                <w:color w:val="000000"/>
                <w:sz w:val="20"/>
                <w:szCs w:val="20"/>
                <w:lang w:val="fr-CA"/>
              </w:rPr>
            </w:pPr>
            <w:r w:rsidRPr="00802AF9">
              <w:rPr>
                <w:rFonts w:eastAsiaTheme="minorHAnsi"/>
                <w:color w:val="000000"/>
                <w:sz w:val="20"/>
                <w:szCs w:val="20"/>
                <w:lang w:val="fr-CA"/>
              </w:rPr>
              <w:t>0.83</w:t>
            </w:r>
          </w:p>
        </w:tc>
        <w:tc>
          <w:tcPr>
            <w:tcW w:w="666" w:type="pct"/>
            <w:shd w:val="clear" w:color="auto" w:fill="auto"/>
            <w:noWrap/>
            <w:tcMar>
              <w:left w:w="115" w:type="dxa"/>
              <w:right w:w="173" w:type="dxa"/>
            </w:tcMar>
          </w:tcPr>
          <w:p w14:paraId="0D06A767" w14:textId="77777777"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3</w:t>
            </w:r>
          </w:p>
        </w:tc>
      </w:tr>
      <w:tr w:rsidR="0029763D" w:rsidRPr="00802AF9" w14:paraId="67CEECE0" w14:textId="77777777" w:rsidTr="003F073E">
        <w:trPr>
          <w:trHeight w:val="143"/>
        </w:trPr>
        <w:tc>
          <w:tcPr>
            <w:tcW w:w="1009" w:type="pct"/>
            <w:shd w:val="clear" w:color="auto" w:fill="auto"/>
            <w:noWrap/>
            <w:hideMark/>
          </w:tcPr>
          <w:p w14:paraId="5FC3872B" w14:textId="77777777" w:rsidR="0029763D" w:rsidRPr="00802AF9" w:rsidRDefault="0029763D" w:rsidP="003F073E">
            <w:pPr>
              <w:widowControl w:val="0"/>
              <w:jc w:val="left"/>
              <w:rPr>
                <w:color w:val="000000"/>
                <w:sz w:val="20"/>
                <w:szCs w:val="20"/>
                <w:lang w:val="fr-CA" w:eastAsia="en-CA"/>
              </w:rPr>
            </w:pPr>
            <w:r w:rsidRPr="00802AF9">
              <w:rPr>
                <w:color w:val="000000"/>
                <w:sz w:val="20"/>
                <w:szCs w:val="20"/>
                <w:lang w:val="fr-CA" w:eastAsia="en-CA"/>
              </w:rPr>
              <w:t>HCFC-141b</w:t>
            </w:r>
          </w:p>
        </w:tc>
        <w:tc>
          <w:tcPr>
            <w:tcW w:w="665" w:type="pct"/>
            <w:shd w:val="clear" w:color="auto" w:fill="auto"/>
            <w:noWrap/>
            <w:tcMar>
              <w:left w:w="115" w:type="dxa"/>
              <w:right w:w="173" w:type="dxa"/>
            </w:tcMar>
          </w:tcPr>
          <w:p w14:paraId="6B25752E" w14:textId="0BFB0086" w:rsidR="0029763D" w:rsidRPr="00802AF9" w:rsidRDefault="0029763D" w:rsidP="003F073E">
            <w:pPr>
              <w:widowControl w:val="0"/>
              <w:jc w:val="right"/>
              <w:rPr>
                <w:sz w:val="20"/>
                <w:szCs w:val="20"/>
                <w:lang w:val="fr-CA"/>
              </w:rPr>
            </w:pPr>
            <w:r w:rsidRPr="00802AF9">
              <w:rPr>
                <w:sz w:val="20"/>
                <w:szCs w:val="20"/>
                <w:lang w:val="fr-CA"/>
              </w:rPr>
              <w:t>4</w:t>
            </w:r>
            <w:r w:rsidR="00DC4453">
              <w:rPr>
                <w:sz w:val="20"/>
                <w:szCs w:val="20"/>
                <w:lang w:val="fr-CA"/>
              </w:rPr>
              <w:t> </w:t>
            </w:r>
            <w:r w:rsidRPr="00802AF9">
              <w:rPr>
                <w:sz w:val="20"/>
                <w:szCs w:val="20"/>
                <w:lang w:val="fr-CA"/>
              </w:rPr>
              <w:t>244</w:t>
            </w:r>
          </w:p>
        </w:tc>
        <w:tc>
          <w:tcPr>
            <w:tcW w:w="665" w:type="pct"/>
            <w:shd w:val="clear" w:color="auto" w:fill="auto"/>
            <w:noWrap/>
            <w:tcMar>
              <w:left w:w="115" w:type="dxa"/>
              <w:right w:w="173" w:type="dxa"/>
            </w:tcMar>
          </w:tcPr>
          <w:p w14:paraId="170D4985" w14:textId="0D50C618" w:rsidR="0029763D" w:rsidRPr="00802AF9" w:rsidRDefault="0029763D" w:rsidP="003F073E">
            <w:pPr>
              <w:widowControl w:val="0"/>
              <w:jc w:val="right"/>
              <w:rPr>
                <w:sz w:val="20"/>
                <w:szCs w:val="20"/>
                <w:lang w:val="fr-CA"/>
              </w:rPr>
            </w:pPr>
            <w:r w:rsidRPr="00802AF9">
              <w:rPr>
                <w:iCs/>
                <w:color w:val="000000"/>
                <w:sz w:val="20"/>
                <w:szCs w:val="20"/>
                <w:lang w:val="fr-CA" w:eastAsia="en-CA"/>
              </w:rPr>
              <w:t>4</w:t>
            </w:r>
            <w:r w:rsidR="00DC4453">
              <w:rPr>
                <w:iCs/>
                <w:color w:val="000000"/>
                <w:sz w:val="20"/>
                <w:szCs w:val="20"/>
                <w:lang w:val="fr-CA" w:eastAsia="en-CA"/>
              </w:rPr>
              <w:t> </w:t>
            </w:r>
            <w:r w:rsidRPr="00802AF9">
              <w:rPr>
                <w:iCs/>
                <w:color w:val="000000"/>
                <w:sz w:val="20"/>
                <w:szCs w:val="20"/>
                <w:lang w:val="fr-CA" w:eastAsia="en-CA"/>
              </w:rPr>
              <w:t>306</w:t>
            </w:r>
          </w:p>
        </w:tc>
        <w:tc>
          <w:tcPr>
            <w:tcW w:w="665" w:type="pct"/>
            <w:tcMar>
              <w:left w:w="115" w:type="dxa"/>
              <w:right w:w="173" w:type="dxa"/>
            </w:tcMar>
          </w:tcPr>
          <w:p w14:paraId="73CA24B1" w14:textId="2A9110F8"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4</w:t>
            </w:r>
            <w:r w:rsidR="00DC4453">
              <w:rPr>
                <w:iCs/>
                <w:color w:val="000000"/>
                <w:sz w:val="20"/>
                <w:szCs w:val="20"/>
                <w:lang w:val="fr-CA" w:eastAsia="en-CA"/>
              </w:rPr>
              <w:t> </w:t>
            </w:r>
            <w:r w:rsidRPr="00802AF9">
              <w:rPr>
                <w:iCs/>
                <w:color w:val="000000"/>
                <w:sz w:val="20"/>
                <w:szCs w:val="20"/>
                <w:lang w:val="fr-CA" w:eastAsia="en-CA"/>
              </w:rPr>
              <w:t>404</w:t>
            </w:r>
          </w:p>
        </w:tc>
        <w:tc>
          <w:tcPr>
            <w:tcW w:w="665" w:type="pct"/>
            <w:tcMar>
              <w:left w:w="115" w:type="dxa"/>
              <w:right w:w="173" w:type="dxa"/>
            </w:tcMar>
          </w:tcPr>
          <w:p w14:paraId="2CEE8F0A" w14:textId="5AF9A6B9"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4</w:t>
            </w:r>
            <w:r w:rsidR="00DC4453">
              <w:rPr>
                <w:iCs/>
                <w:color w:val="000000"/>
                <w:sz w:val="20"/>
                <w:szCs w:val="20"/>
                <w:lang w:val="fr-CA" w:eastAsia="en-CA"/>
              </w:rPr>
              <w:t> </w:t>
            </w:r>
            <w:r w:rsidRPr="00802AF9">
              <w:rPr>
                <w:iCs/>
                <w:color w:val="000000"/>
                <w:sz w:val="20"/>
                <w:szCs w:val="20"/>
                <w:lang w:val="fr-CA" w:eastAsia="en-CA"/>
              </w:rPr>
              <w:t>186</w:t>
            </w:r>
          </w:p>
        </w:tc>
        <w:tc>
          <w:tcPr>
            <w:tcW w:w="665" w:type="pct"/>
            <w:tcMar>
              <w:left w:w="115" w:type="dxa"/>
              <w:right w:w="173" w:type="dxa"/>
            </w:tcMar>
          </w:tcPr>
          <w:p w14:paraId="56F24C79" w14:textId="17B64972" w:rsidR="0029763D" w:rsidRPr="00802AF9" w:rsidRDefault="0029763D" w:rsidP="003F073E">
            <w:pPr>
              <w:widowControl w:val="0"/>
              <w:jc w:val="right"/>
              <w:rPr>
                <w:rFonts w:eastAsiaTheme="minorHAnsi"/>
                <w:color w:val="000000"/>
                <w:sz w:val="20"/>
                <w:szCs w:val="20"/>
                <w:lang w:val="fr-CA"/>
              </w:rPr>
            </w:pPr>
            <w:r w:rsidRPr="00802AF9">
              <w:rPr>
                <w:rFonts w:eastAsiaTheme="minorHAnsi"/>
                <w:color w:val="000000"/>
                <w:sz w:val="20"/>
                <w:szCs w:val="20"/>
                <w:lang w:val="fr-CA"/>
              </w:rPr>
              <w:t>4</w:t>
            </w:r>
            <w:r w:rsidR="00DC4453">
              <w:rPr>
                <w:rFonts w:eastAsiaTheme="minorHAnsi"/>
                <w:color w:val="000000"/>
                <w:sz w:val="20"/>
                <w:szCs w:val="20"/>
                <w:lang w:val="fr-CA"/>
              </w:rPr>
              <w:t> </w:t>
            </w:r>
            <w:r w:rsidRPr="00802AF9">
              <w:rPr>
                <w:rFonts w:eastAsiaTheme="minorHAnsi"/>
                <w:color w:val="000000"/>
                <w:sz w:val="20"/>
                <w:szCs w:val="20"/>
                <w:lang w:val="fr-CA"/>
              </w:rPr>
              <w:t>229</w:t>
            </w:r>
          </w:p>
        </w:tc>
        <w:tc>
          <w:tcPr>
            <w:tcW w:w="666" w:type="pct"/>
            <w:shd w:val="clear" w:color="auto" w:fill="auto"/>
            <w:noWrap/>
            <w:tcMar>
              <w:left w:w="115" w:type="dxa"/>
              <w:right w:w="173" w:type="dxa"/>
            </w:tcMar>
          </w:tcPr>
          <w:p w14:paraId="286C8FA1" w14:textId="0BE29C6A" w:rsidR="0029763D" w:rsidRPr="00802AF9" w:rsidRDefault="0029763D" w:rsidP="003F073E">
            <w:pPr>
              <w:widowControl w:val="0"/>
              <w:jc w:val="right"/>
              <w:rPr>
                <w:iCs/>
                <w:color w:val="000000"/>
                <w:sz w:val="20"/>
                <w:szCs w:val="20"/>
                <w:lang w:val="fr-CA" w:eastAsia="en-CA"/>
              </w:rPr>
            </w:pPr>
            <w:r w:rsidRPr="00802AF9">
              <w:rPr>
                <w:iCs/>
                <w:color w:val="000000"/>
                <w:sz w:val="20"/>
                <w:szCs w:val="20"/>
                <w:lang w:val="fr-CA" w:eastAsia="en-CA"/>
              </w:rPr>
              <w:t>5</w:t>
            </w:r>
            <w:r w:rsidR="00DC4453">
              <w:rPr>
                <w:iCs/>
                <w:color w:val="000000"/>
                <w:sz w:val="20"/>
                <w:szCs w:val="20"/>
                <w:lang w:val="fr-CA" w:eastAsia="en-CA"/>
              </w:rPr>
              <w:t> </w:t>
            </w:r>
            <w:r w:rsidRPr="00802AF9">
              <w:rPr>
                <w:iCs/>
                <w:color w:val="000000"/>
                <w:sz w:val="20"/>
                <w:szCs w:val="20"/>
                <w:lang w:val="fr-CA" w:eastAsia="en-CA"/>
              </w:rPr>
              <w:t>885</w:t>
            </w:r>
          </w:p>
        </w:tc>
      </w:tr>
      <w:tr w:rsidR="0029763D" w:rsidRPr="00802AF9" w14:paraId="6EBFD3AA" w14:textId="77777777" w:rsidTr="003F073E">
        <w:trPr>
          <w:trHeight w:val="82"/>
        </w:trPr>
        <w:tc>
          <w:tcPr>
            <w:tcW w:w="1009" w:type="pct"/>
            <w:shd w:val="clear" w:color="auto" w:fill="auto"/>
            <w:noWrap/>
            <w:hideMark/>
          </w:tcPr>
          <w:p w14:paraId="086241F8"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HCFC-142b</w:t>
            </w:r>
          </w:p>
        </w:tc>
        <w:tc>
          <w:tcPr>
            <w:tcW w:w="665" w:type="pct"/>
            <w:shd w:val="clear" w:color="auto" w:fill="auto"/>
            <w:noWrap/>
            <w:tcMar>
              <w:left w:w="115" w:type="dxa"/>
              <w:right w:w="173" w:type="dxa"/>
            </w:tcMar>
          </w:tcPr>
          <w:p w14:paraId="3C896C7C" w14:textId="77777777" w:rsidR="0029763D" w:rsidRPr="00802AF9" w:rsidRDefault="0029763D" w:rsidP="003F073E">
            <w:pPr>
              <w:jc w:val="right"/>
              <w:rPr>
                <w:sz w:val="20"/>
                <w:szCs w:val="20"/>
                <w:lang w:val="fr-CA"/>
              </w:rPr>
            </w:pPr>
            <w:r w:rsidRPr="00802AF9">
              <w:rPr>
                <w:sz w:val="20"/>
                <w:szCs w:val="20"/>
                <w:lang w:val="fr-CA"/>
              </w:rPr>
              <w:t>755</w:t>
            </w:r>
          </w:p>
        </w:tc>
        <w:tc>
          <w:tcPr>
            <w:tcW w:w="665" w:type="pct"/>
            <w:shd w:val="clear" w:color="auto" w:fill="auto"/>
            <w:noWrap/>
            <w:tcMar>
              <w:left w:w="115" w:type="dxa"/>
              <w:right w:w="173" w:type="dxa"/>
            </w:tcMar>
          </w:tcPr>
          <w:p w14:paraId="7F139D05" w14:textId="77777777" w:rsidR="0029763D" w:rsidRPr="00802AF9" w:rsidRDefault="0029763D" w:rsidP="003F073E">
            <w:pPr>
              <w:jc w:val="right"/>
              <w:rPr>
                <w:sz w:val="20"/>
                <w:szCs w:val="20"/>
                <w:lang w:val="fr-CA"/>
              </w:rPr>
            </w:pPr>
            <w:r w:rsidRPr="00802AF9">
              <w:rPr>
                <w:iCs/>
                <w:color w:val="000000"/>
                <w:sz w:val="20"/>
                <w:szCs w:val="20"/>
                <w:lang w:val="fr-CA" w:eastAsia="en-CA"/>
              </w:rPr>
              <w:t>616</w:t>
            </w:r>
          </w:p>
        </w:tc>
        <w:tc>
          <w:tcPr>
            <w:tcW w:w="665" w:type="pct"/>
            <w:tcMar>
              <w:left w:w="115" w:type="dxa"/>
              <w:right w:w="173" w:type="dxa"/>
            </w:tcMar>
          </w:tcPr>
          <w:p w14:paraId="2E7BD010" w14:textId="77777777" w:rsidR="0029763D" w:rsidRPr="00802AF9" w:rsidRDefault="0029763D" w:rsidP="003F073E">
            <w:pPr>
              <w:jc w:val="right"/>
              <w:rPr>
                <w:iCs/>
                <w:color w:val="000000"/>
                <w:sz w:val="20"/>
                <w:szCs w:val="20"/>
                <w:lang w:val="fr-CA" w:eastAsia="en-CA"/>
              </w:rPr>
            </w:pPr>
            <w:r w:rsidRPr="00802AF9">
              <w:rPr>
                <w:iCs/>
                <w:color w:val="000000"/>
                <w:sz w:val="20"/>
                <w:szCs w:val="20"/>
                <w:lang w:val="fr-CA" w:eastAsia="en-CA"/>
              </w:rPr>
              <w:t>666</w:t>
            </w:r>
          </w:p>
        </w:tc>
        <w:tc>
          <w:tcPr>
            <w:tcW w:w="665" w:type="pct"/>
            <w:tcMar>
              <w:left w:w="115" w:type="dxa"/>
              <w:right w:w="173" w:type="dxa"/>
            </w:tcMar>
          </w:tcPr>
          <w:p w14:paraId="5EE9CA68" w14:textId="77777777" w:rsidR="0029763D" w:rsidRPr="00802AF9" w:rsidRDefault="0029763D" w:rsidP="003F073E">
            <w:pPr>
              <w:jc w:val="right"/>
              <w:rPr>
                <w:iCs/>
                <w:color w:val="000000"/>
                <w:sz w:val="20"/>
                <w:szCs w:val="20"/>
                <w:lang w:val="fr-CA" w:eastAsia="en-CA"/>
              </w:rPr>
            </w:pPr>
            <w:r w:rsidRPr="00802AF9">
              <w:rPr>
                <w:iCs/>
                <w:color w:val="000000"/>
                <w:sz w:val="20"/>
                <w:szCs w:val="20"/>
                <w:lang w:val="fr-CA" w:eastAsia="en-CA"/>
              </w:rPr>
              <w:t>349</w:t>
            </w:r>
          </w:p>
        </w:tc>
        <w:tc>
          <w:tcPr>
            <w:tcW w:w="665" w:type="pct"/>
            <w:tcMar>
              <w:left w:w="115" w:type="dxa"/>
              <w:right w:w="173" w:type="dxa"/>
            </w:tcMar>
          </w:tcPr>
          <w:p w14:paraId="4A06D464" w14:textId="77777777" w:rsidR="0029763D" w:rsidRPr="00802AF9" w:rsidRDefault="0029763D" w:rsidP="003F073E">
            <w:pPr>
              <w:jc w:val="right"/>
              <w:rPr>
                <w:rFonts w:eastAsiaTheme="minorHAnsi"/>
                <w:color w:val="000000"/>
                <w:sz w:val="20"/>
                <w:szCs w:val="20"/>
                <w:lang w:val="fr-CA"/>
              </w:rPr>
            </w:pPr>
            <w:r w:rsidRPr="00802AF9">
              <w:rPr>
                <w:rFonts w:eastAsiaTheme="minorHAnsi"/>
                <w:color w:val="000000"/>
                <w:sz w:val="20"/>
                <w:szCs w:val="20"/>
                <w:lang w:val="fr-CA"/>
              </w:rPr>
              <w:t>422</w:t>
            </w:r>
          </w:p>
        </w:tc>
        <w:tc>
          <w:tcPr>
            <w:tcW w:w="666" w:type="pct"/>
            <w:shd w:val="clear" w:color="auto" w:fill="auto"/>
            <w:noWrap/>
            <w:tcMar>
              <w:left w:w="115" w:type="dxa"/>
              <w:right w:w="173" w:type="dxa"/>
            </w:tcMar>
          </w:tcPr>
          <w:p w14:paraId="030EEDA7" w14:textId="39A5A864" w:rsidR="0029763D" w:rsidRPr="00802AF9" w:rsidRDefault="0029763D" w:rsidP="003F073E">
            <w:pPr>
              <w:jc w:val="right"/>
              <w:rPr>
                <w:iCs/>
                <w:color w:val="000000"/>
                <w:sz w:val="20"/>
                <w:szCs w:val="20"/>
                <w:lang w:val="fr-CA" w:eastAsia="en-CA"/>
              </w:rPr>
            </w:pPr>
            <w:r w:rsidRPr="00802AF9">
              <w:rPr>
                <w:iCs/>
                <w:color w:val="000000"/>
                <w:sz w:val="20"/>
                <w:szCs w:val="20"/>
                <w:lang w:val="fr-CA" w:eastAsia="en-CA"/>
              </w:rPr>
              <w:t>1</w:t>
            </w:r>
            <w:r w:rsidR="00DC4453">
              <w:rPr>
                <w:iCs/>
                <w:color w:val="000000"/>
                <w:sz w:val="20"/>
                <w:szCs w:val="20"/>
                <w:lang w:val="fr-CA" w:eastAsia="en-CA"/>
              </w:rPr>
              <w:t> </w:t>
            </w:r>
            <w:r w:rsidRPr="00802AF9">
              <w:rPr>
                <w:iCs/>
                <w:color w:val="000000"/>
                <w:sz w:val="20"/>
                <w:szCs w:val="20"/>
                <w:lang w:val="fr-CA" w:eastAsia="en-CA"/>
              </w:rPr>
              <w:t>471</w:t>
            </w:r>
          </w:p>
        </w:tc>
      </w:tr>
      <w:tr w:rsidR="0029763D" w:rsidRPr="00802AF9" w14:paraId="161F7EB3" w14:textId="77777777" w:rsidTr="003F073E">
        <w:trPr>
          <w:trHeight w:val="217"/>
        </w:trPr>
        <w:tc>
          <w:tcPr>
            <w:tcW w:w="1009" w:type="pct"/>
            <w:shd w:val="clear" w:color="auto" w:fill="auto"/>
            <w:noWrap/>
            <w:hideMark/>
          </w:tcPr>
          <w:p w14:paraId="50282336"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HCFC-225ca/cb</w:t>
            </w:r>
          </w:p>
        </w:tc>
        <w:tc>
          <w:tcPr>
            <w:tcW w:w="665" w:type="pct"/>
            <w:shd w:val="clear" w:color="auto" w:fill="auto"/>
            <w:noWrap/>
            <w:tcMar>
              <w:left w:w="115" w:type="dxa"/>
              <w:right w:w="173" w:type="dxa"/>
            </w:tcMar>
          </w:tcPr>
          <w:p w14:paraId="2EDBA22A" w14:textId="77777777" w:rsidR="0029763D" w:rsidRPr="00802AF9" w:rsidRDefault="0029763D" w:rsidP="003F073E">
            <w:pPr>
              <w:jc w:val="right"/>
              <w:rPr>
                <w:sz w:val="20"/>
                <w:szCs w:val="20"/>
                <w:lang w:val="fr-CA"/>
              </w:rPr>
            </w:pPr>
            <w:r w:rsidRPr="00802AF9">
              <w:rPr>
                <w:sz w:val="20"/>
                <w:szCs w:val="20"/>
                <w:lang w:val="fr-CA"/>
              </w:rPr>
              <w:t>1</w:t>
            </w:r>
          </w:p>
        </w:tc>
        <w:tc>
          <w:tcPr>
            <w:tcW w:w="665" w:type="pct"/>
            <w:shd w:val="clear" w:color="auto" w:fill="auto"/>
            <w:noWrap/>
            <w:tcMar>
              <w:left w:w="115" w:type="dxa"/>
              <w:right w:w="173" w:type="dxa"/>
            </w:tcMar>
          </w:tcPr>
          <w:p w14:paraId="3AE8ED0A" w14:textId="77777777" w:rsidR="0029763D" w:rsidRPr="00802AF9" w:rsidRDefault="0029763D" w:rsidP="003F073E">
            <w:pPr>
              <w:jc w:val="right"/>
              <w:rPr>
                <w:sz w:val="20"/>
                <w:szCs w:val="20"/>
                <w:lang w:val="fr-CA"/>
              </w:rPr>
            </w:pPr>
            <w:r w:rsidRPr="00802AF9">
              <w:rPr>
                <w:iCs/>
                <w:color w:val="000000"/>
                <w:sz w:val="20"/>
                <w:szCs w:val="20"/>
                <w:lang w:val="fr-CA" w:eastAsia="en-CA"/>
              </w:rPr>
              <w:t>1</w:t>
            </w:r>
          </w:p>
        </w:tc>
        <w:tc>
          <w:tcPr>
            <w:tcW w:w="665" w:type="pct"/>
            <w:tcMar>
              <w:left w:w="115" w:type="dxa"/>
              <w:right w:w="173" w:type="dxa"/>
            </w:tcMar>
          </w:tcPr>
          <w:p w14:paraId="14DA72ED" w14:textId="77777777" w:rsidR="0029763D" w:rsidRPr="00802AF9" w:rsidRDefault="0029763D" w:rsidP="003F073E">
            <w:pPr>
              <w:jc w:val="right"/>
              <w:rPr>
                <w:iCs/>
                <w:color w:val="000000"/>
                <w:sz w:val="20"/>
                <w:szCs w:val="20"/>
                <w:lang w:val="fr-CA" w:eastAsia="en-CA"/>
              </w:rPr>
            </w:pPr>
            <w:r w:rsidRPr="00802AF9">
              <w:rPr>
                <w:iCs/>
                <w:color w:val="000000"/>
                <w:sz w:val="20"/>
                <w:szCs w:val="20"/>
                <w:lang w:val="fr-CA" w:eastAsia="en-CA"/>
              </w:rPr>
              <w:t>1</w:t>
            </w:r>
          </w:p>
        </w:tc>
        <w:tc>
          <w:tcPr>
            <w:tcW w:w="665" w:type="pct"/>
            <w:tcMar>
              <w:left w:w="115" w:type="dxa"/>
              <w:right w:w="173" w:type="dxa"/>
            </w:tcMar>
          </w:tcPr>
          <w:p w14:paraId="1B779CDB" w14:textId="77777777" w:rsidR="0029763D" w:rsidRPr="00802AF9" w:rsidRDefault="0029763D" w:rsidP="003F073E">
            <w:pPr>
              <w:jc w:val="right"/>
              <w:rPr>
                <w:iCs/>
                <w:color w:val="000000"/>
                <w:sz w:val="20"/>
                <w:szCs w:val="20"/>
                <w:lang w:val="fr-CA" w:eastAsia="en-CA"/>
              </w:rPr>
            </w:pPr>
            <w:r w:rsidRPr="00802AF9">
              <w:rPr>
                <w:iCs/>
                <w:color w:val="000000"/>
                <w:sz w:val="20"/>
                <w:szCs w:val="20"/>
                <w:lang w:val="fr-CA" w:eastAsia="en-CA"/>
              </w:rPr>
              <w:t>1</w:t>
            </w:r>
          </w:p>
        </w:tc>
        <w:tc>
          <w:tcPr>
            <w:tcW w:w="665" w:type="pct"/>
            <w:tcMar>
              <w:left w:w="115" w:type="dxa"/>
              <w:right w:w="173" w:type="dxa"/>
            </w:tcMar>
          </w:tcPr>
          <w:p w14:paraId="56C93E38" w14:textId="77777777" w:rsidR="0029763D" w:rsidRPr="00802AF9" w:rsidRDefault="0029763D" w:rsidP="003F073E">
            <w:pPr>
              <w:jc w:val="right"/>
              <w:rPr>
                <w:rFonts w:eastAsiaTheme="minorHAnsi"/>
                <w:color w:val="000000"/>
                <w:sz w:val="20"/>
                <w:szCs w:val="20"/>
                <w:lang w:val="fr-CA"/>
              </w:rPr>
            </w:pPr>
            <w:r w:rsidRPr="00802AF9">
              <w:rPr>
                <w:rFonts w:eastAsiaTheme="minorHAnsi"/>
                <w:color w:val="000000"/>
                <w:sz w:val="20"/>
                <w:szCs w:val="20"/>
                <w:lang w:val="fr-CA"/>
              </w:rPr>
              <w:t>0.017</w:t>
            </w:r>
          </w:p>
        </w:tc>
        <w:tc>
          <w:tcPr>
            <w:tcW w:w="666" w:type="pct"/>
            <w:shd w:val="clear" w:color="auto" w:fill="auto"/>
            <w:noWrap/>
            <w:tcMar>
              <w:left w:w="115" w:type="dxa"/>
              <w:right w:w="173" w:type="dxa"/>
            </w:tcMar>
          </w:tcPr>
          <w:p w14:paraId="0164E12F" w14:textId="77777777" w:rsidR="0029763D" w:rsidRPr="00802AF9" w:rsidRDefault="0029763D" w:rsidP="003F073E">
            <w:pPr>
              <w:jc w:val="right"/>
              <w:rPr>
                <w:iCs/>
                <w:color w:val="000000"/>
                <w:sz w:val="20"/>
                <w:szCs w:val="20"/>
                <w:lang w:val="fr-CA" w:eastAsia="en-CA"/>
              </w:rPr>
            </w:pPr>
            <w:r w:rsidRPr="00802AF9">
              <w:rPr>
                <w:iCs/>
                <w:color w:val="000000"/>
                <w:sz w:val="20"/>
                <w:szCs w:val="20"/>
                <w:lang w:val="fr-CA" w:eastAsia="en-CA"/>
              </w:rPr>
              <w:t>1</w:t>
            </w:r>
          </w:p>
        </w:tc>
      </w:tr>
      <w:tr w:rsidR="0029763D" w:rsidRPr="00802AF9" w14:paraId="6E78679E" w14:textId="77777777" w:rsidTr="003F073E">
        <w:trPr>
          <w:trHeight w:val="152"/>
        </w:trPr>
        <w:tc>
          <w:tcPr>
            <w:tcW w:w="1009" w:type="pct"/>
            <w:shd w:val="clear" w:color="auto" w:fill="auto"/>
            <w:noWrap/>
            <w:hideMark/>
          </w:tcPr>
          <w:p w14:paraId="514C5C77" w14:textId="77777777" w:rsidR="0029763D" w:rsidRPr="00802AF9" w:rsidRDefault="0029763D" w:rsidP="003F073E">
            <w:pPr>
              <w:jc w:val="left"/>
              <w:rPr>
                <w:b/>
                <w:bCs/>
                <w:color w:val="000000"/>
                <w:sz w:val="20"/>
                <w:szCs w:val="20"/>
                <w:lang w:val="fr-CA" w:eastAsia="en-CA"/>
              </w:rPr>
            </w:pPr>
            <w:r w:rsidRPr="00802AF9">
              <w:rPr>
                <w:b/>
                <w:bCs/>
                <w:color w:val="000000"/>
                <w:sz w:val="20"/>
                <w:szCs w:val="20"/>
                <w:lang w:val="fr-CA" w:eastAsia="en-CA"/>
              </w:rPr>
              <w:t>Total</w:t>
            </w:r>
          </w:p>
        </w:tc>
        <w:tc>
          <w:tcPr>
            <w:tcW w:w="665" w:type="pct"/>
            <w:shd w:val="clear" w:color="auto" w:fill="auto"/>
            <w:noWrap/>
            <w:tcMar>
              <w:left w:w="115" w:type="dxa"/>
              <w:right w:w="173" w:type="dxa"/>
            </w:tcMar>
          </w:tcPr>
          <w:p w14:paraId="7984127D" w14:textId="7D0A34EE" w:rsidR="0029763D" w:rsidRPr="00802AF9" w:rsidRDefault="0029763D" w:rsidP="003F073E">
            <w:pPr>
              <w:jc w:val="right"/>
              <w:rPr>
                <w:b/>
                <w:sz w:val="20"/>
                <w:szCs w:val="20"/>
                <w:lang w:val="fr-CA"/>
              </w:rPr>
            </w:pPr>
            <w:r w:rsidRPr="00802AF9">
              <w:rPr>
                <w:b/>
                <w:sz w:val="20"/>
                <w:szCs w:val="20"/>
                <w:lang w:val="fr-CA"/>
              </w:rPr>
              <w:t>13</w:t>
            </w:r>
            <w:r w:rsidR="00DC4453">
              <w:rPr>
                <w:b/>
                <w:sz w:val="20"/>
                <w:szCs w:val="20"/>
                <w:lang w:val="fr-CA"/>
              </w:rPr>
              <w:t> </w:t>
            </w:r>
            <w:r w:rsidRPr="00802AF9">
              <w:rPr>
                <w:b/>
                <w:sz w:val="20"/>
                <w:szCs w:val="20"/>
                <w:lang w:val="fr-CA"/>
              </w:rPr>
              <w:t>485</w:t>
            </w:r>
          </w:p>
        </w:tc>
        <w:tc>
          <w:tcPr>
            <w:tcW w:w="665" w:type="pct"/>
            <w:shd w:val="clear" w:color="auto" w:fill="auto"/>
            <w:noWrap/>
            <w:tcMar>
              <w:left w:w="115" w:type="dxa"/>
              <w:right w:w="173" w:type="dxa"/>
            </w:tcMar>
          </w:tcPr>
          <w:p w14:paraId="5AC6320E" w14:textId="347CF844" w:rsidR="0029763D" w:rsidRPr="00802AF9" w:rsidRDefault="0029763D" w:rsidP="003F073E">
            <w:pPr>
              <w:jc w:val="right"/>
              <w:rPr>
                <w:b/>
                <w:sz w:val="20"/>
                <w:szCs w:val="20"/>
                <w:lang w:val="fr-CA"/>
              </w:rPr>
            </w:pPr>
            <w:r w:rsidRPr="00802AF9">
              <w:rPr>
                <w:b/>
                <w:bCs/>
                <w:iCs/>
                <w:color w:val="000000"/>
                <w:sz w:val="20"/>
                <w:szCs w:val="20"/>
                <w:lang w:val="fr-CA" w:eastAsia="en-CA"/>
              </w:rPr>
              <w:t>14</w:t>
            </w:r>
            <w:r w:rsidR="00DC4453">
              <w:rPr>
                <w:b/>
                <w:bCs/>
                <w:iCs/>
                <w:color w:val="000000"/>
                <w:sz w:val="20"/>
                <w:szCs w:val="20"/>
                <w:lang w:val="fr-CA" w:eastAsia="en-CA"/>
              </w:rPr>
              <w:t> </w:t>
            </w:r>
            <w:r w:rsidRPr="00802AF9">
              <w:rPr>
                <w:b/>
                <w:bCs/>
                <w:iCs/>
                <w:color w:val="000000"/>
                <w:sz w:val="20"/>
                <w:szCs w:val="20"/>
                <w:lang w:val="fr-CA" w:eastAsia="en-CA"/>
              </w:rPr>
              <w:t>221</w:t>
            </w:r>
          </w:p>
        </w:tc>
        <w:tc>
          <w:tcPr>
            <w:tcW w:w="665" w:type="pct"/>
            <w:tcMar>
              <w:left w:w="115" w:type="dxa"/>
              <w:right w:w="173" w:type="dxa"/>
            </w:tcMar>
          </w:tcPr>
          <w:p w14:paraId="007B2B9D" w14:textId="5FA31B1F" w:rsidR="0029763D" w:rsidRPr="00802AF9" w:rsidRDefault="0029763D" w:rsidP="003F073E">
            <w:pPr>
              <w:jc w:val="right"/>
              <w:rPr>
                <w:b/>
                <w:bCs/>
                <w:iCs/>
                <w:color w:val="000000"/>
                <w:sz w:val="20"/>
                <w:szCs w:val="20"/>
                <w:lang w:val="fr-CA" w:eastAsia="en-CA"/>
              </w:rPr>
            </w:pPr>
            <w:r w:rsidRPr="00802AF9">
              <w:rPr>
                <w:b/>
                <w:bCs/>
                <w:iCs/>
                <w:color w:val="000000"/>
                <w:sz w:val="20"/>
                <w:szCs w:val="20"/>
                <w:lang w:val="fr-CA" w:eastAsia="en-CA"/>
              </w:rPr>
              <w:t>14</w:t>
            </w:r>
            <w:r w:rsidR="00DC4453">
              <w:rPr>
                <w:b/>
                <w:bCs/>
                <w:iCs/>
                <w:color w:val="000000"/>
                <w:sz w:val="20"/>
                <w:szCs w:val="20"/>
                <w:lang w:val="fr-CA" w:eastAsia="en-CA"/>
              </w:rPr>
              <w:t> </w:t>
            </w:r>
            <w:r w:rsidRPr="00802AF9">
              <w:rPr>
                <w:b/>
                <w:bCs/>
                <w:iCs/>
                <w:color w:val="000000"/>
                <w:sz w:val="20"/>
                <w:szCs w:val="20"/>
                <w:lang w:val="fr-CA" w:eastAsia="en-CA"/>
              </w:rPr>
              <w:t>604</w:t>
            </w:r>
          </w:p>
        </w:tc>
        <w:tc>
          <w:tcPr>
            <w:tcW w:w="665" w:type="pct"/>
            <w:tcMar>
              <w:left w:w="115" w:type="dxa"/>
              <w:right w:w="173" w:type="dxa"/>
            </w:tcMar>
          </w:tcPr>
          <w:p w14:paraId="1044E86D" w14:textId="34DCB839" w:rsidR="0029763D" w:rsidRPr="00802AF9" w:rsidRDefault="0029763D" w:rsidP="003F073E">
            <w:pPr>
              <w:jc w:val="right"/>
              <w:rPr>
                <w:b/>
                <w:bCs/>
                <w:iCs/>
                <w:color w:val="000000"/>
                <w:sz w:val="20"/>
                <w:szCs w:val="20"/>
                <w:lang w:val="fr-CA" w:eastAsia="en-CA"/>
              </w:rPr>
            </w:pPr>
            <w:r w:rsidRPr="00802AF9">
              <w:rPr>
                <w:b/>
                <w:bCs/>
                <w:iCs/>
                <w:color w:val="000000"/>
                <w:sz w:val="20"/>
                <w:szCs w:val="20"/>
                <w:lang w:val="fr-CA" w:eastAsia="en-CA"/>
              </w:rPr>
              <w:t>14</w:t>
            </w:r>
            <w:r w:rsidR="00DC4453">
              <w:rPr>
                <w:b/>
                <w:bCs/>
                <w:iCs/>
                <w:color w:val="000000"/>
                <w:sz w:val="20"/>
                <w:szCs w:val="20"/>
                <w:lang w:val="fr-CA" w:eastAsia="en-CA"/>
              </w:rPr>
              <w:t> </w:t>
            </w:r>
            <w:r w:rsidRPr="00802AF9">
              <w:rPr>
                <w:b/>
                <w:bCs/>
                <w:iCs/>
                <w:color w:val="000000"/>
                <w:sz w:val="20"/>
                <w:szCs w:val="20"/>
                <w:lang w:val="fr-CA" w:eastAsia="en-CA"/>
              </w:rPr>
              <w:t>382</w:t>
            </w:r>
          </w:p>
        </w:tc>
        <w:tc>
          <w:tcPr>
            <w:tcW w:w="665" w:type="pct"/>
            <w:tcMar>
              <w:left w:w="115" w:type="dxa"/>
              <w:right w:w="173" w:type="dxa"/>
            </w:tcMar>
          </w:tcPr>
          <w:p w14:paraId="3E954E87" w14:textId="5C31350A" w:rsidR="0029763D" w:rsidRPr="00802AF9" w:rsidRDefault="0029763D" w:rsidP="003F073E">
            <w:pPr>
              <w:jc w:val="right"/>
              <w:rPr>
                <w:b/>
                <w:bCs/>
                <w:iCs/>
                <w:color w:val="000000"/>
                <w:sz w:val="20"/>
                <w:szCs w:val="20"/>
                <w:lang w:val="fr-CA" w:eastAsia="en-CA"/>
              </w:rPr>
            </w:pPr>
            <w:r w:rsidRPr="00802AF9">
              <w:rPr>
                <w:b/>
                <w:bCs/>
                <w:iCs/>
                <w:color w:val="000000"/>
                <w:sz w:val="20"/>
                <w:szCs w:val="20"/>
                <w:lang w:val="fr-CA" w:eastAsia="en-CA"/>
              </w:rPr>
              <w:t>14</w:t>
            </w:r>
            <w:r w:rsidR="00DC4453">
              <w:rPr>
                <w:b/>
                <w:bCs/>
                <w:iCs/>
                <w:color w:val="000000"/>
                <w:sz w:val="20"/>
                <w:szCs w:val="20"/>
                <w:lang w:val="fr-CA" w:eastAsia="en-CA"/>
              </w:rPr>
              <w:t> </w:t>
            </w:r>
            <w:r w:rsidRPr="00802AF9">
              <w:rPr>
                <w:b/>
                <w:bCs/>
                <w:iCs/>
                <w:color w:val="000000"/>
                <w:sz w:val="20"/>
                <w:szCs w:val="20"/>
                <w:lang w:val="fr-CA" w:eastAsia="en-CA"/>
              </w:rPr>
              <w:t>223</w:t>
            </w:r>
          </w:p>
        </w:tc>
        <w:tc>
          <w:tcPr>
            <w:tcW w:w="666" w:type="pct"/>
            <w:shd w:val="clear" w:color="auto" w:fill="auto"/>
            <w:noWrap/>
            <w:tcMar>
              <w:left w:w="115" w:type="dxa"/>
              <w:right w:w="173" w:type="dxa"/>
            </w:tcMar>
          </w:tcPr>
          <w:p w14:paraId="00F2677A" w14:textId="52D03FCF" w:rsidR="0029763D" w:rsidRPr="00802AF9" w:rsidRDefault="0029763D" w:rsidP="003F073E">
            <w:pPr>
              <w:jc w:val="right"/>
              <w:rPr>
                <w:b/>
                <w:bCs/>
                <w:iCs/>
                <w:color w:val="000000"/>
                <w:sz w:val="20"/>
                <w:szCs w:val="20"/>
                <w:lang w:val="fr-CA" w:eastAsia="en-CA"/>
              </w:rPr>
            </w:pPr>
            <w:r w:rsidRPr="00802AF9">
              <w:rPr>
                <w:b/>
                <w:bCs/>
                <w:iCs/>
                <w:color w:val="000000"/>
                <w:sz w:val="20"/>
                <w:szCs w:val="20"/>
                <w:lang w:val="fr-CA" w:eastAsia="en-CA"/>
              </w:rPr>
              <w:t>18</w:t>
            </w:r>
            <w:r w:rsidR="00DC4453">
              <w:rPr>
                <w:b/>
                <w:bCs/>
                <w:iCs/>
                <w:color w:val="000000"/>
                <w:sz w:val="20"/>
                <w:szCs w:val="20"/>
                <w:lang w:val="fr-CA" w:eastAsia="en-CA"/>
              </w:rPr>
              <w:t> </w:t>
            </w:r>
            <w:r w:rsidRPr="00802AF9">
              <w:rPr>
                <w:b/>
                <w:bCs/>
                <w:iCs/>
                <w:color w:val="000000"/>
                <w:sz w:val="20"/>
                <w:szCs w:val="20"/>
                <w:lang w:val="fr-CA" w:eastAsia="en-CA"/>
              </w:rPr>
              <w:t>865</w:t>
            </w:r>
          </w:p>
        </w:tc>
      </w:tr>
    </w:tbl>
    <w:p w14:paraId="1C2C105D" w14:textId="5CC1FD67" w:rsidR="0029763D" w:rsidRPr="00802AF9" w:rsidRDefault="0029763D" w:rsidP="0029763D">
      <w:pPr>
        <w:rPr>
          <w:strike/>
          <w:sz w:val="18"/>
          <w:szCs w:val="18"/>
          <w:lang w:val="fr-CA"/>
        </w:rPr>
      </w:pPr>
      <w:r w:rsidRPr="00802AF9">
        <w:rPr>
          <w:sz w:val="18"/>
          <w:szCs w:val="18"/>
          <w:vertAlign w:val="superscript"/>
          <w:lang w:val="fr-CA"/>
        </w:rPr>
        <w:t xml:space="preserve">* </w:t>
      </w:r>
      <w:r w:rsidR="00DC4453">
        <w:rPr>
          <w:sz w:val="18"/>
          <w:szCs w:val="18"/>
          <w:lang w:val="fr-CA"/>
        </w:rPr>
        <w:t>Le</w:t>
      </w:r>
      <w:r w:rsidRPr="00802AF9">
        <w:rPr>
          <w:sz w:val="18"/>
          <w:szCs w:val="18"/>
          <w:lang w:val="fr-CA"/>
        </w:rPr>
        <w:t xml:space="preserve"> </w:t>
      </w:r>
      <w:r w:rsidR="00494A38" w:rsidRPr="00802AF9">
        <w:rPr>
          <w:sz w:val="18"/>
          <w:szCs w:val="18"/>
          <w:lang w:val="fr-CA"/>
        </w:rPr>
        <w:t>Gouvernement</w:t>
      </w:r>
      <w:r w:rsidRPr="00802AF9">
        <w:rPr>
          <w:sz w:val="18"/>
          <w:szCs w:val="18"/>
          <w:lang w:val="fr-CA"/>
        </w:rPr>
        <w:t xml:space="preserve"> </w:t>
      </w:r>
      <w:r w:rsidR="00DC4453">
        <w:rPr>
          <w:sz w:val="18"/>
          <w:szCs w:val="18"/>
          <w:lang w:val="fr-CA"/>
        </w:rPr>
        <w:t>de la</w:t>
      </w:r>
      <w:r w:rsidRPr="00802AF9">
        <w:rPr>
          <w:sz w:val="18"/>
          <w:szCs w:val="18"/>
          <w:lang w:val="fr-CA"/>
        </w:rPr>
        <w:t xml:space="preserve"> </w:t>
      </w:r>
      <w:r w:rsidR="00494A38" w:rsidRPr="00802AF9">
        <w:rPr>
          <w:sz w:val="18"/>
          <w:szCs w:val="18"/>
          <w:lang w:val="fr-CA"/>
        </w:rPr>
        <w:t>Chine</w:t>
      </w:r>
      <w:r w:rsidRPr="00802AF9">
        <w:rPr>
          <w:sz w:val="18"/>
          <w:szCs w:val="18"/>
          <w:lang w:val="fr-CA"/>
        </w:rPr>
        <w:t xml:space="preserve"> </w:t>
      </w:r>
      <w:r w:rsidR="00DC4453">
        <w:rPr>
          <w:sz w:val="18"/>
          <w:szCs w:val="18"/>
          <w:lang w:val="fr-CA"/>
        </w:rPr>
        <w:t xml:space="preserve">avait </w:t>
      </w:r>
      <w:r w:rsidR="00393030">
        <w:rPr>
          <w:sz w:val="18"/>
          <w:szCs w:val="18"/>
          <w:lang w:val="fr-CA"/>
        </w:rPr>
        <w:t>indiqu</w:t>
      </w:r>
      <w:r w:rsidR="00DC4453">
        <w:rPr>
          <w:sz w:val="18"/>
          <w:szCs w:val="18"/>
          <w:lang w:val="fr-CA"/>
        </w:rPr>
        <w:t xml:space="preserve">é une </w:t>
      </w:r>
      <w:r w:rsidR="00825570" w:rsidRPr="00802AF9">
        <w:rPr>
          <w:sz w:val="18"/>
          <w:szCs w:val="18"/>
          <w:lang w:val="fr-CA"/>
        </w:rPr>
        <w:t>consommation</w:t>
      </w:r>
      <w:r w:rsidRPr="00802AF9">
        <w:rPr>
          <w:sz w:val="18"/>
          <w:szCs w:val="18"/>
          <w:lang w:val="fr-CA"/>
        </w:rPr>
        <w:t xml:space="preserve"> </w:t>
      </w:r>
      <w:r w:rsidR="00DC4453">
        <w:rPr>
          <w:sz w:val="18"/>
          <w:szCs w:val="18"/>
          <w:lang w:val="fr-CA"/>
        </w:rPr>
        <w:t xml:space="preserve">de </w:t>
      </w:r>
      <w:r w:rsidRPr="00802AF9">
        <w:rPr>
          <w:sz w:val="18"/>
          <w:szCs w:val="18"/>
          <w:lang w:val="fr-CA"/>
        </w:rPr>
        <w:t>173</w:t>
      </w:r>
      <w:r w:rsidR="00DC4453">
        <w:rPr>
          <w:sz w:val="18"/>
          <w:szCs w:val="18"/>
          <w:lang w:val="fr-CA"/>
        </w:rPr>
        <w:t> </w:t>
      </w:r>
      <w:r w:rsidRPr="00802AF9">
        <w:rPr>
          <w:sz w:val="18"/>
          <w:szCs w:val="18"/>
          <w:lang w:val="fr-CA"/>
        </w:rPr>
        <w:t>662 </w:t>
      </w:r>
      <w:r w:rsidR="00DC4453">
        <w:rPr>
          <w:sz w:val="18"/>
          <w:szCs w:val="18"/>
          <w:lang w:val="fr-CA"/>
        </w:rPr>
        <w:t>t</w:t>
      </w:r>
      <w:r w:rsidRPr="00802AF9">
        <w:rPr>
          <w:sz w:val="18"/>
          <w:szCs w:val="18"/>
          <w:lang w:val="fr-CA"/>
        </w:rPr>
        <w:t xml:space="preserve">m </w:t>
      </w:r>
      <w:r w:rsidR="00DC4453">
        <w:rPr>
          <w:sz w:val="18"/>
          <w:szCs w:val="18"/>
          <w:lang w:val="fr-CA"/>
        </w:rPr>
        <w:t xml:space="preserve">dans son rapport de PP pour </w:t>
      </w:r>
      <w:r w:rsidRPr="00802AF9">
        <w:rPr>
          <w:sz w:val="18"/>
          <w:szCs w:val="18"/>
          <w:lang w:val="fr-CA"/>
        </w:rPr>
        <w:t xml:space="preserve">2019. </w:t>
      </w:r>
    </w:p>
    <w:p w14:paraId="617C7775" w14:textId="77777777" w:rsidR="0029763D" w:rsidRPr="00802AF9" w:rsidRDefault="0029763D" w:rsidP="0029763D">
      <w:pPr>
        <w:rPr>
          <w:lang w:val="fr-CA"/>
        </w:rPr>
      </w:pPr>
    </w:p>
    <w:p w14:paraId="7EFF9BC4" w14:textId="3B6E8D6D" w:rsidR="0029763D" w:rsidRPr="00802AF9" w:rsidRDefault="00393030" w:rsidP="0029763D">
      <w:pPr>
        <w:numPr>
          <w:ilvl w:val="0"/>
          <w:numId w:val="1"/>
        </w:numPr>
        <w:spacing w:after="240"/>
        <w:outlineLvl w:val="0"/>
        <w:rPr>
          <w:lang w:val="fr-CA"/>
        </w:rPr>
      </w:pPr>
      <w:r>
        <w:rPr>
          <w:lang w:val="fr-CA"/>
        </w:rPr>
        <w:t xml:space="preserve">La </w:t>
      </w:r>
      <w:r w:rsidR="00825570" w:rsidRPr="00802AF9">
        <w:rPr>
          <w:lang w:val="fr-CA"/>
        </w:rPr>
        <w:t>consommation</w:t>
      </w:r>
      <w:r w:rsidR="0029763D" w:rsidRPr="00802AF9">
        <w:rPr>
          <w:lang w:val="fr-CA"/>
        </w:rPr>
        <w:t xml:space="preserve"> </w:t>
      </w:r>
      <w:r>
        <w:rPr>
          <w:lang w:val="fr-CA"/>
        </w:rPr>
        <w:t xml:space="preserve">de </w:t>
      </w:r>
      <w:r w:rsidRPr="00802AF9">
        <w:rPr>
          <w:lang w:val="fr-CA"/>
        </w:rPr>
        <w:t xml:space="preserve">HCFC </w:t>
      </w:r>
      <w:r>
        <w:rPr>
          <w:lang w:val="fr-CA"/>
        </w:rPr>
        <w:t>e</w:t>
      </w:r>
      <w:r w:rsidR="0029763D" w:rsidRPr="00802AF9">
        <w:rPr>
          <w:lang w:val="fr-CA"/>
        </w:rPr>
        <w:t xml:space="preserve">n </w:t>
      </w:r>
      <w:r w:rsidR="00494A38" w:rsidRPr="00802AF9">
        <w:rPr>
          <w:lang w:val="fr-CA"/>
        </w:rPr>
        <w:t>Chine</w:t>
      </w:r>
      <w:r w:rsidR="0029763D" w:rsidRPr="00802AF9">
        <w:rPr>
          <w:lang w:val="fr-CA"/>
        </w:rPr>
        <w:t xml:space="preserve"> continue </w:t>
      </w:r>
      <w:r>
        <w:rPr>
          <w:lang w:val="fr-CA"/>
        </w:rPr>
        <w:t>d’être dominée par trois substances :</w:t>
      </w:r>
      <w:r w:rsidR="0029763D" w:rsidRPr="00802AF9">
        <w:rPr>
          <w:lang w:val="fr-CA"/>
        </w:rPr>
        <w:t xml:space="preserve"> HCFC-22, HCFC</w:t>
      </w:r>
      <w:r w:rsidR="0029763D" w:rsidRPr="00802AF9">
        <w:rPr>
          <w:lang w:val="fr-CA"/>
        </w:rPr>
        <w:noBreakHyphen/>
        <w:t xml:space="preserve">141b </w:t>
      </w:r>
      <w:r>
        <w:rPr>
          <w:lang w:val="fr-CA"/>
        </w:rPr>
        <w:t xml:space="preserve">et </w:t>
      </w:r>
      <w:r w:rsidR="0029763D" w:rsidRPr="00802AF9">
        <w:rPr>
          <w:lang w:val="fr-CA"/>
        </w:rPr>
        <w:t xml:space="preserve">HCFC-142b, </w:t>
      </w:r>
      <w:r>
        <w:rPr>
          <w:lang w:val="fr-CA"/>
        </w:rPr>
        <w:t xml:space="preserve">qui ensemble représentent </w:t>
      </w:r>
      <w:r w:rsidR="0029763D" w:rsidRPr="00802AF9">
        <w:rPr>
          <w:lang w:val="fr-CA"/>
        </w:rPr>
        <w:t>99</w:t>
      </w:r>
      <w:r>
        <w:rPr>
          <w:lang w:val="fr-CA"/>
        </w:rPr>
        <w:t>,</w:t>
      </w:r>
      <w:r w:rsidR="0029763D" w:rsidRPr="00802AF9">
        <w:rPr>
          <w:lang w:val="fr-CA"/>
        </w:rPr>
        <w:t>9</w:t>
      </w:r>
      <w:r>
        <w:rPr>
          <w:lang w:val="fr-CA"/>
        </w:rPr>
        <w:t> </w:t>
      </w:r>
      <w:r w:rsidR="00BA5233">
        <w:rPr>
          <w:lang w:val="fr-CA"/>
        </w:rPr>
        <w:t>pour cent</w:t>
      </w:r>
      <w:r>
        <w:rPr>
          <w:lang w:val="fr-CA"/>
        </w:rPr>
        <w:t xml:space="preserve"> de la </w:t>
      </w:r>
      <w:r w:rsidR="00825570" w:rsidRPr="00802AF9">
        <w:rPr>
          <w:lang w:val="fr-CA"/>
        </w:rPr>
        <w:t>consommation</w:t>
      </w:r>
      <w:r w:rsidR="0029763D" w:rsidRPr="00802AF9">
        <w:rPr>
          <w:lang w:val="fr-CA"/>
        </w:rPr>
        <w:t xml:space="preserve"> </w:t>
      </w:r>
      <w:r>
        <w:rPr>
          <w:lang w:val="fr-CA"/>
        </w:rPr>
        <w:t xml:space="preserve">nationale </w:t>
      </w:r>
      <w:r w:rsidR="0029763D" w:rsidRPr="00802AF9">
        <w:rPr>
          <w:lang w:val="fr-CA"/>
        </w:rPr>
        <w:t>(</w:t>
      </w:r>
      <w:r>
        <w:rPr>
          <w:lang w:val="fr-CA"/>
        </w:rPr>
        <w:t>e</w:t>
      </w:r>
      <w:r w:rsidR="0029763D" w:rsidRPr="00802AF9">
        <w:rPr>
          <w:lang w:val="fr-CA"/>
        </w:rPr>
        <w:t xml:space="preserve">n </w:t>
      </w:r>
      <w:r>
        <w:rPr>
          <w:lang w:val="fr-CA"/>
        </w:rPr>
        <w:t>t</w:t>
      </w:r>
      <w:r w:rsidR="00494A38" w:rsidRPr="00802AF9">
        <w:rPr>
          <w:lang w:val="fr-CA"/>
        </w:rPr>
        <w:t>onnes PAO</w:t>
      </w:r>
      <w:r w:rsidR="0029763D" w:rsidRPr="00802AF9">
        <w:rPr>
          <w:lang w:val="fr-CA"/>
        </w:rPr>
        <w:t xml:space="preserve">). </w:t>
      </w:r>
      <w:r>
        <w:rPr>
          <w:lang w:val="fr-CA"/>
        </w:rPr>
        <w:t xml:space="preserve">La </w:t>
      </w:r>
      <w:r w:rsidR="00825570" w:rsidRPr="00802AF9">
        <w:rPr>
          <w:lang w:val="fr-CA"/>
        </w:rPr>
        <w:t>consommation</w:t>
      </w:r>
      <w:r w:rsidR="0029763D" w:rsidRPr="00802AF9">
        <w:rPr>
          <w:lang w:val="fr-CA"/>
        </w:rPr>
        <w:t xml:space="preserve"> </w:t>
      </w:r>
      <w:r>
        <w:rPr>
          <w:lang w:val="fr-CA"/>
        </w:rPr>
        <w:t>globale de HCFC e</w:t>
      </w:r>
      <w:r w:rsidR="0029763D" w:rsidRPr="00802AF9">
        <w:rPr>
          <w:lang w:val="fr-CA"/>
        </w:rPr>
        <w:t xml:space="preserve">n 2019 </w:t>
      </w:r>
      <w:r>
        <w:rPr>
          <w:lang w:val="fr-CA"/>
        </w:rPr>
        <w:t>était marginalement plus faible qu’en</w:t>
      </w:r>
      <w:r w:rsidR="0029763D" w:rsidRPr="00802AF9">
        <w:rPr>
          <w:lang w:val="fr-CA"/>
        </w:rPr>
        <w:t xml:space="preserve"> 2018. </w:t>
      </w:r>
      <w:r>
        <w:rPr>
          <w:lang w:val="fr-CA"/>
        </w:rPr>
        <w:t xml:space="preserve">Malgré les fluctuations économiques, la </w:t>
      </w:r>
      <w:r w:rsidR="00494A38" w:rsidRPr="00802AF9">
        <w:rPr>
          <w:lang w:val="fr-CA"/>
        </w:rPr>
        <w:t>Chine</w:t>
      </w:r>
      <w:r w:rsidR="0029763D" w:rsidRPr="00802AF9">
        <w:rPr>
          <w:lang w:val="fr-CA"/>
        </w:rPr>
        <w:t xml:space="preserve"> continue</w:t>
      </w:r>
      <w:r>
        <w:rPr>
          <w:lang w:val="fr-CA"/>
        </w:rPr>
        <w:t xml:space="preserve"> de se conformer aux dispositions du </w:t>
      </w:r>
      <w:r w:rsidR="00494A38" w:rsidRPr="00802AF9">
        <w:rPr>
          <w:lang w:val="fr-CA"/>
        </w:rPr>
        <w:t>Protocole de Montréal</w:t>
      </w:r>
      <w:r w:rsidR="0029763D" w:rsidRPr="00802AF9">
        <w:rPr>
          <w:lang w:val="fr-CA"/>
        </w:rPr>
        <w:t xml:space="preserve"> </w:t>
      </w:r>
      <w:r>
        <w:rPr>
          <w:lang w:val="fr-CA"/>
        </w:rPr>
        <w:t xml:space="preserve">et de son Accord avec le </w:t>
      </w:r>
      <w:r w:rsidR="0014063A" w:rsidRPr="00802AF9">
        <w:rPr>
          <w:lang w:val="fr-CA"/>
        </w:rPr>
        <w:t>Comité exécutif</w:t>
      </w:r>
      <w:r w:rsidR="0029763D" w:rsidRPr="00802AF9">
        <w:rPr>
          <w:lang w:val="fr-CA"/>
        </w:rPr>
        <w:t xml:space="preserve"> </w:t>
      </w:r>
      <w:r>
        <w:rPr>
          <w:lang w:val="fr-CA"/>
        </w:rPr>
        <w:t xml:space="preserve">pour la </w:t>
      </w:r>
      <w:r w:rsidR="0014063A" w:rsidRPr="00802AF9">
        <w:rPr>
          <w:lang w:val="fr-CA"/>
        </w:rPr>
        <w:t>phase</w:t>
      </w:r>
      <w:r w:rsidR="0029763D" w:rsidRPr="00802AF9">
        <w:rPr>
          <w:lang w:val="fr-CA"/>
        </w:rPr>
        <w:t xml:space="preserve"> II </w:t>
      </w:r>
      <w:r>
        <w:rPr>
          <w:lang w:val="fr-CA"/>
        </w:rPr>
        <w:t xml:space="preserve">du </w:t>
      </w:r>
      <w:r w:rsidR="00494A38" w:rsidRPr="00802AF9">
        <w:rPr>
          <w:lang w:val="fr-CA"/>
        </w:rPr>
        <w:t>PGEH</w:t>
      </w:r>
      <w:r w:rsidR="0029763D" w:rsidRPr="00802AF9">
        <w:rPr>
          <w:lang w:val="fr-CA"/>
        </w:rPr>
        <w:t xml:space="preserve"> (</w:t>
      </w:r>
      <w:r>
        <w:rPr>
          <w:lang w:val="fr-CA"/>
        </w:rPr>
        <w:t xml:space="preserve">la </w:t>
      </w:r>
      <w:r w:rsidR="00825570" w:rsidRPr="00802AF9">
        <w:rPr>
          <w:lang w:val="fr-CA"/>
        </w:rPr>
        <w:t>consommation</w:t>
      </w:r>
      <w:r w:rsidR="0029763D" w:rsidRPr="00802AF9">
        <w:rPr>
          <w:lang w:val="fr-CA"/>
        </w:rPr>
        <w:t xml:space="preserve"> </w:t>
      </w:r>
      <w:r>
        <w:rPr>
          <w:lang w:val="fr-CA"/>
        </w:rPr>
        <w:t xml:space="preserve">visée la plus récente dans la </w:t>
      </w:r>
      <w:r w:rsidR="0014063A" w:rsidRPr="00802AF9">
        <w:rPr>
          <w:lang w:val="fr-CA"/>
        </w:rPr>
        <w:t>phase</w:t>
      </w:r>
      <w:r w:rsidR="0029763D" w:rsidRPr="00802AF9">
        <w:rPr>
          <w:lang w:val="fr-CA"/>
        </w:rPr>
        <w:t xml:space="preserve"> I </w:t>
      </w:r>
      <w:r>
        <w:rPr>
          <w:lang w:val="fr-CA"/>
        </w:rPr>
        <w:t xml:space="preserve">était celle de </w:t>
      </w:r>
      <w:r w:rsidR="0029763D" w:rsidRPr="00802AF9">
        <w:rPr>
          <w:lang w:val="fr-CA"/>
        </w:rPr>
        <w:t>2015).</w:t>
      </w:r>
    </w:p>
    <w:p w14:paraId="2F07AD5C" w14:textId="18AC9260" w:rsidR="0029763D" w:rsidRPr="00802AF9" w:rsidRDefault="00393030" w:rsidP="0029763D">
      <w:pPr>
        <w:widowControl w:val="0"/>
        <w:numPr>
          <w:ilvl w:val="0"/>
          <w:numId w:val="1"/>
        </w:numPr>
        <w:spacing w:after="240"/>
        <w:outlineLvl w:val="0"/>
        <w:rPr>
          <w:lang w:val="fr-CA"/>
        </w:rPr>
      </w:pPr>
      <w:r>
        <w:rPr>
          <w:lang w:val="fr-CA"/>
        </w:rPr>
        <w:t>L</w:t>
      </w:r>
      <w:r w:rsidR="0029763D" w:rsidRPr="00802AF9">
        <w:rPr>
          <w:lang w:val="fr-CA"/>
        </w:rPr>
        <w:t>e</w:t>
      </w:r>
      <w:r>
        <w:rPr>
          <w:lang w:val="fr-CA"/>
        </w:rPr>
        <w:t> Gouvernement de la Chine</w:t>
      </w:r>
      <w:r w:rsidR="0029763D" w:rsidRPr="00802AF9">
        <w:rPr>
          <w:lang w:val="fr-CA"/>
        </w:rPr>
        <w:t xml:space="preserve"> </w:t>
      </w:r>
      <w:r>
        <w:rPr>
          <w:lang w:val="fr-CA"/>
        </w:rPr>
        <w:t xml:space="preserve">a soumis les données de programme de pays (PP) pour </w:t>
      </w:r>
      <w:r w:rsidR="0029763D" w:rsidRPr="00802AF9">
        <w:rPr>
          <w:lang w:val="fr-CA"/>
        </w:rPr>
        <w:t xml:space="preserve">2019. </w:t>
      </w:r>
      <w:r>
        <w:rPr>
          <w:lang w:val="fr-CA"/>
        </w:rPr>
        <w:t xml:space="preserve">Le </w:t>
      </w:r>
      <w:r w:rsidR="0029763D" w:rsidRPr="00802AF9">
        <w:rPr>
          <w:lang w:val="fr-CA"/>
        </w:rPr>
        <w:t>Table</w:t>
      </w:r>
      <w:r>
        <w:rPr>
          <w:lang w:val="fr-CA"/>
        </w:rPr>
        <w:t>au</w:t>
      </w:r>
      <w:r w:rsidR="0029763D" w:rsidRPr="00802AF9">
        <w:rPr>
          <w:lang w:val="fr-CA"/>
        </w:rPr>
        <w:t> 4 pr</w:t>
      </w:r>
      <w:r>
        <w:rPr>
          <w:lang w:val="fr-CA"/>
        </w:rPr>
        <w:t>é</w:t>
      </w:r>
      <w:r w:rsidR="0029763D" w:rsidRPr="00802AF9">
        <w:rPr>
          <w:lang w:val="fr-CA"/>
        </w:rPr>
        <w:t>sent</w:t>
      </w:r>
      <w:r>
        <w:rPr>
          <w:lang w:val="fr-CA"/>
        </w:rPr>
        <w:t xml:space="preserve">e la </w:t>
      </w:r>
      <w:r w:rsidR="00825570" w:rsidRPr="00802AF9">
        <w:rPr>
          <w:lang w:val="fr-CA"/>
        </w:rPr>
        <w:t>consommation</w:t>
      </w:r>
      <w:r w:rsidR="0029763D" w:rsidRPr="00802AF9">
        <w:rPr>
          <w:lang w:val="fr-CA"/>
        </w:rPr>
        <w:t xml:space="preserve"> </w:t>
      </w:r>
      <w:r>
        <w:rPr>
          <w:lang w:val="fr-CA"/>
        </w:rPr>
        <w:t xml:space="preserve">de </w:t>
      </w:r>
      <w:r w:rsidRPr="00802AF9">
        <w:rPr>
          <w:lang w:val="fr-CA"/>
        </w:rPr>
        <w:t xml:space="preserve">HCFC </w:t>
      </w:r>
      <w:r w:rsidR="0029763D" w:rsidRPr="00802AF9">
        <w:rPr>
          <w:lang w:val="fr-CA"/>
        </w:rPr>
        <w:t>p</w:t>
      </w:r>
      <w:r>
        <w:rPr>
          <w:lang w:val="fr-CA"/>
        </w:rPr>
        <w:t>a</w:t>
      </w:r>
      <w:r w:rsidR="0029763D" w:rsidRPr="00802AF9">
        <w:rPr>
          <w:lang w:val="fr-CA"/>
        </w:rPr>
        <w:t>r sect</w:t>
      </w:r>
      <w:r>
        <w:rPr>
          <w:lang w:val="fr-CA"/>
        </w:rPr>
        <w:t>eu</w:t>
      </w:r>
      <w:r w:rsidR="0029763D" w:rsidRPr="00802AF9">
        <w:rPr>
          <w:lang w:val="fr-CA"/>
        </w:rPr>
        <w:t>r</w:t>
      </w:r>
      <w:r>
        <w:rPr>
          <w:lang w:val="fr-CA"/>
        </w:rPr>
        <w:t xml:space="preserve">, qui montre sa conformité aux limites de consommation du secteur de la fabrication établies dans son Accord avec le </w:t>
      </w:r>
      <w:r w:rsidR="0014063A" w:rsidRPr="00802AF9">
        <w:rPr>
          <w:lang w:val="fr-CA"/>
        </w:rPr>
        <w:t>Comité exécutif</w:t>
      </w:r>
      <w:r w:rsidR="0029763D" w:rsidRPr="00802AF9">
        <w:rPr>
          <w:lang w:val="fr-CA"/>
        </w:rPr>
        <w:t xml:space="preserve"> </w:t>
      </w:r>
      <w:r>
        <w:rPr>
          <w:lang w:val="fr-CA"/>
        </w:rPr>
        <w:t>pour la</w:t>
      </w:r>
      <w:r w:rsidR="0029763D" w:rsidRPr="00802AF9">
        <w:rPr>
          <w:lang w:val="fr-CA"/>
        </w:rPr>
        <w:t xml:space="preserve"> </w:t>
      </w:r>
      <w:r w:rsidR="0014063A" w:rsidRPr="00802AF9">
        <w:rPr>
          <w:lang w:val="fr-CA"/>
        </w:rPr>
        <w:t>phase</w:t>
      </w:r>
      <w:r w:rsidR="0029763D" w:rsidRPr="00802AF9">
        <w:rPr>
          <w:lang w:val="fr-CA"/>
        </w:rPr>
        <w:t xml:space="preserve"> II </w:t>
      </w:r>
      <w:r>
        <w:rPr>
          <w:lang w:val="fr-CA"/>
        </w:rPr>
        <w:t>du</w:t>
      </w:r>
      <w:r w:rsidR="0029763D" w:rsidRPr="00802AF9">
        <w:rPr>
          <w:lang w:val="fr-CA"/>
        </w:rPr>
        <w:t xml:space="preserve"> </w:t>
      </w:r>
      <w:r w:rsidR="00494A38" w:rsidRPr="00802AF9">
        <w:rPr>
          <w:lang w:val="fr-CA"/>
        </w:rPr>
        <w:t>PGEH</w:t>
      </w:r>
      <w:r w:rsidR="0029763D" w:rsidRPr="00802AF9">
        <w:rPr>
          <w:lang w:val="fr-CA"/>
        </w:rPr>
        <w:t>.</w:t>
      </w:r>
      <w:r w:rsidR="0029763D" w:rsidRPr="00BA5233">
        <w:rPr>
          <w:vertAlign w:val="superscript"/>
          <w:lang w:val="fr-CA"/>
        </w:rPr>
        <w:footnoteReference w:id="2"/>
      </w:r>
      <w:r w:rsidR="0029763D" w:rsidRPr="00802AF9">
        <w:rPr>
          <w:lang w:val="fr-CA"/>
        </w:rPr>
        <w:t xml:space="preserve"> </w:t>
      </w:r>
    </w:p>
    <w:p w14:paraId="54925F56" w14:textId="48579110" w:rsidR="0029763D" w:rsidRPr="00802AF9" w:rsidRDefault="0029763D" w:rsidP="0029763D">
      <w:pPr>
        <w:tabs>
          <w:tab w:val="left" w:pos="8442"/>
        </w:tabs>
        <w:rPr>
          <w:b/>
          <w:lang w:val="fr-CA"/>
        </w:rPr>
      </w:pPr>
      <w:r w:rsidRPr="00802AF9">
        <w:rPr>
          <w:b/>
          <w:lang w:val="fr-CA"/>
        </w:rPr>
        <w:t>Table</w:t>
      </w:r>
      <w:r w:rsidR="00731A32">
        <w:rPr>
          <w:b/>
          <w:lang w:val="fr-CA"/>
        </w:rPr>
        <w:t>au</w:t>
      </w:r>
      <w:r w:rsidRPr="00802AF9">
        <w:rPr>
          <w:b/>
          <w:lang w:val="fr-CA"/>
        </w:rPr>
        <w:t xml:space="preserve"> 4. </w:t>
      </w:r>
      <w:r w:rsidR="00731A32">
        <w:rPr>
          <w:b/>
          <w:lang w:val="fr-CA"/>
        </w:rPr>
        <w:t>C</w:t>
      </w:r>
      <w:r w:rsidR="00825570" w:rsidRPr="00802AF9">
        <w:rPr>
          <w:b/>
          <w:lang w:val="fr-CA"/>
        </w:rPr>
        <w:t>onsommation</w:t>
      </w:r>
      <w:r w:rsidRPr="00802AF9">
        <w:rPr>
          <w:b/>
          <w:lang w:val="fr-CA"/>
        </w:rPr>
        <w:t xml:space="preserve"> </w:t>
      </w:r>
      <w:r w:rsidR="00731A32">
        <w:rPr>
          <w:b/>
          <w:lang w:val="fr-CA"/>
        </w:rPr>
        <w:t xml:space="preserve">de </w:t>
      </w:r>
      <w:r w:rsidR="00731A32" w:rsidRPr="00802AF9">
        <w:rPr>
          <w:b/>
          <w:lang w:val="fr-CA"/>
        </w:rPr>
        <w:t xml:space="preserve">HCFC </w:t>
      </w:r>
      <w:r w:rsidRPr="00802AF9">
        <w:rPr>
          <w:b/>
          <w:lang w:val="fr-CA"/>
        </w:rPr>
        <w:t>p</w:t>
      </w:r>
      <w:r w:rsidR="00731A32">
        <w:rPr>
          <w:b/>
          <w:lang w:val="fr-CA"/>
        </w:rPr>
        <w:t>a</w:t>
      </w:r>
      <w:r w:rsidRPr="00802AF9">
        <w:rPr>
          <w:b/>
          <w:lang w:val="fr-CA"/>
        </w:rPr>
        <w:t>r sect</w:t>
      </w:r>
      <w:r w:rsidR="00731A32">
        <w:rPr>
          <w:b/>
          <w:lang w:val="fr-CA"/>
        </w:rPr>
        <w:t>eu</w:t>
      </w:r>
      <w:r w:rsidRPr="00802AF9">
        <w:rPr>
          <w:b/>
          <w:lang w:val="fr-CA"/>
        </w:rPr>
        <w:t xml:space="preserve">r </w:t>
      </w:r>
      <w:r w:rsidR="00731A32">
        <w:rPr>
          <w:b/>
          <w:lang w:val="fr-CA"/>
        </w:rPr>
        <w:t>e</w:t>
      </w:r>
      <w:r w:rsidRPr="00802AF9">
        <w:rPr>
          <w:b/>
          <w:lang w:val="fr-CA"/>
        </w:rPr>
        <w:t xml:space="preserve">n </w:t>
      </w:r>
      <w:r w:rsidR="00494A38" w:rsidRPr="00802AF9">
        <w:rPr>
          <w:b/>
          <w:lang w:val="fr-CA"/>
        </w:rPr>
        <w:t>Chine</w:t>
      </w:r>
      <w:r w:rsidRPr="00802AF9">
        <w:rPr>
          <w:b/>
          <w:lang w:val="fr-CA"/>
        </w:rPr>
        <w:t xml:space="preserve"> </w:t>
      </w:r>
      <w:r w:rsidR="00731A32">
        <w:rPr>
          <w:b/>
          <w:lang w:val="fr-CA"/>
        </w:rPr>
        <w:t>e</w:t>
      </w:r>
      <w:r w:rsidRPr="00802AF9">
        <w:rPr>
          <w:b/>
          <w:lang w:val="fr-CA"/>
        </w:rPr>
        <w:t>n 2019</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004"/>
        <w:gridCol w:w="1004"/>
        <w:gridCol w:w="1004"/>
        <w:gridCol w:w="1004"/>
        <w:gridCol w:w="1004"/>
        <w:gridCol w:w="1004"/>
        <w:gridCol w:w="1004"/>
        <w:gridCol w:w="1005"/>
      </w:tblGrid>
      <w:tr w:rsidR="0029763D" w:rsidRPr="00802AF9" w14:paraId="2A07A6F3" w14:textId="77777777" w:rsidTr="003F073E">
        <w:trPr>
          <w:tblHeader/>
        </w:trPr>
        <w:tc>
          <w:tcPr>
            <w:tcW w:w="1317" w:type="dxa"/>
            <w:shd w:val="clear" w:color="auto" w:fill="auto"/>
            <w:noWrap/>
            <w:vAlign w:val="center"/>
            <w:hideMark/>
          </w:tcPr>
          <w:p w14:paraId="0E6059EF" w14:textId="77777777" w:rsidR="0029763D" w:rsidRPr="00802AF9" w:rsidRDefault="0029763D" w:rsidP="003F073E">
            <w:pPr>
              <w:jc w:val="left"/>
              <w:rPr>
                <w:b/>
                <w:bCs/>
                <w:color w:val="000000"/>
                <w:sz w:val="20"/>
                <w:szCs w:val="20"/>
                <w:lang w:val="fr-CA" w:eastAsia="en-CA"/>
              </w:rPr>
            </w:pPr>
            <w:r w:rsidRPr="00802AF9">
              <w:rPr>
                <w:b/>
                <w:bCs/>
                <w:color w:val="000000"/>
                <w:sz w:val="20"/>
                <w:szCs w:val="20"/>
                <w:lang w:val="fr-CA" w:eastAsia="en-CA"/>
              </w:rPr>
              <w:t>Substance</w:t>
            </w:r>
          </w:p>
        </w:tc>
        <w:tc>
          <w:tcPr>
            <w:tcW w:w="1004" w:type="dxa"/>
            <w:shd w:val="clear" w:color="auto" w:fill="auto"/>
            <w:tcMar>
              <w:left w:w="0" w:type="dxa"/>
              <w:right w:w="58" w:type="dxa"/>
            </w:tcMar>
            <w:vAlign w:val="center"/>
          </w:tcPr>
          <w:p w14:paraId="2166EAAF" w14:textId="74DD8880" w:rsidR="0029763D" w:rsidRPr="00802AF9" w:rsidRDefault="00B6667F" w:rsidP="003F073E">
            <w:pPr>
              <w:jc w:val="center"/>
              <w:rPr>
                <w:b/>
                <w:bCs/>
                <w:color w:val="000000"/>
                <w:sz w:val="20"/>
                <w:szCs w:val="20"/>
                <w:lang w:val="fr-CA" w:eastAsia="en-CA"/>
              </w:rPr>
            </w:pPr>
            <w:r>
              <w:rPr>
                <w:b/>
                <w:bCs/>
                <w:color w:val="000000"/>
                <w:sz w:val="20"/>
                <w:szCs w:val="20"/>
                <w:lang w:val="fr-CA" w:eastAsia="en-CA"/>
              </w:rPr>
              <w:t>Mousses</w:t>
            </w:r>
            <w:r w:rsidR="00731A32">
              <w:rPr>
                <w:b/>
                <w:bCs/>
                <w:color w:val="000000"/>
                <w:sz w:val="20"/>
                <w:szCs w:val="20"/>
                <w:lang w:val="fr-CA" w:eastAsia="en-CA"/>
              </w:rPr>
              <w:t xml:space="preserve"> </w:t>
            </w:r>
            <w:r w:rsidR="0029763D" w:rsidRPr="00802AF9">
              <w:rPr>
                <w:b/>
                <w:bCs/>
                <w:color w:val="000000"/>
                <w:sz w:val="20"/>
                <w:szCs w:val="20"/>
                <w:lang w:val="fr-CA" w:eastAsia="en-CA"/>
              </w:rPr>
              <w:t xml:space="preserve">XPS </w:t>
            </w:r>
          </w:p>
        </w:tc>
        <w:tc>
          <w:tcPr>
            <w:tcW w:w="1004" w:type="dxa"/>
            <w:shd w:val="clear" w:color="auto" w:fill="auto"/>
            <w:tcMar>
              <w:left w:w="0" w:type="dxa"/>
              <w:right w:w="58" w:type="dxa"/>
            </w:tcMar>
            <w:vAlign w:val="center"/>
          </w:tcPr>
          <w:p w14:paraId="044612A5" w14:textId="0482C373" w:rsidR="0029763D" w:rsidRPr="00802AF9" w:rsidRDefault="00B6667F" w:rsidP="003F073E">
            <w:pPr>
              <w:jc w:val="center"/>
              <w:rPr>
                <w:b/>
                <w:bCs/>
                <w:color w:val="000000"/>
                <w:sz w:val="20"/>
                <w:szCs w:val="20"/>
                <w:lang w:val="fr-CA" w:eastAsia="en-CA"/>
              </w:rPr>
            </w:pPr>
            <w:r>
              <w:rPr>
                <w:b/>
                <w:bCs/>
                <w:color w:val="000000"/>
                <w:sz w:val="20"/>
                <w:szCs w:val="20"/>
                <w:lang w:val="fr-CA" w:eastAsia="en-CA"/>
              </w:rPr>
              <w:t>Mousses</w:t>
            </w:r>
            <w:r w:rsidR="00731A32">
              <w:rPr>
                <w:b/>
                <w:bCs/>
                <w:color w:val="000000"/>
                <w:sz w:val="20"/>
                <w:szCs w:val="20"/>
                <w:lang w:val="fr-CA" w:eastAsia="en-CA"/>
              </w:rPr>
              <w:t xml:space="preserve"> </w:t>
            </w:r>
            <w:r w:rsidR="0029763D" w:rsidRPr="00802AF9">
              <w:rPr>
                <w:b/>
                <w:bCs/>
                <w:color w:val="000000"/>
                <w:sz w:val="20"/>
                <w:szCs w:val="20"/>
                <w:lang w:val="fr-CA" w:eastAsia="en-CA"/>
              </w:rPr>
              <w:t>PU</w:t>
            </w:r>
          </w:p>
        </w:tc>
        <w:tc>
          <w:tcPr>
            <w:tcW w:w="1004" w:type="dxa"/>
            <w:shd w:val="clear" w:color="auto" w:fill="auto"/>
            <w:tcMar>
              <w:left w:w="0" w:type="dxa"/>
              <w:right w:w="58" w:type="dxa"/>
            </w:tcMar>
            <w:vAlign w:val="center"/>
          </w:tcPr>
          <w:p w14:paraId="0F45F9F8" w14:textId="77777777" w:rsidR="0029763D" w:rsidRPr="00802AF9" w:rsidRDefault="0029763D" w:rsidP="003F073E">
            <w:pPr>
              <w:jc w:val="center"/>
              <w:rPr>
                <w:b/>
                <w:bCs/>
                <w:color w:val="000000"/>
                <w:sz w:val="20"/>
                <w:szCs w:val="20"/>
                <w:lang w:val="fr-CA" w:eastAsia="en-CA"/>
              </w:rPr>
            </w:pPr>
            <w:r w:rsidRPr="00802AF9">
              <w:rPr>
                <w:b/>
                <w:bCs/>
                <w:color w:val="000000"/>
                <w:sz w:val="20"/>
                <w:szCs w:val="20"/>
                <w:lang w:val="fr-CA" w:eastAsia="en-CA"/>
              </w:rPr>
              <w:t>ICR</w:t>
            </w:r>
          </w:p>
        </w:tc>
        <w:tc>
          <w:tcPr>
            <w:tcW w:w="1004" w:type="dxa"/>
            <w:shd w:val="clear" w:color="auto" w:fill="auto"/>
            <w:noWrap/>
            <w:tcMar>
              <w:left w:w="0" w:type="dxa"/>
              <w:right w:w="58" w:type="dxa"/>
            </w:tcMar>
            <w:vAlign w:val="center"/>
            <w:hideMark/>
          </w:tcPr>
          <w:p w14:paraId="0A935126" w14:textId="665E81E9" w:rsidR="0029763D" w:rsidRPr="00802AF9" w:rsidRDefault="00494A38" w:rsidP="003F073E">
            <w:pPr>
              <w:jc w:val="center"/>
              <w:rPr>
                <w:b/>
                <w:bCs/>
                <w:color w:val="000000"/>
                <w:sz w:val="20"/>
                <w:szCs w:val="20"/>
                <w:lang w:val="fr-CA" w:eastAsia="en-CA"/>
              </w:rPr>
            </w:pPr>
            <w:r w:rsidRPr="00802AF9">
              <w:rPr>
                <w:b/>
                <w:bCs/>
                <w:color w:val="000000"/>
                <w:sz w:val="20"/>
                <w:szCs w:val="20"/>
                <w:lang w:val="fr-CA" w:eastAsia="en-CA"/>
              </w:rPr>
              <w:t>R&amp;C</w:t>
            </w:r>
          </w:p>
        </w:tc>
        <w:tc>
          <w:tcPr>
            <w:tcW w:w="1004" w:type="dxa"/>
            <w:shd w:val="clear" w:color="auto" w:fill="auto"/>
            <w:tcMar>
              <w:left w:w="0" w:type="dxa"/>
              <w:right w:w="58" w:type="dxa"/>
            </w:tcMar>
            <w:vAlign w:val="center"/>
          </w:tcPr>
          <w:p w14:paraId="509CDF2B" w14:textId="073B834C" w:rsidR="0029763D" w:rsidRPr="00802AF9" w:rsidRDefault="0029763D" w:rsidP="003F073E">
            <w:pPr>
              <w:jc w:val="center"/>
              <w:rPr>
                <w:b/>
                <w:bCs/>
                <w:color w:val="000000"/>
                <w:sz w:val="20"/>
                <w:szCs w:val="20"/>
                <w:lang w:val="fr-CA" w:eastAsia="en-CA"/>
              </w:rPr>
            </w:pPr>
            <w:r w:rsidRPr="00802AF9">
              <w:rPr>
                <w:b/>
                <w:bCs/>
                <w:color w:val="000000"/>
                <w:sz w:val="20"/>
                <w:szCs w:val="20"/>
                <w:lang w:val="fr-CA" w:eastAsia="en-CA"/>
              </w:rPr>
              <w:t>Solv</w:t>
            </w:r>
            <w:r w:rsidR="00731A32">
              <w:rPr>
                <w:b/>
                <w:bCs/>
                <w:color w:val="000000"/>
                <w:sz w:val="20"/>
                <w:szCs w:val="20"/>
                <w:lang w:val="fr-CA" w:eastAsia="en-CA"/>
              </w:rPr>
              <w:t>a</w:t>
            </w:r>
            <w:r w:rsidRPr="00802AF9">
              <w:rPr>
                <w:b/>
                <w:bCs/>
                <w:color w:val="000000"/>
                <w:sz w:val="20"/>
                <w:szCs w:val="20"/>
                <w:lang w:val="fr-CA" w:eastAsia="en-CA"/>
              </w:rPr>
              <w:t>nt</w:t>
            </w:r>
            <w:r w:rsidR="00731A32">
              <w:rPr>
                <w:b/>
                <w:bCs/>
                <w:color w:val="000000"/>
                <w:sz w:val="20"/>
                <w:szCs w:val="20"/>
                <w:lang w:val="fr-CA" w:eastAsia="en-CA"/>
              </w:rPr>
              <w:t>s</w:t>
            </w:r>
          </w:p>
        </w:tc>
        <w:tc>
          <w:tcPr>
            <w:tcW w:w="1004" w:type="dxa"/>
            <w:shd w:val="clear" w:color="auto" w:fill="auto"/>
            <w:noWrap/>
            <w:tcMar>
              <w:left w:w="0" w:type="dxa"/>
              <w:right w:w="58" w:type="dxa"/>
            </w:tcMar>
            <w:vAlign w:val="center"/>
            <w:hideMark/>
          </w:tcPr>
          <w:p w14:paraId="2D2A4F96" w14:textId="471FC11B" w:rsidR="0029763D" w:rsidRPr="00802AF9" w:rsidRDefault="00731A32" w:rsidP="003F073E">
            <w:pPr>
              <w:jc w:val="center"/>
              <w:rPr>
                <w:b/>
                <w:bCs/>
                <w:color w:val="000000"/>
                <w:sz w:val="20"/>
                <w:szCs w:val="20"/>
                <w:lang w:val="fr-CA" w:eastAsia="en-CA"/>
              </w:rPr>
            </w:pPr>
            <w:r>
              <w:rPr>
                <w:b/>
                <w:bCs/>
                <w:color w:val="000000"/>
                <w:sz w:val="20"/>
                <w:szCs w:val="20"/>
                <w:lang w:val="fr-CA" w:eastAsia="en-CA"/>
              </w:rPr>
              <w:t>Entretien</w:t>
            </w:r>
          </w:p>
        </w:tc>
        <w:tc>
          <w:tcPr>
            <w:tcW w:w="1004" w:type="dxa"/>
            <w:shd w:val="clear" w:color="auto" w:fill="auto"/>
            <w:noWrap/>
            <w:tcMar>
              <w:left w:w="0" w:type="dxa"/>
              <w:right w:w="58" w:type="dxa"/>
            </w:tcMar>
            <w:vAlign w:val="center"/>
            <w:hideMark/>
          </w:tcPr>
          <w:p w14:paraId="4B3BF499" w14:textId="4A20AE03" w:rsidR="0029763D" w:rsidRPr="00802AF9" w:rsidRDefault="00731A32" w:rsidP="003F073E">
            <w:pPr>
              <w:jc w:val="center"/>
              <w:rPr>
                <w:b/>
                <w:bCs/>
                <w:color w:val="000000"/>
                <w:sz w:val="20"/>
                <w:szCs w:val="20"/>
                <w:lang w:val="fr-CA" w:eastAsia="en-CA"/>
              </w:rPr>
            </w:pPr>
            <w:r w:rsidRPr="00802AF9">
              <w:rPr>
                <w:b/>
                <w:bCs/>
                <w:color w:val="000000"/>
                <w:sz w:val="20"/>
                <w:szCs w:val="20"/>
                <w:lang w:val="fr-CA" w:eastAsia="en-CA"/>
              </w:rPr>
              <w:t>Aérosols</w:t>
            </w:r>
          </w:p>
        </w:tc>
        <w:tc>
          <w:tcPr>
            <w:tcW w:w="1005" w:type="dxa"/>
            <w:shd w:val="clear" w:color="auto" w:fill="auto"/>
            <w:noWrap/>
            <w:tcMar>
              <w:left w:w="0" w:type="dxa"/>
              <w:right w:w="58" w:type="dxa"/>
            </w:tcMar>
            <w:vAlign w:val="center"/>
            <w:hideMark/>
          </w:tcPr>
          <w:p w14:paraId="562379E2" w14:textId="77777777" w:rsidR="0029763D" w:rsidRPr="00802AF9" w:rsidRDefault="0029763D" w:rsidP="003F073E">
            <w:pPr>
              <w:jc w:val="center"/>
              <w:rPr>
                <w:b/>
                <w:bCs/>
                <w:color w:val="000000"/>
                <w:sz w:val="20"/>
                <w:szCs w:val="20"/>
                <w:lang w:val="fr-CA" w:eastAsia="en-CA"/>
              </w:rPr>
            </w:pPr>
            <w:r w:rsidRPr="00802AF9">
              <w:rPr>
                <w:b/>
                <w:bCs/>
                <w:color w:val="000000"/>
                <w:sz w:val="20"/>
                <w:szCs w:val="20"/>
                <w:lang w:val="fr-CA" w:eastAsia="en-CA"/>
              </w:rPr>
              <w:t>Total</w:t>
            </w:r>
          </w:p>
        </w:tc>
      </w:tr>
      <w:tr w:rsidR="0029763D" w:rsidRPr="00802AF9" w14:paraId="43AD216D" w14:textId="77777777" w:rsidTr="003F073E">
        <w:tc>
          <w:tcPr>
            <w:tcW w:w="1317" w:type="dxa"/>
            <w:shd w:val="clear" w:color="auto" w:fill="auto"/>
            <w:noWrap/>
            <w:tcMar>
              <w:left w:w="29" w:type="dxa"/>
              <w:right w:w="0" w:type="dxa"/>
            </w:tcMar>
            <w:hideMark/>
          </w:tcPr>
          <w:p w14:paraId="029C7593"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HCFC-22</w:t>
            </w:r>
          </w:p>
        </w:tc>
        <w:tc>
          <w:tcPr>
            <w:tcW w:w="1004" w:type="dxa"/>
            <w:shd w:val="clear" w:color="auto" w:fill="auto"/>
            <w:tcMar>
              <w:left w:w="0" w:type="dxa"/>
              <w:right w:w="173" w:type="dxa"/>
            </w:tcMar>
          </w:tcPr>
          <w:p w14:paraId="47572BD8" w14:textId="0EBC3284" w:rsidR="0029763D" w:rsidRPr="00802AF9" w:rsidRDefault="0029763D" w:rsidP="003F073E">
            <w:pPr>
              <w:jc w:val="right"/>
              <w:rPr>
                <w:color w:val="000000"/>
                <w:sz w:val="20"/>
                <w:szCs w:val="20"/>
                <w:lang w:val="fr-CA" w:eastAsia="en-CA"/>
              </w:rPr>
            </w:pPr>
            <w:r w:rsidRPr="00802AF9">
              <w:rPr>
                <w:sz w:val="20"/>
                <w:szCs w:val="20"/>
                <w:lang w:val="fr-CA"/>
              </w:rPr>
              <w:t>28</w:t>
            </w:r>
            <w:r w:rsidR="00731A32">
              <w:rPr>
                <w:sz w:val="20"/>
                <w:szCs w:val="20"/>
                <w:lang w:val="fr-CA"/>
              </w:rPr>
              <w:t> </w:t>
            </w:r>
            <w:r w:rsidRPr="00802AF9">
              <w:rPr>
                <w:sz w:val="20"/>
                <w:szCs w:val="20"/>
                <w:lang w:val="fr-CA"/>
              </w:rPr>
              <w:t>000</w:t>
            </w:r>
          </w:p>
        </w:tc>
        <w:tc>
          <w:tcPr>
            <w:tcW w:w="1004" w:type="dxa"/>
            <w:shd w:val="clear" w:color="auto" w:fill="auto"/>
            <w:tcMar>
              <w:left w:w="0" w:type="dxa"/>
              <w:right w:w="173" w:type="dxa"/>
            </w:tcMar>
          </w:tcPr>
          <w:p w14:paraId="7639D416"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238A3FF0" w14:textId="18BC7FEE" w:rsidR="0029763D" w:rsidRPr="00802AF9" w:rsidRDefault="0029763D" w:rsidP="003F073E">
            <w:pPr>
              <w:jc w:val="right"/>
              <w:rPr>
                <w:color w:val="000000"/>
                <w:sz w:val="20"/>
                <w:szCs w:val="20"/>
                <w:lang w:val="fr-CA" w:eastAsia="en-CA"/>
              </w:rPr>
            </w:pPr>
            <w:r w:rsidRPr="00802AF9">
              <w:rPr>
                <w:sz w:val="20"/>
                <w:szCs w:val="20"/>
                <w:lang w:val="fr-CA"/>
              </w:rPr>
              <w:t>36</w:t>
            </w:r>
            <w:r w:rsidR="00731A32">
              <w:rPr>
                <w:sz w:val="20"/>
                <w:szCs w:val="20"/>
                <w:lang w:val="fr-CA"/>
              </w:rPr>
              <w:t> </w:t>
            </w:r>
            <w:r w:rsidRPr="00802AF9">
              <w:rPr>
                <w:sz w:val="20"/>
                <w:szCs w:val="20"/>
                <w:lang w:val="fr-CA"/>
              </w:rPr>
              <w:t>000</w:t>
            </w:r>
          </w:p>
        </w:tc>
        <w:tc>
          <w:tcPr>
            <w:tcW w:w="1004" w:type="dxa"/>
            <w:shd w:val="clear" w:color="auto" w:fill="auto"/>
            <w:noWrap/>
            <w:tcMar>
              <w:left w:w="0" w:type="dxa"/>
              <w:right w:w="173" w:type="dxa"/>
            </w:tcMar>
            <w:hideMark/>
          </w:tcPr>
          <w:p w14:paraId="09C39C0E" w14:textId="00AF44BA" w:rsidR="0029763D" w:rsidRPr="00802AF9" w:rsidRDefault="0029763D" w:rsidP="003F073E">
            <w:pPr>
              <w:jc w:val="right"/>
              <w:rPr>
                <w:color w:val="000000"/>
                <w:sz w:val="20"/>
                <w:szCs w:val="20"/>
                <w:lang w:val="fr-CA" w:eastAsia="en-CA"/>
              </w:rPr>
            </w:pPr>
            <w:r w:rsidRPr="00802AF9">
              <w:rPr>
                <w:sz w:val="20"/>
                <w:szCs w:val="20"/>
                <w:lang w:val="fr-CA"/>
              </w:rPr>
              <w:t>50</w:t>
            </w:r>
            <w:r w:rsidR="00731A32">
              <w:rPr>
                <w:sz w:val="20"/>
                <w:szCs w:val="20"/>
                <w:lang w:val="fr-CA"/>
              </w:rPr>
              <w:t> </w:t>
            </w:r>
            <w:r w:rsidRPr="00802AF9">
              <w:rPr>
                <w:sz w:val="20"/>
                <w:szCs w:val="20"/>
                <w:lang w:val="fr-CA"/>
              </w:rPr>
              <w:t>000</w:t>
            </w:r>
          </w:p>
        </w:tc>
        <w:tc>
          <w:tcPr>
            <w:tcW w:w="1004" w:type="dxa"/>
            <w:shd w:val="clear" w:color="auto" w:fill="auto"/>
            <w:tcMar>
              <w:left w:w="0" w:type="dxa"/>
              <w:right w:w="173" w:type="dxa"/>
            </w:tcMar>
          </w:tcPr>
          <w:p w14:paraId="30466B9A"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189AB45C" w14:textId="26D946C7" w:rsidR="0029763D" w:rsidRPr="00802AF9" w:rsidRDefault="0029763D" w:rsidP="003F073E">
            <w:pPr>
              <w:jc w:val="right"/>
              <w:rPr>
                <w:color w:val="000000"/>
                <w:sz w:val="20"/>
                <w:szCs w:val="20"/>
                <w:lang w:val="fr-CA" w:eastAsia="en-CA"/>
              </w:rPr>
            </w:pPr>
            <w:r w:rsidRPr="00802AF9">
              <w:rPr>
                <w:sz w:val="20"/>
                <w:szCs w:val="20"/>
                <w:lang w:val="fr-CA"/>
              </w:rPr>
              <w:t>58</w:t>
            </w:r>
            <w:r w:rsidR="00731A32">
              <w:rPr>
                <w:sz w:val="20"/>
                <w:szCs w:val="20"/>
                <w:lang w:val="fr-CA"/>
              </w:rPr>
              <w:t> </w:t>
            </w:r>
            <w:r w:rsidRPr="00802AF9">
              <w:rPr>
                <w:sz w:val="20"/>
                <w:szCs w:val="20"/>
                <w:lang w:val="fr-CA"/>
              </w:rPr>
              <w:t>006</w:t>
            </w:r>
          </w:p>
        </w:tc>
        <w:tc>
          <w:tcPr>
            <w:tcW w:w="1004" w:type="dxa"/>
            <w:shd w:val="clear" w:color="auto" w:fill="auto"/>
            <w:noWrap/>
            <w:tcMar>
              <w:left w:w="0" w:type="dxa"/>
              <w:right w:w="173" w:type="dxa"/>
            </w:tcMar>
            <w:hideMark/>
          </w:tcPr>
          <w:p w14:paraId="0205F6DB" w14:textId="7257BC69" w:rsidR="0029763D" w:rsidRPr="00802AF9" w:rsidRDefault="0029763D" w:rsidP="003F073E">
            <w:pPr>
              <w:jc w:val="right"/>
              <w:rPr>
                <w:color w:val="000000"/>
                <w:sz w:val="20"/>
                <w:szCs w:val="20"/>
                <w:lang w:val="fr-CA" w:eastAsia="en-CA"/>
              </w:rPr>
            </w:pPr>
            <w:r w:rsidRPr="00802AF9">
              <w:rPr>
                <w:sz w:val="20"/>
                <w:szCs w:val="20"/>
                <w:lang w:val="fr-CA"/>
              </w:rPr>
              <w:t>1</w:t>
            </w:r>
            <w:r w:rsidR="00731A32">
              <w:rPr>
                <w:sz w:val="20"/>
                <w:szCs w:val="20"/>
                <w:lang w:val="fr-CA"/>
              </w:rPr>
              <w:t> </w:t>
            </w:r>
            <w:r w:rsidRPr="00802AF9">
              <w:rPr>
                <w:sz w:val="20"/>
                <w:szCs w:val="20"/>
                <w:lang w:val="fr-CA"/>
              </w:rPr>
              <w:t>656</w:t>
            </w:r>
          </w:p>
        </w:tc>
        <w:tc>
          <w:tcPr>
            <w:tcW w:w="1005" w:type="dxa"/>
            <w:shd w:val="clear" w:color="auto" w:fill="auto"/>
            <w:noWrap/>
            <w:tcMar>
              <w:left w:w="0" w:type="dxa"/>
              <w:right w:w="173" w:type="dxa"/>
            </w:tcMar>
            <w:hideMark/>
          </w:tcPr>
          <w:p w14:paraId="39DBE356" w14:textId="052D3D9B" w:rsidR="0029763D" w:rsidRPr="00802AF9" w:rsidRDefault="0029763D" w:rsidP="003F073E">
            <w:pPr>
              <w:jc w:val="right"/>
              <w:rPr>
                <w:bCs/>
                <w:color w:val="000000"/>
                <w:sz w:val="20"/>
                <w:szCs w:val="20"/>
                <w:lang w:val="fr-CA" w:eastAsia="en-CA"/>
              </w:rPr>
            </w:pPr>
            <w:r w:rsidRPr="00802AF9">
              <w:rPr>
                <w:sz w:val="20"/>
                <w:szCs w:val="20"/>
                <w:lang w:val="fr-CA"/>
              </w:rPr>
              <w:t>173</w:t>
            </w:r>
            <w:r w:rsidR="00731A32">
              <w:rPr>
                <w:sz w:val="20"/>
                <w:szCs w:val="20"/>
                <w:lang w:val="fr-CA"/>
              </w:rPr>
              <w:t> </w:t>
            </w:r>
            <w:r w:rsidRPr="00802AF9">
              <w:rPr>
                <w:sz w:val="20"/>
                <w:szCs w:val="20"/>
                <w:lang w:val="fr-CA"/>
              </w:rPr>
              <w:t>662</w:t>
            </w:r>
          </w:p>
        </w:tc>
      </w:tr>
      <w:tr w:rsidR="0029763D" w:rsidRPr="00802AF9" w14:paraId="1EA07CC8" w14:textId="77777777" w:rsidTr="003F073E">
        <w:tc>
          <w:tcPr>
            <w:tcW w:w="1317" w:type="dxa"/>
            <w:shd w:val="clear" w:color="auto" w:fill="auto"/>
            <w:noWrap/>
            <w:tcMar>
              <w:left w:w="29" w:type="dxa"/>
              <w:right w:w="0" w:type="dxa"/>
            </w:tcMar>
            <w:hideMark/>
          </w:tcPr>
          <w:p w14:paraId="63E83281"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HCFC-141b</w:t>
            </w:r>
          </w:p>
        </w:tc>
        <w:tc>
          <w:tcPr>
            <w:tcW w:w="1004" w:type="dxa"/>
            <w:shd w:val="clear" w:color="auto" w:fill="auto"/>
            <w:tcMar>
              <w:left w:w="0" w:type="dxa"/>
              <w:right w:w="173" w:type="dxa"/>
            </w:tcMar>
          </w:tcPr>
          <w:p w14:paraId="5DE66BE2"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6BC5A1F4" w14:textId="45DA0FDB" w:rsidR="0029763D" w:rsidRPr="00802AF9" w:rsidRDefault="0029763D" w:rsidP="003F073E">
            <w:pPr>
              <w:jc w:val="right"/>
              <w:rPr>
                <w:color w:val="000000"/>
                <w:sz w:val="20"/>
                <w:szCs w:val="20"/>
                <w:lang w:val="fr-CA" w:eastAsia="en-CA"/>
              </w:rPr>
            </w:pPr>
            <w:r w:rsidRPr="00802AF9">
              <w:rPr>
                <w:sz w:val="20"/>
                <w:szCs w:val="20"/>
                <w:lang w:val="fr-CA"/>
              </w:rPr>
              <w:t>34</w:t>
            </w:r>
            <w:r w:rsidR="00731A32">
              <w:rPr>
                <w:sz w:val="20"/>
                <w:szCs w:val="20"/>
                <w:lang w:val="fr-CA"/>
              </w:rPr>
              <w:t> </w:t>
            </w:r>
            <w:r w:rsidRPr="00802AF9">
              <w:rPr>
                <w:sz w:val="20"/>
                <w:szCs w:val="20"/>
                <w:lang w:val="fr-CA"/>
              </w:rPr>
              <w:t>289</w:t>
            </w:r>
          </w:p>
        </w:tc>
        <w:tc>
          <w:tcPr>
            <w:tcW w:w="1004" w:type="dxa"/>
            <w:shd w:val="clear" w:color="auto" w:fill="auto"/>
            <w:tcMar>
              <w:left w:w="0" w:type="dxa"/>
              <w:right w:w="173" w:type="dxa"/>
            </w:tcMar>
          </w:tcPr>
          <w:p w14:paraId="17E2FA37"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79A5CB18"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686D63FB" w14:textId="481BE3B3" w:rsidR="0029763D" w:rsidRPr="00802AF9" w:rsidRDefault="0029763D" w:rsidP="003F073E">
            <w:pPr>
              <w:jc w:val="right"/>
              <w:rPr>
                <w:color w:val="000000"/>
                <w:sz w:val="20"/>
                <w:szCs w:val="20"/>
                <w:lang w:val="fr-CA" w:eastAsia="en-CA"/>
              </w:rPr>
            </w:pPr>
            <w:r w:rsidRPr="00802AF9">
              <w:rPr>
                <w:sz w:val="20"/>
                <w:szCs w:val="20"/>
                <w:lang w:val="fr-CA"/>
              </w:rPr>
              <w:t>3</w:t>
            </w:r>
            <w:r w:rsidR="00731A32">
              <w:rPr>
                <w:sz w:val="20"/>
                <w:szCs w:val="20"/>
                <w:lang w:val="fr-CA"/>
              </w:rPr>
              <w:t> </w:t>
            </w:r>
            <w:r w:rsidRPr="00802AF9">
              <w:rPr>
                <w:sz w:val="20"/>
                <w:szCs w:val="20"/>
                <w:lang w:val="fr-CA"/>
              </w:rPr>
              <w:t>500</w:t>
            </w:r>
          </w:p>
        </w:tc>
        <w:tc>
          <w:tcPr>
            <w:tcW w:w="1004" w:type="dxa"/>
            <w:shd w:val="clear" w:color="auto" w:fill="auto"/>
            <w:noWrap/>
            <w:tcMar>
              <w:left w:w="0" w:type="dxa"/>
              <w:right w:w="173" w:type="dxa"/>
            </w:tcMar>
            <w:hideMark/>
          </w:tcPr>
          <w:p w14:paraId="47A19596"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1CF46992" w14:textId="77777777" w:rsidR="0029763D" w:rsidRPr="00802AF9" w:rsidRDefault="0029763D" w:rsidP="003F073E">
            <w:pPr>
              <w:jc w:val="right"/>
              <w:rPr>
                <w:color w:val="000000"/>
                <w:sz w:val="20"/>
                <w:szCs w:val="20"/>
                <w:lang w:val="fr-CA" w:eastAsia="en-CA"/>
              </w:rPr>
            </w:pPr>
            <w:r w:rsidRPr="00802AF9">
              <w:rPr>
                <w:sz w:val="20"/>
                <w:szCs w:val="20"/>
                <w:lang w:val="fr-CA"/>
              </w:rPr>
              <w:t>660</w:t>
            </w:r>
          </w:p>
        </w:tc>
        <w:tc>
          <w:tcPr>
            <w:tcW w:w="1005" w:type="dxa"/>
            <w:shd w:val="clear" w:color="auto" w:fill="auto"/>
            <w:noWrap/>
            <w:tcMar>
              <w:left w:w="0" w:type="dxa"/>
              <w:right w:w="173" w:type="dxa"/>
            </w:tcMar>
            <w:hideMark/>
          </w:tcPr>
          <w:p w14:paraId="6782C3DA" w14:textId="703F4EED" w:rsidR="0029763D" w:rsidRPr="00802AF9" w:rsidRDefault="0029763D" w:rsidP="003F073E">
            <w:pPr>
              <w:jc w:val="right"/>
              <w:rPr>
                <w:bCs/>
                <w:color w:val="000000"/>
                <w:sz w:val="20"/>
                <w:szCs w:val="20"/>
                <w:lang w:val="fr-CA" w:eastAsia="en-CA"/>
              </w:rPr>
            </w:pPr>
            <w:r w:rsidRPr="00802AF9">
              <w:rPr>
                <w:sz w:val="20"/>
                <w:szCs w:val="20"/>
                <w:lang w:val="fr-CA"/>
              </w:rPr>
              <w:t>38</w:t>
            </w:r>
            <w:r w:rsidR="00731A32">
              <w:rPr>
                <w:sz w:val="20"/>
                <w:szCs w:val="20"/>
                <w:lang w:val="fr-CA"/>
              </w:rPr>
              <w:t> </w:t>
            </w:r>
            <w:r w:rsidRPr="00802AF9">
              <w:rPr>
                <w:sz w:val="20"/>
                <w:szCs w:val="20"/>
                <w:lang w:val="fr-CA"/>
              </w:rPr>
              <w:t>449</w:t>
            </w:r>
          </w:p>
        </w:tc>
      </w:tr>
      <w:tr w:rsidR="0029763D" w:rsidRPr="00802AF9" w14:paraId="22C48537" w14:textId="77777777" w:rsidTr="003F073E">
        <w:tc>
          <w:tcPr>
            <w:tcW w:w="1317" w:type="dxa"/>
            <w:shd w:val="clear" w:color="auto" w:fill="auto"/>
            <w:noWrap/>
            <w:tcMar>
              <w:left w:w="29" w:type="dxa"/>
              <w:right w:w="0" w:type="dxa"/>
            </w:tcMar>
            <w:hideMark/>
          </w:tcPr>
          <w:p w14:paraId="0DDFBE6E"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HCFC-142b</w:t>
            </w:r>
          </w:p>
        </w:tc>
        <w:tc>
          <w:tcPr>
            <w:tcW w:w="1004" w:type="dxa"/>
            <w:shd w:val="clear" w:color="auto" w:fill="auto"/>
            <w:tcMar>
              <w:left w:w="0" w:type="dxa"/>
              <w:right w:w="173" w:type="dxa"/>
            </w:tcMar>
          </w:tcPr>
          <w:p w14:paraId="5B993729" w14:textId="3E24DE88" w:rsidR="0029763D" w:rsidRPr="00802AF9" w:rsidRDefault="0029763D" w:rsidP="003F073E">
            <w:pPr>
              <w:jc w:val="right"/>
              <w:rPr>
                <w:color w:val="000000"/>
                <w:sz w:val="20"/>
                <w:szCs w:val="20"/>
                <w:lang w:val="fr-CA" w:eastAsia="en-CA"/>
              </w:rPr>
            </w:pPr>
            <w:r w:rsidRPr="00802AF9">
              <w:rPr>
                <w:sz w:val="20"/>
                <w:szCs w:val="20"/>
                <w:lang w:val="fr-CA"/>
              </w:rPr>
              <w:t>5</w:t>
            </w:r>
            <w:r w:rsidR="00731A32">
              <w:rPr>
                <w:sz w:val="20"/>
                <w:szCs w:val="20"/>
                <w:lang w:val="fr-CA"/>
              </w:rPr>
              <w:t> </w:t>
            </w:r>
            <w:r w:rsidRPr="00802AF9">
              <w:rPr>
                <w:sz w:val="20"/>
                <w:szCs w:val="20"/>
                <w:lang w:val="fr-CA"/>
              </w:rPr>
              <w:t>500</w:t>
            </w:r>
          </w:p>
        </w:tc>
        <w:tc>
          <w:tcPr>
            <w:tcW w:w="1004" w:type="dxa"/>
            <w:shd w:val="clear" w:color="auto" w:fill="auto"/>
            <w:tcMar>
              <w:left w:w="0" w:type="dxa"/>
              <w:right w:w="173" w:type="dxa"/>
            </w:tcMar>
          </w:tcPr>
          <w:p w14:paraId="1FE5F863"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5476B54C" w14:textId="77777777" w:rsidR="0029763D" w:rsidRPr="00802AF9" w:rsidRDefault="0029763D" w:rsidP="003F073E">
            <w:pPr>
              <w:jc w:val="right"/>
              <w:rPr>
                <w:color w:val="000000"/>
                <w:sz w:val="20"/>
                <w:szCs w:val="20"/>
                <w:lang w:val="fr-CA" w:eastAsia="en-CA"/>
              </w:rPr>
            </w:pPr>
            <w:r w:rsidRPr="00802AF9">
              <w:rPr>
                <w:sz w:val="20"/>
                <w:szCs w:val="20"/>
                <w:lang w:val="fr-CA"/>
              </w:rPr>
              <w:t>90</w:t>
            </w:r>
          </w:p>
        </w:tc>
        <w:tc>
          <w:tcPr>
            <w:tcW w:w="1004" w:type="dxa"/>
            <w:shd w:val="clear" w:color="auto" w:fill="auto"/>
            <w:noWrap/>
            <w:tcMar>
              <w:left w:w="0" w:type="dxa"/>
              <w:right w:w="173" w:type="dxa"/>
            </w:tcMar>
            <w:hideMark/>
          </w:tcPr>
          <w:p w14:paraId="6915FB73" w14:textId="77777777" w:rsidR="0029763D" w:rsidRPr="00802AF9" w:rsidRDefault="0029763D" w:rsidP="003F073E">
            <w:pPr>
              <w:jc w:val="right"/>
              <w:rPr>
                <w:rFonts w:eastAsia="SimSun"/>
                <w:color w:val="000000"/>
                <w:sz w:val="20"/>
                <w:szCs w:val="20"/>
                <w:lang w:val="fr-CA" w:eastAsia="en-CA"/>
              </w:rPr>
            </w:pPr>
          </w:p>
        </w:tc>
        <w:tc>
          <w:tcPr>
            <w:tcW w:w="1004" w:type="dxa"/>
            <w:shd w:val="clear" w:color="auto" w:fill="auto"/>
            <w:tcMar>
              <w:left w:w="0" w:type="dxa"/>
              <w:right w:w="173" w:type="dxa"/>
            </w:tcMar>
          </w:tcPr>
          <w:p w14:paraId="0B5C58A0"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70C0B08A" w14:textId="77777777" w:rsidR="0029763D" w:rsidRPr="00802AF9" w:rsidRDefault="0029763D" w:rsidP="003F073E">
            <w:pPr>
              <w:jc w:val="right"/>
              <w:rPr>
                <w:color w:val="000000"/>
                <w:sz w:val="20"/>
                <w:szCs w:val="20"/>
                <w:lang w:val="fr-CA" w:eastAsia="en-CA"/>
              </w:rPr>
            </w:pPr>
            <w:r w:rsidRPr="00802AF9">
              <w:rPr>
                <w:sz w:val="20"/>
                <w:szCs w:val="20"/>
                <w:lang w:val="fr-CA"/>
              </w:rPr>
              <w:t>910</w:t>
            </w:r>
          </w:p>
        </w:tc>
        <w:tc>
          <w:tcPr>
            <w:tcW w:w="1004" w:type="dxa"/>
            <w:shd w:val="clear" w:color="auto" w:fill="auto"/>
            <w:noWrap/>
            <w:tcMar>
              <w:left w:w="0" w:type="dxa"/>
              <w:right w:w="173" w:type="dxa"/>
            </w:tcMar>
            <w:hideMark/>
          </w:tcPr>
          <w:p w14:paraId="2B4183BD" w14:textId="77777777" w:rsidR="0029763D" w:rsidRPr="00802AF9" w:rsidRDefault="0029763D" w:rsidP="003F073E">
            <w:pPr>
              <w:jc w:val="right"/>
              <w:rPr>
                <w:rFonts w:ascii="SimSun" w:eastAsia="SimSun" w:hAnsi="SimSun"/>
                <w:color w:val="000000"/>
                <w:sz w:val="20"/>
                <w:szCs w:val="20"/>
                <w:lang w:val="fr-CA" w:eastAsia="en-CA"/>
              </w:rPr>
            </w:pPr>
          </w:p>
        </w:tc>
        <w:tc>
          <w:tcPr>
            <w:tcW w:w="1005" w:type="dxa"/>
            <w:shd w:val="clear" w:color="auto" w:fill="auto"/>
            <w:noWrap/>
            <w:tcMar>
              <w:left w:w="0" w:type="dxa"/>
              <w:right w:w="173" w:type="dxa"/>
            </w:tcMar>
            <w:hideMark/>
          </w:tcPr>
          <w:p w14:paraId="0B67A8D4" w14:textId="0A8956A3" w:rsidR="0029763D" w:rsidRPr="00802AF9" w:rsidRDefault="0029763D" w:rsidP="003F073E">
            <w:pPr>
              <w:jc w:val="right"/>
              <w:rPr>
                <w:bCs/>
                <w:color w:val="000000"/>
                <w:sz w:val="20"/>
                <w:szCs w:val="20"/>
                <w:lang w:val="fr-CA" w:eastAsia="en-CA"/>
              </w:rPr>
            </w:pPr>
            <w:r w:rsidRPr="00802AF9">
              <w:rPr>
                <w:sz w:val="20"/>
                <w:szCs w:val="20"/>
                <w:lang w:val="fr-CA"/>
              </w:rPr>
              <w:t>6</w:t>
            </w:r>
            <w:r w:rsidR="00731A32">
              <w:rPr>
                <w:sz w:val="20"/>
                <w:szCs w:val="20"/>
                <w:lang w:val="fr-CA"/>
              </w:rPr>
              <w:t> </w:t>
            </w:r>
            <w:r w:rsidRPr="00802AF9">
              <w:rPr>
                <w:sz w:val="20"/>
                <w:szCs w:val="20"/>
                <w:lang w:val="fr-CA"/>
              </w:rPr>
              <w:t>500</w:t>
            </w:r>
          </w:p>
        </w:tc>
      </w:tr>
      <w:tr w:rsidR="0029763D" w:rsidRPr="00802AF9" w14:paraId="46DD8E2F" w14:textId="77777777" w:rsidTr="003F073E">
        <w:tc>
          <w:tcPr>
            <w:tcW w:w="1317" w:type="dxa"/>
            <w:shd w:val="clear" w:color="auto" w:fill="auto"/>
            <w:noWrap/>
            <w:tcMar>
              <w:left w:w="29" w:type="dxa"/>
              <w:right w:w="0" w:type="dxa"/>
            </w:tcMar>
            <w:hideMark/>
          </w:tcPr>
          <w:p w14:paraId="68374B4C"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HCFC-123</w:t>
            </w:r>
          </w:p>
        </w:tc>
        <w:tc>
          <w:tcPr>
            <w:tcW w:w="1004" w:type="dxa"/>
            <w:shd w:val="clear" w:color="auto" w:fill="auto"/>
            <w:tcMar>
              <w:left w:w="0" w:type="dxa"/>
              <w:right w:w="173" w:type="dxa"/>
            </w:tcMar>
          </w:tcPr>
          <w:p w14:paraId="2C5084EB"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2807EAD6"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52C8E7D0" w14:textId="77777777" w:rsidR="0029763D" w:rsidRPr="00802AF9" w:rsidRDefault="0029763D" w:rsidP="003F073E">
            <w:pPr>
              <w:jc w:val="right"/>
              <w:rPr>
                <w:color w:val="000000"/>
                <w:sz w:val="20"/>
                <w:szCs w:val="20"/>
                <w:lang w:val="fr-CA" w:eastAsia="en-CA"/>
              </w:rPr>
            </w:pPr>
            <w:r w:rsidRPr="00802AF9">
              <w:rPr>
                <w:sz w:val="20"/>
                <w:szCs w:val="20"/>
                <w:lang w:val="fr-CA"/>
              </w:rPr>
              <w:t>553</w:t>
            </w:r>
          </w:p>
        </w:tc>
        <w:tc>
          <w:tcPr>
            <w:tcW w:w="1004" w:type="dxa"/>
            <w:shd w:val="clear" w:color="auto" w:fill="auto"/>
            <w:noWrap/>
            <w:tcMar>
              <w:left w:w="0" w:type="dxa"/>
              <w:right w:w="173" w:type="dxa"/>
            </w:tcMar>
            <w:hideMark/>
          </w:tcPr>
          <w:p w14:paraId="0071E8C3"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2CFB3E48"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3D9127E6" w14:textId="77777777" w:rsidR="0029763D" w:rsidRPr="00802AF9" w:rsidRDefault="0029763D" w:rsidP="003F073E">
            <w:pPr>
              <w:jc w:val="right"/>
              <w:rPr>
                <w:color w:val="000000"/>
                <w:sz w:val="20"/>
                <w:szCs w:val="20"/>
                <w:lang w:val="fr-CA" w:eastAsia="en-CA"/>
              </w:rPr>
            </w:pPr>
            <w:r w:rsidRPr="00802AF9">
              <w:rPr>
                <w:sz w:val="20"/>
                <w:szCs w:val="20"/>
                <w:lang w:val="fr-CA"/>
              </w:rPr>
              <w:t>405</w:t>
            </w:r>
          </w:p>
        </w:tc>
        <w:tc>
          <w:tcPr>
            <w:tcW w:w="1004" w:type="dxa"/>
            <w:shd w:val="clear" w:color="auto" w:fill="auto"/>
            <w:noWrap/>
            <w:tcMar>
              <w:left w:w="0" w:type="dxa"/>
              <w:right w:w="173" w:type="dxa"/>
            </w:tcMar>
            <w:hideMark/>
          </w:tcPr>
          <w:p w14:paraId="04B47C6F" w14:textId="77777777" w:rsidR="0029763D" w:rsidRPr="00802AF9" w:rsidRDefault="0029763D" w:rsidP="003F073E">
            <w:pPr>
              <w:jc w:val="right"/>
              <w:rPr>
                <w:rFonts w:ascii="SimSun" w:eastAsia="SimSun" w:hAnsi="SimSun"/>
                <w:color w:val="000000"/>
                <w:sz w:val="20"/>
                <w:szCs w:val="20"/>
                <w:lang w:val="fr-CA" w:eastAsia="en-CA"/>
              </w:rPr>
            </w:pPr>
          </w:p>
        </w:tc>
        <w:tc>
          <w:tcPr>
            <w:tcW w:w="1005" w:type="dxa"/>
            <w:shd w:val="clear" w:color="auto" w:fill="auto"/>
            <w:noWrap/>
            <w:tcMar>
              <w:left w:w="0" w:type="dxa"/>
              <w:right w:w="173" w:type="dxa"/>
            </w:tcMar>
            <w:hideMark/>
          </w:tcPr>
          <w:p w14:paraId="1B167044" w14:textId="77777777" w:rsidR="0029763D" w:rsidRPr="00802AF9" w:rsidRDefault="0029763D" w:rsidP="003F073E">
            <w:pPr>
              <w:jc w:val="right"/>
              <w:rPr>
                <w:bCs/>
                <w:color w:val="000000"/>
                <w:sz w:val="20"/>
                <w:szCs w:val="20"/>
                <w:lang w:val="fr-CA" w:eastAsia="en-CA"/>
              </w:rPr>
            </w:pPr>
            <w:r w:rsidRPr="00802AF9">
              <w:rPr>
                <w:sz w:val="20"/>
                <w:szCs w:val="20"/>
                <w:lang w:val="fr-CA"/>
              </w:rPr>
              <w:t>958</w:t>
            </w:r>
          </w:p>
        </w:tc>
      </w:tr>
      <w:tr w:rsidR="0029763D" w:rsidRPr="00802AF9" w14:paraId="6EFEEA27" w14:textId="77777777" w:rsidTr="003F073E">
        <w:tc>
          <w:tcPr>
            <w:tcW w:w="1317" w:type="dxa"/>
            <w:shd w:val="clear" w:color="auto" w:fill="auto"/>
            <w:noWrap/>
            <w:tcMar>
              <w:left w:w="29" w:type="dxa"/>
              <w:right w:w="0" w:type="dxa"/>
            </w:tcMar>
            <w:hideMark/>
          </w:tcPr>
          <w:p w14:paraId="3CA484BB"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HCFC-124</w:t>
            </w:r>
          </w:p>
        </w:tc>
        <w:tc>
          <w:tcPr>
            <w:tcW w:w="1004" w:type="dxa"/>
            <w:shd w:val="clear" w:color="auto" w:fill="auto"/>
            <w:tcMar>
              <w:left w:w="0" w:type="dxa"/>
              <w:right w:w="173" w:type="dxa"/>
            </w:tcMar>
          </w:tcPr>
          <w:p w14:paraId="0E84C3BE"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16560048"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7C557CBB"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769F0313"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4D45D488"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0AF73D27" w14:textId="77777777" w:rsidR="0029763D" w:rsidRPr="00802AF9" w:rsidRDefault="0029763D" w:rsidP="003F073E">
            <w:pPr>
              <w:jc w:val="right"/>
              <w:rPr>
                <w:color w:val="000000"/>
                <w:sz w:val="20"/>
                <w:szCs w:val="20"/>
                <w:lang w:val="fr-CA" w:eastAsia="en-CA"/>
              </w:rPr>
            </w:pPr>
            <w:r w:rsidRPr="00802AF9">
              <w:rPr>
                <w:sz w:val="20"/>
                <w:szCs w:val="20"/>
                <w:lang w:val="fr-CA"/>
              </w:rPr>
              <w:t>38</w:t>
            </w:r>
          </w:p>
        </w:tc>
        <w:tc>
          <w:tcPr>
            <w:tcW w:w="1004" w:type="dxa"/>
            <w:shd w:val="clear" w:color="auto" w:fill="auto"/>
            <w:noWrap/>
            <w:tcMar>
              <w:left w:w="0" w:type="dxa"/>
              <w:right w:w="173" w:type="dxa"/>
            </w:tcMar>
            <w:hideMark/>
          </w:tcPr>
          <w:p w14:paraId="49F1A92E" w14:textId="77777777" w:rsidR="0029763D" w:rsidRPr="00802AF9" w:rsidRDefault="0029763D" w:rsidP="003F073E">
            <w:pPr>
              <w:jc w:val="right"/>
              <w:rPr>
                <w:rFonts w:ascii="SimSun" w:eastAsia="SimSun" w:hAnsi="SimSun"/>
                <w:color w:val="000000"/>
                <w:sz w:val="20"/>
                <w:szCs w:val="20"/>
                <w:lang w:val="fr-CA" w:eastAsia="en-CA"/>
              </w:rPr>
            </w:pPr>
          </w:p>
        </w:tc>
        <w:tc>
          <w:tcPr>
            <w:tcW w:w="1005" w:type="dxa"/>
            <w:shd w:val="clear" w:color="auto" w:fill="auto"/>
            <w:noWrap/>
            <w:tcMar>
              <w:left w:w="0" w:type="dxa"/>
              <w:right w:w="173" w:type="dxa"/>
            </w:tcMar>
            <w:hideMark/>
          </w:tcPr>
          <w:p w14:paraId="56F42366" w14:textId="77777777" w:rsidR="0029763D" w:rsidRPr="00802AF9" w:rsidRDefault="0029763D" w:rsidP="003F073E">
            <w:pPr>
              <w:jc w:val="right"/>
              <w:rPr>
                <w:bCs/>
                <w:color w:val="000000"/>
                <w:sz w:val="20"/>
                <w:szCs w:val="20"/>
                <w:lang w:val="fr-CA" w:eastAsia="en-CA"/>
              </w:rPr>
            </w:pPr>
            <w:r w:rsidRPr="00802AF9">
              <w:rPr>
                <w:sz w:val="20"/>
                <w:szCs w:val="20"/>
                <w:lang w:val="fr-CA"/>
              </w:rPr>
              <w:t>38</w:t>
            </w:r>
          </w:p>
        </w:tc>
      </w:tr>
      <w:tr w:rsidR="0029763D" w:rsidRPr="00802AF9" w14:paraId="31DA60E5" w14:textId="77777777" w:rsidTr="003F073E">
        <w:tc>
          <w:tcPr>
            <w:tcW w:w="1317" w:type="dxa"/>
            <w:shd w:val="clear" w:color="auto" w:fill="auto"/>
            <w:noWrap/>
            <w:tcMar>
              <w:left w:w="29" w:type="dxa"/>
              <w:right w:w="0" w:type="dxa"/>
            </w:tcMar>
            <w:hideMark/>
          </w:tcPr>
          <w:p w14:paraId="4469BBCD"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HCFC-225ca</w:t>
            </w:r>
          </w:p>
        </w:tc>
        <w:tc>
          <w:tcPr>
            <w:tcW w:w="1004" w:type="dxa"/>
            <w:shd w:val="clear" w:color="auto" w:fill="auto"/>
            <w:tcMar>
              <w:left w:w="0" w:type="dxa"/>
              <w:right w:w="173" w:type="dxa"/>
            </w:tcMar>
          </w:tcPr>
          <w:p w14:paraId="27567506"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3AD440F2"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7BCC4E9D"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67F0E0E8"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tcMar>
              <w:left w:w="0" w:type="dxa"/>
              <w:right w:w="173" w:type="dxa"/>
            </w:tcMar>
          </w:tcPr>
          <w:p w14:paraId="1EF1187F" w14:textId="77777777" w:rsidR="0029763D" w:rsidRPr="00802AF9" w:rsidRDefault="0029763D" w:rsidP="003F073E">
            <w:pPr>
              <w:jc w:val="right"/>
              <w:rPr>
                <w:color w:val="000000"/>
                <w:sz w:val="20"/>
                <w:szCs w:val="20"/>
                <w:lang w:val="fr-CA" w:eastAsia="en-CA"/>
              </w:rPr>
            </w:pPr>
            <w:r w:rsidRPr="00802AF9">
              <w:rPr>
                <w:sz w:val="20"/>
                <w:szCs w:val="20"/>
                <w:lang w:val="fr-CA"/>
              </w:rPr>
              <w:t>1</w:t>
            </w:r>
          </w:p>
        </w:tc>
        <w:tc>
          <w:tcPr>
            <w:tcW w:w="1004" w:type="dxa"/>
            <w:shd w:val="clear" w:color="auto" w:fill="auto"/>
            <w:noWrap/>
            <w:tcMar>
              <w:left w:w="0" w:type="dxa"/>
              <w:right w:w="173" w:type="dxa"/>
            </w:tcMar>
            <w:hideMark/>
          </w:tcPr>
          <w:p w14:paraId="22458F6A" w14:textId="77777777" w:rsidR="0029763D" w:rsidRPr="00802AF9" w:rsidRDefault="0029763D" w:rsidP="003F073E">
            <w:pPr>
              <w:jc w:val="right"/>
              <w:rPr>
                <w:rFonts w:ascii="SimSun" w:eastAsia="SimSun" w:hAnsi="SimSun"/>
                <w:color w:val="000000"/>
                <w:sz w:val="20"/>
                <w:szCs w:val="20"/>
                <w:lang w:val="fr-CA" w:eastAsia="en-CA"/>
              </w:rPr>
            </w:pPr>
          </w:p>
        </w:tc>
        <w:tc>
          <w:tcPr>
            <w:tcW w:w="1004" w:type="dxa"/>
            <w:shd w:val="clear" w:color="auto" w:fill="auto"/>
            <w:noWrap/>
            <w:tcMar>
              <w:left w:w="0" w:type="dxa"/>
              <w:right w:w="173" w:type="dxa"/>
            </w:tcMar>
            <w:hideMark/>
          </w:tcPr>
          <w:p w14:paraId="619B8FBA" w14:textId="77777777" w:rsidR="0029763D" w:rsidRPr="00802AF9" w:rsidRDefault="0029763D" w:rsidP="003F073E">
            <w:pPr>
              <w:jc w:val="right"/>
              <w:rPr>
                <w:rFonts w:ascii="SimSun" w:eastAsia="SimSun" w:hAnsi="SimSun"/>
                <w:color w:val="000000"/>
                <w:sz w:val="20"/>
                <w:szCs w:val="20"/>
                <w:lang w:val="fr-CA" w:eastAsia="en-CA"/>
              </w:rPr>
            </w:pPr>
          </w:p>
        </w:tc>
        <w:tc>
          <w:tcPr>
            <w:tcW w:w="1005" w:type="dxa"/>
            <w:shd w:val="clear" w:color="auto" w:fill="auto"/>
            <w:noWrap/>
            <w:tcMar>
              <w:left w:w="0" w:type="dxa"/>
              <w:right w:w="173" w:type="dxa"/>
            </w:tcMar>
            <w:hideMark/>
          </w:tcPr>
          <w:p w14:paraId="27E5B195" w14:textId="77777777" w:rsidR="0029763D" w:rsidRPr="00802AF9" w:rsidRDefault="0029763D" w:rsidP="003F073E">
            <w:pPr>
              <w:jc w:val="right"/>
              <w:rPr>
                <w:bCs/>
                <w:color w:val="000000"/>
                <w:sz w:val="20"/>
                <w:szCs w:val="20"/>
                <w:lang w:val="fr-CA" w:eastAsia="en-CA"/>
              </w:rPr>
            </w:pPr>
            <w:r w:rsidRPr="00802AF9">
              <w:rPr>
                <w:sz w:val="20"/>
                <w:szCs w:val="20"/>
                <w:lang w:val="fr-CA"/>
              </w:rPr>
              <w:t>1</w:t>
            </w:r>
          </w:p>
        </w:tc>
      </w:tr>
      <w:tr w:rsidR="0029763D" w:rsidRPr="00802AF9" w14:paraId="7BD26752" w14:textId="77777777" w:rsidTr="003F073E">
        <w:tc>
          <w:tcPr>
            <w:tcW w:w="1317" w:type="dxa"/>
            <w:shd w:val="clear" w:color="auto" w:fill="auto"/>
            <w:noWrap/>
            <w:tcMar>
              <w:left w:w="29" w:type="dxa"/>
              <w:right w:w="0" w:type="dxa"/>
            </w:tcMar>
            <w:hideMark/>
          </w:tcPr>
          <w:p w14:paraId="21C3FAC6" w14:textId="252F978A" w:rsidR="0029763D" w:rsidRPr="00802AF9" w:rsidRDefault="0029763D" w:rsidP="003F073E">
            <w:pPr>
              <w:jc w:val="left"/>
              <w:rPr>
                <w:bCs/>
                <w:color w:val="000000"/>
                <w:sz w:val="20"/>
                <w:szCs w:val="20"/>
                <w:lang w:val="fr-CA" w:eastAsia="en-CA"/>
              </w:rPr>
            </w:pPr>
            <w:r w:rsidRPr="00802AF9">
              <w:rPr>
                <w:bCs/>
                <w:color w:val="000000"/>
                <w:sz w:val="20"/>
                <w:szCs w:val="20"/>
                <w:lang w:val="fr-CA" w:eastAsia="en-CA"/>
              </w:rPr>
              <w:t>Total (</w:t>
            </w:r>
            <w:r w:rsidR="00731A32">
              <w:rPr>
                <w:bCs/>
                <w:color w:val="000000"/>
                <w:sz w:val="20"/>
                <w:szCs w:val="20"/>
                <w:lang w:val="fr-CA" w:eastAsia="en-CA"/>
              </w:rPr>
              <w:t>t</w:t>
            </w:r>
            <w:r w:rsidRPr="00802AF9">
              <w:rPr>
                <w:bCs/>
                <w:color w:val="000000"/>
                <w:sz w:val="20"/>
                <w:szCs w:val="20"/>
                <w:lang w:val="fr-CA" w:eastAsia="en-CA"/>
              </w:rPr>
              <w:t>m)</w:t>
            </w:r>
          </w:p>
        </w:tc>
        <w:tc>
          <w:tcPr>
            <w:tcW w:w="1004" w:type="dxa"/>
            <w:shd w:val="clear" w:color="auto" w:fill="auto"/>
            <w:tcMar>
              <w:left w:w="0" w:type="dxa"/>
              <w:right w:w="173" w:type="dxa"/>
            </w:tcMar>
          </w:tcPr>
          <w:p w14:paraId="76783FA4" w14:textId="52B2A698" w:rsidR="0029763D" w:rsidRPr="00802AF9" w:rsidRDefault="0029763D" w:rsidP="003F073E">
            <w:pPr>
              <w:jc w:val="right"/>
              <w:rPr>
                <w:bCs/>
                <w:color w:val="000000"/>
                <w:sz w:val="20"/>
                <w:szCs w:val="20"/>
                <w:lang w:val="fr-CA" w:eastAsia="en-CA"/>
              </w:rPr>
            </w:pPr>
            <w:r w:rsidRPr="00802AF9">
              <w:rPr>
                <w:sz w:val="20"/>
                <w:szCs w:val="20"/>
                <w:lang w:val="fr-CA"/>
              </w:rPr>
              <w:t>33</w:t>
            </w:r>
            <w:r w:rsidR="00731A32">
              <w:rPr>
                <w:sz w:val="20"/>
                <w:szCs w:val="20"/>
                <w:lang w:val="fr-CA"/>
              </w:rPr>
              <w:t> </w:t>
            </w:r>
            <w:r w:rsidRPr="00802AF9">
              <w:rPr>
                <w:sz w:val="20"/>
                <w:szCs w:val="20"/>
                <w:lang w:val="fr-CA"/>
              </w:rPr>
              <w:t>500</w:t>
            </w:r>
          </w:p>
        </w:tc>
        <w:tc>
          <w:tcPr>
            <w:tcW w:w="1004" w:type="dxa"/>
            <w:shd w:val="clear" w:color="auto" w:fill="auto"/>
            <w:tcMar>
              <w:left w:w="0" w:type="dxa"/>
              <w:right w:w="173" w:type="dxa"/>
            </w:tcMar>
          </w:tcPr>
          <w:p w14:paraId="7E2E5BE1" w14:textId="6E991A08" w:rsidR="0029763D" w:rsidRPr="00802AF9" w:rsidRDefault="0029763D" w:rsidP="003F073E">
            <w:pPr>
              <w:jc w:val="right"/>
              <w:rPr>
                <w:bCs/>
                <w:color w:val="000000"/>
                <w:sz w:val="20"/>
                <w:szCs w:val="20"/>
                <w:lang w:val="fr-CA" w:eastAsia="en-CA"/>
              </w:rPr>
            </w:pPr>
            <w:r w:rsidRPr="00802AF9">
              <w:rPr>
                <w:sz w:val="20"/>
                <w:szCs w:val="20"/>
                <w:lang w:val="fr-CA"/>
              </w:rPr>
              <w:t>34</w:t>
            </w:r>
            <w:r w:rsidR="00731A32">
              <w:rPr>
                <w:sz w:val="20"/>
                <w:szCs w:val="20"/>
                <w:lang w:val="fr-CA"/>
              </w:rPr>
              <w:t> </w:t>
            </w:r>
            <w:r w:rsidRPr="00802AF9">
              <w:rPr>
                <w:sz w:val="20"/>
                <w:szCs w:val="20"/>
                <w:lang w:val="fr-CA"/>
              </w:rPr>
              <w:t>289</w:t>
            </w:r>
          </w:p>
        </w:tc>
        <w:tc>
          <w:tcPr>
            <w:tcW w:w="1004" w:type="dxa"/>
            <w:shd w:val="clear" w:color="auto" w:fill="auto"/>
            <w:tcMar>
              <w:left w:w="0" w:type="dxa"/>
              <w:right w:w="173" w:type="dxa"/>
            </w:tcMar>
          </w:tcPr>
          <w:p w14:paraId="5387B6C1" w14:textId="4CF40EC9" w:rsidR="0029763D" w:rsidRPr="00802AF9" w:rsidRDefault="0029763D" w:rsidP="003F073E">
            <w:pPr>
              <w:jc w:val="right"/>
              <w:rPr>
                <w:bCs/>
                <w:color w:val="000000"/>
                <w:sz w:val="20"/>
                <w:szCs w:val="20"/>
                <w:lang w:val="fr-CA" w:eastAsia="en-CA"/>
              </w:rPr>
            </w:pPr>
            <w:r w:rsidRPr="00802AF9">
              <w:rPr>
                <w:sz w:val="20"/>
                <w:szCs w:val="20"/>
                <w:lang w:val="fr-CA"/>
              </w:rPr>
              <w:t>36</w:t>
            </w:r>
            <w:r w:rsidR="00731A32">
              <w:rPr>
                <w:sz w:val="20"/>
                <w:szCs w:val="20"/>
                <w:lang w:val="fr-CA"/>
              </w:rPr>
              <w:t> </w:t>
            </w:r>
            <w:r w:rsidRPr="00802AF9">
              <w:rPr>
                <w:sz w:val="20"/>
                <w:szCs w:val="20"/>
                <w:lang w:val="fr-CA"/>
              </w:rPr>
              <w:t>643</w:t>
            </w:r>
          </w:p>
        </w:tc>
        <w:tc>
          <w:tcPr>
            <w:tcW w:w="1004" w:type="dxa"/>
            <w:shd w:val="clear" w:color="auto" w:fill="auto"/>
            <w:noWrap/>
            <w:tcMar>
              <w:left w:w="0" w:type="dxa"/>
              <w:right w:w="173" w:type="dxa"/>
            </w:tcMar>
            <w:hideMark/>
          </w:tcPr>
          <w:p w14:paraId="187AF93C" w14:textId="64922D7C" w:rsidR="0029763D" w:rsidRPr="00802AF9" w:rsidRDefault="0029763D" w:rsidP="003F073E">
            <w:pPr>
              <w:jc w:val="right"/>
              <w:rPr>
                <w:bCs/>
                <w:color w:val="000000"/>
                <w:sz w:val="20"/>
                <w:szCs w:val="20"/>
                <w:lang w:val="fr-CA" w:eastAsia="en-CA"/>
              </w:rPr>
            </w:pPr>
            <w:r w:rsidRPr="00802AF9">
              <w:rPr>
                <w:sz w:val="20"/>
                <w:szCs w:val="20"/>
                <w:lang w:val="fr-CA"/>
              </w:rPr>
              <w:t>50</w:t>
            </w:r>
            <w:r w:rsidR="00731A32">
              <w:rPr>
                <w:sz w:val="20"/>
                <w:szCs w:val="20"/>
                <w:lang w:val="fr-CA"/>
              </w:rPr>
              <w:t> </w:t>
            </w:r>
            <w:r w:rsidRPr="00802AF9">
              <w:rPr>
                <w:sz w:val="20"/>
                <w:szCs w:val="20"/>
                <w:lang w:val="fr-CA"/>
              </w:rPr>
              <w:t>000</w:t>
            </w:r>
          </w:p>
        </w:tc>
        <w:tc>
          <w:tcPr>
            <w:tcW w:w="1004" w:type="dxa"/>
            <w:shd w:val="clear" w:color="auto" w:fill="auto"/>
            <w:tcMar>
              <w:left w:w="0" w:type="dxa"/>
              <w:right w:w="173" w:type="dxa"/>
            </w:tcMar>
          </w:tcPr>
          <w:p w14:paraId="40B83496" w14:textId="1952EE72" w:rsidR="0029763D" w:rsidRPr="00802AF9" w:rsidRDefault="0029763D" w:rsidP="003F073E">
            <w:pPr>
              <w:jc w:val="right"/>
              <w:rPr>
                <w:bCs/>
                <w:color w:val="000000"/>
                <w:sz w:val="20"/>
                <w:szCs w:val="20"/>
                <w:lang w:val="fr-CA" w:eastAsia="en-CA"/>
              </w:rPr>
            </w:pPr>
            <w:r w:rsidRPr="00802AF9">
              <w:rPr>
                <w:sz w:val="20"/>
                <w:szCs w:val="20"/>
                <w:lang w:val="fr-CA"/>
              </w:rPr>
              <w:t>3</w:t>
            </w:r>
            <w:r w:rsidR="00731A32">
              <w:rPr>
                <w:sz w:val="20"/>
                <w:szCs w:val="20"/>
                <w:lang w:val="fr-CA"/>
              </w:rPr>
              <w:t> </w:t>
            </w:r>
            <w:r w:rsidRPr="00802AF9">
              <w:rPr>
                <w:sz w:val="20"/>
                <w:szCs w:val="20"/>
                <w:lang w:val="fr-CA"/>
              </w:rPr>
              <w:t>501</w:t>
            </w:r>
          </w:p>
        </w:tc>
        <w:tc>
          <w:tcPr>
            <w:tcW w:w="1004" w:type="dxa"/>
            <w:shd w:val="clear" w:color="auto" w:fill="auto"/>
            <w:noWrap/>
            <w:tcMar>
              <w:left w:w="0" w:type="dxa"/>
              <w:right w:w="173" w:type="dxa"/>
            </w:tcMar>
            <w:hideMark/>
          </w:tcPr>
          <w:p w14:paraId="75C62466" w14:textId="0DD14A86" w:rsidR="0029763D" w:rsidRPr="00802AF9" w:rsidRDefault="0029763D" w:rsidP="003F073E">
            <w:pPr>
              <w:jc w:val="right"/>
              <w:rPr>
                <w:bCs/>
                <w:color w:val="000000"/>
                <w:sz w:val="20"/>
                <w:szCs w:val="20"/>
                <w:lang w:val="fr-CA" w:eastAsia="en-CA"/>
              </w:rPr>
            </w:pPr>
            <w:r w:rsidRPr="00802AF9">
              <w:rPr>
                <w:sz w:val="20"/>
                <w:szCs w:val="20"/>
                <w:lang w:val="fr-CA"/>
              </w:rPr>
              <w:t>59</w:t>
            </w:r>
            <w:r w:rsidR="00731A32">
              <w:rPr>
                <w:sz w:val="20"/>
                <w:szCs w:val="20"/>
                <w:lang w:val="fr-CA"/>
              </w:rPr>
              <w:t> </w:t>
            </w:r>
            <w:r w:rsidRPr="00802AF9">
              <w:rPr>
                <w:sz w:val="20"/>
                <w:szCs w:val="20"/>
                <w:lang w:val="fr-CA"/>
              </w:rPr>
              <w:t>357</w:t>
            </w:r>
          </w:p>
        </w:tc>
        <w:tc>
          <w:tcPr>
            <w:tcW w:w="1004" w:type="dxa"/>
            <w:shd w:val="clear" w:color="auto" w:fill="auto"/>
            <w:noWrap/>
            <w:tcMar>
              <w:left w:w="0" w:type="dxa"/>
              <w:right w:w="173" w:type="dxa"/>
            </w:tcMar>
            <w:hideMark/>
          </w:tcPr>
          <w:p w14:paraId="4D6F48F3" w14:textId="649B297B" w:rsidR="0029763D" w:rsidRPr="00802AF9" w:rsidRDefault="0029763D" w:rsidP="003F073E">
            <w:pPr>
              <w:jc w:val="right"/>
              <w:rPr>
                <w:bCs/>
                <w:color w:val="000000"/>
                <w:sz w:val="20"/>
                <w:szCs w:val="20"/>
                <w:lang w:val="fr-CA" w:eastAsia="en-CA"/>
              </w:rPr>
            </w:pPr>
            <w:r w:rsidRPr="00802AF9">
              <w:rPr>
                <w:sz w:val="20"/>
                <w:szCs w:val="20"/>
                <w:lang w:val="fr-CA"/>
              </w:rPr>
              <w:t>2</w:t>
            </w:r>
            <w:r w:rsidR="00731A32">
              <w:rPr>
                <w:sz w:val="20"/>
                <w:szCs w:val="20"/>
                <w:lang w:val="fr-CA"/>
              </w:rPr>
              <w:t> </w:t>
            </w:r>
            <w:r w:rsidRPr="00802AF9">
              <w:rPr>
                <w:sz w:val="20"/>
                <w:szCs w:val="20"/>
                <w:lang w:val="fr-CA"/>
              </w:rPr>
              <w:t>316</w:t>
            </w:r>
          </w:p>
        </w:tc>
        <w:tc>
          <w:tcPr>
            <w:tcW w:w="1005" w:type="dxa"/>
            <w:shd w:val="clear" w:color="auto" w:fill="auto"/>
            <w:noWrap/>
            <w:tcMar>
              <w:left w:w="0" w:type="dxa"/>
              <w:right w:w="173" w:type="dxa"/>
            </w:tcMar>
            <w:hideMark/>
          </w:tcPr>
          <w:p w14:paraId="414E81B2" w14:textId="3E2369E2" w:rsidR="0029763D" w:rsidRPr="00802AF9" w:rsidRDefault="0029763D" w:rsidP="003F073E">
            <w:pPr>
              <w:jc w:val="right"/>
              <w:rPr>
                <w:bCs/>
                <w:color w:val="000000"/>
                <w:sz w:val="20"/>
                <w:szCs w:val="20"/>
                <w:lang w:val="fr-CA" w:eastAsia="en-CA"/>
              </w:rPr>
            </w:pPr>
            <w:r w:rsidRPr="00802AF9">
              <w:rPr>
                <w:sz w:val="20"/>
                <w:szCs w:val="20"/>
                <w:lang w:val="fr-CA"/>
              </w:rPr>
              <w:t>219</w:t>
            </w:r>
            <w:r w:rsidR="00731A32">
              <w:rPr>
                <w:sz w:val="20"/>
                <w:szCs w:val="20"/>
                <w:lang w:val="fr-CA"/>
              </w:rPr>
              <w:t> </w:t>
            </w:r>
            <w:r w:rsidRPr="00802AF9">
              <w:rPr>
                <w:sz w:val="20"/>
                <w:szCs w:val="20"/>
                <w:lang w:val="fr-CA"/>
              </w:rPr>
              <w:t>605</w:t>
            </w:r>
          </w:p>
        </w:tc>
      </w:tr>
      <w:tr w:rsidR="0029763D" w:rsidRPr="00802AF9" w14:paraId="0D912EDC" w14:textId="77777777" w:rsidTr="003F073E">
        <w:tc>
          <w:tcPr>
            <w:tcW w:w="1317" w:type="dxa"/>
            <w:shd w:val="clear" w:color="auto" w:fill="auto"/>
            <w:noWrap/>
            <w:tcMar>
              <w:left w:w="29" w:type="dxa"/>
              <w:right w:w="0" w:type="dxa"/>
            </w:tcMar>
            <w:hideMark/>
          </w:tcPr>
          <w:p w14:paraId="51D2B6F0" w14:textId="77777777" w:rsidR="0029763D" w:rsidRPr="00802AF9" w:rsidRDefault="0029763D" w:rsidP="003F073E">
            <w:pPr>
              <w:jc w:val="left"/>
              <w:rPr>
                <w:b/>
                <w:bCs/>
                <w:color w:val="000000"/>
                <w:sz w:val="20"/>
                <w:szCs w:val="20"/>
                <w:lang w:val="fr-CA" w:eastAsia="en-CA"/>
              </w:rPr>
            </w:pPr>
            <w:r w:rsidRPr="00802AF9">
              <w:rPr>
                <w:b/>
                <w:bCs/>
                <w:color w:val="000000"/>
                <w:sz w:val="20"/>
                <w:szCs w:val="20"/>
                <w:lang w:val="fr-CA" w:eastAsia="en-CA"/>
              </w:rPr>
              <w:t>Total</w:t>
            </w:r>
          </w:p>
        </w:tc>
        <w:tc>
          <w:tcPr>
            <w:tcW w:w="1004" w:type="dxa"/>
            <w:shd w:val="clear" w:color="auto" w:fill="auto"/>
            <w:tcMar>
              <w:left w:w="0" w:type="dxa"/>
              <w:right w:w="173" w:type="dxa"/>
            </w:tcMar>
          </w:tcPr>
          <w:p w14:paraId="1BC102A9" w14:textId="308BD0E1" w:rsidR="0029763D" w:rsidRPr="00802AF9" w:rsidRDefault="0029763D" w:rsidP="003F073E">
            <w:pPr>
              <w:jc w:val="right"/>
              <w:rPr>
                <w:b/>
                <w:bCs/>
                <w:color w:val="000000"/>
                <w:sz w:val="20"/>
                <w:szCs w:val="20"/>
                <w:lang w:val="fr-CA" w:eastAsia="en-CA"/>
              </w:rPr>
            </w:pPr>
            <w:r w:rsidRPr="00802AF9">
              <w:rPr>
                <w:sz w:val="20"/>
                <w:szCs w:val="20"/>
                <w:lang w:val="fr-CA"/>
              </w:rPr>
              <w:t>1</w:t>
            </w:r>
            <w:r w:rsidR="00731A32">
              <w:rPr>
                <w:sz w:val="20"/>
                <w:szCs w:val="20"/>
                <w:lang w:val="fr-CA"/>
              </w:rPr>
              <w:t> </w:t>
            </w:r>
            <w:r w:rsidRPr="00802AF9">
              <w:rPr>
                <w:sz w:val="20"/>
                <w:szCs w:val="20"/>
                <w:lang w:val="fr-CA"/>
              </w:rPr>
              <w:t>898</w:t>
            </w:r>
          </w:p>
        </w:tc>
        <w:tc>
          <w:tcPr>
            <w:tcW w:w="1004" w:type="dxa"/>
            <w:shd w:val="clear" w:color="auto" w:fill="auto"/>
            <w:tcMar>
              <w:left w:w="0" w:type="dxa"/>
              <w:right w:w="173" w:type="dxa"/>
            </w:tcMar>
          </w:tcPr>
          <w:p w14:paraId="568FCF55" w14:textId="6774A445" w:rsidR="0029763D" w:rsidRPr="00802AF9" w:rsidRDefault="0029763D" w:rsidP="003F073E">
            <w:pPr>
              <w:jc w:val="right"/>
              <w:rPr>
                <w:b/>
                <w:bCs/>
                <w:color w:val="000000"/>
                <w:sz w:val="20"/>
                <w:szCs w:val="20"/>
                <w:lang w:val="fr-CA" w:eastAsia="en-CA"/>
              </w:rPr>
            </w:pPr>
            <w:r w:rsidRPr="00802AF9">
              <w:rPr>
                <w:sz w:val="20"/>
                <w:szCs w:val="20"/>
                <w:lang w:val="fr-CA"/>
              </w:rPr>
              <w:t>3</w:t>
            </w:r>
            <w:r w:rsidR="00731A32">
              <w:rPr>
                <w:sz w:val="20"/>
                <w:szCs w:val="20"/>
                <w:lang w:val="fr-CA"/>
              </w:rPr>
              <w:t> </w:t>
            </w:r>
            <w:r w:rsidRPr="00802AF9">
              <w:rPr>
                <w:sz w:val="20"/>
                <w:szCs w:val="20"/>
                <w:lang w:val="fr-CA"/>
              </w:rPr>
              <w:t>772</w:t>
            </w:r>
          </w:p>
        </w:tc>
        <w:tc>
          <w:tcPr>
            <w:tcW w:w="1004" w:type="dxa"/>
            <w:shd w:val="clear" w:color="auto" w:fill="auto"/>
            <w:tcMar>
              <w:left w:w="0" w:type="dxa"/>
              <w:right w:w="173" w:type="dxa"/>
            </w:tcMar>
          </w:tcPr>
          <w:p w14:paraId="6611C3B9" w14:textId="17D7C4C8" w:rsidR="0029763D" w:rsidRPr="00802AF9" w:rsidRDefault="0029763D" w:rsidP="003F073E">
            <w:pPr>
              <w:jc w:val="right"/>
              <w:rPr>
                <w:b/>
                <w:bCs/>
                <w:color w:val="000000"/>
                <w:sz w:val="20"/>
                <w:szCs w:val="20"/>
                <w:lang w:val="fr-CA" w:eastAsia="en-CA"/>
              </w:rPr>
            </w:pPr>
            <w:r w:rsidRPr="00802AF9">
              <w:rPr>
                <w:sz w:val="20"/>
                <w:szCs w:val="20"/>
                <w:lang w:val="fr-CA"/>
              </w:rPr>
              <w:t>1</w:t>
            </w:r>
            <w:r w:rsidR="00731A32">
              <w:rPr>
                <w:sz w:val="20"/>
                <w:szCs w:val="20"/>
                <w:lang w:val="fr-CA"/>
              </w:rPr>
              <w:t> </w:t>
            </w:r>
            <w:r w:rsidRPr="00802AF9">
              <w:rPr>
                <w:sz w:val="20"/>
                <w:szCs w:val="20"/>
                <w:lang w:val="fr-CA"/>
              </w:rPr>
              <w:t>997</w:t>
            </w:r>
          </w:p>
        </w:tc>
        <w:tc>
          <w:tcPr>
            <w:tcW w:w="1004" w:type="dxa"/>
            <w:shd w:val="clear" w:color="auto" w:fill="auto"/>
            <w:noWrap/>
            <w:tcMar>
              <w:left w:w="0" w:type="dxa"/>
              <w:right w:w="173" w:type="dxa"/>
            </w:tcMar>
            <w:hideMark/>
          </w:tcPr>
          <w:p w14:paraId="528E73DC" w14:textId="1330E7BF" w:rsidR="0029763D" w:rsidRPr="00802AF9" w:rsidRDefault="0029763D" w:rsidP="003F073E">
            <w:pPr>
              <w:jc w:val="right"/>
              <w:rPr>
                <w:b/>
                <w:bCs/>
                <w:color w:val="000000"/>
                <w:sz w:val="20"/>
                <w:szCs w:val="20"/>
                <w:lang w:val="fr-CA" w:eastAsia="en-CA"/>
              </w:rPr>
            </w:pPr>
            <w:r w:rsidRPr="00802AF9">
              <w:rPr>
                <w:sz w:val="20"/>
                <w:szCs w:val="20"/>
                <w:lang w:val="fr-CA"/>
              </w:rPr>
              <w:t>2</w:t>
            </w:r>
            <w:r w:rsidR="00731A32">
              <w:rPr>
                <w:sz w:val="20"/>
                <w:szCs w:val="20"/>
                <w:lang w:val="fr-CA"/>
              </w:rPr>
              <w:t> </w:t>
            </w:r>
            <w:r w:rsidRPr="00802AF9">
              <w:rPr>
                <w:sz w:val="20"/>
                <w:szCs w:val="20"/>
                <w:lang w:val="fr-CA"/>
              </w:rPr>
              <w:t>750</w:t>
            </w:r>
          </w:p>
        </w:tc>
        <w:tc>
          <w:tcPr>
            <w:tcW w:w="1004" w:type="dxa"/>
            <w:shd w:val="clear" w:color="auto" w:fill="auto"/>
            <w:tcMar>
              <w:left w:w="0" w:type="dxa"/>
              <w:right w:w="173" w:type="dxa"/>
            </w:tcMar>
          </w:tcPr>
          <w:p w14:paraId="3DFFAF17" w14:textId="77777777" w:rsidR="0029763D" w:rsidRPr="00802AF9" w:rsidRDefault="0029763D" w:rsidP="003F073E">
            <w:pPr>
              <w:jc w:val="right"/>
              <w:rPr>
                <w:b/>
                <w:bCs/>
                <w:color w:val="000000"/>
                <w:sz w:val="20"/>
                <w:szCs w:val="20"/>
                <w:lang w:val="fr-CA" w:eastAsia="en-CA"/>
              </w:rPr>
            </w:pPr>
            <w:r w:rsidRPr="00802AF9">
              <w:rPr>
                <w:sz w:val="20"/>
                <w:szCs w:val="20"/>
                <w:lang w:val="fr-CA"/>
              </w:rPr>
              <w:t>385</w:t>
            </w:r>
          </w:p>
        </w:tc>
        <w:tc>
          <w:tcPr>
            <w:tcW w:w="1004" w:type="dxa"/>
            <w:shd w:val="clear" w:color="auto" w:fill="auto"/>
            <w:noWrap/>
            <w:tcMar>
              <w:left w:w="0" w:type="dxa"/>
              <w:right w:w="173" w:type="dxa"/>
            </w:tcMar>
            <w:hideMark/>
          </w:tcPr>
          <w:p w14:paraId="14ECDBFA" w14:textId="22442254" w:rsidR="0029763D" w:rsidRPr="00802AF9" w:rsidRDefault="0029763D" w:rsidP="003F073E">
            <w:pPr>
              <w:jc w:val="right"/>
              <w:rPr>
                <w:b/>
                <w:bCs/>
                <w:color w:val="000000"/>
                <w:sz w:val="20"/>
                <w:szCs w:val="20"/>
                <w:lang w:val="fr-CA" w:eastAsia="en-CA"/>
              </w:rPr>
            </w:pPr>
            <w:r w:rsidRPr="00802AF9">
              <w:rPr>
                <w:sz w:val="20"/>
                <w:szCs w:val="20"/>
                <w:lang w:val="fr-CA"/>
              </w:rPr>
              <w:t>3</w:t>
            </w:r>
            <w:r w:rsidR="00731A32">
              <w:rPr>
                <w:sz w:val="20"/>
                <w:szCs w:val="20"/>
                <w:lang w:val="fr-CA"/>
              </w:rPr>
              <w:t> </w:t>
            </w:r>
            <w:r w:rsidRPr="00802AF9">
              <w:rPr>
                <w:sz w:val="20"/>
                <w:szCs w:val="20"/>
                <w:lang w:val="fr-CA"/>
              </w:rPr>
              <w:t>258</w:t>
            </w:r>
          </w:p>
        </w:tc>
        <w:tc>
          <w:tcPr>
            <w:tcW w:w="1004" w:type="dxa"/>
            <w:shd w:val="clear" w:color="auto" w:fill="auto"/>
            <w:noWrap/>
            <w:tcMar>
              <w:left w:w="0" w:type="dxa"/>
              <w:right w:w="173" w:type="dxa"/>
            </w:tcMar>
            <w:hideMark/>
          </w:tcPr>
          <w:p w14:paraId="5DBFB865" w14:textId="77777777" w:rsidR="0029763D" w:rsidRPr="00802AF9" w:rsidRDefault="0029763D" w:rsidP="003F073E">
            <w:pPr>
              <w:jc w:val="right"/>
              <w:rPr>
                <w:b/>
                <w:bCs/>
                <w:color w:val="000000"/>
                <w:sz w:val="20"/>
                <w:szCs w:val="20"/>
                <w:lang w:val="fr-CA" w:eastAsia="en-CA"/>
              </w:rPr>
            </w:pPr>
            <w:r w:rsidRPr="00802AF9">
              <w:rPr>
                <w:sz w:val="20"/>
                <w:szCs w:val="20"/>
                <w:lang w:val="fr-CA"/>
              </w:rPr>
              <w:t>164</w:t>
            </w:r>
          </w:p>
        </w:tc>
        <w:tc>
          <w:tcPr>
            <w:tcW w:w="1005" w:type="dxa"/>
            <w:shd w:val="clear" w:color="auto" w:fill="auto"/>
            <w:noWrap/>
            <w:tcMar>
              <w:left w:w="0" w:type="dxa"/>
              <w:right w:w="173" w:type="dxa"/>
            </w:tcMar>
            <w:hideMark/>
          </w:tcPr>
          <w:p w14:paraId="1F11EBD6" w14:textId="47E7EC67" w:rsidR="0029763D" w:rsidRPr="00802AF9" w:rsidRDefault="0029763D" w:rsidP="003F073E">
            <w:pPr>
              <w:jc w:val="right"/>
              <w:rPr>
                <w:b/>
                <w:bCs/>
                <w:color w:val="000000"/>
                <w:sz w:val="20"/>
                <w:szCs w:val="20"/>
                <w:lang w:val="fr-CA" w:eastAsia="en-CA"/>
              </w:rPr>
            </w:pPr>
            <w:r w:rsidRPr="00802AF9">
              <w:rPr>
                <w:sz w:val="20"/>
                <w:szCs w:val="20"/>
                <w:lang w:val="fr-CA"/>
              </w:rPr>
              <w:t>14</w:t>
            </w:r>
            <w:r w:rsidR="00731A32">
              <w:rPr>
                <w:sz w:val="20"/>
                <w:szCs w:val="20"/>
                <w:lang w:val="fr-CA"/>
              </w:rPr>
              <w:t> </w:t>
            </w:r>
            <w:r w:rsidRPr="00802AF9">
              <w:rPr>
                <w:sz w:val="20"/>
                <w:szCs w:val="20"/>
                <w:lang w:val="fr-CA"/>
              </w:rPr>
              <w:t>223</w:t>
            </w:r>
          </w:p>
        </w:tc>
      </w:tr>
      <w:tr w:rsidR="0029763D" w:rsidRPr="00802AF9" w14:paraId="1D2B732F" w14:textId="77777777" w:rsidTr="003F073E">
        <w:tc>
          <w:tcPr>
            <w:tcW w:w="1317" w:type="dxa"/>
            <w:shd w:val="clear" w:color="auto" w:fill="auto"/>
            <w:noWrap/>
            <w:tcMar>
              <w:left w:w="29" w:type="dxa"/>
              <w:right w:w="0" w:type="dxa"/>
            </w:tcMar>
          </w:tcPr>
          <w:p w14:paraId="15BF77A7" w14:textId="1BFB8896" w:rsidR="0029763D" w:rsidRPr="00802AF9" w:rsidRDefault="00731A32" w:rsidP="003F073E">
            <w:pPr>
              <w:jc w:val="left"/>
              <w:rPr>
                <w:b/>
                <w:bCs/>
                <w:color w:val="000000"/>
                <w:sz w:val="19"/>
                <w:szCs w:val="19"/>
                <w:lang w:val="fr-CA" w:eastAsia="en-CA"/>
              </w:rPr>
            </w:pPr>
            <w:r>
              <w:rPr>
                <w:b/>
                <w:color w:val="000000"/>
                <w:sz w:val="20"/>
                <w:szCs w:val="20"/>
                <w:lang w:val="fr-CA"/>
              </w:rPr>
              <w:t>Admissible</w:t>
            </w:r>
            <w:r w:rsidR="0029763D" w:rsidRPr="00802AF9">
              <w:rPr>
                <w:b/>
                <w:color w:val="000000"/>
                <w:sz w:val="20"/>
                <w:szCs w:val="20"/>
                <w:lang w:val="fr-CA"/>
              </w:rPr>
              <w:t xml:space="preserve">*** </w:t>
            </w:r>
          </w:p>
        </w:tc>
        <w:tc>
          <w:tcPr>
            <w:tcW w:w="1004" w:type="dxa"/>
            <w:shd w:val="clear" w:color="auto" w:fill="auto"/>
            <w:tcMar>
              <w:right w:w="173" w:type="dxa"/>
            </w:tcMar>
          </w:tcPr>
          <w:p w14:paraId="6D5E1150" w14:textId="670C433A" w:rsidR="0029763D" w:rsidRPr="00802AF9" w:rsidRDefault="0029763D" w:rsidP="003F073E">
            <w:pPr>
              <w:jc w:val="right"/>
              <w:rPr>
                <w:b/>
                <w:bCs/>
                <w:color w:val="000000"/>
                <w:sz w:val="20"/>
                <w:szCs w:val="20"/>
                <w:lang w:val="fr-CA" w:eastAsia="en-CA"/>
              </w:rPr>
            </w:pPr>
            <w:r w:rsidRPr="00802AF9">
              <w:rPr>
                <w:sz w:val="20"/>
                <w:szCs w:val="20"/>
                <w:lang w:val="fr-CA"/>
              </w:rPr>
              <w:t>2</w:t>
            </w:r>
            <w:r w:rsidR="00731A32">
              <w:rPr>
                <w:sz w:val="20"/>
                <w:szCs w:val="20"/>
                <w:lang w:val="fr-CA"/>
              </w:rPr>
              <w:t> </w:t>
            </w:r>
            <w:r w:rsidRPr="00802AF9">
              <w:rPr>
                <w:sz w:val="20"/>
                <w:szCs w:val="20"/>
                <w:lang w:val="fr-CA"/>
              </w:rPr>
              <w:t>032</w:t>
            </w:r>
          </w:p>
        </w:tc>
        <w:tc>
          <w:tcPr>
            <w:tcW w:w="1004" w:type="dxa"/>
            <w:shd w:val="clear" w:color="auto" w:fill="auto"/>
            <w:tcMar>
              <w:right w:w="173" w:type="dxa"/>
            </w:tcMar>
          </w:tcPr>
          <w:p w14:paraId="4CCB2D7C" w14:textId="1BC6A915" w:rsidR="0029763D" w:rsidRPr="00802AF9" w:rsidRDefault="0029763D" w:rsidP="003F073E">
            <w:pPr>
              <w:jc w:val="right"/>
              <w:rPr>
                <w:b/>
                <w:bCs/>
                <w:color w:val="000000"/>
                <w:sz w:val="20"/>
                <w:szCs w:val="20"/>
                <w:lang w:val="fr-CA" w:eastAsia="en-CA"/>
              </w:rPr>
            </w:pPr>
            <w:r w:rsidRPr="00802AF9">
              <w:rPr>
                <w:sz w:val="20"/>
                <w:szCs w:val="20"/>
                <w:lang w:val="fr-CA"/>
              </w:rPr>
              <w:t>3</w:t>
            </w:r>
            <w:r w:rsidR="00731A32">
              <w:rPr>
                <w:sz w:val="20"/>
                <w:szCs w:val="20"/>
                <w:lang w:val="fr-CA"/>
              </w:rPr>
              <w:t> </w:t>
            </w:r>
            <w:r w:rsidRPr="00802AF9">
              <w:rPr>
                <w:sz w:val="20"/>
                <w:szCs w:val="20"/>
                <w:lang w:val="fr-CA"/>
              </w:rPr>
              <w:t>775</w:t>
            </w:r>
          </w:p>
        </w:tc>
        <w:tc>
          <w:tcPr>
            <w:tcW w:w="1004" w:type="dxa"/>
            <w:shd w:val="clear" w:color="auto" w:fill="auto"/>
            <w:tcMar>
              <w:right w:w="173" w:type="dxa"/>
            </w:tcMar>
          </w:tcPr>
          <w:p w14:paraId="299CDEF7" w14:textId="5A5288C8" w:rsidR="0029763D" w:rsidRPr="00802AF9" w:rsidRDefault="0029763D" w:rsidP="003F073E">
            <w:pPr>
              <w:jc w:val="right"/>
              <w:rPr>
                <w:b/>
                <w:bCs/>
                <w:color w:val="000000"/>
                <w:sz w:val="20"/>
                <w:szCs w:val="20"/>
                <w:lang w:val="fr-CA" w:eastAsia="en-CA"/>
              </w:rPr>
            </w:pPr>
            <w:r w:rsidRPr="00802AF9">
              <w:rPr>
                <w:sz w:val="20"/>
                <w:szCs w:val="20"/>
                <w:lang w:val="fr-CA"/>
              </w:rPr>
              <w:t>2</w:t>
            </w:r>
            <w:r w:rsidR="00731A32">
              <w:rPr>
                <w:sz w:val="20"/>
                <w:szCs w:val="20"/>
                <w:lang w:val="fr-CA"/>
              </w:rPr>
              <w:t> </w:t>
            </w:r>
            <w:r w:rsidRPr="00802AF9">
              <w:rPr>
                <w:sz w:val="20"/>
                <w:szCs w:val="20"/>
                <w:lang w:val="fr-CA"/>
              </w:rPr>
              <w:t>042</w:t>
            </w:r>
          </w:p>
        </w:tc>
        <w:tc>
          <w:tcPr>
            <w:tcW w:w="1004" w:type="dxa"/>
            <w:shd w:val="clear" w:color="auto" w:fill="auto"/>
            <w:noWrap/>
            <w:tcMar>
              <w:right w:w="173" w:type="dxa"/>
            </w:tcMar>
          </w:tcPr>
          <w:p w14:paraId="0222794F" w14:textId="2850B1D1" w:rsidR="0029763D" w:rsidRPr="00802AF9" w:rsidRDefault="0029763D" w:rsidP="003F073E">
            <w:pPr>
              <w:jc w:val="right"/>
              <w:rPr>
                <w:b/>
                <w:bCs/>
                <w:color w:val="000000"/>
                <w:sz w:val="20"/>
                <w:szCs w:val="20"/>
                <w:lang w:val="fr-CA" w:eastAsia="en-CA"/>
              </w:rPr>
            </w:pPr>
            <w:r w:rsidRPr="00802AF9">
              <w:rPr>
                <w:sz w:val="20"/>
                <w:szCs w:val="20"/>
                <w:lang w:val="fr-CA"/>
              </w:rPr>
              <w:t>2</w:t>
            </w:r>
            <w:r w:rsidR="00731A32">
              <w:rPr>
                <w:sz w:val="20"/>
                <w:szCs w:val="20"/>
                <w:lang w:val="fr-CA"/>
              </w:rPr>
              <w:t> </w:t>
            </w:r>
            <w:r w:rsidRPr="00802AF9">
              <w:rPr>
                <w:sz w:val="20"/>
                <w:szCs w:val="20"/>
                <w:lang w:val="fr-CA"/>
              </w:rPr>
              <w:t>876</w:t>
            </w:r>
          </w:p>
        </w:tc>
        <w:tc>
          <w:tcPr>
            <w:tcW w:w="1004" w:type="dxa"/>
            <w:shd w:val="clear" w:color="auto" w:fill="auto"/>
            <w:tcMar>
              <w:right w:w="173" w:type="dxa"/>
            </w:tcMar>
          </w:tcPr>
          <w:p w14:paraId="7F947B6D" w14:textId="77777777" w:rsidR="0029763D" w:rsidRPr="00802AF9" w:rsidRDefault="0029763D" w:rsidP="003F073E">
            <w:pPr>
              <w:jc w:val="right"/>
              <w:rPr>
                <w:b/>
                <w:bCs/>
                <w:color w:val="000000"/>
                <w:sz w:val="20"/>
                <w:szCs w:val="20"/>
                <w:lang w:val="fr-CA" w:eastAsia="en-CA"/>
              </w:rPr>
            </w:pPr>
            <w:r w:rsidRPr="00802AF9">
              <w:rPr>
                <w:sz w:val="20"/>
                <w:szCs w:val="20"/>
                <w:lang w:val="fr-CA"/>
              </w:rPr>
              <w:t>395</w:t>
            </w:r>
          </w:p>
        </w:tc>
        <w:tc>
          <w:tcPr>
            <w:tcW w:w="1004" w:type="dxa"/>
            <w:shd w:val="clear" w:color="auto" w:fill="auto"/>
            <w:noWrap/>
            <w:tcMar>
              <w:right w:w="173" w:type="dxa"/>
            </w:tcMar>
          </w:tcPr>
          <w:p w14:paraId="7E4FF97C" w14:textId="202CCD09" w:rsidR="0029763D" w:rsidRPr="00802AF9" w:rsidRDefault="00494A38" w:rsidP="003F073E">
            <w:pPr>
              <w:jc w:val="right"/>
              <w:rPr>
                <w:b/>
                <w:bCs/>
                <w:color w:val="000000"/>
                <w:sz w:val="20"/>
                <w:szCs w:val="20"/>
                <w:lang w:val="fr-CA" w:eastAsia="en-CA"/>
              </w:rPr>
            </w:pPr>
            <w:r w:rsidRPr="00802AF9">
              <w:rPr>
                <w:sz w:val="20"/>
                <w:szCs w:val="20"/>
                <w:lang w:val="fr-CA"/>
              </w:rPr>
              <w:t>n/d</w:t>
            </w:r>
            <w:r w:rsidR="0029763D" w:rsidRPr="00802AF9">
              <w:rPr>
                <w:sz w:val="20"/>
                <w:szCs w:val="20"/>
                <w:lang w:val="fr-CA"/>
              </w:rPr>
              <w:t>*</w:t>
            </w:r>
          </w:p>
        </w:tc>
        <w:tc>
          <w:tcPr>
            <w:tcW w:w="1004" w:type="dxa"/>
            <w:shd w:val="clear" w:color="auto" w:fill="auto"/>
            <w:noWrap/>
            <w:tcMar>
              <w:right w:w="173" w:type="dxa"/>
            </w:tcMar>
          </w:tcPr>
          <w:p w14:paraId="5D2308C0" w14:textId="510745BC" w:rsidR="0029763D" w:rsidRPr="00802AF9" w:rsidRDefault="00494A38" w:rsidP="003F073E">
            <w:pPr>
              <w:jc w:val="right"/>
              <w:rPr>
                <w:b/>
                <w:bCs/>
                <w:color w:val="000000"/>
                <w:sz w:val="20"/>
                <w:szCs w:val="20"/>
                <w:lang w:val="fr-CA" w:eastAsia="en-CA"/>
              </w:rPr>
            </w:pPr>
            <w:r w:rsidRPr="00802AF9">
              <w:rPr>
                <w:sz w:val="20"/>
                <w:szCs w:val="20"/>
                <w:lang w:val="fr-CA"/>
              </w:rPr>
              <w:t>n/d</w:t>
            </w:r>
            <w:r w:rsidR="0029763D" w:rsidRPr="00802AF9">
              <w:rPr>
                <w:sz w:val="20"/>
                <w:szCs w:val="20"/>
                <w:lang w:val="fr-CA"/>
              </w:rPr>
              <w:t>**</w:t>
            </w:r>
          </w:p>
        </w:tc>
        <w:tc>
          <w:tcPr>
            <w:tcW w:w="1005" w:type="dxa"/>
            <w:shd w:val="clear" w:color="auto" w:fill="auto"/>
            <w:noWrap/>
            <w:tcMar>
              <w:right w:w="173" w:type="dxa"/>
            </w:tcMar>
          </w:tcPr>
          <w:p w14:paraId="24138D96" w14:textId="4E2790D6" w:rsidR="0029763D" w:rsidRPr="00802AF9" w:rsidRDefault="0029763D" w:rsidP="003F073E">
            <w:pPr>
              <w:jc w:val="right"/>
              <w:rPr>
                <w:b/>
                <w:bCs/>
                <w:color w:val="000000"/>
                <w:sz w:val="20"/>
                <w:szCs w:val="20"/>
                <w:lang w:val="fr-CA" w:eastAsia="en-CA"/>
              </w:rPr>
            </w:pPr>
            <w:r w:rsidRPr="00802AF9">
              <w:rPr>
                <w:sz w:val="20"/>
                <w:szCs w:val="20"/>
                <w:lang w:val="fr-CA"/>
              </w:rPr>
              <w:t>15</w:t>
            </w:r>
            <w:r w:rsidR="00731A32">
              <w:rPr>
                <w:sz w:val="20"/>
                <w:szCs w:val="20"/>
                <w:lang w:val="fr-CA"/>
              </w:rPr>
              <w:t> </w:t>
            </w:r>
            <w:r w:rsidRPr="00802AF9">
              <w:rPr>
                <w:sz w:val="20"/>
                <w:szCs w:val="20"/>
                <w:lang w:val="fr-CA"/>
              </w:rPr>
              <w:t>048</w:t>
            </w:r>
          </w:p>
        </w:tc>
      </w:tr>
    </w:tbl>
    <w:p w14:paraId="26EE94B0" w14:textId="7083ECAB" w:rsidR="0029763D" w:rsidRPr="00802AF9" w:rsidRDefault="0029763D" w:rsidP="0029763D">
      <w:pPr>
        <w:rPr>
          <w:sz w:val="19"/>
          <w:szCs w:val="19"/>
          <w:lang w:val="fr-CA"/>
        </w:rPr>
      </w:pPr>
      <w:r w:rsidRPr="00802AF9">
        <w:rPr>
          <w:sz w:val="19"/>
          <w:szCs w:val="19"/>
          <w:lang w:val="fr-CA"/>
        </w:rPr>
        <w:t xml:space="preserve">* </w:t>
      </w:r>
      <w:r w:rsidR="00731A32">
        <w:rPr>
          <w:sz w:val="19"/>
          <w:szCs w:val="19"/>
          <w:lang w:val="fr-CA"/>
        </w:rPr>
        <w:t>Aucune limite de consommation annuelle n’a été établie pour le secteur de l’entretien en</w:t>
      </w:r>
      <w:r w:rsidRPr="00802AF9">
        <w:rPr>
          <w:sz w:val="19"/>
          <w:szCs w:val="19"/>
          <w:lang w:val="fr-CA"/>
        </w:rPr>
        <w:t xml:space="preserve"> </w:t>
      </w:r>
      <w:r w:rsidR="00731A32" w:rsidRPr="00802AF9">
        <w:rPr>
          <w:sz w:val="19"/>
          <w:szCs w:val="19"/>
          <w:lang w:val="fr-CA"/>
        </w:rPr>
        <w:t>réfrigération</w:t>
      </w:r>
      <w:r w:rsidRPr="00802AF9">
        <w:rPr>
          <w:sz w:val="19"/>
          <w:szCs w:val="19"/>
          <w:lang w:val="fr-CA"/>
        </w:rPr>
        <w:t>.</w:t>
      </w:r>
    </w:p>
    <w:p w14:paraId="29CAE9C6" w14:textId="4225658F" w:rsidR="0029763D" w:rsidRPr="00802AF9" w:rsidRDefault="0029763D" w:rsidP="0029763D">
      <w:pPr>
        <w:rPr>
          <w:sz w:val="19"/>
          <w:szCs w:val="19"/>
          <w:lang w:val="fr-CA"/>
        </w:rPr>
      </w:pPr>
      <w:r w:rsidRPr="00802AF9">
        <w:rPr>
          <w:sz w:val="19"/>
          <w:szCs w:val="19"/>
          <w:lang w:val="fr-CA"/>
        </w:rPr>
        <w:t xml:space="preserve">** </w:t>
      </w:r>
      <w:r w:rsidR="00731A32">
        <w:rPr>
          <w:sz w:val="19"/>
          <w:szCs w:val="19"/>
          <w:lang w:val="fr-CA"/>
        </w:rPr>
        <w:t xml:space="preserve">Le secteur des aérosols n’est pas inclus dans la </w:t>
      </w:r>
      <w:r w:rsidR="0014063A" w:rsidRPr="00802AF9">
        <w:rPr>
          <w:sz w:val="19"/>
          <w:szCs w:val="19"/>
          <w:lang w:val="fr-CA"/>
        </w:rPr>
        <w:t>phase</w:t>
      </w:r>
      <w:r w:rsidRPr="00802AF9">
        <w:rPr>
          <w:sz w:val="19"/>
          <w:szCs w:val="19"/>
          <w:lang w:val="fr-CA"/>
        </w:rPr>
        <w:t xml:space="preserve"> II </w:t>
      </w:r>
      <w:r w:rsidR="00731A32">
        <w:rPr>
          <w:sz w:val="19"/>
          <w:szCs w:val="19"/>
          <w:lang w:val="fr-CA"/>
        </w:rPr>
        <w:t>du</w:t>
      </w:r>
      <w:r w:rsidRPr="00802AF9">
        <w:rPr>
          <w:sz w:val="19"/>
          <w:szCs w:val="19"/>
          <w:lang w:val="fr-CA"/>
        </w:rPr>
        <w:t xml:space="preserve"> </w:t>
      </w:r>
      <w:r w:rsidR="00494A38" w:rsidRPr="00802AF9">
        <w:rPr>
          <w:sz w:val="19"/>
          <w:szCs w:val="19"/>
          <w:lang w:val="fr-CA"/>
        </w:rPr>
        <w:t>PGEH</w:t>
      </w:r>
      <w:r w:rsidRPr="00802AF9">
        <w:rPr>
          <w:sz w:val="19"/>
          <w:szCs w:val="19"/>
          <w:lang w:val="fr-CA"/>
        </w:rPr>
        <w:t>.</w:t>
      </w:r>
    </w:p>
    <w:p w14:paraId="68770F7E" w14:textId="45ED0E01" w:rsidR="0029763D" w:rsidRPr="00802AF9" w:rsidRDefault="0029763D" w:rsidP="0029763D">
      <w:pPr>
        <w:rPr>
          <w:sz w:val="19"/>
          <w:szCs w:val="19"/>
          <w:lang w:val="fr-CA"/>
        </w:rPr>
      </w:pPr>
      <w:r w:rsidRPr="00802AF9">
        <w:rPr>
          <w:sz w:val="19"/>
          <w:szCs w:val="19"/>
          <w:lang w:val="fr-CA"/>
        </w:rPr>
        <w:t xml:space="preserve">*** </w:t>
      </w:r>
      <w:r w:rsidR="00731A32">
        <w:rPr>
          <w:sz w:val="19"/>
          <w:szCs w:val="19"/>
          <w:lang w:val="fr-CA"/>
        </w:rPr>
        <w:t>Consommation maximale admissible</w:t>
      </w:r>
      <w:r w:rsidRPr="00802AF9">
        <w:rPr>
          <w:sz w:val="19"/>
          <w:szCs w:val="19"/>
          <w:lang w:val="fr-CA"/>
        </w:rPr>
        <w:t>.</w:t>
      </w:r>
    </w:p>
    <w:p w14:paraId="4BD50259" w14:textId="1A6E512E" w:rsidR="0029763D" w:rsidRPr="00802AF9" w:rsidRDefault="00731A32" w:rsidP="0029763D">
      <w:pPr>
        <w:numPr>
          <w:ilvl w:val="0"/>
          <w:numId w:val="1"/>
        </w:numPr>
        <w:spacing w:after="240"/>
        <w:outlineLvl w:val="0"/>
        <w:rPr>
          <w:lang w:val="fr-CA"/>
        </w:rPr>
      </w:pPr>
      <w:r>
        <w:rPr>
          <w:lang w:val="fr-CA"/>
        </w:rPr>
        <w:lastRenderedPageBreak/>
        <w:t>Le</w:t>
      </w:r>
      <w:r w:rsidR="0029763D" w:rsidRPr="00802AF9">
        <w:rPr>
          <w:lang w:val="fr-CA"/>
        </w:rPr>
        <w:t xml:space="preserve"> </w:t>
      </w:r>
      <w:r w:rsidR="00393030">
        <w:rPr>
          <w:lang w:val="fr-CA"/>
        </w:rPr>
        <w:t>Gouvernement de la Chine</w:t>
      </w:r>
      <w:r w:rsidR="0029763D" w:rsidRPr="00802AF9">
        <w:rPr>
          <w:lang w:val="fr-CA"/>
        </w:rPr>
        <w:t xml:space="preserve"> </w:t>
      </w:r>
      <w:r>
        <w:rPr>
          <w:lang w:val="fr-CA"/>
        </w:rPr>
        <w:t xml:space="preserve">a poursuivi </w:t>
      </w:r>
      <w:r w:rsidR="00550D9B">
        <w:rPr>
          <w:lang w:val="fr-CA"/>
        </w:rPr>
        <w:t>le</w:t>
      </w:r>
      <w:r>
        <w:rPr>
          <w:lang w:val="fr-CA"/>
        </w:rPr>
        <w:t xml:space="preserve"> su</w:t>
      </w:r>
      <w:r w:rsidR="00550D9B">
        <w:rPr>
          <w:lang w:val="fr-CA"/>
        </w:rPr>
        <w:t>ivi</w:t>
      </w:r>
      <w:r>
        <w:rPr>
          <w:lang w:val="fr-CA"/>
        </w:rPr>
        <w:t xml:space="preserve"> de la </w:t>
      </w:r>
      <w:r w:rsidR="00825570" w:rsidRPr="00802AF9">
        <w:rPr>
          <w:lang w:val="fr-CA"/>
        </w:rPr>
        <w:t>consommation</w:t>
      </w:r>
      <w:r>
        <w:rPr>
          <w:lang w:val="fr-CA"/>
        </w:rPr>
        <w:t xml:space="preserve"> de </w:t>
      </w:r>
      <w:r w:rsidRPr="00731A32">
        <w:rPr>
          <w:bCs/>
          <w:lang w:val="fr-CA"/>
        </w:rPr>
        <w:t>HCFC</w:t>
      </w:r>
      <w:r w:rsidR="0029763D" w:rsidRPr="00802AF9">
        <w:rPr>
          <w:lang w:val="fr-CA"/>
        </w:rPr>
        <w:t xml:space="preserve"> </w:t>
      </w:r>
      <w:r w:rsidR="00550D9B">
        <w:rPr>
          <w:lang w:val="fr-CA"/>
        </w:rPr>
        <w:t>dans chacun des différents secteurs</w:t>
      </w:r>
      <w:r w:rsidR="0029763D" w:rsidRPr="00802AF9">
        <w:rPr>
          <w:lang w:val="fr-CA"/>
        </w:rPr>
        <w:t xml:space="preserve">. </w:t>
      </w:r>
      <w:r w:rsidR="00550D9B">
        <w:rPr>
          <w:lang w:val="fr-CA"/>
        </w:rPr>
        <w:t xml:space="preserve">Pour chaque année </w:t>
      </w:r>
      <w:r w:rsidR="00550D9B" w:rsidRPr="00550D9B">
        <w:rPr>
          <w:lang w:val="fr-CA"/>
        </w:rPr>
        <w:t xml:space="preserve">où </w:t>
      </w:r>
      <w:r w:rsidR="00550D9B">
        <w:rPr>
          <w:lang w:val="fr-CA"/>
        </w:rPr>
        <w:t xml:space="preserve">une tranche de financement est due, le Centre de coopération </w:t>
      </w:r>
      <w:r w:rsidR="005920A5">
        <w:rPr>
          <w:lang w:val="fr-CA"/>
        </w:rPr>
        <w:t xml:space="preserve">étrangère pour l’environnement </w:t>
      </w:r>
      <w:r w:rsidR="0029763D" w:rsidRPr="00802AF9">
        <w:rPr>
          <w:lang w:val="fr-CA"/>
        </w:rPr>
        <w:t>(</w:t>
      </w:r>
      <w:r w:rsidR="00C816AC">
        <w:rPr>
          <w:lang w:val="fr-CA"/>
        </w:rPr>
        <w:t>CCEE</w:t>
      </w:r>
      <w:r w:rsidR="0029763D" w:rsidRPr="00802AF9">
        <w:rPr>
          <w:lang w:val="fr-CA"/>
        </w:rPr>
        <w:t xml:space="preserve">) </w:t>
      </w:r>
      <w:r w:rsidR="005920A5">
        <w:rPr>
          <w:lang w:val="fr-CA"/>
        </w:rPr>
        <w:t>recueille des données de différentes sources</w:t>
      </w:r>
      <w:r w:rsidR="00D32352">
        <w:rPr>
          <w:lang w:val="fr-CA"/>
        </w:rPr>
        <w:t xml:space="preserve">, notamment des entreprises bénéficiaires, des rapports de vérification du secteur de la </w:t>
      </w:r>
      <w:r w:rsidR="0029763D" w:rsidRPr="00802AF9">
        <w:rPr>
          <w:lang w:val="fr-CA"/>
        </w:rPr>
        <w:t xml:space="preserve">production, </w:t>
      </w:r>
      <w:r w:rsidR="00D32352">
        <w:rPr>
          <w:lang w:val="fr-CA"/>
        </w:rPr>
        <w:t xml:space="preserve">du système de licences et des </w:t>
      </w:r>
      <w:r w:rsidR="0029763D" w:rsidRPr="00802AF9">
        <w:rPr>
          <w:lang w:val="fr-CA"/>
        </w:rPr>
        <w:t>associations</w:t>
      </w:r>
      <w:r w:rsidR="00D32352">
        <w:rPr>
          <w:lang w:val="fr-CA"/>
        </w:rPr>
        <w:t xml:space="preserve"> industrielles</w:t>
      </w:r>
      <w:r w:rsidR="0029763D" w:rsidRPr="00802AF9">
        <w:rPr>
          <w:lang w:val="fr-CA"/>
        </w:rPr>
        <w:t xml:space="preserve">. </w:t>
      </w:r>
      <w:r w:rsidR="00D32352">
        <w:rPr>
          <w:lang w:val="fr-CA"/>
        </w:rPr>
        <w:t>Les données sont comparées avec la co</w:t>
      </w:r>
      <w:r w:rsidR="00825570" w:rsidRPr="00802AF9">
        <w:rPr>
          <w:lang w:val="fr-CA"/>
        </w:rPr>
        <w:t>nsommation</w:t>
      </w:r>
      <w:r w:rsidR="0029763D" w:rsidRPr="00802AF9">
        <w:rPr>
          <w:lang w:val="fr-CA"/>
        </w:rPr>
        <w:t xml:space="preserve"> </w:t>
      </w:r>
      <w:r w:rsidR="00D32352">
        <w:rPr>
          <w:lang w:val="fr-CA"/>
        </w:rPr>
        <w:t xml:space="preserve">réelle des </w:t>
      </w:r>
      <w:r w:rsidR="0029763D" w:rsidRPr="00802AF9">
        <w:rPr>
          <w:lang w:val="fr-CA"/>
        </w:rPr>
        <w:t>ent</w:t>
      </w:r>
      <w:r w:rsidR="00D32352">
        <w:rPr>
          <w:lang w:val="fr-CA"/>
        </w:rPr>
        <w:t>r</w:t>
      </w:r>
      <w:r w:rsidR="0029763D" w:rsidRPr="00802AF9">
        <w:rPr>
          <w:lang w:val="fr-CA"/>
        </w:rPr>
        <w:t xml:space="preserve">eprises </w:t>
      </w:r>
      <w:r w:rsidR="00D32352">
        <w:rPr>
          <w:lang w:val="fr-CA"/>
        </w:rPr>
        <w:t xml:space="preserve">uniquement pour certains secteurs et certaines </w:t>
      </w:r>
      <w:r w:rsidR="0029763D" w:rsidRPr="00802AF9">
        <w:rPr>
          <w:lang w:val="fr-CA"/>
        </w:rPr>
        <w:t xml:space="preserve">substances, </w:t>
      </w:r>
      <w:r w:rsidR="00D32352">
        <w:rPr>
          <w:lang w:val="fr-CA"/>
        </w:rPr>
        <w:t xml:space="preserve">tels que le secteur </w:t>
      </w:r>
      <w:r w:rsidR="00494A38" w:rsidRPr="00802AF9">
        <w:rPr>
          <w:lang w:val="fr-CA"/>
        </w:rPr>
        <w:t>R&amp;C</w:t>
      </w:r>
      <w:r w:rsidR="0029763D" w:rsidRPr="00802AF9">
        <w:rPr>
          <w:lang w:val="fr-CA"/>
        </w:rPr>
        <w:t xml:space="preserve"> (</w:t>
      </w:r>
      <w:r w:rsidR="00D32352">
        <w:rPr>
          <w:lang w:val="fr-CA"/>
        </w:rPr>
        <w:t>avec quelques entreprises à consommation limitée</w:t>
      </w:r>
      <w:r w:rsidR="0029763D" w:rsidRPr="00802AF9">
        <w:rPr>
          <w:lang w:val="fr-CA"/>
        </w:rPr>
        <w:t xml:space="preserve">) </w:t>
      </w:r>
      <w:r w:rsidR="00D32352">
        <w:rPr>
          <w:lang w:val="fr-CA"/>
        </w:rPr>
        <w:t xml:space="preserve">et le </w:t>
      </w:r>
      <w:r w:rsidR="0029763D" w:rsidRPr="00802AF9">
        <w:rPr>
          <w:lang w:val="fr-CA"/>
        </w:rPr>
        <w:t>HCFC</w:t>
      </w:r>
      <w:r w:rsidR="0029763D" w:rsidRPr="00802AF9">
        <w:rPr>
          <w:lang w:val="fr-CA"/>
        </w:rPr>
        <w:noBreakHyphen/>
        <w:t xml:space="preserve">22. </w:t>
      </w:r>
      <w:r w:rsidR="00D32352">
        <w:rPr>
          <w:lang w:val="fr-CA"/>
        </w:rPr>
        <w:t xml:space="preserve">Pour les secteurs composés d’un grand nombre de petites et moyennes entreprises </w:t>
      </w:r>
      <w:r w:rsidR="0029763D" w:rsidRPr="00802AF9">
        <w:rPr>
          <w:lang w:val="fr-CA"/>
        </w:rPr>
        <w:t>(</w:t>
      </w:r>
      <w:r w:rsidR="00D32352">
        <w:rPr>
          <w:lang w:val="fr-CA"/>
        </w:rPr>
        <w:t>P</w:t>
      </w:r>
      <w:r w:rsidR="0029763D" w:rsidRPr="00802AF9">
        <w:rPr>
          <w:lang w:val="fr-CA"/>
        </w:rPr>
        <w:t>ME) (</w:t>
      </w:r>
      <w:r w:rsidR="00D32352">
        <w:rPr>
          <w:lang w:val="fr-CA"/>
        </w:rPr>
        <w:t xml:space="preserve">à savoir, </w:t>
      </w:r>
      <w:r w:rsidR="00B6667F">
        <w:rPr>
          <w:lang w:val="fr-CA"/>
        </w:rPr>
        <w:t>mousses</w:t>
      </w:r>
      <w:r w:rsidR="00D32352">
        <w:rPr>
          <w:lang w:val="fr-CA"/>
        </w:rPr>
        <w:t xml:space="preserve"> </w:t>
      </w:r>
      <w:r w:rsidR="0029763D" w:rsidRPr="00802AF9">
        <w:rPr>
          <w:lang w:val="fr-CA"/>
        </w:rPr>
        <w:t xml:space="preserve">XPS, </w:t>
      </w:r>
      <w:r w:rsidR="00B6667F">
        <w:rPr>
          <w:lang w:val="fr-CA"/>
        </w:rPr>
        <w:t>mousses</w:t>
      </w:r>
      <w:r w:rsidR="00D32352">
        <w:rPr>
          <w:lang w:val="fr-CA"/>
        </w:rPr>
        <w:t xml:space="preserve"> </w:t>
      </w:r>
      <w:r w:rsidR="0029763D" w:rsidRPr="00802AF9">
        <w:rPr>
          <w:lang w:val="fr-CA"/>
        </w:rPr>
        <w:t>PU, ICR</w:t>
      </w:r>
      <w:r w:rsidR="00D32352">
        <w:rPr>
          <w:lang w:val="fr-CA"/>
        </w:rPr>
        <w:t xml:space="preserve"> et secteurs de l’entretien</w:t>
      </w:r>
      <w:r w:rsidR="0029763D" w:rsidRPr="00802AF9">
        <w:rPr>
          <w:lang w:val="fr-CA"/>
        </w:rPr>
        <w:t xml:space="preserve">), </w:t>
      </w:r>
      <w:r w:rsidR="00D32352">
        <w:rPr>
          <w:lang w:val="fr-CA"/>
        </w:rPr>
        <w:t xml:space="preserve">la </w:t>
      </w:r>
      <w:r w:rsidR="00825570" w:rsidRPr="00802AF9">
        <w:rPr>
          <w:lang w:val="fr-CA"/>
        </w:rPr>
        <w:t>consommation</w:t>
      </w:r>
      <w:r w:rsidR="0029763D" w:rsidRPr="00802AF9">
        <w:rPr>
          <w:lang w:val="fr-CA"/>
        </w:rPr>
        <w:t xml:space="preserve"> </w:t>
      </w:r>
      <w:r w:rsidR="00D32352">
        <w:rPr>
          <w:lang w:val="fr-CA"/>
        </w:rPr>
        <w:t xml:space="preserve">est suivie au moyen du système national de licences et de quotas pour les importations, </w:t>
      </w:r>
      <w:r w:rsidR="00C816AC">
        <w:rPr>
          <w:lang w:val="fr-CA"/>
        </w:rPr>
        <w:t>l</w:t>
      </w:r>
      <w:r w:rsidR="00D32352">
        <w:rPr>
          <w:lang w:val="fr-CA"/>
        </w:rPr>
        <w:t xml:space="preserve">es exportations, la production et la consommation de </w:t>
      </w:r>
      <w:r w:rsidR="0029763D" w:rsidRPr="00802AF9">
        <w:rPr>
          <w:lang w:val="fr-CA"/>
        </w:rPr>
        <w:t xml:space="preserve">HCFC. </w:t>
      </w:r>
      <w:r w:rsidR="00D32352">
        <w:rPr>
          <w:lang w:val="fr-CA"/>
        </w:rPr>
        <w:t xml:space="preserve">Les quotas de production nationale contrôlent les </w:t>
      </w:r>
      <w:r w:rsidR="0029763D" w:rsidRPr="00802AF9">
        <w:rPr>
          <w:lang w:val="fr-CA"/>
        </w:rPr>
        <w:t xml:space="preserve">FC </w:t>
      </w:r>
      <w:r w:rsidR="00D32352">
        <w:rPr>
          <w:lang w:val="fr-CA"/>
        </w:rPr>
        <w:t xml:space="preserve">vendus sur le marché local et la </w:t>
      </w:r>
      <w:r w:rsidR="00825570" w:rsidRPr="00802AF9">
        <w:rPr>
          <w:lang w:val="fr-CA"/>
        </w:rPr>
        <w:t>consommation</w:t>
      </w:r>
      <w:r w:rsidR="0029763D" w:rsidRPr="00802AF9">
        <w:rPr>
          <w:lang w:val="fr-CA"/>
        </w:rPr>
        <w:t xml:space="preserve"> </w:t>
      </w:r>
      <w:r w:rsidR="00D32352">
        <w:rPr>
          <w:lang w:val="fr-CA"/>
        </w:rPr>
        <w:t>ultérieure dans les PME</w:t>
      </w:r>
      <w:r w:rsidR="0029763D" w:rsidRPr="00802AF9">
        <w:rPr>
          <w:lang w:val="fr-CA"/>
        </w:rPr>
        <w:t xml:space="preserve">. </w:t>
      </w:r>
      <w:r w:rsidR="00D32352">
        <w:rPr>
          <w:lang w:val="fr-CA"/>
        </w:rPr>
        <w:t>Des q</w:t>
      </w:r>
      <w:r w:rsidR="0029763D" w:rsidRPr="00802AF9">
        <w:rPr>
          <w:lang w:val="fr-CA"/>
        </w:rPr>
        <w:t xml:space="preserve">uotas </w:t>
      </w:r>
      <w:r w:rsidR="00D32352">
        <w:rPr>
          <w:lang w:val="fr-CA"/>
        </w:rPr>
        <w:t xml:space="preserve">sont également établis pour </w:t>
      </w:r>
      <w:r w:rsidR="00C816AC">
        <w:rPr>
          <w:lang w:val="fr-CA"/>
        </w:rPr>
        <w:t>les</w:t>
      </w:r>
      <w:r w:rsidR="00D32352">
        <w:rPr>
          <w:lang w:val="fr-CA"/>
        </w:rPr>
        <w:t xml:space="preserve"> entreprises </w:t>
      </w:r>
      <w:r w:rsidR="00C816AC">
        <w:rPr>
          <w:lang w:val="fr-CA"/>
        </w:rPr>
        <w:t xml:space="preserve">avec une consommation annuelle de </w:t>
      </w:r>
      <w:r w:rsidR="0029763D" w:rsidRPr="00802AF9">
        <w:rPr>
          <w:lang w:val="fr-CA"/>
        </w:rPr>
        <w:t xml:space="preserve">HCFC </w:t>
      </w:r>
      <w:r w:rsidR="00C816AC">
        <w:rPr>
          <w:lang w:val="fr-CA"/>
        </w:rPr>
        <w:t xml:space="preserve">de plus de </w:t>
      </w:r>
      <w:r w:rsidR="0029763D" w:rsidRPr="00802AF9">
        <w:rPr>
          <w:lang w:val="fr-CA"/>
        </w:rPr>
        <w:t>100</w:t>
      </w:r>
      <w:r w:rsidR="00C816AC">
        <w:rPr>
          <w:lang w:val="fr-CA"/>
        </w:rPr>
        <w:t> </w:t>
      </w:r>
      <w:r w:rsidR="0029763D" w:rsidRPr="00802AF9">
        <w:rPr>
          <w:lang w:val="fr-CA"/>
        </w:rPr>
        <w:t xml:space="preserve">tonnes </w:t>
      </w:r>
      <w:r w:rsidR="00C816AC">
        <w:rPr>
          <w:lang w:val="fr-CA"/>
        </w:rPr>
        <w:t xml:space="preserve">métriques </w:t>
      </w:r>
      <w:r w:rsidR="0029763D" w:rsidRPr="00802AF9">
        <w:rPr>
          <w:lang w:val="fr-CA"/>
        </w:rPr>
        <w:t>(</w:t>
      </w:r>
      <w:r w:rsidR="00C816AC">
        <w:rPr>
          <w:lang w:val="fr-CA"/>
        </w:rPr>
        <w:t>t</w:t>
      </w:r>
      <w:r w:rsidR="0029763D" w:rsidRPr="00802AF9">
        <w:rPr>
          <w:lang w:val="fr-CA"/>
        </w:rPr>
        <w:t xml:space="preserve">m), </w:t>
      </w:r>
      <w:r w:rsidR="00C816AC">
        <w:rPr>
          <w:lang w:val="fr-CA"/>
        </w:rPr>
        <w:t>dans chacun des différents secteurs</w:t>
      </w:r>
      <w:r w:rsidR="0029763D" w:rsidRPr="00802AF9">
        <w:rPr>
          <w:lang w:val="fr-CA"/>
        </w:rPr>
        <w:t xml:space="preserve">; </w:t>
      </w:r>
      <w:r w:rsidR="00C816AC">
        <w:rPr>
          <w:lang w:val="fr-CA"/>
        </w:rPr>
        <w:t>les entreprise</w:t>
      </w:r>
      <w:r w:rsidR="0029763D" w:rsidRPr="00802AF9">
        <w:rPr>
          <w:lang w:val="fr-CA"/>
        </w:rPr>
        <w:t xml:space="preserve">s </w:t>
      </w:r>
      <w:r w:rsidR="00C816AC">
        <w:rPr>
          <w:lang w:val="fr-CA"/>
        </w:rPr>
        <w:t xml:space="preserve">dont la </w:t>
      </w:r>
      <w:r w:rsidR="00825570" w:rsidRPr="00802AF9">
        <w:rPr>
          <w:lang w:val="fr-CA"/>
        </w:rPr>
        <w:t>consommation</w:t>
      </w:r>
      <w:r w:rsidR="0029763D" w:rsidRPr="00802AF9">
        <w:rPr>
          <w:lang w:val="fr-CA"/>
        </w:rPr>
        <w:t xml:space="preserve"> </w:t>
      </w:r>
      <w:r w:rsidR="00C816AC">
        <w:rPr>
          <w:lang w:val="fr-CA"/>
        </w:rPr>
        <w:t xml:space="preserve">est inférieure à </w:t>
      </w:r>
      <w:r w:rsidR="0029763D" w:rsidRPr="00802AF9">
        <w:rPr>
          <w:lang w:val="fr-CA"/>
        </w:rPr>
        <w:t>100 </w:t>
      </w:r>
      <w:r w:rsidR="00C816AC">
        <w:rPr>
          <w:lang w:val="fr-CA"/>
        </w:rPr>
        <w:t>t</w:t>
      </w:r>
      <w:r w:rsidR="0029763D" w:rsidRPr="00802AF9">
        <w:rPr>
          <w:lang w:val="fr-CA"/>
        </w:rPr>
        <w:t xml:space="preserve">m </w:t>
      </w:r>
      <w:r w:rsidR="00C816AC">
        <w:rPr>
          <w:lang w:val="fr-CA"/>
        </w:rPr>
        <w:t xml:space="preserve">ne sont pas obligées de respecter un </w:t>
      </w:r>
      <w:r w:rsidR="0029763D" w:rsidRPr="00802AF9">
        <w:rPr>
          <w:lang w:val="fr-CA"/>
        </w:rPr>
        <w:t xml:space="preserve">quota </w:t>
      </w:r>
      <w:r w:rsidR="00C816AC">
        <w:rPr>
          <w:lang w:val="fr-CA"/>
        </w:rPr>
        <w:t>mais elles sont surveillées par le Bureau de l’écologie et de l’environnement local (BEE)</w:t>
      </w:r>
      <w:r w:rsidR="0029763D" w:rsidRPr="00802AF9">
        <w:rPr>
          <w:lang w:val="fr-CA"/>
        </w:rPr>
        <w:t xml:space="preserve">. </w:t>
      </w:r>
    </w:p>
    <w:p w14:paraId="45C7EFA4" w14:textId="24B4049C" w:rsidR="0029763D" w:rsidRPr="00802AF9" w:rsidRDefault="00C816AC" w:rsidP="0029763D">
      <w:pPr>
        <w:numPr>
          <w:ilvl w:val="0"/>
          <w:numId w:val="1"/>
        </w:numPr>
        <w:spacing w:after="240"/>
        <w:outlineLvl w:val="0"/>
        <w:rPr>
          <w:lang w:val="fr-CA"/>
        </w:rPr>
      </w:pPr>
      <w:r>
        <w:rPr>
          <w:lang w:val="fr-CA"/>
        </w:rPr>
        <w:t>Par ailleurs</w:t>
      </w:r>
      <w:r w:rsidR="0029763D" w:rsidRPr="00802AF9">
        <w:rPr>
          <w:lang w:val="fr-CA"/>
        </w:rPr>
        <w:t xml:space="preserve">, </w:t>
      </w:r>
      <w:r>
        <w:rPr>
          <w:lang w:val="fr-CA"/>
        </w:rPr>
        <w:t>le CCEE</w:t>
      </w:r>
      <w:r w:rsidR="0029763D" w:rsidRPr="00802AF9">
        <w:rPr>
          <w:lang w:val="fr-CA"/>
        </w:rPr>
        <w:t xml:space="preserve"> </w:t>
      </w:r>
      <w:r>
        <w:rPr>
          <w:lang w:val="fr-CA"/>
        </w:rPr>
        <w:t xml:space="preserve">travaille de concert avec les BEE locaux pour renforcer les politiques susceptibles d’aider à réduire la </w:t>
      </w:r>
      <w:r w:rsidR="00825570" w:rsidRPr="00802AF9">
        <w:rPr>
          <w:lang w:val="fr-CA"/>
        </w:rPr>
        <w:t>consommation</w:t>
      </w:r>
      <w:r>
        <w:rPr>
          <w:lang w:val="fr-CA"/>
        </w:rPr>
        <w:t xml:space="preserve"> de HCFC</w:t>
      </w:r>
      <w:r w:rsidR="0029763D" w:rsidRPr="00802AF9">
        <w:rPr>
          <w:lang w:val="fr-CA"/>
        </w:rPr>
        <w:t xml:space="preserve">, </w:t>
      </w:r>
      <w:r>
        <w:rPr>
          <w:lang w:val="fr-CA"/>
        </w:rPr>
        <w:t xml:space="preserve">telles que l’interdiction de nouvelles installations de production utilisant des </w:t>
      </w:r>
      <w:r w:rsidR="0029763D" w:rsidRPr="00802AF9">
        <w:rPr>
          <w:lang w:val="fr-CA"/>
        </w:rPr>
        <w:t xml:space="preserve">HCFC. </w:t>
      </w:r>
    </w:p>
    <w:p w14:paraId="1DB51013" w14:textId="77777777" w:rsidR="00E3303D" w:rsidRDefault="00E3303D" w:rsidP="0029763D">
      <w:pPr>
        <w:rPr>
          <w:u w:val="single"/>
          <w:lang w:val="fr-CA"/>
        </w:rPr>
      </w:pPr>
    </w:p>
    <w:p w14:paraId="22414238" w14:textId="3DD489BE" w:rsidR="0029763D" w:rsidRPr="00802AF9" w:rsidRDefault="00C816AC" w:rsidP="0029763D">
      <w:pPr>
        <w:rPr>
          <w:u w:val="single"/>
          <w:lang w:val="fr-CA"/>
        </w:rPr>
      </w:pPr>
      <w:r w:rsidRPr="00802AF9">
        <w:rPr>
          <w:u w:val="single"/>
          <w:lang w:val="fr-CA"/>
        </w:rPr>
        <w:t>Vérification</w:t>
      </w:r>
      <w:r w:rsidR="0029763D" w:rsidRPr="00802AF9">
        <w:rPr>
          <w:u w:val="single"/>
          <w:lang w:val="fr-CA"/>
        </w:rPr>
        <w:t xml:space="preserve"> </w:t>
      </w:r>
      <w:r>
        <w:rPr>
          <w:u w:val="single"/>
          <w:lang w:val="fr-CA"/>
        </w:rPr>
        <w:t>de la</w:t>
      </w:r>
      <w:r w:rsidR="0029763D" w:rsidRPr="00802AF9">
        <w:rPr>
          <w:u w:val="single"/>
          <w:lang w:val="fr-CA"/>
        </w:rPr>
        <w:t xml:space="preserve"> </w:t>
      </w:r>
      <w:r w:rsidR="00825570" w:rsidRPr="00802AF9">
        <w:rPr>
          <w:u w:val="single"/>
          <w:lang w:val="fr-CA"/>
        </w:rPr>
        <w:t>consommation</w:t>
      </w:r>
      <w:r w:rsidR="0029763D" w:rsidRPr="00802AF9">
        <w:rPr>
          <w:u w:val="single"/>
          <w:lang w:val="fr-CA"/>
        </w:rPr>
        <w:t xml:space="preserve"> </w:t>
      </w:r>
      <w:r>
        <w:rPr>
          <w:u w:val="single"/>
          <w:lang w:val="fr-CA"/>
        </w:rPr>
        <w:t>de</w:t>
      </w:r>
      <w:r w:rsidR="0029763D" w:rsidRPr="00802AF9">
        <w:rPr>
          <w:u w:val="single"/>
          <w:lang w:val="fr-CA"/>
        </w:rPr>
        <w:t xml:space="preserve"> HCFC </w:t>
      </w:r>
      <w:r>
        <w:rPr>
          <w:u w:val="single"/>
          <w:lang w:val="fr-CA"/>
        </w:rPr>
        <w:t>e</w:t>
      </w:r>
      <w:r w:rsidR="0029763D" w:rsidRPr="00802AF9">
        <w:rPr>
          <w:u w:val="single"/>
          <w:lang w:val="fr-CA"/>
        </w:rPr>
        <w:t xml:space="preserve">n </w:t>
      </w:r>
      <w:r w:rsidR="00494A38" w:rsidRPr="00802AF9">
        <w:rPr>
          <w:u w:val="single"/>
          <w:lang w:val="fr-CA"/>
        </w:rPr>
        <w:t>Chine</w:t>
      </w:r>
    </w:p>
    <w:p w14:paraId="3C961771" w14:textId="77777777" w:rsidR="0029763D" w:rsidRPr="00802AF9" w:rsidRDefault="0029763D" w:rsidP="0029763D">
      <w:pPr>
        <w:rPr>
          <w:lang w:val="fr-CA"/>
        </w:rPr>
      </w:pPr>
    </w:p>
    <w:p w14:paraId="650E0D42" w14:textId="399CECDC" w:rsidR="0029763D" w:rsidRPr="00802AF9" w:rsidRDefault="00C816AC" w:rsidP="0029763D">
      <w:pPr>
        <w:pStyle w:val="Heading1"/>
        <w:rPr>
          <w:lang w:val="fr-CA"/>
        </w:rPr>
      </w:pPr>
      <w:r>
        <w:rPr>
          <w:lang w:val="fr-CA"/>
        </w:rPr>
        <w:t>La</w:t>
      </w:r>
      <w:r w:rsidR="004A2A85">
        <w:rPr>
          <w:lang w:val="fr-CA"/>
        </w:rPr>
        <w:t xml:space="preserve"> </w:t>
      </w:r>
      <w:r w:rsidR="00825570" w:rsidRPr="00802AF9">
        <w:rPr>
          <w:lang w:val="fr-CA"/>
        </w:rPr>
        <w:t>Banque mondiale</w:t>
      </w:r>
      <w:r w:rsidR="0029763D" w:rsidRPr="00802AF9">
        <w:rPr>
          <w:lang w:val="fr-CA"/>
        </w:rPr>
        <w:t xml:space="preserve"> </w:t>
      </w:r>
      <w:r w:rsidR="004A2A85">
        <w:rPr>
          <w:lang w:val="fr-CA"/>
        </w:rPr>
        <w:t xml:space="preserve">entreprendra une vérification indépendante de la production et de la consommation de HCFC pour 2019 et 2020 en </w:t>
      </w:r>
      <w:r w:rsidR="00494A38" w:rsidRPr="00802AF9">
        <w:rPr>
          <w:lang w:val="fr-CA"/>
        </w:rPr>
        <w:t>Chine</w:t>
      </w:r>
      <w:r w:rsidR="0029763D" w:rsidRPr="00802AF9">
        <w:rPr>
          <w:lang w:val="fr-CA"/>
        </w:rPr>
        <w:t xml:space="preserve"> </w:t>
      </w:r>
      <w:r w:rsidR="004A2A85">
        <w:rPr>
          <w:lang w:val="fr-CA"/>
        </w:rPr>
        <w:t xml:space="preserve">au titre de la </w:t>
      </w:r>
      <w:r w:rsidR="0014063A" w:rsidRPr="00802AF9">
        <w:rPr>
          <w:lang w:val="fr-CA"/>
        </w:rPr>
        <w:t>phase</w:t>
      </w:r>
      <w:r w:rsidR="0029763D" w:rsidRPr="00802AF9">
        <w:rPr>
          <w:lang w:val="fr-CA"/>
        </w:rPr>
        <w:t xml:space="preserve"> II </w:t>
      </w:r>
      <w:r w:rsidR="004A2A85">
        <w:rPr>
          <w:lang w:val="fr-CA"/>
        </w:rPr>
        <w:t xml:space="preserve">du </w:t>
      </w:r>
      <w:r w:rsidR="0029763D" w:rsidRPr="00802AF9">
        <w:rPr>
          <w:lang w:val="fr-CA"/>
        </w:rPr>
        <w:t xml:space="preserve">HPPMP </w:t>
      </w:r>
      <w:r w:rsidR="004A2A85">
        <w:rPr>
          <w:lang w:val="fr-CA"/>
        </w:rPr>
        <w:t>en</w:t>
      </w:r>
      <w:r w:rsidR="0029763D" w:rsidRPr="00802AF9">
        <w:rPr>
          <w:lang w:val="fr-CA"/>
        </w:rPr>
        <w:t xml:space="preserve"> 2021, </w:t>
      </w:r>
      <w:r w:rsidR="004A2A85">
        <w:rPr>
          <w:lang w:val="fr-CA"/>
        </w:rPr>
        <w:t xml:space="preserve">lorsque les restrictions de déplacements de la </w:t>
      </w:r>
      <w:r w:rsidR="00825570" w:rsidRPr="00802AF9">
        <w:rPr>
          <w:lang w:val="fr-CA"/>
        </w:rPr>
        <w:t>Banque mondiale</w:t>
      </w:r>
      <w:r w:rsidR="004A2A85">
        <w:rPr>
          <w:lang w:val="fr-CA"/>
        </w:rPr>
        <w:t xml:space="preserve"> et de la </w:t>
      </w:r>
      <w:r w:rsidR="00494A38" w:rsidRPr="00802AF9">
        <w:rPr>
          <w:lang w:val="fr-CA"/>
        </w:rPr>
        <w:t>Chine</w:t>
      </w:r>
      <w:r w:rsidR="004A2A85">
        <w:rPr>
          <w:lang w:val="fr-CA"/>
        </w:rPr>
        <w:t xml:space="preserve"> dues à la pandémie de </w:t>
      </w:r>
      <w:r w:rsidR="0029763D" w:rsidRPr="00802AF9">
        <w:rPr>
          <w:lang w:val="fr-CA"/>
        </w:rPr>
        <w:t xml:space="preserve">COVID-19 </w:t>
      </w:r>
      <w:r w:rsidR="004A2A85">
        <w:rPr>
          <w:lang w:val="fr-CA"/>
        </w:rPr>
        <w:t>seront levées</w:t>
      </w:r>
      <w:r w:rsidR="0029763D" w:rsidRPr="00802AF9">
        <w:rPr>
          <w:lang w:val="fr-CA"/>
        </w:rPr>
        <w:t xml:space="preserve">. </w:t>
      </w:r>
      <w:r w:rsidR="008645AE">
        <w:rPr>
          <w:lang w:val="fr-CA"/>
        </w:rPr>
        <w:t>La</w:t>
      </w:r>
      <w:r w:rsidR="0029763D" w:rsidRPr="00802AF9">
        <w:rPr>
          <w:lang w:val="fr-CA"/>
        </w:rPr>
        <w:t xml:space="preserve"> </w:t>
      </w:r>
      <w:r w:rsidR="00825570" w:rsidRPr="00802AF9">
        <w:rPr>
          <w:lang w:val="fr-CA"/>
        </w:rPr>
        <w:t>consommation</w:t>
      </w:r>
      <w:r w:rsidR="0029763D" w:rsidRPr="00802AF9">
        <w:rPr>
          <w:lang w:val="fr-CA"/>
        </w:rPr>
        <w:t xml:space="preserve"> </w:t>
      </w:r>
      <w:r w:rsidR="008645AE">
        <w:rPr>
          <w:lang w:val="fr-CA"/>
        </w:rPr>
        <w:t>sectorielle de HCFC indiquée par le</w:t>
      </w:r>
      <w:r w:rsidR="00393030">
        <w:rPr>
          <w:lang w:val="fr-CA"/>
        </w:rPr>
        <w:t> Gouvernement de la Chine</w:t>
      </w:r>
      <w:r w:rsidR="0029763D" w:rsidRPr="00802AF9">
        <w:rPr>
          <w:lang w:val="fr-CA"/>
        </w:rPr>
        <w:t xml:space="preserve"> </w:t>
      </w:r>
      <w:r w:rsidR="008645AE">
        <w:rPr>
          <w:lang w:val="fr-CA"/>
        </w:rPr>
        <w:t xml:space="preserve">était dans les limites établies dans l’Accord pour le secteur de la </w:t>
      </w:r>
      <w:r w:rsidR="00825570" w:rsidRPr="00802AF9">
        <w:rPr>
          <w:lang w:val="fr-CA"/>
        </w:rPr>
        <w:t>consommation</w:t>
      </w:r>
      <w:r w:rsidR="0029763D" w:rsidRPr="00802AF9">
        <w:rPr>
          <w:lang w:val="fr-CA"/>
        </w:rPr>
        <w:t xml:space="preserve">. </w:t>
      </w:r>
    </w:p>
    <w:p w14:paraId="671F9A8E" w14:textId="10F6A941" w:rsidR="0029763D" w:rsidRPr="00802AF9" w:rsidRDefault="008645AE" w:rsidP="0029763D">
      <w:pPr>
        <w:spacing w:after="240"/>
        <w:outlineLvl w:val="0"/>
        <w:rPr>
          <w:u w:val="single"/>
          <w:lang w:val="fr-CA"/>
        </w:rPr>
      </w:pPr>
      <w:r>
        <w:rPr>
          <w:u w:val="single"/>
          <w:lang w:val="fr-CA"/>
        </w:rPr>
        <w:t>Aperçu des progrès</w:t>
      </w:r>
      <w:r w:rsidR="0029763D" w:rsidRPr="00802AF9">
        <w:rPr>
          <w:rStyle w:val="FootnoteReference"/>
          <w:u w:val="single"/>
          <w:lang w:val="fr-CA"/>
        </w:rPr>
        <w:footnoteReference w:id="3"/>
      </w:r>
    </w:p>
    <w:p w14:paraId="427923E9" w14:textId="0E83C0AD" w:rsidR="0029763D" w:rsidRPr="00802AF9" w:rsidRDefault="008645AE" w:rsidP="0029763D">
      <w:pPr>
        <w:numPr>
          <w:ilvl w:val="0"/>
          <w:numId w:val="1"/>
        </w:numPr>
        <w:spacing w:after="240"/>
        <w:outlineLvl w:val="0"/>
        <w:rPr>
          <w:lang w:val="fr-CA"/>
        </w:rPr>
      </w:pPr>
      <w:r>
        <w:rPr>
          <w:lang w:val="fr-CA"/>
        </w:rPr>
        <w:t xml:space="preserve">Un aperçu des principaux résultats de la mise en œuvre de la </w:t>
      </w:r>
      <w:r w:rsidR="0014063A" w:rsidRPr="00802AF9">
        <w:rPr>
          <w:lang w:val="fr-CA"/>
        </w:rPr>
        <w:t>phase</w:t>
      </w:r>
      <w:r w:rsidR="0029763D" w:rsidRPr="00802AF9">
        <w:rPr>
          <w:lang w:val="fr-CA"/>
        </w:rPr>
        <w:t xml:space="preserve"> I </w:t>
      </w:r>
      <w:r>
        <w:rPr>
          <w:lang w:val="fr-CA"/>
        </w:rPr>
        <w:t>du</w:t>
      </w:r>
      <w:r w:rsidR="0029763D" w:rsidRPr="00802AF9">
        <w:rPr>
          <w:lang w:val="fr-CA"/>
        </w:rPr>
        <w:t xml:space="preserve"> </w:t>
      </w:r>
      <w:r w:rsidR="00494A38" w:rsidRPr="00802AF9">
        <w:rPr>
          <w:lang w:val="fr-CA"/>
        </w:rPr>
        <w:t>PGEH</w:t>
      </w:r>
      <w:r w:rsidR="0029763D" w:rsidRPr="00802AF9">
        <w:rPr>
          <w:lang w:val="fr-CA"/>
        </w:rPr>
        <w:t xml:space="preserve"> </w:t>
      </w:r>
      <w:r>
        <w:rPr>
          <w:lang w:val="fr-CA"/>
        </w:rPr>
        <w:t>porte sur les éléments ci-après</w:t>
      </w:r>
      <w:r w:rsidR="0029763D" w:rsidRPr="00802AF9">
        <w:rPr>
          <w:lang w:val="fr-CA"/>
        </w:rPr>
        <w:t xml:space="preserve">: </w:t>
      </w:r>
    </w:p>
    <w:p w14:paraId="3C6371D1" w14:textId="34EC38E5" w:rsidR="0029763D" w:rsidRPr="008645AE" w:rsidRDefault="008645AE" w:rsidP="000F1DD3">
      <w:pPr>
        <w:widowControl w:val="0"/>
        <w:numPr>
          <w:ilvl w:val="1"/>
          <w:numId w:val="1"/>
        </w:numPr>
        <w:spacing w:after="240"/>
        <w:outlineLvl w:val="1"/>
        <w:rPr>
          <w:lang w:val="fr-CA"/>
        </w:rPr>
      </w:pPr>
      <w:r w:rsidRPr="008645AE">
        <w:rPr>
          <w:i/>
          <w:lang w:val="fr-CA"/>
        </w:rPr>
        <w:t xml:space="preserve">Secteur des </w:t>
      </w:r>
      <w:r w:rsidR="00B6667F">
        <w:rPr>
          <w:i/>
          <w:lang w:val="fr-CA"/>
        </w:rPr>
        <w:t>mousses</w:t>
      </w:r>
      <w:r w:rsidRPr="008645AE">
        <w:rPr>
          <w:i/>
          <w:lang w:val="fr-CA"/>
        </w:rPr>
        <w:t xml:space="preserve"> </w:t>
      </w:r>
      <w:r w:rsidR="0029763D" w:rsidRPr="008645AE">
        <w:rPr>
          <w:i/>
          <w:lang w:val="fr-CA"/>
        </w:rPr>
        <w:t>XPS:</w:t>
      </w:r>
      <w:r w:rsidR="0029763D" w:rsidRPr="008645AE">
        <w:rPr>
          <w:lang w:val="fr-CA"/>
        </w:rPr>
        <w:t xml:space="preserve"> </w:t>
      </w:r>
      <w:bookmarkStart w:id="1" w:name="_Hlk56205549"/>
      <w:r w:rsidRPr="008645AE">
        <w:rPr>
          <w:lang w:val="fr-CA"/>
        </w:rPr>
        <w:t>Le p</w:t>
      </w:r>
      <w:r w:rsidR="00494A38" w:rsidRPr="008645AE">
        <w:rPr>
          <w:lang w:val="fr-CA"/>
        </w:rPr>
        <w:t>lan sectoriel</w:t>
      </w:r>
      <w:r w:rsidR="0029763D" w:rsidRPr="008645AE">
        <w:rPr>
          <w:lang w:val="fr-CA"/>
        </w:rPr>
        <w:t xml:space="preserve"> </w:t>
      </w:r>
      <w:r w:rsidRPr="008645AE">
        <w:rPr>
          <w:lang w:val="fr-CA"/>
        </w:rPr>
        <w:t xml:space="preserve">est achevé opérationnellement </w:t>
      </w:r>
      <w:bookmarkEnd w:id="1"/>
      <w:r w:rsidRPr="008645AE">
        <w:rPr>
          <w:lang w:val="fr-CA"/>
        </w:rPr>
        <w:t xml:space="preserve">et le rapport </w:t>
      </w:r>
      <w:r>
        <w:rPr>
          <w:lang w:val="fr-CA"/>
        </w:rPr>
        <w:t xml:space="preserve">d’achèvement du projet (RAP) a été soumis à la </w:t>
      </w:r>
      <w:r w:rsidR="0029763D" w:rsidRPr="008645AE">
        <w:rPr>
          <w:lang w:val="fr-CA"/>
        </w:rPr>
        <w:t>82</w:t>
      </w:r>
      <w:r>
        <w:rPr>
          <w:vertAlign w:val="superscript"/>
          <w:lang w:val="fr-CA"/>
        </w:rPr>
        <w:t>e</w:t>
      </w:r>
      <w:r w:rsidR="0029763D" w:rsidRPr="008645AE">
        <w:rPr>
          <w:lang w:val="fr-CA"/>
        </w:rPr>
        <w:t> </w:t>
      </w:r>
      <w:r w:rsidR="0014063A" w:rsidRPr="008645AE">
        <w:rPr>
          <w:lang w:val="fr-CA"/>
        </w:rPr>
        <w:t>réunion</w:t>
      </w:r>
      <w:r w:rsidR="0029763D" w:rsidRPr="008645AE">
        <w:rPr>
          <w:lang w:val="fr-CA"/>
        </w:rPr>
        <w:t xml:space="preserve">. </w:t>
      </w:r>
      <w:r>
        <w:rPr>
          <w:lang w:val="fr-CA"/>
        </w:rPr>
        <w:t xml:space="preserve">Toutes les </w:t>
      </w:r>
      <w:r w:rsidR="0029763D" w:rsidRPr="008645AE">
        <w:rPr>
          <w:lang w:val="fr-CA"/>
        </w:rPr>
        <w:t>tranches</w:t>
      </w:r>
      <w:r>
        <w:rPr>
          <w:lang w:val="fr-CA"/>
        </w:rPr>
        <w:t xml:space="preserve"> étaient financièrement achevées en juin </w:t>
      </w:r>
      <w:r w:rsidR="0029763D" w:rsidRPr="008645AE">
        <w:rPr>
          <w:lang w:val="fr-CA"/>
        </w:rPr>
        <w:t>2019;</w:t>
      </w:r>
    </w:p>
    <w:p w14:paraId="4E124667" w14:textId="3B541186" w:rsidR="0029763D" w:rsidRPr="00802AF9" w:rsidRDefault="008645AE" w:rsidP="0029763D">
      <w:pPr>
        <w:widowControl w:val="0"/>
        <w:numPr>
          <w:ilvl w:val="1"/>
          <w:numId w:val="1"/>
        </w:numPr>
        <w:spacing w:after="240"/>
        <w:outlineLvl w:val="1"/>
        <w:rPr>
          <w:lang w:val="fr-CA"/>
        </w:rPr>
      </w:pPr>
      <w:r>
        <w:rPr>
          <w:i/>
          <w:lang w:val="fr-CA"/>
        </w:rPr>
        <w:t xml:space="preserve">Secteur des </w:t>
      </w:r>
      <w:r w:rsidR="00B6667F">
        <w:rPr>
          <w:i/>
          <w:lang w:val="fr-CA"/>
        </w:rPr>
        <w:t>mousses</w:t>
      </w:r>
      <w:r>
        <w:rPr>
          <w:i/>
          <w:lang w:val="fr-CA"/>
        </w:rPr>
        <w:t xml:space="preserve"> </w:t>
      </w:r>
      <w:r w:rsidR="0029763D" w:rsidRPr="00802AF9">
        <w:rPr>
          <w:i/>
          <w:lang w:val="fr-CA"/>
        </w:rPr>
        <w:t>PU:</w:t>
      </w:r>
      <w:r w:rsidR="0029763D" w:rsidRPr="00802AF9">
        <w:rPr>
          <w:lang w:val="fr-CA"/>
        </w:rPr>
        <w:t xml:space="preserve"> </w:t>
      </w:r>
      <w:bookmarkStart w:id="2" w:name="_Hlk56205704"/>
      <w:r w:rsidR="00B6667F" w:rsidRPr="00B6667F">
        <w:rPr>
          <w:lang w:val="fr-CA"/>
        </w:rPr>
        <w:t xml:space="preserve">Le plan sectoriel est achevé opérationnellement </w:t>
      </w:r>
      <w:bookmarkEnd w:id="2"/>
      <w:r w:rsidR="0029763D" w:rsidRPr="00802AF9">
        <w:rPr>
          <w:lang w:val="fr-CA"/>
        </w:rPr>
        <w:t>(</w:t>
      </w:r>
      <w:r w:rsidR="00B6667F">
        <w:rPr>
          <w:lang w:val="fr-CA"/>
        </w:rPr>
        <w:t>juin</w:t>
      </w:r>
      <w:r w:rsidR="0029763D" w:rsidRPr="00802AF9">
        <w:rPr>
          <w:lang w:val="fr-CA"/>
        </w:rPr>
        <w:t xml:space="preserve"> 2019), </w:t>
      </w:r>
      <w:bookmarkStart w:id="3" w:name="_Hlk56205727"/>
      <w:r w:rsidR="00B6667F">
        <w:rPr>
          <w:lang w:val="fr-CA"/>
        </w:rPr>
        <w:t xml:space="preserve">le </w:t>
      </w:r>
      <w:r>
        <w:rPr>
          <w:lang w:val="fr-CA"/>
        </w:rPr>
        <w:t>RAP</w:t>
      </w:r>
      <w:r w:rsidR="0029763D" w:rsidRPr="00802AF9">
        <w:rPr>
          <w:lang w:val="fr-CA"/>
        </w:rPr>
        <w:t xml:space="preserve"> </w:t>
      </w:r>
      <w:r w:rsidR="00B6667F">
        <w:rPr>
          <w:lang w:val="fr-CA"/>
        </w:rPr>
        <w:t xml:space="preserve">a été soumis à la </w:t>
      </w:r>
      <w:bookmarkEnd w:id="3"/>
      <w:r w:rsidR="0029763D" w:rsidRPr="00802AF9">
        <w:rPr>
          <w:lang w:val="fr-CA"/>
        </w:rPr>
        <w:t>84</w:t>
      </w:r>
      <w:r w:rsidR="00B6667F">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sidR="00B6667F">
        <w:rPr>
          <w:lang w:val="fr-CA"/>
        </w:rPr>
        <w:t xml:space="preserve">et les soldes de fonds restitués à la </w:t>
      </w:r>
      <w:r w:rsidR="0029763D" w:rsidRPr="00802AF9">
        <w:rPr>
          <w:lang w:val="fr-CA"/>
        </w:rPr>
        <w:t>84</w:t>
      </w:r>
      <w:r w:rsidR="00B6667F">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p>
    <w:p w14:paraId="2E23B157" w14:textId="7FA04B9D" w:rsidR="0029763D" w:rsidRPr="00802AF9" w:rsidRDefault="00B6667F" w:rsidP="0029763D">
      <w:pPr>
        <w:widowControl w:val="0"/>
        <w:numPr>
          <w:ilvl w:val="1"/>
          <w:numId w:val="1"/>
        </w:numPr>
        <w:spacing w:after="240"/>
        <w:outlineLvl w:val="1"/>
        <w:rPr>
          <w:lang w:val="fr-CA"/>
        </w:rPr>
      </w:pPr>
      <w:r>
        <w:rPr>
          <w:i/>
          <w:lang w:val="fr-CA"/>
        </w:rPr>
        <w:t>Secteur de l’</w:t>
      </w:r>
      <w:r w:rsidR="0029763D" w:rsidRPr="00802AF9">
        <w:rPr>
          <w:i/>
          <w:lang w:val="fr-CA"/>
        </w:rPr>
        <w:t>ICR:</w:t>
      </w:r>
      <w:r w:rsidR="0029763D" w:rsidRPr="00802AF9">
        <w:rPr>
          <w:lang w:val="fr-CA"/>
        </w:rPr>
        <w:t xml:space="preserve"> </w:t>
      </w:r>
      <w:r w:rsidRPr="00B6667F">
        <w:rPr>
          <w:lang w:val="fr-CA"/>
        </w:rPr>
        <w:t xml:space="preserve">Le plan sectoriel est achevé opérationnellement </w:t>
      </w:r>
      <w:r w:rsidR="0029763D" w:rsidRPr="00802AF9">
        <w:rPr>
          <w:lang w:val="fr-CA"/>
        </w:rPr>
        <w:t>(</w:t>
      </w:r>
      <w:r w:rsidR="00825570" w:rsidRPr="00802AF9">
        <w:rPr>
          <w:lang w:val="fr-CA"/>
        </w:rPr>
        <w:t>Décembre</w:t>
      </w:r>
      <w:r w:rsidR="0029763D" w:rsidRPr="00802AF9">
        <w:rPr>
          <w:lang w:val="fr-CA"/>
        </w:rPr>
        <w:t xml:space="preserve"> 2019), </w:t>
      </w:r>
      <w:bookmarkStart w:id="4" w:name="_Hlk56207005"/>
      <w:r w:rsidRPr="00B6667F">
        <w:rPr>
          <w:lang w:val="fr-CA"/>
        </w:rPr>
        <w:t xml:space="preserve">le RAP a été soumis à la </w:t>
      </w:r>
      <w:bookmarkEnd w:id="4"/>
      <w:r w:rsidR="0029763D" w:rsidRPr="00802AF9">
        <w:rPr>
          <w:lang w:val="fr-CA"/>
        </w:rPr>
        <w:t>85</w:t>
      </w:r>
      <w:r>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Pr>
          <w:lang w:val="fr-CA"/>
        </w:rPr>
        <w:t>et les soldes de fonds seront restitués à l’achèvement financier</w:t>
      </w:r>
      <w:r w:rsidR="0029763D" w:rsidRPr="00802AF9">
        <w:rPr>
          <w:lang w:val="fr-CA"/>
        </w:rPr>
        <w:t xml:space="preserve">; </w:t>
      </w:r>
    </w:p>
    <w:p w14:paraId="2A571ADE" w14:textId="3AD9553B" w:rsidR="0029763D" w:rsidRPr="00802AF9" w:rsidRDefault="00B6667F" w:rsidP="0029763D">
      <w:pPr>
        <w:widowControl w:val="0"/>
        <w:numPr>
          <w:ilvl w:val="1"/>
          <w:numId w:val="1"/>
        </w:numPr>
        <w:spacing w:after="240"/>
        <w:outlineLvl w:val="1"/>
        <w:rPr>
          <w:lang w:val="fr-CA"/>
        </w:rPr>
      </w:pPr>
      <w:r>
        <w:rPr>
          <w:i/>
          <w:lang w:val="fr-CA"/>
        </w:rPr>
        <w:t xml:space="preserve">Secteur </w:t>
      </w:r>
      <w:r w:rsidR="00494A38" w:rsidRPr="00802AF9">
        <w:rPr>
          <w:i/>
          <w:lang w:val="fr-CA"/>
        </w:rPr>
        <w:t>R&amp;C</w:t>
      </w:r>
      <w:r w:rsidR="0029763D" w:rsidRPr="00802AF9">
        <w:rPr>
          <w:i/>
          <w:lang w:val="fr-CA"/>
        </w:rPr>
        <w:t>:</w:t>
      </w:r>
      <w:r w:rsidR="0029763D" w:rsidRPr="00802AF9">
        <w:rPr>
          <w:lang w:val="fr-CA"/>
        </w:rPr>
        <w:t xml:space="preserve"> </w:t>
      </w:r>
      <w:r>
        <w:rPr>
          <w:lang w:val="fr-CA"/>
        </w:rPr>
        <w:t>Toutes les activités d’assistance technique et de re</w:t>
      </w:r>
      <w:r w:rsidR="0029763D" w:rsidRPr="00802AF9">
        <w:rPr>
          <w:lang w:val="fr-CA"/>
        </w:rPr>
        <w:t xml:space="preserve">conversion </w:t>
      </w:r>
      <w:r>
        <w:rPr>
          <w:lang w:val="fr-CA"/>
        </w:rPr>
        <w:t>ont été achevées</w:t>
      </w:r>
      <w:r w:rsidR="0029763D" w:rsidRPr="00802AF9">
        <w:rPr>
          <w:lang w:val="fr-CA"/>
        </w:rPr>
        <w:t xml:space="preserve">, </w:t>
      </w:r>
      <w:r>
        <w:rPr>
          <w:lang w:val="fr-CA"/>
        </w:rPr>
        <w:t xml:space="preserve">dont 29 chaînes </w:t>
      </w:r>
      <w:r w:rsidR="00494A38" w:rsidRPr="00802AF9">
        <w:rPr>
          <w:lang w:val="fr-CA"/>
        </w:rPr>
        <w:t>R&amp;C</w:t>
      </w:r>
      <w:r w:rsidR="0029763D" w:rsidRPr="00802AF9">
        <w:rPr>
          <w:lang w:val="fr-CA"/>
        </w:rPr>
        <w:t xml:space="preserve"> (R-290, R-410A </w:t>
      </w:r>
      <w:r>
        <w:rPr>
          <w:lang w:val="fr-CA"/>
        </w:rPr>
        <w:t xml:space="preserve">et </w:t>
      </w:r>
      <w:r w:rsidR="0029763D" w:rsidRPr="00802AF9">
        <w:rPr>
          <w:lang w:val="fr-CA"/>
        </w:rPr>
        <w:t>compress</w:t>
      </w:r>
      <w:r>
        <w:rPr>
          <w:lang w:val="fr-CA"/>
        </w:rPr>
        <w:t>eu</w:t>
      </w:r>
      <w:r w:rsidR="0029763D" w:rsidRPr="00802AF9">
        <w:rPr>
          <w:lang w:val="fr-CA"/>
        </w:rPr>
        <w:t xml:space="preserve">rs) </w:t>
      </w:r>
      <w:r>
        <w:rPr>
          <w:lang w:val="fr-CA"/>
        </w:rPr>
        <w:t xml:space="preserve">avec une élimination totale de </w:t>
      </w:r>
      <w:r w:rsidR="0029763D" w:rsidRPr="00802AF9">
        <w:rPr>
          <w:lang w:val="fr-CA"/>
        </w:rPr>
        <w:t>10</w:t>
      </w:r>
      <w:r>
        <w:rPr>
          <w:lang w:val="fr-CA"/>
        </w:rPr>
        <w:t> </w:t>
      </w:r>
      <w:r w:rsidR="0029763D" w:rsidRPr="00802AF9">
        <w:rPr>
          <w:lang w:val="fr-CA"/>
        </w:rPr>
        <w:t>813</w:t>
      </w:r>
      <w:r>
        <w:rPr>
          <w:lang w:val="fr-CA"/>
        </w:rPr>
        <w:t>,</w:t>
      </w:r>
      <w:r w:rsidR="0029763D" w:rsidRPr="00802AF9">
        <w:rPr>
          <w:lang w:val="fr-CA"/>
        </w:rPr>
        <w:t>7 </w:t>
      </w:r>
      <w:r>
        <w:rPr>
          <w:lang w:val="fr-CA"/>
        </w:rPr>
        <w:t>t</w:t>
      </w:r>
      <w:r w:rsidR="0029763D" w:rsidRPr="00802AF9">
        <w:rPr>
          <w:lang w:val="fr-CA"/>
        </w:rPr>
        <w:t xml:space="preserve">m </w:t>
      </w:r>
      <w:r>
        <w:rPr>
          <w:lang w:val="fr-CA"/>
        </w:rPr>
        <w:t xml:space="preserve">de </w:t>
      </w:r>
      <w:r w:rsidR="0029763D" w:rsidRPr="00802AF9">
        <w:rPr>
          <w:lang w:val="fr-CA"/>
        </w:rPr>
        <w:t>HCFC-22 (</w:t>
      </w:r>
      <w:r>
        <w:rPr>
          <w:lang w:val="fr-CA"/>
        </w:rPr>
        <w:t xml:space="preserve">dont </w:t>
      </w:r>
      <w:r w:rsidR="0029763D" w:rsidRPr="00802AF9">
        <w:rPr>
          <w:lang w:val="fr-CA"/>
        </w:rPr>
        <w:t>10</w:t>
      </w:r>
      <w:r>
        <w:rPr>
          <w:lang w:val="fr-CA"/>
        </w:rPr>
        <w:t> </w:t>
      </w:r>
      <w:r w:rsidR="0029763D" w:rsidRPr="00802AF9">
        <w:rPr>
          <w:lang w:val="fr-CA"/>
        </w:rPr>
        <w:t>488</w:t>
      </w:r>
      <w:r>
        <w:rPr>
          <w:lang w:val="fr-CA"/>
        </w:rPr>
        <w:t>,</w:t>
      </w:r>
      <w:r w:rsidR="0029763D" w:rsidRPr="00802AF9">
        <w:rPr>
          <w:lang w:val="fr-CA"/>
        </w:rPr>
        <w:t>1 </w:t>
      </w:r>
      <w:r>
        <w:rPr>
          <w:lang w:val="fr-CA"/>
        </w:rPr>
        <w:t>t</w:t>
      </w:r>
      <w:r w:rsidR="0029763D" w:rsidRPr="00802AF9">
        <w:rPr>
          <w:lang w:val="fr-CA"/>
        </w:rPr>
        <w:t xml:space="preserve">m </w:t>
      </w:r>
      <w:r>
        <w:rPr>
          <w:lang w:val="fr-CA"/>
        </w:rPr>
        <w:t xml:space="preserve">sont liées à des entreprises </w:t>
      </w:r>
      <w:r w:rsidR="00866EB5">
        <w:rPr>
          <w:lang w:val="fr-CA"/>
        </w:rPr>
        <w:t>appartenant à des intérêts locaux</w:t>
      </w:r>
      <w:r w:rsidR="0029763D" w:rsidRPr="00802AF9">
        <w:rPr>
          <w:lang w:val="fr-CA"/>
        </w:rPr>
        <w:t xml:space="preserve">). </w:t>
      </w:r>
      <w:r w:rsidR="00866EB5">
        <w:rPr>
          <w:lang w:val="fr-CA"/>
        </w:rPr>
        <w:t>Un</w:t>
      </w:r>
      <w:r w:rsidR="007E3AF7">
        <w:rPr>
          <w:lang w:val="fr-CA"/>
        </w:rPr>
        <w:t>e</w:t>
      </w:r>
      <w:r w:rsidR="00866EB5">
        <w:rPr>
          <w:lang w:val="fr-CA"/>
        </w:rPr>
        <w:t xml:space="preserve"> </w:t>
      </w:r>
      <w:r w:rsidR="007E3AF7">
        <w:rPr>
          <w:lang w:val="fr-CA"/>
        </w:rPr>
        <w:t>prolongation jusqu’</w:t>
      </w:r>
      <w:r w:rsidR="00866EB5">
        <w:rPr>
          <w:lang w:val="fr-CA"/>
        </w:rPr>
        <w:t xml:space="preserve">au </w:t>
      </w:r>
      <w:r w:rsidR="0029763D" w:rsidRPr="00802AF9">
        <w:rPr>
          <w:lang w:val="fr-CA"/>
        </w:rPr>
        <w:t>31 </w:t>
      </w:r>
      <w:r w:rsidR="00866EB5">
        <w:rPr>
          <w:lang w:val="fr-CA"/>
        </w:rPr>
        <w:t>d</w:t>
      </w:r>
      <w:r w:rsidR="00825570" w:rsidRPr="00802AF9">
        <w:rPr>
          <w:lang w:val="fr-CA"/>
        </w:rPr>
        <w:t>écembre</w:t>
      </w:r>
      <w:r w:rsidR="0029763D" w:rsidRPr="00802AF9">
        <w:rPr>
          <w:lang w:val="fr-CA"/>
        </w:rPr>
        <w:t xml:space="preserve"> 2021 </w:t>
      </w:r>
      <w:r w:rsidR="00866EB5">
        <w:rPr>
          <w:lang w:val="fr-CA"/>
        </w:rPr>
        <w:t>est demandé</w:t>
      </w:r>
      <w:r w:rsidR="007E3AF7">
        <w:rPr>
          <w:lang w:val="fr-CA"/>
        </w:rPr>
        <w:t>e</w:t>
      </w:r>
      <w:r w:rsidR="00866EB5">
        <w:rPr>
          <w:lang w:val="fr-CA"/>
        </w:rPr>
        <w:t xml:space="preserve"> pour permettre la poursuite des ventes d’équipements R&amp;C à base de </w:t>
      </w:r>
      <w:r w:rsidR="0029763D" w:rsidRPr="00802AF9">
        <w:rPr>
          <w:lang w:val="fr-CA"/>
        </w:rPr>
        <w:t>R</w:t>
      </w:r>
      <w:r w:rsidR="0029763D" w:rsidRPr="00802AF9">
        <w:rPr>
          <w:lang w:val="fr-CA"/>
        </w:rPr>
        <w:noBreakHyphen/>
        <w:t xml:space="preserve">290 </w:t>
      </w:r>
      <w:r w:rsidR="00494A38" w:rsidRPr="00802AF9">
        <w:rPr>
          <w:lang w:val="fr-CA"/>
        </w:rPr>
        <w:lastRenderedPageBreak/>
        <w:t>R&amp;C</w:t>
      </w:r>
      <w:r w:rsidR="007E3AF7">
        <w:rPr>
          <w:lang w:val="fr-CA"/>
        </w:rPr>
        <w:t>, ainsi que</w:t>
      </w:r>
      <w:r w:rsidR="00866EB5">
        <w:rPr>
          <w:lang w:val="fr-CA"/>
        </w:rPr>
        <w:t xml:space="preserve"> les décaissements connexes pour les coûts </w:t>
      </w:r>
      <w:r w:rsidR="007E3AF7">
        <w:rPr>
          <w:lang w:val="fr-CA"/>
        </w:rPr>
        <w:t xml:space="preserve">différentiels d’exploitation </w:t>
      </w:r>
      <w:r w:rsidR="0029763D" w:rsidRPr="00802AF9">
        <w:rPr>
          <w:lang w:val="fr-CA"/>
        </w:rPr>
        <w:t>(</w:t>
      </w:r>
      <w:r w:rsidR="007E3AF7">
        <w:rPr>
          <w:lang w:val="fr-CA"/>
        </w:rPr>
        <w:t>un rapport</w:t>
      </w:r>
      <w:r w:rsidR="00494A38" w:rsidRPr="00802AF9">
        <w:rPr>
          <w:lang w:val="fr-CA"/>
        </w:rPr>
        <w:t xml:space="preserve"> périodique</w:t>
      </w:r>
      <w:r w:rsidR="0029763D" w:rsidRPr="00802AF9">
        <w:rPr>
          <w:lang w:val="fr-CA"/>
        </w:rPr>
        <w:t xml:space="preserve"> </w:t>
      </w:r>
      <w:r w:rsidR="007E3AF7">
        <w:rPr>
          <w:lang w:val="fr-CA"/>
        </w:rPr>
        <w:t xml:space="preserve">détaillé soumis à la </w:t>
      </w:r>
      <w:r w:rsidR="0029763D" w:rsidRPr="00802AF9">
        <w:rPr>
          <w:lang w:val="fr-CA"/>
        </w:rPr>
        <w:t>86</w:t>
      </w:r>
      <w:r w:rsidR="007E3AF7">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sidR="007E3AF7">
        <w:rPr>
          <w:lang w:val="fr-CA"/>
        </w:rPr>
        <w:t>est présenté ci-après</w:t>
      </w:r>
      <w:r w:rsidR="0029763D" w:rsidRPr="00802AF9">
        <w:rPr>
          <w:lang w:val="fr-CA"/>
        </w:rPr>
        <w:t>);</w:t>
      </w:r>
    </w:p>
    <w:p w14:paraId="33901DF0" w14:textId="6594BFE6" w:rsidR="007E3AF7" w:rsidRDefault="0029763D" w:rsidP="000F1DD3">
      <w:pPr>
        <w:pStyle w:val="Heading2"/>
        <w:rPr>
          <w:lang w:val="fr-CA"/>
        </w:rPr>
      </w:pPr>
      <w:r w:rsidRPr="007E3AF7">
        <w:rPr>
          <w:i/>
          <w:lang w:val="fr-CA"/>
        </w:rPr>
        <w:t>S</w:t>
      </w:r>
      <w:r w:rsidR="00B6667F" w:rsidRPr="007E3AF7">
        <w:rPr>
          <w:i/>
          <w:lang w:val="fr-CA"/>
        </w:rPr>
        <w:t>ecteur des s</w:t>
      </w:r>
      <w:r w:rsidRPr="007E3AF7">
        <w:rPr>
          <w:i/>
          <w:lang w:val="fr-CA"/>
        </w:rPr>
        <w:t>olv</w:t>
      </w:r>
      <w:r w:rsidR="00B6667F" w:rsidRPr="007E3AF7">
        <w:rPr>
          <w:i/>
          <w:lang w:val="fr-CA"/>
        </w:rPr>
        <w:t>a</w:t>
      </w:r>
      <w:r w:rsidRPr="007E3AF7">
        <w:rPr>
          <w:i/>
          <w:lang w:val="fr-CA"/>
        </w:rPr>
        <w:t>nts</w:t>
      </w:r>
      <w:r w:rsidR="00BA5233">
        <w:rPr>
          <w:i/>
          <w:lang w:val="fr-CA"/>
        </w:rPr>
        <w:t xml:space="preserve"> </w:t>
      </w:r>
      <w:r w:rsidRPr="007E3AF7">
        <w:rPr>
          <w:i/>
          <w:lang w:val="fr-CA"/>
        </w:rPr>
        <w:t>:</w:t>
      </w:r>
      <w:r w:rsidRPr="007E3AF7">
        <w:rPr>
          <w:lang w:val="fr-CA"/>
        </w:rPr>
        <w:t xml:space="preserve"> </w:t>
      </w:r>
      <w:bookmarkStart w:id="5" w:name="_Hlk56207060"/>
      <w:r w:rsidR="007E3AF7" w:rsidRPr="007E3AF7">
        <w:rPr>
          <w:lang w:val="fr-CA"/>
        </w:rPr>
        <w:t xml:space="preserve">Le plan sectoriel est achevé opérationnellement </w:t>
      </w:r>
      <w:r w:rsidRPr="007E3AF7">
        <w:rPr>
          <w:lang w:val="fr-CA"/>
        </w:rPr>
        <w:t>(</w:t>
      </w:r>
      <w:r w:rsidR="00825570" w:rsidRPr="007E3AF7">
        <w:rPr>
          <w:lang w:val="fr-CA"/>
        </w:rPr>
        <w:t>Décembre</w:t>
      </w:r>
      <w:r w:rsidRPr="007E3AF7">
        <w:rPr>
          <w:lang w:val="fr-CA"/>
        </w:rPr>
        <w:t xml:space="preserve"> 2017), </w:t>
      </w:r>
      <w:r w:rsidR="007E3AF7" w:rsidRPr="007E3AF7">
        <w:rPr>
          <w:lang w:val="fr-CA"/>
        </w:rPr>
        <w:t xml:space="preserve">le RAP a été soumis à la </w:t>
      </w:r>
      <w:r w:rsidRPr="007E3AF7">
        <w:rPr>
          <w:lang w:val="fr-CA"/>
        </w:rPr>
        <w:t>81</w:t>
      </w:r>
      <w:r w:rsidRPr="007E3AF7">
        <w:rPr>
          <w:vertAlign w:val="superscript"/>
          <w:lang w:val="fr-CA"/>
        </w:rPr>
        <w:t>st</w:t>
      </w:r>
      <w:r w:rsidRPr="007E3AF7">
        <w:rPr>
          <w:lang w:val="fr-CA"/>
        </w:rPr>
        <w:t> </w:t>
      </w:r>
      <w:r w:rsidR="0014063A" w:rsidRPr="007E3AF7">
        <w:rPr>
          <w:lang w:val="fr-CA"/>
        </w:rPr>
        <w:t>réunion</w:t>
      </w:r>
      <w:r w:rsidRPr="007E3AF7">
        <w:rPr>
          <w:lang w:val="fr-CA"/>
        </w:rPr>
        <w:t xml:space="preserve">, </w:t>
      </w:r>
      <w:r w:rsidR="007E3AF7" w:rsidRPr="007E3AF7">
        <w:rPr>
          <w:lang w:val="fr-CA"/>
        </w:rPr>
        <w:t>et il ne restait aucun solde</w:t>
      </w:r>
      <w:bookmarkEnd w:id="5"/>
      <w:r w:rsidRPr="007E3AF7">
        <w:rPr>
          <w:lang w:val="fr-CA"/>
        </w:rPr>
        <w:t xml:space="preserve">; </w:t>
      </w:r>
      <w:r w:rsidR="00BA5233">
        <w:rPr>
          <w:lang w:val="fr-CA"/>
        </w:rPr>
        <w:t>et</w:t>
      </w:r>
    </w:p>
    <w:p w14:paraId="42E49FDF" w14:textId="02F5C72C" w:rsidR="0029763D" w:rsidRPr="007E3AF7" w:rsidRDefault="00B6667F" w:rsidP="000F1DD3">
      <w:pPr>
        <w:pStyle w:val="Heading2"/>
        <w:rPr>
          <w:lang w:val="fr-CA"/>
        </w:rPr>
      </w:pPr>
      <w:r w:rsidRPr="007E3AF7">
        <w:rPr>
          <w:i/>
          <w:lang w:val="fr-CA"/>
        </w:rPr>
        <w:t>Secteur de l’entretien en ré</w:t>
      </w:r>
      <w:r w:rsidR="0029763D" w:rsidRPr="007E3AF7">
        <w:rPr>
          <w:i/>
          <w:lang w:val="fr-CA"/>
        </w:rPr>
        <w:t>frig</w:t>
      </w:r>
      <w:r w:rsidRPr="007E3AF7">
        <w:rPr>
          <w:i/>
          <w:lang w:val="fr-CA"/>
        </w:rPr>
        <w:t>é</w:t>
      </w:r>
      <w:r w:rsidR="0029763D" w:rsidRPr="007E3AF7">
        <w:rPr>
          <w:i/>
          <w:lang w:val="fr-CA"/>
        </w:rPr>
        <w:t>ration</w:t>
      </w:r>
      <w:r w:rsidR="00BA5233">
        <w:rPr>
          <w:i/>
          <w:lang w:val="fr-CA"/>
        </w:rPr>
        <w:t xml:space="preserve"> </w:t>
      </w:r>
      <w:r w:rsidR="0029763D" w:rsidRPr="007E3AF7">
        <w:rPr>
          <w:i/>
          <w:lang w:val="fr-CA"/>
        </w:rPr>
        <w:t>:</w:t>
      </w:r>
      <w:r w:rsidR="0029763D" w:rsidRPr="007E3AF7">
        <w:rPr>
          <w:lang w:val="fr-CA"/>
        </w:rPr>
        <w:t xml:space="preserve"> </w:t>
      </w:r>
      <w:r w:rsidR="007E3AF7" w:rsidRPr="007E3AF7">
        <w:rPr>
          <w:lang w:val="fr-CA"/>
        </w:rPr>
        <w:t>Le plan sectoriel est achevé opérationnellement (Décembre 201</w:t>
      </w:r>
      <w:r w:rsidR="007E3AF7">
        <w:rPr>
          <w:lang w:val="fr-CA"/>
        </w:rPr>
        <w:t>8</w:t>
      </w:r>
      <w:r w:rsidR="007E3AF7" w:rsidRPr="007E3AF7">
        <w:rPr>
          <w:lang w:val="fr-CA"/>
        </w:rPr>
        <w:t>), le RAP a été soumis à la 8</w:t>
      </w:r>
      <w:r w:rsidR="007E3AF7">
        <w:rPr>
          <w:lang w:val="fr-CA"/>
        </w:rPr>
        <w:t>4</w:t>
      </w:r>
      <w:r w:rsidR="007E3AF7" w:rsidRPr="007E3AF7">
        <w:rPr>
          <w:vertAlign w:val="superscript"/>
          <w:lang w:val="fr-CA"/>
        </w:rPr>
        <w:t>e</w:t>
      </w:r>
      <w:r w:rsidR="007E3AF7">
        <w:rPr>
          <w:lang w:val="fr-CA"/>
        </w:rPr>
        <w:t> </w:t>
      </w:r>
      <w:r w:rsidR="007E3AF7" w:rsidRPr="007E3AF7">
        <w:rPr>
          <w:lang w:val="fr-CA"/>
        </w:rPr>
        <w:t>réunion, et il ne restait aucun solde</w:t>
      </w:r>
      <w:r w:rsidR="0029763D" w:rsidRPr="007E3AF7">
        <w:rPr>
          <w:lang w:val="fr-CA"/>
        </w:rPr>
        <w:t>.</w:t>
      </w:r>
    </w:p>
    <w:p w14:paraId="57D6036E" w14:textId="41109258" w:rsidR="0029763D" w:rsidRPr="00802AF9" w:rsidRDefault="0029763D" w:rsidP="0029763D">
      <w:pPr>
        <w:spacing w:after="240"/>
        <w:outlineLvl w:val="0"/>
        <w:rPr>
          <w:u w:val="single"/>
          <w:lang w:val="fr-CA"/>
        </w:rPr>
      </w:pPr>
      <w:r w:rsidRPr="00802AF9">
        <w:rPr>
          <w:u w:val="single"/>
          <w:lang w:val="fr-CA"/>
        </w:rPr>
        <w:t>D</w:t>
      </w:r>
      <w:r w:rsidR="007E3AF7">
        <w:rPr>
          <w:u w:val="single"/>
          <w:lang w:val="fr-CA"/>
        </w:rPr>
        <w:t xml:space="preserve">écaissement des fonds et intérêt couru durant les </w:t>
      </w:r>
      <w:r w:rsidR="0014063A" w:rsidRPr="00802AF9">
        <w:rPr>
          <w:u w:val="single"/>
          <w:lang w:val="fr-CA"/>
        </w:rPr>
        <w:t>phase</w:t>
      </w:r>
      <w:r w:rsidR="007E3AF7">
        <w:rPr>
          <w:u w:val="single"/>
          <w:lang w:val="fr-CA"/>
        </w:rPr>
        <w:t>s</w:t>
      </w:r>
      <w:r w:rsidRPr="00802AF9">
        <w:rPr>
          <w:u w:val="single"/>
          <w:lang w:val="fr-CA"/>
        </w:rPr>
        <w:t xml:space="preserve"> I </w:t>
      </w:r>
      <w:r w:rsidR="007E3AF7">
        <w:rPr>
          <w:u w:val="single"/>
          <w:lang w:val="fr-CA"/>
        </w:rPr>
        <w:t>et</w:t>
      </w:r>
      <w:r w:rsidRPr="00802AF9">
        <w:rPr>
          <w:u w:val="single"/>
          <w:lang w:val="fr-CA"/>
        </w:rPr>
        <w:t> II</w:t>
      </w:r>
    </w:p>
    <w:p w14:paraId="484E6F7F" w14:textId="0775CE40" w:rsidR="0029763D" w:rsidRPr="00802AF9" w:rsidRDefault="007E3AF7" w:rsidP="0029763D">
      <w:pPr>
        <w:numPr>
          <w:ilvl w:val="0"/>
          <w:numId w:val="1"/>
        </w:numPr>
        <w:outlineLvl w:val="0"/>
        <w:rPr>
          <w:lang w:val="fr-CA"/>
        </w:rPr>
      </w:pPr>
      <w:r>
        <w:rPr>
          <w:lang w:val="fr-CA"/>
        </w:rPr>
        <w:t xml:space="preserve">En application de la </w:t>
      </w:r>
      <w:r w:rsidR="00494A38" w:rsidRPr="00802AF9">
        <w:rPr>
          <w:lang w:val="fr-CA"/>
        </w:rPr>
        <w:t>décision</w:t>
      </w:r>
      <w:r w:rsidR="0029763D" w:rsidRPr="00802AF9">
        <w:rPr>
          <w:lang w:val="fr-CA"/>
        </w:rPr>
        <w:t xml:space="preserve"> 69/24, </w:t>
      </w:r>
      <w:r>
        <w:rPr>
          <w:lang w:val="fr-CA"/>
        </w:rPr>
        <w:t xml:space="preserve">des </w:t>
      </w:r>
      <w:r w:rsidR="0029763D" w:rsidRPr="00802AF9">
        <w:rPr>
          <w:lang w:val="fr-CA"/>
        </w:rPr>
        <w:t>information</w:t>
      </w:r>
      <w:r>
        <w:rPr>
          <w:lang w:val="fr-CA"/>
        </w:rPr>
        <w:t>s ont été fournies sur les intérêts cumulés</w:t>
      </w:r>
      <w:r w:rsidR="0029763D" w:rsidRPr="00802AF9">
        <w:rPr>
          <w:lang w:val="fr-CA"/>
        </w:rPr>
        <w:t xml:space="preserve"> </w:t>
      </w:r>
      <w:r>
        <w:rPr>
          <w:lang w:val="fr-CA"/>
        </w:rPr>
        <w:t xml:space="preserve">à la fin de </w:t>
      </w:r>
      <w:r w:rsidR="0029763D" w:rsidRPr="00802AF9">
        <w:rPr>
          <w:lang w:val="fr-CA"/>
        </w:rPr>
        <w:t xml:space="preserve">2019 </w:t>
      </w:r>
      <w:r>
        <w:rPr>
          <w:lang w:val="fr-CA"/>
        </w:rPr>
        <w:t xml:space="preserve">dans un rapport d’audit sur les décaissements de la </w:t>
      </w:r>
      <w:r w:rsidR="0014063A" w:rsidRPr="00802AF9">
        <w:rPr>
          <w:lang w:val="fr-CA"/>
        </w:rPr>
        <w:t>phase</w:t>
      </w:r>
      <w:r w:rsidR="0029763D" w:rsidRPr="00802AF9">
        <w:rPr>
          <w:lang w:val="fr-CA"/>
        </w:rPr>
        <w:t xml:space="preserve"> I </w:t>
      </w:r>
      <w:r>
        <w:rPr>
          <w:lang w:val="fr-CA"/>
        </w:rPr>
        <w:t xml:space="preserve">et la </w:t>
      </w:r>
      <w:r w:rsidR="0014063A" w:rsidRPr="00802AF9">
        <w:rPr>
          <w:lang w:val="fr-CA"/>
        </w:rPr>
        <w:t>phase</w:t>
      </w:r>
      <w:r w:rsidR="0029763D" w:rsidRPr="00802AF9">
        <w:rPr>
          <w:lang w:val="fr-CA"/>
        </w:rPr>
        <w:t xml:space="preserve"> II </w:t>
      </w:r>
      <w:r>
        <w:rPr>
          <w:lang w:val="fr-CA"/>
        </w:rPr>
        <w:t xml:space="preserve">des plans sectoriels du </w:t>
      </w:r>
      <w:r w:rsidR="00494A38" w:rsidRPr="00802AF9">
        <w:rPr>
          <w:lang w:val="fr-CA"/>
        </w:rPr>
        <w:t>PGEH</w:t>
      </w:r>
      <w:r w:rsidR="0029763D" w:rsidRPr="00802AF9">
        <w:rPr>
          <w:lang w:val="fr-CA"/>
        </w:rPr>
        <w:t xml:space="preserve"> </w:t>
      </w:r>
      <w:r>
        <w:rPr>
          <w:lang w:val="fr-CA"/>
        </w:rPr>
        <w:t>de</w:t>
      </w:r>
      <w:r w:rsidR="0029763D" w:rsidRPr="00802AF9">
        <w:rPr>
          <w:lang w:val="fr-CA"/>
        </w:rPr>
        <w:t xml:space="preserve"> 2019 s</w:t>
      </w:r>
      <w:r>
        <w:rPr>
          <w:lang w:val="fr-CA"/>
        </w:rPr>
        <w:t xml:space="preserve">oumis par le </w:t>
      </w:r>
      <w:r w:rsidR="0014063A" w:rsidRPr="00802AF9">
        <w:rPr>
          <w:lang w:val="fr-CA"/>
        </w:rPr>
        <w:t>PNUD</w:t>
      </w:r>
      <w:r w:rsidR="0029763D" w:rsidRPr="00802AF9">
        <w:rPr>
          <w:lang w:val="fr-CA"/>
        </w:rPr>
        <w:t xml:space="preserve"> </w:t>
      </w:r>
      <w:r>
        <w:rPr>
          <w:lang w:val="fr-CA"/>
        </w:rPr>
        <w:t>le</w:t>
      </w:r>
      <w:r w:rsidR="0029763D" w:rsidRPr="00802AF9">
        <w:rPr>
          <w:lang w:val="fr-CA"/>
        </w:rPr>
        <w:t xml:space="preserve"> 8 </w:t>
      </w:r>
      <w:r w:rsidR="00825570" w:rsidRPr="00802AF9">
        <w:rPr>
          <w:lang w:val="fr-CA"/>
        </w:rPr>
        <w:t>Septembre</w:t>
      </w:r>
      <w:r w:rsidR="0029763D" w:rsidRPr="00802AF9">
        <w:rPr>
          <w:lang w:val="fr-CA"/>
        </w:rPr>
        <w:t xml:space="preserve"> 2020, </w:t>
      </w:r>
      <w:r w:rsidR="002C24B1">
        <w:rPr>
          <w:lang w:val="fr-CA"/>
        </w:rPr>
        <w:t xml:space="preserve">tel qu’indiqué dans le </w:t>
      </w:r>
      <w:r w:rsidR="0029763D" w:rsidRPr="00802AF9">
        <w:rPr>
          <w:lang w:val="fr-CA"/>
        </w:rPr>
        <w:t>Table</w:t>
      </w:r>
      <w:r w:rsidR="002C24B1">
        <w:rPr>
          <w:lang w:val="fr-CA"/>
        </w:rPr>
        <w:t>au</w:t>
      </w:r>
      <w:r w:rsidR="0029763D" w:rsidRPr="00802AF9">
        <w:rPr>
          <w:lang w:val="fr-CA"/>
        </w:rPr>
        <w:t xml:space="preserve"> 5. </w:t>
      </w:r>
      <w:r w:rsidR="002C24B1">
        <w:rPr>
          <w:lang w:val="fr-CA"/>
        </w:rPr>
        <w:t xml:space="preserve">Le rapport d’audit indiquait par ailleurs que l’état financier de la subvention du projet et les décaissements du </w:t>
      </w:r>
      <w:r w:rsidR="00494A38" w:rsidRPr="00802AF9">
        <w:rPr>
          <w:lang w:val="fr-CA"/>
        </w:rPr>
        <w:t>PGEH</w:t>
      </w:r>
      <w:r w:rsidR="0029763D" w:rsidRPr="00802AF9">
        <w:rPr>
          <w:lang w:val="fr-CA"/>
        </w:rPr>
        <w:t xml:space="preserve"> (</w:t>
      </w:r>
      <w:r w:rsidR="0014063A" w:rsidRPr="00802AF9">
        <w:rPr>
          <w:lang w:val="fr-CA"/>
        </w:rPr>
        <w:t>phase</w:t>
      </w:r>
      <w:r w:rsidR="0029763D" w:rsidRPr="00802AF9">
        <w:rPr>
          <w:lang w:val="fr-CA"/>
        </w:rPr>
        <w:t xml:space="preserve">s I </w:t>
      </w:r>
      <w:r w:rsidR="002C24B1">
        <w:rPr>
          <w:lang w:val="fr-CA"/>
        </w:rPr>
        <w:t>et</w:t>
      </w:r>
      <w:r w:rsidR="0029763D" w:rsidRPr="00802AF9">
        <w:rPr>
          <w:lang w:val="fr-CA"/>
        </w:rPr>
        <w:t xml:space="preserve"> II) </w:t>
      </w:r>
      <w:r w:rsidR="002C24B1">
        <w:rPr>
          <w:lang w:val="fr-CA"/>
        </w:rPr>
        <w:t xml:space="preserve">étaient conformes aux dispositions du </w:t>
      </w:r>
      <w:r w:rsidR="00494A38" w:rsidRPr="00802AF9">
        <w:rPr>
          <w:lang w:val="fr-CA"/>
        </w:rPr>
        <w:t>Protocole de Montréal</w:t>
      </w:r>
      <w:r w:rsidR="0029763D" w:rsidRPr="00802AF9">
        <w:rPr>
          <w:lang w:val="fr-CA"/>
        </w:rPr>
        <w:t xml:space="preserve"> </w:t>
      </w:r>
      <w:r w:rsidR="002C24B1">
        <w:rPr>
          <w:lang w:val="fr-CA"/>
        </w:rPr>
        <w:t>sur les SAO et aux normes comptables des institutions chinoises</w:t>
      </w:r>
      <w:r w:rsidR="0029763D" w:rsidRPr="00802AF9">
        <w:rPr>
          <w:lang w:val="fr-CA"/>
        </w:rPr>
        <w:t xml:space="preserve">. </w:t>
      </w:r>
      <w:r w:rsidR="002C24B1">
        <w:rPr>
          <w:lang w:val="fr-CA"/>
        </w:rPr>
        <w:t>L’état de la subvention et des dépenses du projet a été présenté de façon juste et équitable sur tous les aspects matériels du 1</w:t>
      </w:r>
      <w:r w:rsidR="002C24B1" w:rsidRPr="002C24B1">
        <w:rPr>
          <w:vertAlign w:val="superscript"/>
          <w:lang w:val="fr-CA"/>
        </w:rPr>
        <w:t>er</w:t>
      </w:r>
      <w:r w:rsidR="002C24B1">
        <w:rPr>
          <w:lang w:val="fr-CA"/>
        </w:rPr>
        <w:t xml:space="preserve"> janvier au 31 décembre 2018 par le </w:t>
      </w:r>
      <w:r w:rsidR="00C816AC">
        <w:rPr>
          <w:lang w:val="fr-CA"/>
        </w:rPr>
        <w:t>CCEE</w:t>
      </w:r>
      <w:r w:rsidR="0029763D" w:rsidRPr="00802AF9">
        <w:rPr>
          <w:lang w:val="fr-CA"/>
        </w:rPr>
        <w:t>.”</w:t>
      </w:r>
    </w:p>
    <w:p w14:paraId="0418417E" w14:textId="77777777" w:rsidR="0029763D" w:rsidRPr="00802AF9" w:rsidRDefault="0029763D" w:rsidP="0029763D">
      <w:pPr>
        <w:rPr>
          <w:lang w:val="fr-CA"/>
        </w:rPr>
      </w:pPr>
    </w:p>
    <w:p w14:paraId="319536E5" w14:textId="422DAA85" w:rsidR="0029763D" w:rsidRPr="00802AF9" w:rsidRDefault="0029763D" w:rsidP="0029763D">
      <w:pPr>
        <w:rPr>
          <w:b/>
          <w:lang w:val="fr-CA"/>
        </w:rPr>
      </w:pPr>
      <w:r w:rsidRPr="00802AF9">
        <w:rPr>
          <w:b/>
          <w:lang w:val="fr-CA"/>
        </w:rPr>
        <w:t>Table</w:t>
      </w:r>
      <w:r w:rsidR="002C24B1">
        <w:rPr>
          <w:b/>
          <w:lang w:val="fr-CA"/>
        </w:rPr>
        <w:t>au</w:t>
      </w:r>
      <w:r w:rsidRPr="00802AF9">
        <w:rPr>
          <w:b/>
          <w:lang w:val="fr-CA"/>
        </w:rPr>
        <w:t xml:space="preserve"> 5. Information</w:t>
      </w:r>
      <w:r w:rsidR="002C24B1">
        <w:rPr>
          <w:b/>
          <w:lang w:val="fr-CA"/>
        </w:rPr>
        <w:t xml:space="preserve">s fournies sur l’intérêt couru en </w:t>
      </w:r>
      <w:r w:rsidRPr="00802AF9">
        <w:rPr>
          <w:b/>
          <w:lang w:val="fr-CA"/>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874"/>
        <w:gridCol w:w="1874"/>
        <w:gridCol w:w="2010"/>
      </w:tblGrid>
      <w:tr w:rsidR="0029763D" w:rsidRPr="00802AF9" w14:paraId="1494A36D" w14:textId="77777777" w:rsidTr="003F073E">
        <w:trPr>
          <w:trHeight w:val="204"/>
        </w:trPr>
        <w:tc>
          <w:tcPr>
            <w:tcW w:w="1921" w:type="pct"/>
            <w:vMerge w:val="restart"/>
            <w:shd w:val="clear" w:color="auto" w:fill="auto"/>
            <w:noWrap/>
            <w:vAlign w:val="center"/>
            <w:hideMark/>
          </w:tcPr>
          <w:p w14:paraId="4467CAE7" w14:textId="7D1BE5F6" w:rsidR="0029763D" w:rsidRPr="00802AF9" w:rsidRDefault="00494A38" w:rsidP="003F073E">
            <w:pPr>
              <w:jc w:val="left"/>
              <w:rPr>
                <w:b/>
                <w:bCs/>
                <w:color w:val="000000"/>
                <w:sz w:val="20"/>
                <w:szCs w:val="20"/>
                <w:lang w:val="fr-CA" w:eastAsia="en-CA"/>
              </w:rPr>
            </w:pPr>
            <w:r w:rsidRPr="00802AF9">
              <w:rPr>
                <w:b/>
                <w:bCs/>
                <w:color w:val="000000"/>
                <w:sz w:val="20"/>
                <w:szCs w:val="20"/>
                <w:lang w:val="fr-CA" w:eastAsia="en-CA"/>
              </w:rPr>
              <w:t>Plan sectoriel</w:t>
            </w:r>
          </w:p>
        </w:tc>
        <w:tc>
          <w:tcPr>
            <w:tcW w:w="3079" w:type="pct"/>
            <w:gridSpan w:val="3"/>
            <w:shd w:val="clear" w:color="auto" w:fill="auto"/>
            <w:noWrap/>
            <w:vAlign w:val="center"/>
          </w:tcPr>
          <w:p w14:paraId="5CDFE658" w14:textId="57E501BC" w:rsidR="0029763D" w:rsidRPr="00802AF9" w:rsidRDefault="0029763D" w:rsidP="003F073E">
            <w:pPr>
              <w:jc w:val="center"/>
              <w:rPr>
                <w:b/>
                <w:bCs/>
                <w:color w:val="000000"/>
                <w:sz w:val="20"/>
                <w:szCs w:val="20"/>
                <w:lang w:val="fr-CA" w:eastAsia="en-CA"/>
              </w:rPr>
            </w:pPr>
            <w:r w:rsidRPr="00802AF9">
              <w:rPr>
                <w:b/>
                <w:bCs/>
                <w:color w:val="000000"/>
                <w:sz w:val="20"/>
                <w:szCs w:val="20"/>
                <w:lang w:val="fr-CA" w:eastAsia="en-CA"/>
              </w:rPr>
              <w:t>Int</w:t>
            </w:r>
            <w:r w:rsidR="002C24B1">
              <w:rPr>
                <w:b/>
                <w:bCs/>
                <w:color w:val="000000"/>
                <w:sz w:val="20"/>
                <w:szCs w:val="20"/>
                <w:lang w:val="fr-CA" w:eastAsia="en-CA"/>
              </w:rPr>
              <w:t>érêt couru en</w:t>
            </w:r>
            <w:r w:rsidRPr="00802AF9">
              <w:rPr>
                <w:b/>
                <w:bCs/>
                <w:color w:val="000000"/>
                <w:sz w:val="20"/>
                <w:szCs w:val="20"/>
                <w:lang w:val="fr-CA" w:eastAsia="en-CA"/>
              </w:rPr>
              <w:t xml:space="preserve"> 2019 (</w:t>
            </w:r>
            <w:r w:rsidR="002C24B1">
              <w:rPr>
                <w:b/>
                <w:bCs/>
                <w:color w:val="000000"/>
                <w:sz w:val="20"/>
                <w:szCs w:val="20"/>
                <w:lang w:val="fr-CA" w:eastAsia="en-CA"/>
              </w:rPr>
              <w:t>$</w:t>
            </w:r>
            <w:r w:rsidRPr="00802AF9">
              <w:rPr>
                <w:b/>
                <w:bCs/>
                <w:color w:val="000000"/>
                <w:sz w:val="20"/>
                <w:szCs w:val="20"/>
                <w:lang w:val="fr-CA" w:eastAsia="en-CA"/>
              </w:rPr>
              <w:t>US)</w:t>
            </w:r>
          </w:p>
        </w:tc>
      </w:tr>
      <w:tr w:rsidR="0029763D" w:rsidRPr="00802AF9" w14:paraId="1E050624" w14:textId="77777777" w:rsidTr="003F073E">
        <w:trPr>
          <w:trHeight w:val="250"/>
        </w:trPr>
        <w:tc>
          <w:tcPr>
            <w:tcW w:w="1921" w:type="pct"/>
            <w:vMerge/>
            <w:shd w:val="clear" w:color="auto" w:fill="auto"/>
            <w:noWrap/>
            <w:vAlign w:val="center"/>
          </w:tcPr>
          <w:p w14:paraId="254E3DD4" w14:textId="77777777" w:rsidR="0029763D" w:rsidRPr="00802AF9" w:rsidRDefault="0029763D" w:rsidP="003F073E">
            <w:pPr>
              <w:jc w:val="center"/>
              <w:rPr>
                <w:b/>
                <w:bCs/>
                <w:color w:val="000000"/>
                <w:sz w:val="20"/>
                <w:szCs w:val="20"/>
                <w:lang w:val="fr-CA" w:eastAsia="en-CA"/>
              </w:rPr>
            </w:pPr>
          </w:p>
        </w:tc>
        <w:tc>
          <w:tcPr>
            <w:tcW w:w="1002" w:type="pct"/>
            <w:tcBorders>
              <w:bottom w:val="single" w:sz="4" w:space="0" w:color="auto"/>
            </w:tcBorders>
            <w:shd w:val="clear" w:color="auto" w:fill="auto"/>
            <w:noWrap/>
            <w:vAlign w:val="center"/>
          </w:tcPr>
          <w:p w14:paraId="45A6AE74" w14:textId="493D3EEC" w:rsidR="0029763D" w:rsidRPr="00802AF9" w:rsidRDefault="0014063A" w:rsidP="003F073E">
            <w:pPr>
              <w:jc w:val="center"/>
              <w:rPr>
                <w:b/>
                <w:bCs/>
                <w:color w:val="000000"/>
                <w:sz w:val="20"/>
                <w:szCs w:val="20"/>
                <w:lang w:val="fr-CA" w:eastAsia="en-CA"/>
              </w:rPr>
            </w:pPr>
            <w:r w:rsidRPr="00802AF9">
              <w:rPr>
                <w:b/>
                <w:bCs/>
                <w:color w:val="000000"/>
                <w:sz w:val="20"/>
                <w:szCs w:val="20"/>
                <w:lang w:val="fr-CA" w:eastAsia="en-CA"/>
              </w:rPr>
              <w:t>Phase</w:t>
            </w:r>
            <w:r w:rsidR="0029763D" w:rsidRPr="00802AF9">
              <w:rPr>
                <w:b/>
                <w:bCs/>
                <w:color w:val="000000"/>
                <w:sz w:val="20"/>
                <w:szCs w:val="20"/>
                <w:lang w:val="fr-CA" w:eastAsia="en-CA"/>
              </w:rPr>
              <w:t> I</w:t>
            </w:r>
          </w:p>
        </w:tc>
        <w:tc>
          <w:tcPr>
            <w:tcW w:w="1002" w:type="pct"/>
            <w:tcBorders>
              <w:bottom w:val="single" w:sz="4" w:space="0" w:color="auto"/>
            </w:tcBorders>
            <w:shd w:val="clear" w:color="auto" w:fill="auto"/>
            <w:noWrap/>
            <w:vAlign w:val="center"/>
          </w:tcPr>
          <w:p w14:paraId="267F7A13" w14:textId="20DCDD59" w:rsidR="0029763D" w:rsidRPr="00802AF9" w:rsidRDefault="0014063A" w:rsidP="003F073E">
            <w:pPr>
              <w:jc w:val="center"/>
              <w:rPr>
                <w:b/>
                <w:bCs/>
                <w:color w:val="000000"/>
                <w:sz w:val="20"/>
                <w:szCs w:val="20"/>
                <w:lang w:val="fr-CA" w:eastAsia="en-CA"/>
              </w:rPr>
            </w:pPr>
            <w:r w:rsidRPr="00802AF9">
              <w:rPr>
                <w:b/>
                <w:bCs/>
                <w:color w:val="000000"/>
                <w:sz w:val="20"/>
                <w:szCs w:val="20"/>
                <w:lang w:val="fr-CA" w:eastAsia="en-CA"/>
              </w:rPr>
              <w:t>Phase</w:t>
            </w:r>
            <w:r w:rsidR="0029763D" w:rsidRPr="00802AF9">
              <w:rPr>
                <w:b/>
                <w:bCs/>
                <w:color w:val="000000"/>
                <w:sz w:val="20"/>
                <w:szCs w:val="20"/>
                <w:lang w:val="fr-CA" w:eastAsia="en-CA"/>
              </w:rPr>
              <w:t> II</w:t>
            </w:r>
          </w:p>
        </w:tc>
        <w:tc>
          <w:tcPr>
            <w:tcW w:w="1075" w:type="pct"/>
            <w:tcBorders>
              <w:bottom w:val="single" w:sz="4" w:space="0" w:color="auto"/>
            </w:tcBorders>
            <w:shd w:val="clear" w:color="auto" w:fill="auto"/>
            <w:noWrap/>
            <w:vAlign w:val="center"/>
          </w:tcPr>
          <w:p w14:paraId="037AEDE4" w14:textId="77777777" w:rsidR="0029763D" w:rsidRPr="00802AF9" w:rsidRDefault="0029763D" w:rsidP="003F073E">
            <w:pPr>
              <w:jc w:val="center"/>
              <w:rPr>
                <w:b/>
                <w:bCs/>
                <w:color w:val="000000"/>
                <w:sz w:val="20"/>
                <w:szCs w:val="20"/>
                <w:lang w:val="fr-CA" w:eastAsia="en-CA"/>
              </w:rPr>
            </w:pPr>
            <w:r w:rsidRPr="00802AF9">
              <w:rPr>
                <w:b/>
                <w:bCs/>
                <w:color w:val="000000"/>
                <w:sz w:val="20"/>
                <w:szCs w:val="20"/>
                <w:lang w:val="fr-CA" w:eastAsia="en-CA"/>
              </w:rPr>
              <w:t xml:space="preserve">Total </w:t>
            </w:r>
          </w:p>
        </w:tc>
      </w:tr>
      <w:tr w:rsidR="0029763D" w:rsidRPr="00802AF9" w14:paraId="31ADEFB1" w14:textId="77777777" w:rsidTr="003F073E">
        <w:trPr>
          <w:trHeight w:val="161"/>
        </w:trPr>
        <w:tc>
          <w:tcPr>
            <w:tcW w:w="1921" w:type="pct"/>
            <w:shd w:val="clear" w:color="auto" w:fill="auto"/>
            <w:noWrap/>
            <w:vAlign w:val="center"/>
            <w:hideMark/>
          </w:tcPr>
          <w:p w14:paraId="41C96367" w14:textId="7DBF4569" w:rsidR="0029763D" w:rsidRPr="00802AF9" w:rsidRDefault="002C24B1" w:rsidP="003F073E">
            <w:pPr>
              <w:rPr>
                <w:color w:val="000000"/>
                <w:sz w:val="20"/>
                <w:szCs w:val="20"/>
                <w:lang w:val="fr-CA" w:eastAsia="en-CA"/>
              </w:rPr>
            </w:pPr>
            <w:r>
              <w:rPr>
                <w:bCs/>
                <w:color w:val="000000"/>
                <w:sz w:val="20"/>
                <w:szCs w:val="20"/>
                <w:lang w:val="fr-CA" w:eastAsia="en-CA"/>
              </w:rPr>
              <w:t xml:space="preserve">Mousses </w:t>
            </w:r>
            <w:r w:rsidR="0029763D" w:rsidRPr="00802AF9">
              <w:rPr>
                <w:bCs/>
                <w:color w:val="000000"/>
                <w:sz w:val="20"/>
                <w:szCs w:val="20"/>
                <w:lang w:val="fr-CA" w:eastAsia="en-CA"/>
              </w:rPr>
              <w:t>XPS (</w:t>
            </w:r>
            <w:r w:rsidR="0014063A" w:rsidRPr="00802AF9">
              <w:rPr>
                <w:bCs/>
                <w:color w:val="000000"/>
                <w:sz w:val="20"/>
                <w:szCs w:val="20"/>
                <w:lang w:val="fr-CA" w:eastAsia="en-CA"/>
              </w:rPr>
              <w:t>ONUDI</w:t>
            </w:r>
            <w:r w:rsidR="0029763D" w:rsidRPr="00802AF9">
              <w:rPr>
                <w:bCs/>
                <w:color w:val="000000"/>
                <w:sz w:val="20"/>
                <w:szCs w:val="20"/>
                <w:lang w:val="fr-CA" w:eastAsia="en-CA"/>
              </w:rPr>
              <w:t>/</w:t>
            </w:r>
            <w:r w:rsidR="00494A38" w:rsidRPr="00802AF9">
              <w:rPr>
                <w:bCs/>
                <w:color w:val="000000"/>
                <w:sz w:val="20"/>
                <w:szCs w:val="20"/>
                <w:lang w:val="fr-CA" w:eastAsia="en-CA"/>
              </w:rPr>
              <w:t>Allemagne</w:t>
            </w:r>
            <w:r w:rsidR="0029763D" w:rsidRPr="00802AF9">
              <w:rPr>
                <w:bCs/>
                <w:color w:val="000000"/>
                <w:sz w:val="20"/>
                <w:szCs w:val="20"/>
                <w:lang w:val="fr-CA" w:eastAsia="en-CA"/>
              </w:rPr>
              <w:t>)</w:t>
            </w:r>
          </w:p>
        </w:tc>
        <w:tc>
          <w:tcPr>
            <w:tcW w:w="10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vAlign w:val="center"/>
            <w:hideMark/>
          </w:tcPr>
          <w:p w14:paraId="65F73577" w14:textId="3DF574EF" w:rsidR="0029763D" w:rsidRPr="00802AF9" w:rsidRDefault="0029763D" w:rsidP="003F073E">
            <w:pPr>
              <w:jc w:val="right"/>
              <w:rPr>
                <w:color w:val="000000"/>
                <w:sz w:val="20"/>
                <w:szCs w:val="20"/>
                <w:lang w:val="fr-CA"/>
              </w:rPr>
            </w:pPr>
            <w:r w:rsidRPr="00802AF9">
              <w:rPr>
                <w:color w:val="000000"/>
                <w:sz w:val="20"/>
                <w:szCs w:val="20"/>
                <w:lang w:val="fr-CA"/>
              </w:rPr>
              <w:t>1</w:t>
            </w:r>
            <w:r w:rsidR="002C24B1">
              <w:rPr>
                <w:color w:val="000000"/>
                <w:sz w:val="20"/>
                <w:szCs w:val="20"/>
                <w:lang w:val="fr-CA"/>
              </w:rPr>
              <w:t> </w:t>
            </w:r>
            <w:r w:rsidRPr="00802AF9">
              <w:rPr>
                <w:color w:val="000000"/>
                <w:sz w:val="20"/>
                <w:szCs w:val="20"/>
                <w:lang w:val="fr-CA"/>
              </w:rPr>
              <w:t>670</w:t>
            </w:r>
          </w:p>
        </w:tc>
        <w:tc>
          <w:tcPr>
            <w:tcW w:w="1002"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center"/>
            <w:hideMark/>
          </w:tcPr>
          <w:p w14:paraId="57CB0845" w14:textId="1E43B7BC" w:rsidR="0029763D" w:rsidRPr="00802AF9" w:rsidRDefault="0029763D" w:rsidP="003F073E">
            <w:pPr>
              <w:jc w:val="right"/>
              <w:rPr>
                <w:color w:val="000000"/>
                <w:sz w:val="20"/>
                <w:szCs w:val="20"/>
                <w:lang w:val="fr-CA"/>
              </w:rPr>
            </w:pPr>
            <w:r w:rsidRPr="00802AF9">
              <w:rPr>
                <w:color w:val="000000"/>
                <w:sz w:val="20"/>
                <w:szCs w:val="20"/>
                <w:lang w:val="fr-CA"/>
              </w:rPr>
              <w:t>3</w:t>
            </w:r>
            <w:r w:rsidR="002C24B1">
              <w:rPr>
                <w:color w:val="000000"/>
                <w:sz w:val="20"/>
                <w:szCs w:val="20"/>
                <w:lang w:val="fr-CA"/>
              </w:rPr>
              <w:t> </w:t>
            </w:r>
            <w:r w:rsidRPr="00802AF9">
              <w:rPr>
                <w:color w:val="000000"/>
                <w:sz w:val="20"/>
                <w:szCs w:val="20"/>
                <w:lang w:val="fr-CA"/>
              </w:rPr>
              <w:t>995</w:t>
            </w:r>
          </w:p>
        </w:tc>
        <w:tc>
          <w:tcPr>
            <w:tcW w:w="1075"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center"/>
          </w:tcPr>
          <w:p w14:paraId="23092A71" w14:textId="53FE9421" w:rsidR="0029763D" w:rsidRPr="00802AF9" w:rsidRDefault="0029763D" w:rsidP="003F073E">
            <w:pPr>
              <w:jc w:val="right"/>
              <w:rPr>
                <w:color w:val="000000"/>
                <w:sz w:val="20"/>
                <w:szCs w:val="20"/>
                <w:lang w:val="fr-CA"/>
              </w:rPr>
            </w:pPr>
            <w:r w:rsidRPr="00802AF9">
              <w:rPr>
                <w:color w:val="000000"/>
                <w:sz w:val="20"/>
                <w:szCs w:val="20"/>
                <w:lang w:val="fr-CA"/>
              </w:rPr>
              <w:t>5</w:t>
            </w:r>
            <w:r w:rsidR="002C24B1">
              <w:rPr>
                <w:color w:val="000000"/>
                <w:sz w:val="20"/>
                <w:szCs w:val="20"/>
                <w:lang w:val="fr-CA"/>
              </w:rPr>
              <w:t> </w:t>
            </w:r>
            <w:r w:rsidRPr="00802AF9">
              <w:rPr>
                <w:color w:val="000000"/>
                <w:sz w:val="20"/>
                <w:szCs w:val="20"/>
                <w:lang w:val="fr-CA"/>
              </w:rPr>
              <w:t>665</w:t>
            </w:r>
          </w:p>
        </w:tc>
      </w:tr>
      <w:tr w:rsidR="0029763D" w:rsidRPr="00802AF9" w14:paraId="29FF6ED4" w14:textId="77777777" w:rsidTr="003F073E">
        <w:trPr>
          <w:trHeight w:val="66"/>
        </w:trPr>
        <w:tc>
          <w:tcPr>
            <w:tcW w:w="1921" w:type="pct"/>
            <w:shd w:val="clear" w:color="auto" w:fill="auto"/>
            <w:noWrap/>
            <w:vAlign w:val="center"/>
            <w:hideMark/>
          </w:tcPr>
          <w:p w14:paraId="78D12D71" w14:textId="78E58CD4" w:rsidR="0029763D" w:rsidRPr="00802AF9" w:rsidRDefault="002C24B1" w:rsidP="003F073E">
            <w:pPr>
              <w:rPr>
                <w:color w:val="000000"/>
                <w:sz w:val="20"/>
                <w:szCs w:val="20"/>
                <w:lang w:val="fr-CA" w:eastAsia="en-CA"/>
              </w:rPr>
            </w:pPr>
            <w:r>
              <w:rPr>
                <w:bCs/>
                <w:color w:val="000000"/>
                <w:sz w:val="20"/>
                <w:szCs w:val="20"/>
                <w:lang w:val="fr-CA" w:eastAsia="en-CA"/>
              </w:rPr>
              <w:t xml:space="preserve">Mousses </w:t>
            </w:r>
            <w:r w:rsidR="0029763D" w:rsidRPr="00802AF9">
              <w:rPr>
                <w:bCs/>
                <w:color w:val="000000"/>
                <w:sz w:val="20"/>
                <w:szCs w:val="20"/>
                <w:lang w:val="fr-CA" w:eastAsia="en-CA"/>
              </w:rPr>
              <w:t>PU (</w:t>
            </w:r>
            <w:r w:rsidR="00825570" w:rsidRPr="00802AF9">
              <w:rPr>
                <w:bCs/>
                <w:color w:val="000000"/>
                <w:sz w:val="20"/>
                <w:szCs w:val="20"/>
                <w:lang w:val="fr-CA" w:eastAsia="en-CA"/>
              </w:rPr>
              <w:t>Banque mondiale</w:t>
            </w:r>
            <w:r w:rsidR="0029763D" w:rsidRPr="00802AF9">
              <w:rPr>
                <w:bCs/>
                <w:color w:val="000000"/>
                <w:sz w:val="20"/>
                <w:szCs w:val="20"/>
                <w:lang w:val="fr-CA" w:eastAsia="en-CA"/>
              </w:rPr>
              <w:t>)</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hideMark/>
          </w:tcPr>
          <w:p w14:paraId="0BC94795" w14:textId="6578BA5E" w:rsidR="0029763D" w:rsidRPr="00802AF9" w:rsidRDefault="0029763D" w:rsidP="003F073E">
            <w:pPr>
              <w:jc w:val="right"/>
              <w:rPr>
                <w:color w:val="000000"/>
                <w:sz w:val="20"/>
                <w:szCs w:val="20"/>
                <w:lang w:val="fr-CA"/>
              </w:rPr>
            </w:pPr>
            <w:r w:rsidRPr="00802AF9">
              <w:rPr>
                <w:color w:val="000000"/>
                <w:sz w:val="20"/>
                <w:szCs w:val="20"/>
                <w:lang w:val="fr-CA"/>
              </w:rPr>
              <w:t>3</w:t>
            </w:r>
            <w:r w:rsidR="002C24B1">
              <w:rPr>
                <w:color w:val="000000"/>
                <w:sz w:val="20"/>
                <w:szCs w:val="20"/>
                <w:lang w:val="fr-CA"/>
              </w:rPr>
              <w:t> </w:t>
            </w:r>
            <w:r w:rsidRPr="00802AF9">
              <w:rPr>
                <w:color w:val="000000"/>
                <w:sz w:val="20"/>
                <w:szCs w:val="20"/>
                <w:lang w:val="fr-CA"/>
              </w:rPr>
              <w:t>251</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43CBD899" w14:textId="77777777" w:rsidR="0029763D" w:rsidRPr="00802AF9" w:rsidRDefault="0029763D" w:rsidP="003F073E">
            <w:pPr>
              <w:jc w:val="right"/>
              <w:rPr>
                <w:color w:val="000000"/>
                <w:sz w:val="20"/>
                <w:szCs w:val="20"/>
                <w:lang w:val="fr-CA"/>
              </w:rPr>
            </w:pPr>
            <w:r w:rsidRPr="00802AF9">
              <w:rPr>
                <w:color w:val="000000"/>
                <w:sz w:val="20"/>
                <w:szCs w:val="20"/>
                <w:lang w:val="fr-CA"/>
              </w:rPr>
              <w:t>628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7E414BA2" w14:textId="0B6E4096" w:rsidR="0029763D" w:rsidRPr="00802AF9" w:rsidRDefault="0029763D" w:rsidP="003F073E">
            <w:pPr>
              <w:jc w:val="right"/>
              <w:rPr>
                <w:color w:val="000000"/>
                <w:sz w:val="20"/>
                <w:szCs w:val="20"/>
                <w:lang w:val="fr-CA"/>
              </w:rPr>
            </w:pPr>
            <w:r w:rsidRPr="00802AF9">
              <w:rPr>
                <w:color w:val="000000"/>
                <w:sz w:val="20"/>
                <w:szCs w:val="20"/>
                <w:lang w:val="fr-CA"/>
              </w:rPr>
              <w:t>3</w:t>
            </w:r>
            <w:r w:rsidR="002C24B1">
              <w:rPr>
                <w:color w:val="000000"/>
                <w:sz w:val="20"/>
                <w:szCs w:val="20"/>
                <w:lang w:val="fr-CA"/>
              </w:rPr>
              <w:t> </w:t>
            </w:r>
            <w:r w:rsidRPr="00802AF9">
              <w:rPr>
                <w:color w:val="000000"/>
                <w:sz w:val="20"/>
                <w:szCs w:val="20"/>
                <w:lang w:val="fr-CA"/>
              </w:rPr>
              <w:t>879</w:t>
            </w:r>
          </w:p>
        </w:tc>
      </w:tr>
      <w:tr w:rsidR="0029763D" w:rsidRPr="00802AF9" w14:paraId="6BAD2A56" w14:textId="77777777" w:rsidTr="003F073E">
        <w:trPr>
          <w:trHeight w:val="111"/>
        </w:trPr>
        <w:tc>
          <w:tcPr>
            <w:tcW w:w="1921" w:type="pct"/>
            <w:shd w:val="clear" w:color="auto" w:fill="auto"/>
            <w:noWrap/>
            <w:vAlign w:val="center"/>
            <w:hideMark/>
          </w:tcPr>
          <w:p w14:paraId="474B80EC" w14:textId="416E3D58" w:rsidR="0029763D" w:rsidRPr="00802AF9" w:rsidRDefault="0029763D" w:rsidP="003F073E">
            <w:pPr>
              <w:rPr>
                <w:color w:val="000000"/>
                <w:sz w:val="20"/>
                <w:szCs w:val="20"/>
                <w:lang w:val="fr-CA" w:eastAsia="en-CA"/>
              </w:rPr>
            </w:pPr>
            <w:r w:rsidRPr="00802AF9">
              <w:rPr>
                <w:bCs/>
                <w:color w:val="000000"/>
                <w:sz w:val="20"/>
                <w:szCs w:val="20"/>
                <w:lang w:val="fr-CA" w:eastAsia="en-CA"/>
              </w:rPr>
              <w:t>ICR (</w:t>
            </w:r>
            <w:r w:rsidR="0014063A" w:rsidRPr="00802AF9">
              <w:rPr>
                <w:bCs/>
                <w:color w:val="000000"/>
                <w:sz w:val="20"/>
                <w:szCs w:val="20"/>
                <w:lang w:val="fr-CA" w:eastAsia="en-CA"/>
              </w:rPr>
              <w:t>PNUD</w:t>
            </w:r>
            <w:r w:rsidRPr="00802AF9">
              <w:rPr>
                <w:bCs/>
                <w:color w:val="000000"/>
                <w:sz w:val="20"/>
                <w:szCs w:val="20"/>
                <w:lang w:val="fr-CA" w:eastAsia="en-CA"/>
              </w:rPr>
              <w:t>)</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hideMark/>
          </w:tcPr>
          <w:p w14:paraId="369DC9A2" w14:textId="51321557" w:rsidR="0029763D" w:rsidRPr="00802AF9" w:rsidRDefault="0029763D" w:rsidP="003F073E">
            <w:pPr>
              <w:jc w:val="right"/>
              <w:rPr>
                <w:color w:val="000000"/>
                <w:sz w:val="20"/>
                <w:szCs w:val="20"/>
                <w:lang w:val="fr-CA"/>
              </w:rPr>
            </w:pPr>
            <w:r w:rsidRPr="00802AF9">
              <w:rPr>
                <w:color w:val="000000"/>
                <w:sz w:val="20"/>
                <w:szCs w:val="20"/>
                <w:lang w:val="fr-CA"/>
              </w:rPr>
              <w:t>41</w:t>
            </w:r>
            <w:r w:rsidR="002C24B1">
              <w:rPr>
                <w:color w:val="000000"/>
                <w:sz w:val="20"/>
                <w:szCs w:val="20"/>
                <w:lang w:val="fr-CA"/>
              </w:rPr>
              <w:t> </w:t>
            </w:r>
            <w:r w:rsidRPr="00802AF9">
              <w:rPr>
                <w:color w:val="000000"/>
                <w:sz w:val="20"/>
                <w:szCs w:val="20"/>
                <w:lang w:val="fr-CA"/>
              </w:rPr>
              <w:t>456</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hideMark/>
          </w:tcPr>
          <w:p w14:paraId="5E4D14E8" w14:textId="2F6142B8" w:rsidR="0029763D" w:rsidRPr="00802AF9" w:rsidRDefault="0029763D" w:rsidP="003F073E">
            <w:pPr>
              <w:jc w:val="right"/>
              <w:rPr>
                <w:color w:val="000000"/>
                <w:sz w:val="20"/>
                <w:szCs w:val="20"/>
                <w:lang w:val="fr-CA"/>
              </w:rPr>
            </w:pPr>
            <w:r w:rsidRPr="00802AF9">
              <w:rPr>
                <w:color w:val="000000"/>
                <w:sz w:val="20"/>
                <w:szCs w:val="20"/>
                <w:lang w:val="fr-CA"/>
              </w:rPr>
              <w:t>45</w:t>
            </w:r>
            <w:r w:rsidR="002C24B1">
              <w:rPr>
                <w:color w:val="000000"/>
                <w:sz w:val="20"/>
                <w:szCs w:val="20"/>
                <w:lang w:val="fr-CA"/>
              </w:rPr>
              <w:t> </w:t>
            </w:r>
            <w:r w:rsidRPr="00802AF9">
              <w:rPr>
                <w:color w:val="000000"/>
                <w:sz w:val="20"/>
                <w:szCs w:val="20"/>
                <w:lang w:val="fr-CA"/>
              </w:rPr>
              <w:t>418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4E27E5F1" w14:textId="341565DD" w:rsidR="0029763D" w:rsidRPr="00802AF9" w:rsidRDefault="0029763D" w:rsidP="003F073E">
            <w:pPr>
              <w:jc w:val="right"/>
              <w:rPr>
                <w:color w:val="000000"/>
                <w:sz w:val="20"/>
                <w:szCs w:val="20"/>
                <w:lang w:val="fr-CA"/>
              </w:rPr>
            </w:pPr>
            <w:r w:rsidRPr="00802AF9">
              <w:rPr>
                <w:color w:val="000000"/>
                <w:sz w:val="20"/>
                <w:szCs w:val="20"/>
                <w:lang w:val="fr-CA"/>
              </w:rPr>
              <w:t>86</w:t>
            </w:r>
            <w:r w:rsidR="002C24B1">
              <w:rPr>
                <w:color w:val="000000"/>
                <w:sz w:val="20"/>
                <w:szCs w:val="20"/>
                <w:lang w:val="fr-CA"/>
              </w:rPr>
              <w:t> </w:t>
            </w:r>
            <w:r w:rsidRPr="00802AF9">
              <w:rPr>
                <w:color w:val="000000"/>
                <w:sz w:val="20"/>
                <w:szCs w:val="20"/>
                <w:lang w:val="fr-CA"/>
              </w:rPr>
              <w:t>874</w:t>
            </w:r>
          </w:p>
        </w:tc>
      </w:tr>
      <w:tr w:rsidR="0029763D" w:rsidRPr="00802AF9" w14:paraId="56F50A8B" w14:textId="77777777" w:rsidTr="003F073E">
        <w:trPr>
          <w:trHeight w:val="158"/>
        </w:trPr>
        <w:tc>
          <w:tcPr>
            <w:tcW w:w="1921" w:type="pct"/>
            <w:shd w:val="clear" w:color="auto" w:fill="auto"/>
            <w:vAlign w:val="center"/>
            <w:hideMark/>
          </w:tcPr>
          <w:p w14:paraId="6D3E12A3" w14:textId="44E5D426" w:rsidR="0029763D" w:rsidRPr="00802AF9" w:rsidRDefault="00494A38" w:rsidP="003F073E">
            <w:pPr>
              <w:rPr>
                <w:color w:val="000000"/>
                <w:sz w:val="20"/>
                <w:szCs w:val="20"/>
                <w:lang w:val="fr-CA" w:eastAsia="en-CA"/>
              </w:rPr>
            </w:pPr>
            <w:r w:rsidRPr="00802AF9">
              <w:rPr>
                <w:bCs/>
                <w:color w:val="000000"/>
                <w:sz w:val="20"/>
                <w:szCs w:val="20"/>
                <w:lang w:val="fr-CA" w:eastAsia="en-CA"/>
              </w:rPr>
              <w:t>R&amp;C</w:t>
            </w:r>
            <w:r w:rsidR="0029763D" w:rsidRPr="00802AF9">
              <w:rPr>
                <w:bCs/>
                <w:color w:val="000000"/>
                <w:sz w:val="20"/>
                <w:szCs w:val="20"/>
                <w:lang w:val="fr-CA" w:eastAsia="en-CA"/>
              </w:rPr>
              <w:t xml:space="preserve"> (</w:t>
            </w:r>
            <w:r w:rsidR="0014063A" w:rsidRPr="00802AF9">
              <w:rPr>
                <w:bCs/>
                <w:color w:val="000000"/>
                <w:sz w:val="20"/>
                <w:szCs w:val="20"/>
                <w:lang w:val="fr-CA" w:eastAsia="en-CA"/>
              </w:rPr>
              <w:t>ONUDI</w:t>
            </w:r>
            <w:r w:rsidR="0029763D" w:rsidRPr="00802AF9">
              <w:rPr>
                <w:bCs/>
                <w:color w:val="000000"/>
                <w:sz w:val="20"/>
                <w:szCs w:val="20"/>
                <w:lang w:val="fr-CA" w:eastAsia="en-CA"/>
              </w:rPr>
              <w:t>) </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14:paraId="015DD88D" w14:textId="5939DF10" w:rsidR="0029763D" w:rsidRPr="00802AF9" w:rsidRDefault="0029763D" w:rsidP="003F073E">
            <w:pPr>
              <w:jc w:val="right"/>
              <w:rPr>
                <w:color w:val="000000"/>
                <w:sz w:val="20"/>
                <w:szCs w:val="20"/>
                <w:lang w:val="fr-CA"/>
              </w:rPr>
            </w:pPr>
            <w:r w:rsidRPr="00802AF9">
              <w:rPr>
                <w:color w:val="000000"/>
                <w:sz w:val="20"/>
                <w:szCs w:val="20"/>
                <w:lang w:val="fr-CA"/>
              </w:rPr>
              <w:t>24</w:t>
            </w:r>
            <w:r w:rsidR="002C24B1">
              <w:rPr>
                <w:color w:val="000000"/>
                <w:sz w:val="20"/>
                <w:szCs w:val="20"/>
                <w:lang w:val="fr-CA"/>
              </w:rPr>
              <w:t> </w:t>
            </w:r>
            <w:r w:rsidRPr="00802AF9">
              <w:rPr>
                <w:color w:val="000000"/>
                <w:sz w:val="20"/>
                <w:szCs w:val="20"/>
                <w:lang w:val="fr-CA"/>
              </w:rPr>
              <w:t>085</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14:paraId="08494AE7" w14:textId="5DDA5E4B" w:rsidR="0029763D" w:rsidRPr="00802AF9" w:rsidRDefault="0029763D" w:rsidP="003F073E">
            <w:pPr>
              <w:jc w:val="right"/>
              <w:rPr>
                <w:color w:val="000000"/>
                <w:sz w:val="20"/>
                <w:szCs w:val="20"/>
                <w:lang w:val="fr-CA"/>
              </w:rPr>
            </w:pPr>
            <w:r w:rsidRPr="00802AF9">
              <w:rPr>
                <w:color w:val="000000"/>
                <w:sz w:val="20"/>
                <w:szCs w:val="20"/>
                <w:lang w:val="fr-CA"/>
              </w:rPr>
              <w:t>2</w:t>
            </w:r>
            <w:r w:rsidR="002C24B1">
              <w:rPr>
                <w:color w:val="000000"/>
                <w:sz w:val="20"/>
                <w:szCs w:val="20"/>
                <w:lang w:val="fr-CA"/>
              </w:rPr>
              <w:t> </w:t>
            </w:r>
            <w:r w:rsidRPr="00802AF9">
              <w:rPr>
                <w:color w:val="000000"/>
                <w:sz w:val="20"/>
                <w:szCs w:val="20"/>
                <w:lang w:val="fr-CA"/>
              </w:rPr>
              <w:t>128</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7ECB43CD" w14:textId="1205904B" w:rsidR="0029763D" w:rsidRPr="00802AF9" w:rsidRDefault="0029763D" w:rsidP="003F073E">
            <w:pPr>
              <w:jc w:val="right"/>
              <w:rPr>
                <w:color w:val="000000"/>
                <w:sz w:val="20"/>
                <w:szCs w:val="20"/>
                <w:lang w:val="fr-CA"/>
              </w:rPr>
            </w:pPr>
            <w:r w:rsidRPr="00802AF9">
              <w:rPr>
                <w:color w:val="000000"/>
                <w:sz w:val="20"/>
                <w:szCs w:val="20"/>
                <w:lang w:val="fr-CA"/>
              </w:rPr>
              <w:t>26</w:t>
            </w:r>
            <w:r w:rsidR="002C24B1">
              <w:rPr>
                <w:color w:val="000000"/>
                <w:sz w:val="20"/>
                <w:szCs w:val="20"/>
                <w:lang w:val="fr-CA"/>
              </w:rPr>
              <w:t> </w:t>
            </w:r>
            <w:r w:rsidRPr="00802AF9">
              <w:rPr>
                <w:color w:val="000000"/>
                <w:sz w:val="20"/>
                <w:szCs w:val="20"/>
                <w:lang w:val="fr-CA"/>
              </w:rPr>
              <w:t>213</w:t>
            </w:r>
          </w:p>
        </w:tc>
      </w:tr>
      <w:tr w:rsidR="0029763D" w:rsidRPr="00802AF9" w14:paraId="14E8E021" w14:textId="77777777" w:rsidTr="003F073E">
        <w:trPr>
          <w:trHeight w:val="62"/>
        </w:trPr>
        <w:tc>
          <w:tcPr>
            <w:tcW w:w="1921" w:type="pct"/>
            <w:shd w:val="clear" w:color="auto" w:fill="auto"/>
            <w:vAlign w:val="center"/>
            <w:hideMark/>
          </w:tcPr>
          <w:p w14:paraId="11A24A7E" w14:textId="13D7E9F9" w:rsidR="0029763D" w:rsidRPr="00802AF9" w:rsidRDefault="0029763D" w:rsidP="003F073E">
            <w:pPr>
              <w:rPr>
                <w:color w:val="000000"/>
                <w:sz w:val="20"/>
                <w:szCs w:val="20"/>
                <w:lang w:val="fr-CA" w:eastAsia="en-CA"/>
              </w:rPr>
            </w:pPr>
            <w:r w:rsidRPr="00802AF9">
              <w:rPr>
                <w:bCs/>
                <w:color w:val="000000"/>
                <w:sz w:val="20"/>
                <w:szCs w:val="20"/>
                <w:lang w:val="fr-CA" w:eastAsia="en-CA"/>
              </w:rPr>
              <w:t>Solv</w:t>
            </w:r>
            <w:r w:rsidR="002C24B1">
              <w:rPr>
                <w:bCs/>
                <w:color w:val="000000"/>
                <w:sz w:val="20"/>
                <w:szCs w:val="20"/>
                <w:lang w:val="fr-CA" w:eastAsia="en-CA"/>
              </w:rPr>
              <w:t>a</w:t>
            </w:r>
            <w:r w:rsidRPr="00802AF9">
              <w:rPr>
                <w:bCs/>
                <w:color w:val="000000"/>
                <w:sz w:val="20"/>
                <w:szCs w:val="20"/>
                <w:lang w:val="fr-CA" w:eastAsia="en-CA"/>
              </w:rPr>
              <w:t>nt</w:t>
            </w:r>
            <w:r w:rsidR="002C24B1">
              <w:rPr>
                <w:bCs/>
                <w:color w:val="000000"/>
                <w:sz w:val="20"/>
                <w:szCs w:val="20"/>
                <w:lang w:val="fr-CA" w:eastAsia="en-CA"/>
              </w:rPr>
              <w:t>s</w:t>
            </w:r>
            <w:r w:rsidRPr="00802AF9">
              <w:rPr>
                <w:bCs/>
                <w:color w:val="000000"/>
                <w:sz w:val="20"/>
                <w:szCs w:val="20"/>
                <w:lang w:val="fr-CA" w:eastAsia="en-CA"/>
              </w:rPr>
              <w:t xml:space="preserve"> (</w:t>
            </w:r>
            <w:r w:rsidR="0014063A" w:rsidRPr="00802AF9">
              <w:rPr>
                <w:bCs/>
                <w:color w:val="000000"/>
                <w:sz w:val="20"/>
                <w:szCs w:val="20"/>
                <w:lang w:val="fr-CA" w:eastAsia="en-CA"/>
              </w:rPr>
              <w:t>PNUD</w:t>
            </w:r>
            <w:r w:rsidRPr="00802AF9">
              <w:rPr>
                <w:bCs/>
                <w:color w:val="000000"/>
                <w:sz w:val="20"/>
                <w:szCs w:val="20"/>
                <w:lang w:val="fr-CA" w:eastAsia="en-CA"/>
              </w:rPr>
              <w:t>) </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14:paraId="1A108F01" w14:textId="77777777" w:rsidR="0029763D" w:rsidRPr="00802AF9" w:rsidRDefault="0029763D" w:rsidP="003F073E">
            <w:pPr>
              <w:jc w:val="right"/>
              <w:rPr>
                <w:color w:val="000000"/>
                <w:sz w:val="20"/>
                <w:szCs w:val="20"/>
                <w:lang w:val="fr-CA"/>
              </w:rPr>
            </w:pPr>
            <w:r w:rsidRPr="00802AF9">
              <w:rPr>
                <w:color w:val="000000"/>
                <w:sz w:val="20"/>
                <w:szCs w:val="20"/>
                <w:lang w:val="fr-CA"/>
              </w:rPr>
              <w:t>0</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14:paraId="084ADAEE" w14:textId="77777777" w:rsidR="0029763D" w:rsidRPr="00802AF9" w:rsidRDefault="0029763D" w:rsidP="003F073E">
            <w:pPr>
              <w:jc w:val="right"/>
              <w:rPr>
                <w:color w:val="000000"/>
                <w:sz w:val="20"/>
                <w:szCs w:val="20"/>
                <w:lang w:val="fr-CA"/>
              </w:rPr>
            </w:pPr>
            <w:r w:rsidRPr="00802AF9">
              <w:rPr>
                <w:color w:val="000000"/>
                <w:sz w:val="20"/>
                <w:szCs w:val="20"/>
                <w:lang w:val="fr-CA"/>
              </w:rPr>
              <w:t>891</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3ABD8D77" w14:textId="77777777" w:rsidR="0029763D" w:rsidRPr="00802AF9" w:rsidRDefault="0029763D" w:rsidP="003F073E">
            <w:pPr>
              <w:jc w:val="right"/>
              <w:rPr>
                <w:color w:val="000000"/>
                <w:sz w:val="20"/>
                <w:szCs w:val="20"/>
                <w:lang w:val="fr-CA"/>
              </w:rPr>
            </w:pPr>
            <w:r w:rsidRPr="00802AF9">
              <w:rPr>
                <w:color w:val="000000"/>
                <w:sz w:val="20"/>
                <w:szCs w:val="20"/>
                <w:lang w:val="fr-CA"/>
              </w:rPr>
              <w:t>891</w:t>
            </w:r>
          </w:p>
        </w:tc>
      </w:tr>
      <w:tr w:rsidR="0029763D" w:rsidRPr="00802AF9" w14:paraId="174C51AA" w14:textId="77777777" w:rsidTr="003F073E">
        <w:trPr>
          <w:trHeight w:val="94"/>
        </w:trPr>
        <w:tc>
          <w:tcPr>
            <w:tcW w:w="1921" w:type="pct"/>
            <w:shd w:val="clear" w:color="auto" w:fill="auto"/>
            <w:vAlign w:val="center"/>
            <w:hideMark/>
          </w:tcPr>
          <w:p w14:paraId="44EB19EB" w14:textId="6B1EB973" w:rsidR="0029763D" w:rsidRPr="00802AF9" w:rsidRDefault="002C24B1" w:rsidP="003F073E">
            <w:pPr>
              <w:rPr>
                <w:color w:val="000000"/>
                <w:sz w:val="20"/>
                <w:szCs w:val="20"/>
                <w:lang w:val="fr-CA" w:eastAsia="en-CA"/>
              </w:rPr>
            </w:pPr>
            <w:r>
              <w:rPr>
                <w:bCs/>
                <w:color w:val="000000"/>
                <w:sz w:val="20"/>
                <w:szCs w:val="20"/>
                <w:lang w:val="fr-CA" w:eastAsia="en-CA"/>
              </w:rPr>
              <w:t>Entretien</w:t>
            </w:r>
            <w:r w:rsidR="0029763D" w:rsidRPr="00802AF9">
              <w:rPr>
                <w:bCs/>
                <w:color w:val="000000"/>
                <w:sz w:val="20"/>
                <w:szCs w:val="20"/>
                <w:lang w:val="fr-CA" w:eastAsia="en-CA"/>
              </w:rPr>
              <w:t xml:space="preserve"> (</w:t>
            </w:r>
            <w:r w:rsidR="0014063A" w:rsidRPr="00802AF9">
              <w:rPr>
                <w:bCs/>
                <w:color w:val="000000"/>
                <w:sz w:val="20"/>
                <w:szCs w:val="20"/>
                <w:lang w:val="fr-CA" w:eastAsia="en-CA"/>
              </w:rPr>
              <w:t>PNUE</w:t>
            </w:r>
            <w:r w:rsidR="0029763D" w:rsidRPr="00802AF9">
              <w:rPr>
                <w:bCs/>
                <w:color w:val="000000"/>
                <w:sz w:val="20"/>
                <w:szCs w:val="20"/>
                <w:lang w:val="fr-CA" w:eastAsia="en-CA"/>
              </w:rPr>
              <w:t xml:space="preserve"> /</w:t>
            </w:r>
            <w:r w:rsidR="00494A38" w:rsidRPr="00802AF9">
              <w:rPr>
                <w:bCs/>
                <w:color w:val="000000"/>
                <w:sz w:val="20"/>
                <w:szCs w:val="20"/>
                <w:lang w:val="fr-CA" w:eastAsia="en-CA"/>
              </w:rPr>
              <w:t>Japon</w:t>
            </w:r>
            <w:r w:rsidR="0029763D" w:rsidRPr="00802AF9">
              <w:rPr>
                <w:bCs/>
                <w:color w:val="000000"/>
                <w:sz w:val="20"/>
                <w:szCs w:val="20"/>
                <w:lang w:val="fr-CA" w:eastAsia="en-CA"/>
              </w:rPr>
              <w:t>) </w:t>
            </w:r>
          </w:p>
        </w:tc>
        <w:tc>
          <w:tcPr>
            <w:tcW w:w="1002" w:type="pct"/>
            <w:tcBorders>
              <w:top w:val="nil"/>
              <w:left w:val="single" w:sz="4" w:space="0" w:color="auto"/>
              <w:bottom w:val="single" w:sz="4" w:space="0" w:color="auto"/>
              <w:right w:val="single" w:sz="4" w:space="0" w:color="auto"/>
            </w:tcBorders>
            <w:shd w:val="clear" w:color="auto" w:fill="auto"/>
            <w:tcMar>
              <w:left w:w="115" w:type="dxa"/>
              <w:right w:w="216" w:type="dxa"/>
            </w:tcMar>
            <w:vAlign w:val="center"/>
            <w:hideMark/>
          </w:tcPr>
          <w:p w14:paraId="0A4E349A" w14:textId="77777777" w:rsidR="0029763D" w:rsidRPr="00802AF9" w:rsidRDefault="0029763D" w:rsidP="003F073E">
            <w:pPr>
              <w:jc w:val="right"/>
              <w:rPr>
                <w:color w:val="000000"/>
                <w:sz w:val="20"/>
                <w:szCs w:val="20"/>
                <w:lang w:val="fr-CA"/>
              </w:rPr>
            </w:pPr>
            <w:r w:rsidRPr="00802AF9">
              <w:rPr>
                <w:color w:val="000000"/>
                <w:sz w:val="20"/>
                <w:szCs w:val="20"/>
                <w:lang w:val="fr-CA"/>
              </w:rPr>
              <w:t>746</w:t>
            </w:r>
          </w:p>
        </w:tc>
        <w:tc>
          <w:tcPr>
            <w:tcW w:w="1002" w:type="pct"/>
            <w:tcBorders>
              <w:top w:val="nil"/>
              <w:left w:val="nil"/>
              <w:bottom w:val="single" w:sz="4" w:space="0" w:color="auto"/>
              <w:right w:val="single" w:sz="4" w:space="0" w:color="auto"/>
            </w:tcBorders>
            <w:shd w:val="clear" w:color="auto" w:fill="auto"/>
            <w:tcMar>
              <w:left w:w="115" w:type="dxa"/>
              <w:right w:w="216" w:type="dxa"/>
            </w:tcMar>
            <w:vAlign w:val="center"/>
            <w:hideMark/>
          </w:tcPr>
          <w:p w14:paraId="75449E75" w14:textId="347BD01C" w:rsidR="0029763D" w:rsidRPr="00802AF9" w:rsidRDefault="0029763D" w:rsidP="003F073E">
            <w:pPr>
              <w:jc w:val="right"/>
              <w:rPr>
                <w:color w:val="000000"/>
                <w:sz w:val="20"/>
                <w:szCs w:val="20"/>
                <w:lang w:val="fr-CA"/>
              </w:rPr>
            </w:pPr>
            <w:r w:rsidRPr="00802AF9">
              <w:rPr>
                <w:color w:val="000000"/>
                <w:sz w:val="20"/>
                <w:szCs w:val="20"/>
                <w:lang w:val="fr-CA"/>
              </w:rPr>
              <w:t>6</w:t>
            </w:r>
            <w:r w:rsidR="002C24B1">
              <w:rPr>
                <w:color w:val="000000"/>
                <w:sz w:val="20"/>
                <w:szCs w:val="20"/>
                <w:lang w:val="fr-CA"/>
              </w:rPr>
              <w:t> </w:t>
            </w:r>
            <w:r w:rsidRPr="00802AF9">
              <w:rPr>
                <w:color w:val="000000"/>
                <w:sz w:val="20"/>
                <w:szCs w:val="20"/>
                <w:lang w:val="fr-CA"/>
              </w:rPr>
              <w:t>726</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647FD647" w14:textId="4462C10F" w:rsidR="0029763D" w:rsidRPr="00802AF9" w:rsidRDefault="0029763D" w:rsidP="003F073E">
            <w:pPr>
              <w:jc w:val="right"/>
              <w:rPr>
                <w:color w:val="000000"/>
                <w:sz w:val="20"/>
                <w:szCs w:val="20"/>
                <w:lang w:val="fr-CA"/>
              </w:rPr>
            </w:pPr>
            <w:r w:rsidRPr="00802AF9">
              <w:rPr>
                <w:color w:val="000000"/>
                <w:sz w:val="20"/>
                <w:szCs w:val="20"/>
                <w:lang w:val="fr-CA"/>
              </w:rPr>
              <w:t>7</w:t>
            </w:r>
            <w:r w:rsidR="002C24B1">
              <w:rPr>
                <w:color w:val="000000"/>
                <w:sz w:val="20"/>
                <w:szCs w:val="20"/>
                <w:lang w:val="fr-CA"/>
              </w:rPr>
              <w:t> </w:t>
            </w:r>
            <w:r w:rsidRPr="00802AF9">
              <w:rPr>
                <w:color w:val="000000"/>
                <w:sz w:val="20"/>
                <w:szCs w:val="20"/>
                <w:lang w:val="fr-CA"/>
              </w:rPr>
              <w:t>472</w:t>
            </w:r>
          </w:p>
        </w:tc>
      </w:tr>
      <w:tr w:rsidR="0029763D" w:rsidRPr="00802AF9" w14:paraId="3A46F87A" w14:textId="77777777" w:rsidTr="003F073E">
        <w:trPr>
          <w:trHeight w:val="37"/>
        </w:trPr>
        <w:tc>
          <w:tcPr>
            <w:tcW w:w="1921" w:type="pct"/>
            <w:shd w:val="clear" w:color="auto" w:fill="auto"/>
            <w:noWrap/>
            <w:vAlign w:val="center"/>
            <w:hideMark/>
          </w:tcPr>
          <w:p w14:paraId="65E5A180" w14:textId="77777777" w:rsidR="0029763D" w:rsidRPr="00802AF9" w:rsidRDefault="0029763D" w:rsidP="003F073E">
            <w:pPr>
              <w:rPr>
                <w:b/>
                <w:bCs/>
                <w:color w:val="000000"/>
                <w:sz w:val="20"/>
                <w:szCs w:val="20"/>
                <w:lang w:val="fr-CA" w:eastAsia="en-CA"/>
              </w:rPr>
            </w:pPr>
            <w:r w:rsidRPr="00802AF9">
              <w:rPr>
                <w:b/>
                <w:bCs/>
                <w:color w:val="000000"/>
                <w:sz w:val="20"/>
                <w:szCs w:val="20"/>
                <w:lang w:val="fr-CA" w:eastAsia="en-CA"/>
              </w:rPr>
              <w:t xml:space="preserve">Total </w:t>
            </w:r>
          </w:p>
        </w:tc>
        <w:tc>
          <w:tcPr>
            <w:tcW w:w="1002" w:type="pct"/>
            <w:tcBorders>
              <w:top w:val="nil"/>
              <w:left w:val="single" w:sz="4" w:space="0" w:color="auto"/>
              <w:bottom w:val="single" w:sz="4" w:space="0" w:color="auto"/>
              <w:right w:val="single" w:sz="4" w:space="0" w:color="auto"/>
            </w:tcBorders>
            <w:shd w:val="clear" w:color="auto" w:fill="auto"/>
            <w:noWrap/>
            <w:tcMar>
              <w:left w:w="115" w:type="dxa"/>
              <w:right w:w="216" w:type="dxa"/>
            </w:tcMar>
            <w:vAlign w:val="center"/>
          </w:tcPr>
          <w:p w14:paraId="357194ED" w14:textId="4393261C" w:rsidR="0029763D" w:rsidRPr="00802AF9" w:rsidRDefault="0029763D" w:rsidP="003F073E">
            <w:pPr>
              <w:jc w:val="right"/>
              <w:rPr>
                <w:b/>
                <w:bCs/>
                <w:color w:val="000000"/>
                <w:sz w:val="20"/>
                <w:szCs w:val="20"/>
                <w:lang w:val="fr-CA"/>
              </w:rPr>
            </w:pPr>
            <w:r w:rsidRPr="00802AF9">
              <w:rPr>
                <w:b/>
                <w:bCs/>
                <w:color w:val="000000"/>
                <w:sz w:val="20"/>
                <w:szCs w:val="20"/>
                <w:lang w:val="fr-CA"/>
              </w:rPr>
              <w:t>71</w:t>
            </w:r>
            <w:r w:rsidR="002C24B1">
              <w:rPr>
                <w:b/>
                <w:bCs/>
                <w:color w:val="000000"/>
                <w:sz w:val="20"/>
                <w:szCs w:val="20"/>
                <w:lang w:val="fr-CA"/>
              </w:rPr>
              <w:t> </w:t>
            </w:r>
            <w:r w:rsidRPr="00802AF9">
              <w:rPr>
                <w:b/>
                <w:bCs/>
                <w:color w:val="000000"/>
                <w:sz w:val="20"/>
                <w:szCs w:val="20"/>
                <w:lang w:val="fr-CA"/>
              </w:rPr>
              <w:t>207</w:t>
            </w:r>
          </w:p>
        </w:tc>
        <w:tc>
          <w:tcPr>
            <w:tcW w:w="1002"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616B1160" w14:textId="04C2A993" w:rsidR="0029763D" w:rsidRPr="00802AF9" w:rsidRDefault="0029763D" w:rsidP="003F073E">
            <w:pPr>
              <w:jc w:val="right"/>
              <w:rPr>
                <w:b/>
                <w:bCs/>
                <w:color w:val="000000"/>
                <w:sz w:val="20"/>
                <w:szCs w:val="20"/>
                <w:lang w:val="fr-CA"/>
              </w:rPr>
            </w:pPr>
            <w:r w:rsidRPr="00802AF9">
              <w:rPr>
                <w:b/>
                <w:bCs/>
                <w:color w:val="000000"/>
                <w:sz w:val="20"/>
                <w:szCs w:val="20"/>
                <w:lang w:val="fr-CA"/>
              </w:rPr>
              <w:t>59</w:t>
            </w:r>
            <w:r w:rsidR="002C24B1">
              <w:rPr>
                <w:b/>
                <w:bCs/>
                <w:color w:val="000000"/>
                <w:sz w:val="20"/>
                <w:szCs w:val="20"/>
                <w:lang w:val="fr-CA"/>
              </w:rPr>
              <w:t> </w:t>
            </w:r>
            <w:r w:rsidRPr="00802AF9">
              <w:rPr>
                <w:b/>
                <w:bCs/>
                <w:color w:val="000000"/>
                <w:sz w:val="20"/>
                <w:szCs w:val="20"/>
                <w:lang w:val="fr-CA"/>
              </w:rPr>
              <w:t>786</w:t>
            </w:r>
          </w:p>
        </w:tc>
        <w:tc>
          <w:tcPr>
            <w:tcW w:w="1075" w:type="pct"/>
            <w:tcBorders>
              <w:top w:val="nil"/>
              <w:left w:val="nil"/>
              <w:bottom w:val="single" w:sz="4" w:space="0" w:color="auto"/>
              <w:right w:val="single" w:sz="4" w:space="0" w:color="auto"/>
            </w:tcBorders>
            <w:shd w:val="clear" w:color="auto" w:fill="auto"/>
            <w:noWrap/>
            <w:tcMar>
              <w:left w:w="115" w:type="dxa"/>
              <w:right w:w="216" w:type="dxa"/>
            </w:tcMar>
            <w:vAlign w:val="center"/>
          </w:tcPr>
          <w:p w14:paraId="63868270" w14:textId="2931CA58" w:rsidR="0029763D" w:rsidRPr="00802AF9" w:rsidRDefault="0029763D" w:rsidP="003F073E">
            <w:pPr>
              <w:jc w:val="right"/>
              <w:rPr>
                <w:b/>
                <w:bCs/>
                <w:color w:val="000000"/>
                <w:sz w:val="20"/>
                <w:szCs w:val="20"/>
                <w:lang w:val="fr-CA"/>
              </w:rPr>
            </w:pPr>
            <w:r w:rsidRPr="00802AF9">
              <w:rPr>
                <w:b/>
                <w:color w:val="000000"/>
                <w:sz w:val="20"/>
                <w:szCs w:val="20"/>
                <w:lang w:val="fr-CA"/>
              </w:rPr>
              <w:t>130</w:t>
            </w:r>
            <w:r w:rsidR="002C24B1">
              <w:rPr>
                <w:b/>
                <w:color w:val="000000"/>
                <w:sz w:val="20"/>
                <w:szCs w:val="20"/>
                <w:lang w:val="fr-CA"/>
              </w:rPr>
              <w:t> </w:t>
            </w:r>
            <w:r w:rsidRPr="00802AF9">
              <w:rPr>
                <w:b/>
                <w:color w:val="000000"/>
                <w:sz w:val="20"/>
                <w:szCs w:val="20"/>
                <w:lang w:val="fr-CA"/>
              </w:rPr>
              <w:t>993</w:t>
            </w:r>
          </w:p>
        </w:tc>
      </w:tr>
    </w:tbl>
    <w:p w14:paraId="4FB7287A" w14:textId="77777777" w:rsidR="0029763D" w:rsidRPr="00802AF9" w:rsidRDefault="0029763D" w:rsidP="0029763D">
      <w:pPr>
        <w:rPr>
          <w:b/>
          <w:lang w:val="fr-CA"/>
        </w:rPr>
      </w:pPr>
    </w:p>
    <w:p w14:paraId="4098A716" w14:textId="40E470B3" w:rsidR="0029763D" w:rsidRPr="00802AF9" w:rsidRDefault="0014063A" w:rsidP="0029763D">
      <w:pPr>
        <w:rPr>
          <w:b/>
          <w:lang w:val="fr-CA"/>
        </w:rPr>
      </w:pPr>
      <w:r w:rsidRPr="00802AF9">
        <w:rPr>
          <w:b/>
          <w:lang w:val="fr-CA"/>
        </w:rPr>
        <w:t>Recommandation</w:t>
      </w:r>
    </w:p>
    <w:p w14:paraId="3B4EDDDF" w14:textId="77777777" w:rsidR="0029763D" w:rsidRPr="00802AF9" w:rsidRDefault="0029763D" w:rsidP="0029763D">
      <w:pPr>
        <w:rPr>
          <w:lang w:val="fr-CA"/>
        </w:rPr>
      </w:pPr>
    </w:p>
    <w:p w14:paraId="5BA2768C" w14:textId="42A3838C" w:rsidR="0029763D" w:rsidRPr="00802AF9" w:rsidRDefault="002C24B1" w:rsidP="0029763D">
      <w:pPr>
        <w:pStyle w:val="Heading1"/>
        <w:rPr>
          <w:lang w:val="fr-CA"/>
        </w:rPr>
      </w:pPr>
      <w:r>
        <w:rPr>
          <w:lang w:val="fr-CA"/>
        </w:rPr>
        <w:t>L</w:t>
      </w:r>
      <w:r w:rsidR="0029763D" w:rsidRPr="00802AF9">
        <w:rPr>
          <w:lang w:val="fr-CA"/>
        </w:rPr>
        <w:t xml:space="preserve">e </w:t>
      </w:r>
      <w:r w:rsidR="0014063A" w:rsidRPr="00802AF9">
        <w:rPr>
          <w:lang w:val="fr-CA"/>
        </w:rPr>
        <w:t>Comité exécutif</w:t>
      </w:r>
      <w:r w:rsidR="0029763D" w:rsidRPr="00802AF9">
        <w:rPr>
          <w:lang w:val="fr-CA"/>
        </w:rPr>
        <w:t xml:space="preserve"> </w:t>
      </w:r>
      <w:r>
        <w:rPr>
          <w:lang w:val="fr-CA"/>
        </w:rPr>
        <w:t xml:space="preserve">est invité à demander au </w:t>
      </w:r>
      <w:r w:rsidR="00494A38" w:rsidRPr="00802AF9">
        <w:rPr>
          <w:lang w:val="fr-CA"/>
        </w:rPr>
        <w:t>Trésorier</w:t>
      </w:r>
      <w:r w:rsidR="0029763D" w:rsidRPr="00802AF9">
        <w:rPr>
          <w:lang w:val="fr-CA"/>
        </w:rPr>
        <w:t xml:space="preserve"> </w:t>
      </w:r>
      <w:r w:rsidR="00DB344C">
        <w:rPr>
          <w:lang w:val="fr-CA"/>
        </w:rPr>
        <w:t>de compenser les intérêts cumulés par le</w:t>
      </w:r>
      <w:r w:rsidR="00393030">
        <w:rPr>
          <w:lang w:val="fr-CA"/>
        </w:rPr>
        <w:t> Gouvernement de la Chine</w:t>
      </w:r>
      <w:r w:rsidR="0029763D" w:rsidRPr="00802AF9">
        <w:rPr>
          <w:lang w:val="fr-CA"/>
        </w:rPr>
        <w:t xml:space="preserve"> </w:t>
      </w:r>
      <w:r w:rsidR="00DB344C">
        <w:rPr>
          <w:lang w:val="fr-CA"/>
        </w:rPr>
        <w:t xml:space="preserve">jusqu’au </w:t>
      </w:r>
      <w:r w:rsidR="0029763D" w:rsidRPr="00802AF9">
        <w:rPr>
          <w:lang w:val="fr-CA"/>
        </w:rPr>
        <w:t xml:space="preserve">31 </w:t>
      </w:r>
      <w:r w:rsidR="00661CF2">
        <w:rPr>
          <w:lang w:val="fr-CA"/>
        </w:rPr>
        <w:t>d</w:t>
      </w:r>
      <w:r w:rsidR="00825570" w:rsidRPr="00802AF9">
        <w:rPr>
          <w:lang w:val="fr-CA"/>
        </w:rPr>
        <w:t>écembre</w:t>
      </w:r>
      <w:r w:rsidR="0029763D" w:rsidRPr="00802AF9">
        <w:rPr>
          <w:lang w:val="fr-CA"/>
        </w:rPr>
        <w:t xml:space="preserve"> 2019 </w:t>
      </w:r>
      <w:r w:rsidR="00DB344C">
        <w:rPr>
          <w:lang w:val="fr-CA"/>
        </w:rPr>
        <w:t xml:space="preserve">par des fonds virés antérieurement de la mise en œuvre des </w:t>
      </w:r>
      <w:r w:rsidR="00494A38" w:rsidRPr="00802AF9">
        <w:rPr>
          <w:lang w:val="fr-CA"/>
        </w:rPr>
        <w:t>plan</w:t>
      </w:r>
      <w:r w:rsidR="00DB344C">
        <w:rPr>
          <w:lang w:val="fr-CA"/>
        </w:rPr>
        <w:t>s</w:t>
      </w:r>
      <w:r w:rsidR="00494A38" w:rsidRPr="00802AF9">
        <w:rPr>
          <w:lang w:val="fr-CA"/>
        </w:rPr>
        <w:t xml:space="preserve"> sectoriel</w:t>
      </w:r>
      <w:r w:rsidR="0029763D" w:rsidRPr="00802AF9">
        <w:rPr>
          <w:lang w:val="fr-CA"/>
        </w:rPr>
        <w:t xml:space="preserve">s </w:t>
      </w:r>
      <w:r w:rsidR="00DB344C">
        <w:rPr>
          <w:lang w:val="fr-CA"/>
        </w:rPr>
        <w:t xml:space="preserve">durant les </w:t>
      </w:r>
      <w:r w:rsidR="0014063A" w:rsidRPr="00802AF9">
        <w:rPr>
          <w:lang w:val="fr-CA"/>
        </w:rPr>
        <w:t>phase</w:t>
      </w:r>
      <w:r w:rsidR="0029763D" w:rsidRPr="00802AF9">
        <w:rPr>
          <w:lang w:val="fr-CA"/>
        </w:rPr>
        <w:t xml:space="preserve">s I </w:t>
      </w:r>
      <w:r w:rsidR="00DB344C">
        <w:rPr>
          <w:lang w:val="fr-CA"/>
        </w:rPr>
        <w:t>et</w:t>
      </w:r>
      <w:r w:rsidR="0029763D" w:rsidRPr="00802AF9">
        <w:rPr>
          <w:lang w:val="fr-CA"/>
        </w:rPr>
        <w:t xml:space="preserve"> II </w:t>
      </w:r>
      <w:r w:rsidR="00DB344C">
        <w:rPr>
          <w:lang w:val="fr-CA"/>
        </w:rPr>
        <w:t>du p</w:t>
      </w:r>
      <w:r w:rsidR="0014063A" w:rsidRPr="00802AF9">
        <w:rPr>
          <w:lang w:val="fr-CA"/>
        </w:rPr>
        <w:t>lan de gestion de l’élimination de HCFC</w:t>
      </w:r>
      <w:r w:rsidR="0029763D" w:rsidRPr="00802AF9">
        <w:rPr>
          <w:lang w:val="fr-CA"/>
        </w:rPr>
        <w:t xml:space="preserve"> (</w:t>
      </w:r>
      <w:r w:rsidR="00494A38" w:rsidRPr="00802AF9">
        <w:rPr>
          <w:lang w:val="fr-CA"/>
        </w:rPr>
        <w:t>PGEH</w:t>
      </w:r>
      <w:r w:rsidR="0029763D" w:rsidRPr="00802AF9">
        <w:rPr>
          <w:lang w:val="fr-CA"/>
        </w:rPr>
        <w:t xml:space="preserve">), </w:t>
      </w:r>
      <w:r w:rsidR="00DB344C">
        <w:rPr>
          <w:lang w:val="fr-CA"/>
        </w:rPr>
        <w:t xml:space="preserve">conformément aux </w:t>
      </w:r>
      <w:r w:rsidR="00494A38" w:rsidRPr="00802AF9">
        <w:rPr>
          <w:lang w:val="fr-CA"/>
        </w:rPr>
        <w:t>décision</w:t>
      </w:r>
      <w:r w:rsidR="0029763D" w:rsidRPr="00802AF9">
        <w:rPr>
          <w:lang w:val="fr-CA"/>
        </w:rPr>
        <w:t xml:space="preserve">s 69/24 </w:t>
      </w:r>
      <w:r w:rsidR="00DB344C">
        <w:rPr>
          <w:lang w:val="fr-CA"/>
        </w:rPr>
        <w:t>et</w:t>
      </w:r>
      <w:r w:rsidR="0029763D" w:rsidRPr="00802AF9">
        <w:rPr>
          <w:lang w:val="fr-CA"/>
        </w:rPr>
        <w:t xml:space="preserve"> 77/49(b)(iii), </w:t>
      </w:r>
      <w:r w:rsidR="00DB344C">
        <w:rPr>
          <w:lang w:val="fr-CA"/>
        </w:rPr>
        <w:t>comme suit</w:t>
      </w:r>
      <w:r w:rsidR="0029763D" w:rsidRPr="00802AF9">
        <w:rPr>
          <w:lang w:val="fr-CA"/>
        </w:rPr>
        <w:t>:</w:t>
      </w:r>
    </w:p>
    <w:p w14:paraId="02AABE17" w14:textId="0F305329" w:rsidR="0029763D" w:rsidRPr="00802AF9" w:rsidRDefault="00DB344C" w:rsidP="0029763D">
      <w:pPr>
        <w:widowControl w:val="0"/>
        <w:numPr>
          <w:ilvl w:val="1"/>
          <w:numId w:val="1"/>
        </w:numPr>
        <w:spacing w:after="240"/>
        <w:outlineLvl w:val="1"/>
        <w:rPr>
          <w:lang w:val="fr-CA"/>
        </w:rPr>
      </w:pPr>
      <w:r>
        <w:rPr>
          <w:lang w:val="fr-CA"/>
        </w:rPr>
        <w:t xml:space="preserve">Demander au Trésorier </w:t>
      </w:r>
      <w:r w:rsidR="00661CF2">
        <w:rPr>
          <w:lang w:val="fr-CA"/>
        </w:rPr>
        <w:t xml:space="preserve">de </w:t>
      </w:r>
      <w:r w:rsidRPr="00DB344C">
        <w:rPr>
          <w:lang w:val="fr-CA"/>
        </w:rPr>
        <w:t xml:space="preserve">déduire </w:t>
      </w:r>
      <w:r w:rsidR="003A04A5">
        <w:rPr>
          <w:lang w:val="fr-CA"/>
        </w:rPr>
        <w:t>d</w:t>
      </w:r>
      <w:r w:rsidRPr="00DB344C">
        <w:rPr>
          <w:lang w:val="fr-CA"/>
        </w:rPr>
        <w:t xml:space="preserve">es </w:t>
      </w:r>
      <w:r w:rsidR="003A04A5">
        <w:rPr>
          <w:lang w:val="fr-CA"/>
        </w:rPr>
        <w:t xml:space="preserve">virements futurs à l’ONUDI le montant de 5 665 $US représentant l’intérêt cumulé par </w:t>
      </w:r>
      <w:r w:rsidR="00393030">
        <w:rPr>
          <w:lang w:val="fr-CA"/>
        </w:rPr>
        <w:t>Gouvernement de la Chine</w:t>
      </w:r>
      <w:r w:rsidR="0029763D" w:rsidRPr="00802AF9">
        <w:rPr>
          <w:lang w:val="fr-CA"/>
        </w:rPr>
        <w:t xml:space="preserve"> </w:t>
      </w:r>
      <w:r w:rsidR="003A04A5">
        <w:rPr>
          <w:lang w:val="fr-CA"/>
        </w:rPr>
        <w:t xml:space="preserve">jusqu’au </w:t>
      </w:r>
      <w:r w:rsidR="0029763D" w:rsidRPr="00802AF9">
        <w:rPr>
          <w:lang w:val="fr-CA"/>
        </w:rPr>
        <w:t>31 </w:t>
      </w:r>
      <w:r w:rsidR="003A04A5">
        <w:rPr>
          <w:lang w:val="fr-CA"/>
        </w:rPr>
        <w:t>d</w:t>
      </w:r>
      <w:r w:rsidR="00825570" w:rsidRPr="00802AF9">
        <w:rPr>
          <w:lang w:val="fr-CA"/>
        </w:rPr>
        <w:t>écembre</w:t>
      </w:r>
      <w:r w:rsidR="0029763D" w:rsidRPr="00802AF9">
        <w:rPr>
          <w:lang w:val="fr-CA"/>
        </w:rPr>
        <w:t xml:space="preserve"> 2019</w:t>
      </w:r>
      <w:r w:rsidR="003A04A5">
        <w:rPr>
          <w:lang w:val="fr-CA"/>
        </w:rPr>
        <w:t>,</w:t>
      </w:r>
      <w:r w:rsidR="0029763D" w:rsidRPr="00802AF9">
        <w:rPr>
          <w:lang w:val="fr-CA"/>
        </w:rPr>
        <w:t xml:space="preserve"> </w:t>
      </w:r>
      <w:r w:rsidR="003A04A5">
        <w:rPr>
          <w:lang w:val="fr-CA"/>
        </w:rPr>
        <w:t xml:space="preserve">provenant des fonds virés antérieurement pour la mise en œuvre du plan sectoriel des mousses de polystyrène extrudé durant les </w:t>
      </w:r>
      <w:r w:rsidR="0014063A" w:rsidRPr="00802AF9">
        <w:rPr>
          <w:lang w:val="fr-CA"/>
        </w:rPr>
        <w:t>phase</w:t>
      </w:r>
      <w:r w:rsidR="0029763D" w:rsidRPr="00802AF9">
        <w:rPr>
          <w:lang w:val="fr-CA"/>
        </w:rPr>
        <w:t xml:space="preserve">s I </w:t>
      </w:r>
      <w:r w:rsidR="003A04A5">
        <w:rPr>
          <w:lang w:val="fr-CA"/>
        </w:rPr>
        <w:t>et</w:t>
      </w:r>
      <w:r w:rsidR="0029763D" w:rsidRPr="00802AF9">
        <w:rPr>
          <w:lang w:val="fr-CA"/>
        </w:rPr>
        <w:t xml:space="preserve"> II </w:t>
      </w:r>
      <w:r w:rsidR="003A04A5">
        <w:rPr>
          <w:lang w:val="fr-CA"/>
        </w:rPr>
        <w:t>du</w:t>
      </w:r>
      <w:r w:rsidR="0029763D" w:rsidRPr="00802AF9">
        <w:rPr>
          <w:lang w:val="fr-CA"/>
        </w:rPr>
        <w:t xml:space="preserve"> </w:t>
      </w:r>
      <w:r w:rsidR="003A04A5">
        <w:rPr>
          <w:lang w:val="fr-CA"/>
        </w:rPr>
        <w:t>p</w:t>
      </w:r>
      <w:r w:rsidR="0014063A" w:rsidRPr="00802AF9">
        <w:rPr>
          <w:lang w:val="fr-CA"/>
        </w:rPr>
        <w:t>lan de gestion de l’élimination de HCFC</w:t>
      </w:r>
      <w:r w:rsidR="0029763D" w:rsidRPr="00802AF9">
        <w:rPr>
          <w:lang w:val="fr-CA"/>
        </w:rPr>
        <w:t xml:space="preserve"> (</w:t>
      </w:r>
      <w:r w:rsidR="00494A38" w:rsidRPr="00802AF9">
        <w:rPr>
          <w:lang w:val="fr-CA"/>
        </w:rPr>
        <w:t>PGEH</w:t>
      </w:r>
      <w:r w:rsidR="0029763D" w:rsidRPr="00802AF9">
        <w:rPr>
          <w:lang w:val="fr-CA"/>
        </w:rPr>
        <w:t xml:space="preserve">), </w:t>
      </w:r>
      <w:r w:rsidR="003A04A5">
        <w:rPr>
          <w:lang w:val="fr-CA"/>
        </w:rPr>
        <w:t>conformément aux</w:t>
      </w:r>
      <w:r w:rsidR="0029763D" w:rsidRPr="00802AF9">
        <w:rPr>
          <w:lang w:val="fr-CA"/>
        </w:rPr>
        <w:t xml:space="preserve"> </w:t>
      </w:r>
      <w:r w:rsidR="00494A38" w:rsidRPr="00802AF9">
        <w:rPr>
          <w:lang w:val="fr-CA"/>
        </w:rPr>
        <w:t>décision</w:t>
      </w:r>
      <w:r w:rsidR="0029763D" w:rsidRPr="00802AF9">
        <w:rPr>
          <w:lang w:val="fr-CA"/>
        </w:rPr>
        <w:t xml:space="preserve">s 69/24 </w:t>
      </w:r>
      <w:r w:rsidR="003A04A5">
        <w:rPr>
          <w:lang w:val="fr-CA"/>
        </w:rPr>
        <w:t>et</w:t>
      </w:r>
      <w:r w:rsidR="0029763D" w:rsidRPr="00802AF9">
        <w:rPr>
          <w:lang w:val="fr-CA"/>
        </w:rPr>
        <w:t xml:space="preserve"> 77/49(b)(iii);</w:t>
      </w:r>
    </w:p>
    <w:p w14:paraId="6B4B3B0A" w14:textId="3C9E8DDC" w:rsidR="0029763D" w:rsidRPr="003A04A5" w:rsidRDefault="003A04A5" w:rsidP="000F1DD3">
      <w:pPr>
        <w:pStyle w:val="Heading2"/>
        <w:numPr>
          <w:ilvl w:val="1"/>
          <w:numId w:val="1"/>
        </w:numPr>
        <w:rPr>
          <w:lang w:val="fr-CA"/>
        </w:rPr>
      </w:pPr>
      <w:r w:rsidRPr="003A04A5">
        <w:rPr>
          <w:lang w:val="fr-CA"/>
        </w:rPr>
        <w:t xml:space="preserve">Demander au Trésorier </w:t>
      </w:r>
      <w:r w:rsidR="00661CF2">
        <w:rPr>
          <w:lang w:val="fr-CA"/>
        </w:rPr>
        <w:t xml:space="preserve">de </w:t>
      </w:r>
      <w:r w:rsidRPr="003A04A5">
        <w:rPr>
          <w:lang w:val="fr-CA"/>
        </w:rPr>
        <w:t xml:space="preserve">déduire des virements futurs à </w:t>
      </w:r>
      <w:r>
        <w:rPr>
          <w:lang w:val="fr-CA"/>
        </w:rPr>
        <w:t xml:space="preserve">la Banque mondiale </w:t>
      </w:r>
      <w:r w:rsidRPr="003A04A5">
        <w:rPr>
          <w:lang w:val="fr-CA"/>
        </w:rPr>
        <w:t xml:space="preserve">le montant de </w:t>
      </w:r>
      <w:r>
        <w:rPr>
          <w:lang w:val="fr-CA"/>
        </w:rPr>
        <w:t>3</w:t>
      </w:r>
      <w:r w:rsidRPr="003A04A5">
        <w:rPr>
          <w:lang w:val="fr-CA"/>
        </w:rPr>
        <w:t xml:space="preserve"> </w:t>
      </w:r>
      <w:r>
        <w:rPr>
          <w:lang w:val="fr-CA"/>
        </w:rPr>
        <w:t>879</w:t>
      </w:r>
      <w:r w:rsidRPr="003A04A5">
        <w:rPr>
          <w:lang w:val="fr-CA"/>
        </w:rPr>
        <w:t xml:space="preserve"> $US représentant l’intérêt cumulé par Gouvernement de la Chine jusqu’au 31 décembre 2019, provenant des fonds virés antérieurement pour la mise en œuvre du plan sectoriel des mousses de poly</w:t>
      </w:r>
      <w:r>
        <w:rPr>
          <w:lang w:val="fr-CA"/>
        </w:rPr>
        <w:t>uréthane</w:t>
      </w:r>
      <w:r w:rsidRPr="003A04A5">
        <w:rPr>
          <w:lang w:val="fr-CA"/>
        </w:rPr>
        <w:t xml:space="preserve"> durant les phases I et II du</w:t>
      </w:r>
      <w:r>
        <w:rPr>
          <w:lang w:val="fr-CA"/>
        </w:rPr>
        <w:t xml:space="preserve"> </w:t>
      </w:r>
      <w:r w:rsidRPr="003A04A5">
        <w:rPr>
          <w:lang w:val="fr-CA"/>
        </w:rPr>
        <w:t>PGEH, conformément aux décisions 69/24 et 77/49(b)(iii);</w:t>
      </w:r>
    </w:p>
    <w:p w14:paraId="4024E1CD" w14:textId="557B861E" w:rsidR="0029763D" w:rsidRPr="00B83F35" w:rsidRDefault="00B83F35" w:rsidP="00E3303D">
      <w:pPr>
        <w:pStyle w:val="Heading2"/>
        <w:keepNext/>
        <w:keepLines/>
        <w:numPr>
          <w:ilvl w:val="1"/>
          <w:numId w:val="1"/>
        </w:numPr>
        <w:rPr>
          <w:lang w:val="fr-CA"/>
        </w:rPr>
      </w:pPr>
      <w:bookmarkStart w:id="6" w:name="_Hlk56209563"/>
      <w:r w:rsidRPr="00B83F35">
        <w:rPr>
          <w:lang w:val="fr-CA"/>
        </w:rPr>
        <w:lastRenderedPageBreak/>
        <w:t xml:space="preserve">Demander au Trésorier </w:t>
      </w:r>
      <w:r w:rsidR="00661CF2">
        <w:rPr>
          <w:lang w:val="fr-CA"/>
        </w:rPr>
        <w:t xml:space="preserve">de </w:t>
      </w:r>
      <w:r w:rsidRPr="00B83F35">
        <w:rPr>
          <w:lang w:val="fr-CA"/>
        </w:rPr>
        <w:t xml:space="preserve">déduire des virements futurs </w:t>
      </w:r>
      <w:r>
        <w:rPr>
          <w:lang w:val="fr-CA"/>
        </w:rPr>
        <w:t>au PNUD</w:t>
      </w:r>
      <w:r w:rsidRPr="00B83F35">
        <w:rPr>
          <w:lang w:val="fr-CA"/>
        </w:rPr>
        <w:t xml:space="preserve"> le montant de 86</w:t>
      </w:r>
      <w:r>
        <w:rPr>
          <w:lang w:val="fr-CA"/>
        </w:rPr>
        <w:t> </w:t>
      </w:r>
      <w:r w:rsidRPr="00B83F35">
        <w:rPr>
          <w:lang w:val="fr-CA"/>
        </w:rPr>
        <w:t>874</w:t>
      </w:r>
      <w:r>
        <w:rPr>
          <w:lang w:val="fr-CA"/>
        </w:rPr>
        <w:t> </w:t>
      </w:r>
      <w:r w:rsidRPr="00B83F35">
        <w:rPr>
          <w:lang w:val="fr-CA"/>
        </w:rPr>
        <w:t>$US</w:t>
      </w:r>
      <w:r>
        <w:rPr>
          <w:lang w:val="fr-CA"/>
        </w:rPr>
        <w:t>,</w:t>
      </w:r>
      <w:r w:rsidRPr="00B83F35">
        <w:rPr>
          <w:lang w:val="fr-CA"/>
        </w:rPr>
        <w:t xml:space="preserve"> représentant l’intérêt cumulé par Gouvernement de la Chine jusqu’au 31 décembre 2019, provenant des fonds virés antérieurement pour la mise en œuvre du plan sectoriel de</w:t>
      </w:r>
      <w:r>
        <w:rPr>
          <w:lang w:val="fr-CA"/>
        </w:rPr>
        <w:t xml:space="preserve"> la réfrigération industrielle et commerciale</w:t>
      </w:r>
      <w:r w:rsidRPr="00B83F35">
        <w:rPr>
          <w:lang w:val="fr-CA"/>
        </w:rPr>
        <w:t xml:space="preserve"> durant les phases I et II du PGEH, conformément aux décisions 69/24 et 77/49(b)(iii); </w:t>
      </w:r>
    </w:p>
    <w:p w14:paraId="61F746EB" w14:textId="0492D45F" w:rsidR="0029763D" w:rsidRPr="00B83F35" w:rsidRDefault="00B83F35" w:rsidP="000F1DD3">
      <w:pPr>
        <w:pStyle w:val="Heading2"/>
        <w:numPr>
          <w:ilvl w:val="1"/>
          <w:numId w:val="1"/>
        </w:numPr>
        <w:rPr>
          <w:lang w:val="fr-CA"/>
        </w:rPr>
      </w:pPr>
      <w:bookmarkStart w:id="7" w:name="_Hlk56209709"/>
      <w:bookmarkEnd w:id="6"/>
      <w:r w:rsidRPr="00B83F35">
        <w:rPr>
          <w:lang w:val="fr-CA"/>
        </w:rPr>
        <w:t>Demander au Trésorier</w:t>
      </w:r>
      <w:r w:rsidR="00661CF2">
        <w:rPr>
          <w:lang w:val="fr-CA"/>
        </w:rPr>
        <w:t xml:space="preserve"> de</w:t>
      </w:r>
      <w:r w:rsidRPr="00B83F35">
        <w:rPr>
          <w:lang w:val="fr-CA"/>
        </w:rPr>
        <w:t xml:space="preserve"> déduire des virements futurs </w:t>
      </w:r>
      <w:r>
        <w:rPr>
          <w:lang w:val="fr-CA"/>
        </w:rPr>
        <w:t>à l’ONUDI</w:t>
      </w:r>
      <w:r w:rsidRPr="00B83F35">
        <w:rPr>
          <w:lang w:val="fr-CA"/>
        </w:rPr>
        <w:t xml:space="preserve"> le montant de 26</w:t>
      </w:r>
      <w:r>
        <w:rPr>
          <w:lang w:val="fr-CA"/>
        </w:rPr>
        <w:t> </w:t>
      </w:r>
      <w:r w:rsidR="00BA5233">
        <w:rPr>
          <w:lang w:val="fr-CA"/>
        </w:rPr>
        <w:t>213 </w:t>
      </w:r>
      <w:r w:rsidRPr="00B83F35">
        <w:rPr>
          <w:lang w:val="fr-CA"/>
        </w:rPr>
        <w:t xml:space="preserve">$US, représentant l’intérêt cumulé par Gouvernement de la Chine jusqu’au 31 décembre 2019, provenant des fonds virés antérieurement pour la mise en œuvre du plan sectoriel de la </w:t>
      </w:r>
      <w:r>
        <w:rPr>
          <w:lang w:val="fr-CA"/>
        </w:rPr>
        <w:t xml:space="preserve">climatisation individuelle </w:t>
      </w:r>
      <w:r w:rsidRPr="00B83F35">
        <w:rPr>
          <w:lang w:val="fr-CA"/>
        </w:rPr>
        <w:t>durant les phases I et II du PGEH, conformément aux décisions 69/24 et 77/49(b)(iii)</w:t>
      </w:r>
      <w:bookmarkEnd w:id="7"/>
      <w:r w:rsidRPr="00B83F35">
        <w:rPr>
          <w:lang w:val="fr-CA"/>
        </w:rPr>
        <w:t xml:space="preserve">;  </w:t>
      </w:r>
    </w:p>
    <w:p w14:paraId="66689038" w14:textId="4BBDA04E" w:rsidR="0029763D" w:rsidRPr="00802AF9" w:rsidRDefault="00B83F35" w:rsidP="0029763D">
      <w:pPr>
        <w:widowControl w:val="0"/>
        <w:numPr>
          <w:ilvl w:val="1"/>
          <w:numId w:val="1"/>
        </w:numPr>
        <w:spacing w:after="240"/>
        <w:outlineLvl w:val="1"/>
        <w:rPr>
          <w:lang w:val="fr-CA"/>
        </w:rPr>
      </w:pPr>
      <w:r w:rsidRPr="00B83F35">
        <w:rPr>
          <w:lang w:val="fr-CA"/>
        </w:rPr>
        <w:t xml:space="preserve">Demander au Trésorier </w:t>
      </w:r>
      <w:r w:rsidR="00661CF2">
        <w:rPr>
          <w:lang w:val="fr-CA"/>
        </w:rPr>
        <w:t xml:space="preserve">de </w:t>
      </w:r>
      <w:r w:rsidRPr="00B83F35">
        <w:rPr>
          <w:lang w:val="fr-CA"/>
        </w:rPr>
        <w:t xml:space="preserve">déduire des virements futurs </w:t>
      </w:r>
      <w:r>
        <w:rPr>
          <w:lang w:val="fr-CA"/>
        </w:rPr>
        <w:t xml:space="preserve">au PNUE </w:t>
      </w:r>
      <w:r w:rsidRPr="00B83F35">
        <w:rPr>
          <w:lang w:val="fr-CA"/>
        </w:rPr>
        <w:t xml:space="preserve">le montant de </w:t>
      </w:r>
      <w:r>
        <w:rPr>
          <w:lang w:val="fr-CA"/>
        </w:rPr>
        <w:t>7</w:t>
      </w:r>
      <w:r w:rsidRPr="00B83F35">
        <w:rPr>
          <w:lang w:val="fr-CA"/>
        </w:rPr>
        <w:t xml:space="preserve"> </w:t>
      </w:r>
      <w:r>
        <w:rPr>
          <w:lang w:val="fr-CA"/>
        </w:rPr>
        <w:t>472</w:t>
      </w:r>
      <w:r w:rsidRPr="00B83F35">
        <w:rPr>
          <w:lang w:val="fr-CA"/>
        </w:rPr>
        <w:t xml:space="preserve"> $US, représentant l’intérêt cumulé par Gouvernement de la Chine jusqu’au 31 décembre 2019, provenant des fonds virés antérieurement pour la mise en œuvre du plan sectoriel de </w:t>
      </w:r>
      <w:r>
        <w:rPr>
          <w:lang w:val="fr-CA"/>
        </w:rPr>
        <w:t xml:space="preserve">l’entretien en réfrigération et du programme national de facilitation </w:t>
      </w:r>
      <w:r w:rsidRPr="00B83F35">
        <w:rPr>
          <w:lang w:val="fr-CA"/>
        </w:rPr>
        <w:t>durant les phases I et II du PGEH, conformément aux décisions 69/24 et 77/49(b)(iii)</w:t>
      </w:r>
      <w:r w:rsidR="0029763D" w:rsidRPr="00802AF9">
        <w:rPr>
          <w:lang w:val="fr-CA"/>
        </w:rPr>
        <w:t xml:space="preserve">; </w:t>
      </w:r>
      <w:r>
        <w:rPr>
          <w:lang w:val="fr-CA"/>
        </w:rPr>
        <w:t>et</w:t>
      </w:r>
      <w:r w:rsidR="0029763D" w:rsidRPr="00802AF9">
        <w:rPr>
          <w:lang w:val="fr-CA"/>
        </w:rPr>
        <w:t xml:space="preserve"> </w:t>
      </w:r>
    </w:p>
    <w:p w14:paraId="54718EEE" w14:textId="307C7F25" w:rsidR="0029763D" w:rsidRPr="00802AF9" w:rsidRDefault="00B83F35" w:rsidP="0029763D">
      <w:pPr>
        <w:widowControl w:val="0"/>
        <w:numPr>
          <w:ilvl w:val="1"/>
          <w:numId w:val="1"/>
        </w:numPr>
        <w:spacing w:after="240"/>
        <w:outlineLvl w:val="1"/>
        <w:rPr>
          <w:lang w:val="fr-CA"/>
        </w:rPr>
      </w:pPr>
      <w:r w:rsidRPr="00B83F35">
        <w:rPr>
          <w:lang w:val="fr-CA"/>
        </w:rPr>
        <w:t xml:space="preserve">Demander au Trésorier </w:t>
      </w:r>
      <w:r w:rsidR="00661CF2">
        <w:rPr>
          <w:lang w:val="fr-CA"/>
        </w:rPr>
        <w:t xml:space="preserve">de </w:t>
      </w:r>
      <w:r w:rsidRPr="00B83F35">
        <w:rPr>
          <w:lang w:val="fr-CA"/>
        </w:rPr>
        <w:t xml:space="preserve">déduire des virements futurs </w:t>
      </w:r>
      <w:r>
        <w:rPr>
          <w:lang w:val="fr-CA"/>
        </w:rPr>
        <w:t>au PNUD</w:t>
      </w:r>
      <w:r w:rsidRPr="00B83F35">
        <w:rPr>
          <w:lang w:val="fr-CA"/>
        </w:rPr>
        <w:t xml:space="preserve"> le montant de </w:t>
      </w:r>
      <w:r>
        <w:rPr>
          <w:lang w:val="fr-CA"/>
        </w:rPr>
        <w:t>891 </w:t>
      </w:r>
      <w:r w:rsidRPr="00B83F35">
        <w:rPr>
          <w:lang w:val="fr-CA"/>
        </w:rPr>
        <w:t>$US, représentant l’intérêt cumulé par Gouvernement de la Chine jusqu’au 31 décembre 2019, provenant des fonds virés antérieurement pour la mise en œuvre du plan sectoriel de</w:t>
      </w:r>
      <w:r>
        <w:rPr>
          <w:lang w:val="fr-CA"/>
        </w:rPr>
        <w:t>s solvants</w:t>
      </w:r>
      <w:r w:rsidRPr="00B83F35">
        <w:rPr>
          <w:lang w:val="fr-CA"/>
        </w:rPr>
        <w:t xml:space="preserve"> durant les phases I et II du PGEH, conformément aux décisions 69/24 et 77/49(b)(iii)</w:t>
      </w:r>
      <w:r w:rsidR="0029763D" w:rsidRPr="00802AF9">
        <w:rPr>
          <w:lang w:val="fr-CA"/>
        </w:rPr>
        <w:t>.</w:t>
      </w:r>
    </w:p>
    <w:p w14:paraId="23853174" w14:textId="77777777" w:rsidR="0029763D" w:rsidRPr="00802AF9" w:rsidRDefault="0029763D" w:rsidP="0029763D">
      <w:pPr>
        <w:keepNext/>
        <w:keepLines/>
        <w:rPr>
          <w:b/>
          <w:lang w:val="fr-CA"/>
        </w:rPr>
      </w:pPr>
    </w:p>
    <w:p w14:paraId="47C705AF" w14:textId="0F2BF7B1" w:rsidR="0029763D" w:rsidRPr="00802AF9" w:rsidRDefault="00494A38" w:rsidP="0029763D">
      <w:pPr>
        <w:keepNext/>
        <w:keepLines/>
        <w:rPr>
          <w:b/>
          <w:lang w:val="fr-CA"/>
        </w:rPr>
      </w:pPr>
      <w:r w:rsidRPr="00802AF9">
        <w:rPr>
          <w:b/>
          <w:lang w:val="fr-CA"/>
        </w:rPr>
        <w:t>Rapport périodique</w:t>
      </w:r>
      <w:r w:rsidR="0029763D" w:rsidRPr="00802AF9">
        <w:rPr>
          <w:b/>
          <w:lang w:val="fr-CA"/>
        </w:rPr>
        <w:t xml:space="preserve"> </w:t>
      </w:r>
      <w:r w:rsidR="00B83F35">
        <w:rPr>
          <w:b/>
          <w:lang w:val="fr-CA"/>
        </w:rPr>
        <w:t xml:space="preserve">sur la </w:t>
      </w:r>
      <w:r w:rsidR="0014063A" w:rsidRPr="00802AF9">
        <w:rPr>
          <w:b/>
          <w:lang w:val="fr-CA"/>
        </w:rPr>
        <w:t>phase</w:t>
      </w:r>
      <w:r w:rsidR="0029763D" w:rsidRPr="00802AF9">
        <w:rPr>
          <w:b/>
          <w:lang w:val="fr-CA"/>
        </w:rPr>
        <w:t xml:space="preserve"> I </w:t>
      </w:r>
      <w:r w:rsidR="00B83F35">
        <w:rPr>
          <w:b/>
          <w:lang w:val="fr-CA"/>
        </w:rPr>
        <w:t xml:space="preserve">du plan sectoriel </w:t>
      </w:r>
      <w:r w:rsidR="000F1DD3">
        <w:rPr>
          <w:b/>
          <w:lang w:val="fr-CA"/>
        </w:rPr>
        <w:t xml:space="preserve">des climatiseurs individuels </w:t>
      </w:r>
      <w:r w:rsidR="0029763D" w:rsidRPr="00802AF9">
        <w:rPr>
          <w:b/>
          <w:lang w:val="fr-CA"/>
        </w:rPr>
        <w:t>(</w:t>
      </w:r>
      <w:r w:rsidRPr="00802AF9">
        <w:rPr>
          <w:b/>
          <w:lang w:val="fr-CA"/>
        </w:rPr>
        <w:t>R&amp;C</w:t>
      </w:r>
      <w:r w:rsidR="0029763D" w:rsidRPr="00802AF9">
        <w:rPr>
          <w:b/>
          <w:lang w:val="fr-CA"/>
        </w:rPr>
        <w:t>) (</w:t>
      </w:r>
      <w:r w:rsidR="0014063A" w:rsidRPr="00802AF9">
        <w:rPr>
          <w:b/>
          <w:lang w:val="fr-CA"/>
        </w:rPr>
        <w:t>ONUDI</w:t>
      </w:r>
      <w:r w:rsidR="0029763D" w:rsidRPr="00802AF9">
        <w:rPr>
          <w:b/>
          <w:lang w:val="fr-CA"/>
        </w:rPr>
        <w:t>)</w:t>
      </w:r>
    </w:p>
    <w:p w14:paraId="3931DC8C" w14:textId="77777777" w:rsidR="0029763D" w:rsidRPr="00802AF9" w:rsidRDefault="0029763D" w:rsidP="0029763D">
      <w:pPr>
        <w:keepNext/>
        <w:keepLines/>
        <w:rPr>
          <w:lang w:val="fr-CA"/>
        </w:rPr>
      </w:pPr>
    </w:p>
    <w:p w14:paraId="48E6B5C2" w14:textId="67E85CE0" w:rsidR="0029763D" w:rsidRPr="00802AF9" w:rsidRDefault="000F1DD3" w:rsidP="0029763D">
      <w:pPr>
        <w:pStyle w:val="Heading1"/>
        <w:keepNext/>
        <w:keepLines/>
        <w:rPr>
          <w:lang w:val="fr-CA"/>
        </w:rPr>
      </w:pPr>
      <w:r>
        <w:rPr>
          <w:lang w:val="fr-CA"/>
        </w:rPr>
        <w:t xml:space="preserve">L’ONUDI a soumis, au nom du </w:t>
      </w:r>
      <w:r w:rsidR="00393030">
        <w:rPr>
          <w:lang w:val="fr-CA"/>
        </w:rPr>
        <w:t>Gouvernement de la Chine</w:t>
      </w:r>
      <w:r w:rsidR="0029763D" w:rsidRPr="00802AF9">
        <w:rPr>
          <w:lang w:val="fr-CA"/>
        </w:rPr>
        <w:t xml:space="preserve">, </w:t>
      </w:r>
      <w:r>
        <w:rPr>
          <w:lang w:val="fr-CA"/>
        </w:rPr>
        <w:t xml:space="preserve">un </w:t>
      </w:r>
      <w:r w:rsidR="00494A38" w:rsidRPr="00802AF9">
        <w:rPr>
          <w:lang w:val="fr-CA"/>
        </w:rPr>
        <w:t>rapport périodique</w:t>
      </w:r>
      <w:r w:rsidR="0029763D" w:rsidRPr="00802AF9">
        <w:rPr>
          <w:lang w:val="fr-CA"/>
        </w:rPr>
        <w:t xml:space="preserve"> </w:t>
      </w:r>
      <w:r>
        <w:rPr>
          <w:lang w:val="fr-CA"/>
        </w:rPr>
        <w:t xml:space="preserve">sur la mise en œuvre du plan sectoriel des climatiseurs individuels </w:t>
      </w:r>
      <w:r w:rsidR="0029763D" w:rsidRPr="00802AF9">
        <w:rPr>
          <w:lang w:val="fr-CA"/>
        </w:rPr>
        <w:t>(</w:t>
      </w:r>
      <w:r w:rsidR="00494A38" w:rsidRPr="00802AF9">
        <w:rPr>
          <w:lang w:val="fr-CA"/>
        </w:rPr>
        <w:t>R&amp;C</w:t>
      </w:r>
      <w:r w:rsidR="0029763D" w:rsidRPr="00802AF9">
        <w:rPr>
          <w:lang w:val="fr-CA"/>
        </w:rPr>
        <w:t xml:space="preserve">) </w:t>
      </w:r>
      <w:r>
        <w:rPr>
          <w:lang w:val="fr-CA"/>
        </w:rPr>
        <w:t xml:space="preserve">durant la </w:t>
      </w:r>
      <w:r w:rsidR="0014063A" w:rsidRPr="00802AF9">
        <w:rPr>
          <w:lang w:val="fr-CA"/>
        </w:rPr>
        <w:t>phase</w:t>
      </w:r>
      <w:r w:rsidR="0029763D" w:rsidRPr="00802AF9">
        <w:rPr>
          <w:lang w:val="fr-CA"/>
        </w:rPr>
        <w:t xml:space="preserve"> I </w:t>
      </w:r>
      <w:r>
        <w:rPr>
          <w:lang w:val="fr-CA"/>
        </w:rPr>
        <w:t>du p</w:t>
      </w:r>
      <w:r w:rsidR="0014063A" w:rsidRPr="00802AF9">
        <w:rPr>
          <w:lang w:val="fr-CA"/>
        </w:rPr>
        <w:t>lan de gestion de l’élimination de HCFC</w:t>
      </w:r>
      <w:r w:rsidR="0029763D" w:rsidRPr="00802AF9">
        <w:rPr>
          <w:lang w:val="fr-CA"/>
        </w:rPr>
        <w:t xml:space="preserve"> (</w:t>
      </w:r>
      <w:r w:rsidR="00494A38" w:rsidRPr="00802AF9">
        <w:rPr>
          <w:lang w:val="fr-CA"/>
        </w:rPr>
        <w:t>PGEH</w:t>
      </w:r>
      <w:r w:rsidR="0029763D" w:rsidRPr="00802AF9">
        <w:rPr>
          <w:lang w:val="fr-CA"/>
        </w:rPr>
        <w:t xml:space="preserve">), </w:t>
      </w:r>
      <w:r>
        <w:rPr>
          <w:lang w:val="fr-CA"/>
        </w:rPr>
        <w:t>conformément à la</w:t>
      </w:r>
      <w:r w:rsidR="0029763D" w:rsidRPr="00802AF9">
        <w:rPr>
          <w:lang w:val="fr-CA"/>
        </w:rPr>
        <w:t xml:space="preserve"> </w:t>
      </w:r>
      <w:r w:rsidR="00494A38" w:rsidRPr="00802AF9">
        <w:rPr>
          <w:lang w:val="fr-CA"/>
        </w:rPr>
        <w:t>décision</w:t>
      </w:r>
      <w:r w:rsidR="0029763D" w:rsidRPr="00802AF9">
        <w:rPr>
          <w:lang w:val="fr-CA"/>
        </w:rPr>
        <w:t xml:space="preserve"> 84/68(d)(i). </w:t>
      </w:r>
    </w:p>
    <w:p w14:paraId="55D7B794" w14:textId="09E8B976" w:rsidR="0029763D" w:rsidRPr="00802AF9" w:rsidRDefault="000F1DD3" w:rsidP="0029763D">
      <w:pPr>
        <w:pStyle w:val="Heading1"/>
        <w:rPr>
          <w:lang w:val="fr-CA"/>
        </w:rPr>
      </w:pPr>
      <w:r>
        <w:rPr>
          <w:lang w:val="fr-CA"/>
        </w:rPr>
        <w:t xml:space="preserve">Les </w:t>
      </w:r>
      <w:r w:rsidR="0029763D" w:rsidRPr="00802AF9">
        <w:rPr>
          <w:lang w:val="fr-CA"/>
        </w:rPr>
        <w:t xml:space="preserve">24 </w:t>
      </w:r>
      <w:r>
        <w:rPr>
          <w:lang w:val="fr-CA"/>
        </w:rPr>
        <w:t xml:space="preserve">chaînes </w:t>
      </w:r>
      <w:r w:rsidR="00494A38" w:rsidRPr="00802AF9">
        <w:rPr>
          <w:lang w:val="fr-CA"/>
        </w:rPr>
        <w:t>R&amp;C</w:t>
      </w:r>
      <w:r w:rsidR="0029763D" w:rsidRPr="00802AF9">
        <w:rPr>
          <w:lang w:val="fr-CA"/>
        </w:rPr>
        <w:t xml:space="preserve"> </w:t>
      </w:r>
      <w:r>
        <w:rPr>
          <w:lang w:val="fr-CA"/>
        </w:rPr>
        <w:t xml:space="preserve">et trois chaînes de compresseurs utilisant le </w:t>
      </w:r>
      <w:r w:rsidR="0029763D" w:rsidRPr="00802AF9">
        <w:rPr>
          <w:lang w:val="fr-CA"/>
        </w:rPr>
        <w:t xml:space="preserve">HFCF-22 </w:t>
      </w:r>
      <w:r>
        <w:rPr>
          <w:lang w:val="fr-CA"/>
        </w:rPr>
        <w:t xml:space="preserve">comme frigorigène avaient été entièrement reconverties avec l’acceptation nationale au </w:t>
      </w:r>
      <w:r w:rsidR="0029763D" w:rsidRPr="00802AF9">
        <w:rPr>
          <w:lang w:val="fr-CA"/>
        </w:rPr>
        <w:t xml:space="preserve">R-290 (18 </w:t>
      </w:r>
      <w:r>
        <w:rPr>
          <w:lang w:val="fr-CA"/>
        </w:rPr>
        <w:t xml:space="preserve">chaînes </w:t>
      </w:r>
      <w:r w:rsidR="00494A38" w:rsidRPr="00802AF9">
        <w:rPr>
          <w:lang w:val="fr-CA"/>
        </w:rPr>
        <w:t>R&amp;C</w:t>
      </w:r>
      <w:r w:rsidR="0029763D" w:rsidRPr="00802AF9">
        <w:rPr>
          <w:lang w:val="fr-CA"/>
        </w:rPr>
        <w:t>)</w:t>
      </w:r>
      <w:r>
        <w:rPr>
          <w:lang w:val="fr-CA"/>
        </w:rPr>
        <w:t>, au</w:t>
      </w:r>
      <w:r w:rsidR="0029763D" w:rsidRPr="00802AF9">
        <w:rPr>
          <w:lang w:val="fr-CA"/>
        </w:rPr>
        <w:t xml:space="preserve"> R-410A (</w:t>
      </w:r>
      <w:r>
        <w:rPr>
          <w:lang w:val="fr-CA"/>
        </w:rPr>
        <w:t xml:space="preserve">huit chaînes </w:t>
      </w:r>
      <w:r w:rsidR="00494A38" w:rsidRPr="00802AF9">
        <w:rPr>
          <w:lang w:val="fr-CA"/>
        </w:rPr>
        <w:t>R&amp;C</w:t>
      </w:r>
      <w:r w:rsidR="0029763D" w:rsidRPr="00802AF9">
        <w:rPr>
          <w:lang w:val="fr-CA"/>
        </w:rPr>
        <w:t xml:space="preserve">) </w:t>
      </w:r>
      <w:r>
        <w:rPr>
          <w:lang w:val="fr-CA"/>
        </w:rPr>
        <w:t xml:space="preserve">et au </w:t>
      </w:r>
      <w:r w:rsidR="0029763D" w:rsidRPr="00802AF9">
        <w:rPr>
          <w:lang w:val="fr-CA"/>
        </w:rPr>
        <w:t>R</w:t>
      </w:r>
      <w:r w:rsidR="0029763D" w:rsidRPr="00802AF9">
        <w:rPr>
          <w:lang w:val="fr-CA"/>
        </w:rPr>
        <w:noBreakHyphen/>
        <w:t>290 (t</w:t>
      </w:r>
      <w:r>
        <w:rPr>
          <w:lang w:val="fr-CA"/>
        </w:rPr>
        <w:t>rois chaînes de compresseurs</w:t>
      </w:r>
      <w:r w:rsidR="0029763D" w:rsidRPr="00802AF9">
        <w:rPr>
          <w:lang w:val="fr-CA"/>
        </w:rPr>
        <w:t>)</w:t>
      </w:r>
      <w:r>
        <w:rPr>
          <w:lang w:val="fr-CA"/>
        </w:rPr>
        <w:t xml:space="preserve">, comme l’indique le </w:t>
      </w:r>
      <w:r w:rsidR="0029763D" w:rsidRPr="00802AF9">
        <w:rPr>
          <w:lang w:val="fr-CA"/>
        </w:rPr>
        <w:t>Table</w:t>
      </w:r>
      <w:r>
        <w:rPr>
          <w:lang w:val="fr-CA"/>
        </w:rPr>
        <w:t>au</w:t>
      </w:r>
      <w:r w:rsidR="0029763D" w:rsidRPr="00802AF9">
        <w:rPr>
          <w:lang w:val="fr-CA"/>
        </w:rPr>
        <w:t xml:space="preserve"> 1. </w:t>
      </w:r>
      <w:r>
        <w:rPr>
          <w:lang w:val="fr-CA"/>
        </w:rPr>
        <w:t xml:space="preserve">Sur les </w:t>
      </w:r>
      <w:r w:rsidR="0029763D" w:rsidRPr="00802AF9">
        <w:rPr>
          <w:lang w:val="fr-CA"/>
        </w:rPr>
        <w:t>10</w:t>
      </w:r>
      <w:r>
        <w:rPr>
          <w:lang w:val="fr-CA"/>
        </w:rPr>
        <w:t> </w:t>
      </w:r>
      <w:r w:rsidR="0029763D" w:rsidRPr="00802AF9">
        <w:rPr>
          <w:lang w:val="fr-CA"/>
        </w:rPr>
        <w:t>813</w:t>
      </w:r>
      <w:r>
        <w:rPr>
          <w:lang w:val="fr-CA"/>
        </w:rPr>
        <w:t>,</w:t>
      </w:r>
      <w:r w:rsidR="0029763D" w:rsidRPr="00802AF9">
        <w:rPr>
          <w:lang w:val="fr-CA"/>
        </w:rPr>
        <w:t>7 </w:t>
      </w:r>
      <w:r>
        <w:rPr>
          <w:lang w:val="fr-CA"/>
        </w:rPr>
        <w:t>t</w:t>
      </w:r>
      <w:r w:rsidR="0029763D" w:rsidRPr="00802AF9">
        <w:rPr>
          <w:lang w:val="fr-CA"/>
        </w:rPr>
        <w:t xml:space="preserve">m </w:t>
      </w:r>
      <w:r>
        <w:rPr>
          <w:lang w:val="fr-CA"/>
        </w:rPr>
        <w:t xml:space="preserve">de </w:t>
      </w:r>
      <w:r w:rsidR="0029763D" w:rsidRPr="00802AF9">
        <w:rPr>
          <w:lang w:val="fr-CA"/>
        </w:rPr>
        <w:t>HCFC</w:t>
      </w:r>
      <w:r w:rsidR="0029763D" w:rsidRPr="00802AF9">
        <w:rPr>
          <w:lang w:val="fr-CA"/>
        </w:rPr>
        <w:noBreakHyphen/>
        <w:t xml:space="preserve">22 </w:t>
      </w:r>
      <w:r>
        <w:rPr>
          <w:lang w:val="fr-CA"/>
        </w:rPr>
        <w:t>éliminées grâce à la re</w:t>
      </w:r>
      <w:r w:rsidR="0029763D" w:rsidRPr="00802AF9">
        <w:rPr>
          <w:lang w:val="fr-CA"/>
        </w:rPr>
        <w:t xml:space="preserve">conversion </w:t>
      </w:r>
      <w:r>
        <w:rPr>
          <w:lang w:val="fr-CA"/>
        </w:rPr>
        <w:t>de ces chaînes</w:t>
      </w:r>
      <w:r w:rsidR="0029763D" w:rsidRPr="00802AF9">
        <w:rPr>
          <w:lang w:val="fr-CA"/>
        </w:rPr>
        <w:t>, 325</w:t>
      </w:r>
      <w:r>
        <w:rPr>
          <w:lang w:val="fr-CA"/>
        </w:rPr>
        <w:t>,</w:t>
      </w:r>
      <w:r w:rsidR="0029763D" w:rsidRPr="00802AF9">
        <w:rPr>
          <w:lang w:val="fr-CA"/>
        </w:rPr>
        <w:t>6 </w:t>
      </w:r>
      <w:r>
        <w:rPr>
          <w:lang w:val="fr-CA"/>
        </w:rPr>
        <w:t>t</w:t>
      </w:r>
      <w:r w:rsidR="0029763D" w:rsidRPr="00802AF9">
        <w:rPr>
          <w:lang w:val="fr-CA"/>
        </w:rPr>
        <w:t xml:space="preserve">m </w:t>
      </w:r>
      <w:r>
        <w:rPr>
          <w:lang w:val="fr-CA"/>
        </w:rPr>
        <w:t xml:space="preserve">étaient liées à des </w:t>
      </w:r>
      <w:r w:rsidR="00C816AC">
        <w:rPr>
          <w:lang w:val="fr-CA"/>
        </w:rPr>
        <w:t>entreprise</w:t>
      </w:r>
      <w:r w:rsidR="0029763D" w:rsidRPr="00802AF9">
        <w:rPr>
          <w:lang w:val="fr-CA"/>
        </w:rPr>
        <w:t xml:space="preserve">s </w:t>
      </w:r>
      <w:r>
        <w:rPr>
          <w:lang w:val="fr-CA"/>
        </w:rPr>
        <w:t>appartenant à des pays non visés à l’A</w:t>
      </w:r>
      <w:r w:rsidR="0029763D" w:rsidRPr="00802AF9">
        <w:rPr>
          <w:lang w:val="fr-CA"/>
        </w:rPr>
        <w:t xml:space="preserve">rticle 5 </w:t>
      </w:r>
      <w:r>
        <w:rPr>
          <w:lang w:val="fr-CA"/>
        </w:rPr>
        <w:t xml:space="preserve">et étaient financées par des </w:t>
      </w:r>
      <w:r w:rsidR="0029763D" w:rsidRPr="00802AF9">
        <w:rPr>
          <w:lang w:val="fr-CA"/>
        </w:rPr>
        <w:t xml:space="preserve">sources </w:t>
      </w:r>
      <w:r>
        <w:rPr>
          <w:lang w:val="fr-CA"/>
        </w:rPr>
        <w:t xml:space="preserve">externes au </w:t>
      </w:r>
      <w:r w:rsidR="00825570" w:rsidRPr="00802AF9">
        <w:rPr>
          <w:lang w:val="fr-CA"/>
        </w:rPr>
        <w:t>Fonds multilatéral</w:t>
      </w:r>
      <w:r w:rsidR="0029763D" w:rsidRPr="00802AF9">
        <w:rPr>
          <w:lang w:val="fr-CA"/>
        </w:rPr>
        <w:t xml:space="preserve">. </w:t>
      </w:r>
      <w:r>
        <w:rPr>
          <w:lang w:val="fr-CA"/>
        </w:rPr>
        <w:t xml:space="preserve">Par ailleurs, </w:t>
      </w:r>
      <w:r w:rsidR="0029763D" w:rsidRPr="00802AF9">
        <w:rPr>
          <w:lang w:val="fr-CA"/>
        </w:rPr>
        <w:t>240 </w:t>
      </w:r>
      <w:r>
        <w:rPr>
          <w:lang w:val="fr-CA"/>
        </w:rPr>
        <w:t>t</w:t>
      </w:r>
      <w:r w:rsidR="0029763D" w:rsidRPr="00802AF9">
        <w:rPr>
          <w:lang w:val="fr-CA"/>
        </w:rPr>
        <w:t xml:space="preserve">m </w:t>
      </w:r>
      <w:r>
        <w:rPr>
          <w:lang w:val="fr-CA"/>
        </w:rPr>
        <w:t xml:space="preserve">de </w:t>
      </w:r>
      <w:r w:rsidR="0029763D" w:rsidRPr="00802AF9">
        <w:rPr>
          <w:lang w:val="fr-CA"/>
        </w:rPr>
        <w:t xml:space="preserve">HCFC-22 </w:t>
      </w:r>
      <w:r>
        <w:rPr>
          <w:lang w:val="fr-CA"/>
        </w:rPr>
        <w:t xml:space="preserve">ont été éliminées par le projet de </w:t>
      </w:r>
      <w:r w:rsidR="0029763D" w:rsidRPr="00802AF9">
        <w:rPr>
          <w:lang w:val="fr-CA"/>
        </w:rPr>
        <w:t>d</w:t>
      </w:r>
      <w:r>
        <w:rPr>
          <w:lang w:val="fr-CA"/>
        </w:rPr>
        <w:t>é</w:t>
      </w:r>
      <w:r w:rsidR="0029763D" w:rsidRPr="00802AF9">
        <w:rPr>
          <w:lang w:val="fr-CA"/>
        </w:rPr>
        <w:t xml:space="preserve">monstration </w:t>
      </w:r>
      <w:r>
        <w:rPr>
          <w:lang w:val="fr-CA"/>
        </w:rPr>
        <w:t xml:space="preserve">approuvé à la </w:t>
      </w:r>
      <w:r w:rsidR="0029763D" w:rsidRPr="00802AF9">
        <w:rPr>
          <w:lang w:val="fr-CA"/>
        </w:rPr>
        <w:t>61</w:t>
      </w:r>
      <w:r>
        <w:rPr>
          <w:vertAlign w:val="superscript"/>
          <w:lang w:val="fr-CA"/>
        </w:rPr>
        <w:t>e</w:t>
      </w:r>
      <w:r w:rsidR="0029763D" w:rsidRPr="00802AF9">
        <w:rPr>
          <w:lang w:val="fr-CA"/>
        </w:rPr>
        <w:t> </w:t>
      </w:r>
      <w:r w:rsidR="0014063A" w:rsidRPr="00802AF9">
        <w:rPr>
          <w:lang w:val="fr-CA"/>
        </w:rPr>
        <w:t>réunion</w:t>
      </w:r>
      <w:r w:rsidR="0029763D" w:rsidRPr="00802AF9">
        <w:rPr>
          <w:lang w:val="fr-CA"/>
        </w:rPr>
        <w:t>.</w:t>
      </w:r>
    </w:p>
    <w:p w14:paraId="4FAA9C61" w14:textId="083BDFE4" w:rsidR="0029763D" w:rsidRPr="00802AF9" w:rsidRDefault="0029763D" w:rsidP="0029763D">
      <w:pPr>
        <w:rPr>
          <w:b/>
          <w:lang w:val="fr-CA"/>
        </w:rPr>
      </w:pPr>
      <w:r w:rsidRPr="00802AF9">
        <w:rPr>
          <w:b/>
          <w:lang w:val="fr-CA"/>
        </w:rPr>
        <w:t>Table</w:t>
      </w:r>
      <w:r w:rsidR="000F1DD3">
        <w:rPr>
          <w:b/>
          <w:lang w:val="fr-CA"/>
        </w:rPr>
        <w:t>au</w:t>
      </w:r>
      <w:r w:rsidRPr="00802AF9">
        <w:rPr>
          <w:b/>
          <w:lang w:val="fr-CA"/>
        </w:rPr>
        <w:t xml:space="preserve"> 1. </w:t>
      </w:r>
      <w:r w:rsidR="001E34A3">
        <w:rPr>
          <w:b/>
          <w:lang w:val="fr-CA"/>
        </w:rPr>
        <w:t xml:space="preserve">Progrès dans la mise en œuvre du plan sectoriel </w:t>
      </w:r>
      <w:r w:rsidR="00494A38" w:rsidRPr="00802AF9">
        <w:rPr>
          <w:b/>
          <w:lang w:val="fr-CA"/>
        </w:rPr>
        <w:t>R&amp;C</w:t>
      </w:r>
      <w:r w:rsidRPr="00802AF9">
        <w:rPr>
          <w:b/>
          <w:lang w:val="fr-CA"/>
        </w:rPr>
        <w:t xml:space="preserve"> </w:t>
      </w:r>
      <w:r w:rsidR="001E34A3">
        <w:rPr>
          <w:b/>
          <w:lang w:val="fr-CA"/>
        </w:rPr>
        <w:t>e</w:t>
      </w:r>
      <w:r w:rsidRPr="00802AF9">
        <w:rPr>
          <w:b/>
          <w:lang w:val="fr-CA"/>
        </w:rPr>
        <w:t xml:space="preserve">n </w:t>
      </w:r>
      <w:r w:rsidR="00494A38" w:rsidRPr="00802AF9">
        <w:rPr>
          <w:b/>
          <w:lang w:val="fr-CA"/>
        </w:rPr>
        <w:t>Chine</w:t>
      </w:r>
    </w:p>
    <w:tbl>
      <w:tblPr>
        <w:tblW w:w="5053" w:type="pct"/>
        <w:tblInd w:w="-5" w:type="dxa"/>
        <w:tblLook w:val="04A0" w:firstRow="1" w:lastRow="0" w:firstColumn="1" w:lastColumn="0" w:noHBand="0" w:noVBand="1"/>
      </w:tblPr>
      <w:tblGrid>
        <w:gridCol w:w="2320"/>
        <w:gridCol w:w="1783"/>
        <w:gridCol w:w="1782"/>
        <w:gridCol w:w="1782"/>
        <w:gridCol w:w="1782"/>
      </w:tblGrid>
      <w:tr w:rsidR="0029763D" w:rsidRPr="00802AF9" w14:paraId="4003CE63" w14:textId="77777777" w:rsidTr="003F073E">
        <w:trPr>
          <w:trHeight w:val="179"/>
        </w:trPr>
        <w:tc>
          <w:tcPr>
            <w:tcW w:w="122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F3E197E" w14:textId="71641C58" w:rsidR="0029763D" w:rsidRPr="00802AF9" w:rsidRDefault="0029763D" w:rsidP="003F073E">
            <w:pPr>
              <w:jc w:val="left"/>
              <w:rPr>
                <w:b/>
                <w:bCs/>
                <w:color w:val="000000"/>
                <w:sz w:val="20"/>
                <w:szCs w:val="20"/>
                <w:lang w:val="fr-CA"/>
              </w:rPr>
            </w:pPr>
            <w:r w:rsidRPr="00802AF9">
              <w:rPr>
                <w:b/>
                <w:bCs/>
                <w:color w:val="000000"/>
                <w:sz w:val="20"/>
                <w:szCs w:val="20"/>
                <w:lang w:val="fr-CA"/>
              </w:rPr>
              <w:t xml:space="preserve">Type </w:t>
            </w:r>
            <w:r w:rsidR="001E34A3">
              <w:rPr>
                <w:b/>
                <w:bCs/>
                <w:color w:val="000000"/>
                <w:sz w:val="20"/>
                <w:szCs w:val="20"/>
                <w:lang w:val="fr-CA"/>
              </w:rPr>
              <w:t>de chaîn</w:t>
            </w:r>
            <w:r w:rsidRPr="00802AF9">
              <w:rPr>
                <w:b/>
                <w:bCs/>
                <w:color w:val="000000"/>
                <w:sz w:val="20"/>
                <w:szCs w:val="20"/>
                <w:lang w:val="fr-CA"/>
              </w:rPr>
              <w:t>es</w:t>
            </w:r>
          </w:p>
        </w:tc>
        <w:tc>
          <w:tcPr>
            <w:tcW w:w="943" w:type="pct"/>
            <w:tcBorders>
              <w:top w:val="single" w:sz="4" w:space="0" w:color="000000"/>
              <w:left w:val="single" w:sz="4" w:space="0" w:color="000000"/>
              <w:bottom w:val="single" w:sz="4" w:space="0" w:color="000000"/>
              <w:right w:val="single" w:sz="4" w:space="0" w:color="000000"/>
            </w:tcBorders>
            <w:vAlign w:val="center"/>
          </w:tcPr>
          <w:p w14:paraId="6C64D1F5" w14:textId="77777777" w:rsidR="0029763D" w:rsidRPr="00802AF9" w:rsidRDefault="0029763D" w:rsidP="003F073E">
            <w:pPr>
              <w:jc w:val="center"/>
              <w:rPr>
                <w:b/>
                <w:bCs/>
                <w:color w:val="000000"/>
                <w:sz w:val="20"/>
                <w:szCs w:val="20"/>
                <w:lang w:val="fr-CA"/>
              </w:rPr>
            </w:pPr>
            <w:r w:rsidRPr="00802AF9">
              <w:rPr>
                <w:b/>
                <w:bCs/>
                <w:color w:val="000000"/>
                <w:sz w:val="20"/>
                <w:szCs w:val="20"/>
                <w:lang w:val="fr-CA"/>
              </w:rPr>
              <w:t>Total</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7A660" w14:textId="011C85B2" w:rsidR="0029763D" w:rsidRPr="00802AF9" w:rsidRDefault="001E34A3" w:rsidP="003F073E">
            <w:pPr>
              <w:jc w:val="center"/>
              <w:rPr>
                <w:b/>
                <w:bCs/>
                <w:color w:val="000000"/>
                <w:sz w:val="20"/>
                <w:szCs w:val="20"/>
                <w:lang w:val="fr-CA"/>
              </w:rPr>
            </w:pPr>
            <w:r>
              <w:rPr>
                <w:b/>
                <w:bCs/>
                <w:color w:val="000000"/>
                <w:sz w:val="20"/>
                <w:szCs w:val="20"/>
                <w:lang w:val="fr-CA"/>
              </w:rPr>
              <w:t>Reconverties</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6B32D" w14:textId="2BEB5A13" w:rsidR="0029763D" w:rsidRPr="00802AF9" w:rsidRDefault="001E34A3" w:rsidP="003F073E">
            <w:pPr>
              <w:jc w:val="center"/>
              <w:rPr>
                <w:b/>
                <w:bCs/>
                <w:color w:val="000000"/>
                <w:sz w:val="20"/>
                <w:szCs w:val="20"/>
                <w:lang w:val="fr-CA"/>
              </w:rPr>
            </w:pPr>
            <w:r>
              <w:rPr>
                <w:b/>
                <w:bCs/>
                <w:color w:val="000000"/>
                <w:sz w:val="20"/>
                <w:szCs w:val="20"/>
                <w:lang w:val="fr-CA"/>
              </w:rPr>
              <w:t>Acceptation nationale</w:t>
            </w:r>
          </w:p>
        </w:tc>
        <w:tc>
          <w:tcPr>
            <w:tcW w:w="943" w:type="pct"/>
            <w:tcBorders>
              <w:top w:val="single" w:sz="4" w:space="0" w:color="000000"/>
              <w:left w:val="single" w:sz="4" w:space="0" w:color="000000"/>
              <w:bottom w:val="single" w:sz="4" w:space="0" w:color="000000"/>
              <w:right w:val="single" w:sz="4" w:space="0" w:color="000000"/>
            </w:tcBorders>
            <w:shd w:val="clear" w:color="auto" w:fill="auto"/>
            <w:hideMark/>
          </w:tcPr>
          <w:p w14:paraId="3FE49A64" w14:textId="2CAFC3B7" w:rsidR="0029763D" w:rsidRPr="00802AF9" w:rsidRDefault="001E34A3" w:rsidP="003F073E">
            <w:pPr>
              <w:jc w:val="center"/>
              <w:rPr>
                <w:b/>
                <w:bCs/>
                <w:color w:val="000000"/>
                <w:sz w:val="20"/>
                <w:szCs w:val="20"/>
                <w:lang w:val="fr-CA"/>
              </w:rPr>
            </w:pPr>
            <w:r>
              <w:rPr>
                <w:b/>
                <w:bCs/>
                <w:color w:val="000000"/>
                <w:sz w:val="20"/>
                <w:szCs w:val="20"/>
                <w:lang w:val="fr-CA"/>
              </w:rPr>
              <w:t xml:space="preserve">Consommation de </w:t>
            </w:r>
            <w:r w:rsidR="0029763D" w:rsidRPr="00802AF9">
              <w:rPr>
                <w:b/>
                <w:bCs/>
                <w:color w:val="000000"/>
                <w:sz w:val="20"/>
                <w:szCs w:val="20"/>
                <w:lang w:val="fr-CA"/>
              </w:rPr>
              <w:t>HCFC-22 (</w:t>
            </w:r>
            <w:r>
              <w:rPr>
                <w:b/>
                <w:bCs/>
                <w:color w:val="000000"/>
                <w:sz w:val="20"/>
                <w:szCs w:val="20"/>
                <w:lang w:val="fr-CA"/>
              </w:rPr>
              <w:t>t</w:t>
            </w:r>
            <w:r w:rsidR="0029763D" w:rsidRPr="00802AF9">
              <w:rPr>
                <w:b/>
                <w:bCs/>
                <w:color w:val="000000"/>
                <w:sz w:val="20"/>
                <w:szCs w:val="20"/>
                <w:lang w:val="fr-CA"/>
              </w:rPr>
              <w:t>m)</w:t>
            </w:r>
          </w:p>
        </w:tc>
      </w:tr>
      <w:tr w:rsidR="0029763D" w:rsidRPr="00802AF9" w14:paraId="28E5D144" w14:textId="77777777" w:rsidTr="003F073E">
        <w:trPr>
          <w:trHeight w:val="50"/>
        </w:trPr>
        <w:tc>
          <w:tcPr>
            <w:tcW w:w="1227" w:type="pct"/>
            <w:tcBorders>
              <w:top w:val="nil"/>
              <w:left w:val="single" w:sz="4" w:space="0" w:color="auto"/>
              <w:bottom w:val="single" w:sz="4" w:space="0" w:color="auto"/>
              <w:right w:val="single" w:sz="4" w:space="0" w:color="000000"/>
            </w:tcBorders>
            <w:shd w:val="clear" w:color="auto" w:fill="auto"/>
            <w:hideMark/>
          </w:tcPr>
          <w:p w14:paraId="6D11808E" w14:textId="4398CAFD" w:rsidR="0029763D" w:rsidRPr="00802AF9" w:rsidRDefault="000852F2" w:rsidP="003F073E">
            <w:pPr>
              <w:jc w:val="left"/>
              <w:rPr>
                <w:bCs/>
                <w:sz w:val="20"/>
                <w:szCs w:val="20"/>
                <w:lang w:val="fr-CA"/>
              </w:rPr>
            </w:pPr>
            <w:r>
              <w:rPr>
                <w:sz w:val="20"/>
                <w:szCs w:val="20"/>
                <w:lang w:val="fr-CA" w:eastAsia="zh-CN"/>
              </w:rPr>
              <w:t xml:space="preserve">R&amp;C à base de </w:t>
            </w:r>
            <w:r w:rsidR="0029763D" w:rsidRPr="00802AF9">
              <w:rPr>
                <w:sz w:val="20"/>
                <w:szCs w:val="20"/>
                <w:lang w:val="fr-CA" w:eastAsia="zh-CN"/>
              </w:rPr>
              <w:t>R-290</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14:paraId="537DCA8F" w14:textId="77777777" w:rsidR="0029763D" w:rsidRPr="00802AF9" w:rsidRDefault="0029763D" w:rsidP="003F073E">
            <w:pPr>
              <w:jc w:val="right"/>
              <w:rPr>
                <w:bCs/>
                <w:sz w:val="20"/>
                <w:szCs w:val="20"/>
                <w:lang w:val="fr-CA"/>
              </w:rPr>
            </w:pPr>
            <w:r w:rsidRPr="00802AF9">
              <w:rPr>
                <w:bCs/>
                <w:sz w:val="20"/>
                <w:szCs w:val="20"/>
                <w:lang w:val="fr-CA"/>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14:paraId="1BD0BD46" w14:textId="77777777" w:rsidR="0029763D" w:rsidRPr="00802AF9" w:rsidRDefault="0029763D" w:rsidP="003F073E">
            <w:pPr>
              <w:jc w:val="right"/>
              <w:rPr>
                <w:sz w:val="20"/>
                <w:szCs w:val="20"/>
                <w:lang w:val="fr-CA"/>
              </w:rPr>
            </w:pPr>
            <w:r w:rsidRPr="00802AF9">
              <w:rPr>
                <w:sz w:val="20"/>
                <w:szCs w:val="20"/>
                <w:lang w:val="fr-CA"/>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14:paraId="31F9DA6E" w14:textId="77777777" w:rsidR="0029763D" w:rsidRPr="00802AF9" w:rsidRDefault="0029763D" w:rsidP="003F073E">
            <w:pPr>
              <w:jc w:val="right"/>
              <w:rPr>
                <w:bCs/>
                <w:sz w:val="20"/>
                <w:szCs w:val="20"/>
                <w:lang w:val="fr-CA"/>
              </w:rPr>
            </w:pPr>
            <w:r w:rsidRPr="00802AF9">
              <w:rPr>
                <w:bCs/>
                <w:sz w:val="20"/>
                <w:szCs w:val="20"/>
                <w:lang w:val="fr-CA"/>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hideMark/>
          </w:tcPr>
          <w:p w14:paraId="593D8A0C" w14:textId="0A37E226" w:rsidR="0029763D" w:rsidRPr="00802AF9" w:rsidRDefault="0029763D" w:rsidP="003F073E">
            <w:pPr>
              <w:jc w:val="right"/>
              <w:rPr>
                <w:bCs/>
                <w:sz w:val="20"/>
                <w:szCs w:val="20"/>
                <w:lang w:val="fr-CA"/>
              </w:rPr>
            </w:pPr>
            <w:r w:rsidRPr="00802AF9">
              <w:rPr>
                <w:bCs/>
                <w:sz w:val="20"/>
                <w:szCs w:val="20"/>
                <w:lang w:val="fr-CA"/>
              </w:rPr>
              <w:t>7</w:t>
            </w:r>
            <w:r w:rsidR="001E34A3">
              <w:rPr>
                <w:bCs/>
                <w:sz w:val="20"/>
                <w:szCs w:val="20"/>
                <w:lang w:val="fr-CA"/>
              </w:rPr>
              <w:t> </w:t>
            </w:r>
            <w:r w:rsidRPr="00802AF9">
              <w:rPr>
                <w:bCs/>
                <w:sz w:val="20"/>
                <w:szCs w:val="20"/>
                <w:lang w:val="fr-CA"/>
              </w:rPr>
              <w:t>827</w:t>
            </w:r>
            <w:r w:rsidR="000852F2">
              <w:rPr>
                <w:bCs/>
                <w:sz w:val="20"/>
                <w:szCs w:val="20"/>
                <w:lang w:val="fr-CA"/>
              </w:rPr>
              <w:t>,</w:t>
            </w:r>
            <w:r w:rsidRPr="00802AF9">
              <w:rPr>
                <w:bCs/>
                <w:sz w:val="20"/>
                <w:szCs w:val="20"/>
                <w:lang w:val="fr-CA"/>
              </w:rPr>
              <w:t>3</w:t>
            </w:r>
          </w:p>
        </w:tc>
      </w:tr>
      <w:tr w:rsidR="0029763D" w:rsidRPr="00802AF9" w14:paraId="303AD7EB" w14:textId="77777777" w:rsidTr="003F073E">
        <w:trPr>
          <w:trHeight w:val="50"/>
        </w:trPr>
        <w:tc>
          <w:tcPr>
            <w:tcW w:w="1227" w:type="pct"/>
            <w:tcBorders>
              <w:top w:val="nil"/>
              <w:left w:val="single" w:sz="4" w:space="0" w:color="auto"/>
              <w:bottom w:val="single" w:sz="4" w:space="0" w:color="auto"/>
              <w:right w:val="single" w:sz="4" w:space="0" w:color="000000"/>
            </w:tcBorders>
            <w:shd w:val="clear" w:color="auto" w:fill="auto"/>
            <w:hideMark/>
          </w:tcPr>
          <w:p w14:paraId="1399EE8E" w14:textId="69070CC5" w:rsidR="0029763D" w:rsidRPr="00802AF9" w:rsidRDefault="000852F2" w:rsidP="003F073E">
            <w:pPr>
              <w:jc w:val="left"/>
              <w:rPr>
                <w:sz w:val="20"/>
                <w:szCs w:val="20"/>
                <w:lang w:val="fr-CA"/>
              </w:rPr>
            </w:pPr>
            <w:r>
              <w:rPr>
                <w:sz w:val="20"/>
                <w:szCs w:val="20"/>
                <w:lang w:val="fr-CA" w:eastAsia="zh-CN"/>
              </w:rPr>
              <w:t xml:space="preserve">R&amp;C à base de </w:t>
            </w:r>
            <w:r w:rsidR="0029763D" w:rsidRPr="00802AF9">
              <w:rPr>
                <w:sz w:val="20"/>
                <w:szCs w:val="20"/>
                <w:lang w:val="fr-CA" w:eastAsia="zh-CN"/>
              </w:rPr>
              <w:t xml:space="preserve">R-410A </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14:paraId="136170B1" w14:textId="77777777" w:rsidR="0029763D" w:rsidRPr="00802AF9" w:rsidRDefault="0029763D" w:rsidP="003F073E">
            <w:pPr>
              <w:jc w:val="right"/>
              <w:rPr>
                <w:sz w:val="20"/>
                <w:szCs w:val="20"/>
                <w:lang w:val="fr-CA"/>
              </w:rPr>
            </w:pPr>
            <w:r w:rsidRPr="00802AF9">
              <w:rPr>
                <w:sz w:val="20"/>
                <w:szCs w:val="20"/>
                <w:lang w:val="fr-CA"/>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14:paraId="1C2CE522" w14:textId="77777777" w:rsidR="0029763D" w:rsidRPr="00802AF9" w:rsidRDefault="0029763D" w:rsidP="003F073E">
            <w:pPr>
              <w:jc w:val="right"/>
              <w:rPr>
                <w:sz w:val="20"/>
                <w:szCs w:val="20"/>
                <w:lang w:val="fr-CA"/>
              </w:rPr>
            </w:pPr>
            <w:r w:rsidRPr="00802AF9">
              <w:rPr>
                <w:sz w:val="20"/>
                <w:szCs w:val="20"/>
                <w:lang w:val="fr-CA"/>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14:paraId="015F10FD" w14:textId="77777777" w:rsidR="0029763D" w:rsidRPr="00802AF9" w:rsidRDefault="0029763D" w:rsidP="003F073E">
            <w:pPr>
              <w:jc w:val="right"/>
              <w:rPr>
                <w:sz w:val="20"/>
                <w:szCs w:val="20"/>
                <w:lang w:val="fr-CA"/>
              </w:rPr>
            </w:pPr>
            <w:r w:rsidRPr="00802AF9">
              <w:rPr>
                <w:sz w:val="20"/>
                <w:szCs w:val="20"/>
                <w:lang w:val="fr-CA"/>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tcPr>
          <w:p w14:paraId="371B5FE6" w14:textId="106DAB1E" w:rsidR="0029763D" w:rsidRPr="00802AF9" w:rsidRDefault="0029763D" w:rsidP="003F073E">
            <w:pPr>
              <w:jc w:val="right"/>
              <w:rPr>
                <w:sz w:val="20"/>
                <w:szCs w:val="20"/>
                <w:lang w:val="fr-CA"/>
              </w:rPr>
            </w:pPr>
            <w:r w:rsidRPr="00802AF9">
              <w:rPr>
                <w:sz w:val="20"/>
                <w:szCs w:val="20"/>
                <w:lang w:val="fr-CA"/>
              </w:rPr>
              <w:t>2</w:t>
            </w:r>
            <w:r w:rsidR="001E34A3">
              <w:rPr>
                <w:sz w:val="20"/>
                <w:szCs w:val="20"/>
                <w:lang w:val="fr-CA"/>
              </w:rPr>
              <w:t> </w:t>
            </w:r>
            <w:r w:rsidRPr="00802AF9">
              <w:rPr>
                <w:sz w:val="20"/>
                <w:szCs w:val="20"/>
                <w:lang w:val="fr-CA"/>
              </w:rPr>
              <w:t>986</w:t>
            </w:r>
            <w:r w:rsidR="000852F2">
              <w:rPr>
                <w:sz w:val="20"/>
                <w:szCs w:val="20"/>
                <w:lang w:val="fr-CA"/>
              </w:rPr>
              <w:t>,</w:t>
            </w:r>
            <w:r w:rsidRPr="00802AF9">
              <w:rPr>
                <w:sz w:val="20"/>
                <w:szCs w:val="20"/>
                <w:lang w:val="fr-CA"/>
              </w:rPr>
              <w:t>4</w:t>
            </w:r>
          </w:p>
        </w:tc>
      </w:tr>
      <w:tr w:rsidR="0029763D" w:rsidRPr="00802AF9" w14:paraId="608A1A0D" w14:textId="77777777" w:rsidTr="003F073E">
        <w:trPr>
          <w:trHeight w:val="50"/>
        </w:trPr>
        <w:tc>
          <w:tcPr>
            <w:tcW w:w="1227" w:type="pct"/>
            <w:tcBorders>
              <w:top w:val="nil"/>
              <w:left w:val="single" w:sz="4" w:space="0" w:color="auto"/>
              <w:bottom w:val="single" w:sz="4" w:space="0" w:color="auto"/>
              <w:right w:val="single" w:sz="4" w:space="0" w:color="000000"/>
            </w:tcBorders>
            <w:shd w:val="clear" w:color="auto" w:fill="auto"/>
            <w:hideMark/>
          </w:tcPr>
          <w:p w14:paraId="5C7A1DBF" w14:textId="17B9E018" w:rsidR="0029763D" w:rsidRPr="00802AF9" w:rsidRDefault="000852F2" w:rsidP="003F073E">
            <w:pPr>
              <w:jc w:val="left"/>
              <w:rPr>
                <w:bCs/>
                <w:sz w:val="20"/>
                <w:szCs w:val="20"/>
                <w:lang w:val="fr-CA"/>
              </w:rPr>
            </w:pPr>
            <w:r>
              <w:rPr>
                <w:sz w:val="20"/>
                <w:szCs w:val="20"/>
                <w:lang w:val="fr-CA" w:eastAsia="zh-CN"/>
              </w:rPr>
              <w:t xml:space="preserve">Compresseurs à base de </w:t>
            </w:r>
            <w:r w:rsidR="0029763D" w:rsidRPr="00802AF9">
              <w:rPr>
                <w:sz w:val="20"/>
                <w:szCs w:val="20"/>
                <w:lang w:val="fr-CA" w:eastAsia="zh-CN"/>
              </w:rPr>
              <w:t xml:space="preserve">R-290 </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14:paraId="53D41E3F" w14:textId="77777777" w:rsidR="0029763D" w:rsidRPr="00802AF9" w:rsidRDefault="0029763D" w:rsidP="003F073E">
            <w:pPr>
              <w:jc w:val="right"/>
              <w:rPr>
                <w:bCs/>
                <w:sz w:val="20"/>
                <w:szCs w:val="20"/>
                <w:lang w:val="fr-CA"/>
              </w:rPr>
            </w:pPr>
            <w:r w:rsidRPr="00802AF9">
              <w:rPr>
                <w:bCs/>
                <w:sz w:val="20"/>
                <w:szCs w:val="20"/>
                <w:lang w:val="fr-CA"/>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14:paraId="0B994C61" w14:textId="77777777" w:rsidR="0029763D" w:rsidRPr="00802AF9" w:rsidRDefault="0029763D" w:rsidP="003F073E">
            <w:pPr>
              <w:jc w:val="right"/>
              <w:rPr>
                <w:bCs/>
                <w:sz w:val="20"/>
                <w:szCs w:val="20"/>
                <w:lang w:val="fr-CA"/>
              </w:rPr>
            </w:pPr>
            <w:r w:rsidRPr="00802AF9">
              <w:rPr>
                <w:bCs/>
                <w:sz w:val="20"/>
                <w:szCs w:val="20"/>
                <w:lang w:val="fr-CA"/>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vAlign w:val="center"/>
            <w:hideMark/>
          </w:tcPr>
          <w:p w14:paraId="1313D186" w14:textId="77777777" w:rsidR="0029763D" w:rsidRPr="00802AF9" w:rsidRDefault="0029763D" w:rsidP="003F073E">
            <w:pPr>
              <w:jc w:val="right"/>
              <w:rPr>
                <w:bCs/>
                <w:sz w:val="20"/>
                <w:szCs w:val="20"/>
                <w:lang w:val="fr-CA"/>
              </w:rPr>
            </w:pPr>
            <w:r w:rsidRPr="00802AF9">
              <w:rPr>
                <w:bCs/>
                <w:sz w:val="20"/>
                <w:szCs w:val="20"/>
                <w:lang w:val="fr-CA"/>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left w:w="115" w:type="dxa"/>
              <w:right w:w="216" w:type="dxa"/>
            </w:tcMar>
            <w:hideMark/>
          </w:tcPr>
          <w:p w14:paraId="7A59C290" w14:textId="0A2F8C9C" w:rsidR="0029763D" w:rsidRPr="00802AF9" w:rsidRDefault="00494A38" w:rsidP="003F073E">
            <w:pPr>
              <w:jc w:val="right"/>
              <w:rPr>
                <w:sz w:val="20"/>
                <w:szCs w:val="20"/>
                <w:lang w:val="fr-CA"/>
              </w:rPr>
            </w:pPr>
            <w:r w:rsidRPr="00802AF9">
              <w:rPr>
                <w:sz w:val="20"/>
                <w:szCs w:val="20"/>
                <w:lang w:val="fr-CA"/>
              </w:rPr>
              <w:t>n/d</w:t>
            </w:r>
          </w:p>
        </w:tc>
      </w:tr>
      <w:tr w:rsidR="0029763D" w:rsidRPr="00802AF9" w14:paraId="528F8DE7" w14:textId="77777777" w:rsidTr="003F073E">
        <w:trPr>
          <w:trHeight w:val="50"/>
        </w:trPr>
        <w:tc>
          <w:tcPr>
            <w:tcW w:w="1227" w:type="pct"/>
            <w:tcBorders>
              <w:top w:val="nil"/>
              <w:left w:val="single" w:sz="4" w:space="0" w:color="auto"/>
              <w:bottom w:val="single" w:sz="4" w:space="0" w:color="auto"/>
              <w:right w:val="single" w:sz="4" w:space="0" w:color="000000"/>
            </w:tcBorders>
            <w:shd w:val="clear" w:color="auto" w:fill="auto"/>
            <w:noWrap/>
            <w:hideMark/>
          </w:tcPr>
          <w:p w14:paraId="2D165BC9" w14:textId="77777777" w:rsidR="0029763D" w:rsidRPr="00802AF9" w:rsidRDefault="0029763D" w:rsidP="003F073E">
            <w:pPr>
              <w:jc w:val="left"/>
              <w:rPr>
                <w:b/>
                <w:bCs/>
                <w:sz w:val="20"/>
                <w:szCs w:val="20"/>
                <w:lang w:val="fr-CA"/>
              </w:rPr>
            </w:pPr>
            <w:r w:rsidRPr="00802AF9">
              <w:rPr>
                <w:b/>
                <w:sz w:val="20"/>
                <w:szCs w:val="20"/>
                <w:lang w:val="fr-CA"/>
              </w:rPr>
              <w:t>Total</w:t>
            </w:r>
          </w:p>
        </w:tc>
        <w:tc>
          <w:tcPr>
            <w:tcW w:w="943" w:type="pct"/>
            <w:tcBorders>
              <w:top w:val="single" w:sz="4" w:space="0" w:color="000000"/>
              <w:left w:val="single" w:sz="4" w:space="0" w:color="000000"/>
              <w:bottom w:val="single" w:sz="4" w:space="0" w:color="000000"/>
              <w:right w:val="single" w:sz="4" w:space="0" w:color="000000"/>
            </w:tcBorders>
            <w:tcMar>
              <w:left w:w="115" w:type="dxa"/>
              <w:right w:w="216" w:type="dxa"/>
            </w:tcMar>
            <w:vAlign w:val="center"/>
          </w:tcPr>
          <w:p w14:paraId="4DCBF98C" w14:textId="77777777" w:rsidR="0029763D" w:rsidRPr="00802AF9" w:rsidRDefault="0029763D" w:rsidP="003F073E">
            <w:pPr>
              <w:jc w:val="right"/>
              <w:rPr>
                <w:b/>
                <w:sz w:val="20"/>
                <w:szCs w:val="20"/>
                <w:lang w:val="fr-CA"/>
              </w:rPr>
            </w:pPr>
            <w:r w:rsidRPr="00802AF9">
              <w:rPr>
                <w:b/>
                <w:sz w:val="20"/>
                <w:szCs w:val="20"/>
                <w:lang w:val="fr-CA"/>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vAlign w:val="center"/>
            <w:hideMark/>
          </w:tcPr>
          <w:p w14:paraId="25314D4C" w14:textId="77777777" w:rsidR="0029763D" w:rsidRPr="00802AF9" w:rsidRDefault="0029763D" w:rsidP="003F073E">
            <w:pPr>
              <w:jc w:val="right"/>
              <w:rPr>
                <w:b/>
                <w:sz w:val="20"/>
                <w:szCs w:val="20"/>
                <w:lang w:val="fr-CA"/>
              </w:rPr>
            </w:pPr>
            <w:r w:rsidRPr="00802AF9">
              <w:rPr>
                <w:b/>
                <w:sz w:val="20"/>
                <w:szCs w:val="20"/>
                <w:lang w:val="fr-CA"/>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vAlign w:val="center"/>
            <w:hideMark/>
          </w:tcPr>
          <w:p w14:paraId="6F6F237D" w14:textId="77777777" w:rsidR="0029763D" w:rsidRPr="00802AF9" w:rsidRDefault="0029763D" w:rsidP="003F073E">
            <w:pPr>
              <w:jc w:val="right"/>
              <w:rPr>
                <w:b/>
                <w:bCs/>
                <w:sz w:val="20"/>
                <w:szCs w:val="20"/>
                <w:lang w:val="fr-CA"/>
              </w:rPr>
            </w:pPr>
            <w:r w:rsidRPr="00802AF9">
              <w:rPr>
                <w:b/>
                <w:bCs/>
                <w:sz w:val="20"/>
                <w:szCs w:val="20"/>
                <w:lang w:val="fr-CA"/>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noWrap/>
            <w:tcMar>
              <w:left w:w="115" w:type="dxa"/>
              <w:right w:w="216" w:type="dxa"/>
            </w:tcMar>
            <w:hideMark/>
          </w:tcPr>
          <w:p w14:paraId="15B16C2C" w14:textId="713D34BE" w:rsidR="0029763D" w:rsidRPr="00802AF9" w:rsidRDefault="0029763D" w:rsidP="003F073E">
            <w:pPr>
              <w:jc w:val="right"/>
              <w:rPr>
                <w:b/>
                <w:sz w:val="20"/>
                <w:szCs w:val="20"/>
                <w:lang w:val="fr-CA"/>
              </w:rPr>
            </w:pPr>
            <w:r w:rsidRPr="00802AF9">
              <w:rPr>
                <w:b/>
                <w:sz w:val="20"/>
                <w:szCs w:val="20"/>
                <w:lang w:val="fr-CA"/>
              </w:rPr>
              <w:t>10</w:t>
            </w:r>
            <w:r w:rsidR="001E34A3">
              <w:rPr>
                <w:b/>
                <w:sz w:val="20"/>
                <w:szCs w:val="20"/>
                <w:lang w:val="fr-CA"/>
              </w:rPr>
              <w:t> </w:t>
            </w:r>
            <w:r w:rsidRPr="00802AF9">
              <w:rPr>
                <w:b/>
                <w:sz w:val="20"/>
                <w:szCs w:val="20"/>
                <w:lang w:val="fr-CA"/>
              </w:rPr>
              <w:t>813</w:t>
            </w:r>
            <w:r w:rsidR="000852F2">
              <w:rPr>
                <w:b/>
                <w:sz w:val="20"/>
                <w:szCs w:val="20"/>
                <w:lang w:val="fr-CA"/>
              </w:rPr>
              <w:t>,</w:t>
            </w:r>
            <w:r w:rsidRPr="00802AF9">
              <w:rPr>
                <w:b/>
                <w:sz w:val="20"/>
                <w:szCs w:val="20"/>
                <w:lang w:val="fr-CA"/>
              </w:rPr>
              <w:t>7</w:t>
            </w:r>
          </w:p>
        </w:tc>
      </w:tr>
    </w:tbl>
    <w:p w14:paraId="6843C06A" w14:textId="77777777" w:rsidR="0029763D" w:rsidRPr="00802AF9" w:rsidRDefault="0029763D" w:rsidP="0029763D">
      <w:pPr>
        <w:rPr>
          <w:lang w:val="fr-CA"/>
        </w:rPr>
      </w:pPr>
    </w:p>
    <w:p w14:paraId="0A39991F" w14:textId="36B7AA9F" w:rsidR="0029763D" w:rsidRPr="00802AF9" w:rsidRDefault="001E34A3" w:rsidP="0029763D">
      <w:pPr>
        <w:pStyle w:val="Heading1"/>
        <w:widowControl w:val="0"/>
        <w:rPr>
          <w:lang w:val="fr-CA"/>
        </w:rPr>
      </w:pPr>
      <w:r>
        <w:rPr>
          <w:lang w:val="fr-CA"/>
        </w:rPr>
        <w:t>En date d’a</w:t>
      </w:r>
      <w:r w:rsidR="00825570" w:rsidRPr="00802AF9">
        <w:rPr>
          <w:lang w:val="fr-CA"/>
        </w:rPr>
        <w:t>oût</w:t>
      </w:r>
      <w:r w:rsidR="0029763D" w:rsidRPr="00802AF9">
        <w:rPr>
          <w:lang w:val="fr-CA"/>
        </w:rPr>
        <w:t xml:space="preserve"> 2019, </w:t>
      </w:r>
      <w:r>
        <w:rPr>
          <w:lang w:val="fr-CA"/>
        </w:rPr>
        <w:t xml:space="preserve">un nombre </w:t>
      </w:r>
      <w:r w:rsidR="0029763D" w:rsidRPr="00802AF9">
        <w:rPr>
          <w:lang w:val="fr-CA"/>
        </w:rPr>
        <w:t xml:space="preserve">total </w:t>
      </w:r>
      <w:r>
        <w:rPr>
          <w:lang w:val="fr-CA"/>
        </w:rPr>
        <w:t>de</w:t>
      </w:r>
      <w:r w:rsidR="0029763D" w:rsidRPr="00802AF9">
        <w:rPr>
          <w:lang w:val="fr-CA"/>
        </w:rPr>
        <w:t xml:space="preserve"> 183</w:t>
      </w:r>
      <w:r w:rsidR="006A10C7">
        <w:rPr>
          <w:lang w:val="fr-CA"/>
        </w:rPr>
        <w:t xml:space="preserve"> </w:t>
      </w:r>
      <w:r w:rsidR="006A10C7" w:rsidRPr="00802AF9">
        <w:rPr>
          <w:lang w:val="fr-CA"/>
        </w:rPr>
        <w:t>970 </w:t>
      </w:r>
      <w:r w:rsidR="006A10C7">
        <w:rPr>
          <w:lang w:val="fr-CA"/>
        </w:rPr>
        <w:t xml:space="preserve">climatiseurs </w:t>
      </w:r>
      <w:r w:rsidR="000852F2">
        <w:rPr>
          <w:lang w:val="fr-CA"/>
        </w:rPr>
        <w:t>bi-bloc</w:t>
      </w:r>
      <w:r w:rsidR="006A10C7">
        <w:rPr>
          <w:lang w:val="fr-CA"/>
        </w:rPr>
        <w:t xml:space="preserve"> à base de </w:t>
      </w:r>
      <w:r w:rsidR="0029763D" w:rsidRPr="00802AF9">
        <w:rPr>
          <w:lang w:val="fr-CA"/>
        </w:rPr>
        <w:t>R</w:t>
      </w:r>
      <w:r w:rsidR="0029763D" w:rsidRPr="00802AF9">
        <w:rPr>
          <w:lang w:val="fr-CA"/>
        </w:rPr>
        <w:noBreakHyphen/>
        <w:t xml:space="preserve">290 </w:t>
      </w:r>
      <w:r w:rsidR="006A10C7">
        <w:rPr>
          <w:lang w:val="fr-CA"/>
        </w:rPr>
        <w:t xml:space="preserve">et </w:t>
      </w:r>
      <w:r w:rsidR="0029763D" w:rsidRPr="00802AF9">
        <w:rPr>
          <w:lang w:val="fr-CA"/>
        </w:rPr>
        <w:t>473</w:t>
      </w:r>
      <w:r w:rsidR="006A10C7">
        <w:rPr>
          <w:lang w:val="fr-CA"/>
        </w:rPr>
        <w:t> </w:t>
      </w:r>
      <w:r w:rsidR="0029763D" w:rsidRPr="00802AF9">
        <w:rPr>
          <w:lang w:val="fr-CA"/>
        </w:rPr>
        <w:t>009 </w:t>
      </w:r>
      <w:r w:rsidR="00A3748F">
        <w:rPr>
          <w:lang w:val="fr-CA"/>
        </w:rPr>
        <w:t>unités à base de R-290 scellées en usine avaient été fabriqués</w:t>
      </w:r>
      <w:r w:rsidR="0029763D" w:rsidRPr="00802AF9">
        <w:rPr>
          <w:lang w:val="fr-CA"/>
        </w:rPr>
        <w:t>.</w:t>
      </w:r>
      <w:r w:rsidR="0029763D" w:rsidRPr="00A3748F">
        <w:rPr>
          <w:vertAlign w:val="superscript"/>
          <w:lang w:val="fr-CA"/>
        </w:rPr>
        <w:footnoteReference w:id="4"/>
      </w:r>
      <w:r w:rsidR="0029763D" w:rsidRPr="00802AF9">
        <w:rPr>
          <w:lang w:val="fr-CA"/>
        </w:rPr>
        <w:t xml:space="preserve"> </w:t>
      </w:r>
      <w:r w:rsidR="00A3748F">
        <w:rPr>
          <w:lang w:val="fr-CA"/>
        </w:rPr>
        <w:t>Du 1</w:t>
      </w:r>
      <w:r w:rsidR="00A3748F" w:rsidRPr="00A3748F">
        <w:rPr>
          <w:vertAlign w:val="superscript"/>
          <w:lang w:val="fr-CA"/>
        </w:rPr>
        <w:t>er</w:t>
      </w:r>
      <w:r w:rsidR="00A3748F">
        <w:rPr>
          <w:lang w:val="fr-CA"/>
        </w:rPr>
        <w:t> s</w:t>
      </w:r>
      <w:r w:rsidR="00825570" w:rsidRPr="00802AF9">
        <w:rPr>
          <w:lang w:val="fr-CA"/>
        </w:rPr>
        <w:t>eptembre</w:t>
      </w:r>
      <w:r w:rsidR="0029763D" w:rsidRPr="00802AF9">
        <w:rPr>
          <w:lang w:val="fr-CA"/>
        </w:rPr>
        <w:t xml:space="preserve"> 2019 </w:t>
      </w:r>
      <w:r w:rsidR="00A3748F">
        <w:rPr>
          <w:lang w:val="fr-CA"/>
        </w:rPr>
        <w:t xml:space="preserve">au </w:t>
      </w:r>
      <w:r w:rsidR="0029763D" w:rsidRPr="00802AF9">
        <w:rPr>
          <w:lang w:val="fr-CA"/>
        </w:rPr>
        <w:t>31 </w:t>
      </w:r>
      <w:r w:rsidR="00A3748F">
        <w:rPr>
          <w:lang w:val="fr-CA"/>
        </w:rPr>
        <w:t>a</w:t>
      </w:r>
      <w:r w:rsidR="00825570" w:rsidRPr="00802AF9">
        <w:rPr>
          <w:lang w:val="fr-CA"/>
        </w:rPr>
        <w:t>oût</w:t>
      </w:r>
      <w:r w:rsidR="0029763D" w:rsidRPr="00802AF9">
        <w:rPr>
          <w:lang w:val="fr-CA"/>
        </w:rPr>
        <w:t xml:space="preserve"> </w:t>
      </w:r>
      <w:r w:rsidR="0029763D" w:rsidRPr="00802AF9">
        <w:rPr>
          <w:lang w:val="fr-CA"/>
        </w:rPr>
        <w:lastRenderedPageBreak/>
        <w:t xml:space="preserve">2020, </w:t>
      </w:r>
      <w:r w:rsidR="00A3748F">
        <w:rPr>
          <w:lang w:val="fr-CA"/>
        </w:rPr>
        <w:t xml:space="preserve">un nombre supplémentaire d’environ </w:t>
      </w:r>
      <w:r w:rsidR="0029763D" w:rsidRPr="00802AF9">
        <w:rPr>
          <w:lang w:val="fr-CA"/>
        </w:rPr>
        <w:t>100</w:t>
      </w:r>
      <w:r w:rsidR="00A3748F">
        <w:rPr>
          <w:lang w:val="fr-CA"/>
        </w:rPr>
        <w:t> </w:t>
      </w:r>
      <w:r w:rsidR="0029763D" w:rsidRPr="00802AF9">
        <w:rPr>
          <w:lang w:val="fr-CA"/>
        </w:rPr>
        <w:t>000</w:t>
      </w:r>
      <w:r w:rsidR="00A3748F">
        <w:rPr>
          <w:lang w:val="fr-CA"/>
        </w:rPr>
        <w:t xml:space="preserve"> unités </w:t>
      </w:r>
      <w:r w:rsidR="000852F2">
        <w:rPr>
          <w:lang w:val="fr-CA"/>
        </w:rPr>
        <w:t>bi-bloc</w:t>
      </w:r>
      <w:r w:rsidR="00A3748F">
        <w:rPr>
          <w:lang w:val="fr-CA"/>
        </w:rPr>
        <w:t xml:space="preserve"> à base de </w:t>
      </w:r>
      <w:r w:rsidR="0029763D" w:rsidRPr="00802AF9">
        <w:rPr>
          <w:lang w:val="fr-CA"/>
        </w:rPr>
        <w:t>R</w:t>
      </w:r>
      <w:r w:rsidR="0029763D" w:rsidRPr="00802AF9">
        <w:rPr>
          <w:lang w:val="fr-CA"/>
        </w:rPr>
        <w:noBreakHyphen/>
        <w:t>290</w:t>
      </w:r>
      <w:r w:rsidR="00A3748F">
        <w:rPr>
          <w:lang w:val="fr-CA"/>
        </w:rPr>
        <w:t xml:space="preserve"> et plus de </w:t>
      </w:r>
      <w:r w:rsidR="0029763D" w:rsidRPr="00802AF9">
        <w:rPr>
          <w:lang w:val="fr-CA"/>
        </w:rPr>
        <w:t>1</w:t>
      </w:r>
      <w:r w:rsidR="00A3748F">
        <w:rPr>
          <w:lang w:val="fr-CA"/>
        </w:rPr>
        <w:t> </w:t>
      </w:r>
      <w:r w:rsidR="0029763D" w:rsidRPr="00802AF9">
        <w:rPr>
          <w:lang w:val="fr-CA"/>
        </w:rPr>
        <w:t>000</w:t>
      </w:r>
      <w:r w:rsidR="00A3748F">
        <w:rPr>
          <w:lang w:val="fr-CA"/>
        </w:rPr>
        <w:t> </w:t>
      </w:r>
      <w:r w:rsidR="0029763D" w:rsidRPr="00802AF9">
        <w:rPr>
          <w:lang w:val="fr-CA"/>
        </w:rPr>
        <w:t>000</w:t>
      </w:r>
      <w:r w:rsidR="00A3748F">
        <w:rPr>
          <w:lang w:val="fr-CA"/>
        </w:rPr>
        <w:t xml:space="preserve"> unités à base de </w:t>
      </w:r>
      <w:r w:rsidR="0029763D" w:rsidRPr="00802AF9">
        <w:rPr>
          <w:lang w:val="fr-CA"/>
        </w:rPr>
        <w:t xml:space="preserve">R-290 </w:t>
      </w:r>
      <w:r w:rsidR="00A3748F">
        <w:rPr>
          <w:lang w:val="fr-CA"/>
        </w:rPr>
        <w:t>scellées en usine ont été fabriquées</w:t>
      </w:r>
      <w:r w:rsidR="0029763D" w:rsidRPr="00802AF9">
        <w:rPr>
          <w:lang w:val="fr-CA"/>
        </w:rPr>
        <w:t>;</w:t>
      </w:r>
      <w:r w:rsidR="0029763D" w:rsidRPr="00A3748F">
        <w:rPr>
          <w:vertAlign w:val="superscript"/>
          <w:lang w:val="fr-CA"/>
        </w:rPr>
        <w:footnoteReference w:id="5"/>
      </w:r>
      <w:r w:rsidR="0029763D" w:rsidRPr="00802AF9">
        <w:rPr>
          <w:lang w:val="fr-CA"/>
        </w:rPr>
        <w:t xml:space="preserve"> </w:t>
      </w:r>
      <w:r w:rsidR="00A3748F">
        <w:rPr>
          <w:lang w:val="fr-CA"/>
        </w:rPr>
        <w:t>la vérification des ventes par une tierce partie est en cours</w:t>
      </w:r>
      <w:r w:rsidR="0029763D" w:rsidRPr="00802AF9">
        <w:rPr>
          <w:lang w:val="fr-CA"/>
        </w:rPr>
        <w:t xml:space="preserve">. </w:t>
      </w:r>
      <w:r w:rsidR="00A3748F">
        <w:rPr>
          <w:lang w:val="fr-CA"/>
        </w:rPr>
        <w:t xml:space="preserve">Au total, </w:t>
      </w:r>
      <w:r w:rsidR="0029763D" w:rsidRPr="00802AF9">
        <w:rPr>
          <w:lang w:val="fr-CA"/>
        </w:rPr>
        <w:t>3</w:t>
      </w:r>
      <w:r w:rsidR="00157567">
        <w:rPr>
          <w:lang w:val="fr-CA"/>
        </w:rPr>
        <w:t> </w:t>
      </w:r>
      <w:r w:rsidR="0029763D" w:rsidRPr="00802AF9">
        <w:rPr>
          <w:lang w:val="fr-CA"/>
        </w:rPr>
        <w:t>374</w:t>
      </w:r>
      <w:r w:rsidR="00157567">
        <w:rPr>
          <w:lang w:val="fr-CA"/>
        </w:rPr>
        <w:t> </w:t>
      </w:r>
      <w:r w:rsidR="0029763D" w:rsidRPr="00802AF9">
        <w:rPr>
          <w:lang w:val="fr-CA"/>
        </w:rPr>
        <w:t>145</w:t>
      </w:r>
      <w:r w:rsidR="00157567">
        <w:rPr>
          <w:lang w:val="fr-CA"/>
        </w:rPr>
        <w:t xml:space="preserve"> $US ont été décaissés durant la </w:t>
      </w:r>
      <w:r w:rsidR="0014063A" w:rsidRPr="00802AF9">
        <w:rPr>
          <w:lang w:val="fr-CA"/>
        </w:rPr>
        <w:t>phase</w:t>
      </w:r>
      <w:r w:rsidR="0029763D" w:rsidRPr="00802AF9">
        <w:rPr>
          <w:lang w:val="fr-CA"/>
        </w:rPr>
        <w:t xml:space="preserve"> I </w:t>
      </w:r>
      <w:r w:rsidR="00157567">
        <w:rPr>
          <w:lang w:val="fr-CA"/>
        </w:rPr>
        <w:t>pour l’Unité de mise en œuvre et de surveillance de projets</w:t>
      </w:r>
      <w:r w:rsidR="0029763D" w:rsidRPr="00802AF9">
        <w:rPr>
          <w:lang w:val="fr-CA"/>
        </w:rPr>
        <w:t xml:space="preserve"> (</w:t>
      </w:r>
      <w:r w:rsidR="00157567">
        <w:rPr>
          <w:lang w:val="fr-CA"/>
        </w:rPr>
        <w:t>UMP</w:t>
      </w:r>
      <w:r w:rsidR="0029763D" w:rsidRPr="00802AF9">
        <w:rPr>
          <w:lang w:val="fr-CA"/>
        </w:rPr>
        <w:t xml:space="preserve">) </w:t>
      </w:r>
      <w:r w:rsidR="00157567">
        <w:rPr>
          <w:lang w:val="fr-CA"/>
        </w:rPr>
        <w:t xml:space="preserve">afin de couvrir les coûts de personnel, les déplacements, les </w:t>
      </w:r>
      <w:r w:rsidR="0014063A" w:rsidRPr="00802AF9">
        <w:rPr>
          <w:lang w:val="fr-CA"/>
        </w:rPr>
        <w:t>réunion</w:t>
      </w:r>
      <w:r w:rsidR="0029763D" w:rsidRPr="00802AF9">
        <w:rPr>
          <w:lang w:val="fr-CA"/>
        </w:rPr>
        <w:t>s</w:t>
      </w:r>
      <w:r w:rsidR="00157567">
        <w:rPr>
          <w:lang w:val="fr-CA"/>
        </w:rPr>
        <w:t>, ainsi que les coûts partagés à travers les secteurs pour le fonctionnement de l’UMP</w:t>
      </w:r>
      <w:r w:rsidR="0029763D" w:rsidRPr="00802AF9">
        <w:rPr>
          <w:lang w:val="fr-CA"/>
        </w:rPr>
        <w:t>.</w:t>
      </w:r>
    </w:p>
    <w:p w14:paraId="5EB40257" w14:textId="03300AAA" w:rsidR="0029763D" w:rsidRPr="00802AF9" w:rsidRDefault="00157567" w:rsidP="0029763D">
      <w:pPr>
        <w:widowControl w:val="0"/>
        <w:rPr>
          <w:u w:val="single"/>
          <w:lang w:val="fr-CA"/>
        </w:rPr>
      </w:pPr>
      <w:r>
        <w:rPr>
          <w:u w:val="single"/>
          <w:lang w:val="fr-CA"/>
        </w:rPr>
        <w:t>Niveau de décaissement des fonds</w:t>
      </w:r>
    </w:p>
    <w:p w14:paraId="3ACAB9C5" w14:textId="77777777" w:rsidR="0029763D" w:rsidRPr="00802AF9" w:rsidRDefault="0029763D" w:rsidP="0029763D">
      <w:pPr>
        <w:widowControl w:val="0"/>
        <w:rPr>
          <w:lang w:val="fr-CA"/>
        </w:rPr>
      </w:pPr>
    </w:p>
    <w:p w14:paraId="0E457F34" w14:textId="78C61252" w:rsidR="0029763D" w:rsidRPr="00802AF9" w:rsidRDefault="00157567" w:rsidP="0029763D">
      <w:pPr>
        <w:pStyle w:val="Heading1"/>
        <w:widowControl w:val="0"/>
        <w:rPr>
          <w:lang w:val="fr-CA"/>
        </w:rPr>
      </w:pPr>
      <w:r>
        <w:rPr>
          <w:lang w:val="fr-CA"/>
        </w:rPr>
        <w:t>En date de s</w:t>
      </w:r>
      <w:r w:rsidR="00825570" w:rsidRPr="00802AF9">
        <w:rPr>
          <w:lang w:val="fr-CA"/>
        </w:rPr>
        <w:t>eptembre</w:t>
      </w:r>
      <w:r w:rsidR="0029763D" w:rsidRPr="00802AF9">
        <w:rPr>
          <w:lang w:val="fr-CA"/>
        </w:rPr>
        <w:t xml:space="preserve"> 2020, </w:t>
      </w:r>
      <w:r>
        <w:rPr>
          <w:lang w:val="fr-CA"/>
        </w:rPr>
        <w:t xml:space="preserve">sur les </w:t>
      </w:r>
      <w:r w:rsidR="0029763D" w:rsidRPr="00802AF9">
        <w:rPr>
          <w:lang w:val="fr-CA"/>
        </w:rPr>
        <w:t>75</w:t>
      </w:r>
      <w:r>
        <w:rPr>
          <w:lang w:val="fr-CA"/>
        </w:rPr>
        <w:t> </w:t>
      </w:r>
      <w:r w:rsidR="0029763D" w:rsidRPr="00802AF9">
        <w:rPr>
          <w:lang w:val="fr-CA"/>
        </w:rPr>
        <w:t>000</w:t>
      </w:r>
      <w:r>
        <w:rPr>
          <w:lang w:val="fr-CA"/>
        </w:rPr>
        <w:t> </w:t>
      </w:r>
      <w:r w:rsidR="0029763D" w:rsidRPr="00802AF9">
        <w:rPr>
          <w:lang w:val="fr-CA"/>
        </w:rPr>
        <w:t>000</w:t>
      </w:r>
      <w:r>
        <w:rPr>
          <w:lang w:val="fr-CA"/>
        </w:rPr>
        <w:t> $US approuvés</w:t>
      </w:r>
      <w:r w:rsidR="0029763D" w:rsidRPr="00802AF9">
        <w:rPr>
          <w:lang w:val="fr-CA"/>
        </w:rPr>
        <w:t>, 60</w:t>
      </w:r>
      <w:r>
        <w:rPr>
          <w:lang w:val="fr-CA"/>
        </w:rPr>
        <w:t> </w:t>
      </w:r>
      <w:r w:rsidR="0029763D" w:rsidRPr="00802AF9">
        <w:rPr>
          <w:lang w:val="fr-CA"/>
        </w:rPr>
        <w:t>727</w:t>
      </w:r>
      <w:r>
        <w:rPr>
          <w:lang w:val="fr-CA"/>
        </w:rPr>
        <w:t> </w:t>
      </w:r>
      <w:r w:rsidR="0029763D" w:rsidRPr="00802AF9">
        <w:rPr>
          <w:lang w:val="fr-CA"/>
        </w:rPr>
        <w:t>617</w:t>
      </w:r>
      <w:r>
        <w:rPr>
          <w:lang w:val="fr-CA"/>
        </w:rPr>
        <w:t> $US</w:t>
      </w:r>
      <w:r w:rsidR="0029763D" w:rsidRPr="00802AF9">
        <w:rPr>
          <w:lang w:val="fr-CA"/>
        </w:rPr>
        <w:t xml:space="preserve"> (81</w:t>
      </w:r>
      <w:r>
        <w:rPr>
          <w:lang w:val="fr-CA"/>
        </w:rPr>
        <w:t> </w:t>
      </w:r>
      <w:r w:rsidR="00BA5233">
        <w:rPr>
          <w:lang w:val="fr-CA"/>
        </w:rPr>
        <w:t>pour cent</w:t>
      </w:r>
      <w:r w:rsidR="0029763D" w:rsidRPr="00802AF9">
        <w:rPr>
          <w:lang w:val="fr-CA"/>
        </w:rPr>
        <w:t xml:space="preserve">) </w:t>
      </w:r>
      <w:r>
        <w:rPr>
          <w:lang w:val="fr-CA"/>
        </w:rPr>
        <w:t>avaient été décaissés par l’</w:t>
      </w:r>
      <w:r w:rsidR="0014063A" w:rsidRPr="00802AF9">
        <w:rPr>
          <w:lang w:val="fr-CA"/>
        </w:rPr>
        <w:t>ONUDI</w:t>
      </w:r>
      <w:r w:rsidR="0029763D" w:rsidRPr="00802AF9">
        <w:rPr>
          <w:lang w:val="fr-CA"/>
        </w:rPr>
        <w:t xml:space="preserve"> </w:t>
      </w:r>
      <w:r>
        <w:rPr>
          <w:lang w:val="fr-CA"/>
        </w:rPr>
        <w:t xml:space="preserve">et </w:t>
      </w:r>
      <w:r w:rsidR="0029763D" w:rsidRPr="00802AF9">
        <w:rPr>
          <w:color w:val="000000"/>
          <w:lang w:val="fr-CA"/>
        </w:rPr>
        <w:t>64</w:t>
      </w:r>
      <w:r>
        <w:rPr>
          <w:color w:val="000000"/>
          <w:lang w:val="fr-CA"/>
        </w:rPr>
        <w:t> </w:t>
      </w:r>
      <w:r w:rsidR="0029763D" w:rsidRPr="00802AF9">
        <w:rPr>
          <w:color w:val="000000"/>
          <w:lang w:val="fr-CA"/>
        </w:rPr>
        <w:t>077</w:t>
      </w:r>
      <w:r>
        <w:rPr>
          <w:color w:val="000000"/>
          <w:lang w:val="fr-CA"/>
        </w:rPr>
        <w:t> </w:t>
      </w:r>
      <w:r w:rsidR="0029763D" w:rsidRPr="00802AF9">
        <w:rPr>
          <w:color w:val="000000"/>
          <w:lang w:val="fr-CA"/>
        </w:rPr>
        <w:t>440</w:t>
      </w:r>
      <w:r>
        <w:rPr>
          <w:color w:val="000000"/>
          <w:lang w:val="fr-CA"/>
        </w:rPr>
        <w:t> $US</w:t>
      </w:r>
      <w:r w:rsidR="0029763D" w:rsidRPr="00802AF9">
        <w:rPr>
          <w:color w:val="000000"/>
          <w:lang w:val="fr-CA"/>
        </w:rPr>
        <w:t xml:space="preserve"> </w:t>
      </w:r>
      <w:r w:rsidR="0029763D" w:rsidRPr="00802AF9">
        <w:rPr>
          <w:lang w:val="fr-CA"/>
        </w:rPr>
        <w:t>(85</w:t>
      </w:r>
      <w:r>
        <w:rPr>
          <w:lang w:val="fr-CA"/>
        </w:rPr>
        <w:t> </w:t>
      </w:r>
      <w:r w:rsidR="00BA5233">
        <w:rPr>
          <w:lang w:val="fr-CA"/>
        </w:rPr>
        <w:t>pour cent</w:t>
      </w:r>
      <w:r w:rsidR="0029763D" w:rsidRPr="00802AF9">
        <w:rPr>
          <w:lang w:val="fr-CA"/>
        </w:rPr>
        <w:t xml:space="preserve">) </w:t>
      </w:r>
      <w:r>
        <w:rPr>
          <w:lang w:val="fr-CA"/>
        </w:rPr>
        <w:t xml:space="preserve">avaient été décaissés par le </w:t>
      </w:r>
      <w:r w:rsidR="00C816AC">
        <w:rPr>
          <w:lang w:val="fr-CA"/>
        </w:rPr>
        <w:t>CCEE</w:t>
      </w:r>
      <w:r w:rsidR="0029763D" w:rsidRPr="00157567">
        <w:rPr>
          <w:vertAlign w:val="superscript"/>
          <w:lang w:val="fr-CA"/>
        </w:rPr>
        <w:footnoteReference w:id="6"/>
      </w:r>
      <w:r w:rsidR="0029763D" w:rsidRPr="00802AF9">
        <w:rPr>
          <w:lang w:val="fr-CA"/>
        </w:rPr>
        <w:t xml:space="preserve"> </w:t>
      </w:r>
      <w:r>
        <w:rPr>
          <w:lang w:val="fr-CA"/>
        </w:rPr>
        <w:t xml:space="preserve">aux bénéficiaires, comme l’indique le </w:t>
      </w:r>
      <w:r w:rsidR="0029763D" w:rsidRPr="00802AF9">
        <w:rPr>
          <w:lang w:val="fr-CA"/>
        </w:rPr>
        <w:t>Table</w:t>
      </w:r>
      <w:r>
        <w:rPr>
          <w:lang w:val="fr-CA"/>
        </w:rPr>
        <w:t>au</w:t>
      </w:r>
      <w:r w:rsidR="0029763D" w:rsidRPr="00802AF9">
        <w:rPr>
          <w:lang w:val="fr-CA"/>
        </w:rPr>
        <w:t> 2.</w:t>
      </w:r>
    </w:p>
    <w:p w14:paraId="1B2DB00E" w14:textId="1E293CF0" w:rsidR="0029763D" w:rsidRPr="00802AF9" w:rsidRDefault="0029763D" w:rsidP="0029763D">
      <w:pPr>
        <w:widowControl w:val="0"/>
        <w:rPr>
          <w:b/>
          <w:lang w:val="fr-CA"/>
        </w:rPr>
      </w:pPr>
      <w:r w:rsidRPr="00802AF9">
        <w:rPr>
          <w:b/>
          <w:lang w:val="fr-CA"/>
        </w:rPr>
        <w:t>Table</w:t>
      </w:r>
      <w:r w:rsidR="00157567">
        <w:rPr>
          <w:b/>
          <w:lang w:val="fr-CA"/>
        </w:rPr>
        <w:t>au</w:t>
      </w:r>
      <w:r w:rsidRPr="00802AF9">
        <w:rPr>
          <w:b/>
          <w:lang w:val="fr-CA"/>
        </w:rPr>
        <w:t> 2. D</w:t>
      </w:r>
      <w:r w:rsidR="00157567">
        <w:rPr>
          <w:b/>
          <w:lang w:val="fr-CA"/>
        </w:rPr>
        <w:t xml:space="preserve">écaissement </w:t>
      </w:r>
      <w:r w:rsidRPr="00802AF9">
        <w:rPr>
          <w:b/>
          <w:lang w:val="fr-CA"/>
        </w:rPr>
        <w:t>(</w:t>
      </w:r>
      <w:r w:rsidR="00157567">
        <w:rPr>
          <w:b/>
          <w:lang w:val="fr-CA"/>
        </w:rPr>
        <w:t>$</w:t>
      </w:r>
      <w:r w:rsidRPr="00802AF9">
        <w:rPr>
          <w:b/>
          <w:lang w:val="fr-CA"/>
        </w:rPr>
        <w:t xml:space="preserve">US) </w:t>
      </w:r>
      <w:r w:rsidR="00157567">
        <w:rPr>
          <w:b/>
          <w:lang w:val="fr-CA"/>
        </w:rPr>
        <w:t>par</w:t>
      </w:r>
      <w:r w:rsidRPr="00802AF9">
        <w:rPr>
          <w:b/>
          <w:lang w:val="fr-CA"/>
        </w:rPr>
        <w:t xml:space="preserve"> tranche </w:t>
      </w:r>
      <w:r w:rsidR="00157567">
        <w:rPr>
          <w:b/>
          <w:lang w:val="fr-CA"/>
        </w:rPr>
        <w:t xml:space="preserve">dans le secteur </w:t>
      </w:r>
      <w:r w:rsidR="00494A38" w:rsidRPr="00802AF9">
        <w:rPr>
          <w:b/>
          <w:lang w:val="fr-CA"/>
        </w:rPr>
        <w:t>R&amp;C</w:t>
      </w:r>
    </w:p>
    <w:tbl>
      <w:tblPr>
        <w:tblW w:w="94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255"/>
        <w:gridCol w:w="1255"/>
        <w:gridCol w:w="1255"/>
        <w:gridCol w:w="1255"/>
        <w:gridCol w:w="1255"/>
        <w:gridCol w:w="1256"/>
      </w:tblGrid>
      <w:tr w:rsidR="0029763D" w:rsidRPr="00802AF9" w14:paraId="2BFEE820" w14:textId="77777777" w:rsidTr="003F073E">
        <w:tc>
          <w:tcPr>
            <w:tcW w:w="1885" w:type="dxa"/>
            <w:shd w:val="clear" w:color="auto" w:fill="auto"/>
            <w:hideMark/>
          </w:tcPr>
          <w:p w14:paraId="42C7CB79" w14:textId="77777777" w:rsidR="0029763D" w:rsidRPr="00802AF9" w:rsidRDefault="0029763D" w:rsidP="003F073E">
            <w:pPr>
              <w:widowControl w:val="0"/>
              <w:jc w:val="left"/>
              <w:rPr>
                <w:b/>
                <w:sz w:val="20"/>
                <w:szCs w:val="20"/>
                <w:lang w:val="fr-CA"/>
              </w:rPr>
            </w:pPr>
            <w:r w:rsidRPr="00802AF9">
              <w:rPr>
                <w:b/>
                <w:sz w:val="20"/>
                <w:szCs w:val="20"/>
                <w:lang w:val="fr-CA"/>
              </w:rPr>
              <w:t>Description</w:t>
            </w:r>
          </w:p>
        </w:tc>
        <w:tc>
          <w:tcPr>
            <w:tcW w:w="1255" w:type="dxa"/>
            <w:shd w:val="clear" w:color="auto" w:fill="auto"/>
            <w:vAlign w:val="center"/>
            <w:hideMark/>
          </w:tcPr>
          <w:p w14:paraId="05D5B841" w14:textId="77777777" w:rsidR="0029763D" w:rsidRPr="00802AF9" w:rsidRDefault="0029763D" w:rsidP="003F073E">
            <w:pPr>
              <w:widowControl w:val="0"/>
              <w:jc w:val="center"/>
              <w:rPr>
                <w:b/>
                <w:color w:val="000000"/>
                <w:sz w:val="20"/>
                <w:szCs w:val="20"/>
                <w:lang w:val="fr-CA"/>
              </w:rPr>
            </w:pPr>
            <w:r w:rsidRPr="00802AF9">
              <w:rPr>
                <w:b/>
                <w:color w:val="000000"/>
                <w:sz w:val="20"/>
                <w:szCs w:val="20"/>
                <w:lang w:val="fr-CA"/>
              </w:rPr>
              <w:t>Tranche 1</w:t>
            </w:r>
          </w:p>
        </w:tc>
        <w:tc>
          <w:tcPr>
            <w:tcW w:w="1255" w:type="dxa"/>
            <w:shd w:val="clear" w:color="auto" w:fill="auto"/>
            <w:vAlign w:val="center"/>
            <w:hideMark/>
          </w:tcPr>
          <w:p w14:paraId="730A3A2D" w14:textId="77777777" w:rsidR="0029763D" w:rsidRPr="00802AF9" w:rsidRDefault="0029763D" w:rsidP="003F073E">
            <w:pPr>
              <w:widowControl w:val="0"/>
              <w:jc w:val="center"/>
              <w:rPr>
                <w:b/>
                <w:color w:val="000000"/>
                <w:sz w:val="20"/>
                <w:szCs w:val="20"/>
                <w:lang w:val="fr-CA"/>
              </w:rPr>
            </w:pPr>
            <w:r w:rsidRPr="00802AF9">
              <w:rPr>
                <w:b/>
                <w:color w:val="000000"/>
                <w:sz w:val="20"/>
                <w:szCs w:val="20"/>
                <w:lang w:val="fr-CA"/>
              </w:rPr>
              <w:t>Tranche 2</w:t>
            </w:r>
          </w:p>
        </w:tc>
        <w:tc>
          <w:tcPr>
            <w:tcW w:w="1255" w:type="dxa"/>
            <w:shd w:val="clear" w:color="auto" w:fill="auto"/>
            <w:vAlign w:val="center"/>
            <w:hideMark/>
          </w:tcPr>
          <w:p w14:paraId="6A66C2C3" w14:textId="77777777" w:rsidR="0029763D" w:rsidRPr="00802AF9" w:rsidRDefault="0029763D" w:rsidP="003F073E">
            <w:pPr>
              <w:widowControl w:val="0"/>
              <w:jc w:val="center"/>
              <w:rPr>
                <w:b/>
                <w:color w:val="000000"/>
                <w:sz w:val="20"/>
                <w:szCs w:val="20"/>
                <w:lang w:val="fr-CA"/>
              </w:rPr>
            </w:pPr>
            <w:r w:rsidRPr="00802AF9">
              <w:rPr>
                <w:b/>
                <w:color w:val="000000"/>
                <w:sz w:val="20"/>
                <w:szCs w:val="20"/>
                <w:lang w:val="fr-CA"/>
              </w:rPr>
              <w:t>Tranche 3</w:t>
            </w:r>
          </w:p>
        </w:tc>
        <w:tc>
          <w:tcPr>
            <w:tcW w:w="1255" w:type="dxa"/>
            <w:shd w:val="clear" w:color="auto" w:fill="auto"/>
            <w:vAlign w:val="center"/>
            <w:hideMark/>
          </w:tcPr>
          <w:p w14:paraId="034A9AC5" w14:textId="77777777" w:rsidR="0029763D" w:rsidRPr="00802AF9" w:rsidRDefault="0029763D" w:rsidP="003F073E">
            <w:pPr>
              <w:widowControl w:val="0"/>
              <w:jc w:val="center"/>
              <w:rPr>
                <w:b/>
                <w:color w:val="000000"/>
                <w:sz w:val="20"/>
                <w:szCs w:val="20"/>
                <w:lang w:val="fr-CA"/>
              </w:rPr>
            </w:pPr>
            <w:r w:rsidRPr="00802AF9">
              <w:rPr>
                <w:b/>
                <w:color w:val="000000"/>
                <w:sz w:val="20"/>
                <w:szCs w:val="20"/>
                <w:lang w:val="fr-CA"/>
              </w:rPr>
              <w:t>Tranche 4</w:t>
            </w:r>
          </w:p>
        </w:tc>
        <w:tc>
          <w:tcPr>
            <w:tcW w:w="1255" w:type="dxa"/>
            <w:shd w:val="clear" w:color="auto" w:fill="auto"/>
            <w:vAlign w:val="center"/>
            <w:hideMark/>
          </w:tcPr>
          <w:p w14:paraId="60202891" w14:textId="77777777" w:rsidR="0029763D" w:rsidRPr="00802AF9" w:rsidRDefault="0029763D" w:rsidP="003F073E">
            <w:pPr>
              <w:widowControl w:val="0"/>
              <w:jc w:val="center"/>
              <w:rPr>
                <w:b/>
                <w:color w:val="000000"/>
                <w:sz w:val="20"/>
                <w:szCs w:val="20"/>
                <w:lang w:val="fr-CA"/>
              </w:rPr>
            </w:pPr>
            <w:r w:rsidRPr="00802AF9">
              <w:rPr>
                <w:b/>
                <w:color w:val="000000"/>
                <w:sz w:val="20"/>
                <w:szCs w:val="20"/>
                <w:lang w:val="fr-CA"/>
              </w:rPr>
              <w:t>Tranche 5</w:t>
            </w:r>
          </w:p>
        </w:tc>
        <w:tc>
          <w:tcPr>
            <w:tcW w:w="1256" w:type="dxa"/>
            <w:shd w:val="clear" w:color="auto" w:fill="auto"/>
            <w:vAlign w:val="center"/>
            <w:hideMark/>
          </w:tcPr>
          <w:p w14:paraId="4CC13AF0" w14:textId="77777777" w:rsidR="0029763D" w:rsidRPr="00802AF9" w:rsidRDefault="0029763D" w:rsidP="003F073E">
            <w:pPr>
              <w:widowControl w:val="0"/>
              <w:jc w:val="center"/>
              <w:rPr>
                <w:b/>
                <w:color w:val="000000"/>
                <w:sz w:val="20"/>
                <w:szCs w:val="20"/>
                <w:lang w:val="fr-CA"/>
              </w:rPr>
            </w:pPr>
            <w:r w:rsidRPr="00802AF9">
              <w:rPr>
                <w:b/>
                <w:color w:val="000000"/>
                <w:sz w:val="20"/>
                <w:szCs w:val="20"/>
                <w:lang w:val="fr-CA"/>
              </w:rPr>
              <w:t>Total</w:t>
            </w:r>
          </w:p>
        </w:tc>
      </w:tr>
      <w:tr w:rsidR="0029763D" w:rsidRPr="00802AF9" w14:paraId="3067C0FD" w14:textId="77777777" w:rsidTr="003F073E">
        <w:trPr>
          <w:trHeight w:val="170"/>
        </w:trPr>
        <w:tc>
          <w:tcPr>
            <w:tcW w:w="1885" w:type="dxa"/>
            <w:shd w:val="clear" w:color="auto" w:fill="auto"/>
            <w:tcMar>
              <w:left w:w="29" w:type="dxa"/>
              <w:right w:w="0" w:type="dxa"/>
            </w:tcMar>
            <w:hideMark/>
          </w:tcPr>
          <w:p w14:paraId="6D1BCC6B" w14:textId="506B58B0" w:rsidR="0029763D" w:rsidRPr="00802AF9" w:rsidRDefault="00157567" w:rsidP="003F073E">
            <w:pPr>
              <w:widowControl w:val="0"/>
              <w:jc w:val="left"/>
              <w:rPr>
                <w:bCs/>
                <w:sz w:val="20"/>
                <w:szCs w:val="20"/>
                <w:lang w:val="fr-CA"/>
              </w:rPr>
            </w:pPr>
            <w:r>
              <w:rPr>
                <w:bCs/>
                <w:sz w:val="20"/>
                <w:szCs w:val="20"/>
                <w:lang w:val="fr-CA"/>
              </w:rPr>
              <w:t>Financement</w:t>
            </w:r>
            <w:r w:rsidR="0029763D" w:rsidRPr="00802AF9">
              <w:rPr>
                <w:bCs/>
                <w:sz w:val="20"/>
                <w:szCs w:val="20"/>
                <w:vertAlign w:val="superscript"/>
                <w:lang w:val="fr-CA"/>
              </w:rPr>
              <w:t>*</w:t>
            </w:r>
          </w:p>
        </w:tc>
        <w:tc>
          <w:tcPr>
            <w:tcW w:w="1255" w:type="dxa"/>
            <w:shd w:val="clear" w:color="auto" w:fill="auto"/>
            <w:hideMark/>
          </w:tcPr>
          <w:p w14:paraId="5E7E18EF" w14:textId="7238A8DE" w:rsidR="0029763D" w:rsidRPr="00802AF9" w:rsidRDefault="0029763D" w:rsidP="003F073E">
            <w:pPr>
              <w:widowControl w:val="0"/>
              <w:jc w:val="right"/>
              <w:rPr>
                <w:sz w:val="20"/>
                <w:szCs w:val="20"/>
                <w:lang w:val="fr-CA"/>
              </w:rPr>
            </w:pPr>
            <w:r w:rsidRPr="00802AF9">
              <w:rPr>
                <w:sz w:val="20"/>
                <w:szCs w:val="20"/>
                <w:lang w:val="fr-CA"/>
              </w:rPr>
              <w:t>36</w:t>
            </w:r>
            <w:r w:rsidR="00157567">
              <w:rPr>
                <w:sz w:val="20"/>
                <w:szCs w:val="20"/>
                <w:lang w:val="fr-CA"/>
              </w:rPr>
              <w:t> </w:t>
            </w:r>
            <w:r w:rsidRPr="00802AF9">
              <w:rPr>
                <w:sz w:val="20"/>
                <w:szCs w:val="20"/>
                <w:lang w:val="fr-CA"/>
              </w:rPr>
              <w:t>430</w:t>
            </w:r>
            <w:r w:rsidR="00157567">
              <w:rPr>
                <w:sz w:val="20"/>
                <w:szCs w:val="20"/>
                <w:lang w:val="fr-CA"/>
              </w:rPr>
              <w:t> </w:t>
            </w:r>
            <w:r w:rsidRPr="00802AF9">
              <w:rPr>
                <w:sz w:val="20"/>
                <w:szCs w:val="20"/>
                <w:lang w:val="fr-CA"/>
              </w:rPr>
              <w:t>000</w:t>
            </w:r>
          </w:p>
        </w:tc>
        <w:tc>
          <w:tcPr>
            <w:tcW w:w="1255" w:type="dxa"/>
            <w:shd w:val="clear" w:color="auto" w:fill="auto"/>
            <w:hideMark/>
          </w:tcPr>
          <w:p w14:paraId="268F709A" w14:textId="4EDB2627" w:rsidR="0029763D" w:rsidRPr="00802AF9" w:rsidRDefault="0029763D" w:rsidP="003F073E">
            <w:pPr>
              <w:widowControl w:val="0"/>
              <w:jc w:val="right"/>
              <w:rPr>
                <w:sz w:val="20"/>
                <w:szCs w:val="20"/>
                <w:lang w:val="fr-CA"/>
              </w:rPr>
            </w:pPr>
            <w:r w:rsidRPr="00802AF9">
              <w:rPr>
                <w:sz w:val="20"/>
                <w:szCs w:val="20"/>
                <w:lang w:val="fr-CA"/>
              </w:rPr>
              <w:t>9</w:t>
            </w:r>
            <w:r w:rsidR="00157567">
              <w:rPr>
                <w:sz w:val="20"/>
                <w:szCs w:val="20"/>
                <w:lang w:val="fr-CA"/>
              </w:rPr>
              <w:t> </w:t>
            </w:r>
            <w:r w:rsidRPr="00802AF9">
              <w:rPr>
                <w:sz w:val="20"/>
                <w:szCs w:val="20"/>
                <w:lang w:val="fr-CA"/>
              </w:rPr>
              <w:t>200</w:t>
            </w:r>
            <w:r w:rsidR="00157567">
              <w:rPr>
                <w:sz w:val="20"/>
                <w:szCs w:val="20"/>
                <w:lang w:val="fr-CA"/>
              </w:rPr>
              <w:t> </w:t>
            </w:r>
            <w:r w:rsidRPr="00802AF9">
              <w:rPr>
                <w:sz w:val="20"/>
                <w:szCs w:val="20"/>
                <w:lang w:val="fr-CA"/>
              </w:rPr>
              <w:t>000</w:t>
            </w:r>
          </w:p>
        </w:tc>
        <w:tc>
          <w:tcPr>
            <w:tcW w:w="1255" w:type="dxa"/>
            <w:shd w:val="clear" w:color="auto" w:fill="auto"/>
            <w:hideMark/>
          </w:tcPr>
          <w:p w14:paraId="67DF8D5F" w14:textId="5F70D894" w:rsidR="0029763D" w:rsidRPr="00802AF9" w:rsidRDefault="0029763D" w:rsidP="003F073E">
            <w:pPr>
              <w:widowControl w:val="0"/>
              <w:jc w:val="right"/>
              <w:rPr>
                <w:sz w:val="20"/>
                <w:szCs w:val="20"/>
                <w:lang w:val="fr-CA"/>
              </w:rPr>
            </w:pPr>
            <w:r w:rsidRPr="00802AF9">
              <w:rPr>
                <w:sz w:val="20"/>
                <w:szCs w:val="20"/>
                <w:lang w:val="fr-CA"/>
              </w:rPr>
              <w:t>8</w:t>
            </w:r>
            <w:r w:rsidR="00157567">
              <w:rPr>
                <w:sz w:val="20"/>
                <w:szCs w:val="20"/>
                <w:lang w:val="fr-CA"/>
              </w:rPr>
              <w:t> </w:t>
            </w:r>
            <w:r w:rsidRPr="00802AF9">
              <w:rPr>
                <w:sz w:val="20"/>
                <w:szCs w:val="20"/>
                <w:lang w:val="fr-CA"/>
              </w:rPr>
              <w:t>495</w:t>
            </w:r>
            <w:r w:rsidR="00157567">
              <w:rPr>
                <w:sz w:val="20"/>
                <w:szCs w:val="20"/>
                <w:lang w:val="fr-CA"/>
              </w:rPr>
              <w:t> </w:t>
            </w:r>
            <w:r w:rsidRPr="00802AF9">
              <w:rPr>
                <w:sz w:val="20"/>
                <w:szCs w:val="20"/>
                <w:lang w:val="fr-CA"/>
              </w:rPr>
              <w:t>000</w:t>
            </w:r>
          </w:p>
        </w:tc>
        <w:tc>
          <w:tcPr>
            <w:tcW w:w="1255" w:type="dxa"/>
            <w:shd w:val="clear" w:color="auto" w:fill="auto"/>
            <w:hideMark/>
          </w:tcPr>
          <w:p w14:paraId="063F7605" w14:textId="5088CCCC" w:rsidR="0029763D" w:rsidRPr="00802AF9" w:rsidRDefault="0029763D" w:rsidP="003F073E">
            <w:pPr>
              <w:widowControl w:val="0"/>
              <w:jc w:val="right"/>
              <w:rPr>
                <w:sz w:val="20"/>
                <w:szCs w:val="20"/>
                <w:lang w:val="fr-CA"/>
              </w:rPr>
            </w:pPr>
            <w:r w:rsidRPr="00802AF9">
              <w:rPr>
                <w:sz w:val="20"/>
                <w:szCs w:val="20"/>
                <w:lang w:val="fr-CA"/>
              </w:rPr>
              <w:t>9</w:t>
            </w:r>
            <w:r w:rsidR="00157567">
              <w:rPr>
                <w:sz w:val="20"/>
                <w:szCs w:val="20"/>
                <w:lang w:val="fr-CA"/>
              </w:rPr>
              <w:t> </w:t>
            </w:r>
            <w:r w:rsidRPr="00802AF9">
              <w:rPr>
                <w:sz w:val="20"/>
                <w:szCs w:val="20"/>
                <w:lang w:val="fr-CA"/>
              </w:rPr>
              <w:t>625</w:t>
            </w:r>
            <w:r w:rsidR="00157567">
              <w:rPr>
                <w:sz w:val="20"/>
                <w:szCs w:val="20"/>
                <w:lang w:val="fr-CA"/>
              </w:rPr>
              <w:t> </w:t>
            </w:r>
            <w:r w:rsidRPr="00802AF9">
              <w:rPr>
                <w:sz w:val="20"/>
                <w:szCs w:val="20"/>
                <w:lang w:val="fr-CA"/>
              </w:rPr>
              <w:t>000</w:t>
            </w:r>
          </w:p>
        </w:tc>
        <w:tc>
          <w:tcPr>
            <w:tcW w:w="1255" w:type="dxa"/>
            <w:shd w:val="clear" w:color="auto" w:fill="auto"/>
            <w:hideMark/>
          </w:tcPr>
          <w:p w14:paraId="4B9F3EA2" w14:textId="28AD9E39" w:rsidR="0029763D" w:rsidRPr="00802AF9" w:rsidRDefault="0029763D" w:rsidP="003F073E">
            <w:pPr>
              <w:widowControl w:val="0"/>
              <w:jc w:val="right"/>
              <w:rPr>
                <w:sz w:val="20"/>
                <w:szCs w:val="20"/>
                <w:lang w:val="fr-CA"/>
              </w:rPr>
            </w:pPr>
            <w:r w:rsidRPr="00802AF9">
              <w:rPr>
                <w:sz w:val="20"/>
                <w:szCs w:val="20"/>
                <w:lang w:val="fr-CA"/>
              </w:rPr>
              <w:t>11</w:t>
            </w:r>
            <w:r w:rsidR="00157567">
              <w:rPr>
                <w:sz w:val="20"/>
                <w:szCs w:val="20"/>
                <w:lang w:val="fr-CA"/>
              </w:rPr>
              <w:t> </w:t>
            </w:r>
            <w:r w:rsidRPr="00802AF9">
              <w:rPr>
                <w:sz w:val="20"/>
                <w:szCs w:val="20"/>
                <w:lang w:val="fr-CA"/>
              </w:rPr>
              <w:t>250</w:t>
            </w:r>
            <w:r w:rsidR="00157567">
              <w:rPr>
                <w:sz w:val="20"/>
                <w:szCs w:val="20"/>
                <w:lang w:val="fr-CA"/>
              </w:rPr>
              <w:t> </w:t>
            </w:r>
            <w:r w:rsidRPr="00802AF9">
              <w:rPr>
                <w:sz w:val="20"/>
                <w:szCs w:val="20"/>
                <w:lang w:val="fr-CA"/>
              </w:rPr>
              <w:t>000</w:t>
            </w:r>
          </w:p>
        </w:tc>
        <w:tc>
          <w:tcPr>
            <w:tcW w:w="1256" w:type="dxa"/>
            <w:shd w:val="clear" w:color="auto" w:fill="auto"/>
            <w:noWrap/>
            <w:hideMark/>
          </w:tcPr>
          <w:p w14:paraId="3732BC1F" w14:textId="4C00801D" w:rsidR="0029763D" w:rsidRPr="00802AF9" w:rsidRDefault="0029763D" w:rsidP="003F073E">
            <w:pPr>
              <w:widowControl w:val="0"/>
              <w:jc w:val="right"/>
              <w:rPr>
                <w:sz w:val="20"/>
                <w:szCs w:val="20"/>
                <w:lang w:val="fr-CA"/>
              </w:rPr>
            </w:pPr>
            <w:r w:rsidRPr="00802AF9">
              <w:rPr>
                <w:sz w:val="20"/>
                <w:szCs w:val="20"/>
                <w:lang w:val="fr-CA"/>
              </w:rPr>
              <w:t>75</w:t>
            </w:r>
            <w:r w:rsidR="00157567">
              <w:rPr>
                <w:sz w:val="20"/>
                <w:szCs w:val="20"/>
                <w:lang w:val="fr-CA"/>
              </w:rPr>
              <w:t> </w:t>
            </w:r>
            <w:r w:rsidRPr="00802AF9">
              <w:rPr>
                <w:sz w:val="20"/>
                <w:szCs w:val="20"/>
                <w:lang w:val="fr-CA"/>
              </w:rPr>
              <w:t>000</w:t>
            </w:r>
            <w:r w:rsidR="00157567">
              <w:rPr>
                <w:sz w:val="20"/>
                <w:szCs w:val="20"/>
                <w:lang w:val="fr-CA"/>
              </w:rPr>
              <w:t> </w:t>
            </w:r>
            <w:r w:rsidRPr="00802AF9">
              <w:rPr>
                <w:sz w:val="20"/>
                <w:szCs w:val="20"/>
                <w:lang w:val="fr-CA"/>
              </w:rPr>
              <w:t>000</w:t>
            </w:r>
          </w:p>
        </w:tc>
      </w:tr>
      <w:tr w:rsidR="0029763D" w:rsidRPr="00802AF9" w14:paraId="5BBC4111" w14:textId="77777777" w:rsidTr="00BA5233">
        <w:trPr>
          <w:trHeight w:val="107"/>
        </w:trPr>
        <w:tc>
          <w:tcPr>
            <w:tcW w:w="1885" w:type="dxa"/>
            <w:shd w:val="clear" w:color="auto" w:fill="auto"/>
            <w:tcMar>
              <w:left w:w="29" w:type="dxa"/>
              <w:right w:w="0" w:type="dxa"/>
            </w:tcMar>
            <w:hideMark/>
          </w:tcPr>
          <w:p w14:paraId="17636794" w14:textId="18D69F19" w:rsidR="0029763D" w:rsidRPr="00802AF9" w:rsidRDefault="0029763D" w:rsidP="003F073E">
            <w:pPr>
              <w:widowControl w:val="0"/>
              <w:jc w:val="left"/>
              <w:rPr>
                <w:bCs/>
                <w:sz w:val="20"/>
                <w:szCs w:val="20"/>
                <w:lang w:val="fr-CA"/>
              </w:rPr>
            </w:pPr>
            <w:r w:rsidRPr="00802AF9">
              <w:rPr>
                <w:bCs/>
                <w:sz w:val="20"/>
                <w:szCs w:val="20"/>
                <w:lang w:val="fr-CA"/>
              </w:rPr>
              <w:t>D</w:t>
            </w:r>
            <w:r w:rsidR="00157567">
              <w:rPr>
                <w:bCs/>
                <w:sz w:val="20"/>
                <w:szCs w:val="20"/>
                <w:lang w:val="fr-CA"/>
              </w:rPr>
              <w:t>écaissés par l’</w:t>
            </w:r>
            <w:r w:rsidR="0014063A" w:rsidRPr="00802AF9">
              <w:rPr>
                <w:bCs/>
                <w:sz w:val="20"/>
                <w:szCs w:val="20"/>
                <w:lang w:val="fr-CA"/>
              </w:rPr>
              <w:t>ONUDI</w:t>
            </w:r>
          </w:p>
        </w:tc>
        <w:tc>
          <w:tcPr>
            <w:tcW w:w="1255" w:type="dxa"/>
            <w:shd w:val="clear" w:color="auto" w:fill="auto"/>
            <w:vAlign w:val="center"/>
            <w:hideMark/>
          </w:tcPr>
          <w:p w14:paraId="5B895F0C" w14:textId="6A52F50A" w:rsidR="0029763D" w:rsidRPr="00802AF9" w:rsidRDefault="0029763D" w:rsidP="00BA5233">
            <w:pPr>
              <w:widowControl w:val="0"/>
              <w:jc w:val="right"/>
              <w:rPr>
                <w:sz w:val="20"/>
                <w:szCs w:val="20"/>
                <w:lang w:val="fr-CA"/>
              </w:rPr>
            </w:pPr>
            <w:r w:rsidRPr="00802AF9">
              <w:rPr>
                <w:sz w:val="20"/>
                <w:szCs w:val="20"/>
                <w:lang w:val="fr-CA"/>
              </w:rPr>
              <w:t>32</w:t>
            </w:r>
            <w:r w:rsidR="00157567">
              <w:rPr>
                <w:sz w:val="20"/>
                <w:szCs w:val="20"/>
                <w:lang w:val="fr-CA"/>
              </w:rPr>
              <w:t> </w:t>
            </w:r>
            <w:r w:rsidRPr="00802AF9">
              <w:rPr>
                <w:sz w:val="20"/>
                <w:szCs w:val="20"/>
                <w:lang w:val="fr-CA"/>
              </w:rPr>
              <w:t>786</w:t>
            </w:r>
            <w:r w:rsidR="00157567">
              <w:rPr>
                <w:sz w:val="20"/>
                <w:szCs w:val="20"/>
                <w:lang w:val="fr-CA"/>
              </w:rPr>
              <w:t> </w:t>
            </w:r>
            <w:r w:rsidRPr="00802AF9">
              <w:rPr>
                <w:sz w:val="20"/>
                <w:szCs w:val="20"/>
                <w:lang w:val="fr-CA"/>
              </w:rPr>
              <w:t>917</w:t>
            </w:r>
          </w:p>
        </w:tc>
        <w:tc>
          <w:tcPr>
            <w:tcW w:w="1255" w:type="dxa"/>
            <w:shd w:val="clear" w:color="auto" w:fill="auto"/>
            <w:vAlign w:val="center"/>
            <w:hideMark/>
          </w:tcPr>
          <w:p w14:paraId="401037BC" w14:textId="24795435" w:rsidR="0029763D" w:rsidRPr="00802AF9" w:rsidRDefault="0029763D" w:rsidP="00BA5233">
            <w:pPr>
              <w:widowControl w:val="0"/>
              <w:jc w:val="right"/>
              <w:rPr>
                <w:sz w:val="20"/>
                <w:szCs w:val="20"/>
                <w:lang w:val="fr-CA"/>
              </w:rPr>
            </w:pPr>
            <w:r w:rsidRPr="00802AF9">
              <w:rPr>
                <w:sz w:val="20"/>
                <w:szCs w:val="20"/>
                <w:lang w:val="fr-CA"/>
              </w:rPr>
              <w:t>8</w:t>
            </w:r>
            <w:r w:rsidR="00157567">
              <w:rPr>
                <w:sz w:val="20"/>
                <w:szCs w:val="20"/>
                <w:lang w:val="fr-CA"/>
              </w:rPr>
              <w:t> </w:t>
            </w:r>
            <w:r w:rsidRPr="00802AF9">
              <w:rPr>
                <w:sz w:val="20"/>
                <w:szCs w:val="20"/>
                <w:lang w:val="fr-CA"/>
              </w:rPr>
              <w:t>316</w:t>
            </w:r>
            <w:r w:rsidR="00157567">
              <w:rPr>
                <w:sz w:val="20"/>
                <w:szCs w:val="20"/>
                <w:lang w:val="fr-CA"/>
              </w:rPr>
              <w:t> </w:t>
            </w:r>
            <w:r w:rsidRPr="00802AF9">
              <w:rPr>
                <w:sz w:val="20"/>
                <w:szCs w:val="20"/>
                <w:lang w:val="fr-CA"/>
              </w:rPr>
              <w:t>800</w:t>
            </w:r>
          </w:p>
        </w:tc>
        <w:tc>
          <w:tcPr>
            <w:tcW w:w="1255" w:type="dxa"/>
            <w:shd w:val="clear" w:color="auto" w:fill="auto"/>
            <w:vAlign w:val="center"/>
            <w:hideMark/>
          </w:tcPr>
          <w:p w14:paraId="4937021C" w14:textId="6623EB6B" w:rsidR="0029763D" w:rsidRPr="00802AF9" w:rsidRDefault="0029763D" w:rsidP="00BA5233">
            <w:pPr>
              <w:widowControl w:val="0"/>
              <w:jc w:val="right"/>
              <w:rPr>
                <w:sz w:val="20"/>
                <w:szCs w:val="20"/>
                <w:lang w:val="fr-CA"/>
              </w:rPr>
            </w:pPr>
            <w:r w:rsidRPr="00802AF9">
              <w:rPr>
                <w:sz w:val="20"/>
                <w:szCs w:val="20"/>
                <w:lang w:val="fr-CA"/>
              </w:rPr>
              <w:t>7</w:t>
            </w:r>
            <w:r w:rsidR="00157567">
              <w:rPr>
                <w:sz w:val="20"/>
                <w:szCs w:val="20"/>
                <w:lang w:val="fr-CA"/>
              </w:rPr>
              <w:t> </w:t>
            </w:r>
            <w:r w:rsidRPr="00802AF9">
              <w:rPr>
                <w:sz w:val="20"/>
                <w:szCs w:val="20"/>
                <w:lang w:val="fr-CA"/>
              </w:rPr>
              <w:t>608</w:t>
            </w:r>
            <w:r w:rsidR="00157567">
              <w:rPr>
                <w:sz w:val="20"/>
                <w:szCs w:val="20"/>
                <w:lang w:val="fr-CA"/>
              </w:rPr>
              <w:t> </w:t>
            </w:r>
            <w:r w:rsidRPr="00802AF9">
              <w:rPr>
                <w:sz w:val="20"/>
                <w:szCs w:val="20"/>
                <w:lang w:val="fr-CA"/>
              </w:rPr>
              <w:t>900</w:t>
            </w:r>
          </w:p>
        </w:tc>
        <w:tc>
          <w:tcPr>
            <w:tcW w:w="1255" w:type="dxa"/>
            <w:shd w:val="clear" w:color="auto" w:fill="auto"/>
            <w:vAlign w:val="center"/>
            <w:hideMark/>
          </w:tcPr>
          <w:p w14:paraId="5E58CBB4" w14:textId="5CD1C121" w:rsidR="0029763D" w:rsidRPr="00802AF9" w:rsidRDefault="0029763D" w:rsidP="00BA5233">
            <w:pPr>
              <w:widowControl w:val="0"/>
              <w:jc w:val="right"/>
              <w:rPr>
                <w:sz w:val="20"/>
                <w:szCs w:val="20"/>
                <w:lang w:val="fr-CA"/>
              </w:rPr>
            </w:pPr>
            <w:r w:rsidRPr="00802AF9">
              <w:rPr>
                <w:sz w:val="20"/>
                <w:szCs w:val="20"/>
                <w:lang w:val="fr-CA"/>
              </w:rPr>
              <w:t>8</w:t>
            </w:r>
            <w:r w:rsidR="00157567">
              <w:rPr>
                <w:sz w:val="20"/>
                <w:szCs w:val="20"/>
                <w:lang w:val="fr-CA"/>
              </w:rPr>
              <w:t> </w:t>
            </w:r>
            <w:r w:rsidRPr="00802AF9">
              <w:rPr>
                <w:sz w:val="20"/>
                <w:szCs w:val="20"/>
                <w:lang w:val="fr-CA"/>
              </w:rPr>
              <w:t>662</w:t>
            </w:r>
            <w:r w:rsidR="00157567">
              <w:rPr>
                <w:sz w:val="20"/>
                <w:szCs w:val="20"/>
                <w:lang w:val="fr-CA"/>
              </w:rPr>
              <w:t> </w:t>
            </w:r>
            <w:r w:rsidRPr="00802AF9">
              <w:rPr>
                <w:sz w:val="20"/>
                <w:szCs w:val="20"/>
                <w:lang w:val="fr-CA"/>
              </w:rPr>
              <w:t>500</w:t>
            </w:r>
          </w:p>
        </w:tc>
        <w:tc>
          <w:tcPr>
            <w:tcW w:w="1255" w:type="dxa"/>
            <w:shd w:val="clear" w:color="auto" w:fill="auto"/>
            <w:vAlign w:val="center"/>
            <w:hideMark/>
          </w:tcPr>
          <w:p w14:paraId="0F8BA8F0" w14:textId="0014B629" w:rsidR="0029763D" w:rsidRPr="00802AF9" w:rsidRDefault="0029763D" w:rsidP="00BA5233">
            <w:pPr>
              <w:widowControl w:val="0"/>
              <w:jc w:val="right"/>
              <w:rPr>
                <w:sz w:val="20"/>
                <w:szCs w:val="20"/>
                <w:lang w:val="fr-CA"/>
              </w:rPr>
            </w:pPr>
            <w:r w:rsidRPr="00802AF9">
              <w:rPr>
                <w:sz w:val="20"/>
                <w:szCs w:val="20"/>
                <w:lang w:val="fr-CA"/>
              </w:rPr>
              <w:t>3</w:t>
            </w:r>
            <w:r w:rsidR="00157567">
              <w:rPr>
                <w:sz w:val="20"/>
                <w:szCs w:val="20"/>
                <w:lang w:val="fr-CA"/>
              </w:rPr>
              <w:t> </w:t>
            </w:r>
            <w:r w:rsidRPr="00802AF9">
              <w:rPr>
                <w:sz w:val="20"/>
                <w:szCs w:val="20"/>
                <w:lang w:val="fr-CA"/>
              </w:rPr>
              <w:t>352</w:t>
            </w:r>
            <w:r w:rsidR="00157567">
              <w:rPr>
                <w:sz w:val="20"/>
                <w:szCs w:val="20"/>
                <w:lang w:val="fr-CA"/>
              </w:rPr>
              <w:t> </w:t>
            </w:r>
            <w:r w:rsidRPr="00802AF9">
              <w:rPr>
                <w:sz w:val="20"/>
                <w:szCs w:val="20"/>
                <w:lang w:val="fr-CA"/>
              </w:rPr>
              <w:t>500</w:t>
            </w:r>
          </w:p>
        </w:tc>
        <w:tc>
          <w:tcPr>
            <w:tcW w:w="1256" w:type="dxa"/>
            <w:shd w:val="clear" w:color="auto" w:fill="auto"/>
            <w:noWrap/>
            <w:vAlign w:val="center"/>
            <w:hideMark/>
          </w:tcPr>
          <w:p w14:paraId="7BDCABEB" w14:textId="38A8773D" w:rsidR="0029763D" w:rsidRPr="00802AF9" w:rsidRDefault="0029763D" w:rsidP="00BA5233">
            <w:pPr>
              <w:widowControl w:val="0"/>
              <w:jc w:val="right"/>
              <w:rPr>
                <w:sz w:val="20"/>
                <w:szCs w:val="20"/>
                <w:lang w:val="fr-CA"/>
              </w:rPr>
            </w:pPr>
            <w:r w:rsidRPr="00802AF9">
              <w:rPr>
                <w:sz w:val="20"/>
                <w:szCs w:val="20"/>
                <w:lang w:val="fr-CA"/>
              </w:rPr>
              <w:t>60</w:t>
            </w:r>
            <w:r w:rsidR="00157567">
              <w:rPr>
                <w:sz w:val="20"/>
                <w:szCs w:val="20"/>
                <w:lang w:val="fr-CA"/>
              </w:rPr>
              <w:t> </w:t>
            </w:r>
            <w:r w:rsidRPr="00802AF9">
              <w:rPr>
                <w:sz w:val="20"/>
                <w:szCs w:val="20"/>
                <w:lang w:val="fr-CA"/>
              </w:rPr>
              <w:t>727</w:t>
            </w:r>
            <w:r w:rsidR="00157567">
              <w:rPr>
                <w:sz w:val="20"/>
                <w:szCs w:val="20"/>
                <w:lang w:val="fr-CA"/>
              </w:rPr>
              <w:t> </w:t>
            </w:r>
            <w:r w:rsidRPr="00802AF9">
              <w:rPr>
                <w:sz w:val="20"/>
                <w:szCs w:val="20"/>
                <w:lang w:val="fr-CA"/>
              </w:rPr>
              <w:t>617</w:t>
            </w:r>
          </w:p>
        </w:tc>
      </w:tr>
      <w:tr w:rsidR="0029763D" w:rsidRPr="00802AF9" w14:paraId="1E7E9EE6" w14:textId="77777777" w:rsidTr="003F073E">
        <w:trPr>
          <w:trHeight w:val="50"/>
        </w:trPr>
        <w:tc>
          <w:tcPr>
            <w:tcW w:w="1885" w:type="dxa"/>
            <w:shd w:val="clear" w:color="auto" w:fill="auto"/>
            <w:tcMar>
              <w:left w:w="29" w:type="dxa"/>
              <w:right w:w="0" w:type="dxa"/>
            </w:tcMar>
            <w:hideMark/>
          </w:tcPr>
          <w:p w14:paraId="60191C30" w14:textId="05E133D8" w:rsidR="0029763D" w:rsidRPr="00802AF9" w:rsidRDefault="00157567" w:rsidP="003F073E">
            <w:pPr>
              <w:widowControl w:val="0"/>
              <w:jc w:val="left"/>
              <w:rPr>
                <w:bCs/>
                <w:sz w:val="20"/>
                <w:szCs w:val="20"/>
                <w:lang w:val="fr-CA"/>
              </w:rPr>
            </w:pPr>
            <w:r>
              <w:rPr>
                <w:bCs/>
                <w:sz w:val="20"/>
                <w:szCs w:val="20"/>
                <w:lang w:val="fr-CA"/>
              </w:rPr>
              <w:t>Décaissés par le</w:t>
            </w:r>
            <w:r w:rsidR="0029763D" w:rsidRPr="00802AF9">
              <w:rPr>
                <w:bCs/>
                <w:sz w:val="20"/>
                <w:szCs w:val="20"/>
                <w:lang w:val="fr-CA"/>
              </w:rPr>
              <w:t xml:space="preserve"> </w:t>
            </w:r>
            <w:r w:rsidR="00C816AC">
              <w:rPr>
                <w:bCs/>
                <w:sz w:val="20"/>
                <w:szCs w:val="20"/>
                <w:lang w:val="fr-CA"/>
              </w:rPr>
              <w:t>CCEE</w:t>
            </w:r>
          </w:p>
        </w:tc>
        <w:tc>
          <w:tcPr>
            <w:tcW w:w="1255" w:type="dxa"/>
            <w:shd w:val="clear" w:color="auto" w:fill="auto"/>
            <w:vAlign w:val="bottom"/>
            <w:hideMark/>
          </w:tcPr>
          <w:p w14:paraId="3E5B56AC" w14:textId="26CC5F04" w:rsidR="0029763D" w:rsidRPr="00802AF9" w:rsidRDefault="0029763D" w:rsidP="003F073E">
            <w:pPr>
              <w:widowControl w:val="0"/>
              <w:jc w:val="right"/>
              <w:rPr>
                <w:color w:val="000000"/>
                <w:sz w:val="20"/>
                <w:szCs w:val="20"/>
                <w:lang w:val="fr-CA"/>
              </w:rPr>
            </w:pPr>
            <w:r w:rsidRPr="00802AF9">
              <w:rPr>
                <w:color w:val="000000"/>
                <w:sz w:val="20"/>
                <w:szCs w:val="20"/>
                <w:lang w:val="fr-CA"/>
              </w:rPr>
              <w:t>33</w:t>
            </w:r>
            <w:r w:rsidR="00157567">
              <w:rPr>
                <w:color w:val="000000"/>
                <w:sz w:val="20"/>
                <w:szCs w:val="20"/>
                <w:lang w:val="fr-CA"/>
              </w:rPr>
              <w:t> </w:t>
            </w:r>
            <w:r w:rsidRPr="00802AF9">
              <w:rPr>
                <w:color w:val="000000"/>
                <w:sz w:val="20"/>
                <w:szCs w:val="20"/>
                <w:lang w:val="fr-CA"/>
              </w:rPr>
              <w:t>259</w:t>
            </w:r>
            <w:r w:rsidR="00157567">
              <w:rPr>
                <w:color w:val="000000"/>
                <w:sz w:val="20"/>
                <w:szCs w:val="20"/>
                <w:lang w:val="fr-CA"/>
              </w:rPr>
              <w:t> </w:t>
            </w:r>
            <w:r w:rsidRPr="00802AF9">
              <w:rPr>
                <w:color w:val="000000"/>
                <w:sz w:val="20"/>
                <w:szCs w:val="20"/>
                <w:lang w:val="fr-CA"/>
              </w:rPr>
              <w:t xml:space="preserve">197 </w:t>
            </w:r>
          </w:p>
        </w:tc>
        <w:tc>
          <w:tcPr>
            <w:tcW w:w="1255" w:type="dxa"/>
            <w:shd w:val="clear" w:color="auto" w:fill="auto"/>
            <w:vAlign w:val="bottom"/>
            <w:hideMark/>
          </w:tcPr>
          <w:p w14:paraId="5118DA47" w14:textId="3C17043F" w:rsidR="0029763D" w:rsidRPr="00802AF9" w:rsidRDefault="0029763D" w:rsidP="003F073E">
            <w:pPr>
              <w:widowControl w:val="0"/>
              <w:jc w:val="right"/>
              <w:rPr>
                <w:color w:val="000000"/>
                <w:sz w:val="20"/>
                <w:szCs w:val="20"/>
                <w:lang w:val="fr-CA"/>
              </w:rPr>
            </w:pPr>
            <w:r w:rsidRPr="00802AF9">
              <w:rPr>
                <w:color w:val="000000"/>
                <w:sz w:val="20"/>
                <w:szCs w:val="20"/>
                <w:lang w:val="fr-CA"/>
              </w:rPr>
              <w:t xml:space="preserve"> 7</w:t>
            </w:r>
            <w:r w:rsidR="00157567">
              <w:rPr>
                <w:color w:val="000000"/>
                <w:sz w:val="20"/>
                <w:szCs w:val="20"/>
                <w:lang w:val="fr-CA"/>
              </w:rPr>
              <w:t> </w:t>
            </w:r>
            <w:r w:rsidRPr="00802AF9">
              <w:rPr>
                <w:color w:val="000000"/>
                <w:sz w:val="20"/>
                <w:szCs w:val="20"/>
                <w:lang w:val="fr-CA"/>
              </w:rPr>
              <w:t>005</w:t>
            </w:r>
            <w:r w:rsidR="00157567">
              <w:rPr>
                <w:color w:val="000000"/>
                <w:sz w:val="20"/>
                <w:szCs w:val="20"/>
                <w:lang w:val="fr-CA"/>
              </w:rPr>
              <w:t> </w:t>
            </w:r>
            <w:r w:rsidRPr="00802AF9">
              <w:rPr>
                <w:color w:val="000000"/>
                <w:sz w:val="20"/>
                <w:szCs w:val="20"/>
                <w:lang w:val="fr-CA"/>
              </w:rPr>
              <w:t xml:space="preserve">129 </w:t>
            </w:r>
          </w:p>
        </w:tc>
        <w:tc>
          <w:tcPr>
            <w:tcW w:w="1255" w:type="dxa"/>
            <w:shd w:val="clear" w:color="auto" w:fill="auto"/>
            <w:vAlign w:val="bottom"/>
            <w:hideMark/>
          </w:tcPr>
          <w:p w14:paraId="417AAECF" w14:textId="2D7FDA3F" w:rsidR="0029763D" w:rsidRPr="00802AF9" w:rsidRDefault="0029763D" w:rsidP="003F073E">
            <w:pPr>
              <w:widowControl w:val="0"/>
              <w:jc w:val="right"/>
              <w:rPr>
                <w:color w:val="000000"/>
                <w:sz w:val="20"/>
                <w:szCs w:val="20"/>
                <w:lang w:val="fr-CA"/>
              </w:rPr>
            </w:pPr>
            <w:r w:rsidRPr="00802AF9">
              <w:rPr>
                <w:color w:val="000000"/>
                <w:sz w:val="20"/>
                <w:szCs w:val="20"/>
                <w:lang w:val="fr-CA"/>
              </w:rPr>
              <w:t>8</w:t>
            </w:r>
            <w:r w:rsidR="00157567">
              <w:rPr>
                <w:color w:val="000000"/>
                <w:sz w:val="20"/>
                <w:szCs w:val="20"/>
                <w:lang w:val="fr-CA"/>
              </w:rPr>
              <w:t> </w:t>
            </w:r>
            <w:r w:rsidRPr="00802AF9">
              <w:rPr>
                <w:color w:val="000000"/>
                <w:sz w:val="20"/>
                <w:szCs w:val="20"/>
                <w:lang w:val="fr-CA"/>
              </w:rPr>
              <w:t>069</w:t>
            </w:r>
            <w:r w:rsidR="00157567">
              <w:rPr>
                <w:color w:val="000000"/>
                <w:sz w:val="20"/>
                <w:szCs w:val="20"/>
                <w:lang w:val="fr-CA"/>
              </w:rPr>
              <w:t> </w:t>
            </w:r>
            <w:r w:rsidRPr="00802AF9">
              <w:rPr>
                <w:color w:val="000000"/>
                <w:sz w:val="20"/>
                <w:szCs w:val="20"/>
                <w:lang w:val="fr-CA"/>
              </w:rPr>
              <w:t xml:space="preserve">073 </w:t>
            </w:r>
          </w:p>
        </w:tc>
        <w:tc>
          <w:tcPr>
            <w:tcW w:w="1255" w:type="dxa"/>
            <w:shd w:val="clear" w:color="auto" w:fill="auto"/>
            <w:vAlign w:val="bottom"/>
            <w:hideMark/>
          </w:tcPr>
          <w:p w14:paraId="1A910CF3" w14:textId="0BB204F8" w:rsidR="0029763D" w:rsidRPr="00802AF9" w:rsidRDefault="0029763D" w:rsidP="003F073E">
            <w:pPr>
              <w:widowControl w:val="0"/>
              <w:jc w:val="right"/>
              <w:rPr>
                <w:color w:val="000000"/>
                <w:sz w:val="20"/>
                <w:szCs w:val="20"/>
                <w:lang w:val="fr-CA"/>
              </w:rPr>
            </w:pPr>
            <w:r w:rsidRPr="00802AF9">
              <w:rPr>
                <w:color w:val="000000"/>
                <w:sz w:val="20"/>
                <w:szCs w:val="20"/>
                <w:lang w:val="fr-CA"/>
              </w:rPr>
              <w:t>9</w:t>
            </w:r>
            <w:r w:rsidR="00157567">
              <w:rPr>
                <w:color w:val="000000"/>
                <w:sz w:val="20"/>
                <w:szCs w:val="20"/>
                <w:lang w:val="fr-CA"/>
              </w:rPr>
              <w:t> </w:t>
            </w:r>
            <w:r w:rsidRPr="00802AF9">
              <w:rPr>
                <w:color w:val="000000"/>
                <w:sz w:val="20"/>
                <w:szCs w:val="20"/>
                <w:lang w:val="fr-CA"/>
              </w:rPr>
              <w:t>545</w:t>
            </w:r>
            <w:r w:rsidR="00157567">
              <w:rPr>
                <w:color w:val="000000"/>
                <w:sz w:val="20"/>
                <w:szCs w:val="20"/>
                <w:lang w:val="fr-CA"/>
              </w:rPr>
              <w:t> </w:t>
            </w:r>
            <w:r w:rsidRPr="00802AF9">
              <w:rPr>
                <w:color w:val="000000"/>
                <w:sz w:val="20"/>
                <w:szCs w:val="20"/>
                <w:lang w:val="fr-CA"/>
              </w:rPr>
              <w:t xml:space="preserve">113 </w:t>
            </w:r>
          </w:p>
        </w:tc>
        <w:tc>
          <w:tcPr>
            <w:tcW w:w="1255" w:type="dxa"/>
            <w:shd w:val="clear" w:color="auto" w:fill="auto"/>
            <w:vAlign w:val="bottom"/>
            <w:hideMark/>
          </w:tcPr>
          <w:p w14:paraId="49AA8046" w14:textId="751C3B0B" w:rsidR="0029763D" w:rsidRPr="00802AF9" w:rsidRDefault="0029763D" w:rsidP="003F073E">
            <w:pPr>
              <w:widowControl w:val="0"/>
              <w:jc w:val="right"/>
              <w:rPr>
                <w:color w:val="000000"/>
                <w:sz w:val="20"/>
                <w:szCs w:val="20"/>
                <w:lang w:val="fr-CA"/>
              </w:rPr>
            </w:pPr>
            <w:r w:rsidRPr="00802AF9">
              <w:rPr>
                <w:color w:val="000000"/>
                <w:sz w:val="20"/>
                <w:szCs w:val="20"/>
                <w:lang w:val="fr-CA"/>
              </w:rPr>
              <w:t>6</w:t>
            </w:r>
            <w:r w:rsidR="00157567">
              <w:rPr>
                <w:color w:val="000000"/>
                <w:sz w:val="20"/>
                <w:szCs w:val="20"/>
                <w:lang w:val="fr-CA"/>
              </w:rPr>
              <w:t> </w:t>
            </w:r>
            <w:r w:rsidRPr="00802AF9">
              <w:rPr>
                <w:color w:val="000000"/>
                <w:sz w:val="20"/>
                <w:szCs w:val="20"/>
                <w:lang w:val="fr-CA"/>
              </w:rPr>
              <w:t>198</w:t>
            </w:r>
            <w:r w:rsidR="00157567">
              <w:rPr>
                <w:color w:val="000000"/>
                <w:sz w:val="20"/>
                <w:szCs w:val="20"/>
                <w:lang w:val="fr-CA"/>
              </w:rPr>
              <w:t> </w:t>
            </w:r>
            <w:r w:rsidRPr="00802AF9">
              <w:rPr>
                <w:color w:val="000000"/>
                <w:sz w:val="20"/>
                <w:szCs w:val="20"/>
                <w:lang w:val="fr-CA"/>
              </w:rPr>
              <w:t xml:space="preserve">929 </w:t>
            </w:r>
          </w:p>
        </w:tc>
        <w:tc>
          <w:tcPr>
            <w:tcW w:w="1256" w:type="dxa"/>
            <w:shd w:val="clear" w:color="auto" w:fill="auto"/>
            <w:noWrap/>
            <w:vAlign w:val="bottom"/>
            <w:hideMark/>
          </w:tcPr>
          <w:p w14:paraId="2D07C789" w14:textId="1F771EFC" w:rsidR="0029763D" w:rsidRPr="00802AF9" w:rsidRDefault="0029763D" w:rsidP="003F073E">
            <w:pPr>
              <w:widowControl w:val="0"/>
              <w:jc w:val="right"/>
              <w:rPr>
                <w:color w:val="000000"/>
                <w:sz w:val="20"/>
                <w:szCs w:val="20"/>
                <w:lang w:val="fr-CA"/>
              </w:rPr>
            </w:pPr>
            <w:r w:rsidRPr="00802AF9">
              <w:rPr>
                <w:color w:val="000000"/>
                <w:sz w:val="20"/>
                <w:szCs w:val="20"/>
                <w:lang w:val="fr-CA"/>
              </w:rPr>
              <w:t>64</w:t>
            </w:r>
            <w:r w:rsidR="00157567">
              <w:rPr>
                <w:color w:val="000000"/>
                <w:sz w:val="20"/>
                <w:szCs w:val="20"/>
                <w:lang w:val="fr-CA"/>
              </w:rPr>
              <w:t> </w:t>
            </w:r>
            <w:r w:rsidRPr="00802AF9">
              <w:rPr>
                <w:color w:val="000000"/>
                <w:sz w:val="20"/>
                <w:szCs w:val="20"/>
                <w:lang w:val="fr-CA"/>
              </w:rPr>
              <w:t>077</w:t>
            </w:r>
            <w:r w:rsidR="00157567">
              <w:rPr>
                <w:color w:val="000000"/>
                <w:sz w:val="20"/>
                <w:szCs w:val="20"/>
                <w:lang w:val="fr-CA"/>
              </w:rPr>
              <w:t> </w:t>
            </w:r>
            <w:r w:rsidRPr="00802AF9">
              <w:rPr>
                <w:color w:val="000000"/>
                <w:sz w:val="20"/>
                <w:szCs w:val="20"/>
                <w:lang w:val="fr-CA"/>
              </w:rPr>
              <w:t>440</w:t>
            </w:r>
            <w:r w:rsidRPr="00802AF9">
              <w:rPr>
                <w:color w:val="000000"/>
                <w:sz w:val="20"/>
                <w:szCs w:val="20"/>
                <w:vertAlign w:val="superscript"/>
                <w:lang w:val="fr-CA"/>
              </w:rPr>
              <w:t>**</w:t>
            </w:r>
            <w:r w:rsidRPr="00802AF9">
              <w:rPr>
                <w:color w:val="000000"/>
                <w:sz w:val="20"/>
                <w:szCs w:val="20"/>
                <w:lang w:val="fr-CA"/>
              </w:rPr>
              <w:t xml:space="preserve"> </w:t>
            </w:r>
          </w:p>
        </w:tc>
      </w:tr>
    </w:tbl>
    <w:p w14:paraId="7AA2A602" w14:textId="6B5565DF" w:rsidR="0029763D" w:rsidRPr="00802AF9" w:rsidRDefault="0029763D" w:rsidP="0029763D">
      <w:pPr>
        <w:widowControl w:val="0"/>
        <w:rPr>
          <w:sz w:val="18"/>
          <w:szCs w:val="18"/>
          <w:lang w:val="fr-CA"/>
        </w:rPr>
      </w:pPr>
      <w:r w:rsidRPr="00802AF9">
        <w:rPr>
          <w:sz w:val="18"/>
          <w:szCs w:val="18"/>
          <w:vertAlign w:val="superscript"/>
          <w:lang w:val="fr-CA"/>
        </w:rPr>
        <w:t>*</w:t>
      </w:r>
      <w:r w:rsidRPr="00802AF9">
        <w:rPr>
          <w:sz w:val="18"/>
          <w:szCs w:val="18"/>
          <w:lang w:val="fr-CA"/>
        </w:rPr>
        <w:t xml:space="preserve"> Exclu</w:t>
      </w:r>
      <w:r w:rsidR="00157567">
        <w:rPr>
          <w:sz w:val="18"/>
          <w:szCs w:val="18"/>
          <w:lang w:val="fr-CA"/>
        </w:rPr>
        <w:t xml:space="preserve">ant les </w:t>
      </w:r>
      <w:r w:rsidR="00C709F6">
        <w:rPr>
          <w:sz w:val="18"/>
          <w:szCs w:val="18"/>
          <w:lang w:val="fr-CA"/>
        </w:rPr>
        <w:t>coûts d’appui</w:t>
      </w:r>
      <w:r w:rsidR="00157567">
        <w:rPr>
          <w:sz w:val="18"/>
          <w:szCs w:val="18"/>
          <w:lang w:val="fr-CA"/>
        </w:rPr>
        <w:t xml:space="preserve"> d’agence</w:t>
      </w:r>
    </w:p>
    <w:p w14:paraId="4CC78D5E" w14:textId="771A925A" w:rsidR="0029763D" w:rsidRPr="00802AF9" w:rsidRDefault="0029763D" w:rsidP="0029763D">
      <w:pPr>
        <w:widowControl w:val="0"/>
        <w:rPr>
          <w:sz w:val="18"/>
          <w:szCs w:val="18"/>
          <w:lang w:val="fr-CA"/>
        </w:rPr>
      </w:pPr>
      <w:r w:rsidRPr="00802AF9">
        <w:rPr>
          <w:sz w:val="18"/>
          <w:szCs w:val="18"/>
          <w:vertAlign w:val="superscript"/>
          <w:lang w:val="fr-CA"/>
        </w:rPr>
        <w:t>**</w:t>
      </w:r>
      <w:r w:rsidRPr="00802AF9">
        <w:rPr>
          <w:sz w:val="18"/>
          <w:szCs w:val="18"/>
          <w:lang w:val="fr-CA"/>
        </w:rPr>
        <w:t xml:space="preserve"> </w:t>
      </w:r>
      <w:r w:rsidR="00157567">
        <w:rPr>
          <w:sz w:val="18"/>
          <w:szCs w:val="18"/>
          <w:lang w:val="fr-CA"/>
        </w:rPr>
        <w:t xml:space="preserve">Montant supérieur aux décaissements de l’ONUDI car le </w:t>
      </w:r>
      <w:r w:rsidR="00C816AC">
        <w:rPr>
          <w:sz w:val="18"/>
          <w:szCs w:val="18"/>
          <w:lang w:val="fr-CA"/>
        </w:rPr>
        <w:t>CCEE</w:t>
      </w:r>
      <w:r w:rsidRPr="00802AF9">
        <w:rPr>
          <w:sz w:val="18"/>
          <w:szCs w:val="18"/>
          <w:lang w:val="fr-CA"/>
        </w:rPr>
        <w:t xml:space="preserve"> </w:t>
      </w:r>
      <w:r w:rsidR="00157567">
        <w:rPr>
          <w:sz w:val="18"/>
          <w:szCs w:val="18"/>
          <w:lang w:val="fr-CA"/>
        </w:rPr>
        <w:t xml:space="preserve">dispose de </w:t>
      </w:r>
      <w:r w:rsidR="00C15BC7">
        <w:rPr>
          <w:sz w:val="18"/>
          <w:szCs w:val="18"/>
          <w:lang w:val="fr-CA"/>
        </w:rPr>
        <w:t xml:space="preserve">ses propres ressources pour les paiements </w:t>
      </w:r>
      <w:r w:rsidRPr="00802AF9">
        <w:rPr>
          <w:sz w:val="18"/>
          <w:szCs w:val="18"/>
          <w:lang w:val="fr-CA"/>
        </w:rPr>
        <w:t xml:space="preserve">IOC </w:t>
      </w:r>
      <w:r w:rsidR="00C15BC7">
        <w:rPr>
          <w:sz w:val="18"/>
          <w:szCs w:val="18"/>
          <w:lang w:val="fr-CA"/>
        </w:rPr>
        <w:t>e</w:t>
      </w:r>
      <w:r w:rsidRPr="00802AF9">
        <w:rPr>
          <w:sz w:val="18"/>
          <w:szCs w:val="18"/>
          <w:lang w:val="fr-CA"/>
        </w:rPr>
        <w:t>n 2020.</w:t>
      </w:r>
    </w:p>
    <w:p w14:paraId="1E8725B1" w14:textId="77777777" w:rsidR="0029763D" w:rsidRPr="00802AF9" w:rsidRDefault="0029763D" w:rsidP="0029763D">
      <w:pPr>
        <w:widowControl w:val="0"/>
        <w:rPr>
          <w:lang w:val="fr-CA"/>
        </w:rPr>
      </w:pPr>
    </w:p>
    <w:p w14:paraId="41BDC946" w14:textId="1F19F1A1" w:rsidR="0029763D" w:rsidRPr="00802AF9" w:rsidRDefault="00A91976" w:rsidP="0029763D">
      <w:pPr>
        <w:pStyle w:val="Heading1"/>
        <w:keepNext/>
        <w:keepLines/>
        <w:widowControl w:val="0"/>
        <w:numPr>
          <w:ilvl w:val="0"/>
          <w:numId w:val="0"/>
        </w:numPr>
        <w:rPr>
          <w:u w:val="single"/>
          <w:lang w:val="fr-CA"/>
        </w:rPr>
      </w:pPr>
      <w:r>
        <w:rPr>
          <w:u w:val="single"/>
          <w:lang w:val="fr-CA"/>
        </w:rPr>
        <w:t xml:space="preserve">Activités restantes dans le plan sectoriel </w:t>
      </w:r>
      <w:r w:rsidR="00494A38" w:rsidRPr="00802AF9">
        <w:rPr>
          <w:u w:val="single"/>
          <w:lang w:val="fr-CA"/>
        </w:rPr>
        <w:t>R&amp;C</w:t>
      </w:r>
    </w:p>
    <w:p w14:paraId="28DF5155" w14:textId="763E2E3A" w:rsidR="0029763D" w:rsidRPr="006C698B" w:rsidRDefault="00A91976" w:rsidP="006C698B">
      <w:pPr>
        <w:pStyle w:val="Heading1"/>
        <w:keepNext/>
        <w:keepLines/>
        <w:widowControl w:val="0"/>
        <w:rPr>
          <w:lang w:val="fr-CA"/>
        </w:rPr>
      </w:pPr>
      <w:r>
        <w:rPr>
          <w:lang w:val="fr-CA"/>
        </w:rPr>
        <w:t>Tous les projets de re</w:t>
      </w:r>
      <w:r w:rsidR="0029763D" w:rsidRPr="00802AF9">
        <w:rPr>
          <w:lang w:val="fr-CA"/>
        </w:rPr>
        <w:t xml:space="preserve">conversion </w:t>
      </w:r>
      <w:r>
        <w:rPr>
          <w:lang w:val="fr-CA"/>
        </w:rPr>
        <w:t>et toutes les activités d’assistance technique</w:t>
      </w:r>
      <w:r w:rsidR="0029763D" w:rsidRPr="00A91976">
        <w:rPr>
          <w:vertAlign w:val="superscript"/>
          <w:lang w:val="fr-CA"/>
        </w:rPr>
        <w:footnoteReference w:id="7"/>
      </w:r>
      <w:r w:rsidR="0029763D" w:rsidRPr="00802AF9">
        <w:rPr>
          <w:lang w:val="fr-CA"/>
        </w:rPr>
        <w:t xml:space="preserve"> </w:t>
      </w:r>
      <w:r>
        <w:rPr>
          <w:lang w:val="fr-CA"/>
        </w:rPr>
        <w:t>ont été achevés</w:t>
      </w:r>
      <w:r w:rsidR="0029763D" w:rsidRPr="00802AF9">
        <w:rPr>
          <w:lang w:val="fr-CA"/>
        </w:rPr>
        <w:t xml:space="preserve">. </w:t>
      </w:r>
      <w:r>
        <w:rPr>
          <w:lang w:val="fr-CA"/>
        </w:rPr>
        <w:t xml:space="preserve">Les ventes d’équipements R&amp;C à base de </w:t>
      </w:r>
      <w:r w:rsidR="0029763D" w:rsidRPr="00802AF9">
        <w:rPr>
          <w:lang w:val="fr-CA"/>
        </w:rPr>
        <w:t xml:space="preserve">R-290 </w:t>
      </w:r>
      <w:r>
        <w:rPr>
          <w:lang w:val="fr-CA"/>
        </w:rPr>
        <w:t xml:space="preserve">sont plus faibles que prévu, en raison de la pandémie de </w:t>
      </w:r>
      <w:r w:rsidR="0029763D" w:rsidRPr="00802AF9">
        <w:rPr>
          <w:lang w:val="fr-CA"/>
        </w:rPr>
        <w:t>COVID-19</w:t>
      </w:r>
      <w:r>
        <w:rPr>
          <w:lang w:val="fr-CA"/>
        </w:rPr>
        <w:t xml:space="preserve">, qui a aussi eu des effets sur la fabrication et </w:t>
      </w:r>
      <w:r w:rsidR="009A1251">
        <w:rPr>
          <w:lang w:val="fr-CA"/>
        </w:rPr>
        <w:t>la commercialisation</w:t>
      </w:r>
      <w:r>
        <w:rPr>
          <w:lang w:val="fr-CA"/>
        </w:rPr>
        <w:t xml:space="preserve"> de ces équipements</w:t>
      </w:r>
      <w:r w:rsidR="0029763D" w:rsidRPr="00802AF9">
        <w:rPr>
          <w:lang w:val="fr-CA"/>
        </w:rPr>
        <w:t xml:space="preserve">; </w:t>
      </w:r>
      <w:r>
        <w:rPr>
          <w:lang w:val="fr-CA"/>
        </w:rPr>
        <w:t>toutefois, il n’a pas été possible de vérifier de façon indépendante les ventes qui ont eu lieu après le 1</w:t>
      </w:r>
      <w:r w:rsidRPr="00A91976">
        <w:rPr>
          <w:vertAlign w:val="superscript"/>
          <w:lang w:val="fr-CA"/>
        </w:rPr>
        <w:t>er</w:t>
      </w:r>
      <w:r>
        <w:rPr>
          <w:lang w:val="fr-CA"/>
        </w:rPr>
        <w:t> s</w:t>
      </w:r>
      <w:r w:rsidR="00825570" w:rsidRPr="00802AF9">
        <w:rPr>
          <w:lang w:val="fr-CA"/>
        </w:rPr>
        <w:t>eptembre</w:t>
      </w:r>
      <w:r w:rsidR="0029763D" w:rsidRPr="00802AF9">
        <w:rPr>
          <w:lang w:val="fr-CA"/>
        </w:rPr>
        <w:t xml:space="preserve"> 2019. </w:t>
      </w:r>
      <w:r>
        <w:rPr>
          <w:lang w:val="fr-CA"/>
        </w:rPr>
        <w:t>C’est pourquoi la</w:t>
      </w:r>
      <w:r w:rsidR="006C698B">
        <w:rPr>
          <w:lang w:val="fr-CA"/>
        </w:rPr>
        <w:t xml:space="preserve"> </w:t>
      </w:r>
      <w:r w:rsidR="00494A38" w:rsidRPr="00802AF9">
        <w:rPr>
          <w:lang w:val="fr-CA"/>
        </w:rPr>
        <w:t>Chine</w:t>
      </w:r>
      <w:r w:rsidR="0029763D" w:rsidRPr="00802AF9">
        <w:rPr>
          <w:lang w:val="fr-CA"/>
        </w:rPr>
        <w:t xml:space="preserve"> </w:t>
      </w:r>
      <w:r w:rsidR="006C698B">
        <w:rPr>
          <w:lang w:val="fr-CA"/>
        </w:rPr>
        <w:t xml:space="preserve">propose de prolonger la date d’achèvement de la </w:t>
      </w:r>
      <w:r w:rsidR="0014063A" w:rsidRPr="006C698B">
        <w:rPr>
          <w:lang w:val="fr-CA"/>
        </w:rPr>
        <w:t>phase</w:t>
      </w:r>
      <w:r w:rsidR="0029763D" w:rsidRPr="006C698B">
        <w:rPr>
          <w:lang w:val="fr-CA"/>
        </w:rPr>
        <w:t xml:space="preserve"> I </w:t>
      </w:r>
      <w:r w:rsidR="006C698B">
        <w:rPr>
          <w:lang w:val="fr-CA"/>
        </w:rPr>
        <w:t xml:space="preserve">au </w:t>
      </w:r>
      <w:r w:rsidR="0029763D" w:rsidRPr="006C698B">
        <w:rPr>
          <w:lang w:val="fr-CA"/>
        </w:rPr>
        <w:t xml:space="preserve">31 </w:t>
      </w:r>
      <w:r w:rsidR="006C698B">
        <w:rPr>
          <w:lang w:val="fr-CA"/>
        </w:rPr>
        <w:t>d</w:t>
      </w:r>
      <w:r w:rsidR="00825570" w:rsidRPr="006C698B">
        <w:rPr>
          <w:lang w:val="fr-CA"/>
        </w:rPr>
        <w:t>écembre</w:t>
      </w:r>
      <w:r w:rsidR="0029763D" w:rsidRPr="006C698B">
        <w:rPr>
          <w:lang w:val="fr-CA"/>
        </w:rPr>
        <w:t xml:space="preserve"> 2021, </w:t>
      </w:r>
      <w:r w:rsidR="006C698B">
        <w:rPr>
          <w:lang w:val="fr-CA"/>
        </w:rPr>
        <w:t xml:space="preserve">pour permettre de hausser les ventes d’équipements R&amp;C à base de </w:t>
      </w:r>
      <w:r w:rsidR="0029763D" w:rsidRPr="006C698B">
        <w:rPr>
          <w:lang w:val="fr-CA"/>
        </w:rPr>
        <w:t>R-290</w:t>
      </w:r>
      <w:r w:rsidR="006C698B">
        <w:rPr>
          <w:lang w:val="fr-CA"/>
        </w:rPr>
        <w:t xml:space="preserve"> et de payer les IOC connexes aux entreprises bénéficiaires</w:t>
      </w:r>
      <w:r w:rsidR="0029763D" w:rsidRPr="006C698B">
        <w:rPr>
          <w:lang w:val="fr-CA"/>
        </w:rPr>
        <w:t xml:space="preserve">. </w:t>
      </w:r>
    </w:p>
    <w:p w14:paraId="1035D960" w14:textId="77777777" w:rsidR="00E3303D" w:rsidRDefault="00E3303D" w:rsidP="00E3303D">
      <w:pPr>
        <w:pStyle w:val="Heading1"/>
        <w:widowControl w:val="0"/>
        <w:numPr>
          <w:ilvl w:val="0"/>
          <w:numId w:val="0"/>
        </w:numPr>
        <w:spacing w:before="240"/>
        <w:rPr>
          <w:b/>
          <w:lang w:val="fr-CA"/>
        </w:rPr>
      </w:pPr>
    </w:p>
    <w:p w14:paraId="1A3FE79F" w14:textId="6CDA5D30" w:rsidR="0029763D" w:rsidRPr="00802AF9" w:rsidRDefault="00494A38" w:rsidP="00E3303D">
      <w:pPr>
        <w:pStyle w:val="Heading1"/>
        <w:widowControl w:val="0"/>
        <w:numPr>
          <w:ilvl w:val="0"/>
          <w:numId w:val="0"/>
        </w:numPr>
        <w:spacing w:before="240"/>
        <w:rPr>
          <w:b/>
          <w:lang w:val="fr-CA"/>
        </w:rPr>
      </w:pPr>
      <w:r w:rsidRPr="00802AF9">
        <w:rPr>
          <w:b/>
          <w:lang w:val="fr-CA"/>
        </w:rPr>
        <w:t>Observations du Secrétariat</w:t>
      </w:r>
    </w:p>
    <w:p w14:paraId="20A58C04" w14:textId="7D76CAE8" w:rsidR="0029763D" w:rsidRPr="00802AF9" w:rsidRDefault="006C698B" w:rsidP="0029763D">
      <w:pPr>
        <w:widowControl w:val="0"/>
        <w:rPr>
          <w:u w:val="single"/>
          <w:lang w:val="fr-CA"/>
        </w:rPr>
      </w:pPr>
      <w:r>
        <w:rPr>
          <w:u w:val="single"/>
          <w:lang w:val="fr-CA"/>
        </w:rPr>
        <w:t>C</w:t>
      </w:r>
      <w:r w:rsidR="00825570" w:rsidRPr="00802AF9">
        <w:rPr>
          <w:u w:val="single"/>
          <w:lang w:val="fr-CA"/>
        </w:rPr>
        <w:t>onsommation</w:t>
      </w:r>
      <w:r>
        <w:rPr>
          <w:u w:val="single"/>
          <w:lang w:val="fr-CA"/>
        </w:rPr>
        <w:t xml:space="preserve"> de HCFC</w:t>
      </w:r>
    </w:p>
    <w:p w14:paraId="09F93359" w14:textId="77777777" w:rsidR="0029763D" w:rsidRPr="00802AF9" w:rsidRDefault="0029763D" w:rsidP="0029763D">
      <w:pPr>
        <w:widowControl w:val="0"/>
        <w:rPr>
          <w:lang w:val="fr-CA"/>
        </w:rPr>
      </w:pPr>
    </w:p>
    <w:p w14:paraId="38339228" w14:textId="6DA714F5" w:rsidR="0029763D" w:rsidRPr="00A379D7" w:rsidRDefault="006C698B" w:rsidP="006C698B">
      <w:pPr>
        <w:pStyle w:val="Heading1"/>
        <w:widowControl w:val="0"/>
        <w:rPr>
          <w:lang w:val="fr-CA"/>
        </w:rPr>
      </w:pPr>
      <w:r>
        <w:rPr>
          <w:lang w:val="fr-CA"/>
        </w:rPr>
        <w:t xml:space="preserve">La </w:t>
      </w:r>
      <w:r w:rsidR="00825570" w:rsidRPr="00802AF9">
        <w:rPr>
          <w:lang w:val="fr-CA"/>
        </w:rPr>
        <w:t>consommation</w:t>
      </w:r>
      <w:r w:rsidR="0029763D" w:rsidRPr="00802AF9">
        <w:rPr>
          <w:lang w:val="fr-CA"/>
        </w:rPr>
        <w:t xml:space="preserve"> </w:t>
      </w:r>
      <w:r>
        <w:rPr>
          <w:lang w:val="fr-CA"/>
        </w:rPr>
        <w:t xml:space="preserve">de </w:t>
      </w:r>
      <w:r w:rsidR="0029763D" w:rsidRPr="00802AF9">
        <w:rPr>
          <w:lang w:val="fr-CA"/>
        </w:rPr>
        <w:t xml:space="preserve">HCFC-22 </w:t>
      </w:r>
      <w:r>
        <w:rPr>
          <w:lang w:val="fr-CA"/>
        </w:rPr>
        <w:t xml:space="preserve">dans le secteur </w:t>
      </w:r>
      <w:r w:rsidR="00494A38" w:rsidRPr="00802AF9">
        <w:rPr>
          <w:lang w:val="fr-CA"/>
        </w:rPr>
        <w:t>R&amp;C</w:t>
      </w:r>
      <w:r w:rsidR="0029763D" w:rsidRPr="00802AF9">
        <w:rPr>
          <w:lang w:val="fr-CA"/>
        </w:rPr>
        <w:t xml:space="preserve"> </w:t>
      </w:r>
      <w:r>
        <w:rPr>
          <w:lang w:val="fr-CA"/>
        </w:rPr>
        <w:t>e</w:t>
      </w:r>
      <w:r w:rsidR="0029763D" w:rsidRPr="00802AF9">
        <w:rPr>
          <w:lang w:val="fr-CA"/>
        </w:rPr>
        <w:t xml:space="preserve">n 2019 </w:t>
      </w:r>
      <w:r>
        <w:rPr>
          <w:lang w:val="fr-CA"/>
        </w:rPr>
        <w:t xml:space="preserve">était de </w:t>
      </w:r>
      <w:r w:rsidR="0029763D" w:rsidRPr="00802AF9">
        <w:rPr>
          <w:lang w:val="fr-CA"/>
        </w:rPr>
        <w:t>50</w:t>
      </w:r>
      <w:r>
        <w:rPr>
          <w:lang w:val="fr-CA"/>
        </w:rPr>
        <w:t> </w:t>
      </w:r>
      <w:r w:rsidR="0029763D" w:rsidRPr="00802AF9">
        <w:rPr>
          <w:lang w:val="fr-CA"/>
        </w:rPr>
        <w:t>000 </w:t>
      </w:r>
      <w:r>
        <w:rPr>
          <w:lang w:val="fr-CA"/>
        </w:rPr>
        <w:t>t</w:t>
      </w:r>
      <w:r w:rsidR="0029763D" w:rsidRPr="00802AF9">
        <w:rPr>
          <w:lang w:val="fr-CA"/>
        </w:rPr>
        <w:t>m (2</w:t>
      </w:r>
      <w:r>
        <w:rPr>
          <w:lang w:val="fr-CA"/>
        </w:rPr>
        <w:t> </w:t>
      </w:r>
      <w:r w:rsidR="0029763D" w:rsidRPr="00802AF9">
        <w:rPr>
          <w:lang w:val="fr-CA"/>
        </w:rPr>
        <w:t>750 </w:t>
      </w:r>
      <w:r>
        <w:rPr>
          <w:lang w:val="fr-CA"/>
        </w:rPr>
        <w:t>t</w:t>
      </w:r>
      <w:r w:rsidR="00494A38" w:rsidRPr="00802AF9">
        <w:rPr>
          <w:lang w:val="fr-CA"/>
        </w:rPr>
        <w:t>onnes PAO</w:t>
      </w:r>
      <w:r w:rsidR="0029763D" w:rsidRPr="00802AF9">
        <w:rPr>
          <w:lang w:val="fr-CA"/>
        </w:rPr>
        <w:t xml:space="preserve">), </w:t>
      </w:r>
      <w:r>
        <w:rPr>
          <w:lang w:val="fr-CA"/>
        </w:rPr>
        <w:t xml:space="preserve">c’est-à-dire </w:t>
      </w:r>
      <w:r w:rsidR="00605FD3">
        <w:rPr>
          <w:lang w:val="fr-CA"/>
        </w:rPr>
        <w:t xml:space="preserve">à </w:t>
      </w:r>
      <w:r>
        <w:rPr>
          <w:lang w:val="fr-CA"/>
        </w:rPr>
        <w:t xml:space="preserve">un niveau inférieur à la consommation maximale admissible </w:t>
      </w:r>
      <w:r w:rsidR="00605FD3">
        <w:rPr>
          <w:lang w:val="fr-CA"/>
        </w:rPr>
        <w:t>indiquée dans l’Accord conclu entre le</w:t>
      </w:r>
      <w:r w:rsidR="00393030">
        <w:rPr>
          <w:lang w:val="fr-CA"/>
        </w:rPr>
        <w:t> Gouvernement de la Chine</w:t>
      </w:r>
      <w:r w:rsidR="0029763D" w:rsidRPr="00802AF9">
        <w:rPr>
          <w:lang w:val="fr-CA"/>
        </w:rPr>
        <w:t xml:space="preserve"> </w:t>
      </w:r>
      <w:r w:rsidR="00605FD3">
        <w:rPr>
          <w:lang w:val="fr-CA"/>
        </w:rPr>
        <w:t xml:space="preserve">et le </w:t>
      </w:r>
      <w:r w:rsidR="0014063A" w:rsidRPr="00802AF9">
        <w:rPr>
          <w:lang w:val="fr-CA"/>
        </w:rPr>
        <w:t>Comité exécutif</w:t>
      </w:r>
      <w:r w:rsidR="0029763D" w:rsidRPr="00802AF9">
        <w:rPr>
          <w:lang w:val="fr-CA"/>
        </w:rPr>
        <w:t xml:space="preserve"> (Table</w:t>
      </w:r>
      <w:r w:rsidR="00605FD3">
        <w:rPr>
          <w:lang w:val="fr-CA"/>
        </w:rPr>
        <w:t>au</w:t>
      </w:r>
      <w:r w:rsidR="0029763D" w:rsidRPr="00802AF9">
        <w:rPr>
          <w:lang w:val="fr-CA"/>
        </w:rPr>
        <w:t xml:space="preserve"> 3); </w:t>
      </w:r>
      <w:r w:rsidR="00605FD3">
        <w:rPr>
          <w:lang w:val="fr-CA"/>
        </w:rPr>
        <w:t xml:space="preserve">par contre, la </w:t>
      </w:r>
      <w:r w:rsidR="00825570" w:rsidRPr="00802AF9">
        <w:rPr>
          <w:lang w:val="fr-CA"/>
        </w:rPr>
        <w:t>consommation</w:t>
      </w:r>
      <w:r w:rsidR="0029763D" w:rsidRPr="00802AF9">
        <w:rPr>
          <w:lang w:val="fr-CA"/>
        </w:rPr>
        <w:t xml:space="preserve"> </w:t>
      </w:r>
      <w:r w:rsidR="00605FD3">
        <w:rPr>
          <w:lang w:val="fr-CA"/>
        </w:rPr>
        <w:t xml:space="preserve">est supérieure au quota de </w:t>
      </w:r>
      <w:r w:rsidR="0029763D" w:rsidRPr="00802AF9">
        <w:rPr>
          <w:lang w:val="fr-CA"/>
        </w:rPr>
        <w:t>2019</w:t>
      </w:r>
      <w:r w:rsidR="00605FD3">
        <w:rPr>
          <w:lang w:val="fr-CA"/>
        </w:rPr>
        <w:t xml:space="preserve">, c’est-à-dire </w:t>
      </w:r>
      <w:r w:rsidR="0029763D" w:rsidRPr="00802AF9">
        <w:rPr>
          <w:lang w:val="fr-CA"/>
        </w:rPr>
        <w:t>2</w:t>
      </w:r>
      <w:r w:rsidR="00605FD3">
        <w:rPr>
          <w:lang w:val="fr-CA"/>
        </w:rPr>
        <w:t> </w:t>
      </w:r>
      <w:r w:rsidR="0029763D" w:rsidRPr="00802AF9">
        <w:rPr>
          <w:lang w:val="fr-CA"/>
        </w:rPr>
        <w:t>692 </w:t>
      </w:r>
      <w:r w:rsidR="00605FD3">
        <w:rPr>
          <w:lang w:val="fr-CA"/>
        </w:rPr>
        <w:t>t</w:t>
      </w:r>
      <w:r w:rsidR="00494A38" w:rsidRPr="00802AF9">
        <w:rPr>
          <w:lang w:val="fr-CA"/>
        </w:rPr>
        <w:t>onnes PAO</w:t>
      </w:r>
      <w:r w:rsidR="00605FD3">
        <w:rPr>
          <w:lang w:val="fr-CA"/>
        </w:rPr>
        <w:t>, étant donné que la</w:t>
      </w:r>
      <w:r w:rsidR="0029763D" w:rsidRPr="00802AF9">
        <w:rPr>
          <w:lang w:val="fr-CA"/>
        </w:rPr>
        <w:t xml:space="preserve"> </w:t>
      </w:r>
      <w:r w:rsidR="00825570" w:rsidRPr="00802AF9">
        <w:rPr>
          <w:lang w:val="fr-CA"/>
        </w:rPr>
        <w:t>consommation</w:t>
      </w:r>
      <w:r w:rsidR="0029763D" w:rsidRPr="00802AF9">
        <w:rPr>
          <w:lang w:val="fr-CA"/>
        </w:rPr>
        <w:t xml:space="preserve"> </w:t>
      </w:r>
      <w:r w:rsidR="00605FD3">
        <w:rPr>
          <w:lang w:val="fr-CA"/>
        </w:rPr>
        <w:t xml:space="preserve">des entreprises de production </w:t>
      </w:r>
      <w:r w:rsidR="00494A38" w:rsidRPr="00802AF9">
        <w:rPr>
          <w:lang w:val="fr-CA"/>
        </w:rPr>
        <w:t>R&amp;C</w:t>
      </w:r>
      <w:r w:rsidR="0029763D" w:rsidRPr="00802AF9">
        <w:rPr>
          <w:lang w:val="fr-CA"/>
        </w:rPr>
        <w:t xml:space="preserve"> </w:t>
      </w:r>
      <w:r w:rsidR="00605FD3">
        <w:rPr>
          <w:lang w:val="fr-CA"/>
        </w:rPr>
        <w:t>est inférieure de 1</w:t>
      </w:r>
      <w:r w:rsidR="0029763D" w:rsidRPr="00802AF9">
        <w:rPr>
          <w:lang w:val="fr-CA"/>
        </w:rPr>
        <w:t>00 </w:t>
      </w:r>
      <w:r w:rsidR="00605FD3">
        <w:rPr>
          <w:lang w:val="fr-CA"/>
        </w:rPr>
        <w:t>t</w:t>
      </w:r>
      <w:r w:rsidR="0029763D" w:rsidRPr="00802AF9">
        <w:rPr>
          <w:lang w:val="fr-CA"/>
        </w:rPr>
        <w:t>m/</w:t>
      </w:r>
      <w:r w:rsidR="00605FD3">
        <w:rPr>
          <w:lang w:val="fr-CA"/>
        </w:rPr>
        <w:t>an de</w:t>
      </w:r>
      <w:r w:rsidR="0029763D" w:rsidRPr="00802AF9">
        <w:rPr>
          <w:lang w:val="fr-CA"/>
        </w:rPr>
        <w:t xml:space="preserve"> HCFC-22 </w:t>
      </w:r>
      <w:r w:rsidR="00706695">
        <w:rPr>
          <w:lang w:val="fr-CA"/>
        </w:rPr>
        <w:t xml:space="preserve">et ne nécessite donc pas de </w:t>
      </w:r>
      <w:r w:rsidR="0029763D" w:rsidRPr="00802AF9">
        <w:rPr>
          <w:lang w:val="fr-CA"/>
        </w:rPr>
        <w:t xml:space="preserve">quota. </w:t>
      </w:r>
      <w:r w:rsidR="00706695">
        <w:rPr>
          <w:lang w:val="fr-CA"/>
        </w:rPr>
        <w:t xml:space="preserve">Compte tenu de la </w:t>
      </w:r>
      <w:r w:rsidR="00825570" w:rsidRPr="00802AF9">
        <w:rPr>
          <w:lang w:val="fr-CA"/>
        </w:rPr>
        <w:t>consommation</w:t>
      </w:r>
      <w:r w:rsidR="0029763D" w:rsidRPr="00802AF9">
        <w:rPr>
          <w:lang w:val="fr-CA"/>
        </w:rPr>
        <w:t xml:space="preserve"> </w:t>
      </w:r>
      <w:r w:rsidR="00706695">
        <w:rPr>
          <w:lang w:val="fr-CA"/>
        </w:rPr>
        <w:t xml:space="preserve">de ces petites </w:t>
      </w:r>
      <w:r w:rsidR="00C816AC">
        <w:rPr>
          <w:lang w:val="fr-CA"/>
        </w:rPr>
        <w:t>entreprise</w:t>
      </w:r>
      <w:r w:rsidR="0029763D" w:rsidRPr="00802AF9">
        <w:rPr>
          <w:lang w:val="fr-CA"/>
        </w:rPr>
        <w:t xml:space="preserve">s, </w:t>
      </w:r>
      <w:r w:rsidR="00706695">
        <w:rPr>
          <w:lang w:val="fr-CA"/>
        </w:rPr>
        <w:t xml:space="preserve">le Secrétariat avait noté à la </w:t>
      </w:r>
      <w:r w:rsidR="0029763D" w:rsidRPr="00802AF9">
        <w:rPr>
          <w:lang w:val="fr-CA"/>
        </w:rPr>
        <w:t>81</w:t>
      </w:r>
      <w:r w:rsidR="00706695">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sidR="00706695">
        <w:rPr>
          <w:lang w:val="fr-CA"/>
        </w:rPr>
        <w:t xml:space="preserve">le risque potentiel futur de non-conformité au niveau sectoriel visé et il a proposé soit d’établir un quota inférieur au niveau visé, soit de réduire le niveau de </w:t>
      </w:r>
      <w:r w:rsidR="00825570" w:rsidRPr="00802AF9">
        <w:rPr>
          <w:lang w:val="fr-CA"/>
        </w:rPr>
        <w:t>consommation</w:t>
      </w:r>
      <w:r w:rsidR="0029763D" w:rsidRPr="00802AF9">
        <w:rPr>
          <w:lang w:val="fr-CA"/>
        </w:rPr>
        <w:t xml:space="preserve"> </w:t>
      </w:r>
      <w:r w:rsidR="00706695">
        <w:rPr>
          <w:lang w:val="fr-CA"/>
        </w:rPr>
        <w:t xml:space="preserve">des </w:t>
      </w:r>
      <w:r w:rsidR="00C816AC">
        <w:rPr>
          <w:lang w:val="fr-CA"/>
        </w:rPr>
        <w:t>entreprise</w:t>
      </w:r>
      <w:r w:rsidR="0029763D" w:rsidRPr="00802AF9">
        <w:rPr>
          <w:lang w:val="fr-CA"/>
        </w:rPr>
        <w:t xml:space="preserve">s </w:t>
      </w:r>
      <w:r w:rsidR="00706695">
        <w:rPr>
          <w:lang w:val="fr-CA"/>
        </w:rPr>
        <w:t xml:space="preserve">qui n’ont pas besoin de </w:t>
      </w:r>
      <w:r w:rsidR="0029763D" w:rsidRPr="00802AF9">
        <w:rPr>
          <w:lang w:val="fr-CA"/>
        </w:rPr>
        <w:lastRenderedPageBreak/>
        <w:t>quota.</w:t>
      </w:r>
      <w:r w:rsidR="0029763D" w:rsidRPr="00706695">
        <w:rPr>
          <w:vertAlign w:val="superscript"/>
          <w:lang w:val="fr-CA"/>
        </w:rPr>
        <w:footnoteReference w:id="8"/>
      </w:r>
      <w:r w:rsidR="0029763D" w:rsidRPr="00802AF9">
        <w:rPr>
          <w:lang w:val="fr-CA"/>
        </w:rPr>
        <w:t xml:space="preserve"> </w:t>
      </w:r>
      <w:r w:rsidR="00706695">
        <w:rPr>
          <w:lang w:val="fr-CA"/>
        </w:rPr>
        <w:t>L</w:t>
      </w:r>
      <w:r w:rsidR="0029763D" w:rsidRPr="00802AF9">
        <w:rPr>
          <w:lang w:val="fr-CA"/>
        </w:rPr>
        <w:t xml:space="preserve">e </w:t>
      </w:r>
      <w:r w:rsidR="00706695">
        <w:rPr>
          <w:lang w:val="fr-CA"/>
        </w:rPr>
        <w:t xml:space="preserve">quota de </w:t>
      </w:r>
      <w:r w:rsidR="0029763D" w:rsidRPr="00802AF9">
        <w:rPr>
          <w:lang w:val="fr-CA"/>
        </w:rPr>
        <w:t>2019</w:t>
      </w:r>
      <w:r w:rsidR="00706695">
        <w:rPr>
          <w:lang w:val="fr-CA"/>
        </w:rPr>
        <w:t xml:space="preserve"> a été établi à un niveau inférieur à la consommation maximale admissible pour </w:t>
      </w:r>
      <w:r w:rsidR="00706695" w:rsidRPr="00A379D7">
        <w:rPr>
          <w:lang w:val="fr-CA"/>
        </w:rPr>
        <w:t>cette année</w:t>
      </w:r>
      <w:r w:rsidR="0029763D" w:rsidRPr="00A379D7">
        <w:rPr>
          <w:lang w:val="fr-CA"/>
        </w:rPr>
        <w:t xml:space="preserve">. </w:t>
      </w:r>
      <w:r w:rsidR="00706695" w:rsidRPr="00A379D7">
        <w:rPr>
          <w:lang w:val="fr-CA"/>
        </w:rPr>
        <w:t xml:space="preserve">Le quota de </w:t>
      </w:r>
      <w:r w:rsidR="0029763D" w:rsidRPr="00A379D7">
        <w:rPr>
          <w:lang w:val="fr-CA"/>
        </w:rPr>
        <w:t xml:space="preserve">2020 </w:t>
      </w:r>
      <w:r w:rsidR="00706695" w:rsidRPr="00A379D7">
        <w:rPr>
          <w:lang w:val="fr-CA"/>
        </w:rPr>
        <w:t xml:space="preserve">pour ce secteur a été fixé à </w:t>
      </w:r>
      <w:r w:rsidR="0029763D" w:rsidRPr="00A379D7">
        <w:rPr>
          <w:lang w:val="fr-CA"/>
        </w:rPr>
        <w:t>35</w:t>
      </w:r>
      <w:r w:rsidR="00706695" w:rsidRPr="00A379D7">
        <w:rPr>
          <w:lang w:val="fr-CA"/>
        </w:rPr>
        <w:t> </w:t>
      </w:r>
      <w:r w:rsidR="0029763D" w:rsidRPr="00A379D7">
        <w:rPr>
          <w:lang w:val="fr-CA"/>
        </w:rPr>
        <w:t>215 </w:t>
      </w:r>
      <w:r w:rsidR="00706695" w:rsidRPr="00A379D7">
        <w:rPr>
          <w:lang w:val="fr-CA"/>
        </w:rPr>
        <w:t>t</w:t>
      </w:r>
      <w:r w:rsidR="0029763D" w:rsidRPr="00A379D7">
        <w:rPr>
          <w:lang w:val="fr-CA"/>
        </w:rPr>
        <w:t>m (1</w:t>
      </w:r>
      <w:r w:rsidR="00706695" w:rsidRPr="00A379D7">
        <w:rPr>
          <w:lang w:val="fr-CA"/>
        </w:rPr>
        <w:t> </w:t>
      </w:r>
      <w:r w:rsidR="0029763D" w:rsidRPr="00A379D7">
        <w:rPr>
          <w:lang w:val="fr-CA"/>
        </w:rPr>
        <w:t>937 </w:t>
      </w:r>
      <w:r w:rsidR="00706695" w:rsidRPr="00A379D7">
        <w:rPr>
          <w:lang w:val="fr-CA"/>
        </w:rPr>
        <w:t>t</w:t>
      </w:r>
      <w:r w:rsidR="00494A38" w:rsidRPr="00A379D7">
        <w:rPr>
          <w:lang w:val="fr-CA"/>
        </w:rPr>
        <w:t>onnes PAO</w:t>
      </w:r>
      <w:r w:rsidR="0029763D" w:rsidRPr="00A379D7">
        <w:rPr>
          <w:lang w:val="fr-CA"/>
        </w:rPr>
        <w:t>).</w:t>
      </w:r>
    </w:p>
    <w:p w14:paraId="3B357285" w14:textId="5341567A" w:rsidR="00A379D7" w:rsidRPr="00A379D7" w:rsidRDefault="00A379D7" w:rsidP="00A379D7">
      <w:pPr>
        <w:rPr>
          <w:b/>
          <w:sz w:val="21"/>
          <w:szCs w:val="21"/>
          <w:lang w:val="fr-CA"/>
        </w:rPr>
      </w:pPr>
      <w:r w:rsidRPr="00A379D7">
        <w:rPr>
          <w:b/>
          <w:sz w:val="21"/>
          <w:szCs w:val="21"/>
          <w:lang w:val="fr-CA"/>
        </w:rPr>
        <w:t>Tableau 3. Consommation de HCFC-22 et niveaux visés pour le secteur RAC</w:t>
      </w:r>
    </w:p>
    <w:tbl>
      <w:tblPr>
        <w:tblW w:w="5003" w:type="pct"/>
        <w:tblInd w:w="-5" w:type="dxa"/>
        <w:tblLayout w:type="fixed"/>
        <w:tblLook w:val="04A0" w:firstRow="1" w:lastRow="0" w:firstColumn="1" w:lastColumn="0" w:noHBand="0" w:noVBand="1"/>
      </w:tblPr>
      <w:tblGrid>
        <w:gridCol w:w="1959"/>
        <w:gridCol w:w="1252"/>
        <w:gridCol w:w="1228"/>
        <w:gridCol w:w="1228"/>
        <w:gridCol w:w="1228"/>
        <w:gridCol w:w="1228"/>
        <w:gridCol w:w="1233"/>
      </w:tblGrid>
      <w:tr w:rsidR="00A379D7" w:rsidRPr="00A379D7" w14:paraId="1B618E7E" w14:textId="77777777" w:rsidTr="00A379D7">
        <w:trPr>
          <w:tblHeader/>
        </w:trPr>
        <w:tc>
          <w:tcPr>
            <w:tcW w:w="1716" w:type="pct"/>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0C7722CC" w14:textId="6EC7390D" w:rsidR="00A379D7" w:rsidRPr="00A379D7" w:rsidRDefault="00A379D7" w:rsidP="00A379D7">
            <w:pPr>
              <w:widowControl w:val="0"/>
              <w:rPr>
                <w:b/>
                <w:sz w:val="20"/>
                <w:szCs w:val="20"/>
                <w:lang w:val="fr-CA"/>
              </w:rPr>
            </w:pPr>
            <w:r w:rsidRPr="00A379D7">
              <w:rPr>
                <w:b/>
                <w:sz w:val="20"/>
                <w:szCs w:val="20"/>
                <w:lang w:val="fr-CA"/>
              </w:rPr>
              <w:t>Plan sector</w:t>
            </w:r>
            <w:r>
              <w:rPr>
                <w:b/>
                <w:sz w:val="20"/>
                <w:szCs w:val="20"/>
                <w:lang w:val="fr-CA"/>
              </w:rPr>
              <w:t>ie</w:t>
            </w:r>
            <w:r w:rsidRPr="00A379D7">
              <w:rPr>
                <w:b/>
                <w:sz w:val="20"/>
                <w:szCs w:val="20"/>
                <w:lang w:val="fr-CA"/>
              </w:rPr>
              <w:t>l R&amp;C</w:t>
            </w:r>
          </w:p>
        </w:tc>
        <w:tc>
          <w:tcPr>
            <w:tcW w:w="656" w:type="pct"/>
            <w:tcBorders>
              <w:top w:val="single" w:sz="4" w:space="0" w:color="auto"/>
              <w:left w:val="nil"/>
              <w:bottom w:val="single" w:sz="4" w:space="0" w:color="auto"/>
              <w:right w:val="single" w:sz="4" w:space="0" w:color="auto"/>
            </w:tcBorders>
            <w:shd w:val="clear" w:color="auto" w:fill="auto"/>
            <w:noWrap/>
            <w:tcMar>
              <w:left w:w="29" w:type="dxa"/>
              <w:right w:w="29" w:type="dxa"/>
            </w:tcMar>
            <w:hideMark/>
          </w:tcPr>
          <w:p w14:paraId="517EB4B7" w14:textId="77777777" w:rsidR="00A379D7" w:rsidRPr="00A379D7" w:rsidRDefault="00A379D7" w:rsidP="00A379D7">
            <w:pPr>
              <w:widowControl w:val="0"/>
              <w:jc w:val="center"/>
              <w:rPr>
                <w:b/>
                <w:sz w:val="20"/>
                <w:szCs w:val="20"/>
                <w:lang w:val="fr-CA"/>
              </w:rPr>
            </w:pPr>
            <w:r w:rsidRPr="00A379D7">
              <w:rPr>
                <w:b/>
                <w:sz w:val="20"/>
                <w:szCs w:val="20"/>
                <w:lang w:val="fr-CA"/>
              </w:rPr>
              <w:t>2015</w:t>
            </w:r>
          </w:p>
        </w:tc>
        <w:tc>
          <w:tcPr>
            <w:tcW w:w="656" w:type="pct"/>
            <w:tcBorders>
              <w:top w:val="single" w:sz="4" w:space="0" w:color="auto"/>
              <w:left w:val="nil"/>
              <w:bottom w:val="single" w:sz="4" w:space="0" w:color="auto"/>
              <w:right w:val="single" w:sz="4" w:space="0" w:color="auto"/>
            </w:tcBorders>
            <w:tcMar>
              <w:left w:w="29" w:type="dxa"/>
              <w:right w:w="29" w:type="dxa"/>
            </w:tcMar>
          </w:tcPr>
          <w:p w14:paraId="04E7AAB3" w14:textId="77777777" w:rsidR="00A379D7" w:rsidRPr="00A379D7" w:rsidRDefault="00A379D7" w:rsidP="00A379D7">
            <w:pPr>
              <w:widowControl w:val="0"/>
              <w:jc w:val="center"/>
              <w:rPr>
                <w:b/>
                <w:sz w:val="20"/>
                <w:szCs w:val="20"/>
                <w:lang w:val="fr-CA"/>
              </w:rPr>
            </w:pPr>
            <w:r w:rsidRPr="00A379D7">
              <w:rPr>
                <w:b/>
                <w:sz w:val="20"/>
                <w:szCs w:val="20"/>
                <w:lang w:val="fr-CA"/>
              </w:rPr>
              <w:t>2016</w:t>
            </w:r>
          </w:p>
        </w:tc>
        <w:tc>
          <w:tcPr>
            <w:tcW w:w="656" w:type="pct"/>
            <w:tcBorders>
              <w:top w:val="single" w:sz="4" w:space="0" w:color="auto"/>
              <w:left w:val="nil"/>
              <w:bottom w:val="single" w:sz="4" w:space="0" w:color="auto"/>
              <w:right w:val="single" w:sz="4" w:space="0" w:color="auto"/>
            </w:tcBorders>
            <w:tcMar>
              <w:left w:w="29" w:type="dxa"/>
              <w:right w:w="29" w:type="dxa"/>
            </w:tcMar>
          </w:tcPr>
          <w:p w14:paraId="468C3CD0" w14:textId="77777777" w:rsidR="00A379D7" w:rsidRPr="00A379D7" w:rsidRDefault="00A379D7" w:rsidP="00A379D7">
            <w:pPr>
              <w:widowControl w:val="0"/>
              <w:jc w:val="center"/>
              <w:rPr>
                <w:b/>
                <w:sz w:val="20"/>
                <w:szCs w:val="20"/>
                <w:lang w:val="fr-CA"/>
              </w:rPr>
            </w:pPr>
            <w:r w:rsidRPr="00A379D7">
              <w:rPr>
                <w:b/>
                <w:sz w:val="20"/>
                <w:szCs w:val="20"/>
                <w:lang w:val="fr-CA"/>
              </w:rPr>
              <w:t>2017</w:t>
            </w:r>
          </w:p>
        </w:tc>
        <w:tc>
          <w:tcPr>
            <w:tcW w:w="656" w:type="pct"/>
            <w:tcBorders>
              <w:top w:val="single" w:sz="4" w:space="0" w:color="auto"/>
              <w:left w:val="nil"/>
              <w:bottom w:val="single" w:sz="4" w:space="0" w:color="auto"/>
              <w:right w:val="single" w:sz="4" w:space="0" w:color="auto"/>
            </w:tcBorders>
          </w:tcPr>
          <w:p w14:paraId="0D05E2B7" w14:textId="77777777" w:rsidR="00A379D7" w:rsidRPr="00A379D7" w:rsidRDefault="00A379D7" w:rsidP="00A379D7">
            <w:pPr>
              <w:widowControl w:val="0"/>
              <w:jc w:val="center"/>
              <w:rPr>
                <w:b/>
                <w:sz w:val="20"/>
                <w:szCs w:val="20"/>
                <w:lang w:val="fr-CA"/>
              </w:rPr>
            </w:pPr>
            <w:r w:rsidRPr="00A379D7">
              <w:rPr>
                <w:b/>
                <w:sz w:val="20"/>
                <w:szCs w:val="20"/>
                <w:lang w:val="fr-CA"/>
              </w:rPr>
              <w:t>2018</w:t>
            </w:r>
          </w:p>
        </w:tc>
        <w:tc>
          <w:tcPr>
            <w:tcW w:w="659" w:type="pct"/>
            <w:tcBorders>
              <w:top w:val="single" w:sz="4" w:space="0" w:color="auto"/>
              <w:left w:val="nil"/>
              <w:bottom w:val="single" w:sz="4" w:space="0" w:color="auto"/>
              <w:right w:val="single" w:sz="4" w:space="0" w:color="auto"/>
            </w:tcBorders>
          </w:tcPr>
          <w:p w14:paraId="35D73037" w14:textId="77777777" w:rsidR="00A379D7" w:rsidRPr="00A379D7" w:rsidRDefault="00A379D7" w:rsidP="00A379D7">
            <w:pPr>
              <w:widowControl w:val="0"/>
              <w:jc w:val="center"/>
              <w:rPr>
                <w:b/>
                <w:sz w:val="20"/>
                <w:szCs w:val="20"/>
                <w:lang w:val="fr-CA"/>
              </w:rPr>
            </w:pPr>
            <w:r w:rsidRPr="00A379D7">
              <w:rPr>
                <w:b/>
                <w:sz w:val="20"/>
                <w:szCs w:val="20"/>
                <w:lang w:val="fr-CA"/>
              </w:rPr>
              <w:t>2019</w:t>
            </w:r>
          </w:p>
        </w:tc>
      </w:tr>
      <w:tr w:rsidR="00A379D7" w:rsidRPr="00A379D7" w14:paraId="2E80C1C2" w14:textId="77777777" w:rsidTr="00A379D7">
        <w:tc>
          <w:tcPr>
            <w:tcW w:w="1047" w:type="pct"/>
            <w:vMerge w:val="restart"/>
            <w:tcBorders>
              <w:top w:val="single" w:sz="4" w:space="0" w:color="auto"/>
              <w:left w:val="single" w:sz="4" w:space="0" w:color="auto"/>
              <w:right w:val="single" w:sz="4" w:space="0" w:color="auto"/>
            </w:tcBorders>
            <w:shd w:val="clear" w:color="auto" w:fill="auto"/>
            <w:noWrap/>
            <w:tcMar>
              <w:left w:w="29" w:type="dxa"/>
              <w:right w:w="29" w:type="dxa"/>
            </w:tcMar>
            <w:vAlign w:val="center"/>
            <w:hideMark/>
          </w:tcPr>
          <w:p w14:paraId="08A42974" w14:textId="24D4D630" w:rsidR="00A379D7" w:rsidRPr="00A379D7" w:rsidRDefault="00A379D7" w:rsidP="00A379D7">
            <w:pPr>
              <w:widowControl w:val="0"/>
              <w:jc w:val="left"/>
              <w:rPr>
                <w:sz w:val="20"/>
                <w:szCs w:val="20"/>
                <w:lang w:val="fr-CA"/>
              </w:rPr>
            </w:pPr>
            <w:r w:rsidRPr="00A379D7">
              <w:rPr>
                <w:sz w:val="20"/>
                <w:szCs w:val="20"/>
                <w:lang w:val="fr-CA"/>
              </w:rPr>
              <w:t>Consommation</w:t>
            </w:r>
          </w:p>
        </w:tc>
        <w:tc>
          <w:tcPr>
            <w:tcW w:w="66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D70B07" w14:textId="1D1F33E3" w:rsidR="00A379D7" w:rsidRPr="00A379D7" w:rsidRDefault="00A379D7" w:rsidP="00A379D7">
            <w:pPr>
              <w:widowControl w:val="0"/>
              <w:jc w:val="left"/>
              <w:rPr>
                <w:sz w:val="20"/>
                <w:szCs w:val="20"/>
                <w:lang w:val="fr-CA"/>
              </w:rPr>
            </w:pPr>
            <w:r w:rsidRPr="00A379D7">
              <w:rPr>
                <w:sz w:val="20"/>
                <w:szCs w:val="20"/>
                <w:lang w:val="fr-CA"/>
              </w:rPr>
              <w:t>tm</w:t>
            </w:r>
          </w:p>
        </w:tc>
        <w:tc>
          <w:tcPr>
            <w:tcW w:w="656" w:type="pct"/>
            <w:tcBorders>
              <w:top w:val="single" w:sz="4" w:space="0" w:color="auto"/>
              <w:left w:val="nil"/>
              <w:bottom w:val="single" w:sz="4" w:space="0" w:color="auto"/>
              <w:right w:val="single" w:sz="4" w:space="0" w:color="auto"/>
            </w:tcBorders>
            <w:shd w:val="clear" w:color="auto" w:fill="auto"/>
            <w:noWrap/>
            <w:tcMar>
              <w:left w:w="29" w:type="dxa"/>
              <w:right w:w="187" w:type="dxa"/>
            </w:tcMar>
            <w:vAlign w:val="bottom"/>
          </w:tcPr>
          <w:p w14:paraId="00CED4C1" w14:textId="12A8E400" w:rsidR="00A379D7" w:rsidRPr="00A379D7" w:rsidRDefault="00A379D7" w:rsidP="00A379D7">
            <w:pPr>
              <w:widowControl w:val="0"/>
              <w:jc w:val="right"/>
              <w:rPr>
                <w:sz w:val="20"/>
                <w:szCs w:val="20"/>
                <w:lang w:val="fr-CA"/>
              </w:rPr>
            </w:pPr>
            <w:r w:rsidRPr="00A379D7">
              <w:rPr>
                <w:sz w:val="20"/>
                <w:szCs w:val="20"/>
                <w:lang w:val="fr-CA"/>
              </w:rPr>
              <w:t>54</w:t>
            </w:r>
            <w:r>
              <w:rPr>
                <w:sz w:val="20"/>
                <w:szCs w:val="20"/>
                <w:lang w:val="fr-CA"/>
              </w:rPr>
              <w:t> </w:t>
            </w:r>
            <w:r w:rsidRPr="00A379D7">
              <w:rPr>
                <w:sz w:val="20"/>
                <w:szCs w:val="20"/>
                <w:lang w:val="fr-CA"/>
              </w:rPr>
              <w:t>000</w:t>
            </w:r>
            <w:r>
              <w:rPr>
                <w:sz w:val="20"/>
                <w:szCs w:val="20"/>
                <w:lang w:val="fr-CA"/>
              </w:rPr>
              <w:t>,</w:t>
            </w:r>
            <w:r w:rsidRPr="00A379D7">
              <w:rPr>
                <w:sz w:val="20"/>
                <w:szCs w:val="20"/>
                <w:lang w:val="fr-CA"/>
              </w:rPr>
              <w:t>0</w:t>
            </w:r>
          </w:p>
        </w:tc>
        <w:tc>
          <w:tcPr>
            <w:tcW w:w="656" w:type="pct"/>
            <w:tcBorders>
              <w:top w:val="single" w:sz="4" w:space="0" w:color="auto"/>
              <w:left w:val="nil"/>
              <w:bottom w:val="single" w:sz="4" w:space="0" w:color="auto"/>
              <w:right w:val="single" w:sz="4" w:space="0" w:color="auto"/>
            </w:tcBorders>
            <w:tcMar>
              <w:left w:w="29" w:type="dxa"/>
              <w:right w:w="187" w:type="dxa"/>
            </w:tcMar>
            <w:vAlign w:val="bottom"/>
          </w:tcPr>
          <w:p w14:paraId="19C48EFD" w14:textId="443A451F" w:rsidR="00A379D7" w:rsidRPr="00A379D7" w:rsidRDefault="00A379D7" w:rsidP="00A379D7">
            <w:pPr>
              <w:widowControl w:val="0"/>
              <w:jc w:val="right"/>
              <w:rPr>
                <w:sz w:val="20"/>
                <w:szCs w:val="20"/>
                <w:lang w:val="fr-CA"/>
              </w:rPr>
            </w:pPr>
            <w:r w:rsidRPr="00A379D7">
              <w:rPr>
                <w:sz w:val="20"/>
                <w:szCs w:val="20"/>
                <w:lang w:val="fr-CA"/>
              </w:rPr>
              <w:t>55</w:t>
            </w:r>
            <w:r>
              <w:rPr>
                <w:sz w:val="20"/>
                <w:szCs w:val="20"/>
                <w:lang w:val="fr-CA"/>
              </w:rPr>
              <w:t> </w:t>
            </w:r>
            <w:r w:rsidRPr="00A379D7">
              <w:rPr>
                <w:sz w:val="20"/>
                <w:szCs w:val="20"/>
                <w:lang w:val="fr-CA"/>
              </w:rPr>
              <w:t>000</w:t>
            </w:r>
            <w:r>
              <w:rPr>
                <w:sz w:val="20"/>
                <w:szCs w:val="20"/>
                <w:lang w:val="fr-CA"/>
              </w:rPr>
              <w:t>,</w:t>
            </w:r>
            <w:r w:rsidRPr="00A379D7">
              <w:rPr>
                <w:sz w:val="20"/>
                <w:szCs w:val="20"/>
                <w:lang w:val="fr-CA"/>
              </w:rPr>
              <w:t>0</w:t>
            </w:r>
          </w:p>
        </w:tc>
        <w:tc>
          <w:tcPr>
            <w:tcW w:w="656" w:type="pct"/>
            <w:tcBorders>
              <w:top w:val="single" w:sz="4" w:space="0" w:color="auto"/>
              <w:left w:val="nil"/>
              <w:bottom w:val="single" w:sz="4" w:space="0" w:color="auto"/>
              <w:right w:val="single" w:sz="4" w:space="0" w:color="auto"/>
            </w:tcBorders>
            <w:tcMar>
              <w:left w:w="29" w:type="dxa"/>
              <w:right w:w="187" w:type="dxa"/>
            </w:tcMar>
            <w:vAlign w:val="bottom"/>
          </w:tcPr>
          <w:p w14:paraId="24AE2D18" w14:textId="1B86C0A7" w:rsidR="00A379D7" w:rsidRPr="00A379D7" w:rsidRDefault="00A379D7" w:rsidP="00A379D7">
            <w:pPr>
              <w:widowControl w:val="0"/>
              <w:jc w:val="right"/>
              <w:rPr>
                <w:sz w:val="20"/>
                <w:szCs w:val="20"/>
                <w:lang w:val="fr-CA"/>
              </w:rPr>
            </w:pPr>
            <w:r w:rsidRPr="00A379D7">
              <w:rPr>
                <w:sz w:val="20"/>
                <w:szCs w:val="20"/>
                <w:lang w:val="fr-CA"/>
              </w:rPr>
              <w:t>55</w:t>
            </w:r>
            <w:r>
              <w:rPr>
                <w:sz w:val="20"/>
                <w:szCs w:val="20"/>
                <w:lang w:val="fr-CA"/>
              </w:rPr>
              <w:t> </w:t>
            </w:r>
            <w:r w:rsidRPr="00A379D7">
              <w:rPr>
                <w:sz w:val="20"/>
                <w:szCs w:val="20"/>
                <w:lang w:val="fr-CA"/>
              </w:rPr>
              <w:t>000</w:t>
            </w:r>
            <w:r>
              <w:rPr>
                <w:sz w:val="20"/>
                <w:szCs w:val="20"/>
                <w:lang w:val="fr-CA"/>
              </w:rPr>
              <w:t>,</w:t>
            </w:r>
            <w:r w:rsidRPr="00A379D7">
              <w:rPr>
                <w:sz w:val="20"/>
                <w:szCs w:val="20"/>
                <w:lang w:val="fr-CA"/>
              </w:rPr>
              <w:t>0</w:t>
            </w:r>
          </w:p>
        </w:tc>
        <w:tc>
          <w:tcPr>
            <w:tcW w:w="656" w:type="pct"/>
            <w:tcBorders>
              <w:top w:val="single" w:sz="4" w:space="0" w:color="auto"/>
              <w:left w:val="nil"/>
              <w:bottom w:val="single" w:sz="4" w:space="0" w:color="auto"/>
              <w:right w:val="single" w:sz="4" w:space="0" w:color="auto"/>
            </w:tcBorders>
            <w:tcMar>
              <w:right w:w="187" w:type="dxa"/>
            </w:tcMar>
            <w:vAlign w:val="bottom"/>
          </w:tcPr>
          <w:p w14:paraId="4904C500" w14:textId="6D7C063E" w:rsidR="00A379D7" w:rsidRPr="00A379D7" w:rsidRDefault="00A379D7" w:rsidP="00A379D7">
            <w:pPr>
              <w:widowControl w:val="0"/>
              <w:jc w:val="right"/>
              <w:rPr>
                <w:sz w:val="20"/>
                <w:szCs w:val="20"/>
                <w:lang w:val="fr-CA"/>
              </w:rPr>
            </w:pPr>
            <w:r w:rsidRPr="00A379D7">
              <w:rPr>
                <w:sz w:val="20"/>
                <w:szCs w:val="20"/>
                <w:lang w:val="fr-CA"/>
              </w:rPr>
              <w:t>52</w:t>
            </w:r>
            <w:r>
              <w:rPr>
                <w:sz w:val="20"/>
                <w:szCs w:val="20"/>
                <w:lang w:val="fr-CA"/>
              </w:rPr>
              <w:t> </w:t>
            </w:r>
            <w:r w:rsidRPr="00A379D7">
              <w:rPr>
                <w:sz w:val="20"/>
                <w:szCs w:val="20"/>
                <w:lang w:val="fr-CA"/>
              </w:rPr>
              <w:t>000</w:t>
            </w:r>
            <w:r>
              <w:rPr>
                <w:sz w:val="20"/>
                <w:szCs w:val="20"/>
                <w:lang w:val="fr-CA"/>
              </w:rPr>
              <w:t>,</w:t>
            </w:r>
            <w:r w:rsidRPr="00A379D7">
              <w:rPr>
                <w:sz w:val="20"/>
                <w:szCs w:val="20"/>
                <w:lang w:val="fr-CA"/>
              </w:rPr>
              <w:t>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14:paraId="570679F0" w14:textId="424B8679" w:rsidR="00A379D7" w:rsidRPr="00A379D7" w:rsidRDefault="00A379D7" w:rsidP="00A379D7">
            <w:pPr>
              <w:widowControl w:val="0"/>
              <w:jc w:val="right"/>
              <w:rPr>
                <w:sz w:val="20"/>
                <w:szCs w:val="20"/>
                <w:lang w:val="fr-CA"/>
              </w:rPr>
            </w:pPr>
            <w:r w:rsidRPr="00A379D7">
              <w:rPr>
                <w:sz w:val="20"/>
                <w:szCs w:val="20"/>
                <w:lang w:val="fr-CA"/>
              </w:rPr>
              <w:t>50</w:t>
            </w:r>
            <w:r>
              <w:rPr>
                <w:sz w:val="20"/>
                <w:szCs w:val="20"/>
                <w:lang w:val="fr-CA"/>
              </w:rPr>
              <w:t> </w:t>
            </w:r>
            <w:r w:rsidRPr="00A379D7">
              <w:rPr>
                <w:sz w:val="20"/>
                <w:szCs w:val="20"/>
                <w:lang w:val="fr-CA"/>
              </w:rPr>
              <w:t>000</w:t>
            </w:r>
            <w:r>
              <w:rPr>
                <w:sz w:val="20"/>
                <w:szCs w:val="20"/>
                <w:lang w:val="fr-CA"/>
              </w:rPr>
              <w:t>,</w:t>
            </w:r>
            <w:r w:rsidRPr="00A379D7">
              <w:rPr>
                <w:sz w:val="20"/>
                <w:szCs w:val="20"/>
                <w:lang w:val="fr-CA"/>
              </w:rPr>
              <w:t>0</w:t>
            </w:r>
          </w:p>
        </w:tc>
      </w:tr>
      <w:tr w:rsidR="00A379D7" w:rsidRPr="00A379D7" w14:paraId="18DD0C5A" w14:textId="77777777" w:rsidTr="00A379D7">
        <w:trPr>
          <w:trHeight w:val="98"/>
        </w:trPr>
        <w:tc>
          <w:tcPr>
            <w:tcW w:w="1047" w:type="pct"/>
            <w:vMerge/>
            <w:tcBorders>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C95F397" w14:textId="77777777" w:rsidR="00A379D7" w:rsidRPr="00A379D7" w:rsidRDefault="00A379D7" w:rsidP="00A379D7">
            <w:pPr>
              <w:widowControl w:val="0"/>
              <w:jc w:val="left"/>
              <w:rPr>
                <w:sz w:val="20"/>
                <w:szCs w:val="20"/>
                <w:lang w:val="fr-CA"/>
              </w:rPr>
            </w:pPr>
          </w:p>
        </w:tc>
        <w:tc>
          <w:tcPr>
            <w:tcW w:w="669" w:type="pct"/>
            <w:tcBorders>
              <w:top w:val="nil"/>
              <w:left w:val="single" w:sz="4" w:space="0" w:color="auto"/>
              <w:bottom w:val="single" w:sz="4" w:space="0" w:color="auto"/>
              <w:right w:val="single" w:sz="4" w:space="0" w:color="auto"/>
            </w:tcBorders>
            <w:shd w:val="clear" w:color="auto" w:fill="auto"/>
            <w:tcMar>
              <w:left w:w="29" w:type="dxa"/>
              <w:right w:w="29" w:type="dxa"/>
            </w:tcMar>
          </w:tcPr>
          <w:p w14:paraId="3FAE9F9A" w14:textId="4339917B" w:rsidR="00A379D7" w:rsidRPr="00A379D7" w:rsidRDefault="00A379D7" w:rsidP="00A379D7">
            <w:pPr>
              <w:widowControl w:val="0"/>
              <w:jc w:val="left"/>
              <w:rPr>
                <w:sz w:val="20"/>
                <w:szCs w:val="20"/>
                <w:lang w:val="fr-CA"/>
              </w:rPr>
            </w:pPr>
            <w:r w:rsidRPr="00A379D7">
              <w:rPr>
                <w:sz w:val="20"/>
                <w:szCs w:val="20"/>
                <w:lang w:val="fr-CA"/>
              </w:rPr>
              <w:t>tonnes PAO</w:t>
            </w:r>
          </w:p>
        </w:tc>
        <w:tc>
          <w:tcPr>
            <w:tcW w:w="656" w:type="pct"/>
            <w:tcBorders>
              <w:top w:val="nil"/>
              <w:left w:val="nil"/>
              <w:bottom w:val="single" w:sz="4" w:space="0" w:color="auto"/>
              <w:right w:val="single" w:sz="4" w:space="0" w:color="auto"/>
            </w:tcBorders>
            <w:shd w:val="clear" w:color="auto" w:fill="auto"/>
            <w:noWrap/>
            <w:tcMar>
              <w:left w:w="29" w:type="dxa"/>
              <w:right w:w="187" w:type="dxa"/>
            </w:tcMar>
            <w:vAlign w:val="bottom"/>
          </w:tcPr>
          <w:p w14:paraId="292DB62E" w14:textId="56CC3595" w:rsidR="00A379D7" w:rsidRPr="00A379D7" w:rsidRDefault="00A379D7" w:rsidP="00A379D7">
            <w:pPr>
              <w:widowControl w:val="0"/>
              <w:jc w:val="right"/>
              <w:rPr>
                <w:sz w:val="20"/>
                <w:szCs w:val="20"/>
                <w:lang w:val="fr-CA"/>
              </w:rPr>
            </w:pPr>
            <w:r w:rsidRPr="00A379D7">
              <w:rPr>
                <w:sz w:val="20"/>
                <w:szCs w:val="20"/>
                <w:lang w:val="fr-CA"/>
              </w:rPr>
              <w:t>2</w:t>
            </w:r>
            <w:r>
              <w:rPr>
                <w:sz w:val="20"/>
                <w:szCs w:val="20"/>
                <w:lang w:val="fr-CA"/>
              </w:rPr>
              <w:t> </w:t>
            </w:r>
            <w:r w:rsidRPr="00A379D7">
              <w:rPr>
                <w:sz w:val="20"/>
                <w:szCs w:val="20"/>
                <w:lang w:val="fr-CA"/>
              </w:rPr>
              <w:t>970</w:t>
            </w:r>
            <w:r>
              <w:rPr>
                <w:sz w:val="20"/>
                <w:szCs w:val="20"/>
                <w:lang w:val="fr-CA"/>
              </w:rPr>
              <w:t>,</w:t>
            </w:r>
            <w:r w:rsidRPr="00A379D7">
              <w:rPr>
                <w:sz w:val="20"/>
                <w:szCs w:val="20"/>
                <w:lang w:val="fr-CA"/>
              </w:rPr>
              <w:t>0</w:t>
            </w:r>
          </w:p>
        </w:tc>
        <w:tc>
          <w:tcPr>
            <w:tcW w:w="656" w:type="pct"/>
            <w:tcBorders>
              <w:top w:val="nil"/>
              <w:left w:val="nil"/>
              <w:bottom w:val="single" w:sz="4" w:space="0" w:color="auto"/>
              <w:right w:val="single" w:sz="4" w:space="0" w:color="auto"/>
            </w:tcBorders>
            <w:tcMar>
              <w:left w:w="29" w:type="dxa"/>
              <w:right w:w="187" w:type="dxa"/>
            </w:tcMar>
            <w:vAlign w:val="bottom"/>
          </w:tcPr>
          <w:p w14:paraId="59B2D761" w14:textId="27B2E883" w:rsidR="00A379D7" w:rsidRPr="00A379D7" w:rsidRDefault="00A379D7" w:rsidP="00A379D7">
            <w:pPr>
              <w:widowControl w:val="0"/>
              <w:jc w:val="right"/>
              <w:rPr>
                <w:sz w:val="20"/>
                <w:szCs w:val="20"/>
                <w:lang w:val="fr-CA"/>
              </w:rPr>
            </w:pPr>
            <w:r w:rsidRPr="00A379D7">
              <w:rPr>
                <w:sz w:val="20"/>
                <w:szCs w:val="20"/>
                <w:lang w:val="fr-CA"/>
              </w:rPr>
              <w:t>3</w:t>
            </w:r>
            <w:r>
              <w:rPr>
                <w:sz w:val="20"/>
                <w:szCs w:val="20"/>
                <w:lang w:val="fr-CA"/>
              </w:rPr>
              <w:t> </w:t>
            </w:r>
            <w:r w:rsidRPr="00A379D7">
              <w:rPr>
                <w:sz w:val="20"/>
                <w:szCs w:val="20"/>
                <w:lang w:val="fr-CA"/>
              </w:rPr>
              <w:t>025</w:t>
            </w:r>
            <w:r>
              <w:rPr>
                <w:sz w:val="20"/>
                <w:szCs w:val="20"/>
                <w:lang w:val="fr-CA"/>
              </w:rPr>
              <w:t>,</w:t>
            </w:r>
            <w:r w:rsidRPr="00A379D7">
              <w:rPr>
                <w:sz w:val="20"/>
                <w:szCs w:val="20"/>
                <w:lang w:val="fr-CA"/>
              </w:rPr>
              <w:t>0</w:t>
            </w:r>
          </w:p>
        </w:tc>
        <w:tc>
          <w:tcPr>
            <w:tcW w:w="656" w:type="pct"/>
            <w:tcBorders>
              <w:top w:val="nil"/>
              <w:left w:val="nil"/>
              <w:bottom w:val="single" w:sz="4" w:space="0" w:color="auto"/>
              <w:right w:val="single" w:sz="4" w:space="0" w:color="auto"/>
            </w:tcBorders>
            <w:tcMar>
              <w:left w:w="29" w:type="dxa"/>
              <w:right w:w="187" w:type="dxa"/>
            </w:tcMar>
            <w:vAlign w:val="bottom"/>
          </w:tcPr>
          <w:p w14:paraId="3CFD87D2" w14:textId="1F53F700" w:rsidR="00A379D7" w:rsidRPr="00A379D7" w:rsidRDefault="00A379D7" w:rsidP="00A379D7">
            <w:pPr>
              <w:widowControl w:val="0"/>
              <w:jc w:val="right"/>
              <w:rPr>
                <w:sz w:val="20"/>
                <w:szCs w:val="20"/>
                <w:lang w:val="fr-CA"/>
              </w:rPr>
            </w:pPr>
            <w:r w:rsidRPr="00A379D7">
              <w:rPr>
                <w:sz w:val="20"/>
                <w:szCs w:val="20"/>
                <w:lang w:val="fr-CA"/>
              </w:rPr>
              <w:t>3</w:t>
            </w:r>
            <w:r>
              <w:rPr>
                <w:sz w:val="20"/>
                <w:szCs w:val="20"/>
                <w:lang w:val="fr-CA"/>
              </w:rPr>
              <w:t> </w:t>
            </w:r>
            <w:r w:rsidRPr="00A379D7">
              <w:rPr>
                <w:sz w:val="20"/>
                <w:szCs w:val="20"/>
                <w:lang w:val="fr-CA"/>
              </w:rPr>
              <w:t>025</w:t>
            </w:r>
            <w:r>
              <w:rPr>
                <w:sz w:val="20"/>
                <w:szCs w:val="20"/>
                <w:lang w:val="fr-CA"/>
              </w:rPr>
              <w:t>,</w:t>
            </w:r>
            <w:r w:rsidRPr="00A379D7">
              <w:rPr>
                <w:sz w:val="20"/>
                <w:szCs w:val="20"/>
                <w:lang w:val="fr-CA"/>
              </w:rPr>
              <w:t>0</w:t>
            </w:r>
          </w:p>
        </w:tc>
        <w:tc>
          <w:tcPr>
            <w:tcW w:w="656" w:type="pct"/>
            <w:tcBorders>
              <w:top w:val="single" w:sz="4" w:space="0" w:color="auto"/>
              <w:left w:val="nil"/>
              <w:bottom w:val="single" w:sz="4" w:space="0" w:color="auto"/>
              <w:right w:val="single" w:sz="4" w:space="0" w:color="auto"/>
            </w:tcBorders>
            <w:tcMar>
              <w:right w:w="187" w:type="dxa"/>
            </w:tcMar>
            <w:vAlign w:val="bottom"/>
          </w:tcPr>
          <w:p w14:paraId="65504620" w14:textId="31FA7FF5" w:rsidR="00A379D7" w:rsidRPr="00A379D7" w:rsidRDefault="00A379D7" w:rsidP="00A379D7">
            <w:pPr>
              <w:widowControl w:val="0"/>
              <w:jc w:val="right"/>
              <w:rPr>
                <w:sz w:val="20"/>
                <w:szCs w:val="20"/>
                <w:lang w:val="fr-CA"/>
              </w:rPr>
            </w:pPr>
            <w:r w:rsidRPr="00A379D7">
              <w:rPr>
                <w:sz w:val="20"/>
                <w:szCs w:val="20"/>
                <w:lang w:val="fr-CA"/>
              </w:rPr>
              <w:t>2</w:t>
            </w:r>
            <w:r>
              <w:rPr>
                <w:sz w:val="20"/>
                <w:szCs w:val="20"/>
                <w:lang w:val="fr-CA"/>
              </w:rPr>
              <w:t> </w:t>
            </w:r>
            <w:r w:rsidRPr="00A379D7">
              <w:rPr>
                <w:sz w:val="20"/>
                <w:szCs w:val="20"/>
                <w:lang w:val="fr-CA"/>
              </w:rPr>
              <w:t>860</w:t>
            </w:r>
            <w:r>
              <w:rPr>
                <w:sz w:val="20"/>
                <w:szCs w:val="20"/>
                <w:lang w:val="fr-CA"/>
              </w:rPr>
              <w:t>,</w:t>
            </w:r>
            <w:r w:rsidRPr="00A379D7">
              <w:rPr>
                <w:sz w:val="20"/>
                <w:szCs w:val="20"/>
                <w:lang w:val="fr-CA"/>
              </w:rPr>
              <w:t>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14:paraId="539F145D" w14:textId="441C4CDE" w:rsidR="00A379D7" w:rsidRPr="00A379D7" w:rsidRDefault="00A379D7" w:rsidP="00A379D7">
            <w:pPr>
              <w:widowControl w:val="0"/>
              <w:jc w:val="right"/>
              <w:rPr>
                <w:sz w:val="20"/>
                <w:szCs w:val="20"/>
                <w:lang w:val="fr-CA"/>
              </w:rPr>
            </w:pPr>
            <w:r w:rsidRPr="00A379D7">
              <w:rPr>
                <w:sz w:val="20"/>
                <w:szCs w:val="20"/>
                <w:lang w:val="fr-CA"/>
              </w:rPr>
              <w:t>2</w:t>
            </w:r>
            <w:r>
              <w:rPr>
                <w:sz w:val="20"/>
                <w:szCs w:val="20"/>
                <w:lang w:val="fr-CA"/>
              </w:rPr>
              <w:t> </w:t>
            </w:r>
            <w:r w:rsidRPr="00A379D7">
              <w:rPr>
                <w:sz w:val="20"/>
                <w:szCs w:val="20"/>
                <w:lang w:val="fr-CA"/>
              </w:rPr>
              <w:t>750</w:t>
            </w:r>
            <w:r>
              <w:rPr>
                <w:sz w:val="20"/>
                <w:szCs w:val="20"/>
                <w:lang w:val="fr-CA"/>
              </w:rPr>
              <w:t>,</w:t>
            </w:r>
            <w:r w:rsidRPr="00A379D7">
              <w:rPr>
                <w:sz w:val="20"/>
                <w:szCs w:val="20"/>
                <w:lang w:val="fr-CA"/>
              </w:rPr>
              <w:t>0</w:t>
            </w:r>
          </w:p>
        </w:tc>
      </w:tr>
      <w:tr w:rsidR="00A379D7" w:rsidRPr="00A379D7" w14:paraId="014A7D62" w14:textId="77777777" w:rsidTr="00A379D7">
        <w:tc>
          <w:tcPr>
            <w:tcW w:w="1047" w:type="pct"/>
            <w:vMerge w:val="restart"/>
            <w:tcBorders>
              <w:top w:val="nil"/>
              <w:left w:val="single" w:sz="4" w:space="0" w:color="auto"/>
              <w:right w:val="single" w:sz="4" w:space="0" w:color="auto"/>
            </w:tcBorders>
            <w:shd w:val="clear" w:color="auto" w:fill="auto"/>
            <w:noWrap/>
            <w:tcMar>
              <w:left w:w="29" w:type="dxa"/>
              <w:right w:w="0" w:type="dxa"/>
            </w:tcMar>
            <w:vAlign w:val="center"/>
          </w:tcPr>
          <w:p w14:paraId="7EE3859E" w14:textId="77777777" w:rsidR="00A379D7" w:rsidRPr="00A379D7" w:rsidRDefault="00A379D7" w:rsidP="00A379D7">
            <w:pPr>
              <w:widowControl w:val="0"/>
              <w:jc w:val="left"/>
              <w:rPr>
                <w:sz w:val="20"/>
                <w:szCs w:val="20"/>
                <w:lang w:val="fr-CA"/>
              </w:rPr>
            </w:pPr>
            <w:r w:rsidRPr="00A379D7">
              <w:rPr>
                <w:sz w:val="20"/>
                <w:szCs w:val="20"/>
                <w:lang w:val="fr-CA"/>
              </w:rPr>
              <w:t>Consommation</w:t>
            </w:r>
          </w:p>
          <w:p w14:paraId="732FA6FE" w14:textId="0826B6F3" w:rsidR="00A379D7" w:rsidRPr="00A379D7" w:rsidRDefault="00A379D7" w:rsidP="00A379D7">
            <w:pPr>
              <w:widowControl w:val="0"/>
              <w:jc w:val="left"/>
              <w:rPr>
                <w:sz w:val="20"/>
                <w:szCs w:val="20"/>
                <w:lang w:val="fr-CA"/>
              </w:rPr>
            </w:pPr>
            <w:r w:rsidRPr="00A379D7">
              <w:rPr>
                <w:sz w:val="20"/>
                <w:szCs w:val="20"/>
                <w:lang w:val="fr-CA"/>
              </w:rPr>
              <w:t xml:space="preserve">maximale admissible </w:t>
            </w:r>
          </w:p>
        </w:tc>
        <w:tc>
          <w:tcPr>
            <w:tcW w:w="669" w:type="pct"/>
            <w:tcBorders>
              <w:top w:val="nil"/>
              <w:left w:val="single" w:sz="4" w:space="0" w:color="auto"/>
              <w:bottom w:val="single" w:sz="4" w:space="0" w:color="auto"/>
              <w:right w:val="single" w:sz="4" w:space="0" w:color="auto"/>
            </w:tcBorders>
            <w:shd w:val="clear" w:color="auto" w:fill="auto"/>
            <w:tcMar>
              <w:left w:w="29" w:type="dxa"/>
              <w:right w:w="29" w:type="dxa"/>
            </w:tcMar>
          </w:tcPr>
          <w:p w14:paraId="0626575D" w14:textId="616787F5" w:rsidR="00A379D7" w:rsidRPr="00A379D7" w:rsidRDefault="00A379D7" w:rsidP="00A379D7">
            <w:pPr>
              <w:widowControl w:val="0"/>
              <w:jc w:val="left"/>
              <w:rPr>
                <w:sz w:val="20"/>
                <w:szCs w:val="20"/>
                <w:lang w:val="fr-CA"/>
              </w:rPr>
            </w:pPr>
            <w:r w:rsidRPr="00A379D7">
              <w:rPr>
                <w:sz w:val="20"/>
                <w:szCs w:val="20"/>
                <w:lang w:val="fr-CA"/>
              </w:rPr>
              <w:t>tm</w:t>
            </w:r>
          </w:p>
        </w:tc>
        <w:tc>
          <w:tcPr>
            <w:tcW w:w="656" w:type="pct"/>
            <w:tcBorders>
              <w:top w:val="nil"/>
              <w:left w:val="nil"/>
              <w:bottom w:val="single" w:sz="4" w:space="0" w:color="auto"/>
              <w:right w:val="single" w:sz="4" w:space="0" w:color="auto"/>
            </w:tcBorders>
            <w:shd w:val="clear" w:color="auto" w:fill="auto"/>
            <w:noWrap/>
            <w:tcMar>
              <w:left w:w="29" w:type="dxa"/>
              <w:right w:w="187" w:type="dxa"/>
            </w:tcMar>
            <w:vAlign w:val="bottom"/>
          </w:tcPr>
          <w:p w14:paraId="07F22C48" w14:textId="65E19C7E" w:rsidR="00A379D7" w:rsidRPr="00A379D7" w:rsidRDefault="00A379D7" w:rsidP="00A379D7">
            <w:pPr>
              <w:widowControl w:val="0"/>
              <w:jc w:val="right"/>
              <w:rPr>
                <w:sz w:val="20"/>
                <w:szCs w:val="20"/>
                <w:lang w:val="fr-CA"/>
              </w:rPr>
            </w:pPr>
            <w:r w:rsidRPr="00A379D7">
              <w:rPr>
                <w:sz w:val="20"/>
                <w:szCs w:val="20"/>
                <w:lang w:val="fr-CA"/>
              </w:rPr>
              <w:t>67</w:t>
            </w:r>
            <w:r>
              <w:rPr>
                <w:sz w:val="20"/>
                <w:szCs w:val="20"/>
                <w:lang w:val="fr-CA"/>
              </w:rPr>
              <w:t> </w:t>
            </w:r>
            <w:r w:rsidRPr="00A379D7">
              <w:rPr>
                <w:sz w:val="20"/>
                <w:szCs w:val="20"/>
                <w:lang w:val="fr-CA"/>
              </w:rPr>
              <w:t>231</w:t>
            </w:r>
            <w:r>
              <w:rPr>
                <w:sz w:val="20"/>
                <w:szCs w:val="20"/>
                <w:lang w:val="fr-CA"/>
              </w:rPr>
              <w:t>,</w:t>
            </w:r>
            <w:r w:rsidRPr="00A379D7">
              <w:rPr>
                <w:sz w:val="20"/>
                <w:szCs w:val="20"/>
                <w:lang w:val="fr-CA"/>
              </w:rPr>
              <w:t>0</w:t>
            </w:r>
          </w:p>
        </w:tc>
        <w:tc>
          <w:tcPr>
            <w:tcW w:w="656" w:type="pct"/>
            <w:tcBorders>
              <w:top w:val="nil"/>
              <w:left w:val="nil"/>
              <w:bottom w:val="single" w:sz="4" w:space="0" w:color="auto"/>
              <w:right w:val="single" w:sz="4" w:space="0" w:color="auto"/>
            </w:tcBorders>
            <w:tcMar>
              <w:left w:w="29" w:type="dxa"/>
              <w:right w:w="187" w:type="dxa"/>
            </w:tcMar>
            <w:vAlign w:val="bottom"/>
          </w:tcPr>
          <w:p w14:paraId="7099810C" w14:textId="2290CC19" w:rsidR="00A379D7" w:rsidRPr="00A379D7" w:rsidRDefault="00A379D7" w:rsidP="00A379D7">
            <w:pPr>
              <w:widowControl w:val="0"/>
              <w:jc w:val="right"/>
              <w:rPr>
                <w:sz w:val="20"/>
                <w:szCs w:val="20"/>
                <w:lang w:val="fr-CA"/>
              </w:rPr>
            </w:pPr>
            <w:r w:rsidRPr="00A379D7">
              <w:rPr>
                <w:sz w:val="20"/>
                <w:szCs w:val="20"/>
                <w:lang w:val="fr-CA"/>
              </w:rPr>
              <w:t>67</w:t>
            </w:r>
            <w:r>
              <w:rPr>
                <w:sz w:val="20"/>
                <w:szCs w:val="20"/>
                <w:lang w:val="fr-CA"/>
              </w:rPr>
              <w:t> </w:t>
            </w:r>
            <w:r w:rsidRPr="00A379D7">
              <w:rPr>
                <w:sz w:val="20"/>
                <w:szCs w:val="20"/>
                <w:lang w:val="fr-CA"/>
              </w:rPr>
              <w:t>231</w:t>
            </w:r>
            <w:r>
              <w:rPr>
                <w:sz w:val="20"/>
                <w:szCs w:val="20"/>
                <w:lang w:val="fr-CA"/>
              </w:rPr>
              <w:t>,</w:t>
            </w:r>
            <w:r w:rsidRPr="00A379D7">
              <w:rPr>
                <w:sz w:val="20"/>
                <w:szCs w:val="20"/>
                <w:lang w:val="fr-CA"/>
              </w:rPr>
              <w:t>0</w:t>
            </w:r>
          </w:p>
        </w:tc>
        <w:tc>
          <w:tcPr>
            <w:tcW w:w="656" w:type="pct"/>
            <w:tcBorders>
              <w:top w:val="nil"/>
              <w:left w:val="nil"/>
              <w:bottom w:val="single" w:sz="4" w:space="0" w:color="auto"/>
              <w:right w:val="single" w:sz="4" w:space="0" w:color="auto"/>
            </w:tcBorders>
            <w:tcMar>
              <w:left w:w="29" w:type="dxa"/>
              <w:right w:w="187" w:type="dxa"/>
            </w:tcMar>
            <w:vAlign w:val="bottom"/>
          </w:tcPr>
          <w:p w14:paraId="4BF8A0B8" w14:textId="23E8A0DC" w:rsidR="00A379D7" w:rsidRPr="00A379D7" w:rsidRDefault="00A379D7" w:rsidP="00A379D7">
            <w:pPr>
              <w:widowControl w:val="0"/>
              <w:jc w:val="right"/>
              <w:rPr>
                <w:sz w:val="20"/>
                <w:szCs w:val="20"/>
                <w:lang w:val="fr-CA"/>
              </w:rPr>
            </w:pPr>
            <w:r w:rsidRPr="00A379D7">
              <w:rPr>
                <w:sz w:val="20"/>
                <w:szCs w:val="20"/>
                <w:lang w:val="fr-CA"/>
              </w:rPr>
              <w:t>67</w:t>
            </w:r>
            <w:r>
              <w:rPr>
                <w:sz w:val="20"/>
                <w:szCs w:val="20"/>
                <w:lang w:val="fr-CA"/>
              </w:rPr>
              <w:t> </w:t>
            </w:r>
            <w:r w:rsidRPr="00A379D7">
              <w:rPr>
                <w:sz w:val="20"/>
                <w:szCs w:val="20"/>
                <w:lang w:val="fr-CA"/>
              </w:rPr>
              <w:t>231</w:t>
            </w:r>
            <w:r>
              <w:rPr>
                <w:sz w:val="20"/>
                <w:szCs w:val="20"/>
                <w:lang w:val="fr-CA"/>
              </w:rPr>
              <w:t>,</w:t>
            </w:r>
            <w:r w:rsidRPr="00A379D7">
              <w:rPr>
                <w:sz w:val="20"/>
                <w:szCs w:val="20"/>
                <w:lang w:val="fr-CA"/>
              </w:rPr>
              <w:t>0</w:t>
            </w:r>
          </w:p>
        </w:tc>
        <w:tc>
          <w:tcPr>
            <w:tcW w:w="656" w:type="pct"/>
            <w:tcBorders>
              <w:top w:val="single" w:sz="4" w:space="0" w:color="auto"/>
              <w:left w:val="nil"/>
              <w:bottom w:val="single" w:sz="4" w:space="0" w:color="auto"/>
              <w:right w:val="single" w:sz="4" w:space="0" w:color="auto"/>
            </w:tcBorders>
            <w:tcMar>
              <w:right w:w="187" w:type="dxa"/>
            </w:tcMar>
            <w:vAlign w:val="bottom"/>
          </w:tcPr>
          <w:p w14:paraId="1C3A9A52" w14:textId="12C68F20" w:rsidR="00A379D7" w:rsidRPr="00A379D7" w:rsidRDefault="00A379D7" w:rsidP="00A379D7">
            <w:pPr>
              <w:widowControl w:val="0"/>
              <w:jc w:val="right"/>
              <w:rPr>
                <w:sz w:val="20"/>
                <w:szCs w:val="20"/>
                <w:lang w:val="fr-CA"/>
              </w:rPr>
            </w:pPr>
            <w:r w:rsidRPr="00A379D7">
              <w:rPr>
                <w:sz w:val="20"/>
                <w:szCs w:val="20"/>
                <w:lang w:val="fr-CA"/>
              </w:rPr>
              <w:t>52</w:t>
            </w:r>
            <w:r>
              <w:rPr>
                <w:sz w:val="20"/>
                <w:szCs w:val="20"/>
                <w:lang w:val="fr-CA"/>
              </w:rPr>
              <w:t> </w:t>
            </w:r>
            <w:r w:rsidRPr="00A379D7">
              <w:rPr>
                <w:sz w:val="20"/>
                <w:szCs w:val="20"/>
                <w:lang w:val="fr-CA"/>
              </w:rPr>
              <w:t>291</w:t>
            </w:r>
            <w:r>
              <w:rPr>
                <w:sz w:val="20"/>
                <w:szCs w:val="20"/>
                <w:lang w:val="fr-CA"/>
              </w:rPr>
              <w:t>,</w:t>
            </w:r>
            <w:r w:rsidRPr="00A379D7">
              <w:rPr>
                <w:sz w:val="20"/>
                <w:szCs w:val="20"/>
                <w:lang w:val="fr-CA"/>
              </w:rPr>
              <w:t>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14:paraId="0F3F0FB6" w14:textId="10C79539" w:rsidR="00A379D7" w:rsidRPr="00A379D7" w:rsidRDefault="00A379D7" w:rsidP="00A379D7">
            <w:pPr>
              <w:widowControl w:val="0"/>
              <w:jc w:val="right"/>
              <w:rPr>
                <w:sz w:val="20"/>
                <w:szCs w:val="20"/>
                <w:lang w:val="fr-CA"/>
              </w:rPr>
            </w:pPr>
            <w:r w:rsidRPr="00A379D7">
              <w:rPr>
                <w:sz w:val="20"/>
                <w:szCs w:val="20"/>
                <w:lang w:val="fr-CA"/>
              </w:rPr>
              <w:t>52</w:t>
            </w:r>
            <w:r>
              <w:rPr>
                <w:sz w:val="20"/>
                <w:szCs w:val="20"/>
                <w:lang w:val="fr-CA"/>
              </w:rPr>
              <w:t> </w:t>
            </w:r>
            <w:r w:rsidRPr="00A379D7">
              <w:rPr>
                <w:sz w:val="20"/>
                <w:szCs w:val="20"/>
                <w:lang w:val="fr-CA"/>
              </w:rPr>
              <w:t>291</w:t>
            </w:r>
            <w:r>
              <w:rPr>
                <w:sz w:val="20"/>
                <w:szCs w:val="20"/>
                <w:lang w:val="fr-CA"/>
              </w:rPr>
              <w:t>,</w:t>
            </w:r>
            <w:r w:rsidRPr="00A379D7">
              <w:rPr>
                <w:sz w:val="20"/>
                <w:szCs w:val="20"/>
                <w:lang w:val="fr-CA"/>
              </w:rPr>
              <w:t>0</w:t>
            </w:r>
          </w:p>
        </w:tc>
      </w:tr>
      <w:tr w:rsidR="00A379D7" w:rsidRPr="00A379D7" w14:paraId="699B152F" w14:textId="77777777" w:rsidTr="00A379D7">
        <w:tc>
          <w:tcPr>
            <w:tcW w:w="1047" w:type="pct"/>
            <w:vMerge/>
            <w:tcBorders>
              <w:left w:val="single" w:sz="4" w:space="0" w:color="auto"/>
              <w:bottom w:val="single" w:sz="4" w:space="0" w:color="auto"/>
              <w:right w:val="single" w:sz="4" w:space="0" w:color="auto"/>
            </w:tcBorders>
            <w:shd w:val="clear" w:color="auto" w:fill="auto"/>
            <w:noWrap/>
            <w:tcMar>
              <w:left w:w="29" w:type="dxa"/>
              <w:right w:w="29" w:type="dxa"/>
            </w:tcMar>
          </w:tcPr>
          <w:p w14:paraId="21B8B7EC" w14:textId="77777777" w:rsidR="00A379D7" w:rsidRPr="00A379D7" w:rsidRDefault="00A379D7" w:rsidP="00A379D7">
            <w:pPr>
              <w:widowControl w:val="0"/>
              <w:jc w:val="left"/>
              <w:rPr>
                <w:sz w:val="20"/>
                <w:szCs w:val="20"/>
                <w:lang w:val="fr-CA"/>
              </w:rPr>
            </w:pPr>
          </w:p>
        </w:tc>
        <w:tc>
          <w:tcPr>
            <w:tcW w:w="669" w:type="pct"/>
            <w:tcBorders>
              <w:top w:val="nil"/>
              <w:left w:val="single" w:sz="4" w:space="0" w:color="auto"/>
              <w:bottom w:val="single" w:sz="4" w:space="0" w:color="auto"/>
              <w:right w:val="single" w:sz="4" w:space="0" w:color="auto"/>
            </w:tcBorders>
            <w:shd w:val="clear" w:color="auto" w:fill="auto"/>
            <w:tcMar>
              <w:left w:w="29" w:type="dxa"/>
              <w:right w:w="29" w:type="dxa"/>
            </w:tcMar>
          </w:tcPr>
          <w:p w14:paraId="4674AFBA" w14:textId="6B17F893" w:rsidR="00A379D7" w:rsidRPr="00A379D7" w:rsidRDefault="00A379D7" w:rsidP="00A379D7">
            <w:pPr>
              <w:widowControl w:val="0"/>
              <w:jc w:val="left"/>
              <w:rPr>
                <w:sz w:val="20"/>
                <w:szCs w:val="20"/>
                <w:lang w:val="fr-CA"/>
              </w:rPr>
            </w:pPr>
            <w:r w:rsidRPr="00A379D7">
              <w:rPr>
                <w:sz w:val="20"/>
                <w:szCs w:val="20"/>
                <w:lang w:val="fr-CA"/>
              </w:rPr>
              <w:t>tonnes PAO</w:t>
            </w:r>
          </w:p>
        </w:tc>
        <w:tc>
          <w:tcPr>
            <w:tcW w:w="656" w:type="pct"/>
            <w:tcBorders>
              <w:top w:val="nil"/>
              <w:left w:val="nil"/>
              <w:bottom w:val="single" w:sz="4" w:space="0" w:color="auto"/>
              <w:right w:val="single" w:sz="4" w:space="0" w:color="auto"/>
            </w:tcBorders>
            <w:shd w:val="clear" w:color="auto" w:fill="auto"/>
            <w:noWrap/>
            <w:tcMar>
              <w:left w:w="29" w:type="dxa"/>
              <w:right w:w="187" w:type="dxa"/>
            </w:tcMar>
            <w:vAlign w:val="bottom"/>
          </w:tcPr>
          <w:p w14:paraId="0586537E" w14:textId="4A4F98C3" w:rsidR="00A379D7" w:rsidRPr="00A379D7" w:rsidRDefault="00A379D7" w:rsidP="00A379D7">
            <w:pPr>
              <w:widowControl w:val="0"/>
              <w:jc w:val="right"/>
              <w:rPr>
                <w:sz w:val="20"/>
                <w:szCs w:val="20"/>
                <w:lang w:val="fr-CA"/>
              </w:rPr>
            </w:pPr>
            <w:r w:rsidRPr="00A379D7">
              <w:rPr>
                <w:sz w:val="20"/>
                <w:szCs w:val="20"/>
                <w:lang w:val="fr-CA"/>
              </w:rPr>
              <w:t>3</w:t>
            </w:r>
            <w:r>
              <w:rPr>
                <w:sz w:val="20"/>
                <w:szCs w:val="20"/>
                <w:lang w:val="fr-CA"/>
              </w:rPr>
              <w:t> </w:t>
            </w:r>
            <w:r w:rsidRPr="00A379D7">
              <w:rPr>
                <w:sz w:val="20"/>
                <w:szCs w:val="20"/>
                <w:lang w:val="fr-CA"/>
              </w:rPr>
              <w:t>697</w:t>
            </w:r>
            <w:r>
              <w:rPr>
                <w:sz w:val="20"/>
                <w:szCs w:val="20"/>
                <w:lang w:val="fr-CA"/>
              </w:rPr>
              <w:t>,</w:t>
            </w:r>
            <w:r w:rsidRPr="00A379D7">
              <w:rPr>
                <w:sz w:val="20"/>
                <w:szCs w:val="20"/>
                <w:lang w:val="fr-CA"/>
              </w:rPr>
              <w:t>7</w:t>
            </w:r>
          </w:p>
        </w:tc>
        <w:tc>
          <w:tcPr>
            <w:tcW w:w="656" w:type="pct"/>
            <w:tcBorders>
              <w:top w:val="nil"/>
              <w:left w:val="nil"/>
              <w:bottom w:val="single" w:sz="4" w:space="0" w:color="auto"/>
              <w:right w:val="single" w:sz="4" w:space="0" w:color="auto"/>
            </w:tcBorders>
            <w:tcMar>
              <w:left w:w="29" w:type="dxa"/>
              <w:right w:w="187" w:type="dxa"/>
            </w:tcMar>
            <w:vAlign w:val="bottom"/>
          </w:tcPr>
          <w:p w14:paraId="0D3DCD90" w14:textId="3CE5BA78" w:rsidR="00A379D7" w:rsidRPr="00A379D7" w:rsidRDefault="00A379D7" w:rsidP="00A379D7">
            <w:pPr>
              <w:widowControl w:val="0"/>
              <w:jc w:val="right"/>
              <w:rPr>
                <w:sz w:val="20"/>
                <w:szCs w:val="20"/>
                <w:lang w:val="fr-CA"/>
              </w:rPr>
            </w:pPr>
            <w:r w:rsidRPr="00A379D7">
              <w:rPr>
                <w:sz w:val="20"/>
                <w:szCs w:val="20"/>
                <w:lang w:val="fr-CA"/>
              </w:rPr>
              <w:t>3</w:t>
            </w:r>
            <w:r>
              <w:rPr>
                <w:sz w:val="20"/>
                <w:szCs w:val="20"/>
                <w:lang w:val="fr-CA"/>
              </w:rPr>
              <w:t> </w:t>
            </w:r>
            <w:r w:rsidRPr="00A379D7">
              <w:rPr>
                <w:sz w:val="20"/>
                <w:szCs w:val="20"/>
                <w:lang w:val="fr-CA"/>
              </w:rPr>
              <w:t>697</w:t>
            </w:r>
            <w:r>
              <w:rPr>
                <w:sz w:val="20"/>
                <w:szCs w:val="20"/>
                <w:lang w:val="fr-CA"/>
              </w:rPr>
              <w:t>,</w:t>
            </w:r>
            <w:r w:rsidRPr="00A379D7">
              <w:rPr>
                <w:sz w:val="20"/>
                <w:szCs w:val="20"/>
                <w:lang w:val="fr-CA"/>
              </w:rPr>
              <w:t>7</w:t>
            </w:r>
          </w:p>
        </w:tc>
        <w:tc>
          <w:tcPr>
            <w:tcW w:w="656" w:type="pct"/>
            <w:tcBorders>
              <w:top w:val="nil"/>
              <w:left w:val="nil"/>
              <w:bottom w:val="single" w:sz="4" w:space="0" w:color="auto"/>
              <w:right w:val="single" w:sz="4" w:space="0" w:color="auto"/>
            </w:tcBorders>
            <w:tcMar>
              <w:left w:w="29" w:type="dxa"/>
              <w:right w:w="187" w:type="dxa"/>
            </w:tcMar>
            <w:vAlign w:val="bottom"/>
          </w:tcPr>
          <w:p w14:paraId="1703B70D" w14:textId="37C2B477" w:rsidR="00A379D7" w:rsidRPr="00A379D7" w:rsidRDefault="00A379D7" w:rsidP="00A379D7">
            <w:pPr>
              <w:widowControl w:val="0"/>
              <w:jc w:val="right"/>
              <w:rPr>
                <w:sz w:val="20"/>
                <w:szCs w:val="20"/>
                <w:lang w:val="fr-CA"/>
              </w:rPr>
            </w:pPr>
            <w:r w:rsidRPr="00A379D7">
              <w:rPr>
                <w:sz w:val="20"/>
                <w:szCs w:val="20"/>
                <w:lang w:val="fr-CA"/>
              </w:rPr>
              <w:t>3</w:t>
            </w:r>
            <w:r>
              <w:rPr>
                <w:sz w:val="20"/>
                <w:szCs w:val="20"/>
                <w:lang w:val="fr-CA"/>
              </w:rPr>
              <w:t> </w:t>
            </w:r>
            <w:r w:rsidRPr="00A379D7">
              <w:rPr>
                <w:sz w:val="20"/>
                <w:szCs w:val="20"/>
                <w:lang w:val="fr-CA"/>
              </w:rPr>
              <w:t>697</w:t>
            </w:r>
            <w:r>
              <w:rPr>
                <w:sz w:val="20"/>
                <w:szCs w:val="20"/>
                <w:lang w:val="fr-CA"/>
              </w:rPr>
              <w:t>,</w:t>
            </w:r>
            <w:r w:rsidRPr="00A379D7">
              <w:rPr>
                <w:sz w:val="20"/>
                <w:szCs w:val="20"/>
                <w:lang w:val="fr-CA"/>
              </w:rPr>
              <w:t>7</w:t>
            </w:r>
          </w:p>
        </w:tc>
        <w:tc>
          <w:tcPr>
            <w:tcW w:w="656" w:type="pct"/>
            <w:tcBorders>
              <w:top w:val="single" w:sz="4" w:space="0" w:color="auto"/>
              <w:left w:val="nil"/>
              <w:bottom w:val="single" w:sz="4" w:space="0" w:color="auto"/>
              <w:right w:val="single" w:sz="4" w:space="0" w:color="auto"/>
            </w:tcBorders>
            <w:tcMar>
              <w:right w:w="187" w:type="dxa"/>
            </w:tcMar>
            <w:vAlign w:val="bottom"/>
          </w:tcPr>
          <w:p w14:paraId="049227DF" w14:textId="54E9F71C" w:rsidR="00A379D7" w:rsidRPr="00A379D7" w:rsidRDefault="00A379D7" w:rsidP="00A379D7">
            <w:pPr>
              <w:widowControl w:val="0"/>
              <w:jc w:val="right"/>
              <w:rPr>
                <w:sz w:val="20"/>
                <w:szCs w:val="20"/>
                <w:lang w:val="fr-CA"/>
              </w:rPr>
            </w:pPr>
            <w:r w:rsidRPr="00A379D7">
              <w:rPr>
                <w:sz w:val="20"/>
                <w:szCs w:val="20"/>
                <w:lang w:val="fr-CA"/>
              </w:rPr>
              <w:t>2876</w:t>
            </w:r>
            <w:r>
              <w:rPr>
                <w:sz w:val="20"/>
                <w:szCs w:val="20"/>
                <w:lang w:val="fr-CA"/>
              </w:rPr>
              <w:t>,</w:t>
            </w:r>
            <w:r w:rsidRPr="00A379D7">
              <w:rPr>
                <w:sz w:val="20"/>
                <w:szCs w:val="20"/>
                <w:lang w:val="fr-CA"/>
              </w:rPr>
              <w:t>0</w:t>
            </w:r>
          </w:p>
        </w:tc>
        <w:tc>
          <w:tcPr>
            <w:tcW w:w="659" w:type="pct"/>
            <w:tcBorders>
              <w:top w:val="single" w:sz="4" w:space="0" w:color="auto"/>
              <w:left w:val="single" w:sz="4" w:space="0" w:color="auto"/>
              <w:bottom w:val="single" w:sz="4" w:space="0" w:color="auto"/>
              <w:right w:val="single" w:sz="4" w:space="0" w:color="auto"/>
            </w:tcBorders>
            <w:tcMar>
              <w:right w:w="187" w:type="dxa"/>
            </w:tcMar>
            <w:vAlign w:val="bottom"/>
          </w:tcPr>
          <w:p w14:paraId="761047B0" w14:textId="2756D84D" w:rsidR="00A379D7" w:rsidRPr="00A379D7" w:rsidRDefault="00A379D7" w:rsidP="00A379D7">
            <w:pPr>
              <w:widowControl w:val="0"/>
              <w:jc w:val="right"/>
              <w:rPr>
                <w:sz w:val="20"/>
                <w:szCs w:val="20"/>
                <w:lang w:val="fr-CA"/>
              </w:rPr>
            </w:pPr>
            <w:r w:rsidRPr="00A379D7">
              <w:rPr>
                <w:sz w:val="20"/>
                <w:szCs w:val="20"/>
                <w:lang w:val="fr-CA"/>
              </w:rPr>
              <w:t>2876</w:t>
            </w:r>
            <w:r>
              <w:rPr>
                <w:sz w:val="20"/>
                <w:szCs w:val="20"/>
                <w:lang w:val="fr-CA"/>
              </w:rPr>
              <w:t>,</w:t>
            </w:r>
            <w:r w:rsidRPr="00A379D7">
              <w:rPr>
                <w:sz w:val="20"/>
                <w:szCs w:val="20"/>
                <w:lang w:val="fr-CA"/>
              </w:rPr>
              <w:t>0</w:t>
            </w:r>
          </w:p>
        </w:tc>
      </w:tr>
    </w:tbl>
    <w:p w14:paraId="7D889BCA" w14:textId="77777777" w:rsidR="00A379D7" w:rsidRPr="00A379D7" w:rsidRDefault="00A379D7" w:rsidP="00A379D7">
      <w:pPr>
        <w:widowControl w:val="0"/>
        <w:rPr>
          <w:lang w:val="en-CA"/>
        </w:rPr>
      </w:pPr>
    </w:p>
    <w:p w14:paraId="19603B4C" w14:textId="186D7F1B" w:rsidR="0029763D" w:rsidRPr="00802AF9" w:rsidRDefault="00895D1B" w:rsidP="0029763D">
      <w:pPr>
        <w:rPr>
          <w:u w:val="single"/>
          <w:lang w:val="fr-CA"/>
        </w:rPr>
      </w:pPr>
      <w:r>
        <w:rPr>
          <w:u w:val="single"/>
          <w:lang w:val="fr-CA"/>
        </w:rPr>
        <w:t>Mise en œuvre du programme d’incitation de l’</w:t>
      </w:r>
      <w:r w:rsidR="0029763D" w:rsidRPr="00802AF9">
        <w:rPr>
          <w:u w:val="single"/>
          <w:lang w:val="fr-CA"/>
        </w:rPr>
        <w:t xml:space="preserve">IOC </w:t>
      </w:r>
    </w:p>
    <w:p w14:paraId="1BCF832A" w14:textId="77777777" w:rsidR="0029763D" w:rsidRPr="00802AF9" w:rsidRDefault="0029763D" w:rsidP="0029763D">
      <w:pPr>
        <w:rPr>
          <w:b/>
          <w:lang w:val="fr-CA"/>
        </w:rPr>
      </w:pPr>
    </w:p>
    <w:p w14:paraId="02E7B0B6" w14:textId="6F49EE3F" w:rsidR="0029763D" w:rsidRPr="00802AF9" w:rsidRDefault="00895D1B" w:rsidP="0029763D">
      <w:pPr>
        <w:pStyle w:val="Heading1"/>
        <w:rPr>
          <w:lang w:val="fr-CA"/>
        </w:rPr>
      </w:pPr>
      <w:r>
        <w:rPr>
          <w:lang w:val="fr-CA"/>
        </w:rPr>
        <w:t>E</w:t>
      </w:r>
      <w:r w:rsidR="0029763D" w:rsidRPr="00802AF9">
        <w:rPr>
          <w:lang w:val="fr-CA"/>
        </w:rPr>
        <w:t xml:space="preserve">n </w:t>
      </w:r>
      <w:r>
        <w:rPr>
          <w:lang w:val="fr-CA"/>
        </w:rPr>
        <w:t>s</w:t>
      </w:r>
      <w:r w:rsidR="00825570" w:rsidRPr="00802AF9">
        <w:rPr>
          <w:lang w:val="fr-CA"/>
        </w:rPr>
        <w:t>eptembre</w:t>
      </w:r>
      <w:r w:rsidR="0029763D" w:rsidRPr="00802AF9">
        <w:rPr>
          <w:lang w:val="fr-CA"/>
        </w:rPr>
        <w:t xml:space="preserve"> 2019, </w:t>
      </w:r>
      <w:r>
        <w:rPr>
          <w:lang w:val="fr-CA"/>
        </w:rPr>
        <w:t>e</w:t>
      </w:r>
      <w:r w:rsidR="0029763D" w:rsidRPr="00802AF9">
        <w:rPr>
          <w:lang w:val="fr-CA"/>
        </w:rPr>
        <w:t xml:space="preserve">n consultation </w:t>
      </w:r>
      <w:r>
        <w:rPr>
          <w:lang w:val="fr-CA"/>
        </w:rPr>
        <w:t xml:space="preserve">avec l’Association des appareils ménagers électriques de la </w:t>
      </w:r>
      <w:r w:rsidR="00494A38" w:rsidRPr="00802AF9">
        <w:rPr>
          <w:lang w:val="fr-CA"/>
        </w:rPr>
        <w:t>Chine</w:t>
      </w:r>
      <w:r w:rsidR="0029763D" w:rsidRPr="00802AF9">
        <w:rPr>
          <w:lang w:val="fr-CA"/>
        </w:rPr>
        <w:t xml:space="preserve"> (CHEAA) </w:t>
      </w:r>
      <w:r>
        <w:rPr>
          <w:lang w:val="fr-CA"/>
        </w:rPr>
        <w:t xml:space="preserve">et les fabricants, le </w:t>
      </w:r>
      <w:r w:rsidR="00C816AC">
        <w:rPr>
          <w:lang w:val="fr-CA"/>
        </w:rPr>
        <w:t>CCEE</w:t>
      </w:r>
      <w:r w:rsidR="0029763D" w:rsidRPr="00802AF9">
        <w:rPr>
          <w:lang w:val="fr-CA"/>
        </w:rPr>
        <w:t xml:space="preserve"> </w:t>
      </w:r>
      <w:r>
        <w:rPr>
          <w:lang w:val="fr-CA"/>
        </w:rPr>
        <w:t>a modifié comme suit le programme d’incitation de l’</w:t>
      </w:r>
      <w:r w:rsidR="0029763D" w:rsidRPr="00802AF9">
        <w:rPr>
          <w:lang w:val="fr-CA"/>
        </w:rPr>
        <w:t xml:space="preserve">IOC: </w:t>
      </w:r>
      <w:r>
        <w:rPr>
          <w:lang w:val="fr-CA"/>
        </w:rPr>
        <w:t xml:space="preserve">les climatiseurs bi-bloc à base de </w:t>
      </w:r>
      <w:r w:rsidR="0029763D" w:rsidRPr="00802AF9">
        <w:rPr>
          <w:lang w:val="fr-CA"/>
        </w:rPr>
        <w:t>R-290</w:t>
      </w:r>
      <w:r>
        <w:rPr>
          <w:lang w:val="fr-CA"/>
        </w:rPr>
        <w:t xml:space="preserve"> fabriqués avant le </w:t>
      </w:r>
      <w:r w:rsidR="0029763D" w:rsidRPr="00802AF9">
        <w:rPr>
          <w:lang w:val="fr-CA"/>
        </w:rPr>
        <w:t>31 </w:t>
      </w:r>
      <w:r>
        <w:rPr>
          <w:lang w:val="fr-CA"/>
        </w:rPr>
        <w:t>a</w:t>
      </w:r>
      <w:r w:rsidR="00825570" w:rsidRPr="00802AF9">
        <w:rPr>
          <w:lang w:val="fr-CA"/>
        </w:rPr>
        <w:t>oût</w:t>
      </w:r>
      <w:r w:rsidR="0029763D" w:rsidRPr="00802AF9">
        <w:rPr>
          <w:lang w:val="fr-CA"/>
        </w:rPr>
        <w:t xml:space="preserve"> 2019 </w:t>
      </w:r>
      <w:r>
        <w:rPr>
          <w:lang w:val="fr-CA"/>
        </w:rPr>
        <w:t xml:space="preserve">seraient payés selon leur efficacité énergétique et le </w:t>
      </w:r>
      <w:r w:rsidR="0029763D" w:rsidRPr="00802AF9">
        <w:rPr>
          <w:lang w:val="fr-CA"/>
        </w:rPr>
        <w:t xml:space="preserve">type </w:t>
      </w:r>
      <w:r>
        <w:rPr>
          <w:lang w:val="fr-CA"/>
        </w:rPr>
        <w:t>de</w:t>
      </w:r>
      <w:r w:rsidR="0029763D" w:rsidRPr="00802AF9">
        <w:rPr>
          <w:lang w:val="fr-CA"/>
        </w:rPr>
        <w:t xml:space="preserve"> compress</w:t>
      </w:r>
      <w:r>
        <w:rPr>
          <w:lang w:val="fr-CA"/>
        </w:rPr>
        <w:t>eu</w:t>
      </w:r>
      <w:r w:rsidR="0029763D" w:rsidRPr="00802AF9">
        <w:rPr>
          <w:lang w:val="fr-CA"/>
        </w:rPr>
        <w:t>rs u</w:t>
      </w:r>
      <w:r>
        <w:rPr>
          <w:lang w:val="fr-CA"/>
        </w:rPr>
        <w:t>tilisés</w:t>
      </w:r>
      <w:r w:rsidR="0029763D" w:rsidRPr="00802AF9">
        <w:rPr>
          <w:lang w:val="fr-CA"/>
        </w:rPr>
        <w:t xml:space="preserve"> (</w:t>
      </w:r>
      <w:r>
        <w:rPr>
          <w:lang w:val="fr-CA"/>
        </w:rPr>
        <w:t>convertisseur</w:t>
      </w:r>
      <w:r w:rsidR="0029763D" w:rsidRPr="00802AF9">
        <w:rPr>
          <w:lang w:val="fr-CA"/>
        </w:rPr>
        <w:t xml:space="preserve"> </w:t>
      </w:r>
      <w:r w:rsidR="0036161D">
        <w:rPr>
          <w:lang w:val="fr-CA"/>
        </w:rPr>
        <w:t>ou à vitesse fixe</w:t>
      </w:r>
      <w:r w:rsidR="0029763D" w:rsidRPr="00802AF9">
        <w:rPr>
          <w:lang w:val="fr-CA"/>
        </w:rPr>
        <w:t xml:space="preserve">), </w:t>
      </w:r>
      <w:r w:rsidR="0036161D">
        <w:rPr>
          <w:lang w:val="fr-CA"/>
        </w:rPr>
        <w:t xml:space="preserve">conformément au plan proposé à la </w:t>
      </w:r>
      <w:r w:rsidR="0029763D" w:rsidRPr="00802AF9">
        <w:rPr>
          <w:lang w:val="fr-CA"/>
        </w:rPr>
        <w:t>83</w:t>
      </w:r>
      <w:r w:rsidR="0036161D">
        <w:rPr>
          <w:vertAlign w:val="superscript"/>
          <w:lang w:val="fr-CA"/>
        </w:rPr>
        <w:t>e</w:t>
      </w:r>
      <w:r w:rsidR="0029763D" w:rsidRPr="00802AF9">
        <w:rPr>
          <w:vertAlign w:val="superscript"/>
          <w:lang w:val="fr-CA"/>
        </w:rPr>
        <w:t> </w:t>
      </w:r>
      <w:r w:rsidR="0014063A" w:rsidRPr="00802AF9">
        <w:rPr>
          <w:lang w:val="fr-CA"/>
        </w:rPr>
        <w:t>réunion</w:t>
      </w:r>
      <w:r w:rsidR="0029763D" w:rsidRPr="00802AF9">
        <w:rPr>
          <w:lang w:val="fr-CA"/>
        </w:rPr>
        <w:t>, (</w:t>
      </w:r>
      <w:r w:rsidR="0036161D">
        <w:rPr>
          <w:lang w:val="fr-CA"/>
        </w:rPr>
        <w:t xml:space="preserve">voir le </w:t>
      </w:r>
      <w:r w:rsidR="0029763D" w:rsidRPr="00802AF9">
        <w:rPr>
          <w:lang w:val="fr-CA"/>
        </w:rPr>
        <w:t>Table</w:t>
      </w:r>
      <w:r w:rsidR="0036161D">
        <w:rPr>
          <w:lang w:val="fr-CA"/>
        </w:rPr>
        <w:t>au</w:t>
      </w:r>
      <w:r w:rsidR="0029763D" w:rsidRPr="00802AF9">
        <w:rPr>
          <w:lang w:val="fr-CA"/>
        </w:rPr>
        <w:t xml:space="preserve"> 4), </w:t>
      </w:r>
      <w:r w:rsidR="0036161D">
        <w:rPr>
          <w:lang w:val="fr-CA"/>
        </w:rPr>
        <w:t xml:space="preserve">la subvention baissant avec le temps </w:t>
      </w:r>
      <w:r w:rsidR="0029763D" w:rsidRPr="00802AF9">
        <w:rPr>
          <w:lang w:val="fr-CA"/>
        </w:rPr>
        <w:t>(</w:t>
      </w:r>
      <w:r w:rsidR="0036161D">
        <w:rPr>
          <w:lang w:val="fr-CA"/>
        </w:rPr>
        <w:t>c’est-à-dire les unités fabriquées entre le 1</w:t>
      </w:r>
      <w:r w:rsidR="0036161D" w:rsidRPr="0036161D">
        <w:rPr>
          <w:vertAlign w:val="superscript"/>
          <w:lang w:val="fr-CA"/>
        </w:rPr>
        <w:t>er</w:t>
      </w:r>
      <w:r w:rsidR="0036161D">
        <w:rPr>
          <w:lang w:val="fr-CA"/>
        </w:rPr>
        <w:t> s</w:t>
      </w:r>
      <w:r w:rsidR="00825570" w:rsidRPr="00802AF9">
        <w:rPr>
          <w:lang w:val="fr-CA"/>
        </w:rPr>
        <w:t>eptembre</w:t>
      </w:r>
      <w:r w:rsidR="0029763D" w:rsidRPr="00802AF9">
        <w:rPr>
          <w:lang w:val="fr-CA"/>
        </w:rPr>
        <w:t xml:space="preserve"> 2019 </w:t>
      </w:r>
      <w:r w:rsidR="0036161D">
        <w:rPr>
          <w:lang w:val="fr-CA"/>
        </w:rPr>
        <w:t xml:space="preserve">et le </w:t>
      </w:r>
      <w:r w:rsidR="0029763D" w:rsidRPr="00802AF9">
        <w:rPr>
          <w:lang w:val="fr-CA"/>
        </w:rPr>
        <w:t>29 </w:t>
      </w:r>
      <w:r w:rsidR="0036161D">
        <w:rPr>
          <w:lang w:val="fr-CA"/>
        </w:rPr>
        <w:t xml:space="preserve">février </w:t>
      </w:r>
      <w:r w:rsidR="0029763D" w:rsidRPr="00802AF9">
        <w:rPr>
          <w:lang w:val="fr-CA"/>
        </w:rPr>
        <w:t xml:space="preserve">2020 </w:t>
      </w:r>
      <w:r w:rsidR="0036161D">
        <w:rPr>
          <w:lang w:val="fr-CA"/>
        </w:rPr>
        <w:t xml:space="preserve">recevraient une subvention réduite à </w:t>
      </w:r>
      <w:r w:rsidR="0029763D" w:rsidRPr="00802AF9">
        <w:rPr>
          <w:lang w:val="fr-CA"/>
        </w:rPr>
        <w:t>50</w:t>
      </w:r>
      <w:r w:rsidR="0036161D">
        <w:rPr>
          <w:lang w:val="fr-CA"/>
        </w:rPr>
        <w:t> </w:t>
      </w:r>
      <w:r w:rsidR="00BA5233">
        <w:rPr>
          <w:lang w:val="fr-CA"/>
        </w:rPr>
        <w:t>pour cent</w:t>
      </w:r>
      <w:r w:rsidR="0029763D" w:rsidRPr="00802AF9">
        <w:rPr>
          <w:lang w:val="fr-CA"/>
        </w:rPr>
        <w:t xml:space="preserve">; </w:t>
      </w:r>
      <w:r w:rsidR="0036161D">
        <w:rPr>
          <w:lang w:val="fr-CA"/>
        </w:rPr>
        <w:t>celles fabriquées entre le 1</w:t>
      </w:r>
      <w:r w:rsidR="0036161D" w:rsidRPr="0036161D">
        <w:rPr>
          <w:vertAlign w:val="superscript"/>
          <w:lang w:val="fr-CA"/>
        </w:rPr>
        <w:t>er</w:t>
      </w:r>
      <w:r w:rsidR="0036161D">
        <w:rPr>
          <w:lang w:val="fr-CA"/>
        </w:rPr>
        <w:t xml:space="preserve"> mars et le </w:t>
      </w:r>
      <w:r w:rsidR="0029763D" w:rsidRPr="00802AF9">
        <w:rPr>
          <w:lang w:val="fr-CA"/>
        </w:rPr>
        <w:t>31 </w:t>
      </w:r>
      <w:r w:rsidR="0036161D">
        <w:rPr>
          <w:lang w:val="fr-CA"/>
        </w:rPr>
        <w:t>a</w:t>
      </w:r>
      <w:r w:rsidR="00825570" w:rsidRPr="00802AF9">
        <w:rPr>
          <w:lang w:val="fr-CA"/>
        </w:rPr>
        <w:t>oût</w:t>
      </w:r>
      <w:r w:rsidR="0029763D" w:rsidRPr="00802AF9">
        <w:rPr>
          <w:lang w:val="fr-CA"/>
        </w:rPr>
        <w:t xml:space="preserve"> 2020 </w:t>
      </w:r>
      <w:r w:rsidR="0036161D">
        <w:rPr>
          <w:lang w:val="fr-CA"/>
        </w:rPr>
        <w:t xml:space="preserve">une subvention réduction à </w:t>
      </w:r>
      <w:r w:rsidR="0029763D" w:rsidRPr="00802AF9">
        <w:rPr>
          <w:lang w:val="fr-CA"/>
        </w:rPr>
        <w:t>25</w:t>
      </w:r>
      <w:r w:rsidR="0036161D">
        <w:rPr>
          <w:lang w:val="fr-CA"/>
        </w:rPr>
        <w:t> </w:t>
      </w:r>
      <w:r w:rsidR="00BA5233">
        <w:rPr>
          <w:lang w:val="fr-CA"/>
        </w:rPr>
        <w:t>pour cent</w:t>
      </w:r>
      <w:r w:rsidR="0036161D">
        <w:rPr>
          <w:lang w:val="fr-CA"/>
        </w:rPr>
        <w:t xml:space="preserve"> et après le 1</w:t>
      </w:r>
      <w:r w:rsidR="0036161D" w:rsidRPr="0036161D">
        <w:rPr>
          <w:vertAlign w:val="superscript"/>
          <w:lang w:val="fr-CA"/>
        </w:rPr>
        <w:t>er</w:t>
      </w:r>
      <w:r w:rsidR="0036161D">
        <w:rPr>
          <w:lang w:val="fr-CA"/>
        </w:rPr>
        <w:t> s</w:t>
      </w:r>
      <w:r w:rsidR="00825570" w:rsidRPr="00802AF9">
        <w:rPr>
          <w:lang w:val="fr-CA"/>
        </w:rPr>
        <w:t>eptembre</w:t>
      </w:r>
      <w:r w:rsidR="0029763D" w:rsidRPr="00802AF9">
        <w:rPr>
          <w:lang w:val="fr-CA"/>
        </w:rPr>
        <w:t xml:space="preserve"> 2020 </w:t>
      </w:r>
      <w:r w:rsidR="0036161D">
        <w:rPr>
          <w:lang w:val="fr-CA"/>
        </w:rPr>
        <w:t xml:space="preserve">une subvention réduite à </w:t>
      </w:r>
      <w:r w:rsidR="0029763D" w:rsidRPr="00802AF9">
        <w:rPr>
          <w:lang w:val="fr-CA"/>
        </w:rPr>
        <w:t>12</w:t>
      </w:r>
      <w:r w:rsidR="0036161D">
        <w:rPr>
          <w:lang w:val="fr-CA"/>
        </w:rPr>
        <w:t>,</w:t>
      </w:r>
      <w:r w:rsidR="0029763D" w:rsidRPr="00802AF9">
        <w:rPr>
          <w:lang w:val="fr-CA"/>
        </w:rPr>
        <w:t>5</w:t>
      </w:r>
      <w:r w:rsidR="0036161D">
        <w:rPr>
          <w:lang w:val="fr-CA"/>
        </w:rPr>
        <w:t> </w:t>
      </w:r>
      <w:r w:rsidR="00BA5233">
        <w:rPr>
          <w:lang w:val="fr-CA"/>
        </w:rPr>
        <w:t>pour cent</w:t>
      </w:r>
      <w:r w:rsidR="0029763D" w:rsidRPr="00802AF9">
        <w:rPr>
          <w:lang w:val="fr-CA"/>
        </w:rPr>
        <w:t xml:space="preserve">). </w:t>
      </w:r>
    </w:p>
    <w:p w14:paraId="0D72F06A" w14:textId="6D84B6F0" w:rsidR="0029763D" w:rsidRPr="00802AF9" w:rsidRDefault="0029763D" w:rsidP="0029763D">
      <w:pPr>
        <w:rPr>
          <w:lang w:val="fr-CA"/>
        </w:rPr>
      </w:pPr>
      <w:r w:rsidRPr="00802AF9">
        <w:rPr>
          <w:b/>
          <w:lang w:val="fr-CA"/>
        </w:rPr>
        <w:t xml:space="preserve">Table 4. </w:t>
      </w:r>
      <w:r w:rsidR="0036161D">
        <w:rPr>
          <w:b/>
          <w:lang w:val="fr-CA"/>
        </w:rPr>
        <w:t>Programme d’incitation de l’</w:t>
      </w:r>
      <w:r w:rsidRPr="00802AF9">
        <w:rPr>
          <w:b/>
          <w:lang w:val="fr-CA"/>
        </w:rPr>
        <w:t xml:space="preserve">IOC </w:t>
      </w:r>
      <w:r w:rsidR="0036161D">
        <w:rPr>
          <w:b/>
          <w:lang w:val="fr-CA"/>
        </w:rPr>
        <w:t xml:space="preserve">convenu à la </w:t>
      </w:r>
      <w:r w:rsidRPr="00802AF9">
        <w:rPr>
          <w:b/>
          <w:lang w:val="fr-CA"/>
        </w:rPr>
        <w:t>84</w:t>
      </w:r>
      <w:r w:rsidR="0036161D">
        <w:rPr>
          <w:b/>
          <w:vertAlign w:val="superscript"/>
          <w:lang w:val="fr-CA"/>
        </w:rPr>
        <w:t>e</w:t>
      </w:r>
      <w:r w:rsidRPr="00802AF9">
        <w:rPr>
          <w:b/>
          <w:lang w:val="fr-CA"/>
        </w:rPr>
        <w:t> </w:t>
      </w:r>
      <w:r w:rsidR="0014063A" w:rsidRPr="00802AF9">
        <w:rPr>
          <w:b/>
          <w:lang w:val="fr-CA"/>
        </w:rPr>
        <w:t>réunion</w:t>
      </w:r>
      <w:r w:rsidRPr="00802AF9">
        <w:rPr>
          <w:b/>
          <w:lang w:val="fr-CA"/>
        </w:rPr>
        <w:t xml:space="preserve"> (RMB*/unit</w:t>
      </w:r>
      <w:r w:rsidR="0036161D">
        <w:rPr>
          <w:b/>
          <w:lang w:val="fr-CA"/>
        </w:rPr>
        <w:t>é</w:t>
      </w:r>
      <w:r w:rsidRPr="00802AF9">
        <w:rPr>
          <w:b/>
          <w:lang w:val="fr-CA"/>
        </w:rPr>
        <w: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835"/>
        <w:gridCol w:w="2835"/>
      </w:tblGrid>
      <w:tr w:rsidR="0029763D" w:rsidRPr="00802AF9" w14:paraId="37C58652" w14:textId="77777777" w:rsidTr="003F073E">
        <w:tc>
          <w:tcPr>
            <w:tcW w:w="3780" w:type="dxa"/>
            <w:vMerge w:val="restart"/>
            <w:shd w:val="clear" w:color="auto" w:fill="auto"/>
            <w:noWrap/>
            <w:vAlign w:val="center"/>
            <w:hideMark/>
          </w:tcPr>
          <w:p w14:paraId="0D7DD221" w14:textId="0AD98B05" w:rsidR="0029763D" w:rsidRPr="00802AF9" w:rsidRDefault="0036161D" w:rsidP="003F073E">
            <w:pPr>
              <w:jc w:val="left"/>
              <w:rPr>
                <w:b/>
                <w:color w:val="000000"/>
                <w:sz w:val="20"/>
                <w:szCs w:val="20"/>
                <w:lang w:val="fr-CA" w:eastAsia="en-CA"/>
              </w:rPr>
            </w:pPr>
            <w:r>
              <w:rPr>
                <w:b/>
                <w:color w:val="000000"/>
                <w:sz w:val="20"/>
                <w:szCs w:val="20"/>
                <w:lang w:val="fr-CA" w:eastAsia="en-CA"/>
              </w:rPr>
              <w:t>Bi-bloc</w:t>
            </w:r>
            <w:r w:rsidR="0029763D" w:rsidRPr="00802AF9">
              <w:rPr>
                <w:b/>
                <w:color w:val="000000"/>
                <w:sz w:val="20"/>
                <w:szCs w:val="20"/>
                <w:lang w:val="fr-CA" w:eastAsia="en-CA"/>
              </w:rPr>
              <w:t> </w:t>
            </w:r>
          </w:p>
        </w:tc>
        <w:tc>
          <w:tcPr>
            <w:tcW w:w="5670" w:type="dxa"/>
            <w:gridSpan w:val="2"/>
            <w:shd w:val="clear" w:color="auto" w:fill="auto"/>
            <w:noWrap/>
            <w:tcMar>
              <w:right w:w="43" w:type="dxa"/>
            </w:tcMar>
            <w:vAlign w:val="center"/>
            <w:hideMark/>
          </w:tcPr>
          <w:p w14:paraId="2EF2E846" w14:textId="3777B48B" w:rsidR="0029763D" w:rsidRPr="00802AF9" w:rsidRDefault="0029763D" w:rsidP="003F073E">
            <w:pPr>
              <w:jc w:val="center"/>
              <w:rPr>
                <w:b/>
                <w:color w:val="000000"/>
                <w:sz w:val="20"/>
                <w:szCs w:val="20"/>
                <w:lang w:val="fr-CA" w:eastAsia="en-CA"/>
              </w:rPr>
            </w:pPr>
            <w:r w:rsidRPr="00802AF9">
              <w:rPr>
                <w:b/>
                <w:color w:val="000000"/>
                <w:sz w:val="20"/>
                <w:szCs w:val="20"/>
                <w:lang w:val="fr-CA" w:eastAsia="en-CA"/>
              </w:rPr>
              <w:t>Crit</w:t>
            </w:r>
            <w:r w:rsidR="0036161D">
              <w:rPr>
                <w:b/>
                <w:color w:val="000000"/>
                <w:sz w:val="20"/>
                <w:szCs w:val="20"/>
                <w:lang w:val="fr-CA" w:eastAsia="en-CA"/>
              </w:rPr>
              <w:t>è</w:t>
            </w:r>
            <w:r w:rsidRPr="00802AF9">
              <w:rPr>
                <w:b/>
                <w:color w:val="000000"/>
                <w:sz w:val="20"/>
                <w:szCs w:val="20"/>
                <w:lang w:val="fr-CA" w:eastAsia="en-CA"/>
              </w:rPr>
              <w:t>r</w:t>
            </w:r>
            <w:r w:rsidR="0036161D">
              <w:rPr>
                <w:b/>
                <w:color w:val="000000"/>
                <w:sz w:val="20"/>
                <w:szCs w:val="20"/>
                <w:lang w:val="fr-CA" w:eastAsia="en-CA"/>
              </w:rPr>
              <w:t>es</w:t>
            </w:r>
          </w:p>
        </w:tc>
      </w:tr>
      <w:tr w:rsidR="0029763D" w:rsidRPr="00802AF9" w14:paraId="0FA7F328" w14:textId="77777777" w:rsidTr="003F073E">
        <w:tc>
          <w:tcPr>
            <w:tcW w:w="3780" w:type="dxa"/>
            <w:vMerge/>
            <w:shd w:val="clear" w:color="auto" w:fill="auto"/>
            <w:noWrap/>
            <w:vAlign w:val="bottom"/>
            <w:hideMark/>
          </w:tcPr>
          <w:p w14:paraId="2FBEB6CE" w14:textId="77777777" w:rsidR="0029763D" w:rsidRPr="00802AF9" w:rsidRDefault="0029763D" w:rsidP="003F073E">
            <w:pPr>
              <w:jc w:val="left"/>
              <w:rPr>
                <w:color w:val="000000"/>
                <w:sz w:val="20"/>
                <w:szCs w:val="20"/>
                <w:lang w:val="fr-CA" w:eastAsia="en-CA"/>
              </w:rPr>
            </w:pPr>
          </w:p>
        </w:tc>
        <w:tc>
          <w:tcPr>
            <w:tcW w:w="2835" w:type="dxa"/>
            <w:shd w:val="clear" w:color="auto" w:fill="auto"/>
            <w:noWrap/>
            <w:tcMar>
              <w:right w:w="43" w:type="dxa"/>
            </w:tcMar>
            <w:vAlign w:val="center"/>
            <w:hideMark/>
          </w:tcPr>
          <w:p w14:paraId="4277CD75" w14:textId="53EA6332" w:rsidR="0029763D" w:rsidRPr="00802AF9" w:rsidRDefault="00895D1B" w:rsidP="003F073E">
            <w:pPr>
              <w:jc w:val="center"/>
              <w:rPr>
                <w:b/>
                <w:color w:val="000000"/>
                <w:sz w:val="20"/>
                <w:szCs w:val="20"/>
                <w:lang w:val="fr-CA" w:eastAsia="en-CA"/>
              </w:rPr>
            </w:pPr>
            <w:r>
              <w:rPr>
                <w:b/>
                <w:color w:val="000000"/>
                <w:sz w:val="20"/>
                <w:szCs w:val="20"/>
                <w:lang w:val="fr-CA" w:eastAsia="en-CA"/>
              </w:rPr>
              <w:t>Convertisseur</w:t>
            </w:r>
          </w:p>
        </w:tc>
        <w:tc>
          <w:tcPr>
            <w:tcW w:w="2835" w:type="dxa"/>
            <w:shd w:val="clear" w:color="auto" w:fill="auto"/>
            <w:noWrap/>
            <w:tcMar>
              <w:right w:w="43" w:type="dxa"/>
            </w:tcMar>
            <w:vAlign w:val="center"/>
            <w:hideMark/>
          </w:tcPr>
          <w:p w14:paraId="0911EC6E" w14:textId="344E41D2" w:rsidR="0029763D" w:rsidRPr="00802AF9" w:rsidRDefault="0036161D" w:rsidP="003F073E">
            <w:pPr>
              <w:jc w:val="center"/>
              <w:rPr>
                <w:b/>
                <w:color w:val="000000"/>
                <w:sz w:val="20"/>
                <w:szCs w:val="20"/>
                <w:lang w:val="fr-CA" w:eastAsia="en-CA"/>
              </w:rPr>
            </w:pPr>
            <w:r>
              <w:rPr>
                <w:b/>
                <w:color w:val="000000"/>
                <w:sz w:val="20"/>
                <w:szCs w:val="20"/>
                <w:lang w:val="fr-CA" w:eastAsia="en-CA"/>
              </w:rPr>
              <w:t>Vitesse fixe</w:t>
            </w:r>
          </w:p>
        </w:tc>
      </w:tr>
      <w:tr w:rsidR="0029763D" w:rsidRPr="00802AF9" w14:paraId="48DC3C24" w14:textId="77777777" w:rsidTr="003F073E">
        <w:tc>
          <w:tcPr>
            <w:tcW w:w="3780" w:type="dxa"/>
            <w:shd w:val="clear" w:color="auto" w:fill="auto"/>
            <w:noWrap/>
            <w:vAlign w:val="bottom"/>
            <w:hideMark/>
          </w:tcPr>
          <w:p w14:paraId="39280C0A" w14:textId="33A97038" w:rsidR="0029763D" w:rsidRPr="00802AF9" w:rsidRDefault="0036161D" w:rsidP="003F073E">
            <w:pPr>
              <w:jc w:val="left"/>
              <w:rPr>
                <w:b/>
                <w:color w:val="000000"/>
                <w:sz w:val="20"/>
                <w:szCs w:val="20"/>
                <w:lang w:val="fr-CA" w:eastAsia="en-CA"/>
              </w:rPr>
            </w:pPr>
            <w:r>
              <w:rPr>
                <w:b/>
                <w:color w:val="000000"/>
                <w:sz w:val="20"/>
                <w:szCs w:val="20"/>
                <w:lang w:val="fr-CA" w:eastAsia="en-CA"/>
              </w:rPr>
              <w:t>Ventes l</w:t>
            </w:r>
            <w:r w:rsidR="0029763D" w:rsidRPr="00802AF9">
              <w:rPr>
                <w:b/>
                <w:color w:val="000000"/>
                <w:sz w:val="20"/>
                <w:szCs w:val="20"/>
                <w:lang w:val="fr-CA" w:eastAsia="en-CA"/>
              </w:rPr>
              <w:t>ocal</w:t>
            </w:r>
            <w:r>
              <w:rPr>
                <w:b/>
                <w:color w:val="000000"/>
                <w:sz w:val="20"/>
                <w:szCs w:val="20"/>
                <w:lang w:val="fr-CA" w:eastAsia="en-CA"/>
              </w:rPr>
              <w:t>es</w:t>
            </w:r>
          </w:p>
        </w:tc>
        <w:tc>
          <w:tcPr>
            <w:tcW w:w="2835" w:type="dxa"/>
            <w:shd w:val="clear" w:color="auto" w:fill="auto"/>
            <w:noWrap/>
            <w:tcMar>
              <w:right w:w="43" w:type="dxa"/>
            </w:tcMar>
            <w:vAlign w:val="bottom"/>
            <w:hideMark/>
          </w:tcPr>
          <w:p w14:paraId="5062B28D"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 </w:t>
            </w:r>
          </w:p>
        </w:tc>
        <w:tc>
          <w:tcPr>
            <w:tcW w:w="2835" w:type="dxa"/>
            <w:shd w:val="clear" w:color="auto" w:fill="auto"/>
            <w:noWrap/>
            <w:tcMar>
              <w:right w:w="43" w:type="dxa"/>
            </w:tcMar>
            <w:vAlign w:val="bottom"/>
            <w:hideMark/>
          </w:tcPr>
          <w:p w14:paraId="756899AB"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 </w:t>
            </w:r>
          </w:p>
        </w:tc>
      </w:tr>
      <w:tr w:rsidR="0029763D" w:rsidRPr="00802AF9" w14:paraId="33356B72" w14:textId="77777777" w:rsidTr="003F073E">
        <w:tc>
          <w:tcPr>
            <w:tcW w:w="3780" w:type="dxa"/>
            <w:shd w:val="clear" w:color="auto" w:fill="auto"/>
            <w:noWrap/>
            <w:vAlign w:val="bottom"/>
            <w:hideMark/>
          </w:tcPr>
          <w:p w14:paraId="43FC1735" w14:textId="4696A2D3" w:rsidR="0029763D" w:rsidRPr="00802AF9" w:rsidRDefault="00895D1B" w:rsidP="003F073E">
            <w:pPr>
              <w:jc w:val="left"/>
              <w:rPr>
                <w:color w:val="000000"/>
                <w:sz w:val="20"/>
                <w:szCs w:val="20"/>
                <w:lang w:val="fr-CA" w:eastAsia="en-CA"/>
              </w:rPr>
            </w:pPr>
            <w:r w:rsidRPr="00895D1B">
              <w:rPr>
                <w:color w:val="000000"/>
                <w:sz w:val="20"/>
                <w:szCs w:val="20"/>
                <w:lang w:val="fr-CA" w:eastAsia="en-CA"/>
              </w:rPr>
              <w:t>Classe 1 d’efficacité énergétique</w:t>
            </w:r>
          </w:p>
        </w:tc>
        <w:tc>
          <w:tcPr>
            <w:tcW w:w="2835" w:type="dxa"/>
            <w:shd w:val="clear" w:color="auto" w:fill="auto"/>
            <w:noWrap/>
            <w:tcMar>
              <w:left w:w="115" w:type="dxa"/>
              <w:right w:w="1440" w:type="dxa"/>
            </w:tcMar>
            <w:vAlign w:val="bottom"/>
            <w:hideMark/>
          </w:tcPr>
          <w:p w14:paraId="391315D6" w14:textId="77777777" w:rsidR="0029763D" w:rsidRPr="00802AF9" w:rsidRDefault="0029763D" w:rsidP="003F073E">
            <w:pPr>
              <w:ind w:right="-314"/>
              <w:jc w:val="right"/>
              <w:rPr>
                <w:sz w:val="20"/>
                <w:szCs w:val="20"/>
                <w:lang w:val="fr-CA" w:eastAsia="en-CA"/>
              </w:rPr>
            </w:pPr>
            <w:r w:rsidRPr="00802AF9">
              <w:rPr>
                <w:sz w:val="20"/>
                <w:szCs w:val="20"/>
                <w:lang w:val="fr-CA" w:eastAsia="en-CA"/>
              </w:rPr>
              <w:t>600</w:t>
            </w:r>
          </w:p>
        </w:tc>
        <w:tc>
          <w:tcPr>
            <w:tcW w:w="2835" w:type="dxa"/>
            <w:shd w:val="clear" w:color="auto" w:fill="auto"/>
            <w:noWrap/>
            <w:tcMar>
              <w:left w:w="115" w:type="dxa"/>
              <w:right w:w="1440" w:type="dxa"/>
            </w:tcMar>
            <w:vAlign w:val="bottom"/>
            <w:hideMark/>
          </w:tcPr>
          <w:p w14:paraId="2C397475" w14:textId="77777777" w:rsidR="0029763D" w:rsidRPr="00802AF9" w:rsidRDefault="0029763D" w:rsidP="003F073E">
            <w:pPr>
              <w:ind w:right="-314"/>
              <w:jc w:val="right"/>
              <w:rPr>
                <w:sz w:val="20"/>
                <w:szCs w:val="20"/>
                <w:lang w:val="fr-CA" w:eastAsia="en-CA"/>
              </w:rPr>
            </w:pPr>
            <w:r w:rsidRPr="00802AF9">
              <w:rPr>
                <w:sz w:val="20"/>
                <w:szCs w:val="20"/>
                <w:lang w:val="fr-CA" w:eastAsia="en-CA"/>
              </w:rPr>
              <w:t>500</w:t>
            </w:r>
          </w:p>
        </w:tc>
      </w:tr>
      <w:tr w:rsidR="0029763D" w:rsidRPr="00802AF9" w14:paraId="63865F12" w14:textId="77777777" w:rsidTr="003F073E">
        <w:tc>
          <w:tcPr>
            <w:tcW w:w="3780" w:type="dxa"/>
            <w:shd w:val="clear" w:color="auto" w:fill="auto"/>
            <w:noWrap/>
            <w:vAlign w:val="bottom"/>
            <w:hideMark/>
          </w:tcPr>
          <w:p w14:paraId="2367BE12" w14:textId="22269E41" w:rsidR="0029763D" w:rsidRPr="00802AF9" w:rsidRDefault="00895D1B" w:rsidP="003F073E">
            <w:pPr>
              <w:jc w:val="left"/>
              <w:rPr>
                <w:color w:val="000000"/>
                <w:sz w:val="20"/>
                <w:szCs w:val="20"/>
                <w:lang w:val="fr-CA" w:eastAsia="en-CA"/>
              </w:rPr>
            </w:pPr>
            <w:r w:rsidRPr="00895D1B">
              <w:rPr>
                <w:color w:val="000000"/>
                <w:sz w:val="20"/>
                <w:szCs w:val="20"/>
                <w:lang w:val="fr-CA" w:eastAsia="en-CA"/>
              </w:rPr>
              <w:t xml:space="preserve">Classe </w:t>
            </w:r>
            <w:r>
              <w:rPr>
                <w:color w:val="000000"/>
                <w:sz w:val="20"/>
                <w:szCs w:val="20"/>
                <w:lang w:val="fr-CA" w:eastAsia="en-CA"/>
              </w:rPr>
              <w:t>2</w:t>
            </w:r>
            <w:r w:rsidRPr="00895D1B">
              <w:rPr>
                <w:color w:val="000000"/>
                <w:sz w:val="20"/>
                <w:szCs w:val="20"/>
                <w:lang w:val="fr-CA" w:eastAsia="en-CA"/>
              </w:rPr>
              <w:t xml:space="preserve"> d’efficacité énergétique</w:t>
            </w:r>
          </w:p>
        </w:tc>
        <w:tc>
          <w:tcPr>
            <w:tcW w:w="2835" w:type="dxa"/>
            <w:shd w:val="clear" w:color="auto" w:fill="auto"/>
            <w:noWrap/>
            <w:tcMar>
              <w:left w:w="115" w:type="dxa"/>
              <w:right w:w="1440" w:type="dxa"/>
            </w:tcMar>
            <w:vAlign w:val="bottom"/>
            <w:hideMark/>
          </w:tcPr>
          <w:p w14:paraId="5DF38138" w14:textId="77777777" w:rsidR="0029763D" w:rsidRPr="00802AF9" w:rsidRDefault="0029763D" w:rsidP="003F073E">
            <w:pPr>
              <w:ind w:right="-314"/>
              <w:jc w:val="right"/>
              <w:rPr>
                <w:sz w:val="20"/>
                <w:szCs w:val="20"/>
                <w:lang w:val="fr-CA" w:eastAsia="en-CA"/>
              </w:rPr>
            </w:pPr>
            <w:r w:rsidRPr="00802AF9">
              <w:rPr>
                <w:sz w:val="20"/>
                <w:szCs w:val="20"/>
                <w:lang w:val="fr-CA" w:eastAsia="en-CA"/>
              </w:rPr>
              <w:t>360</w:t>
            </w:r>
          </w:p>
        </w:tc>
        <w:tc>
          <w:tcPr>
            <w:tcW w:w="2835" w:type="dxa"/>
            <w:shd w:val="clear" w:color="auto" w:fill="auto"/>
            <w:noWrap/>
            <w:tcMar>
              <w:left w:w="115" w:type="dxa"/>
              <w:right w:w="1440" w:type="dxa"/>
            </w:tcMar>
            <w:vAlign w:val="bottom"/>
            <w:hideMark/>
          </w:tcPr>
          <w:p w14:paraId="61B12286" w14:textId="77777777" w:rsidR="0029763D" w:rsidRPr="00802AF9" w:rsidRDefault="0029763D" w:rsidP="003F073E">
            <w:pPr>
              <w:ind w:right="-314"/>
              <w:jc w:val="right"/>
              <w:rPr>
                <w:sz w:val="20"/>
                <w:szCs w:val="20"/>
                <w:lang w:val="fr-CA" w:eastAsia="en-CA"/>
              </w:rPr>
            </w:pPr>
            <w:r w:rsidRPr="00802AF9">
              <w:rPr>
                <w:sz w:val="20"/>
                <w:szCs w:val="20"/>
                <w:lang w:val="fr-CA" w:eastAsia="en-CA"/>
              </w:rPr>
              <w:t>300</w:t>
            </w:r>
          </w:p>
        </w:tc>
      </w:tr>
      <w:tr w:rsidR="0029763D" w:rsidRPr="00802AF9" w14:paraId="7E60406B" w14:textId="77777777" w:rsidTr="003F073E">
        <w:tc>
          <w:tcPr>
            <w:tcW w:w="3780" w:type="dxa"/>
            <w:shd w:val="clear" w:color="auto" w:fill="auto"/>
            <w:noWrap/>
            <w:vAlign w:val="bottom"/>
            <w:hideMark/>
          </w:tcPr>
          <w:p w14:paraId="34FA2110" w14:textId="4FFEDB0A" w:rsidR="0029763D" w:rsidRPr="00802AF9" w:rsidRDefault="00895D1B" w:rsidP="003F073E">
            <w:pPr>
              <w:jc w:val="left"/>
              <w:rPr>
                <w:color w:val="000000"/>
                <w:sz w:val="20"/>
                <w:szCs w:val="20"/>
                <w:lang w:val="fr-CA" w:eastAsia="en-CA"/>
              </w:rPr>
            </w:pPr>
            <w:r w:rsidRPr="00895D1B">
              <w:rPr>
                <w:color w:val="000000"/>
                <w:sz w:val="20"/>
                <w:szCs w:val="20"/>
                <w:lang w:val="fr-CA" w:eastAsia="en-CA"/>
              </w:rPr>
              <w:t xml:space="preserve">Classe </w:t>
            </w:r>
            <w:r>
              <w:rPr>
                <w:color w:val="000000"/>
                <w:sz w:val="20"/>
                <w:szCs w:val="20"/>
                <w:lang w:val="fr-CA" w:eastAsia="en-CA"/>
              </w:rPr>
              <w:t>3</w:t>
            </w:r>
            <w:r w:rsidRPr="00895D1B">
              <w:rPr>
                <w:color w:val="000000"/>
                <w:sz w:val="20"/>
                <w:szCs w:val="20"/>
                <w:lang w:val="fr-CA" w:eastAsia="en-CA"/>
              </w:rPr>
              <w:t xml:space="preserve"> d’efficacité énergétique</w:t>
            </w:r>
          </w:p>
        </w:tc>
        <w:tc>
          <w:tcPr>
            <w:tcW w:w="2835" w:type="dxa"/>
            <w:shd w:val="clear" w:color="auto" w:fill="auto"/>
            <w:noWrap/>
            <w:tcMar>
              <w:left w:w="115" w:type="dxa"/>
              <w:right w:w="1440" w:type="dxa"/>
            </w:tcMar>
            <w:vAlign w:val="bottom"/>
            <w:hideMark/>
          </w:tcPr>
          <w:p w14:paraId="7AD32F63" w14:textId="77777777" w:rsidR="0029763D" w:rsidRPr="00802AF9" w:rsidRDefault="0029763D" w:rsidP="003F073E">
            <w:pPr>
              <w:ind w:right="-314"/>
              <w:jc w:val="right"/>
              <w:rPr>
                <w:sz w:val="20"/>
                <w:szCs w:val="20"/>
                <w:lang w:val="fr-CA" w:eastAsia="en-CA"/>
              </w:rPr>
            </w:pPr>
            <w:r w:rsidRPr="00802AF9">
              <w:rPr>
                <w:sz w:val="20"/>
                <w:szCs w:val="20"/>
                <w:lang w:val="fr-CA" w:eastAsia="en-CA"/>
              </w:rPr>
              <w:t>200</w:t>
            </w:r>
          </w:p>
        </w:tc>
        <w:tc>
          <w:tcPr>
            <w:tcW w:w="2835" w:type="dxa"/>
            <w:shd w:val="clear" w:color="auto" w:fill="auto"/>
            <w:noWrap/>
            <w:tcMar>
              <w:left w:w="115" w:type="dxa"/>
              <w:right w:w="1440" w:type="dxa"/>
            </w:tcMar>
            <w:vAlign w:val="bottom"/>
            <w:hideMark/>
          </w:tcPr>
          <w:p w14:paraId="12CDDB3C" w14:textId="77777777" w:rsidR="0029763D" w:rsidRPr="00802AF9" w:rsidRDefault="0029763D" w:rsidP="003F073E">
            <w:pPr>
              <w:ind w:right="-314"/>
              <w:jc w:val="right"/>
              <w:rPr>
                <w:sz w:val="20"/>
                <w:szCs w:val="20"/>
                <w:lang w:val="fr-CA" w:eastAsia="en-CA"/>
              </w:rPr>
            </w:pPr>
            <w:r w:rsidRPr="00802AF9">
              <w:rPr>
                <w:sz w:val="20"/>
                <w:szCs w:val="20"/>
                <w:lang w:val="fr-CA" w:eastAsia="en-CA"/>
              </w:rPr>
              <w:t>150</w:t>
            </w:r>
          </w:p>
        </w:tc>
      </w:tr>
      <w:tr w:rsidR="0029763D" w:rsidRPr="00802AF9" w14:paraId="4FC6A095" w14:textId="77777777" w:rsidTr="003F073E">
        <w:tc>
          <w:tcPr>
            <w:tcW w:w="3780" w:type="dxa"/>
            <w:shd w:val="clear" w:color="auto" w:fill="auto"/>
            <w:noWrap/>
            <w:vAlign w:val="bottom"/>
            <w:hideMark/>
          </w:tcPr>
          <w:p w14:paraId="4D944ED8" w14:textId="26FF7297" w:rsidR="0029763D" w:rsidRPr="00802AF9" w:rsidRDefault="0029763D" w:rsidP="003F073E">
            <w:pPr>
              <w:jc w:val="left"/>
              <w:rPr>
                <w:color w:val="000000"/>
                <w:sz w:val="20"/>
                <w:szCs w:val="20"/>
                <w:lang w:val="fr-CA" w:eastAsia="en-CA"/>
              </w:rPr>
            </w:pPr>
            <w:r w:rsidRPr="00802AF9">
              <w:rPr>
                <w:color w:val="000000"/>
                <w:sz w:val="20"/>
                <w:szCs w:val="20"/>
                <w:lang w:val="fr-CA" w:eastAsia="en-CA"/>
              </w:rPr>
              <w:t>Export</w:t>
            </w:r>
            <w:r w:rsidR="0036161D">
              <w:rPr>
                <w:color w:val="000000"/>
                <w:sz w:val="20"/>
                <w:szCs w:val="20"/>
                <w:lang w:val="fr-CA" w:eastAsia="en-CA"/>
              </w:rPr>
              <w:t>ées à des pays visés à l’</w:t>
            </w:r>
            <w:r w:rsidRPr="00802AF9">
              <w:rPr>
                <w:color w:val="000000"/>
                <w:sz w:val="20"/>
                <w:szCs w:val="20"/>
                <w:lang w:val="fr-CA" w:eastAsia="en-CA"/>
              </w:rPr>
              <w:t xml:space="preserve">Article 5 </w:t>
            </w:r>
          </w:p>
        </w:tc>
        <w:tc>
          <w:tcPr>
            <w:tcW w:w="2835" w:type="dxa"/>
            <w:shd w:val="clear" w:color="auto" w:fill="auto"/>
            <w:noWrap/>
            <w:tcMar>
              <w:left w:w="115" w:type="dxa"/>
              <w:right w:w="1440" w:type="dxa"/>
            </w:tcMar>
            <w:vAlign w:val="bottom"/>
            <w:hideMark/>
          </w:tcPr>
          <w:p w14:paraId="4DA1859E" w14:textId="77777777" w:rsidR="0029763D" w:rsidRPr="00802AF9" w:rsidRDefault="0029763D" w:rsidP="003F073E">
            <w:pPr>
              <w:ind w:right="-314"/>
              <w:jc w:val="right"/>
              <w:rPr>
                <w:sz w:val="20"/>
                <w:szCs w:val="20"/>
                <w:lang w:val="fr-CA" w:eastAsia="en-CA"/>
              </w:rPr>
            </w:pPr>
            <w:r w:rsidRPr="00802AF9">
              <w:rPr>
                <w:sz w:val="20"/>
                <w:szCs w:val="20"/>
                <w:lang w:val="fr-CA" w:eastAsia="en-CA"/>
              </w:rPr>
              <w:t>360</w:t>
            </w:r>
          </w:p>
        </w:tc>
        <w:tc>
          <w:tcPr>
            <w:tcW w:w="2835" w:type="dxa"/>
            <w:shd w:val="clear" w:color="auto" w:fill="auto"/>
            <w:noWrap/>
            <w:tcMar>
              <w:left w:w="115" w:type="dxa"/>
              <w:right w:w="1440" w:type="dxa"/>
            </w:tcMar>
            <w:vAlign w:val="bottom"/>
            <w:hideMark/>
          </w:tcPr>
          <w:p w14:paraId="488FCD5F" w14:textId="77777777" w:rsidR="0029763D" w:rsidRPr="00802AF9" w:rsidRDefault="0029763D" w:rsidP="003F073E">
            <w:pPr>
              <w:ind w:right="-314"/>
              <w:jc w:val="right"/>
              <w:rPr>
                <w:sz w:val="20"/>
                <w:szCs w:val="20"/>
                <w:lang w:val="fr-CA" w:eastAsia="en-CA"/>
              </w:rPr>
            </w:pPr>
            <w:r w:rsidRPr="00802AF9">
              <w:rPr>
                <w:sz w:val="20"/>
                <w:szCs w:val="20"/>
                <w:lang w:val="fr-CA" w:eastAsia="en-CA"/>
              </w:rPr>
              <w:t>300</w:t>
            </w:r>
          </w:p>
        </w:tc>
      </w:tr>
      <w:tr w:rsidR="0029763D" w:rsidRPr="00802AF9" w14:paraId="21DE0C0C" w14:textId="77777777" w:rsidTr="003F073E">
        <w:tc>
          <w:tcPr>
            <w:tcW w:w="3780" w:type="dxa"/>
            <w:shd w:val="clear" w:color="auto" w:fill="auto"/>
            <w:noWrap/>
            <w:vAlign w:val="bottom"/>
          </w:tcPr>
          <w:p w14:paraId="120B63A0" w14:textId="500AEA6F" w:rsidR="0029763D" w:rsidRPr="00802AF9" w:rsidRDefault="0036161D" w:rsidP="003F073E">
            <w:pPr>
              <w:jc w:val="left"/>
              <w:rPr>
                <w:color w:val="000000"/>
                <w:sz w:val="20"/>
                <w:szCs w:val="20"/>
                <w:lang w:val="fr-CA" w:eastAsia="en-CA"/>
              </w:rPr>
            </w:pPr>
            <w:r w:rsidRPr="0036161D">
              <w:rPr>
                <w:color w:val="000000"/>
                <w:sz w:val="20"/>
                <w:szCs w:val="20"/>
                <w:lang w:val="fr-CA" w:eastAsia="en-CA"/>
              </w:rPr>
              <w:t xml:space="preserve">Exportées à des pays </w:t>
            </w:r>
            <w:r>
              <w:rPr>
                <w:color w:val="000000"/>
                <w:sz w:val="20"/>
                <w:szCs w:val="20"/>
                <w:lang w:val="fr-CA" w:eastAsia="en-CA"/>
              </w:rPr>
              <w:t xml:space="preserve">non </w:t>
            </w:r>
            <w:r w:rsidRPr="0036161D">
              <w:rPr>
                <w:color w:val="000000"/>
                <w:sz w:val="20"/>
                <w:szCs w:val="20"/>
                <w:lang w:val="fr-CA" w:eastAsia="en-CA"/>
              </w:rPr>
              <w:t>visés à l’Article 5</w:t>
            </w:r>
          </w:p>
        </w:tc>
        <w:tc>
          <w:tcPr>
            <w:tcW w:w="2835" w:type="dxa"/>
            <w:shd w:val="clear" w:color="auto" w:fill="auto"/>
            <w:noWrap/>
            <w:tcMar>
              <w:left w:w="115" w:type="dxa"/>
              <w:right w:w="1440" w:type="dxa"/>
            </w:tcMar>
            <w:vAlign w:val="bottom"/>
          </w:tcPr>
          <w:p w14:paraId="59F9AF64" w14:textId="77777777" w:rsidR="0029763D" w:rsidRPr="00802AF9" w:rsidRDefault="0029763D" w:rsidP="003F073E">
            <w:pPr>
              <w:ind w:right="-314"/>
              <w:jc w:val="right"/>
              <w:rPr>
                <w:sz w:val="20"/>
                <w:szCs w:val="20"/>
                <w:lang w:val="fr-CA" w:eastAsia="en-CA"/>
              </w:rPr>
            </w:pPr>
            <w:r w:rsidRPr="00802AF9">
              <w:rPr>
                <w:sz w:val="20"/>
                <w:szCs w:val="20"/>
                <w:lang w:val="fr-CA" w:eastAsia="en-CA"/>
              </w:rPr>
              <w:t>0</w:t>
            </w:r>
          </w:p>
        </w:tc>
        <w:tc>
          <w:tcPr>
            <w:tcW w:w="2835" w:type="dxa"/>
            <w:shd w:val="clear" w:color="auto" w:fill="auto"/>
            <w:noWrap/>
            <w:tcMar>
              <w:left w:w="115" w:type="dxa"/>
              <w:right w:w="1440" w:type="dxa"/>
            </w:tcMar>
            <w:vAlign w:val="bottom"/>
          </w:tcPr>
          <w:p w14:paraId="5ACA66FE" w14:textId="77777777" w:rsidR="0029763D" w:rsidRPr="00802AF9" w:rsidRDefault="0029763D" w:rsidP="003F073E">
            <w:pPr>
              <w:ind w:right="-314"/>
              <w:jc w:val="right"/>
              <w:rPr>
                <w:sz w:val="20"/>
                <w:szCs w:val="20"/>
                <w:lang w:val="fr-CA" w:eastAsia="en-CA"/>
              </w:rPr>
            </w:pPr>
            <w:r w:rsidRPr="00802AF9">
              <w:rPr>
                <w:sz w:val="20"/>
                <w:szCs w:val="20"/>
                <w:lang w:val="fr-CA" w:eastAsia="en-CA"/>
              </w:rPr>
              <w:t>0</w:t>
            </w:r>
          </w:p>
        </w:tc>
      </w:tr>
    </w:tbl>
    <w:p w14:paraId="5E80DFCE" w14:textId="77777777" w:rsidR="0029763D" w:rsidRPr="00802AF9" w:rsidRDefault="0029763D" w:rsidP="0029763D">
      <w:pPr>
        <w:rPr>
          <w:sz w:val="18"/>
          <w:szCs w:val="18"/>
          <w:lang w:val="fr-CA"/>
        </w:rPr>
      </w:pPr>
      <w:r w:rsidRPr="00802AF9">
        <w:rPr>
          <w:sz w:val="18"/>
          <w:szCs w:val="18"/>
          <w:lang w:val="fr-CA"/>
        </w:rPr>
        <w:t>* Renminbi = RMB</w:t>
      </w:r>
    </w:p>
    <w:p w14:paraId="1116CB90" w14:textId="77777777" w:rsidR="0029763D" w:rsidRPr="00802AF9" w:rsidRDefault="0029763D" w:rsidP="0029763D">
      <w:pPr>
        <w:rPr>
          <w:sz w:val="20"/>
          <w:szCs w:val="20"/>
          <w:lang w:val="fr-CA"/>
        </w:rPr>
      </w:pPr>
    </w:p>
    <w:p w14:paraId="328C121B" w14:textId="1CE8D739" w:rsidR="0029763D" w:rsidRPr="00802AF9" w:rsidRDefault="0036161D" w:rsidP="0029763D">
      <w:pPr>
        <w:pStyle w:val="Heading1"/>
        <w:rPr>
          <w:lang w:val="fr-CA"/>
        </w:rPr>
      </w:pPr>
      <w:r>
        <w:rPr>
          <w:lang w:val="fr-CA"/>
        </w:rPr>
        <w:t xml:space="preserve">La pandémie de COVID-19 a éclaté à la suite de la </w:t>
      </w:r>
      <w:r w:rsidR="0029763D" w:rsidRPr="00802AF9">
        <w:rPr>
          <w:lang w:val="fr-CA"/>
        </w:rPr>
        <w:t>84</w:t>
      </w:r>
      <w:r>
        <w:rPr>
          <w:vertAlign w:val="superscript"/>
          <w:lang w:val="fr-CA"/>
        </w:rPr>
        <w:t>e</w:t>
      </w:r>
      <w:r w:rsidR="0029763D" w:rsidRPr="00802AF9">
        <w:rPr>
          <w:lang w:val="fr-CA"/>
        </w:rPr>
        <w:t> </w:t>
      </w:r>
      <w:r w:rsidR="0014063A" w:rsidRPr="00802AF9">
        <w:rPr>
          <w:lang w:val="fr-CA"/>
        </w:rPr>
        <w:t>réunion</w:t>
      </w:r>
      <w:r w:rsidR="0029763D" w:rsidRPr="00802AF9">
        <w:rPr>
          <w:lang w:val="fr-CA"/>
        </w:rPr>
        <w:t xml:space="preserve">, </w:t>
      </w:r>
      <w:r>
        <w:rPr>
          <w:lang w:val="fr-CA"/>
        </w:rPr>
        <w:t xml:space="preserve">interrompant la </w:t>
      </w:r>
      <w:r w:rsidR="0029763D" w:rsidRPr="00802AF9">
        <w:rPr>
          <w:lang w:val="fr-CA"/>
        </w:rPr>
        <w:t xml:space="preserve">production </w:t>
      </w:r>
      <w:r>
        <w:rPr>
          <w:lang w:val="fr-CA"/>
        </w:rPr>
        <w:t xml:space="preserve">et </w:t>
      </w:r>
      <w:r w:rsidR="009A1251">
        <w:rPr>
          <w:lang w:val="fr-CA"/>
        </w:rPr>
        <w:t>la commercialisation</w:t>
      </w:r>
      <w:r w:rsidR="0029763D" w:rsidRPr="00802AF9">
        <w:rPr>
          <w:lang w:val="fr-CA"/>
        </w:rPr>
        <w:t xml:space="preserve"> </w:t>
      </w:r>
      <w:r>
        <w:rPr>
          <w:lang w:val="fr-CA"/>
        </w:rPr>
        <w:t xml:space="preserve">de climatiseurs à base de </w:t>
      </w:r>
      <w:r w:rsidR="0029763D" w:rsidRPr="00802AF9">
        <w:rPr>
          <w:lang w:val="fr-CA"/>
        </w:rPr>
        <w:t xml:space="preserve">R-290. </w:t>
      </w:r>
      <w:r>
        <w:rPr>
          <w:lang w:val="fr-CA"/>
        </w:rPr>
        <w:t>Par ailleurs, compte tenu du ralentissement économique à l</w:t>
      </w:r>
      <w:r w:rsidR="009A1251">
        <w:rPr>
          <w:lang w:val="fr-CA"/>
        </w:rPr>
        <w:t>’</w:t>
      </w:r>
      <w:r>
        <w:rPr>
          <w:lang w:val="fr-CA"/>
        </w:rPr>
        <w:t xml:space="preserve">échelle mondiale, </w:t>
      </w:r>
      <w:r w:rsidR="009A1251">
        <w:rPr>
          <w:lang w:val="fr-CA"/>
        </w:rPr>
        <w:t xml:space="preserve">l’introduction de la technologie R&amp;C fondée sur le </w:t>
      </w:r>
      <w:r w:rsidR="0029763D" w:rsidRPr="00802AF9">
        <w:rPr>
          <w:lang w:val="fr-CA"/>
        </w:rPr>
        <w:t>R-290</w:t>
      </w:r>
      <w:r w:rsidR="009A1251">
        <w:rPr>
          <w:lang w:val="fr-CA"/>
        </w:rPr>
        <w:t xml:space="preserve"> s’est heurtée à de nouveaux obstacles</w:t>
      </w:r>
      <w:r w:rsidR="0029763D" w:rsidRPr="00802AF9">
        <w:rPr>
          <w:lang w:val="fr-CA"/>
        </w:rPr>
        <w:t xml:space="preserve">. </w:t>
      </w:r>
      <w:r w:rsidR="009A1251">
        <w:rPr>
          <w:lang w:val="fr-CA"/>
        </w:rPr>
        <w:t xml:space="preserve">En conséquence, la </w:t>
      </w:r>
      <w:r w:rsidR="00494A38" w:rsidRPr="00802AF9">
        <w:rPr>
          <w:lang w:val="fr-CA"/>
        </w:rPr>
        <w:t>Chine</w:t>
      </w:r>
      <w:r w:rsidR="0029763D" w:rsidRPr="00802AF9">
        <w:rPr>
          <w:lang w:val="fr-CA"/>
        </w:rPr>
        <w:t xml:space="preserve"> </w:t>
      </w:r>
      <w:r w:rsidR="009A1251">
        <w:rPr>
          <w:lang w:val="fr-CA"/>
        </w:rPr>
        <w:t xml:space="preserve">a </w:t>
      </w:r>
      <w:r w:rsidR="0029763D" w:rsidRPr="00802AF9">
        <w:rPr>
          <w:lang w:val="fr-CA"/>
        </w:rPr>
        <w:t>propos</w:t>
      </w:r>
      <w:r w:rsidR="009A1251">
        <w:rPr>
          <w:lang w:val="fr-CA"/>
        </w:rPr>
        <w:t>é de modifier le programme d’incitation de l’</w:t>
      </w:r>
      <w:r w:rsidR="0029763D" w:rsidRPr="00802AF9">
        <w:rPr>
          <w:lang w:val="fr-CA"/>
        </w:rPr>
        <w:t>IOC</w:t>
      </w:r>
      <w:r w:rsidR="009A1251">
        <w:rPr>
          <w:lang w:val="fr-CA"/>
        </w:rPr>
        <w:t xml:space="preserve">, de manière que </w:t>
      </w:r>
      <w:r w:rsidR="0029763D" w:rsidRPr="00802AF9">
        <w:rPr>
          <w:lang w:val="fr-CA"/>
        </w:rPr>
        <w:t>25</w:t>
      </w:r>
      <w:r w:rsidR="009A1251">
        <w:rPr>
          <w:lang w:val="fr-CA"/>
        </w:rPr>
        <w:t> </w:t>
      </w:r>
      <w:r w:rsidR="00BA5233">
        <w:rPr>
          <w:lang w:val="fr-CA"/>
        </w:rPr>
        <w:t>pour cent</w:t>
      </w:r>
      <w:r w:rsidR="009A1251">
        <w:rPr>
          <w:lang w:val="fr-CA"/>
        </w:rPr>
        <w:t xml:space="preserve"> des IOC seront fournis pour des unités bi-bloc à base de </w:t>
      </w:r>
      <w:r w:rsidR="0029763D" w:rsidRPr="00802AF9">
        <w:rPr>
          <w:lang w:val="fr-CA"/>
        </w:rPr>
        <w:t xml:space="preserve">R-290 </w:t>
      </w:r>
      <w:r w:rsidR="009A1251">
        <w:rPr>
          <w:lang w:val="fr-CA"/>
        </w:rPr>
        <w:t xml:space="preserve">vendues jusqu’au </w:t>
      </w:r>
      <w:r w:rsidR="0029763D" w:rsidRPr="00802AF9">
        <w:rPr>
          <w:lang w:val="fr-CA"/>
        </w:rPr>
        <w:t>31 </w:t>
      </w:r>
      <w:r w:rsidR="009A1251">
        <w:rPr>
          <w:lang w:val="fr-CA"/>
        </w:rPr>
        <w:t>a</w:t>
      </w:r>
      <w:r w:rsidR="00825570" w:rsidRPr="00802AF9">
        <w:rPr>
          <w:lang w:val="fr-CA"/>
        </w:rPr>
        <w:t>oût</w:t>
      </w:r>
      <w:r w:rsidR="0029763D" w:rsidRPr="00802AF9">
        <w:rPr>
          <w:lang w:val="fr-CA"/>
        </w:rPr>
        <w:t xml:space="preserve"> 2021, </w:t>
      </w:r>
      <w:r w:rsidR="009A1251">
        <w:rPr>
          <w:lang w:val="fr-CA"/>
        </w:rPr>
        <w:t xml:space="preserve">et </w:t>
      </w:r>
      <w:r w:rsidR="0029763D" w:rsidRPr="00802AF9">
        <w:rPr>
          <w:lang w:val="fr-CA"/>
        </w:rPr>
        <w:t>12</w:t>
      </w:r>
      <w:r w:rsidR="009A1251">
        <w:rPr>
          <w:lang w:val="fr-CA"/>
        </w:rPr>
        <w:t>,</w:t>
      </w:r>
      <w:r w:rsidR="0029763D" w:rsidRPr="00802AF9">
        <w:rPr>
          <w:lang w:val="fr-CA"/>
        </w:rPr>
        <w:t>5</w:t>
      </w:r>
      <w:r w:rsidR="009A1251">
        <w:rPr>
          <w:lang w:val="fr-CA"/>
        </w:rPr>
        <w:t> </w:t>
      </w:r>
      <w:r w:rsidR="00BA5233">
        <w:rPr>
          <w:lang w:val="fr-CA"/>
        </w:rPr>
        <w:t>pour cent</w:t>
      </w:r>
      <w:r w:rsidR="009A1251">
        <w:rPr>
          <w:lang w:val="fr-CA"/>
        </w:rPr>
        <w:t xml:space="preserve"> pour des unités vendues jusqu’au 1</w:t>
      </w:r>
      <w:r w:rsidR="009A1251" w:rsidRPr="009A1251">
        <w:rPr>
          <w:vertAlign w:val="superscript"/>
          <w:lang w:val="fr-CA"/>
        </w:rPr>
        <w:t>er</w:t>
      </w:r>
      <w:r w:rsidR="009A1251">
        <w:rPr>
          <w:lang w:val="fr-CA"/>
        </w:rPr>
        <w:t> s</w:t>
      </w:r>
      <w:r w:rsidR="00825570" w:rsidRPr="00802AF9">
        <w:rPr>
          <w:lang w:val="fr-CA"/>
        </w:rPr>
        <w:t>eptembre</w:t>
      </w:r>
      <w:r w:rsidR="0029763D" w:rsidRPr="00802AF9">
        <w:rPr>
          <w:lang w:val="fr-CA"/>
        </w:rPr>
        <w:t xml:space="preserve"> 2021 </w:t>
      </w:r>
      <w:r w:rsidR="009A1251">
        <w:rPr>
          <w:lang w:val="fr-CA"/>
        </w:rPr>
        <w:t xml:space="preserve">et ultérieurement, comme l’indique le </w:t>
      </w:r>
      <w:r w:rsidR="0029763D" w:rsidRPr="00802AF9">
        <w:rPr>
          <w:lang w:val="fr-CA"/>
        </w:rPr>
        <w:t>Table</w:t>
      </w:r>
      <w:r w:rsidR="009A1251">
        <w:rPr>
          <w:lang w:val="fr-CA"/>
        </w:rPr>
        <w:t>au</w:t>
      </w:r>
      <w:r w:rsidR="0029763D" w:rsidRPr="00802AF9">
        <w:rPr>
          <w:lang w:val="fr-CA"/>
        </w:rPr>
        <w:t xml:space="preserve"> 5. </w:t>
      </w:r>
    </w:p>
    <w:p w14:paraId="429F5187" w14:textId="11A623B1" w:rsidR="0029763D" w:rsidRPr="00802AF9" w:rsidRDefault="0029763D" w:rsidP="0029763D">
      <w:pPr>
        <w:rPr>
          <w:lang w:val="fr-CA"/>
        </w:rPr>
      </w:pPr>
      <w:r w:rsidRPr="00802AF9">
        <w:rPr>
          <w:b/>
          <w:lang w:val="fr-CA"/>
        </w:rPr>
        <w:t>Table</w:t>
      </w:r>
      <w:r w:rsidR="009A1251">
        <w:rPr>
          <w:b/>
          <w:lang w:val="fr-CA"/>
        </w:rPr>
        <w:t>au</w:t>
      </w:r>
      <w:r w:rsidRPr="00802AF9">
        <w:rPr>
          <w:b/>
          <w:lang w:val="fr-CA"/>
        </w:rPr>
        <w:t xml:space="preserve"> 5. </w:t>
      </w:r>
      <w:r w:rsidR="009A1251">
        <w:rPr>
          <w:b/>
          <w:lang w:val="fr-CA"/>
        </w:rPr>
        <w:t xml:space="preserve">Programme révisé d’incitation </w:t>
      </w:r>
      <w:r w:rsidR="00661CF2">
        <w:rPr>
          <w:b/>
          <w:lang w:val="fr-CA"/>
        </w:rPr>
        <w:t>de l’</w:t>
      </w:r>
      <w:r w:rsidRPr="00802AF9">
        <w:rPr>
          <w:b/>
          <w:lang w:val="fr-CA"/>
        </w:rPr>
        <w:t>IOC (RMB/unit</w:t>
      </w:r>
      <w:r w:rsidR="009A1251">
        <w:rPr>
          <w:b/>
          <w:lang w:val="fr-CA"/>
        </w:rPr>
        <w:t>é</w:t>
      </w:r>
      <w:r w:rsidRPr="00802AF9">
        <w:rPr>
          <w:b/>
          <w:lang w:val="fr-CA"/>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4A0" w:firstRow="1" w:lastRow="0" w:firstColumn="1" w:lastColumn="0" w:noHBand="0" w:noVBand="1"/>
      </w:tblPr>
      <w:tblGrid>
        <w:gridCol w:w="773"/>
        <w:gridCol w:w="2908"/>
        <w:gridCol w:w="1417"/>
        <w:gridCol w:w="1418"/>
        <w:gridCol w:w="1383"/>
        <w:gridCol w:w="1546"/>
      </w:tblGrid>
      <w:tr w:rsidR="0029763D" w:rsidRPr="00802AF9" w14:paraId="199AECC2" w14:textId="77777777" w:rsidTr="002B3100">
        <w:trPr>
          <w:trHeight w:val="46"/>
        </w:trPr>
        <w:tc>
          <w:tcPr>
            <w:tcW w:w="3681" w:type="dxa"/>
            <w:gridSpan w:val="2"/>
            <w:vMerge w:val="restart"/>
            <w:shd w:val="clear" w:color="auto" w:fill="auto"/>
            <w:noWrap/>
            <w:vAlign w:val="center"/>
            <w:hideMark/>
          </w:tcPr>
          <w:p w14:paraId="750778F6" w14:textId="1A03A222" w:rsidR="0029763D" w:rsidRPr="00802AF9" w:rsidRDefault="002B3100" w:rsidP="003F073E">
            <w:pPr>
              <w:jc w:val="left"/>
              <w:rPr>
                <w:color w:val="000000"/>
                <w:sz w:val="20"/>
                <w:szCs w:val="20"/>
                <w:lang w:val="fr-CA" w:eastAsia="en-CA"/>
              </w:rPr>
            </w:pPr>
            <w:r>
              <w:rPr>
                <w:b/>
                <w:color w:val="000000"/>
                <w:sz w:val="20"/>
                <w:szCs w:val="20"/>
                <w:lang w:val="fr-CA" w:eastAsia="en-CA"/>
              </w:rPr>
              <w:t>Bi-bloc</w:t>
            </w:r>
          </w:p>
        </w:tc>
        <w:tc>
          <w:tcPr>
            <w:tcW w:w="2835" w:type="dxa"/>
            <w:gridSpan w:val="2"/>
            <w:shd w:val="clear" w:color="auto" w:fill="auto"/>
            <w:vAlign w:val="center"/>
            <w:hideMark/>
          </w:tcPr>
          <w:p w14:paraId="3AB87C2A" w14:textId="6D728A08" w:rsidR="0029763D" w:rsidRPr="00802AF9" w:rsidRDefault="002B3100" w:rsidP="003F073E">
            <w:pPr>
              <w:jc w:val="center"/>
              <w:rPr>
                <w:b/>
                <w:color w:val="000000"/>
                <w:sz w:val="20"/>
                <w:szCs w:val="20"/>
                <w:lang w:val="fr-CA" w:eastAsia="en-CA"/>
              </w:rPr>
            </w:pPr>
            <w:r>
              <w:rPr>
                <w:b/>
                <w:color w:val="000000"/>
                <w:sz w:val="20"/>
                <w:szCs w:val="20"/>
                <w:lang w:val="fr-CA" w:eastAsia="en-CA"/>
              </w:rPr>
              <w:t>Jusqu’au</w:t>
            </w:r>
            <w:r w:rsidR="0029763D" w:rsidRPr="00802AF9">
              <w:rPr>
                <w:b/>
                <w:color w:val="000000"/>
                <w:sz w:val="20"/>
                <w:szCs w:val="20"/>
                <w:lang w:val="fr-CA" w:eastAsia="en-CA"/>
              </w:rPr>
              <w:t xml:space="preserve"> 31 </w:t>
            </w:r>
            <w:r w:rsidR="00825570" w:rsidRPr="00802AF9">
              <w:rPr>
                <w:b/>
                <w:color w:val="000000"/>
                <w:sz w:val="20"/>
                <w:szCs w:val="20"/>
                <w:lang w:val="fr-CA" w:eastAsia="en-CA"/>
              </w:rPr>
              <w:t>Août</w:t>
            </w:r>
            <w:r w:rsidR="0029763D" w:rsidRPr="00802AF9">
              <w:rPr>
                <w:b/>
                <w:color w:val="000000"/>
                <w:sz w:val="20"/>
                <w:szCs w:val="20"/>
                <w:lang w:val="fr-CA" w:eastAsia="en-CA"/>
              </w:rPr>
              <w:t xml:space="preserve"> 2021</w:t>
            </w:r>
          </w:p>
        </w:tc>
        <w:tc>
          <w:tcPr>
            <w:tcW w:w="2929" w:type="dxa"/>
            <w:gridSpan w:val="2"/>
            <w:shd w:val="clear" w:color="auto" w:fill="auto"/>
            <w:noWrap/>
            <w:vAlign w:val="bottom"/>
            <w:hideMark/>
          </w:tcPr>
          <w:p w14:paraId="52802868" w14:textId="095EBAA8" w:rsidR="0029763D" w:rsidRPr="00802AF9" w:rsidRDefault="0029763D" w:rsidP="003F073E">
            <w:pPr>
              <w:jc w:val="center"/>
              <w:rPr>
                <w:b/>
                <w:color w:val="000000"/>
                <w:sz w:val="20"/>
                <w:szCs w:val="20"/>
                <w:lang w:val="fr-CA" w:eastAsia="en-CA"/>
              </w:rPr>
            </w:pPr>
            <w:r w:rsidRPr="00802AF9">
              <w:rPr>
                <w:b/>
                <w:color w:val="000000"/>
                <w:sz w:val="20"/>
                <w:szCs w:val="20"/>
                <w:lang w:val="fr-CA" w:eastAsia="en-CA"/>
              </w:rPr>
              <w:t>A</w:t>
            </w:r>
            <w:r w:rsidR="002B3100">
              <w:rPr>
                <w:b/>
                <w:color w:val="000000"/>
                <w:sz w:val="20"/>
                <w:szCs w:val="20"/>
                <w:lang w:val="fr-CA" w:eastAsia="en-CA"/>
              </w:rPr>
              <w:t>près le</w:t>
            </w:r>
            <w:r w:rsidRPr="00802AF9">
              <w:rPr>
                <w:b/>
                <w:color w:val="000000"/>
                <w:sz w:val="20"/>
                <w:szCs w:val="20"/>
                <w:lang w:val="fr-CA" w:eastAsia="en-CA"/>
              </w:rPr>
              <w:t xml:space="preserve"> 1</w:t>
            </w:r>
            <w:r w:rsidR="002B3100" w:rsidRPr="002B3100">
              <w:rPr>
                <w:b/>
                <w:color w:val="000000"/>
                <w:sz w:val="20"/>
                <w:szCs w:val="20"/>
                <w:vertAlign w:val="superscript"/>
                <w:lang w:val="fr-CA" w:eastAsia="en-CA"/>
              </w:rPr>
              <w:t>er</w:t>
            </w:r>
            <w:r w:rsidR="002B3100">
              <w:rPr>
                <w:b/>
                <w:color w:val="000000"/>
                <w:sz w:val="20"/>
                <w:szCs w:val="20"/>
                <w:lang w:val="fr-CA" w:eastAsia="en-CA"/>
              </w:rPr>
              <w:t> s</w:t>
            </w:r>
            <w:r w:rsidR="00825570" w:rsidRPr="00802AF9">
              <w:rPr>
                <w:b/>
                <w:color w:val="000000"/>
                <w:sz w:val="20"/>
                <w:szCs w:val="20"/>
                <w:lang w:val="fr-CA" w:eastAsia="en-CA"/>
              </w:rPr>
              <w:t>eptembre</w:t>
            </w:r>
            <w:r w:rsidRPr="00802AF9">
              <w:rPr>
                <w:b/>
                <w:color w:val="000000"/>
                <w:sz w:val="20"/>
                <w:szCs w:val="20"/>
                <w:lang w:val="fr-CA" w:eastAsia="en-CA"/>
              </w:rPr>
              <w:t xml:space="preserve"> 2021</w:t>
            </w:r>
          </w:p>
        </w:tc>
      </w:tr>
      <w:tr w:rsidR="0029763D" w:rsidRPr="00802AF9" w14:paraId="38009061" w14:textId="77777777" w:rsidTr="002B3100">
        <w:trPr>
          <w:trHeight w:val="62"/>
        </w:trPr>
        <w:tc>
          <w:tcPr>
            <w:tcW w:w="3681" w:type="dxa"/>
            <w:gridSpan w:val="2"/>
            <w:vMerge/>
            <w:shd w:val="clear" w:color="auto" w:fill="auto"/>
            <w:vAlign w:val="center"/>
            <w:hideMark/>
          </w:tcPr>
          <w:p w14:paraId="6779932F" w14:textId="77777777" w:rsidR="0029763D" w:rsidRPr="00802AF9" w:rsidRDefault="0029763D" w:rsidP="003F073E">
            <w:pPr>
              <w:jc w:val="center"/>
              <w:rPr>
                <w:b/>
                <w:color w:val="000000"/>
                <w:sz w:val="20"/>
                <w:szCs w:val="20"/>
                <w:lang w:val="fr-CA" w:eastAsia="en-CA"/>
              </w:rPr>
            </w:pPr>
          </w:p>
        </w:tc>
        <w:tc>
          <w:tcPr>
            <w:tcW w:w="1417" w:type="dxa"/>
            <w:shd w:val="clear" w:color="auto" w:fill="auto"/>
            <w:noWrap/>
            <w:vAlign w:val="bottom"/>
            <w:hideMark/>
          </w:tcPr>
          <w:p w14:paraId="3E106191" w14:textId="44432CA5" w:rsidR="0029763D" w:rsidRPr="00802AF9" w:rsidRDefault="00895D1B" w:rsidP="003F073E">
            <w:pPr>
              <w:jc w:val="center"/>
              <w:rPr>
                <w:b/>
                <w:color w:val="000000"/>
                <w:sz w:val="20"/>
                <w:szCs w:val="20"/>
                <w:lang w:val="fr-CA" w:eastAsia="en-CA"/>
              </w:rPr>
            </w:pPr>
            <w:r>
              <w:rPr>
                <w:b/>
                <w:color w:val="000000"/>
                <w:sz w:val="20"/>
                <w:szCs w:val="20"/>
                <w:lang w:val="fr-CA" w:eastAsia="en-CA"/>
              </w:rPr>
              <w:t>Convertisseur</w:t>
            </w:r>
          </w:p>
        </w:tc>
        <w:tc>
          <w:tcPr>
            <w:tcW w:w="1418" w:type="dxa"/>
            <w:shd w:val="clear" w:color="auto" w:fill="auto"/>
            <w:noWrap/>
            <w:vAlign w:val="bottom"/>
            <w:hideMark/>
          </w:tcPr>
          <w:p w14:paraId="157BDC4F" w14:textId="6421BE08" w:rsidR="0029763D" w:rsidRPr="00802AF9" w:rsidRDefault="0036161D" w:rsidP="003F073E">
            <w:pPr>
              <w:jc w:val="center"/>
              <w:rPr>
                <w:b/>
                <w:color w:val="000000"/>
                <w:sz w:val="20"/>
                <w:szCs w:val="20"/>
                <w:lang w:val="fr-CA" w:eastAsia="en-CA"/>
              </w:rPr>
            </w:pPr>
            <w:r>
              <w:rPr>
                <w:b/>
                <w:color w:val="000000"/>
                <w:sz w:val="20"/>
                <w:szCs w:val="20"/>
                <w:lang w:val="fr-CA" w:eastAsia="en-CA"/>
              </w:rPr>
              <w:t>Vitesse fixe</w:t>
            </w:r>
          </w:p>
        </w:tc>
        <w:tc>
          <w:tcPr>
            <w:tcW w:w="1383" w:type="dxa"/>
            <w:shd w:val="clear" w:color="auto" w:fill="auto"/>
            <w:noWrap/>
            <w:vAlign w:val="bottom"/>
            <w:hideMark/>
          </w:tcPr>
          <w:p w14:paraId="4BBF7400" w14:textId="0E642E46" w:rsidR="0029763D" w:rsidRPr="00802AF9" w:rsidRDefault="00895D1B" w:rsidP="003F073E">
            <w:pPr>
              <w:jc w:val="center"/>
              <w:rPr>
                <w:b/>
                <w:color w:val="000000"/>
                <w:sz w:val="20"/>
                <w:szCs w:val="20"/>
                <w:lang w:val="fr-CA" w:eastAsia="en-CA"/>
              </w:rPr>
            </w:pPr>
            <w:r>
              <w:rPr>
                <w:b/>
                <w:color w:val="000000"/>
                <w:sz w:val="20"/>
                <w:szCs w:val="20"/>
                <w:lang w:val="fr-CA" w:eastAsia="en-CA"/>
              </w:rPr>
              <w:t>Convertisseur</w:t>
            </w:r>
          </w:p>
        </w:tc>
        <w:tc>
          <w:tcPr>
            <w:tcW w:w="1546" w:type="dxa"/>
            <w:shd w:val="clear" w:color="auto" w:fill="auto"/>
            <w:noWrap/>
            <w:vAlign w:val="bottom"/>
            <w:hideMark/>
          </w:tcPr>
          <w:p w14:paraId="0AD211C6" w14:textId="4F73D3B0" w:rsidR="0029763D" w:rsidRPr="00802AF9" w:rsidRDefault="0036161D" w:rsidP="003F073E">
            <w:pPr>
              <w:jc w:val="center"/>
              <w:rPr>
                <w:b/>
                <w:color w:val="000000"/>
                <w:sz w:val="20"/>
                <w:szCs w:val="20"/>
                <w:lang w:val="fr-CA" w:eastAsia="en-CA"/>
              </w:rPr>
            </w:pPr>
            <w:r>
              <w:rPr>
                <w:b/>
                <w:color w:val="000000"/>
                <w:sz w:val="20"/>
                <w:szCs w:val="20"/>
                <w:lang w:val="fr-CA" w:eastAsia="en-CA"/>
              </w:rPr>
              <w:t>Vitesse fixe</w:t>
            </w:r>
          </w:p>
        </w:tc>
      </w:tr>
      <w:tr w:rsidR="0029763D" w:rsidRPr="00802AF9" w14:paraId="039176D0" w14:textId="77777777" w:rsidTr="002B3100">
        <w:trPr>
          <w:trHeight w:val="125"/>
        </w:trPr>
        <w:tc>
          <w:tcPr>
            <w:tcW w:w="773" w:type="dxa"/>
            <w:vMerge w:val="restart"/>
            <w:shd w:val="clear" w:color="auto" w:fill="auto"/>
            <w:vAlign w:val="center"/>
            <w:hideMark/>
          </w:tcPr>
          <w:p w14:paraId="08AF9C9A" w14:textId="2772FB4C" w:rsidR="0029763D" w:rsidRPr="00802AF9" w:rsidRDefault="0029763D" w:rsidP="003F073E">
            <w:pPr>
              <w:jc w:val="left"/>
              <w:rPr>
                <w:color w:val="000000"/>
                <w:sz w:val="20"/>
                <w:szCs w:val="20"/>
                <w:lang w:val="fr-CA" w:eastAsia="en-CA"/>
              </w:rPr>
            </w:pPr>
            <w:r w:rsidRPr="00802AF9">
              <w:rPr>
                <w:color w:val="000000"/>
                <w:sz w:val="20"/>
                <w:szCs w:val="20"/>
                <w:lang w:val="fr-CA" w:eastAsia="en-CA"/>
              </w:rPr>
              <w:t>Local</w:t>
            </w:r>
            <w:r w:rsidR="002B3100">
              <w:rPr>
                <w:color w:val="000000"/>
                <w:sz w:val="20"/>
                <w:szCs w:val="20"/>
                <w:lang w:val="fr-CA" w:eastAsia="en-CA"/>
              </w:rPr>
              <w:t>es</w:t>
            </w:r>
          </w:p>
        </w:tc>
        <w:tc>
          <w:tcPr>
            <w:tcW w:w="2908" w:type="dxa"/>
            <w:shd w:val="clear" w:color="auto" w:fill="auto"/>
            <w:hideMark/>
          </w:tcPr>
          <w:p w14:paraId="54177EBC" w14:textId="6806028F" w:rsidR="0029763D" w:rsidRPr="00802AF9" w:rsidRDefault="00895D1B" w:rsidP="003F073E">
            <w:pPr>
              <w:jc w:val="left"/>
              <w:rPr>
                <w:color w:val="000000"/>
                <w:sz w:val="20"/>
                <w:szCs w:val="20"/>
                <w:lang w:val="fr-CA" w:eastAsia="en-CA"/>
              </w:rPr>
            </w:pPr>
            <w:r w:rsidRPr="00895D1B">
              <w:rPr>
                <w:color w:val="000000"/>
                <w:sz w:val="20"/>
                <w:szCs w:val="20"/>
                <w:lang w:val="fr-CA" w:eastAsia="en-CA"/>
              </w:rPr>
              <w:t>Classe 1 d’efficacité énergétique</w:t>
            </w:r>
          </w:p>
        </w:tc>
        <w:tc>
          <w:tcPr>
            <w:tcW w:w="1417" w:type="dxa"/>
            <w:shd w:val="clear" w:color="auto" w:fill="auto"/>
            <w:tcMar>
              <w:right w:w="173" w:type="dxa"/>
            </w:tcMar>
            <w:hideMark/>
          </w:tcPr>
          <w:p w14:paraId="2465D461"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150</w:t>
            </w:r>
          </w:p>
        </w:tc>
        <w:tc>
          <w:tcPr>
            <w:tcW w:w="1418" w:type="dxa"/>
            <w:shd w:val="clear" w:color="auto" w:fill="auto"/>
            <w:noWrap/>
            <w:tcMar>
              <w:right w:w="173" w:type="dxa"/>
            </w:tcMar>
            <w:hideMark/>
          </w:tcPr>
          <w:p w14:paraId="71915E28"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125</w:t>
            </w:r>
          </w:p>
        </w:tc>
        <w:tc>
          <w:tcPr>
            <w:tcW w:w="1383" w:type="dxa"/>
            <w:shd w:val="clear" w:color="auto" w:fill="auto"/>
            <w:tcMar>
              <w:right w:w="173" w:type="dxa"/>
            </w:tcMar>
            <w:hideMark/>
          </w:tcPr>
          <w:p w14:paraId="70D62B53"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75</w:t>
            </w:r>
          </w:p>
        </w:tc>
        <w:tc>
          <w:tcPr>
            <w:tcW w:w="1546" w:type="dxa"/>
            <w:shd w:val="clear" w:color="auto" w:fill="auto"/>
            <w:noWrap/>
            <w:tcMar>
              <w:right w:w="173" w:type="dxa"/>
            </w:tcMar>
            <w:hideMark/>
          </w:tcPr>
          <w:p w14:paraId="634906A9"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62.50</w:t>
            </w:r>
          </w:p>
        </w:tc>
      </w:tr>
      <w:tr w:rsidR="0029763D" w:rsidRPr="00802AF9" w14:paraId="272D9867" w14:textId="77777777" w:rsidTr="002B3100">
        <w:trPr>
          <w:trHeight w:val="179"/>
        </w:trPr>
        <w:tc>
          <w:tcPr>
            <w:tcW w:w="773" w:type="dxa"/>
            <w:vMerge/>
            <w:vAlign w:val="center"/>
            <w:hideMark/>
          </w:tcPr>
          <w:p w14:paraId="7E87AEE0" w14:textId="77777777" w:rsidR="0029763D" w:rsidRPr="00802AF9" w:rsidRDefault="0029763D" w:rsidP="003F073E">
            <w:pPr>
              <w:jc w:val="left"/>
              <w:rPr>
                <w:color w:val="000000"/>
                <w:sz w:val="20"/>
                <w:szCs w:val="20"/>
                <w:lang w:val="fr-CA" w:eastAsia="en-CA"/>
              </w:rPr>
            </w:pPr>
          </w:p>
        </w:tc>
        <w:tc>
          <w:tcPr>
            <w:tcW w:w="2908" w:type="dxa"/>
            <w:shd w:val="clear" w:color="auto" w:fill="auto"/>
            <w:hideMark/>
          </w:tcPr>
          <w:p w14:paraId="364CB2C0" w14:textId="6553A42B" w:rsidR="0029763D" w:rsidRPr="00802AF9" w:rsidRDefault="00895D1B" w:rsidP="003F073E">
            <w:pPr>
              <w:jc w:val="left"/>
              <w:rPr>
                <w:color w:val="000000"/>
                <w:sz w:val="20"/>
                <w:szCs w:val="20"/>
                <w:lang w:val="fr-CA" w:eastAsia="en-CA"/>
              </w:rPr>
            </w:pPr>
            <w:r w:rsidRPr="00895D1B">
              <w:rPr>
                <w:color w:val="000000"/>
                <w:sz w:val="20"/>
                <w:szCs w:val="20"/>
                <w:lang w:val="fr-CA" w:eastAsia="en-CA"/>
              </w:rPr>
              <w:t xml:space="preserve">Classe </w:t>
            </w:r>
            <w:r>
              <w:rPr>
                <w:color w:val="000000"/>
                <w:sz w:val="20"/>
                <w:szCs w:val="20"/>
                <w:lang w:val="fr-CA" w:eastAsia="en-CA"/>
              </w:rPr>
              <w:t>2</w:t>
            </w:r>
            <w:r w:rsidRPr="00895D1B">
              <w:rPr>
                <w:color w:val="000000"/>
                <w:sz w:val="20"/>
                <w:szCs w:val="20"/>
                <w:lang w:val="fr-CA" w:eastAsia="en-CA"/>
              </w:rPr>
              <w:t xml:space="preserve"> d’efficacité énergétique</w:t>
            </w:r>
          </w:p>
        </w:tc>
        <w:tc>
          <w:tcPr>
            <w:tcW w:w="1417" w:type="dxa"/>
            <w:shd w:val="clear" w:color="auto" w:fill="auto"/>
            <w:tcMar>
              <w:right w:w="173" w:type="dxa"/>
            </w:tcMar>
            <w:hideMark/>
          </w:tcPr>
          <w:p w14:paraId="37722E77"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90</w:t>
            </w:r>
          </w:p>
        </w:tc>
        <w:tc>
          <w:tcPr>
            <w:tcW w:w="1418" w:type="dxa"/>
            <w:shd w:val="clear" w:color="auto" w:fill="auto"/>
            <w:noWrap/>
            <w:tcMar>
              <w:right w:w="173" w:type="dxa"/>
            </w:tcMar>
            <w:hideMark/>
          </w:tcPr>
          <w:p w14:paraId="326D6658"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75</w:t>
            </w:r>
          </w:p>
        </w:tc>
        <w:tc>
          <w:tcPr>
            <w:tcW w:w="1383" w:type="dxa"/>
            <w:shd w:val="clear" w:color="auto" w:fill="auto"/>
            <w:tcMar>
              <w:right w:w="173" w:type="dxa"/>
            </w:tcMar>
            <w:hideMark/>
          </w:tcPr>
          <w:p w14:paraId="29FC1304"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45</w:t>
            </w:r>
          </w:p>
        </w:tc>
        <w:tc>
          <w:tcPr>
            <w:tcW w:w="1546" w:type="dxa"/>
            <w:shd w:val="clear" w:color="auto" w:fill="auto"/>
            <w:noWrap/>
            <w:tcMar>
              <w:right w:w="173" w:type="dxa"/>
            </w:tcMar>
            <w:hideMark/>
          </w:tcPr>
          <w:p w14:paraId="46723A26"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37.50</w:t>
            </w:r>
          </w:p>
        </w:tc>
      </w:tr>
      <w:tr w:rsidR="0029763D" w:rsidRPr="00802AF9" w14:paraId="65DC9AEA" w14:textId="77777777" w:rsidTr="002B3100">
        <w:trPr>
          <w:trHeight w:val="46"/>
        </w:trPr>
        <w:tc>
          <w:tcPr>
            <w:tcW w:w="773" w:type="dxa"/>
            <w:vMerge/>
            <w:vAlign w:val="center"/>
            <w:hideMark/>
          </w:tcPr>
          <w:p w14:paraId="1B3C5DAB" w14:textId="77777777" w:rsidR="0029763D" w:rsidRPr="00802AF9" w:rsidRDefault="0029763D" w:rsidP="003F073E">
            <w:pPr>
              <w:jc w:val="left"/>
              <w:rPr>
                <w:color w:val="000000"/>
                <w:sz w:val="20"/>
                <w:szCs w:val="20"/>
                <w:lang w:val="fr-CA" w:eastAsia="en-CA"/>
              </w:rPr>
            </w:pPr>
          </w:p>
        </w:tc>
        <w:tc>
          <w:tcPr>
            <w:tcW w:w="2908" w:type="dxa"/>
            <w:shd w:val="clear" w:color="auto" w:fill="auto"/>
            <w:hideMark/>
          </w:tcPr>
          <w:p w14:paraId="75E23013" w14:textId="28E87B52" w:rsidR="0029763D" w:rsidRPr="00802AF9" w:rsidRDefault="00895D1B" w:rsidP="003F073E">
            <w:pPr>
              <w:jc w:val="left"/>
              <w:rPr>
                <w:color w:val="000000"/>
                <w:sz w:val="20"/>
                <w:szCs w:val="20"/>
                <w:lang w:val="fr-CA" w:eastAsia="en-CA"/>
              </w:rPr>
            </w:pPr>
            <w:r w:rsidRPr="00895D1B">
              <w:rPr>
                <w:color w:val="000000"/>
                <w:sz w:val="20"/>
                <w:szCs w:val="20"/>
                <w:lang w:val="fr-CA" w:eastAsia="en-CA"/>
              </w:rPr>
              <w:t xml:space="preserve">Classe </w:t>
            </w:r>
            <w:r>
              <w:rPr>
                <w:color w:val="000000"/>
                <w:sz w:val="20"/>
                <w:szCs w:val="20"/>
                <w:lang w:val="fr-CA" w:eastAsia="en-CA"/>
              </w:rPr>
              <w:t>3</w:t>
            </w:r>
            <w:r w:rsidRPr="00895D1B">
              <w:rPr>
                <w:color w:val="000000"/>
                <w:sz w:val="20"/>
                <w:szCs w:val="20"/>
                <w:lang w:val="fr-CA" w:eastAsia="en-CA"/>
              </w:rPr>
              <w:t xml:space="preserve"> d’efficacité énergétique</w:t>
            </w:r>
          </w:p>
        </w:tc>
        <w:tc>
          <w:tcPr>
            <w:tcW w:w="1417" w:type="dxa"/>
            <w:shd w:val="clear" w:color="auto" w:fill="auto"/>
            <w:tcMar>
              <w:right w:w="173" w:type="dxa"/>
            </w:tcMar>
            <w:hideMark/>
          </w:tcPr>
          <w:p w14:paraId="015B49A2"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50</w:t>
            </w:r>
          </w:p>
        </w:tc>
        <w:tc>
          <w:tcPr>
            <w:tcW w:w="1418" w:type="dxa"/>
            <w:shd w:val="clear" w:color="auto" w:fill="auto"/>
            <w:noWrap/>
            <w:tcMar>
              <w:right w:w="173" w:type="dxa"/>
            </w:tcMar>
            <w:hideMark/>
          </w:tcPr>
          <w:p w14:paraId="262481BA"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38</w:t>
            </w:r>
          </w:p>
        </w:tc>
        <w:tc>
          <w:tcPr>
            <w:tcW w:w="1383" w:type="dxa"/>
            <w:shd w:val="clear" w:color="auto" w:fill="auto"/>
            <w:tcMar>
              <w:right w:w="173" w:type="dxa"/>
            </w:tcMar>
            <w:hideMark/>
          </w:tcPr>
          <w:p w14:paraId="6191870C"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25</w:t>
            </w:r>
          </w:p>
        </w:tc>
        <w:tc>
          <w:tcPr>
            <w:tcW w:w="1546" w:type="dxa"/>
            <w:shd w:val="clear" w:color="auto" w:fill="auto"/>
            <w:noWrap/>
            <w:tcMar>
              <w:right w:w="173" w:type="dxa"/>
            </w:tcMar>
            <w:hideMark/>
          </w:tcPr>
          <w:p w14:paraId="26F6D1D5"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18.75</w:t>
            </w:r>
          </w:p>
        </w:tc>
      </w:tr>
      <w:tr w:rsidR="0029763D" w:rsidRPr="00802AF9" w14:paraId="20107FAE" w14:textId="77777777" w:rsidTr="002B3100">
        <w:trPr>
          <w:trHeight w:val="107"/>
        </w:trPr>
        <w:tc>
          <w:tcPr>
            <w:tcW w:w="3681" w:type="dxa"/>
            <w:gridSpan w:val="2"/>
            <w:shd w:val="clear" w:color="auto" w:fill="auto"/>
            <w:hideMark/>
          </w:tcPr>
          <w:p w14:paraId="5B2FE83C" w14:textId="5C04607D" w:rsidR="0029763D" w:rsidRPr="00802AF9" w:rsidRDefault="002B3100" w:rsidP="003F073E">
            <w:pPr>
              <w:jc w:val="left"/>
              <w:rPr>
                <w:color w:val="000000"/>
                <w:sz w:val="20"/>
                <w:szCs w:val="20"/>
                <w:lang w:val="fr-CA" w:eastAsia="en-CA"/>
              </w:rPr>
            </w:pPr>
            <w:r w:rsidRPr="002B3100">
              <w:rPr>
                <w:color w:val="000000"/>
                <w:sz w:val="20"/>
                <w:szCs w:val="20"/>
                <w:lang w:val="fr-CA" w:eastAsia="en-CA"/>
              </w:rPr>
              <w:t>Exportées à des pays visés à l’Article 5</w:t>
            </w:r>
          </w:p>
        </w:tc>
        <w:tc>
          <w:tcPr>
            <w:tcW w:w="1417" w:type="dxa"/>
            <w:shd w:val="clear" w:color="auto" w:fill="auto"/>
            <w:tcMar>
              <w:right w:w="173" w:type="dxa"/>
            </w:tcMar>
            <w:hideMark/>
          </w:tcPr>
          <w:p w14:paraId="57ED2ED8"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90</w:t>
            </w:r>
          </w:p>
        </w:tc>
        <w:tc>
          <w:tcPr>
            <w:tcW w:w="1418" w:type="dxa"/>
            <w:shd w:val="clear" w:color="auto" w:fill="auto"/>
            <w:noWrap/>
            <w:tcMar>
              <w:right w:w="173" w:type="dxa"/>
            </w:tcMar>
            <w:hideMark/>
          </w:tcPr>
          <w:p w14:paraId="412B07A2"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75</w:t>
            </w:r>
          </w:p>
        </w:tc>
        <w:tc>
          <w:tcPr>
            <w:tcW w:w="1383" w:type="dxa"/>
            <w:shd w:val="clear" w:color="auto" w:fill="auto"/>
            <w:tcMar>
              <w:right w:w="173" w:type="dxa"/>
            </w:tcMar>
            <w:hideMark/>
          </w:tcPr>
          <w:p w14:paraId="2AD0B2A9"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45</w:t>
            </w:r>
          </w:p>
        </w:tc>
        <w:tc>
          <w:tcPr>
            <w:tcW w:w="1546" w:type="dxa"/>
            <w:shd w:val="clear" w:color="auto" w:fill="auto"/>
            <w:noWrap/>
            <w:tcMar>
              <w:right w:w="173" w:type="dxa"/>
            </w:tcMar>
            <w:hideMark/>
          </w:tcPr>
          <w:p w14:paraId="2362CAF3"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37.50</w:t>
            </w:r>
          </w:p>
        </w:tc>
      </w:tr>
      <w:tr w:rsidR="0029763D" w:rsidRPr="00802AF9" w14:paraId="656C91F0" w14:textId="77777777" w:rsidTr="002B3100">
        <w:trPr>
          <w:trHeight w:val="170"/>
        </w:trPr>
        <w:tc>
          <w:tcPr>
            <w:tcW w:w="3681" w:type="dxa"/>
            <w:gridSpan w:val="2"/>
            <w:shd w:val="clear" w:color="auto" w:fill="auto"/>
            <w:hideMark/>
          </w:tcPr>
          <w:p w14:paraId="33FF00EA" w14:textId="5C14E06E" w:rsidR="0029763D" w:rsidRPr="00802AF9" w:rsidRDefault="002B3100" w:rsidP="003F073E">
            <w:pPr>
              <w:jc w:val="left"/>
              <w:rPr>
                <w:color w:val="000000"/>
                <w:sz w:val="20"/>
                <w:szCs w:val="20"/>
                <w:lang w:val="fr-CA" w:eastAsia="en-CA"/>
              </w:rPr>
            </w:pPr>
            <w:r w:rsidRPr="002B3100">
              <w:rPr>
                <w:color w:val="000000"/>
                <w:sz w:val="20"/>
                <w:szCs w:val="20"/>
                <w:lang w:val="fr-CA" w:eastAsia="en-CA"/>
              </w:rPr>
              <w:t>Exportées à des pays non visés à l’Article 5</w:t>
            </w:r>
          </w:p>
        </w:tc>
        <w:tc>
          <w:tcPr>
            <w:tcW w:w="1417" w:type="dxa"/>
            <w:shd w:val="clear" w:color="auto" w:fill="auto"/>
            <w:tcMar>
              <w:right w:w="173" w:type="dxa"/>
            </w:tcMar>
            <w:hideMark/>
          </w:tcPr>
          <w:p w14:paraId="58D2EE84"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0</w:t>
            </w:r>
          </w:p>
        </w:tc>
        <w:tc>
          <w:tcPr>
            <w:tcW w:w="1418" w:type="dxa"/>
            <w:shd w:val="clear" w:color="auto" w:fill="auto"/>
            <w:noWrap/>
            <w:tcMar>
              <w:right w:w="173" w:type="dxa"/>
            </w:tcMar>
            <w:hideMark/>
          </w:tcPr>
          <w:p w14:paraId="2F15322B"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0</w:t>
            </w:r>
          </w:p>
        </w:tc>
        <w:tc>
          <w:tcPr>
            <w:tcW w:w="1383" w:type="dxa"/>
            <w:shd w:val="clear" w:color="auto" w:fill="auto"/>
            <w:tcMar>
              <w:right w:w="173" w:type="dxa"/>
            </w:tcMar>
            <w:hideMark/>
          </w:tcPr>
          <w:p w14:paraId="5B326AE5"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0</w:t>
            </w:r>
          </w:p>
        </w:tc>
        <w:tc>
          <w:tcPr>
            <w:tcW w:w="1546" w:type="dxa"/>
            <w:shd w:val="clear" w:color="auto" w:fill="auto"/>
            <w:noWrap/>
            <w:tcMar>
              <w:right w:w="173" w:type="dxa"/>
            </w:tcMar>
            <w:hideMark/>
          </w:tcPr>
          <w:p w14:paraId="383BB3C6" w14:textId="77777777" w:rsidR="0029763D" w:rsidRPr="00802AF9" w:rsidRDefault="0029763D" w:rsidP="003F073E">
            <w:pPr>
              <w:jc w:val="right"/>
              <w:rPr>
                <w:color w:val="000000"/>
                <w:sz w:val="20"/>
                <w:szCs w:val="20"/>
                <w:lang w:val="fr-CA" w:eastAsia="en-CA"/>
              </w:rPr>
            </w:pPr>
            <w:r w:rsidRPr="00802AF9">
              <w:rPr>
                <w:color w:val="000000"/>
                <w:sz w:val="20"/>
                <w:szCs w:val="20"/>
                <w:lang w:val="fr-CA" w:eastAsia="en-CA"/>
              </w:rPr>
              <w:t>0.00</w:t>
            </w:r>
          </w:p>
        </w:tc>
      </w:tr>
    </w:tbl>
    <w:p w14:paraId="11278A51" w14:textId="77777777" w:rsidR="0029763D" w:rsidRPr="00802AF9" w:rsidRDefault="0029763D" w:rsidP="0029763D">
      <w:pPr>
        <w:rPr>
          <w:lang w:val="fr-CA"/>
        </w:rPr>
      </w:pPr>
    </w:p>
    <w:p w14:paraId="34F20F02" w14:textId="69225829" w:rsidR="0029763D" w:rsidRPr="00802AF9" w:rsidRDefault="002B3100" w:rsidP="0029763D">
      <w:pPr>
        <w:pStyle w:val="Heading1"/>
        <w:rPr>
          <w:lang w:val="fr-CA"/>
        </w:rPr>
      </w:pPr>
      <w:r>
        <w:rPr>
          <w:lang w:val="fr-CA"/>
        </w:rPr>
        <w:t>Le programme d’incitation de l’</w:t>
      </w:r>
      <w:r w:rsidR="0029763D" w:rsidRPr="00802AF9">
        <w:rPr>
          <w:lang w:val="fr-CA"/>
        </w:rPr>
        <w:t xml:space="preserve">IOC </w:t>
      </w:r>
      <w:r>
        <w:rPr>
          <w:lang w:val="fr-CA"/>
        </w:rPr>
        <w:t>continuera de suivre le principe du « premier arrivé, premier servi »</w:t>
      </w:r>
      <w:r w:rsidR="0029763D" w:rsidRPr="00802AF9">
        <w:rPr>
          <w:lang w:val="fr-CA"/>
        </w:rPr>
        <w:t xml:space="preserve">; </w:t>
      </w:r>
      <w:r>
        <w:rPr>
          <w:lang w:val="fr-CA"/>
        </w:rPr>
        <w:t xml:space="preserve">il ne limitera pas le montant </w:t>
      </w:r>
      <w:r w:rsidR="0029763D" w:rsidRPr="00802AF9">
        <w:rPr>
          <w:lang w:val="fr-CA"/>
        </w:rPr>
        <w:t xml:space="preserve">IOC </w:t>
      </w:r>
      <w:r>
        <w:rPr>
          <w:lang w:val="fr-CA"/>
        </w:rPr>
        <w:t>offert aux fabricants individuels</w:t>
      </w:r>
      <w:r w:rsidR="0029763D" w:rsidRPr="00802AF9">
        <w:rPr>
          <w:lang w:val="fr-CA"/>
        </w:rPr>
        <w:t>;</w:t>
      </w:r>
      <w:r>
        <w:rPr>
          <w:lang w:val="fr-CA"/>
        </w:rPr>
        <w:t xml:space="preserve"> et il continuera d’être offert uniquement aux climatiseurs bi-bloc à base de </w:t>
      </w:r>
      <w:r w:rsidR="0029763D" w:rsidRPr="00802AF9">
        <w:rPr>
          <w:lang w:val="fr-CA"/>
        </w:rPr>
        <w:t xml:space="preserve">R-290 </w:t>
      </w:r>
      <w:r>
        <w:rPr>
          <w:lang w:val="fr-CA"/>
        </w:rPr>
        <w:t xml:space="preserve">vendus en </w:t>
      </w:r>
      <w:r w:rsidR="00494A38" w:rsidRPr="00802AF9">
        <w:rPr>
          <w:lang w:val="fr-CA"/>
        </w:rPr>
        <w:t>Chine</w:t>
      </w:r>
      <w:r w:rsidR="0029763D" w:rsidRPr="00802AF9">
        <w:rPr>
          <w:lang w:val="fr-CA"/>
        </w:rPr>
        <w:t xml:space="preserve"> </w:t>
      </w:r>
      <w:r>
        <w:rPr>
          <w:lang w:val="fr-CA"/>
        </w:rPr>
        <w:t>et à d’autres pays visés à l’</w:t>
      </w:r>
      <w:r w:rsidR="0029763D" w:rsidRPr="00802AF9">
        <w:rPr>
          <w:lang w:val="fr-CA"/>
        </w:rPr>
        <w:t xml:space="preserve">Article 5. </w:t>
      </w:r>
      <w:r>
        <w:rPr>
          <w:lang w:val="fr-CA"/>
        </w:rPr>
        <w:lastRenderedPageBreak/>
        <w:t xml:space="preserve">Les </w:t>
      </w:r>
      <w:r w:rsidR="0029763D" w:rsidRPr="00802AF9">
        <w:rPr>
          <w:lang w:val="fr-CA"/>
        </w:rPr>
        <w:t>IOC</w:t>
      </w:r>
      <w:r>
        <w:rPr>
          <w:lang w:val="fr-CA"/>
        </w:rPr>
        <w:t xml:space="preserve"> ne seront versés pour la vente de climatiseurs scellés en usine, tels que les climatiseurs portatifs, les climatiseurs de fenêtre et les déshumidificateurs, qui sont déjà bien établis sur le marché</w:t>
      </w:r>
      <w:r w:rsidR="0029763D" w:rsidRPr="00802AF9">
        <w:rPr>
          <w:lang w:val="fr-CA"/>
        </w:rPr>
        <w:t xml:space="preserve">. </w:t>
      </w:r>
      <w:r>
        <w:rPr>
          <w:lang w:val="fr-CA"/>
        </w:rPr>
        <w:t>L</w:t>
      </w:r>
      <w:r w:rsidR="0029763D" w:rsidRPr="00802AF9">
        <w:rPr>
          <w:lang w:val="fr-CA"/>
        </w:rPr>
        <w:t xml:space="preserve">e </w:t>
      </w:r>
      <w:r w:rsidR="0014063A" w:rsidRPr="00802AF9">
        <w:rPr>
          <w:lang w:val="fr-CA"/>
        </w:rPr>
        <w:t>Secrétariat</w:t>
      </w:r>
      <w:r w:rsidR="0029763D" w:rsidRPr="00802AF9">
        <w:rPr>
          <w:lang w:val="fr-CA"/>
        </w:rPr>
        <w:t xml:space="preserve"> </w:t>
      </w:r>
      <w:r>
        <w:rPr>
          <w:lang w:val="fr-CA"/>
        </w:rPr>
        <w:t xml:space="preserve">a </w:t>
      </w:r>
      <w:r w:rsidR="0029763D" w:rsidRPr="00802AF9">
        <w:rPr>
          <w:lang w:val="fr-CA"/>
        </w:rPr>
        <w:t>not</w:t>
      </w:r>
      <w:r>
        <w:rPr>
          <w:lang w:val="fr-CA"/>
        </w:rPr>
        <w:t xml:space="preserve">é que les </w:t>
      </w:r>
      <w:r w:rsidR="0029763D" w:rsidRPr="00802AF9">
        <w:rPr>
          <w:lang w:val="fr-CA"/>
        </w:rPr>
        <w:t xml:space="preserve">IOC </w:t>
      </w:r>
      <w:r>
        <w:rPr>
          <w:lang w:val="fr-CA"/>
        </w:rPr>
        <w:t xml:space="preserve">ne seront offerts que durant la </w:t>
      </w:r>
      <w:r w:rsidR="0014063A" w:rsidRPr="00802AF9">
        <w:rPr>
          <w:lang w:val="fr-CA"/>
        </w:rPr>
        <w:t>phase</w:t>
      </w:r>
      <w:r w:rsidR="0029763D" w:rsidRPr="00802AF9">
        <w:rPr>
          <w:lang w:val="fr-CA"/>
        </w:rPr>
        <w:t xml:space="preserve"> I </w:t>
      </w:r>
      <w:r>
        <w:rPr>
          <w:lang w:val="fr-CA"/>
        </w:rPr>
        <w:t xml:space="preserve">pour les climatiseurs </w:t>
      </w:r>
      <w:r w:rsidR="000852F2">
        <w:rPr>
          <w:lang w:val="fr-CA"/>
        </w:rPr>
        <w:t xml:space="preserve">R&amp;C à base de </w:t>
      </w:r>
      <w:r w:rsidR="0029763D" w:rsidRPr="00802AF9">
        <w:rPr>
          <w:lang w:val="fr-CA"/>
        </w:rPr>
        <w:t>R</w:t>
      </w:r>
      <w:r w:rsidR="0029763D" w:rsidRPr="00802AF9">
        <w:rPr>
          <w:lang w:val="fr-CA"/>
        </w:rPr>
        <w:noBreakHyphen/>
        <w:t>290</w:t>
      </w:r>
      <w:r w:rsidR="000852F2">
        <w:rPr>
          <w:lang w:val="fr-CA"/>
        </w:rPr>
        <w:t xml:space="preserve"> vendus avant l’achèvement de la </w:t>
      </w:r>
      <w:r w:rsidR="0014063A" w:rsidRPr="00802AF9">
        <w:rPr>
          <w:lang w:val="fr-CA"/>
        </w:rPr>
        <w:t>phase</w:t>
      </w:r>
      <w:r w:rsidR="0029763D" w:rsidRPr="00802AF9">
        <w:rPr>
          <w:lang w:val="fr-CA"/>
        </w:rPr>
        <w:t> I (</w:t>
      </w:r>
      <w:r w:rsidR="000852F2">
        <w:rPr>
          <w:lang w:val="fr-CA"/>
        </w:rPr>
        <w:t>ce qui veut dire que les colonnes de droite d’appliqueraient du 1</w:t>
      </w:r>
      <w:r w:rsidR="000852F2" w:rsidRPr="000852F2">
        <w:rPr>
          <w:vertAlign w:val="superscript"/>
          <w:lang w:val="fr-CA"/>
        </w:rPr>
        <w:t>er</w:t>
      </w:r>
      <w:r w:rsidR="000852F2">
        <w:rPr>
          <w:lang w:val="fr-CA"/>
        </w:rPr>
        <w:t> s</w:t>
      </w:r>
      <w:r w:rsidR="00825570" w:rsidRPr="00802AF9">
        <w:rPr>
          <w:lang w:val="fr-CA"/>
        </w:rPr>
        <w:t>eptembre</w:t>
      </w:r>
      <w:r w:rsidR="0029763D" w:rsidRPr="00802AF9">
        <w:rPr>
          <w:lang w:val="fr-CA"/>
        </w:rPr>
        <w:t xml:space="preserve"> 2021 </w:t>
      </w:r>
      <w:r w:rsidR="000852F2">
        <w:rPr>
          <w:lang w:val="fr-CA"/>
        </w:rPr>
        <w:t xml:space="preserve">au </w:t>
      </w:r>
      <w:r w:rsidR="0029763D" w:rsidRPr="00802AF9">
        <w:rPr>
          <w:lang w:val="fr-CA"/>
        </w:rPr>
        <w:t>31 </w:t>
      </w:r>
      <w:r w:rsidR="000852F2">
        <w:rPr>
          <w:lang w:val="fr-CA"/>
        </w:rPr>
        <w:t>d</w:t>
      </w:r>
      <w:r w:rsidR="00825570" w:rsidRPr="00802AF9">
        <w:rPr>
          <w:lang w:val="fr-CA"/>
        </w:rPr>
        <w:t>écembre</w:t>
      </w:r>
      <w:r w:rsidR="0029763D" w:rsidRPr="00802AF9">
        <w:rPr>
          <w:lang w:val="fr-CA"/>
        </w:rPr>
        <w:t xml:space="preserve"> 2021). </w:t>
      </w:r>
    </w:p>
    <w:p w14:paraId="45368170" w14:textId="65109ACA" w:rsidR="0029763D" w:rsidRPr="00802AF9" w:rsidRDefault="00DC713F" w:rsidP="0029763D">
      <w:pPr>
        <w:pStyle w:val="Heading1"/>
        <w:rPr>
          <w:lang w:val="fr-CA"/>
        </w:rPr>
      </w:pPr>
      <w:r>
        <w:rPr>
          <w:lang w:val="fr-CA"/>
        </w:rPr>
        <w:t xml:space="preserve">Conformément à la </w:t>
      </w:r>
      <w:r w:rsidR="00494A38" w:rsidRPr="00802AF9">
        <w:rPr>
          <w:lang w:val="fr-CA"/>
        </w:rPr>
        <w:t>décision</w:t>
      </w:r>
      <w:r w:rsidR="0029763D" w:rsidRPr="00802AF9">
        <w:rPr>
          <w:lang w:val="fr-CA"/>
        </w:rPr>
        <w:t xml:space="preserve"> 84/68(d)(ii), </w:t>
      </w:r>
      <w:r>
        <w:rPr>
          <w:lang w:val="fr-CA"/>
        </w:rPr>
        <w:t>l’</w:t>
      </w:r>
      <w:r w:rsidR="0014063A" w:rsidRPr="00802AF9">
        <w:rPr>
          <w:lang w:val="fr-CA"/>
        </w:rPr>
        <w:t>ONUDI</w:t>
      </w:r>
      <w:r w:rsidR="0029763D" w:rsidRPr="00802AF9">
        <w:rPr>
          <w:lang w:val="fr-CA"/>
        </w:rPr>
        <w:t xml:space="preserve"> </w:t>
      </w:r>
      <w:r>
        <w:rPr>
          <w:lang w:val="fr-CA"/>
        </w:rPr>
        <w:t xml:space="preserve">a donné des </w:t>
      </w:r>
      <w:r w:rsidR="0029763D" w:rsidRPr="00802AF9">
        <w:rPr>
          <w:lang w:val="fr-CA"/>
        </w:rPr>
        <w:t>information</w:t>
      </w:r>
      <w:r w:rsidR="00DB75C7">
        <w:rPr>
          <w:lang w:val="fr-CA"/>
        </w:rPr>
        <w:t>s</w:t>
      </w:r>
      <w:r w:rsidR="0029763D" w:rsidRPr="00802AF9">
        <w:rPr>
          <w:lang w:val="fr-CA"/>
        </w:rPr>
        <w:t xml:space="preserve"> </w:t>
      </w:r>
      <w:r w:rsidR="00DB75C7">
        <w:rPr>
          <w:lang w:val="fr-CA"/>
        </w:rPr>
        <w:t>sur l’effet du programme d’incitation de l’</w:t>
      </w:r>
      <w:r w:rsidR="0029763D" w:rsidRPr="00802AF9">
        <w:rPr>
          <w:lang w:val="fr-CA"/>
        </w:rPr>
        <w:t xml:space="preserve">IOC </w:t>
      </w:r>
      <w:r w:rsidR="00DB75C7">
        <w:rPr>
          <w:lang w:val="fr-CA"/>
        </w:rPr>
        <w:t xml:space="preserve">sur l’adoption de climatiseurs bi-bloc à base de </w:t>
      </w:r>
      <w:r w:rsidR="0029763D" w:rsidRPr="00802AF9">
        <w:rPr>
          <w:lang w:val="fr-CA"/>
        </w:rPr>
        <w:t xml:space="preserve">R-290 </w:t>
      </w:r>
      <w:r w:rsidR="00DB75C7">
        <w:rPr>
          <w:lang w:val="fr-CA"/>
        </w:rPr>
        <w:t>sur le marché</w:t>
      </w:r>
      <w:r w:rsidR="0029763D" w:rsidRPr="00802AF9">
        <w:rPr>
          <w:lang w:val="fr-CA"/>
        </w:rPr>
        <w:t xml:space="preserve">. </w:t>
      </w:r>
      <w:r w:rsidR="00DB75C7">
        <w:rPr>
          <w:lang w:val="fr-CA"/>
        </w:rPr>
        <w:t xml:space="preserve">En date d’août 2019, les </w:t>
      </w:r>
      <w:r w:rsidR="0029763D" w:rsidRPr="00802AF9">
        <w:rPr>
          <w:lang w:val="fr-CA"/>
        </w:rPr>
        <w:t>183</w:t>
      </w:r>
      <w:r w:rsidR="00DB75C7">
        <w:rPr>
          <w:lang w:val="fr-CA"/>
        </w:rPr>
        <w:t> </w:t>
      </w:r>
      <w:r w:rsidR="0029763D" w:rsidRPr="00802AF9">
        <w:rPr>
          <w:lang w:val="fr-CA"/>
        </w:rPr>
        <w:t>970</w:t>
      </w:r>
      <w:r w:rsidR="00DB75C7">
        <w:rPr>
          <w:lang w:val="fr-CA"/>
        </w:rPr>
        <w:t> unités bi-bloc à base de</w:t>
      </w:r>
      <w:r w:rsidR="0029763D" w:rsidRPr="00802AF9">
        <w:rPr>
          <w:lang w:val="fr-CA"/>
        </w:rPr>
        <w:t> R</w:t>
      </w:r>
      <w:r w:rsidR="0029763D" w:rsidRPr="00802AF9">
        <w:rPr>
          <w:lang w:val="fr-CA"/>
        </w:rPr>
        <w:noBreakHyphen/>
        <w:t xml:space="preserve">290 </w:t>
      </w:r>
      <w:r w:rsidR="00DB75C7">
        <w:rPr>
          <w:lang w:val="fr-CA"/>
        </w:rPr>
        <w:t>ont toutes été vendues localement</w:t>
      </w:r>
      <w:r w:rsidR="0029763D" w:rsidRPr="00802AF9">
        <w:rPr>
          <w:lang w:val="fr-CA"/>
        </w:rPr>
        <w:t xml:space="preserve">; </w:t>
      </w:r>
      <w:r w:rsidR="00DB75C7">
        <w:rPr>
          <w:lang w:val="fr-CA"/>
        </w:rPr>
        <w:t>la plupart des unités vendues étaient des appareils à vitesse fixe</w:t>
      </w:r>
      <w:r w:rsidR="0029763D" w:rsidRPr="00802AF9">
        <w:rPr>
          <w:lang w:val="fr-CA"/>
        </w:rPr>
        <w:t xml:space="preserve">; </w:t>
      </w:r>
      <w:r w:rsidR="00DB75C7">
        <w:rPr>
          <w:lang w:val="fr-CA"/>
        </w:rPr>
        <w:t xml:space="preserve">et environ les deux tiers des unités vendues étaient de la classe 2 d’efficacité énergétique, comme l’indique le </w:t>
      </w:r>
      <w:r w:rsidR="0029763D" w:rsidRPr="00802AF9">
        <w:rPr>
          <w:lang w:val="fr-CA"/>
        </w:rPr>
        <w:t>Table</w:t>
      </w:r>
      <w:r w:rsidR="00DB75C7">
        <w:rPr>
          <w:lang w:val="fr-CA"/>
        </w:rPr>
        <w:t>au</w:t>
      </w:r>
      <w:r w:rsidR="0029763D" w:rsidRPr="00802AF9">
        <w:rPr>
          <w:lang w:val="fr-CA"/>
        </w:rPr>
        <w:t xml:space="preserve"> 6. </w:t>
      </w:r>
    </w:p>
    <w:p w14:paraId="57108AFD" w14:textId="0D197F83" w:rsidR="0029763D" w:rsidRPr="00802AF9" w:rsidRDefault="0029763D" w:rsidP="0029763D">
      <w:pPr>
        <w:rPr>
          <w:lang w:val="fr-CA"/>
        </w:rPr>
      </w:pPr>
      <w:r w:rsidRPr="00802AF9">
        <w:rPr>
          <w:b/>
          <w:lang w:val="fr-CA"/>
        </w:rPr>
        <w:t>Table</w:t>
      </w:r>
      <w:r w:rsidR="00DC713F">
        <w:rPr>
          <w:b/>
          <w:lang w:val="fr-CA"/>
        </w:rPr>
        <w:t>au</w:t>
      </w:r>
      <w:r w:rsidRPr="00802AF9">
        <w:rPr>
          <w:b/>
          <w:lang w:val="fr-CA"/>
        </w:rPr>
        <w:t> 6. P</w:t>
      </w:r>
      <w:r w:rsidR="00DC713F">
        <w:rPr>
          <w:b/>
          <w:lang w:val="fr-CA"/>
        </w:rPr>
        <w:t>ou</w:t>
      </w:r>
      <w:r w:rsidRPr="00802AF9">
        <w:rPr>
          <w:b/>
          <w:lang w:val="fr-CA"/>
        </w:rPr>
        <w:t xml:space="preserve">rcentage </w:t>
      </w:r>
      <w:r w:rsidR="00DC713F">
        <w:rPr>
          <w:b/>
          <w:lang w:val="fr-CA"/>
        </w:rPr>
        <w:t>de climatiseurs bi-bloc R&amp;C à base de</w:t>
      </w:r>
      <w:r w:rsidRPr="00802AF9">
        <w:rPr>
          <w:b/>
          <w:lang w:val="fr-CA"/>
        </w:rPr>
        <w:t xml:space="preserve"> R-290</w:t>
      </w:r>
      <w:r w:rsidR="00DC713F">
        <w:rPr>
          <w:b/>
          <w:lang w:val="fr-CA"/>
        </w:rPr>
        <w:t xml:space="preserve"> par</w:t>
      </w:r>
      <w:r w:rsidRPr="00802AF9">
        <w:rPr>
          <w:b/>
          <w:lang w:val="fr-CA"/>
        </w:rPr>
        <w:t xml:space="preserve"> </w:t>
      </w:r>
      <w:r w:rsidR="00DC713F">
        <w:rPr>
          <w:b/>
          <w:lang w:val="fr-CA"/>
        </w:rPr>
        <w:t xml:space="preserve">classe d’efficacité énergétique vendus jusqu’au </w:t>
      </w:r>
      <w:r w:rsidRPr="00802AF9">
        <w:rPr>
          <w:b/>
          <w:lang w:val="fr-CA"/>
        </w:rPr>
        <w:t xml:space="preserve">31 </w:t>
      </w:r>
      <w:r w:rsidR="00DC713F">
        <w:rPr>
          <w:b/>
          <w:lang w:val="fr-CA"/>
        </w:rPr>
        <w:t>a</w:t>
      </w:r>
      <w:r w:rsidR="00825570" w:rsidRPr="00802AF9">
        <w:rPr>
          <w:b/>
          <w:lang w:val="fr-CA"/>
        </w:rPr>
        <w:t>oût</w:t>
      </w:r>
      <w:r w:rsidRPr="00802AF9">
        <w:rPr>
          <w:b/>
          <w:lang w:val="fr-CA"/>
        </w:rPr>
        <w:t xml:space="preserve"> 2019</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704"/>
        <w:gridCol w:w="1704"/>
      </w:tblGrid>
      <w:tr w:rsidR="0029763D" w:rsidRPr="00802AF9" w14:paraId="56022042" w14:textId="77777777" w:rsidTr="003F073E">
        <w:trPr>
          <w:trHeight w:val="98"/>
        </w:trPr>
        <w:tc>
          <w:tcPr>
            <w:tcW w:w="2594" w:type="pct"/>
            <w:vMerge w:val="restart"/>
            <w:shd w:val="clear" w:color="auto" w:fill="auto"/>
            <w:noWrap/>
            <w:tcMar>
              <w:left w:w="115" w:type="dxa"/>
              <w:right w:w="173" w:type="dxa"/>
            </w:tcMar>
            <w:vAlign w:val="center"/>
            <w:hideMark/>
          </w:tcPr>
          <w:p w14:paraId="30B0FBEE" w14:textId="27106306" w:rsidR="0029763D" w:rsidRPr="00802AF9" w:rsidRDefault="00DC713F" w:rsidP="003F073E">
            <w:pPr>
              <w:jc w:val="left"/>
              <w:rPr>
                <w:b/>
                <w:bCs/>
                <w:color w:val="000000"/>
                <w:sz w:val="20"/>
                <w:szCs w:val="20"/>
                <w:lang w:val="fr-CA" w:eastAsia="en-CA"/>
              </w:rPr>
            </w:pPr>
            <w:r>
              <w:rPr>
                <w:b/>
                <w:bCs/>
                <w:color w:val="000000"/>
                <w:sz w:val="20"/>
                <w:szCs w:val="20"/>
                <w:lang w:val="fr-CA" w:eastAsia="en-CA"/>
              </w:rPr>
              <w:t>Climatiseurs bi-bloc</w:t>
            </w:r>
            <w:r w:rsidR="0029763D" w:rsidRPr="00802AF9">
              <w:rPr>
                <w:b/>
                <w:bCs/>
                <w:color w:val="000000"/>
                <w:sz w:val="20"/>
                <w:szCs w:val="20"/>
                <w:lang w:val="fr-CA" w:eastAsia="en-CA"/>
              </w:rPr>
              <w:t> </w:t>
            </w:r>
          </w:p>
        </w:tc>
        <w:tc>
          <w:tcPr>
            <w:tcW w:w="2406" w:type="pct"/>
            <w:gridSpan w:val="2"/>
            <w:shd w:val="clear" w:color="auto" w:fill="auto"/>
            <w:noWrap/>
            <w:tcMar>
              <w:left w:w="115" w:type="dxa"/>
              <w:right w:w="173" w:type="dxa"/>
            </w:tcMar>
            <w:vAlign w:val="center"/>
            <w:hideMark/>
          </w:tcPr>
          <w:p w14:paraId="10BDA225" w14:textId="3FF146B5" w:rsidR="0029763D" w:rsidRPr="00802AF9" w:rsidRDefault="0029763D" w:rsidP="003F073E">
            <w:pPr>
              <w:jc w:val="center"/>
              <w:rPr>
                <w:b/>
                <w:bCs/>
                <w:color w:val="000000"/>
                <w:sz w:val="20"/>
                <w:szCs w:val="20"/>
                <w:lang w:val="fr-CA" w:eastAsia="en-CA"/>
              </w:rPr>
            </w:pPr>
            <w:r w:rsidRPr="00802AF9">
              <w:rPr>
                <w:b/>
                <w:bCs/>
                <w:color w:val="000000"/>
                <w:sz w:val="20"/>
                <w:szCs w:val="20"/>
                <w:lang w:val="fr-CA" w:eastAsia="en-CA"/>
              </w:rPr>
              <w:t>Crit</w:t>
            </w:r>
            <w:r w:rsidR="00DC713F">
              <w:rPr>
                <w:b/>
                <w:bCs/>
                <w:color w:val="000000"/>
                <w:sz w:val="20"/>
                <w:szCs w:val="20"/>
                <w:lang w:val="fr-CA" w:eastAsia="en-CA"/>
              </w:rPr>
              <w:t>è</w:t>
            </w:r>
            <w:r w:rsidRPr="00802AF9">
              <w:rPr>
                <w:b/>
                <w:bCs/>
                <w:color w:val="000000"/>
                <w:sz w:val="20"/>
                <w:szCs w:val="20"/>
                <w:lang w:val="fr-CA" w:eastAsia="en-CA"/>
              </w:rPr>
              <w:t>r</w:t>
            </w:r>
            <w:r w:rsidR="00DC713F">
              <w:rPr>
                <w:b/>
                <w:bCs/>
                <w:color w:val="000000"/>
                <w:sz w:val="20"/>
                <w:szCs w:val="20"/>
                <w:lang w:val="fr-CA" w:eastAsia="en-CA"/>
              </w:rPr>
              <w:t>es</w:t>
            </w:r>
          </w:p>
        </w:tc>
      </w:tr>
      <w:tr w:rsidR="00DC713F" w:rsidRPr="00802AF9" w14:paraId="5483A5B7" w14:textId="77777777" w:rsidTr="003F073E">
        <w:trPr>
          <w:trHeight w:val="143"/>
        </w:trPr>
        <w:tc>
          <w:tcPr>
            <w:tcW w:w="2594" w:type="pct"/>
            <w:vMerge/>
            <w:tcMar>
              <w:left w:w="115" w:type="dxa"/>
              <w:right w:w="173" w:type="dxa"/>
            </w:tcMar>
            <w:vAlign w:val="center"/>
            <w:hideMark/>
          </w:tcPr>
          <w:p w14:paraId="2A9C745F" w14:textId="77777777" w:rsidR="0029763D" w:rsidRPr="00802AF9" w:rsidRDefault="0029763D" w:rsidP="003F073E">
            <w:pPr>
              <w:jc w:val="left"/>
              <w:rPr>
                <w:b/>
                <w:bCs/>
                <w:color w:val="000000"/>
                <w:sz w:val="20"/>
                <w:szCs w:val="20"/>
                <w:lang w:val="fr-CA" w:eastAsia="en-CA"/>
              </w:rPr>
            </w:pPr>
          </w:p>
        </w:tc>
        <w:tc>
          <w:tcPr>
            <w:tcW w:w="1203" w:type="pct"/>
            <w:shd w:val="clear" w:color="auto" w:fill="auto"/>
            <w:noWrap/>
            <w:tcMar>
              <w:left w:w="115" w:type="dxa"/>
              <w:right w:w="173" w:type="dxa"/>
            </w:tcMar>
            <w:vAlign w:val="center"/>
            <w:hideMark/>
          </w:tcPr>
          <w:p w14:paraId="4F2925AC" w14:textId="05AFF165" w:rsidR="0029763D" w:rsidRPr="00802AF9" w:rsidRDefault="00DC713F" w:rsidP="003F073E">
            <w:pPr>
              <w:jc w:val="center"/>
              <w:rPr>
                <w:b/>
                <w:bCs/>
                <w:color w:val="000000"/>
                <w:sz w:val="20"/>
                <w:szCs w:val="20"/>
                <w:lang w:val="fr-CA" w:eastAsia="en-CA"/>
              </w:rPr>
            </w:pPr>
            <w:r>
              <w:rPr>
                <w:b/>
                <w:bCs/>
                <w:color w:val="000000"/>
                <w:sz w:val="20"/>
                <w:szCs w:val="20"/>
                <w:lang w:val="fr-CA" w:eastAsia="en-CA"/>
              </w:rPr>
              <w:t>Convertisseur</w:t>
            </w:r>
            <w:r w:rsidR="0029763D" w:rsidRPr="00802AF9">
              <w:rPr>
                <w:b/>
                <w:bCs/>
                <w:color w:val="000000"/>
                <w:sz w:val="20"/>
                <w:szCs w:val="20"/>
                <w:lang w:val="fr-CA" w:eastAsia="en-CA"/>
              </w:rPr>
              <w:t xml:space="preserve"> </w:t>
            </w:r>
          </w:p>
        </w:tc>
        <w:tc>
          <w:tcPr>
            <w:tcW w:w="1203" w:type="pct"/>
            <w:shd w:val="clear" w:color="auto" w:fill="auto"/>
            <w:noWrap/>
            <w:tcMar>
              <w:left w:w="115" w:type="dxa"/>
              <w:right w:w="173" w:type="dxa"/>
            </w:tcMar>
            <w:vAlign w:val="center"/>
            <w:hideMark/>
          </w:tcPr>
          <w:p w14:paraId="7897040F" w14:textId="358C7ECE" w:rsidR="0029763D" w:rsidRPr="00802AF9" w:rsidRDefault="00DC713F" w:rsidP="003F073E">
            <w:pPr>
              <w:jc w:val="center"/>
              <w:rPr>
                <w:b/>
                <w:bCs/>
                <w:color w:val="000000"/>
                <w:sz w:val="20"/>
                <w:szCs w:val="20"/>
                <w:lang w:val="fr-CA" w:eastAsia="en-CA"/>
              </w:rPr>
            </w:pPr>
            <w:r>
              <w:rPr>
                <w:b/>
                <w:bCs/>
                <w:color w:val="000000"/>
                <w:sz w:val="20"/>
                <w:szCs w:val="20"/>
                <w:lang w:val="fr-CA" w:eastAsia="en-CA"/>
              </w:rPr>
              <w:t>Vitesse fixe</w:t>
            </w:r>
            <w:r w:rsidR="0029763D" w:rsidRPr="00802AF9">
              <w:rPr>
                <w:b/>
                <w:bCs/>
                <w:color w:val="000000"/>
                <w:sz w:val="20"/>
                <w:szCs w:val="20"/>
                <w:lang w:val="fr-CA" w:eastAsia="en-CA"/>
              </w:rPr>
              <w:t xml:space="preserve"> </w:t>
            </w:r>
          </w:p>
        </w:tc>
      </w:tr>
      <w:tr w:rsidR="00DC713F" w:rsidRPr="00802AF9" w14:paraId="3FF2009C" w14:textId="77777777" w:rsidTr="003F073E">
        <w:trPr>
          <w:trHeight w:val="152"/>
        </w:trPr>
        <w:tc>
          <w:tcPr>
            <w:tcW w:w="2594" w:type="pct"/>
            <w:shd w:val="clear" w:color="auto" w:fill="auto"/>
            <w:noWrap/>
            <w:tcMar>
              <w:left w:w="115" w:type="dxa"/>
              <w:right w:w="173" w:type="dxa"/>
            </w:tcMar>
            <w:vAlign w:val="center"/>
            <w:hideMark/>
          </w:tcPr>
          <w:p w14:paraId="59793778" w14:textId="056509E5" w:rsidR="0029763D" w:rsidRPr="00802AF9" w:rsidRDefault="00DC713F" w:rsidP="003F073E">
            <w:pPr>
              <w:jc w:val="left"/>
              <w:rPr>
                <w:b/>
                <w:bCs/>
                <w:color w:val="000000"/>
                <w:sz w:val="20"/>
                <w:szCs w:val="20"/>
                <w:lang w:val="fr-CA" w:eastAsia="en-CA"/>
              </w:rPr>
            </w:pPr>
            <w:r>
              <w:rPr>
                <w:b/>
                <w:bCs/>
                <w:color w:val="000000"/>
                <w:sz w:val="20"/>
                <w:szCs w:val="20"/>
                <w:lang w:val="fr-CA" w:eastAsia="en-CA"/>
              </w:rPr>
              <w:t>Ventes l</w:t>
            </w:r>
            <w:r w:rsidR="0029763D" w:rsidRPr="00802AF9">
              <w:rPr>
                <w:b/>
                <w:bCs/>
                <w:color w:val="000000"/>
                <w:sz w:val="20"/>
                <w:szCs w:val="20"/>
                <w:lang w:val="fr-CA" w:eastAsia="en-CA"/>
              </w:rPr>
              <w:t>ocales</w:t>
            </w:r>
          </w:p>
        </w:tc>
        <w:tc>
          <w:tcPr>
            <w:tcW w:w="1203" w:type="pct"/>
            <w:shd w:val="clear" w:color="auto" w:fill="auto"/>
            <w:noWrap/>
            <w:tcMar>
              <w:left w:w="115" w:type="dxa"/>
              <w:right w:w="173" w:type="dxa"/>
            </w:tcMar>
            <w:vAlign w:val="center"/>
            <w:hideMark/>
          </w:tcPr>
          <w:p w14:paraId="1A51D634"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 </w:t>
            </w:r>
          </w:p>
        </w:tc>
        <w:tc>
          <w:tcPr>
            <w:tcW w:w="1203" w:type="pct"/>
            <w:shd w:val="clear" w:color="auto" w:fill="auto"/>
            <w:noWrap/>
            <w:tcMar>
              <w:left w:w="115" w:type="dxa"/>
              <w:right w:w="173" w:type="dxa"/>
            </w:tcMar>
            <w:vAlign w:val="center"/>
            <w:hideMark/>
          </w:tcPr>
          <w:p w14:paraId="50935A0A" w14:textId="77777777" w:rsidR="0029763D" w:rsidRPr="00802AF9" w:rsidRDefault="0029763D" w:rsidP="003F073E">
            <w:pPr>
              <w:jc w:val="left"/>
              <w:rPr>
                <w:color w:val="000000"/>
                <w:sz w:val="20"/>
                <w:szCs w:val="20"/>
                <w:lang w:val="fr-CA" w:eastAsia="en-CA"/>
              </w:rPr>
            </w:pPr>
            <w:r w:rsidRPr="00802AF9">
              <w:rPr>
                <w:color w:val="000000"/>
                <w:sz w:val="20"/>
                <w:szCs w:val="20"/>
                <w:lang w:val="fr-CA" w:eastAsia="en-CA"/>
              </w:rPr>
              <w:t> </w:t>
            </w:r>
          </w:p>
        </w:tc>
      </w:tr>
      <w:tr w:rsidR="00DC713F" w:rsidRPr="00802AF9" w14:paraId="7A135EFA" w14:textId="77777777" w:rsidTr="003F073E">
        <w:trPr>
          <w:trHeight w:val="152"/>
        </w:trPr>
        <w:tc>
          <w:tcPr>
            <w:tcW w:w="2594" w:type="pct"/>
            <w:shd w:val="clear" w:color="auto" w:fill="auto"/>
            <w:noWrap/>
            <w:tcMar>
              <w:left w:w="115" w:type="dxa"/>
              <w:right w:w="173" w:type="dxa"/>
            </w:tcMar>
            <w:vAlign w:val="center"/>
            <w:hideMark/>
          </w:tcPr>
          <w:p w14:paraId="420E2562" w14:textId="654DC6B1" w:rsidR="0029763D" w:rsidRPr="00802AF9" w:rsidRDefault="00DC713F" w:rsidP="003F073E">
            <w:pPr>
              <w:jc w:val="left"/>
              <w:rPr>
                <w:color w:val="000000"/>
                <w:sz w:val="20"/>
                <w:szCs w:val="20"/>
                <w:lang w:val="fr-CA" w:eastAsia="en-CA"/>
              </w:rPr>
            </w:pPr>
            <w:r>
              <w:rPr>
                <w:color w:val="000000"/>
                <w:sz w:val="20"/>
                <w:szCs w:val="20"/>
                <w:lang w:val="fr-CA" w:eastAsia="en-CA"/>
              </w:rPr>
              <w:t>Class</w:t>
            </w:r>
            <w:r w:rsidR="0029763D" w:rsidRPr="00802AF9">
              <w:rPr>
                <w:color w:val="000000"/>
                <w:sz w:val="20"/>
                <w:szCs w:val="20"/>
                <w:lang w:val="fr-CA" w:eastAsia="en-CA"/>
              </w:rPr>
              <w:t xml:space="preserve">e 1 </w:t>
            </w:r>
            <w:r>
              <w:rPr>
                <w:color w:val="000000"/>
                <w:sz w:val="20"/>
                <w:szCs w:val="20"/>
                <w:lang w:val="fr-CA" w:eastAsia="en-CA"/>
              </w:rPr>
              <w:t>d’efficacité énergétique</w:t>
            </w:r>
          </w:p>
        </w:tc>
        <w:tc>
          <w:tcPr>
            <w:tcW w:w="1203" w:type="pct"/>
            <w:shd w:val="clear" w:color="auto" w:fill="auto"/>
            <w:noWrap/>
            <w:tcMar>
              <w:left w:w="115" w:type="dxa"/>
              <w:right w:w="173" w:type="dxa"/>
            </w:tcMar>
            <w:vAlign w:val="center"/>
            <w:hideMark/>
          </w:tcPr>
          <w:p w14:paraId="33BCE9BC"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0</w:t>
            </w:r>
          </w:p>
        </w:tc>
        <w:tc>
          <w:tcPr>
            <w:tcW w:w="1203" w:type="pct"/>
            <w:shd w:val="clear" w:color="auto" w:fill="auto"/>
            <w:noWrap/>
            <w:tcMar>
              <w:left w:w="115" w:type="dxa"/>
              <w:right w:w="173" w:type="dxa"/>
            </w:tcMar>
            <w:vAlign w:val="center"/>
            <w:hideMark/>
          </w:tcPr>
          <w:p w14:paraId="715F8F8F"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27</w:t>
            </w:r>
          </w:p>
        </w:tc>
      </w:tr>
      <w:tr w:rsidR="00DC713F" w:rsidRPr="00802AF9" w14:paraId="2B43F522" w14:textId="77777777" w:rsidTr="003F073E">
        <w:trPr>
          <w:trHeight w:val="116"/>
        </w:trPr>
        <w:tc>
          <w:tcPr>
            <w:tcW w:w="2594" w:type="pct"/>
            <w:shd w:val="clear" w:color="auto" w:fill="auto"/>
            <w:noWrap/>
            <w:tcMar>
              <w:left w:w="115" w:type="dxa"/>
              <w:right w:w="173" w:type="dxa"/>
            </w:tcMar>
            <w:vAlign w:val="center"/>
            <w:hideMark/>
          </w:tcPr>
          <w:p w14:paraId="542F8ABD" w14:textId="48C232E2" w:rsidR="0029763D" w:rsidRPr="00802AF9" w:rsidRDefault="00DC713F" w:rsidP="003F073E">
            <w:pPr>
              <w:jc w:val="left"/>
              <w:rPr>
                <w:color w:val="000000"/>
                <w:sz w:val="20"/>
                <w:szCs w:val="20"/>
                <w:lang w:val="fr-CA" w:eastAsia="en-CA"/>
              </w:rPr>
            </w:pPr>
            <w:r w:rsidRPr="00DC713F">
              <w:rPr>
                <w:color w:val="000000"/>
                <w:sz w:val="20"/>
                <w:szCs w:val="20"/>
                <w:lang w:val="fr-CA" w:eastAsia="en-CA"/>
              </w:rPr>
              <w:t xml:space="preserve">Classe </w:t>
            </w:r>
            <w:r>
              <w:rPr>
                <w:color w:val="000000"/>
                <w:sz w:val="20"/>
                <w:szCs w:val="20"/>
                <w:lang w:val="fr-CA" w:eastAsia="en-CA"/>
              </w:rPr>
              <w:t>2</w:t>
            </w:r>
            <w:r w:rsidRPr="00DC713F">
              <w:rPr>
                <w:color w:val="000000"/>
                <w:sz w:val="20"/>
                <w:szCs w:val="20"/>
                <w:lang w:val="fr-CA" w:eastAsia="en-CA"/>
              </w:rPr>
              <w:t xml:space="preserve"> d’efficacité énergétique</w:t>
            </w:r>
          </w:p>
        </w:tc>
        <w:tc>
          <w:tcPr>
            <w:tcW w:w="1203" w:type="pct"/>
            <w:shd w:val="clear" w:color="auto" w:fill="auto"/>
            <w:noWrap/>
            <w:tcMar>
              <w:left w:w="115" w:type="dxa"/>
              <w:right w:w="173" w:type="dxa"/>
            </w:tcMar>
            <w:vAlign w:val="center"/>
            <w:hideMark/>
          </w:tcPr>
          <w:p w14:paraId="3EEA607B"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6</w:t>
            </w:r>
          </w:p>
        </w:tc>
        <w:tc>
          <w:tcPr>
            <w:tcW w:w="1203" w:type="pct"/>
            <w:shd w:val="clear" w:color="auto" w:fill="auto"/>
            <w:noWrap/>
            <w:tcMar>
              <w:left w:w="115" w:type="dxa"/>
              <w:right w:w="173" w:type="dxa"/>
            </w:tcMar>
            <w:vAlign w:val="center"/>
            <w:hideMark/>
          </w:tcPr>
          <w:p w14:paraId="40843722"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65</w:t>
            </w:r>
          </w:p>
        </w:tc>
      </w:tr>
      <w:tr w:rsidR="00DC713F" w:rsidRPr="00802AF9" w14:paraId="5C70D7D0" w14:textId="77777777" w:rsidTr="003F073E">
        <w:trPr>
          <w:trHeight w:val="71"/>
        </w:trPr>
        <w:tc>
          <w:tcPr>
            <w:tcW w:w="2594" w:type="pct"/>
            <w:shd w:val="clear" w:color="auto" w:fill="auto"/>
            <w:noWrap/>
            <w:tcMar>
              <w:left w:w="115" w:type="dxa"/>
              <w:right w:w="173" w:type="dxa"/>
            </w:tcMar>
            <w:vAlign w:val="center"/>
            <w:hideMark/>
          </w:tcPr>
          <w:p w14:paraId="691FF4C3" w14:textId="00C9A0E8" w:rsidR="0029763D" w:rsidRPr="00802AF9" w:rsidRDefault="00DC713F" w:rsidP="003F073E">
            <w:pPr>
              <w:jc w:val="left"/>
              <w:rPr>
                <w:color w:val="000000"/>
                <w:sz w:val="20"/>
                <w:szCs w:val="20"/>
                <w:lang w:val="fr-CA" w:eastAsia="en-CA"/>
              </w:rPr>
            </w:pPr>
            <w:r w:rsidRPr="00DC713F">
              <w:rPr>
                <w:color w:val="000000"/>
                <w:sz w:val="20"/>
                <w:szCs w:val="20"/>
                <w:lang w:val="fr-CA" w:eastAsia="en-CA"/>
              </w:rPr>
              <w:t xml:space="preserve">Classe </w:t>
            </w:r>
            <w:r>
              <w:rPr>
                <w:color w:val="000000"/>
                <w:sz w:val="20"/>
                <w:szCs w:val="20"/>
                <w:lang w:val="fr-CA" w:eastAsia="en-CA"/>
              </w:rPr>
              <w:t>3</w:t>
            </w:r>
            <w:r w:rsidRPr="00DC713F">
              <w:rPr>
                <w:color w:val="000000"/>
                <w:sz w:val="20"/>
                <w:szCs w:val="20"/>
                <w:lang w:val="fr-CA" w:eastAsia="en-CA"/>
              </w:rPr>
              <w:t xml:space="preserve"> d’efficacité énergétique</w:t>
            </w:r>
          </w:p>
        </w:tc>
        <w:tc>
          <w:tcPr>
            <w:tcW w:w="1203" w:type="pct"/>
            <w:shd w:val="clear" w:color="auto" w:fill="auto"/>
            <w:noWrap/>
            <w:tcMar>
              <w:left w:w="115" w:type="dxa"/>
              <w:right w:w="173" w:type="dxa"/>
            </w:tcMar>
            <w:vAlign w:val="center"/>
            <w:hideMark/>
          </w:tcPr>
          <w:p w14:paraId="09FDCDC3"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0</w:t>
            </w:r>
          </w:p>
        </w:tc>
        <w:tc>
          <w:tcPr>
            <w:tcW w:w="1203" w:type="pct"/>
            <w:shd w:val="clear" w:color="auto" w:fill="auto"/>
            <w:noWrap/>
            <w:tcMar>
              <w:left w:w="115" w:type="dxa"/>
              <w:right w:w="173" w:type="dxa"/>
            </w:tcMar>
            <w:vAlign w:val="center"/>
            <w:hideMark/>
          </w:tcPr>
          <w:p w14:paraId="68CB5B0C"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2</w:t>
            </w:r>
          </w:p>
        </w:tc>
      </w:tr>
      <w:tr w:rsidR="00DC713F" w:rsidRPr="00802AF9" w14:paraId="6F674EAE" w14:textId="77777777" w:rsidTr="003F073E">
        <w:trPr>
          <w:trHeight w:val="46"/>
        </w:trPr>
        <w:tc>
          <w:tcPr>
            <w:tcW w:w="2594" w:type="pct"/>
            <w:shd w:val="clear" w:color="auto" w:fill="auto"/>
            <w:noWrap/>
            <w:tcMar>
              <w:left w:w="115" w:type="dxa"/>
              <w:right w:w="173" w:type="dxa"/>
            </w:tcMar>
            <w:vAlign w:val="center"/>
            <w:hideMark/>
          </w:tcPr>
          <w:p w14:paraId="70143B73" w14:textId="08BCA386" w:rsidR="0029763D" w:rsidRPr="00802AF9" w:rsidRDefault="0029763D" w:rsidP="003F073E">
            <w:pPr>
              <w:jc w:val="left"/>
              <w:rPr>
                <w:color w:val="000000"/>
                <w:sz w:val="20"/>
                <w:szCs w:val="20"/>
                <w:lang w:val="fr-CA" w:eastAsia="en-CA"/>
              </w:rPr>
            </w:pPr>
            <w:r w:rsidRPr="00802AF9">
              <w:rPr>
                <w:color w:val="000000"/>
                <w:sz w:val="20"/>
                <w:szCs w:val="20"/>
                <w:lang w:val="fr-CA" w:eastAsia="en-CA"/>
              </w:rPr>
              <w:t>Export</w:t>
            </w:r>
            <w:r w:rsidR="00DC713F">
              <w:rPr>
                <w:color w:val="000000"/>
                <w:sz w:val="20"/>
                <w:szCs w:val="20"/>
                <w:lang w:val="fr-CA" w:eastAsia="en-CA"/>
              </w:rPr>
              <w:t>ation vers des pays visés à l’A</w:t>
            </w:r>
            <w:r w:rsidRPr="00802AF9">
              <w:rPr>
                <w:color w:val="000000"/>
                <w:sz w:val="20"/>
                <w:szCs w:val="20"/>
                <w:lang w:val="fr-CA" w:eastAsia="en-CA"/>
              </w:rPr>
              <w:t xml:space="preserve">rticle 5 </w:t>
            </w:r>
            <w:r w:rsidR="00DC713F">
              <w:rPr>
                <w:color w:val="000000"/>
                <w:sz w:val="20"/>
                <w:szCs w:val="20"/>
                <w:lang w:val="fr-CA" w:eastAsia="en-CA"/>
              </w:rPr>
              <w:t>et vers des pays non vidés</w:t>
            </w:r>
          </w:p>
        </w:tc>
        <w:tc>
          <w:tcPr>
            <w:tcW w:w="1203" w:type="pct"/>
            <w:shd w:val="clear" w:color="auto" w:fill="auto"/>
            <w:noWrap/>
            <w:tcMar>
              <w:left w:w="115" w:type="dxa"/>
              <w:right w:w="173" w:type="dxa"/>
            </w:tcMar>
            <w:vAlign w:val="center"/>
            <w:hideMark/>
          </w:tcPr>
          <w:p w14:paraId="53399267"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0</w:t>
            </w:r>
          </w:p>
        </w:tc>
        <w:tc>
          <w:tcPr>
            <w:tcW w:w="1203" w:type="pct"/>
            <w:shd w:val="clear" w:color="auto" w:fill="auto"/>
            <w:noWrap/>
            <w:tcMar>
              <w:left w:w="115" w:type="dxa"/>
              <w:right w:w="173" w:type="dxa"/>
            </w:tcMar>
            <w:vAlign w:val="center"/>
            <w:hideMark/>
          </w:tcPr>
          <w:p w14:paraId="62B25B59" w14:textId="77777777" w:rsidR="0029763D" w:rsidRPr="00802AF9" w:rsidRDefault="0029763D" w:rsidP="003F073E">
            <w:pPr>
              <w:jc w:val="center"/>
              <w:rPr>
                <w:color w:val="000000"/>
                <w:sz w:val="20"/>
                <w:szCs w:val="20"/>
                <w:lang w:val="fr-CA" w:eastAsia="en-CA"/>
              </w:rPr>
            </w:pPr>
            <w:r w:rsidRPr="00802AF9">
              <w:rPr>
                <w:color w:val="000000"/>
                <w:sz w:val="20"/>
                <w:szCs w:val="20"/>
                <w:lang w:val="fr-CA" w:eastAsia="en-CA"/>
              </w:rPr>
              <w:t>0</w:t>
            </w:r>
          </w:p>
        </w:tc>
      </w:tr>
    </w:tbl>
    <w:p w14:paraId="694251E2" w14:textId="77777777" w:rsidR="0029763D" w:rsidRPr="00802AF9" w:rsidRDefault="0029763D" w:rsidP="0029763D">
      <w:pPr>
        <w:rPr>
          <w:lang w:val="fr-CA"/>
        </w:rPr>
      </w:pPr>
    </w:p>
    <w:p w14:paraId="304C41DD" w14:textId="77777777" w:rsidR="0029763D" w:rsidRPr="00802AF9" w:rsidRDefault="0029763D" w:rsidP="0029763D">
      <w:pPr>
        <w:rPr>
          <w:u w:val="single"/>
          <w:lang w:val="fr-CA"/>
        </w:rPr>
      </w:pPr>
      <w:r w:rsidRPr="00802AF9">
        <w:rPr>
          <w:u w:val="single"/>
          <w:lang w:val="fr-CA"/>
        </w:rPr>
        <w:t xml:space="preserve">Conclusion </w:t>
      </w:r>
    </w:p>
    <w:p w14:paraId="7887914D" w14:textId="77777777" w:rsidR="0029763D" w:rsidRPr="00802AF9" w:rsidRDefault="0029763D" w:rsidP="0029763D">
      <w:pPr>
        <w:rPr>
          <w:lang w:val="fr-CA"/>
        </w:rPr>
      </w:pPr>
    </w:p>
    <w:p w14:paraId="03DE24E5" w14:textId="70C7B24C" w:rsidR="0029763D" w:rsidRPr="00802AF9" w:rsidRDefault="00A77483" w:rsidP="0029763D">
      <w:pPr>
        <w:pStyle w:val="Heading1"/>
        <w:rPr>
          <w:lang w:val="fr-CA"/>
        </w:rPr>
      </w:pPr>
      <w:r>
        <w:rPr>
          <w:lang w:val="fr-CA"/>
        </w:rPr>
        <w:t>Toutes les activités de re</w:t>
      </w:r>
      <w:r w:rsidR="0029763D" w:rsidRPr="00802AF9">
        <w:rPr>
          <w:lang w:val="fr-CA"/>
        </w:rPr>
        <w:t xml:space="preserve">conversions </w:t>
      </w:r>
      <w:r>
        <w:rPr>
          <w:lang w:val="fr-CA"/>
        </w:rPr>
        <w:t>et d’</w:t>
      </w:r>
      <w:r w:rsidR="0029763D" w:rsidRPr="00802AF9">
        <w:rPr>
          <w:lang w:val="fr-CA"/>
        </w:rPr>
        <w:t xml:space="preserve">assistance </w:t>
      </w:r>
      <w:r>
        <w:rPr>
          <w:lang w:val="fr-CA"/>
        </w:rPr>
        <w:t xml:space="preserve">technique ont été achevées. Le taux de décaissement du </w:t>
      </w:r>
      <w:r w:rsidR="00C816AC">
        <w:rPr>
          <w:lang w:val="fr-CA"/>
        </w:rPr>
        <w:t>CCEE</w:t>
      </w:r>
      <w:r w:rsidR="0029763D" w:rsidRPr="00802AF9">
        <w:rPr>
          <w:lang w:val="fr-CA"/>
        </w:rPr>
        <w:t xml:space="preserve"> </w:t>
      </w:r>
      <w:r>
        <w:rPr>
          <w:lang w:val="fr-CA"/>
        </w:rPr>
        <w:t xml:space="preserve">aux bénéficiaires ultimes est de </w:t>
      </w:r>
      <w:r w:rsidR="0029763D" w:rsidRPr="00802AF9">
        <w:rPr>
          <w:lang w:val="fr-CA"/>
        </w:rPr>
        <w:t>81</w:t>
      </w:r>
      <w:r>
        <w:rPr>
          <w:lang w:val="fr-CA"/>
        </w:rPr>
        <w:t> </w:t>
      </w:r>
      <w:r w:rsidR="00BA5233">
        <w:rPr>
          <w:lang w:val="fr-CA"/>
        </w:rPr>
        <w:t>pour cent</w:t>
      </w:r>
      <w:r>
        <w:rPr>
          <w:lang w:val="fr-CA"/>
        </w:rPr>
        <w:t xml:space="preserve">, et la </w:t>
      </w:r>
      <w:r w:rsidR="00825570" w:rsidRPr="00802AF9">
        <w:rPr>
          <w:lang w:val="fr-CA"/>
        </w:rPr>
        <w:t>consommation</w:t>
      </w:r>
      <w:r w:rsidR="0029763D" w:rsidRPr="00802AF9">
        <w:rPr>
          <w:lang w:val="fr-CA"/>
        </w:rPr>
        <w:t xml:space="preserve"> </w:t>
      </w:r>
      <w:r>
        <w:rPr>
          <w:lang w:val="fr-CA"/>
        </w:rPr>
        <w:t>de</w:t>
      </w:r>
      <w:r w:rsidR="0029763D" w:rsidRPr="00802AF9">
        <w:rPr>
          <w:lang w:val="fr-CA"/>
        </w:rPr>
        <w:t xml:space="preserve"> HCFC-22 </w:t>
      </w:r>
      <w:r>
        <w:rPr>
          <w:lang w:val="fr-CA"/>
        </w:rPr>
        <w:t xml:space="preserve">dans le secteur reste inférieure aux niveaux visés dans l’Accord conclu avec le </w:t>
      </w:r>
      <w:r w:rsidR="0014063A" w:rsidRPr="00802AF9">
        <w:rPr>
          <w:lang w:val="fr-CA"/>
        </w:rPr>
        <w:t>Comité exécutif</w:t>
      </w:r>
      <w:r w:rsidR="0029763D" w:rsidRPr="00802AF9">
        <w:rPr>
          <w:lang w:val="fr-CA"/>
        </w:rPr>
        <w:t xml:space="preserve">. </w:t>
      </w:r>
      <w:r>
        <w:rPr>
          <w:lang w:val="fr-CA"/>
        </w:rPr>
        <w:t>Malgré les efforts déployés par le</w:t>
      </w:r>
      <w:r w:rsidR="00393030">
        <w:rPr>
          <w:lang w:val="fr-CA"/>
        </w:rPr>
        <w:t> Gouvernement de la Chine</w:t>
      </w:r>
      <w:r w:rsidR="0029763D" w:rsidRPr="00802AF9">
        <w:rPr>
          <w:lang w:val="fr-CA"/>
        </w:rPr>
        <w:t xml:space="preserve">, </w:t>
      </w:r>
      <w:r>
        <w:rPr>
          <w:lang w:val="fr-CA"/>
        </w:rPr>
        <w:t xml:space="preserve">la </w:t>
      </w:r>
      <w:r w:rsidR="0029763D" w:rsidRPr="00802AF9">
        <w:rPr>
          <w:lang w:val="fr-CA"/>
        </w:rPr>
        <w:t xml:space="preserve">CHEAA, </w:t>
      </w:r>
      <w:r>
        <w:rPr>
          <w:lang w:val="fr-CA"/>
        </w:rPr>
        <w:t>l’</w:t>
      </w:r>
      <w:r w:rsidR="0029763D" w:rsidRPr="00802AF9">
        <w:rPr>
          <w:lang w:val="fr-CA"/>
        </w:rPr>
        <w:t>industr</w:t>
      </w:r>
      <w:r>
        <w:rPr>
          <w:lang w:val="fr-CA"/>
        </w:rPr>
        <w:t>ie et l’</w:t>
      </w:r>
      <w:r w:rsidR="0014063A" w:rsidRPr="00802AF9">
        <w:rPr>
          <w:lang w:val="fr-CA"/>
        </w:rPr>
        <w:t>ONUDI</w:t>
      </w:r>
      <w:r w:rsidR="0029763D" w:rsidRPr="00802AF9">
        <w:rPr>
          <w:lang w:val="fr-CA"/>
        </w:rPr>
        <w:t xml:space="preserve">, </w:t>
      </w:r>
      <w:r>
        <w:rPr>
          <w:lang w:val="fr-CA"/>
        </w:rPr>
        <w:t xml:space="preserve">la fabrication d’équipements R&amp;C à base de </w:t>
      </w:r>
      <w:r w:rsidR="0029763D" w:rsidRPr="00802AF9">
        <w:rPr>
          <w:lang w:val="fr-CA"/>
        </w:rPr>
        <w:t>R</w:t>
      </w:r>
      <w:r w:rsidR="0029763D" w:rsidRPr="00802AF9">
        <w:rPr>
          <w:lang w:val="fr-CA"/>
        </w:rPr>
        <w:noBreakHyphen/>
        <w:t>290</w:t>
      </w:r>
      <w:r>
        <w:rPr>
          <w:lang w:val="fr-CA"/>
        </w:rPr>
        <w:t xml:space="preserve"> sur des chaînes reconverties continue </w:t>
      </w:r>
      <w:r w:rsidR="0068497B">
        <w:rPr>
          <w:lang w:val="fr-CA"/>
        </w:rPr>
        <w:t>d’être très faible</w:t>
      </w:r>
      <w:r w:rsidR="0029763D" w:rsidRPr="00802AF9">
        <w:rPr>
          <w:lang w:val="fr-CA"/>
        </w:rPr>
        <w:t>,</w:t>
      </w:r>
      <w:r w:rsidR="0029763D" w:rsidRPr="0068497B">
        <w:rPr>
          <w:vertAlign w:val="superscript"/>
          <w:lang w:val="fr-CA"/>
        </w:rPr>
        <w:footnoteReference w:id="9"/>
      </w:r>
      <w:r w:rsidR="0029763D" w:rsidRPr="00802AF9">
        <w:rPr>
          <w:lang w:val="fr-CA"/>
        </w:rPr>
        <w:t xml:space="preserve"> </w:t>
      </w:r>
      <w:r w:rsidR="0068497B">
        <w:rPr>
          <w:lang w:val="fr-CA"/>
        </w:rPr>
        <w:t xml:space="preserve">illustrant le faible taux d’adoption de ces équipements sur les marchés </w:t>
      </w:r>
      <w:r w:rsidR="0068497B" w:rsidRPr="0068497B">
        <w:rPr>
          <w:lang w:val="fr-CA"/>
        </w:rPr>
        <w:t>loca</w:t>
      </w:r>
      <w:r w:rsidR="0068497B">
        <w:rPr>
          <w:lang w:val="fr-CA"/>
        </w:rPr>
        <w:t>ux</w:t>
      </w:r>
      <w:r w:rsidR="0068497B" w:rsidRPr="0068497B">
        <w:rPr>
          <w:lang w:val="fr-CA"/>
        </w:rPr>
        <w:t xml:space="preserve"> et mondia</w:t>
      </w:r>
      <w:r w:rsidR="0068497B">
        <w:rPr>
          <w:lang w:val="fr-CA"/>
        </w:rPr>
        <w:t>ux</w:t>
      </w:r>
      <w:r w:rsidR="0029763D" w:rsidRPr="00802AF9">
        <w:rPr>
          <w:lang w:val="fr-CA"/>
        </w:rPr>
        <w:t xml:space="preserve">; </w:t>
      </w:r>
      <w:r w:rsidR="0068497B">
        <w:rPr>
          <w:lang w:val="fr-CA"/>
        </w:rPr>
        <w:t>la pandémie de</w:t>
      </w:r>
      <w:r w:rsidR="0029763D" w:rsidRPr="00802AF9">
        <w:rPr>
          <w:lang w:val="fr-CA"/>
        </w:rPr>
        <w:t xml:space="preserve"> COVID</w:t>
      </w:r>
      <w:r w:rsidR="0029763D" w:rsidRPr="00802AF9">
        <w:rPr>
          <w:lang w:val="fr-CA"/>
        </w:rPr>
        <w:noBreakHyphen/>
        <w:t xml:space="preserve">19 </w:t>
      </w:r>
      <w:r w:rsidR="0068497B">
        <w:rPr>
          <w:lang w:val="fr-CA"/>
        </w:rPr>
        <w:t>a également limité le succès commercial de cette technologie</w:t>
      </w:r>
      <w:r w:rsidR="0029763D" w:rsidRPr="00802AF9">
        <w:rPr>
          <w:lang w:val="fr-CA"/>
        </w:rPr>
        <w:t xml:space="preserve">. </w:t>
      </w:r>
      <w:r w:rsidR="0068497B">
        <w:rPr>
          <w:lang w:val="fr-CA"/>
        </w:rPr>
        <w:t xml:space="preserve">En conséquence, le </w:t>
      </w:r>
      <w:r w:rsidR="0014063A" w:rsidRPr="00802AF9">
        <w:rPr>
          <w:lang w:val="fr-CA"/>
        </w:rPr>
        <w:t>Secrétariat</w:t>
      </w:r>
      <w:r w:rsidR="0029763D" w:rsidRPr="00802AF9">
        <w:rPr>
          <w:lang w:val="fr-CA"/>
        </w:rPr>
        <w:t xml:space="preserve"> </w:t>
      </w:r>
      <w:r w:rsidR="0068497B">
        <w:rPr>
          <w:lang w:val="fr-CA"/>
        </w:rPr>
        <w:t xml:space="preserve">appuie la prolongation de la </w:t>
      </w:r>
      <w:r w:rsidR="0014063A" w:rsidRPr="00802AF9">
        <w:rPr>
          <w:lang w:val="fr-CA"/>
        </w:rPr>
        <w:t>phase</w:t>
      </w:r>
      <w:r w:rsidR="0029763D" w:rsidRPr="00802AF9">
        <w:rPr>
          <w:lang w:val="fr-CA"/>
        </w:rPr>
        <w:t xml:space="preserve"> I </w:t>
      </w:r>
      <w:r w:rsidR="0068497B">
        <w:rPr>
          <w:lang w:val="fr-CA"/>
        </w:rPr>
        <w:t>jusqu’au</w:t>
      </w:r>
      <w:r w:rsidR="0029763D" w:rsidRPr="00802AF9">
        <w:rPr>
          <w:lang w:val="fr-CA"/>
        </w:rPr>
        <w:t xml:space="preserve"> 31 </w:t>
      </w:r>
      <w:r w:rsidR="0068497B">
        <w:rPr>
          <w:lang w:val="fr-CA"/>
        </w:rPr>
        <w:t>d</w:t>
      </w:r>
      <w:r w:rsidR="00825570" w:rsidRPr="00802AF9">
        <w:rPr>
          <w:lang w:val="fr-CA"/>
        </w:rPr>
        <w:t>écembre</w:t>
      </w:r>
      <w:r w:rsidR="0029763D" w:rsidRPr="00802AF9">
        <w:rPr>
          <w:lang w:val="fr-CA"/>
        </w:rPr>
        <w:t xml:space="preserve"> 2021 </w:t>
      </w:r>
      <w:r w:rsidR="0068497B">
        <w:rPr>
          <w:lang w:val="fr-CA"/>
        </w:rPr>
        <w:t xml:space="preserve">ainsi que le programme d’incitation révisé de l’IOAC proposé par le </w:t>
      </w:r>
      <w:r w:rsidR="00393030">
        <w:rPr>
          <w:lang w:val="fr-CA"/>
        </w:rPr>
        <w:t xml:space="preserve">Gouvernement </w:t>
      </w:r>
      <w:r w:rsidR="0068497B">
        <w:rPr>
          <w:lang w:val="fr-CA"/>
        </w:rPr>
        <w:t>chinois, tout en notant que des efforts soutenus supplémentaires seront requis</w:t>
      </w:r>
      <w:r w:rsidR="0029763D" w:rsidRPr="00802AF9">
        <w:rPr>
          <w:lang w:val="fr-CA"/>
        </w:rPr>
        <w:t>, inclu</w:t>
      </w:r>
      <w:r w:rsidR="0068497B">
        <w:rPr>
          <w:lang w:val="fr-CA"/>
        </w:rPr>
        <w:t xml:space="preserve">ant les travaux prévus durant la </w:t>
      </w:r>
      <w:r w:rsidR="0014063A" w:rsidRPr="00802AF9">
        <w:rPr>
          <w:lang w:val="fr-CA"/>
        </w:rPr>
        <w:t>phase</w:t>
      </w:r>
      <w:r w:rsidR="0029763D" w:rsidRPr="00802AF9">
        <w:rPr>
          <w:lang w:val="fr-CA"/>
        </w:rPr>
        <w:t xml:space="preserve"> II, </w:t>
      </w:r>
      <w:r w:rsidR="0068497B">
        <w:rPr>
          <w:lang w:val="fr-CA"/>
        </w:rPr>
        <w:t>pour assurer le succès de l’introduction de la technologie sur le marché</w:t>
      </w:r>
      <w:r w:rsidR="0029763D" w:rsidRPr="00802AF9">
        <w:rPr>
          <w:lang w:val="fr-CA"/>
        </w:rPr>
        <w:t xml:space="preserve">. </w:t>
      </w:r>
      <w:r w:rsidR="0068497B">
        <w:rPr>
          <w:lang w:val="fr-CA"/>
        </w:rPr>
        <w:t>L</w:t>
      </w:r>
      <w:r w:rsidR="0029763D" w:rsidRPr="00802AF9">
        <w:rPr>
          <w:lang w:val="fr-CA"/>
        </w:rPr>
        <w:t xml:space="preserve">e </w:t>
      </w:r>
      <w:r w:rsidR="0014063A" w:rsidRPr="00802AF9">
        <w:rPr>
          <w:lang w:val="fr-CA"/>
        </w:rPr>
        <w:t>Secrétariat</w:t>
      </w:r>
      <w:r w:rsidR="0029763D" w:rsidRPr="00802AF9">
        <w:rPr>
          <w:lang w:val="fr-CA"/>
        </w:rPr>
        <w:t xml:space="preserve"> note</w:t>
      </w:r>
      <w:r w:rsidR="0068497B">
        <w:rPr>
          <w:lang w:val="fr-CA"/>
        </w:rPr>
        <w:t xml:space="preserve"> que </w:t>
      </w:r>
      <w:r w:rsidR="00DC713F">
        <w:rPr>
          <w:lang w:val="fr-CA"/>
        </w:rPr>
        <w:t xml:space="preserve">les travaux dans </w:t>
      </w:r>
      <w:r w:rsidR="0068497B">
        <w:rPr>
          <w:lang w:val="fr-CA"/>
        </w:rPr>
        <w:t>tous les autre</w:t>
      </w:r>
      <w:r w:rsidR="0029763D" w:rsidRPr="00802AF9">
        <w:rPr>
          <w:lang w:val="fr-CA"/>
        </w:rPr>
        <w:t xml:space="preserve">s </w:t>
      </w:r>
      <w:r w:rsidR="0068497B">
        <w:rPr>
          <w:lang w:val="fr-CA"/>
        </w:rPr>
        <w:t xml:space="preserve">secteurs ont été achevés durant la </w:t>
      </w:r>
      <w:r w:rsidR="0014063A" w:rsidRPr="00802AF9">
        <w:rPr>
          <w:lang w:val="fr-CA"/>
        </w:rPr>
        <w:t>phase</w:t>
      </w:r>
      <w:r w:rsidR="0029763D" w:rsidRPr="00802AF9">
        <w:rPr>
          <w:lang w:val="fr-CA"/>
        </w:rPr>
        <w:t> I</w:t>
      </w:r>
      <w:r w:rsidR="00DC713F">
        <w:rPr>
          <w:lang w:val="fr-CA"/>
        </w:rPr>
        <w:t xml:space="preserve">, et que les soldes restants seraient restitués à l’achèvement financier de ces secteurs, indépendamment de la prolongation de la phase I pour le secteur R&amp;C. </w:t>
      </w:r>
    </w:p>
    <w:p w14:paraId="7C3A2AA6" w14:textId="06A9FCA2" w:rsidR="0029763D" w:rsidRPr="00802AF9" w:rsidRDefault="0014063A" w:rsidP="0029763D">
      <w:pPr>
        <w:keepNext/>
        <w:keepLines/>
        <w:rPr>
          <w:b/>
          <w:lang w:val="fr-CA"/>
        </w:rPr>
      </w:pPr>
      <w:r w:rsidRPr="00802AF9">
        <w:rPr>
          <w:b/>
          <w:lang w:val="fr-CA"/>
        </w:rPr>
        <w:t>Recommandation</w:t>
      </w:r>
    </w:p>
    <w:p w14:paraId="5E830AC1" w14:textId="77777777" w:rsidR="0029763D" w:rsidRPr="00802AF9" w:rsidRDefault="0029763D" w:rsidP="0029763D">
      <w:pPr>
        <w:keepNext/>
        <w:keepLines/>
        <w:rPr>
          <w:lang w:val="fr-CA"/>
        </w:rPr>
      </w:pPr>
    </w:p>
    <w:p w14:paraId="6440700B" w14:textId="7655D10D" w:rsidR="0029763D" w:rsidRPr="00802AF9" w:rsidRDefault="00706695" w:rsidP="0029763D">
      <w:pPr>
        <w:pStyle w:val="Heading1"/>
        <w:keepNext/>
        <w:keepLines/>
        <w:rPr>
          <w:lang w:val="fr-CA"/>
        </w:rPr>
      </w:pPr>
      <w:r>
        <w:rPr>
          <w:lang w:val="fr-CA"/>
        </w:rPr>
        <w:t>L</w:t>
      </w:r>
      <w:r w:rsidR="0029763D" w:rsidRPr="00802AF9">
        <w:rPr>
          <w:lang w:val="fr-CA"/>
        </w:rPr>
        <w:t xml:space="preserve">e </w:t>
      </w:r>
      <w:r w:rsidR="0014063A" w:rsidRPr="00802AF9">
        <w:rPr>
          <w:lang w:val="fr-CA"/>
        </w:rPr>
        <w:t>Comité exécutif</w:t>
      </w:r>
      <w:r w:rsidR="0029763D" w:rsidRPr="00802AF9">
        <w:rPr>
          <w:lang w:val="fr-CA"/>
        </w:rPr>
        <w:t xml:space="preserve"> </w:t>
      </w:r>
      <w:r>
        <w:rPr>
          <w:lang w:val="fr-CA"/>
        </w:rPr>
        <w:t>est invité à envisager de prendre les mesures ci-après</w:t>
      </w:r>
      <w:r w:rsidR="0029763D" w:rsidRPr="00802AF9">
        <w:rPr>
          <w:lang w:val="fr-CA"/>
        </w:rPr>
        <w:t xml:space="preserve">: </w:t>
      </w:r>
    </w:p>
    <w:p w14:paraId="17173F59" w14:textId="58D4EF5B" w:rsidR="0029763D" w:rsidRPr="00802AF9" w:rsidRDefault="00706695" w:rsidP="0029763D">
      <w:pPr>
        <w:pStyle w:val="Heading2"/>
        <w:rPr>
          <w:lang w:val="fr-CA"/>
        </w:rPr>
      </w:pPr>
      <w:r>
        <w:rPr>
          <w:lang w:val="fr-CA"/>
        </w:rPr>
        <w:t xml:space="preserve">Prendre note du </w:t>
      </w:r>
      <w:r w:rsidR="00494A38" w:rsidRPr="00802AF9">
        <w:rPr>
          <w:lang w:val="fr-CA"/>
        </w:rPr>
        <w:t>rapport périodique</w:t>
      </w:r>
      <w:r w:rsidR="0029763D" w:rsidRPr="00802AF9">
        <w:rPr>
          <w:lang w:val="fr-CA"/>
        </w:rPr>
        <w:t xml:space="preserve"> </w:t>
      </w:r>
      <w:r>
        <w:rPr>
          <w:lang w:val="fr-CA"/>
        </w:rPr>
        <w:t xml:space="preserve">sur la mise en œuvre du plan sectoriel des climatiseurs individuels </w:t>
      </w:r>
      <w:r w:rsidR="0029763D" w:rsidRPr="00802AF9">
        <w:rPr>
          <w:lang w:val="fr-CA"/>
        </w:rPr>
        <w:t>(</w:t>
      </w:r>
      <w:r w:rsidR="00494A38" w:rsidRPr="00802AF9">
        <w:rPr>
          <w:lang w:val="fr-CA"/>
        </w:rPr>
        <w:t>R&amp;C</w:t>
      </w:r>
      <w:r w:rsidR="0029763D" w:rsidRPr="00802AF9">
        <w:rPr>
          <w:lang w:val="fr-CA"/>
        </w:rPr>
        <w:t>)</w:t>
      </w:r>
      <w:r>
        <w:rPr>
          <w:lang w:val="fr-CA"/>
        </w:rPr>
        <w:t xml:space="preserve"> de la </w:t>
      </w:r>
      <w:r w:rsidR="0014063A" w:rsidRPr="00802AF9">
        <w:rPr>
          <w:lang w:val="fr-CA"/>
        </w:rPr>
        <w:t>phase</w:t>
      </w:r>
      <w:r w:rsidR="0029763D" w:rsidRPr="00802AF9">
        <w:rPr>
          <w:lang w:val="fr-CA"/>
        </w:rPr>
        <w:t xml:space="preserve"> I </w:t>
      </w:r>
      <w:r>
        <w:rPr>
          <w:lang w:val="fr-CA"/>
        </w:rPr>
        <w:t>du p</w:t>
      </w:r>
      <w:r w:rsidR="0014063A" w:rsidRPr="00802AF9">
        <w:rPr>
          <w:lang w:val="fr-CA"/>
        </w:rPr>
        <w:t>lan de gestion de l’élimination de HCFC</w:t>
      </w:r>
      <w:r w:rsidR="0029763D" w:rsidRPr="00802AF9">
        <w:rPr>
          <w:lang w:val="fr-CA"/>
        </w:rPr>
        <w:t xml:space="preserve"> (</w:t>
      </w:r>
      <w:r w:rsidR="00494A38" w:rsidRPr="00802AF9">
        <w:rPr>
          <w:lang w:val="fr-CA"/>
        </w:rPr>
        <w:t>PGEH</w:t>
      </w:r>
      <w:r w:rsidR="0029763D" w:rsidRPr="00802AF9">
        <w:rPr>
          <w:lang w:val="fr-CA"/>
        </w:rPr>
        <w:t xml:space="preserve">), </w:t>
      </w:r>
      <w:r>
        <w:rPr>
          <w:lang w:val="fr-CA"/>
        </w:rPr>
        <w:t>notamment de</w:t>
      </w:r>
      <w:r w:rsidR="00F67AF9">
        <w:rPr>
          <w:lang w:val="fr-CA"/>
        </w:rPr>
        <w:t xml:space="preserve"> la progression des incidences des mesures d’incitation liées aux coûts différentiels d’exploitation (IOC) sur l’introduction sur le marché</w:t>
      </w:r>
      <w:r>
        <w:rPr>
          <w:lang w:val="fr-CA"/>
        </w:rPr>
        <w:t xml:space="preserve"> </w:t>
      </w:r>
      <w:r w:rsidR="00F67AF9">
        <w:rPr>
          <w:lang w:val="fr-CA"/>
        </w:rPr>
        <w:t xml:space="preserve">chinois des climatiseurs bi-bloc à base de </w:t>
      </w:r>
      <w:r w:rsidR="0029763D" w:rsidRPr="00802AF9">
        <w:rPr>
          <w:lang w:val="fr-CA"/>
        </w:rPr>
        <w:t>R-290</w:t>
      </w:r>
      <w:r w:rsidR="00F67AF9">
        <w:rPr>
          <w:lang w:val="fr-CA"/>
        </w:rPr>
        <w:t>, rapport soumis par l’</w:t>
      </w:r>
      <w:r w:rsidR="0014063A" w:rsidRPr="00802AF9">
        <w:rPr>
          <w:lang w:val="fr-CA"/>
        </w:rPr>
        <w:t>ONUDI</w:t>
      </w:r>
      <w:r w:rsidR="0029763D" w:rsidRPr="00802AF9">
        <w:rPr>
          <w:lang w:val="fr-CA"/>
        </w:rPr>
        <w:t xml:space="preserve"> </w:t>
      </w:r>
      <w:r w:rsidR="00F67AF9">
        <w:rPr>
          <w:lang w:val="fr-CA"/>
        </w:rPr>
        <w:t xml:space="preserve">conformément à la </w:t>
      </w:r>
      <w:r w:rsidR="00494A38" w:rsidRPr="00802AF9">
        <w:rPr>
          <w:lang w:val="fr-CA"/>
        </w:rPr>
        <w:t>décision</w:t>
      </w:r>
      <w:r w:rsidR="0029763D" w:rsidRPr="00802AF9">
        <w:rPr>
          <w:lang w:val="fr-CA"/>
        </w:rPr>
        <w:t xml:space="preserve"> 84/68; </w:t>
      </w:r>
    </w:p>
    <w:p w14:paraId="71E5FBA4" w14:textId="1996C21A" w:rsidR="0029763D" w:rsidRPr="00802AF9" w:rsidRDefault="00CE16CF" w:rsidP="0029763D">
      <w:pPr>
        <w:pStyle w:val="Heading2"/>
        <w:rPr>
          <w:lang w:val="fr-CA"/>
        </w:rPr>
      </w:pPr>
      <w:r>
        <w:rPr>
          <w:lang w:val="fr-CA"/>
        </w:rPr>
        <w:t xml:space="preserve">Prendre note de la </w:t>
      </w:r>
      <w:r w:rsidR="0029763D" w:rsidRPr="00802AF9">
        <w:rPr>
          <w:lang w:val="fr-CA"/>
        </w:rPr>
        <w:t>r</w:t>
      </w:r>
      <w:r>
        <w:rPr>
          <w:lang w:val="fr-CA"/>
        </w:rPr>
        <w:t>é</w:t>
      </w:r>
      <w:r w:rsidR="0029763D" w:rsidRPr="00802AF9">
        <w:rPr>
          <w:lang w:val="fr-CA"/>
        </w:rPr>
        <w:t xml:space="preserve">vision </w:t>
      </w:r>
      <w:r>
        <w:rPr>
          <w:lang w:val="fr-CA"/>
        </w:rPr>
        <w:t xml:space="preserve">au programme d’incitation </w:t>
      </w:r>
      <w:r w:rsidR="0029763D" w:rsidRPr="00802AF9">
        <w:rPr>
          <w:lang w:val="fr-CA"/>
        </w:rPr>
        <w:t>IOC</w:t>
      </w:r>
      <w:r>
        <w:rPr>
          <w:lang w:val="fr-CA"/>
        </w:rPr>
        <w:t xml:space="preserve"> pour le plan sectoriel </w:t>
      </w:r>
      <w:r w:rsidR="00494A38" w:rsidRPr="00802AF9">
        <w:rPr>
          <w:lang w:val="fr-CA"/>
        </w:rPr>
        <w:t>R&amp;C</w:t>
      </w:r>
      <w:r w:rsidR="0029763D" w:rsidRPr="00802AF9">
        <w:rPr>
          <w:lang w:val="fr-CA"/>
        </w:rPr>
        <w:t xml:space="preserve">, </w:t>
      </w:r>
      <w:r>
        <w:rPr>
          <w:lang w:val="fr-CA"/>
        </w:rPr>
        <w:t xml:space="preserve">présentée dans le </w:t>
      </w:r>
      <w:r w:rsidR="0029763D" w:rsidRPr="00802AF9">
        <w:rPr>
          <w:lang w:val="fr-CA"/>
        </w:rPr>
        <w:t>document </w:t>
      </w:r>
      <w:r w:rsidR="0014063A" w:rsidRPr="00802AF9">
        <w:rPr>
          <w:lang w:val="fr-CA"/>
        </w:rPr>
        <w:t>PNUE</w:t>
      </w:r>
      <w:r w:rsidR="0029763D" w:rsidRPr="00802AF9">
        <w:rPr>
          <w:lang w:val="fr-CA"/>
        </w:rPr>
        <w:t xml:space="preserve">/OzL.Pro/ExCom/86/21/Add.1; </w:t>
      </w:r>
    </w:p>
    <w:p w14:paraId="1EF3B944" w14:textId="406B3C8A" w:rsidR="0029763D" w:rsidRPr="00802AF9" w:rsidRDefault="0029763D" w:rsidP="0029763D">
      <w:pPr>
        <w:pStyle w:val="Heading2"/>
        <w:rPr>
          <w:lang w:val="fr-CA"/>
        </w:rPr>
      </w:pPr>
      <w:r w:rsidRPr="00802AF9">
        <w:rPr>
          <w:lang w:val="fr-CA"/>
        </w:rPr>
        <w:lastRenderedPageBreak/>
        <w:t>Appro</w:t>
      </w:r>
      <w:r w:rsidR="00CE16CF">
        <w:rPr>
          <w:lang w:val="fr-CA"/>
        </w:rPr>
        <w:t xml:space="preserve">uver à titre exceptionnel la prolongation jusqu’au 31 décembre 2021 de la date d’achèvement du </w:t>
      </w:r>
      <w:r w:rsidR="00494A38" w:rsidRPr="00802AF9">
        <w:rPr>
          <w:lang w:val="fr-CA"/>
        </w:rPr>
        <w:t>plan sectoriel</w:t>
      </w:r>
      <w:r w:rsidRPr="00802AF9">
        <w:rPr>
          <w:lang w:val="fr-CA"/>
        </w:rPr>
        <w:t xml:space="preserve"> </w:t>
      </w:r>
      <w:r w:rsidR="00CE16CF">
        <w:rPr>
          <w:lang w:val="fr-CA"/>
        </w:rPr>
        <w:t xml:space="preserve">R&amp;C de la </w:t>
      </w:r>
      <w:r w:rsidR="0014063A" w:rsidRPr="00802AF9">
        <w:rPr>
          <w:lang w:val="fr-CA"/>
        </w:rPr>
        <w:t>phase</w:t>
      </w:r>
      <w:r w:rsidRPr="00802AF9">
        <w:rPr>
          <w:lang w:val="fr-CA"/>
        </w:rPr>
        <w:t xml:space="preserve"> I </w:t>
      </w:r>
      <w:r w:rsidR="00CE16CF">
        <w:rPr>
          <w:lang w:val="fr-CA"/>
        </w:rPr>
        <w:t>du</w:t>
      </w:r>
      <w:r w:rsidRPr="00802AF9">
        <w:rPr>
          <w:lang w:val="fr-CA"/>
        </w:rPr>
        <w:t xml:space="preserve"> </w:t>
      </w:r>
      <w:r w:rsidR="00494A38" w:rsidRPr="00802AF9">
        <w:rPr>
          <w:lang w:val="fr-CA"/>
        </w:rPr>
        <w:t>PGEH</w:t>
      </w:r>
      <w:r w:rsidRPr="00802AF9">
        <w:rPr>
          <w:lang w:val="fr-CA"/>
        </w:rPr>
        <w:t xml:space="preserve">, </w:t>
      </w:r>
      <w:r w:rsidR="00CE16CF">
        <w:rPr>
          <w:lang w:val="fr-CA"/>
        </w:rPr>
        <w:t xml:space="preserve">en notant que la pandémie de </w:t>
      </w:r>
      <w:r w:rsidRPr="00802AF9">
        <w:rPr>
          <w:lang w:val="fr-CA"/>
        </w:rPr>
        <w:t xml:space="preserve">COVID-19 </w:t>
      </w:r>
      <w:r w:rsidR="00CE16CF">
        <w:rPr>
          <w:lang w:val="fr-CA"/>
        </w:rPr>
        <w:t xml:space="preserve">a touché la fabrication et </w:t>
      </w:r>
      <w:r w:rsidR="009A1251">
        <w:rPr>
          <w:lang w:val="fr-CA"/>
        </w:rPr>
        <w:t>la commercialisation</w:t>
      </w:r>
      <w:r w:rsidR="00CE16CF">
        <w:rPr>
          <w:lang w:val="fr-CA"/>
        </w:rPr>
        <w:t xml:space="preserve"> d’équipements R&amp;C à base de </w:t>
      </w:r>
      <w:r w:rsidRPr="00802AF9">
        <w:rPr>
          <w:lang w:val="fr-CA"/>
        </w:rPr>
        <w:t>R-290</w:t>
      </w:r>
      <w:r w:rsidR="00CE16CF">
        <w:rPr>
          <w:lang w:val="fr-CA"/>
        </w:rPr>
        <w:t xml:space="preserve">, et étant entendu qu’aucune autre prolongation ne serait demandée, et que tout solde restant de projets achevés dans d’autres secteurs durant la </w:t>
      </w:r>
      <w:r w:rsidR="0014063A" w:rsidRPr="00802AF9">
        <w:rPr>
          <w:lang w:val="fr-CA"/>
        </w:rPr>
        <w:t>phase</w:t>
      </w:r>
      <w:r w:rsidRPr="00802AF9">
        <w:rPr>
          <w:lang w:val="fr-CA"/>
        </w:rPr>
        <w:t xml:space="preserve"> I </w:t>
      </w:r>
      <w:r w:rsidR="00CE16CF">
        <w:rPr>
          <w:lang w:val="fr-CA"/>
        </w:rPr>
        <w:t>serait restitué à l’achèvement financier de ces projets</w:t>
      </w:r>
      <w:r w:rsidRPr="00802AF9">
        <w:rPr>
          <w:lang w:val="fr-CA"/>
        </w:rPr>
        <w:t xml:space="preserve">; </w:t>
      </w:r>
      <w:r w:rsidR="00CE16CF">
        <w:rPr>
          <w:lang w:val="fr-CA"/>
        </w:rPr>
        <w:t>et</w:t>
      </w:r>
    </w:p>
    <w:p w14:paraId="071734C2" w14:textId="50A00250" w:rsidR="0029763D" w:rsidRPr="00802AF9" w:rsidRDefault="00A77483" w:rsidP="0029763D">
      <w:pPr>
        <w:pStyle w:val="Heading2"/>
        <w:rPr>
          <w:lang w:val="fr-CA"/>
        </w:rPr>
      </w:pPr>
      <w:r>
        <w:rPr>
          <w:lang w:val="fr-CA"/>
        </w:rPr>
        <w:t xml:space="preserve">Demander au </w:t>
      </w:r>
      <w:r w:rsidR="00393030">
        <w:rPr>
          <w:lang w:val="fr-CA"/>
        </w:rPr>
        <w:t>Gouvernement de la Chine</w:t>
      </w:r>
      <w:r w:rsidR="0029763D" w:rsidRPr="00802AF9">
        <w:rPr>
          <w:lang w:val="fr-CA"/>
        </w:rPr>
        <w:t xml:space="preserve"> </w:t>
      </w:r>
      <w:r>
        <w:rPr>
          <w:lang w:val="fr-CA"/>
        </w:rPr>
        <w:t>et à l’</w:t>
      </w:r>
      <w:r w:rsidR="0014063A" w:rsidRPr="00802AF9">
        <w:rPr>
          <w:lang w:val="fr-CA"/>
        </w:rPr>
        <w:t>ONUDI</w:t>
      </w:r>
      <w:r w:rsidR="0029763D" w:rsidRPr="00802AF9">
        <w:rPr>
          <w:lang w:val="fr-CA"/>
        </w:rPr>
        <w:t xml:space="preserve"> </w:t>
      </w:r>
      <w:r>
        <w:rPr>
          <w:lang w:val="fr-CA"/>
        </w:rPr>
        <w:t xml:space="preserve">de soumettre annuellement des </w:t>
      </w:r>
      <w:r w:rsidR="00494A38" w:rsidRPr="00802AF9">
        <w:rPr>
          <w:lang w:val="fr-CA"/>
        </w:rPr>
        <w:t>rapport</w:t>
      </w:r>
      <w:r>
        <w:rPr>
          <w:lang w:val="fr-CA"/>
        </w:rPr>
        <w:t>s</w:t>
      </w:r>
      <w:r w:rsidR="00494A38" w:rsidRPr="00802AF9">
        <w:rPr>
          <w:lang w:val="fr-CA"/>
        </w:rPr>
        <w:t xml:space="preserve"> périodique</w:t>
      </w:r>
      <w:r w:rsidR="0029763D" w:rsidRPr="00802AF9">
        <w:rPr>
          <w:lang w:val="fr-CA"/>
        </w:rPr>
        <w:t xml:space="preserve">s </w:t>
      </w:r>
      <w:r>
        <w:rPr>
          <w:lang w:val="fr-CA"/>
        </w:rPr>
        <w:t xml:space="preserve">sur la mise en œuvre du programme des travaux liés à la </w:t>
      </w:r>
      <w:r w:rsidR="0029763D" w:rsidRPr="00802AF9">
        <w:rPr>
          <w:lang w:val="fr-CA"/>
        </w:rPr>
        <w:t xml:space="preserve">tranche </w:t>
      </w:r>
      <w:r>
        <w:rPr>
          <w:lang w:val="fr-CA"/>
        </w:rPr>
        <w:t xml:space="preserve">finale du plan </w:t>
      </w:r>
      <w:r w:rsidR="00494A38" w:rsidRPr="00802AF9">
        <w:rPr>
          <w:lang w:val="fr-CA"/>
        </w:rPr>
        <w:t>sectoriel</w:t>
      </w:r>
      <w:r w:rsidR="0029763D" w:rsidRPr="00802AF9">
        <w:rPr>
          <w:lang w:val="fr-CA"/>
        </w:rPr>
        <w:t xml:space="preserve"> </w:t>
      </w:r>
      <w:r>
        <w:rPr>
          <w:lang w:val="fr-CA"/>
        </w:rPr>
        <w:t>R&amp;C à l’achèvement du projet</w:t>
      </w:r>
      <w:r w:rsidR="0029763D" w:rsidRPr="00802AF9">
        <w:rPr>
          <w:lang w:val="fr-CA"/>
        </w:rPr>
        <w:t xml:space="preserve">, </w:t>
      </w:r>
      <w:r>
        <w:rPr>
          <w:lang w:val="fr-CA"/>
        </w:rPr>
        <w:t xml:space="preserve">à soumettre le rapport d’achèvement du projet d’ici au </w:t>
      </w:r>
      <w:r w:rsidR="0029763D" w:rsidRPr="00802AF9">
        <w:rPr>
          <w:lang w:val="fr-CA"/>
        </w:rPr>
        <w:t>30 </w:t>
      </w:r>
      <w:r>
        <w:rPr>
          <w:lang w:val="fr-CA"/>
        </w:rPr>
        <w:t>juin</w:t>
      </w:r>
      <w:r w:rsidR="0029763D" w:rsidRPr="00802AF9">
        <w:rPr>
          <w:lang w:val="fr-CA"/>
        </w:rPr>
        <w:t xml:space="preserve"> 2022, </w:t>
      </w:r>
      <w:r>
        <w:rPr>
          <w:lang w:val="fr-CA"/>
        </w:rPr>
        <w:t xml:space="preserve">et de restituer tout solde restant pour le </w:t>
      </w:r>
      <w:r w:rsidR="0029763D" w:rsidRPr="00802AF9">
        <w:rPr>
          <w:lang w:val="fr-CA"/>
        </w:rPr>
        <w:t>31 </w:t>
      </w:r>
      <w:r>
        <w:rPr>
          <w:lang w:val="fr-CA"/>
        </w:rPr>
        <w:t>d</w:t>
      </w:r>
      <w:r w:rsidR="00825570" w:rsidRPr="00802AF9">
        <w:rPr>
          <w:lang w:val="fr-CA"/>
        </w:rPr>
        <w:t>écembre</w:t>
      </w:r>
      <w:r w:rsidR="0029763D" w:rsidRPr="00802AF9">
        <w:rPr>
          <w:lang w:val="fr-CA"/>
        </w:rPr>
        <w:t xml:space="preserve"> 2022. </w:t>
      </w:r>
    </w:p>
    <w:p w14:paraId="5CAFE478" w14:textId="77777777" w:rsidR="00441083" w:rsidRPr="00802AF9" w:rsidRDefault="00441083">
      <w:pPr>
        <w:pStyle w:val="StyleHeader4Para4Left0Firstline0"/>
        <w:numPr>
          <w:ilvl w:val="0"/>
          <w:numId w:val="0"/>
        </w:numPr>
        <w:rPr>
          <w:lang w:val="fr-CA"/>
        </w:rPr>
      </w:pPr>
    </w:p>
    <w:p w14:paraId="62DCAE87" w14:textId="6607FB1C" w:rsidR="004B0B2D" w:rsidRDefault="004B0B2D">
      <w:pPr>
        <w:pStyle w:val="StyleHeader4Para4Left0Firstline0"/>
        <w:numPr>
          <w:ilvl w:val="0"/>
          <w:numId w:val="0"/>
        </w:numPr>
        <w:rPr>
          <w:lang w:val="fr-CA"/>
        </w:rPr>
      </w:pPr>
      <w:r>
        <w:rPr>
          <w:lang w:val="fr-CA"/>
        </w:rPr>
        <w:br w:type="page"/>
      </w:r>
    </w:p>
    <w:p w14:paraId="3E1119B7" w14:textId="77777777" w:rsidR="00BA63AB" w:rsidRPr="00960C08" w:rsidRDefault="00BA63AB" w:rsidP="00BA63AB">
      <w:pPr>
        <w:spacing w:after="240"/>
        <w:rPr>
          <w:b/>
          <w:lang w:val="fr-CA"/>
        </w:rPr>
      </w:pPr>
      <w:r w:rsidRPr="00960C08">
        <w:rPr>
          <w:b/>
          <w:lang w:val="fr-CA"/>
        </w:rPr>
        <w:lastRenderedPageBreak/>
        <w:t>PARTIE II</w:t>
      </w:r>
      <w:r w:rsidRPr="00960C08">
        <w:rPr>
          <w:b/>
          <w:lang w:val="fr-CA"/>
        </w:rPr>
        <w:tab/>
        <w:t>PHASE II DU PLAN DE GESTION DE L’ÉLIMINATION DES HCFC</w:t>
      </w:r>
    </w:p>
    <w:p w14:paraId="31144A16" w14:textId="77777777" w:rsidR="00BA63AB" w:rsidRPr="00D8042F" w:rsidRDefault="00BA63AB" w:rsidP="00BA63AB">
      <w:pPr>
        <w:spacing w:after="240"/>
        <w:outlineLvl w:val="0"/>
        <w:rPr>
          <w:b/>
          <w:lang w:val="fr-CA"/>
        </w:rPr>
      </w:pPr>
      <w:r w:rsidRPr="00D8042F">
        <w:rPr>
          <w:b/>
          <w:lang w:val="fr-CA"/>
        </w:rPr>
        <w:t xml:space="preserve">Aperçu de la stratégie globale de la phase II </w:t>
      </w:r>
    </w:p>
    <w:p w14:paraId="726B0834" w14:textId="77777777" w:rsidR="00BA63AB" w:rsidRPr="00960C08" w:rsidRDefault="00BA63AB" w:rsidP="00BA63AB">
      <w:pPr>
        <w:pStyle w:val="Heading1"/>
        <w:rPr>
          <w:lang w:val="fr-CA"/>
        </w:rPr>
      </w:pPr>
      <w:r>
        <w:rPr>
          <w:lang w:val="fr-CA"/>
        </w:rPr>
        <w:t>Le</w:t>
      </w:r>
      <w:r w:rsidRPr="00D8042F">
        <w:rPr>
          <w:lang w:val="fr-CA"/>
        </w:rPr>
        <w:t xml:space="preserve"> Comité exécutif </w:t>
      </w:r>
      <w:r>
        <w:rPr>
          <w:lang w:val="fr-CA"/>
        </w:rPr>
        <w:t xml:space="preserve">à ses </w:t>
      </w:r>
      <w:r w:rsidRPr="00D8042F">
        <w:rPr>
          <w:lang w:val="fr-CA"/>
        </w:rPr>
        <w:t>76</w:t>
      </w:r>
      <w:r w:rsidRPr="00D8042F">
        <w:rPr>
          <w:vertAlign w:val="superscript"/>
          <w:lang w:val="fr-CA"/>
        </w:rPr>
        <w:t>e</w:t>
      </w:r>
      <w:r w:rsidRPr="00D8042F">
        <w:rPr>
          <w:lang w:val="fr-CA"/>
        </w:rPr>
        <w:t> et 77</w:t>
      </w:r>
      <w:r w:rsidRPr="00D8042F">
        <w:rPr>
          <w:vertAlign w:val="superscript"/>
          <w:lang w:val="fr-CA"/>
        </w:rPr>
        <w:t>e</w:t>
      </w:r>
      <w:r w:rsidRPr="00D8042F">
        <w:rPr>
          <w:lang w:val="fr-CA"/>
        </w:rPr>
        <w:t> réunions a approuvé la phase II du PGEH pour la Chine, avec les plans sectoriels associés, et à sa 79</w:t>
      </w:r>
      <w:r w:rsidRPr="00D8042F">
        <w:rPr>
          <w:vertAlign w:val="superscript"/>
          <w:lang w:val="fr-CA"/>
        </w:rPr>
        <w:t>e</w:t>
      </w:r>
      <w:r w:rsidRPr="00D8042F">
        <w:rPr>
          <w:lang w:val="fr-CA"/>
        </w:rPr>
        <w:t> réunion</w:t>
      </w:r>
      <w:r>
        <w:rPr>
          <w:lang w:val="fr-CA"/>
        </w:rPr>
        <w:t>,</w:t>
      </w:r>
      <w:r w:rsidRPr="00D8042F">
        <w:rPr>
          <w:lang w:val="fr-CA"/>
        </w:rPr>
        <w:t xml:space="preserve"> a approuvé son Accord avec le gouvernement pour la mise en œuvre de la phase II du PGEH. </w:t>
      </w:r>
    </w:p>
    <w:p w14:paraId="0F26A768" w14:textId="77777777" w:rsidR="00BA63AB" w:rsidRPr="00D8042F" w:rsidRDefault="00BA63AB" w:rsidP="00BA63AB">
      <w:pPr>
        <w:pStyle w:val="Heading1"/>
        <w:rPr>
          <w:lang w:val="fr-CA"/>
        </w:rPr>
      </w:pPr>
      <w:r w:rsidRPr="00D8042F">
        <w:rPr>
          <w:lang w:val="fr-CA"/>
        </w:rPr>
        <w:t>La consommation maximale autorisée de HCFC et les quantités éliminées pour la période 2016</w:t>
      </w:r>
      <w:r>
        <w:rPr>
          <w:lang w:val="fr-CA"/>
        </w:rPr>
        <w:noBreakHyphen/>
      </w:r>
      <w:r w:rsidRPr="00D8042F">
        <w:rPr>
          <w:lang w:val="fr-CA"/>
        </w:rPr>
        <w:t>2026 associées aux six plans sectoriels de la phase II figurent au tableau 1 ci</w:t>
      </w:r>
      <w:r>
        <w:rPr>
          <w:lang w:val="fr-CA"/>
        </w:rPr>
        <w:noBreakHyphen/>
      </w:r>
      <w:r w:rsidRPr="00D8042F">
        <w:rPr>
          <w:lang w:val="fr-CA"/>
        </w:rPr>
        <w:t xml:space="preserve">après : </w:t>
      </w:r>
    </w:p>
    <w:p w14:paraId="58F105A4" w14:textId="77777777" w:rsidR="00BA63AB" w:rsidRPr="00D8042F" w:rsidRDefault="00BA63AB" w:rsidP="00BA63AB">
      <w:pPr>
        <w:rPr>
          <w:b/>
          <w:sz w:val="21"/>
          <w:szCs w:val="21"/>
          <w:lang w:val="fr-CA"/>
        </w:rPr>
      </w:pPr>
      <w:r w:rsidRPr="00D8042F">
        <w:rPr>
          <w:b/>
          <w:sz w:val="21"/>
          <w:szCs w:val="21"/>
          <w:lang w:val="fr-CA"/>
        </w:rPr>
        <w:t xml:space="preserve">Tableau 1. Consommation maximale autorisée de HCFC et quantités éliminées pour la phase II du PGEH (tonnes PAO) </w:t>
      </w:r>
    </w:p>
    <w:tbl>
      <w:tblPr>
        <w:tblStyle w:val="TableGrid"/>
        <w:tblW w:w="9355" w:type="dxa"/>
        <w:tblLayout w:type="fixed"/>
        <w:tblLook w:val="04A0" w:firstRow="1" w:lastRow="0" w:firstColumn="1" w:lastColumn="0" w:noHBand="0" w:noVBand="1"/>
      </w:tblPr>
      <w:tblGrid>
        <w:gridCol w:w="1170"/>
        <w:gridCol w:w="1170"/>
        <w:gridCol w:w="1199"/>
        <w:gridCol w:w="1134"/>
        <w:gridCol w:w="1134"/>
        <w:gridCol w:w="1134"/>
        <w:gridCol w:w="1134"/>
        <w:gridCol w:w="1280"/>
      </w:tblGrid>
      <w:tr w:rsidR="00BA63AB" w:rsidRPr="00D8042F" w14:paraId="06670555" w14:textId="77777777" w:rsidTr="00720BA7">
        <w:trPr>
          <w:tblHeader/>
        </w:trPr>
        <w:tc>
          <w:tcPr>
            <w:tcW w:w="9355" w:type="dxa"/>
            <w:gridSpan w:val="8"/>
          </w:tcPr>
          <w:p w14:paraId="31723BA5" w14:textId="77777777" w:rsidR="00BA63AB" w:rsidRPr="00D8042F" w:rsidRDefault="00BA63AB" w:rsidP="00720BA7">
            <w:pPr>
              <w:jc w:val="center"/>
              <w:rPr>
                <w:b/>
                <w:sz w:val="19"/>
                <w:szCs w:val="19"/>
                <w:lang w:val="en-CA"/>
              </w:rPr>
            </w:pPr>
            <w:r w:rsidRPr="00D8042F">
              <w:rPr>
                <w:b/>
                <w:sz w:val="19"/>
                <w:szCs w:val="19"/>
                <w:lang w:val="en-CA"/>
              </w:rPr>
              <w:t>Consommation maximale autorisée</w:t>
            </w:r>
          </w:p>
        </w:tc>
      </w:tr>
      <w:tr w:rsidR="00BA63AB" w:rsidRPr="00D8042F" w14:paraId="77DA987E" w14:textId="77777777" w:rsidTr="00720BA7">
        <w:trPr>
          <w:tblHeader/>
        </w:trPr>
        <w:tc>
          <w:tcPr>
            <w:tcW w:w="1170" w:type="dxa"/>
            <w:tcMar>
              <w:left w:w="29" w:type="dxa"/>
            </w:tcMar>
            <w:vAlign w:val="center"/>
          </w:tcPr>
          <w:p w14:paraId="39443FEF" w14:textId="77777777" w:rsidR="00BA63AB" w:rsidRPr="00D8042F" w:rsidRDefault="00BA63AB" w:rsidP="00720BA7">
            <w:pPr>
              <w:jc w:val="left"/>
              <w:rPr>
                <w:b/>
                <w:sz w:val="19"/>
                <w:szCs w:val="19"/>
                <w:lang w:val="en-CA"/>
              </w:rPr>
            </w:pPr>
            <w:r w:rsidRPr="00D8042F">
              <w:rPr>
                <w:b/>
                <w:sz w:val="19"/>
                <w:szCs w:val="19"/>
                <w:lang w:val="en-CA"/>
              </w:rPr>
              <w:t>Plan sectoriel</w:t>
            </w:r>
          </w:p>
        </w:tc>
        <w:tc>
          <w:tcPr>
            <w:tcW w:w="1170" w:type="dxa"/>
          </w:tcPr>
          <w:p w14:paraId="0A557431" w14:textId="77777777" w:rsidR="00BA63AB" w:rsidRPr="00D8042F" w:rsidRDefault="00BA63AB" w:rsidP="00720BA7">
            <w:pPr>
              <w:jc w:val="center"/>
              <w:rPr>
                <w:b/>
                <w:sz w:val="19"/>
                <w:szCs w:val="19"/>
                <w:lang w:val="en-CA"/>
              </w:rPr>
            </w:pPr>
            <w:r w:rsidRPr="00D8042F">
              <w:rPr>
                <w:b/>
                <w:sz w:val="19"/>
                <w:szCs w:val="19"/>
                <w:lang w:val="en-CA"/>
              </w:rPr>
              <w:t>2016</w:t>
            </w:r>
            <w:r>
              <w:rPr>
                <w:b/>
                <w:sz w:val="19"/>
                <w:szCs w:val="19"/>
                <w:lang w:val="en-CA"/>
              </w:rPr>
              <w:noBreakHyphen/>
            </w:r>
            <w:r w:rsidRPr="00D8042F">
              <w:rPr>
                <w:b/>
                <w:sz w:val="19"/>
                <w:szCs w:val="19"/>
                <w:lang w:val="en-CA"/>
              </w:rPr>
              <w:t>17</w:t>
            </w:r>
          </w:p>
        </w:tc>
        <w:tc>
          <w:tcPr>
            <w:tcW w:w="1199" w:type="dxa"/>
          </w:tcPr>
          <w:p w14:paraId="0B573067" w14:textId="77777777" w:rsidR="00BA63AB" w:rsidRPr="00D8042F" w:rsidRDefault="00BA63AB" w:rsidP="00720BA7">
            <w:pPr>
              <w:jc w:val="center"/>
              <w:rPr>
                <w:b/>
                <w:sz w:val="19"/>
                <w:szCs w:val="19"/>
                <w:lang w:val="en-CA"/>
              </w:rPr>
            </w:pPr>
            <w:r w:rsidRPr="00D8042F">
              <w:rPr>
                <w:b/>
                <w:sz w:val="19"/>
                <w:szCs w:val="19"/>
                <w:lang w:val="en-CA"/>
              </w:rPr>
              <w:t>2018</w:t>
            </w:r>
            <w:r>
              <w:rPr>
                <w:b/>
                <w:sz w:val="19"/>
                <w:szCs w:val="19"/>
                <w:lang w:val="en-CA"/>
              </w:rPr>
              <w:noBreakHyphen/>
            </w:r>
            <w:r w:rsidRPr="00D8042F">
              <w:rPr>
                <w:b/>
                <w:sz w:val="19"/>
                <w:szCs w:val="19"/>
                <w:lang w:val="en-CA"/>
              </w:rPr>
              <w:t>19</w:t>
            </w:r>
          </w:p>
        </w:tc>
        <w:tc>
          <w:tcPr>
            <w:tcW w:w="1134" w:type="dxa"/>
          </w:tcPr>
          <w:p w14:paraId="2AE8A687" w14:textId="77777777" w:rsidR="00BA63AB" w:rsidRPr="00D8042F" w:rsidRDefault="00BA63AB" w:rsidP="00720BA7">
            <w:pPr>
              <w:jc w:val="center"/>
              <w:rPr>
                <w:b/>
                <w:sz w:val="19"/>
                <w:szCs w:val="19"/>
                <w:lang w:val="en-CA"/>
              </w:rPr>
            </w:pPr>
            <w:r w:rsidRPr="00D8042F">
              <w:rPr>
                <w:b/>
                <w:sz w:val="19"/>
                <w:szCs w:val="19"/>
                <w:lang w:val="en-CA"/>
              </w:rPr>
              <w:t>2020</w:t>
            </w:r>
            <w:r>
              <w:rPr>
                <w:b/>
                <w:sz w:val="19"/>
                <w:szCs w:val="19"/>
                <w:lang w:val="en-CA"/>
              </w:rPr>
              <w:noBreakHyphen/>
            </w:r>
            <w:r w:rsidRPr="00D8042F">
              <w:rPr>
                <w:b/>
                <w:sz w:val="19"/>
                <w:szCs w:val="19"/>
                <w:lang w:val="en-CA"/>
              </w:rPr>
              <w:t>21</w:t>
            </w:r>
          </w:p>
        </w:tc>
        <w:tc>
          <w:tcPr>
            <w:tcW w:w="1134" w:type="dxa"/>
          </w:tcPr>
          <w:p w14:paraId="3A494AFB" w14:textId="77777777" w:rsidR="00BA63AB" w:rsidRPr="00D8042F" w:rsidRDefault="00BA63AB" w:rsidP="00720BA7">
            <w:pPr>
              <w:jc w:val="center"/>
              <w:rPr>
                <w:b/>
                <w:sz w:val="19"/>
                <w:szCs w:val="19"/>
                <w:lang w:val="en-CA"/>
              </w:rPr>
            </w:pPr>
            <w:r w:rsidRPr="00D8042F">
              <w:rPr>
                <w:b/>
                <w:sz w:val="19"/>
                <w:szCs w:val="19"/>
                <w:lang w:val="en-CA"/>
              </w:rPr>
              <w:t>2022</w:t>
            </w:r>
          </w:p>
        </w:tc>
        <w:tc>
          <w:tcPr>
            <w:tcW w:w="1134" w:type="dxa"/>
          </w:tcPr>
          <w:p w14:paraId="28CE5308" w14:textId="77777777" w:rsidR="00BA63AB" w:rsidRPr="00D8042F" w:rsidRDefault="00BA63AB" w:rsidP="00720BA7">
            <w:pPr>
              <w:jc w:val="center"/>
              <w:rPr>
                <w:b/>
                <w:sz w:val="19"/>
                <w:szCs w:val="19"/>
                <w:lang w:val="en-CA"/>
              </w:rPr>
            </w:pPr>
            <w:r w:rsidRPr="00D8042F">
              <w:rPr>
                <w:b/>
                <w:sz w:val="19"/>
                <w:szCs w:val="19"/>
                <w:lang w:val="en-CA"/>
              </w:rPr>
              <w:t>2023</w:t>
            </w:r>
            <w:r>
              <w:rPr>
                <w:b/>
                <w:sz w:val="19"/>
                <w:szCs w:val="19"/>
                <w:lang w:val="en-CA"/>
              </w:rPr>
              <w:noBreakHyphen/>
            </w:r>
            <w:r w:rsidRPr="00D8042F">
              <w:rPr>
                <w:b/>
                <w:sz w:val="19"/>
                <w:szCs w:val="19"/>
                <w:lang w:val="en-CA"/>
              </w:rPr>
              <w:t>24</w:t>
            </w:r>
          </w:p>
        </w:tc>
        <w:tc>
          <w:tcPr>
            <w:tcW w:w="1134" w:type="dxa"/>
          </w:tcPr>
          <w:p w14:paraId="0E541733" w14:textId="77777777" w:rsidR="00BA63AB" w:rsidRPr="00D8042F" w:rsidRDefault="00BA63AB" w:rsidP="00720BA7">
            <w:pPr>
              <w:jc w:val="center"/>
              <w:rPr>
                <w:b/>
                <w:sz w:val="19"/>
                <w:szCs w:val="19"/>
                <w:lang w:val="en-CA"/>
              </w:rPr>
            </w:pPr>
            <w:r w:rsidRPr="00D8042F">
              <w:rPr>
                <w:b/>
                <w:sz w:val="19"/>
                <w:szCs w:val="19"/>
                <w:lang w:val="en-CA"/>
              </w:rPr>
              <w:t>2025</w:t>
            </w:r>
          </w:p>
        </w:tc>
        <w:tc>
          <w:tcPr>
            <w:tcW w:w="1280" w:type="dxa"/>
          </w:tcPr>
          <w:p w14:paraId="4B0AC955" w14:textId="77777777" w:rsidR="00BA63AB" w:rsidRPr="00D8042F" w:rsidRDefault="00BA63AB" w:rsidP="00720BA7">
            <w:pPr>
              <w:jc w:val="center"/>
              <w:rPr>
                <w:b/>
                <w:sz w:val="19"/>
                <w:szCs w:val="19"/>
                <w:lang w:val="en-CA"/>
              </w:rPr>
            </w:pPr>
            <w:r w:rsidRPr="00D8042F">
              <w:rPr>
                <w:b/>
                <w:sz w:val="19"/>
                <w:szCs w:val="19"/>
                <w:lang w:val="en-CA"/>
              </w:rPr>
              <w:t>2026</w:t>
            </w:r>
          </w:p>
        </w:tc>
      </w:tr>
      <w:tr w:rsidR="00BA63AB" w:rsidRPr="00D8042F" w14:paraId="385DF200" w14:textId="77777777" w:rsidTr="00720BA7">
        <w:tc>
          <w:tcPr>
            <w:tcW w:w="1170" w:type="dxa"/>
            <w:tcMar>
              <w:left w:w="29" w:type="dxa"/>
            </w:tcMar>
          </w:tcPr>
          <w:p w14:paraId="18191914" w14:textId="77777777" w:rsidR="00BA63AB" w:rsidRPr="00D8042F" w:rsidRDefault="00BA63AB" w:rsidP="00720BA7">
            <w:pPr>
              <w:jc w:val="left"/>
              <w:rPr>
                <w:sz w:val="19"/>
                <w:szCs w:val="19"/>
                <w:lang w:val="en-CA"/>
              </w:rPr>
            </w:pPr>
            <w:r w:rsidRPr="00D8042F">
              <w:rPr>
                <w:sz w:val="19"/>
                <w:szCs w:val="19"/>
                <w:lang w:val="en-CA"/>
              </w:rPr>
              <w:t>National</w:t>
            </w:r>
          </w:p>
        </w:tc>
        <w:tc>
          <w:tcPr>
            <w:tcW w:w="1170" w:type="dxa"/>
            <w:tcMar>
              <w:left w:w="0" w:type="dxa"/>
              <w:right w:w="173" w:type="dxa"/>
            </w:tcMar>
          </w:tcPr>
          <w:p w14:paraId="15E3DF1F" w14:textId="77777777" w:rsidR="00BA63AB" w:rsidRPr="00D8042F" w:rsidRDefault="00BA63AB" w:rsidP="00720BA7">
            <w:pPr>
              <w:jc w:val="right"/>
              <w:rPr>
                <w:sz w:val="19"/>
                <w:szCs w:val="19"/>
                <w:lang w:val="en-CA"/>
              </w:rPr>
            </w:pPr>
            <w:r w:rsidRPr="00D8042F">
              <w:rPr>
                <w:sz w:val="19"/>
                <w:szCs w:val="19"/>
                <w:lang w:val="en-CA"/>
              </w:rPr>
              <w:t>16 978,9</w:t>
            </w:r>
          </w:p>
        </w:tc>
        <w:tc>
          <w:tcPr>
            <w:tcW w:w="1199" w:type="dxa"/>
            <w:tcMar>
              <w:left w:w="0" w:type="dxa"/>
              <w:right w:w="173" w:type="dxa"/>
            </w:tcMar>
          </w:tcPr>
          <w:p w14:paraId="61F36D58" w14:textId="77777777" w:rsidR="00BA63AB" w:rsidRPr="00D8042F" w:rsidRDefault="00BA63AB" w:rsidP="00720BA7">
            <w:pPr>
              <w:jc w:val="right"/>
              <w:rPr>
                <w:sz w:val="19"/>
                <w:szCs w:val="19"/>
                <w:lang w:val="en-CA"/>
              </w:rPr>
            </w:pPr>
            <w:r w:rsidRPr="00D8042F">
              <w:rPr>
                <w:sz w:val="19"/>
                <w:szCs w:val="19"/>
                <w:lang w:val="en-CA"/>
              </w:rPr>
              <w:t>15 048,1</w:t>
            </w:r>
          </w:p>
        </w:tc>
        <w:tc>
          <w:tcPr>
            <w:tcW w:w="1134" w:type="dxa"/>
            <w:tcMar>
              <w:left w:w="0" w:type="dxa"/>
              <w:right w:w="173" w:type="dxa"/>
            </w:tcMar>
          </w:tcPr>
          <w:p w14:paraId="52B6B4F1" w14:textId="77777777" w:rsidR="00BA63AB" w:rsidRPr="00D8042F" w:rsidRDefault="00BA63AB" w:rsidP="00720BA7">
            <w:pPr>
              <w:jc w:val="right"/>
              <w:rPr>
                <w:sz w:val="19"/>
                <w:szCs w:val="19"/>
                <w:lang w:val="en-CA"/>
              </w:rPr>
            </w:pPr>
            <w:r w:rsidRPr="00D8042F">
              <w:rPr>
                <w:sz w:val="19"/>
                <w:szCs w:val="19"/>
                <w:lang w:val="en-CA"/>
              </w:rPr>
              <w:t>11 772,0**</w:t>
            </w:r>
          </w:p>
        </w:tc>
        <w:tc>
          <w:tcPr>
            <w:tcW w:w="1134" w:type="dxa"/>
            <w:tcMar>
              <w:left w:w="0" w:type="dxa"/>
              <w:right w:w="173" w:type="dxa"/>
            </w:tcMar>
          </w:tcPr>
          <w:p w14:paraId="46485193"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5F6E4DF1"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25B0F2B7" w14:textId="77777777" w:rsidR="00BA63AB" w:rsidRPr="00D8042F" w:rsidRDefault="00BA63AB" w:rsidP="00720BA7">
            <w:pPr>
              <w:jc w:val="right"/>
              <w:rPr>
                <w:sz w:val="19"/>
                <w:szCs w:val="19"/>
                <w:lang w:val="en-CA"/>
              </w:rPr>
            </w:pPr>
            <w:r w:rsidRPr="00D8042F">
              <w:rPr>
                <w:sz w:val="19"/>
                <w:szCs w:val="19"/>
                <w:lang w:val="en-CA"/>
              </w:rPr>
              <w:t>s.o.</w:t>
            </w:r>
          </w:p>
        </w:tc>
        <w:tc>
          <w:tcPr>
            <w:tcW w:w="1280" w:type="dxa"/>
          </w:tcPr>
          <w:p w14:paraId="105C19FE" w14:textId="77777777" w:rsidR="00BA63AB" w:rsidRPr="00D8042F" w:rsidRDefault="00BA63AB" w:rsidP="00720BA7">
            <w:pPr>
              <w:jc w:val="right"/>
              <w:rPr>
                <w:sz w:val="19"/>
                <w:szCs w:val="19"/>
                <w:lang w:val="en-CA"/>
              </w:rPr>
            </w:pPr>
            <w:r w:rsidRPr="00D8042F">
              <w:rPr>
                <w:sz w:val="19"/>
                <w:szCs w:val="19"/>
                <w:lang w:val="en-CA"/>
              </w:rPr>
              <w:t>s.o.</w:t>
            </w:r>
          </w:p>
        </w:tc>
      </w:tr>
      <w:tr w:rsidR="00BA63AB" w:rsidRPr="00D8042F" w14:paraId="341D9CEC" w14:textId="77777777" w:rsidTr="00720BA7">
        <w:tc>
          <w:tcPr>
            <w:tcW w:w="1170" w:type="dxa"/>
            <w:tcMar>
              <w:left w:w="29" w:type="dxa"/>
            </w:tcMar>
          </w:tcPr>
          <w:p w14:paraId="0719C3D8" w14:textId="77777777" w:rsidR="00BA63AB" w:rsidRPr="00D8042F" w:rsidRDefault="00BA63AB" w:rsidP="00720BA7">
            <w:pPr>
              <w:jc w:val="left"/>
              <w:rPr>
                <w:sz w:val="19"/>
                <w:szCs w:val="19"/>
                <w:lang w:val="en-CA"/>
              </w:rPr>
            </w:pPr>
            <w:r w:rsidRPr="00D8042F">
              <w:rPr>
                <w:sz w:val="19"/>
                <w:szCs w:val="19"/>
                <w:lang w:val="en-CA"/>
              </w:rPr>
              <w:t>XPS*</w:t>
            </w:r>
          </w:p>
        </w:tc>
        <w:tc>
          <w:tcPr>
            <w:tcW w:w="1170" w:type="dxa"/>
            <w:tcMar>
              <w:left w:w="0" w:type="dxa"/>
              <w:right w:w="173" w:type="dxa"/>
            </w:tcMar>
          </w:tcPr>
          <w:p w14:paraId="027AE0C8" w14:textId="77777777" w:rsidR="00BA63AB" w:rsidRPr="00D8042F" w:rsidRDefault="00BA63AB" w:rsidP="00720BA7">
            <w:pPr>
              <w:jc w:val="right"/>
              <w:rPr>
                <w:sz w:val="19"/>
                <w:szCs w:val="19"/>
                <w:lang w:val="en-CA"/>
              </w:rPr>
            </w:pPr>
            <w:r w:rsidRPr="00D8042F">
              <w:rPr>
                <w:sz w:val="19"/>
                <w:szCs w:val="19"/>
                <w:lang w:val="en-CA"/>
              </w:rPr>
              <w:t>2 286,0</w:t>
            </w:r>
          </w:p>
        </w:tc>
        <w:tc>
          <w:tcPr>
            <w:tcW w:w="1199" w:type="dxa"/>
            <w:tcMar>
              <w:left w:w="0" w:type="dxa"/>
              <w:right w:w="173" w:type="dxa"/>
            </w:tcMar>
          </w:tcPr>
          <w:p w14:paraId="3F0E0BAF" w14:textId="77777777" w:rsidR="00BA63AB" w:rsidRPr="00D8042F" w:rsidRDefault="00BA63AB" w:rsidP="00720BA7">
            <w:pPr>
              <w:jc w:val="right"/>
              <w:rPr>
                <w:sz w:val="19"/>
                <w:szCs w:val="19"/>
                <w:lang w:val="en-CA"/>
              </w:rPr>
            </w:pPr>
            <w:r w:rsidRPr="00D8042F">
              <w:rPr>
                <w:sz w:val="19"/>
                <w:szCs w:val="19"/>
                <w:lang w:val="en-CA"/>
              </w:rPr>
              <w:t>2 032,0</w:t>
            </w:r>
          </w:p>
        </w:tc>
        <w:tc>
          <w:tcPr>
            <w:tcW w:w="1134" w:type="dxa"/>
            <w:tcMar>
              <w:left w:w="0" w:type="dxa"/>
              <w:right w:w="173" w:type="dxa"/>
            </w:tcMar>
          </w:tcPr>
          <w:p w14:paraId="18E306CE" w14:textId="77777777" w:rsidR="00BA63AB" w:rsidRPr="00D8042F" w:rsidRDefault="00BA63AB" w:rsidP="00720BA7">
            <w:pPr>
              <w:jc w:val="right"/>
              <w:rPr>
                <w:sz w:val="19"/>
                <w:szCs w:val="19"/>
                <w:lang w:val="en-CA"/>
              </w:rPr>
            </w:pPr>
            <w:r w:rsidRPr="00D8042F">
              <w:rPr>
                <w:sz w:val="19"/>
                <w:szCs w:val="19"/>
                <w:lang w:val="en-CA"/>
              </w:rPr>
              <w:t>1 397,0</w:t>
            </w:r>
          </w:p>
        </w:tc>
        <w:tc>
          <w:tcPr>
            <w:tcW w:w="1134" w:type="dxa"/>
            <w:tcMar>
              <w:left w:w="0" w:type="dxa"/>
              <w:right w:w="173" w:type="dxa"/>
            </w:tcMar>
          </w:tcPr>
          <w:p w14:paraId="5888C93A" w14:textId="77777777" w:rsidR="00BA63AB" w:rsidRPr="00D8042F" w:rsidRDefault="00BA63AB" w:rsidP="00720BA7">
            <w:pPr>
              <w:jc w:val="right"/>
              <w:rPr>
                <w:sz w:val="19"/>
                <w:szCs w:val="19"/>
                <w:lang w:val="en-CA"/>
              </w:rPr>
            </w:pPr>
            <w:r w:rsidRPr="00D8042F">
              <w:rPr>
                <w:sz w:val="19"/>
                <w:szCs w:val="19"/>
                <w:lang w:val="en-CA"/>
              </w:rPr>
              <w:t>1 397,0</w:t>
            </w:r>
          </w:p>
        </w:tc>
        <w:tc>
          <w:tcPr>
            <w:tcW w:w="1134" w:type="dxa"/>
            <w:tcMar>
              <w:left w:w="0" w:type="dxa"/>
              <w:right w:w="173" w:type="dxa"/>
            </w:tcMar>
          </w:tcPr>
          <w:p w14:paraId="129C9F59" w14:textId="77777777" w:rsidR="00BA63AB" w:rsidRPr="00D8042F" w:rsidRDefault="00BA63AB" w:rsidP="00720BA7">
            <w:pPr>
              <w:jc w:val="right"/>
              <w:rPr>
                <w:sz w:val="19"/>
                <w:szCs w:val="19"/>
                <w:lang w:val="en-CA"/>
              </w:rPr>
            </w:pPr>
            <w:r w:rsidRPr="00D8042F">
              <w:rPr>
                <w:sz w:val="19"/>
                <w:szCs w:val="19"/>
                <w:lang w:val="en-CA"/>
              </w:rPr>
              <w:t>762,0</w:t>
            </w:r>
          </w:p>
        </w:tc>
        <w:tc>
          <w:tcPr>
            <w:tcW w:w="1134" w:type="dxa"/>
            <w:tcMar>
              <w:left w:w="0" w:type="dxa"/>
              <w:right w:w="173" w:type="dxa"/>
            </w:tcMar>
          </w:tcPr>
          <w:p w14:paraId="1D99D4AD" w14:textId="77777777" w:rsidR="00BA63AB" w:rsidRPr="00D8042F" w:rsidRDefault="00BA63AB" w:rsidP="00720BA7">
            <w:pPr>
              <w:jc w:val="right"/>
              <w:rPr>
                <w:sz w:val="19"/>
                <w:szCs w:val="19"/>
                <w:lang w:val="en-CA"/>
              </w:rPr>
            </w:pPr>
            <w:r w:rsidRPr="00D8042F">
              <w:rPr>
                <w:sz w:val="19"/>
                <w:szCs w:val="19"/>
                <w:lang w:val="en-CA"/>
              </w:rPr>
              <w:t>165,0</w:t>
            </w:r>
          </w:p>
        </w:tc>
        <w:tc>
          <w:tcPr>
            <w:tcW w:w="1280" w:type="dxa"/>
          </w:tcPr>
          <w:p w14:paraId="3180C54B" w14:textId="77777777" w:rsidR="00BA63AB" w:rsidRPr="00D8042F" w:rsidRDefault="00BA63AB" w:rsidP="00720BA7">
            <w:pPr>
              <w:jc w:val="right"/>
              <w:rPr>
                <w:sz w:val="19"/>
                <w:szCs w:val="19"/>
                <w:lang w:val="en-CA"/>
              </w:rPr>
            </w:pPr>
            <w:r w:rsidRPr="00D8042F">
              <w:rPr>
                <w:sz w:val="19"/>
                <w:szCs w:val="19"/>
                <w:lang w:val="en-CA"/>
              </w:rPr>
              <w:t>0,0</w:t>
            </w:r>
          </w:p>
        </w:tc>
      </w:tr>
      <w:tr w:rsidR="00BA63AB" w:rsidRPr="00D8042F" w14:paraId="0CEA7496" w14:textId="77777777" w:rsidTr="00720BA7">
        <w:tc>
          <w:tcPr>
            <w:tcW w:w="1170" w:type="dxa"/>
            <w:tcMar>
              <w:left w:w="29" w:type="dxa"/>
            </w:tcMar>
          </w:tcPr>
          <w:p w14:paraId="6F19D8EE" w14:textId="77777777" w:rsidR="00BA63AB" w:rsidRPr="00D8042F" w:rsidRDefault="00BA63AB" w:rsidP="00720BA7">
            <w:pPr>
              <w:jc w:val="left"/>
              <w:rPr>
                <w:sz w:val="19"/>
                <w:szCs w:val="19"/>
                <w:lang w:val="en-CA"/>
              </w:rPr>
            </w:pPr>
            <w:r w:rsidRPr="00D8042F">
              <w:rPr>
                <w:sz w:val="19"/>
                <w:szCs w:val="19"/>
                <w:lang w:val="en-CA"/>
              </w:rPr>
              <w:t>PU*</w:t>
            </w:r>
          </w:p>
        </w:tc>
        <w:tc>
          <w:tcPr>
            <w:tcW w:w="1170" w:type="dxa"/>
            <w:tcMar>
              <w:left w:w="0" w:type="dxa"/>
              <w:right w:w="173" w:type="dxa"/>
            </w:tcMar>
          </w:tcPr>
          <w:p w14:paraId="4DA42270" w14:textId="77777777" w:rsidR="00BA63AB" w:rsidRPr="00D8042F" w:rsidRDefault="00BA63AB" w:rsidP="00720BA7">
            <w:pPr>
              <w:jc w:val="right"/>
              <w:rPr>
                <w:sz w:val="19"/>
                <w:szCs w:val="19"/>
                <w:lang w:val="en-CA"/>
              </w:rPr>
            </w:pPr>
            <w:r w:rsidRPr="00D8042F">
              <w:rPr>
                <w:sz w:val="19"/>
                <w:szCs w:val="19"/>
                <w:lang w:val="en-CA"/>
              </w:rPr>
              <w:t>4 449,6</w:t>
            </w:r>
          </w:p>
        </w:tc>
        <w:tc>
          <w:tcPr>
            <w:tcW w:w="1199" w:type="dxa"/>
            <w:tcMar>
              <w:left w:w="0" w:type="dxa"/>
              <w:right w:w="173" w:type="dxa"/>
            </w:tcMar>
          </w:tcPr>
          <w:p w14:paraId="2CCA05D2" w14:textId="77777777" w:rsidR="00BA63AB" w:rsidRPr="00D8042F" w:rsidRDefault="00BA63AB" w:rsidP="00720BA7">
            <w:pPr>
              <w:jc w:val="right"/>
              <w:rPr>
                <w:sz w:val="19"/>
                <w:szCs w:val="19"/>
                <w:lang w:val="en-CA"/>
              </w:rPr>
            </w:pPr>
            <w:r w:rsidRPr="00D8042F">
              <w:rPr>
                <w:sz w:val="19"/>
                <w:szCs w:val="19"/>
                <w:lang w:val="en-CA"/>
              </w:rPr>
              <w:t>3 774,5</w:t>
            </w:r>
          </w:p>
        </w:tc>
        <w:tc>
          <w:tcPr>
            <w:tcW w:w="1134" w:type="dxa"/>
            <w:tcMar>
              <w:left w:w="0" w:type="dxa"/>
              <w:right w:w="173" w:type="dxa"/>
            </w:tcMar>
          </w:tcPr>
          <w:p w14:paraId="5D4E08AD" w14:textId="77777777" w:rsidR="00BA63AB" w:rsidRPr="00D8042F" w:rsidRDefault="00BA63AB" w:rsidP="00720BA7">
            <w:pPr>
              <w:jc w:val="right"/>
              <w:rPr>
                <w:sz w:val="19"/>
                <w:szCs w:val="19"/>
                <w:lang w:val="en-CA"/>
              </w:rPr>
            </w:pPr>
            <w:r w:rsidRPr="00D8042F">
              <w:rPr>
                <w:sz w:val="19"/>
                <w:szCs w:val="19"/>
                <w:lang w:val="en-CA"/>
              </w:rPr>
              <w:t>2 965,7</w:t>
            </w:r>
          </w:p>
        </w:tc>
        <w:tc>
          <w:tcPr>
            <w:tcW w:w="1134" w:type="dxa"/>
            <w:tcMar>
              <w:left w:w="0" w:type="dxa"/>
              <w:right w:w="173" w:type="dxa"/>
            </w:tcMar>
          </w:tcPr>
          <w:p w14:paraId="15AFC851" w14:textId="77777777" w:rsidR="00BA63AB" w:rsidRPr="00D8042F" w:rsidRDefault="00BA63AB" w:rsidP="00720BA7">
            <w:pPr>
              <w:jc w:val="right"/>
              <w:rPr>
                <w:sz w:val="19"/>
                <w:szCs w:val="19"/>
                <w:lang w:val="en-CA"/>
              </w:rPr>
            </w:pPr>
            <w:r w:rsidRPr="00D8042F">
              <w:rPr>
                <w:sz w:val="19"/>
                <w:szCs w:val="19"/>
                <w:lang w:val="en-CA"/>
              </w:rPr>
              <w:t>2 965,7</w:t>
            </w:r>
          </w:p>
        </w:tc>
        <w:tc>
          <w:tcPr>
            <w:tcW w:w="1134" w:type="dxa"/>
            <w:tcMar>
              <w:left w:w="0" w:type="dxa"/>
              <w:right w:w="173" w:type="dxa"/>
            </w:tcMar>
          </w:tcPr>
          <w:p w14:paraId="13A47B62" w14:textId="77777777" w:rsidR="00BA63AB" w:rsidRPr="00D8042F" w:rsidRDefault="00BA63AB" w:rsidP="00720BA7">
            <w:pPr>
              <w:jc w:val="right"/>
              <w:rPr>
                <w:sz w:val="19"/>
                <w:szCs w:val="19"/>
                <w:lang w:val="en-CA"/>
              </w:rPr>
            </w:pPr>
            <w:r w:rsidRPr="00D8042F">
              <w:rPr>
                <w:sz w:val="19"/>
                <w:szCs w:val="19"/>
                <w:lang w:val="en-CA"/>
              </w:rPr>
              <w:t>1 078,4</w:t>
            </w:r>
          </w:p>
        </w:tc>
        <w:tc>
          <w:tcPr>
            <w:tcW w:w="1134" w:type="dxa"/>
            <w:tcMar>
              <w:left w:w="0" w:type="dxa"/>
              <w:right w:w="173" w:type="dxa"/>
            </w:tcMar>
          </w:tcPr>
          <w:p w14:paraId="281E1BAB" w14:textId="77777777" w:rsidR="00BA63AB" w:rsidRPr="00D8042F" w:rsidRDefault="00BA63AB" w:rsidP="00720BA7">
            <w:pPr>
              <w:jc w:val="right"/>
              <w:rPr>
                <w:sz w:val="19"/>
                <w:szCs w:val="19"/>
                <w:lang w:val="en-CA"/>
              </w:rPr>
            </w:pPr>
            <w:r w:rsidRPr="00D8042F">
              <w:rPr>
                <w:sz w:val="19"/>
                <w:szCs w:val="19"/>
                <w:lang w:val="en-CA"/>
              </w:rPr>
              <w:t>330,0</w:t>
            </w:r>
          </w:p>
        </w:tc>
        <w:tc>
          <w:tcPr>
            <w:tcW w:w="1280" w:type="dxa"/>
          </w:tcPr>
          <w:p w14:paraId="26184A63" w14:textId="77777777" w:rsidR="00BA63AB" w:rsidRPr="00D8042F" w:rsidRDefault="00BA63AB" w:rsidP="00720BA7">
            <w:pPr>
              <w:jc w:val="right"/>
              <w:rPr>
                <w:sz w:val="19"/>
                <w:szCs w:val="19"/>
                <w:lang w:val="en-CA"/>
              </w:rPr>
            </w:pPr>
            <w:r w:rsidRPr="00D8042F">
              <w:rPr>
                <w:sz w:val="19"/>
                <w:szCs w:val="19"/>
                <w:lang w:val="en-CA"/>
              </w:rPr>
              <w:t>0,0</w:t>
            </w:r>
          </w:p>
        </w:tc>
      </w:tr>
      <w:tr w:rsidR="00BA63AB" w:rsidRPr="00D8042F" w14:paraId="2F86DAAA" w14:textId="77777777" w:rsidTr="00720BA7">
        <w:tc>
          <w:tcPr>
            <w:tcW w:w="1170" w:type="dxa"/>
            <w:tcMar>
              <w:left w:w="29" w:type="dxa"/>
            </w:tcMar>
          </w:tcPr>
          <w:p w14:paraId="19874FF3" w14:textId="77777777" w:rsidR="00BA63AB" w:rsidRPr="00D8042F" w:rsidRDefault="00BA63AB" w:rsidP="00720BA7">
            <w:pPr>
              <w:jc w:val="left"/>
              <w:rPr>
                <w:sz w:val="19"/>
                <w:szCs w:val="19"/>
                <w:lang w:val="en-CA"/>
              </w:rPr>
            </w:pPr>
            <w:r w:rsidRPr="00D8042F">
              <w:rPr>
                <w:sz w:val="19"/>
                <w:szCs w:val="19"/>
                <w:lang w:val="en-CA"/>
              </w:rPr>
              <w:t>ICR*</w:t>
            </w:r>
          </w:p>
        </w:tc>
        <w:tc>
          <w:tcPr>
            <w:tcW w:w="1170" w:type="dxa"/>
            <w:tcMar>
              <w:left w:w="0" w:type="dxa"/>
              <w:right w:w="173" w:type="dxa"/>
            </w:tcMar>
          </w:tcPr>
          <w:p w14:paraId="7712CC41" w14:textId="77777777" w:rsidR="00BA63AB" w:rsidRPr="00D8042F" w:rsidRDefault="00BA63AB" w:rsidP="00720BA7">
            <w:pPr>
              <w:jc w:val="right"/>
              <w:rPr>
                <w:sz w:val="19"/>
                <w:szCs w:val="19"/>
                <w:lang w:val="en-CA"/>
              </w:rPr>
            </w:pPr>
            <w:r w:rsidRPr="00D8042F">
              <w:rPr>
                <w:sz w:val="19"/>
                <w:szCs w:val="19"/>
                <w:lang w:val="en-CA"/>
              </w:rPr>
              <w:t>2 162,5</w:t>
            </w:r>
          </w:p>
        </w:tc>
        <w:tc>
          <w:tcPr>
            <w:tcW w:w="1199" w:type="dxa"/>
            <w:tcMar>
              <w:left w:w="0" w:type="dxa"/>
              <w:right w:w="173" w:type="dxa"/>
            </w:tcMar>
          </w:tcPr>
          <w:p w14:paraId="2732D58C" w14:textId="77777777" w:rsidR="00BA63AB" w:rsidRPr="00D8042F" w:rsidRDefault="00BA63AB" w:rsidP="00720BA7">
            <w:pPr>
              <w:jc w:val="right"/>
              <w:rPr>
                <w:sz w:val="19"/>
                <w:szCs w:val="19"/>
                <w:lang w:val="en-CA"/>
              </w:rPr>
            </w:pPr>
            <w:r w:rsidRPr="00D8042F">
              <w:rPr>
                <w:sz w:val="19"/>
                <w:szCs w:val="19"/>
                <w:lang w:val="en-CA"/>
              </w:rPr>
              <w:t>2 042,4</w:t>
            </w:r>
          </w:p>
        </w:tc>
        <w:tc>
          <w:tcPr>
            <w:tcW w:w="1134" w:type="dxa"/>
            <w:tcMar>
              <w:left w:w="0" w:type="dxa"/>
              <w:right w:w="173" w:type="dxa"/>
            </w:tcMar>
          </w:tcPr>
          <w:p w14:paraId="6437201E" w14:textId="77777777" w:rsidR="00BA63AB" w:rsidRPr="00D8042F" w:rsidRDefault="00BA63AB" w:rsidP="00720BA7">
            <w:pPr>
              <w:jc w:val="right"/>
              <w:rPr>
                <w:sz w:val="19"/>
                <w:szCs w:val="19"/>
                <w:lang w:val="en-CA"/>
              </w:rPr>
            </w:pPr>
            <w:r w:rsidRPr="00D8042F">
              <w:rPr>
                <w:sz w:val="19"/>
                <w:szCs w:val="19"/>
                <w:lang w:val="en-CA"/>
              </w:rPr>
              <w:t>1 609,9**</w:t>
            </w:r>
          </w:p>
        </w:tc>
        <w:tc>
          <w:tcPr>
            <w:tcW w:w="1134" w:type="dxa"/>
            <w:tcMar>
              <w:left w:w="0" w:type="dxa"/>
              <w:right w:w="173" w:type="dxa"/>
            </w:tcMar>
          </w:tcPr>
          <w:p w14:paraId="31D80AF2"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4828BCE8"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5DE3E5B3" w14:textId="77777777" w:rsidR="00BA63AB" w:rsidRPr="00D8042F" w:rsidRDefault="00BA63AB" w:rsidP="00720BA7">
            <w:pPr>
              <w:jc w:val="right"/>
              <w:rPr>
                <w:sz w:val="19"/>
                <w:szCs w:val="19"/>
                <w:lang w:val="en-CA"/>
              </w:rPr>
            </w:pPr>
            <w:r w:rsidRPr="00D8042F">
              <w:rPr>
                <w:sz w:val="19"/>
                <w:szCs w:val="19"/>
                <w:lang w:val="en-CA"/>
              </w:rPr>
              <w:t>s.o.</w:t>
            </w:r>
          </w:p>
        </w:tc>
        <w:tc>
          <w:tcPr>
            <w:tcW w:w="1280" w:type="dxa"/>
          </w:tcPr>
          <w:p w14:paraId="0AEFE091" w14:textId="77777777" w:rsidR="00BA63AB" w:rsidRPr="00D8042F" w:rsidRDefault="00BA63AB" w:rsidP="00720BA7">
            <w:pPr>
              <w:jc w:val="right"/>
              <w:rPr>
                <w:sz w:val="19"/>
                <w:szCs w:val="19"/>
                <w:lang w:val="en-CA"/>
              </w:rPr>
            </w:pPr>
            <w:r w:rsidRPr="00D8042F">
              <w:rPr>
                <w:sz w:val="19"/>
                <w:szCs w:val="19"/>
                <w:lang w:val="en-CA"/>
              </w:rPr>
              <w:t>s.o.</w:t>
            </w:r>
          </w:p>
        </w:tc>
      </w:tr>
      <w:tr w:rsidR="00BA63AB" w:rsidRPr="00D8042F" w14:paraId="0A358822" w14:textId="77777777" w:rsidTr="00720BA7">
        <w:tc>
          <w:tcPr>
            <w:tcW w:w="1170" w:type="dxa"/>
            <w:tcMar>
              <w:left w:w="29" w:type="dxa"/>
            </w:tcMar>
          </w:tcPr>
          <w:p w14:paraId="637F8A3E" w14:textId="77777777" w:rsidR="00BA63AB" w:rsidRPr="00D8042F" w:rsidRDefault="00BA63AB" w:rsidP="00720BA7">
            <w:pPr>
              <w:jc w:val="left"/>
              <w:rPr>
                <w:sz w:val="19"/>
                <w:szCs w:val="19"/>
                <w:lang w:val="en-CA"/>
              </w:rPr>
            </w:pPr>
            <w:r w:rsidRPr="00D8042F">
              <w:rPr>
                <w:sz w:val="19"/>
                <w:szCs w:val="19"/>
                <w:lang w:val="en-CA"/>
              </w:rPr>
              <w:t>RAC*</w:t>
            </w:r>
          </w:p>
        </w:tc>
        <w:tc>
          <w:tcPr>
            <w:tcW w:w="1170" w:type="dxa"/>
            <w:tcMar>
              <w:left w:w="0" w:type="dxa"/>
              <w:right w:w="173" w:type="dxa"/>
            </w:tcMar>
          </w:tcPr>
          <w:p w14:paraId="2EE7483D" w14:textId="77777777" w:rsidR="00BA63AB" w:rsidRPr="00D8042F" w:rsidRDefault="00BA63AB" w:rsidP="00720BA7">
            <w:pPr>
              <w:jc w:val="right"/>
              <w:rPr>
                <w:sz w:val="19"/>
                <w:szCs w:val="19"/>
                <w:lang w:val="en-CA"/>
              </w:rPr>
            </w:pPr>
            <w:r w:rsidRPr="00D8042F">
              <w:rPr>
                <w:sz w:val="19"/>
                <w:szCs w:val="19"/>
                <w:lang w:val="en-CA"/>
              </w:rPr>
              <w:t>3 697,7</w:t>
            </w:r>
          </w:p>
        </w:tc>
        <w:tc>
          <w:tcPr>
            <w:tcW w:w="1199" w:type="dxa"/>
            <w:tcMar>
              <w:left w:w="0" w:type="dxa"/>
              <w:right w:w="173" w:type="dxa"/>
            </w:tcMar>
          </w:tcPr>
          <w:p w14:paraId="79CB0C38" w14:textId="77777777" w:rsidR="00BA63AB" w:rsidRPr="00D8042F" w:rsidRDefault="00BA63AB" w:rsidP="00720BA7">
            <w:pPr>
              <w:jc w:val="right"/>
              <w:rPr>
                <w:sz w:val="19"/>
                <w:szCs w:val="19"/>
                <w:lang w:val="en-CA"/>
              </w:rPr>
            </w:pPr>
            <w:r w:rsidRPr="00D8042F">
              <w:rPr>
                <w:sz w:val="19"/>
                <w:szCs w:val="19"/>
                <w:lang w:val="en-CA"/>
              </w:rPr>
              <w:t>2 876,0</w:t>
            </w:r>
          </w:p>
        </w:tc>
        <w:tc>
          <w:tcPr>
            <w:tcW w:w="1134" w:type="dxa"/>
            <w:tcMar>
              <w:left w:w="0" w:type="dxa"/>
              <w:right w:w="173" w:type="dxa"/>
            </w:tcMar>
          </w:tcPr>
          <w:p w14:paraId="7DA0CC28" w14:textId="77777777" w:rsidR="00BA63AB" w:rsidRPr="00D8042F" w:rsidRDefault="00BA63AB" w:rsidP="00720BA7">
            <w:pPr>
              <w:jc w:val="right"/>
              <w:rPr>
                <w:sz w:val="19"/>
                <w:szCs w:val="19"/>
                <w:lang w:val="en-CA"/>
              </w:rPr>
            </w:pPr>
            <w:r w:rsidRPr="00D8042F">
              <w:rPr>
                <w:sz w:val="19"/>
                <w:szCs w:val="19"/>
                <w:lang w:val="en-CA"/>
              </w:rPr>
              <w:t>2 259,7**</w:t>
            </w:r>
          </w:p>
        </w:tc>
        <w:tc>
          <w:tcPr>
            <w:tcW w:w="1134" w:type="dxa"/>
            <w:tcMar>
              <w:left w:w="0" w:type="dxa"/>
              <w:right w:w="173" w:type="dxa"/>
            </w:tcMar>
          </w:tcPr>
          <w:p w14:paraId="1CC518A3"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504EF3AA"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7FE6A169" w14:textId="77777777" w:rsidR="00BA63AB" w:rsidRPr="00D8042F" w:rsidRDefault="00BA63AB" w:rsidP="00720BA7">
            <w:pPr>
              <w:jc w:val="right"/>
              <w:rPr>
                <w:sz w:val="19"/>
                <w:szCs w:val="19"/>
                <w:lang w:val="en-CA"/>
              </w:rPr>
            </w:pPr>
            <w:r w:rsidRPr="00D8042F">
              <w:rPr>
                <w:sz w:val="19"/>
                <w:szCs w:val="19"/>
                <w:lang w:val="en-CA"/>
              </w:rPr>
              <w:t>s.o.</w:t>
            </w:r>
          </w:p>
        </w:tc>
        <w:tc>
          <w:tcPr>
            <w:tcW w:w="1280" w:type="dxa"/>
          </w:tcPr>
          <w:p w14:paraId="4DCB457C" w14:textId="77777777" w:rsidR="00BA63AB" w:rsidRPr="00D8042F" w:rsidRDefault="00BA63AB" w:rsidP="00720BA7">
            <w:pPr>
              <w:jc w:val="right"/>
              <w:rPr>
                <w:sz w:val="19"/>
                <w:szCs w:val="19"/>
                <w:lang w:val="en-CA"/>
              </w:rPr>
            </w:pPr>
            <w:r w:rsidRPr="00D8042F">
              <w:rPr>
                <w:sz w:val="19"/>
                <w:szCs w:val="19"/>
                <w:lang w:val="en-CA"/>
              </w:rPr>
              <w:t>s.o.</w:t>
            </w:r>
          </w:p>
        </w:tc>
      </w:tr>
      <w:tr w:rsidR="00BA63AB" w:rsidRPr="00D8042F" w14:paraId="4A9F6ACF" w14:textId="77777777" w:rsidTr="00720BA7">
        <w:tc>
          <w:tcPr>
            <w:tcW w:w="1170" w:type="dxa"/>
            <w:tcMar>
              <w:left w:w="29" w:type="dxa"/>
            </w:tcMar>
          </w:tcPr>
          <w:p w14:paraId="42B42AE9" w14:textId="77777777" w:rsidR="00BA63AB" w:rsidRPr="00D8042F" w:rsidRDefault="00BA63AB" w:rsidP="00720BA7">
            <w:pPr>
              <w:jc w:val="left"/>
              <w:rPr>
                <w:sz w:val="19"/>
                <w:szCs w:val="19"/>
                <w:lang w:val="en-CA"/>
              </w:rPr>
            </w:pPr>
            <w:r w:rsidRPr="00D8042F">
              <w:rPr>
                <w:sz w:val="19"/>
                <w:szCs w:val="19"/>
                <w:lang w:val="en-CA"/>
              </w:rPr>
              <w:t>Solvants</w:t>
            </w:r>
          </w:p>
        </w:tc>
        <w:tc>
          <w:tcPr>
            <w:tcW w:w="1170" w:type="dxa"/>
            <w:tcMar>
              <w:left w:w="0" w:type="dxa"/>
              <w:right w:w="173" w:type="dxa"/>
            </w:tcMar>
          </w:tcPr>
          <w:p w14:paraId="14DF0D15" w14:textId="77777777" w:rsidR="00BA63AB" w:rsidRPr="00D8042F" w:rsidRDefault="00BA63AB" w:rsidP="00720BA7">
            <w:pPr>
              <w:jc w:val="right"/>
              <w:rPr>
                <w:sz w:val="19"/>
                <w:szCs w:val="19"/>
                <w:lang w:val="en-CA"/>
              </w:rPr>
            </w:pPr>
            <w:r w:rsidRPr="00D8042F">
              <w:rPr>
                <w:sz w:val="19"/>
                <w:szCs w:val="19"/>
                <w:lang w:val="en-CA"/>
              </w:rPr>
              <w:t>455,2</w:t>
            </w:r>
          </w:p>
        </w:tc>
        <w:tc>
          <w:tcPr>
            <w:tcW w:w="1199" w:type="dxa"/>
            <w:tcMar>
              <w:left w:w="0" w:type="dxa"/>
              <w:right w:w="173" w:type="dxa"/>
            </w:tcMar>
          </w:tcPr>
          <w:p w14:paraId="4C058956" w14:textId="77777777" w:rsidR="00BA63AB" w:rsidRPr="00D8042F" w:rsidRDefault="00BA63AB" w:rsidP="00720BA7">
            <w:pPr>
              <w:jc w:val="right"/>
              <w:rPr>
                <w:sz w:val="19"/>
                <w:szCs w:val="19"/>
                <w:lang w:val="en-CA"/>
              </w:rPr>
            </w:pPr>
            <w:r w:rsidRPr="00D8042F">
              <w:rPr>
                <w:sz w:val="19"/>
                <w:szCs w:val="19"/>
                <w:lang w:val="en-CA"/>
              </w:rPr>
              <w:t>395,4</w:t>
            </w:r>
          </w:p>
        </w:tc>
        <w:tc>
          <w:tcPr>
            <w:tcW w:w="1134" w:type="dxa"/>
            <w:tcMar>
              <w:left w:w="0" w:type="dxa"/>
              <w:right w:w="173" w:type="dxa"/>
            </w:tcMar>
          </w:tcPr>
          <w:p w14:paraId="0B72969D" w14:textId="77777777" w:rsidR="00BA63AB" w:rsidRPr="00D8042F" w:rsidRDefault="00BA63AB" w:rsidP="00720BA7">
            <w:pPr>
              <w:jc w:val="right"/>
              <w:rPr>
                <w:sz w:val="19"/>
                <w:szCs w:val="19"/>
                <w:lang w:val="en-CA"/>
              </w:rPr>
            </w:pPr>
            <w:r w:rsidRPr="00D8042F">
              <w:rPr>
                <w:sz w:val="19"/>
                <w:szCs w:val="19"/>
                <w:lang w:val="en-CA"/>
              </w:rPr>
              <w:t>321,2</w:t>
            </w:r>
          </w:p>
        </w:tc>
        <w:tc>
          <w:tcPr>
            <w:tcW w:w="1134" w:type="dxa"/>
            <w:tcMar>
              <w:left w:w="0" w:type="dxa"/>
              <w:right w:w="173" w:type="dxa"/>
            </w:tcMar>
          </w:tcPr>
          <w:p w14:paraId="4608CDDE" w14:textId="77777777" w:rsidR="00BA63AB" w:rsidRPr="00D8042F" w:rsidRDefault="00BA63AB" w:rsidP="00720BA7">
            <w:pPr>
              <w:jc w:val="right"/>
              <w:rPr>
                <w:sz w:val="19"/>
                <w:szCs w:val="19"/>
                <w:lang w:val="en-CA"/>
              </w:rPr>
            </w:pPr>
            <w:r w:rsidRPr="00D8042F">
              <w:rPr>
                <w:sz w:val="19"/>
                <w:szCs w:val="19"/>
                <w:lang w:val="en-CA"/>
              </w:rPr>
              <w:t>321,2</w:t>
            </w:r>
          </w:p>
        </w:tc>
        <w:tc>
          <w:tcPr>
            <w:tcW w:w="1134" w:type="dxa"/>
            <w:tcMar>
              <w:left w:w="0" w:type="dxa"/>
              <w:right w:w="173" w:type="dxa"/>
            </w:tcMar>
          </w:tcPr>
          <w:p w14:paraId="5ACE8667" w14:textId="77777777" w:rsidR="00BA63AB" w:rsidRPr="00D8042F" w:rsidRDefault="00BA63AB" w:rsidP="00720BA7">
            <w:pPr>
              <w:jc w:val="right"/>
              <w:rPr>
                <w:sz w:val="19"/>
                <w:szCs w:val="19"/>
                <w:lang w:val="en-CA"/>
              </w:rPr>
            </w:pPr>
            <w:r w:rsidRPr="00D8042F">
              <w:rPr>
                <w:sz w:val="19"/>
                <w:szCs w:val="19"/>
                <w:lang w:val="en-CA"/>
              </w:rPr>
              <w:t>148,3</w:t>
            </w:r>
          </w:p>
        </w:tc>
        <w:tc>
          <w:tcPr>
            <w:tcW w:w="1134" w:type="dxa"/>
            <w:tcMar>
              <w:left w:w="0" w:type="dxa"/>
              <w:right w:w="173" w:type="dxa"/>
            </w:tcMar>
          </w:tcPr>
          <w:p w14:paraId="40070592" w14:textId="77777777" w:rsidR="00BA63AB" w:rsidRPr="00D8042F" w:rsidRDefault="00BA63AB" w:rsidP="00720BA7">
            <w:pPr>
              <w:jc w:val="right"/>
              <w:rPr>
                <w:sz w:val="19"/>
                <w:szCs w:val="19"/>
                <w:lang w:val="en-CA"/>
              </w:rPr>
            </w:pPr>
            <w:r w:rsidRPr="00D8042F">
              <w:rPr>
                <w:sz w:val="19"/>
                <w:szCs w:val="19"/>
                <w:lang w:val="en-CA"/>
              </w:rPr>
              <w:t>55,0</w:t>
            </w:r>
          </w:p>
        </w:tc>
        <w:tc>
          <w:tcPr>
            <w:tcW w:w="1280" w:type="dxa"/>
          </w:tcPr>
          <w:p w14:paraId="686D77F2" w14:textId="77777777" w:rsidR="00BA63AB" w:rsidRPr="00D8042F" w:rsidRDefault="00BA63AB" w:rsidP="00720BA7">
            <w:pPr>
              <w:jc w:val="right"/>
              <w:rPr>
                <w:sz w:val="19"/>
                <w:szCs w:val="19"/>
                <w:lang w:val="en-CA"/>
              </w:rPr>
            </w:pPr>
            <w:r w:rsidRPr="00D8042F">
              <w:rPr>
                <w:sz w:val="19"/>
                <w:szCs w:val="19"/>
                <w:lang w:val="en-CA"/>
              </w:rPr>
              <w:t>0,0</w:t>
            </w:r>
          </w:p>
        </w:tc>
      </w:tr>
      <w:tr w:rsidR="00BA63AB" w:rsidRPr="00D8042F" w14:paraId="48287B95" w14:textId="77777777" w:rsidTr="00720BA7">
        <w:tc>
          <w:tcPr>
            <w:tcW w:w="1170" w:type="dxa"/>
            <w:tcMar>
              <w:left w:w="29" w:type="dxa"/>
            </w:tcMar>
          </w:tcPr>
          <w:p w14:paraId="60D1769E" w14:textId="77777777" w:rsidR="00BA63AB" w:rsidRPr="00D8042F" w:rsidRDefault="00BA63AB" w:rsidP="00720BA7">
            <w:pPr>
              <w:jc w:val="left"/>
              <w:rPr>
                <w:sz w:val="19"/>
                <w:szCs w:val="19"/>
                <w:lang w:val="fr-CA"/>
              </w:rPr>
            </w:pPr>
            <w:r w:rsidRPr="00D8042F">
              <w:rPr>
                <w:sz w:val="19"/>
                <w:szCs w:val="19"/>
                <w:lang w:val="fr-CA"/>
              </w:rPr>
              <w:t xml:space="preserve">Entretien et activités </w:t>
            </w:r>
            <w:r>
              <w:rPr>
                <w:sz w:val="19"/>
                <w:szCs w:val="19"/>
                <w:lang w:val="fr-CA"/>
              </w:rPr>
              <w:t>de facilitation</w:t>
            </w:r>
            <w:r w:rsidRPr="00D8042F">
              <w:rPr>
                <w:sz w:val="19"/>
                <w:szCs w:val="19"/>
                <w:lang w:val="fr-CA"/>
              </w:rPr>
              <w:t xml:space="preserve"> </w:t>
            </w:r>
          </w:p>
        </w:tc>
        <w:tc>
          <w:tcPr>
            <w:tcW w:w="1170" w:type="dxa"/>
            <w:tcMar>
              <w:left w:w="0" w:type="dxa"/>
              <w:right w:w="173" w:type="dxa"/>
            </w:tcMar>
          </w:tcPr>
          <w:p w14:paraId="5EC0690F" w14:textId="77777777" w:rsidR="00BA63AB" w:rsidRPr="00D8042F" w:rsidRDefault="00BA63AB" w:rsidP="00720BA7">
            <w:pPr>
              <w:jc w:val="right"/>
              <w:rPr>
                <w:sz w:val="19"/>
                <w:szCs w:val="19"/>
                <w:lang w:val="en-CA"/>
              </w:rPr>
            </w:pPr>
            <w:r w:rsidRPr="00D8042F">
              <w:rPr>
                <w:sz w:val="19"/>
                <w:szCs w:val="19"/>
                <w:lang w:val="en-CA"/>
              </w:rPr>
              <w:t>s.o.</w:t>
            </w:r>
          </w:p>
        </w:tc>
        <w:tc>
          <w:tcPr>
            <w:tcW w:w="1199" w:type="dxa"/>
            <w:tcMar>
              <w:left w:w="0" w:type="dxa"/>
              <w:right w:w="173" w:type="dxa"/>
            </w:tcMar>
          </w:tcPr>
          <w:p w14:paraId="168B403D"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772C2B30"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7481D821"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344D6865"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18AAAEA7" w14:textId="77777777" w:rsidR="00BA63AB" w:rsidRPr="00D8042F" w:rsidRDefault="00BA63AB" w:rsidP="00720BA7">
            <w:pPr>
              <w:jc w:val="right"/>
              <w:rPr>
                <w:sz w:val="19"/>
                <w:szCs w:val="19"/>
                <w:lang w:val="en-CA"/>
              </w:rPr>
            </w:pPr>
            <w:r w:rsidRPr="00D8042F">
              <w:rPr>
                <w:sz w:val="19"/>
                <w:szCs w:val="19"/>
                <w:lang w:val="en-CA"/>
              </w:rPr>
              <w:t>s.o.</w:t>
            </w:r>
          </w:p>
        </w:tc>
        <w:tc>
          <w:tcPr>
            <w:tcW w:w="1280" w:type="dxa"/>
          </w:tcPr>
          <w:p w14:paraId="66FB0CD7" w14:textId="77777777" w:rsidR="00BA63AB" w:rsidRPr="00D8042F" w:rsidRDefault="00BA63AB" w:rsidP="00720BA7">
            <w:pPr>
              <w:jc w:val="right"/>
              <w:rPr>
                <w:sz w:val="19"/>
                <w:szCs w:val="19"/>
                <w:lang w:val="en-CA"/>
              </w:rPr>
            </w:pPr>
            <w:r w:rsidRPr="00D8042F">
              <w:rPr>
                <w:sz w:val="19"/>
                <w:szCs w:val="19"/>
                <w:lang w:val="en-CA"/>
              </w:rPr>
              <w:t>s.o.</w:t>
            </w:r>
          </w:p>
        </w:tc>
      </w:tr>
      <w:tr w:rsidR="00BA63AB" w:rsidRPr="00D8042F" w14:paraId="7E5BD1FB" w14:textId="77777777" w:rsidTr="00720BA7">
        <w:tc>
          <w:tcPr>
            <w:tcW w:w="9355" w:type="dxa"/>
            <w:gridSpan w:val="8"/>
            <w:tcMar>
              <w:left w:w="29" w:type="dxa"/>
              <w:right w:w="173" w:type="dxa"/>
            </w:tcMar>
          </w:tcPr>
          <w:p w14:paraId="5419D70C" w14:textId="77777777" w:rsidR="00BA63AB" w:rsidRPr="00D8042F" w:rsidRDefault="00BA63AB" w:rsidP="00720BA7">
            <w:pPr>
              <w:jc w:val="center"/>
              <w:rPr>
                <w:b/>
                <w:sz w:val="19"/>
                <w:szCs w:val="19"/>
                <w:lang w:val="en-CA"/>
              </w:rPr>
            </w:pPr>
            <w:r w:rsidRPr="00D8042F">
              <w:rPr>
                <w:b/>
                <w:sz w:val="19"/>
                <w:szCs w:val="19"/>
                <w:lang w:val="en-CA"/>
              </w:rPr>
              <w:t>Quantité éliminée par secteur</w:t>
            </w:r>
          </w:p>
        </w:tc>
      </w:tr>
      <w:tr w:rsidR="00BA63AB" w:rsidRPr="00D8042F" w14:paraId="5DE2D67D" w14:textId="77777777" w:rsidTr="00720BA7">
        <w:tc>
          <w:tcPr>
            <w:tcW w:w="1170" w:type="dxa"/>
            <w:tcMar>
              <w:left w:w="29" w:type="dxa"/>
            </w:tcMar>
            <w:vAlign w:val="center"/>
          </w:tcPr>
          <w:p w14:paraId="2393763B" w14:textId="77777777" w:rsidR="00BA63AB" w:rsidRPr="00D8042F" w:rsidRDefault="00BA63AB" w:rsidP="00720BA7">
            <w:pPr>
              <w:jc w:val="left"/>
              <w:rPr>
                <w:sz w:val="19"/>
                <w:szCs w:val="19"/>
                <w:lang w:val="en-CA"/>
              </w:rPr>
            </w:pPr>
            <w:r w:rsidRPr="00D8042F">
              <w:rPr>
                <w:b/>
                <w:sz w:val="19"/>
                <w:szCs w:val="19"/>
                <w:lang w:val="en-CA"/>
              </w:rPr>
              <w:t>Plan sectoriel</w:t>
            </w:r>
          </w:p>
        </w:tc>
        <w:tc>
          <w:tcPr>
            <w:tcW w:w="1170" w:type="dxa"/>
            <w:tcMar>
              <w:left w:w="0" w:type="dxa"/>
              <w:right w:w="173" w:type="dxa"/>
            </w:tcMar>
            <w:vAlign w:val="center"/>
          </w:tcPr>
          <w:p w14:paraId="6B2B8C93" w14:textId="77777777" w:rsidR="00BA63AB" w:rsidRPr="00D8042F" w:rsidRDefault="00BA63AB" w:rsidP="00720BA7">
            <w:pPr>
              <w:jc w:val="center"/>
              <w:rPr>
                <w:b/>
                <w:sz w:val="19"/>
                <w:szCs w:val="19"/>
                <w:lang w:val="en-CA"/>
              </w:rPr>
            </w:pPr>
            <w:r w:rsidRPr="00D8042F">
              <w:rPr>
                <w:b/>
                <w:sz w:val="19"/>
                <w:szCs w:val="19"/>
                <w:lang w:val="en-CA"/>
              </w:rPr>
              <w:t>2018</w:t>
            </w:r>
          </w:p>
        </w:tc>
        <w:tc>
          <w:tcPr>
            <w:tcW w:w="1199" w:type="dxa"/>
            <w:tcMar>
              <w:left w:w="0" w:type="dxa"/>
              <w:right w:w="173" w:type="dxa"/>
            </w:tcMar>
            <w:vAlign w:val="center"/>
          </w:tcPr>
          <w:p w14:paraId="00BCC6C3" w14:textId="77777777" w:rsidR="00BA63AB" w:rsidRPr="00D8042F" w:rsidRDefault="00BA63AB" w:rsidP="00720BA7">
            <w:pPr>
              <w:jc w:val="center"/>
              <w:rPr>
                <w:b/>
                <w:sz w:val="19"/>
                <w:szCs w:val="19"/>
                <w:lang w:val="en-CA"/>
              </w:rPr>
            </w:pPr>
            <w:r w:rsidRPr="00D8042F">
              <w:rPr>
                <w:b/>
                <w:sz w:val="19"/>
                <w:szCs w:val="19"/>
                <w:lang w:val="en-CA"/>
              </w:rPr>
              <w:t>2020</w:t>
            </w:r>
          </w:p>
        </w:tc>
        <w:tc>
          <w:tcPr>
            <w:tcW w:w="1134" w:type="dxa"/>
            <w:tcMar>
              <w:left w:w="0" w:type="dxa"/>
              <w:right w:w="173" w:type="dxa"/>
            </w:tcMar>
            <w:vAlign w:val="center"/>
          </w:tcPr>
          <w:p w14:paraId="6521D4EB" w14:textId="77777777" w:rsidR="00BA63AB" w:rsidRPr="00D8042F" w:rsidRDefault="00BA63AB" w:rsidP="00720BA7">
            <w:pPr>
              <w:jc w:val="center"/>
              <w:rPr>
                <w:b/>
                <w:sz w:val="19"/>
                <w:szCs w:val="19"/>
                <w:lang w:val="en-CA"/>
              </w:rPr>
            </w:pPr>
            <w:r w:rsidRPr="00D8042F">
              <w:rPr>
                <w:b/>
                <w:sz w:val="19"/>
                <w:szCs w:val="19"/>
                <w:lang w:val="en-CA"/>
              </w:rPr>
              <w:t>2023</w:t>
            </w:r>
          </w:p>
        </w:tc>
        <w:tc>
          <w:tcPr>
            <w:tcW w:w="1134" w:type="dxa"/>
            <w:tcMar>
              <w:left w:w="0" w:type="dxa"/>
              <w:right w:w="173" w:type="dxa"/>
            </w:tcMar>
            <w:vAlign w:val="center"/>
          </w:tcPr>
          <w:p w14:paraId="5DF23069" w14:textId="77777777" w:rsidR="00BA63AB" w:rsidRPr="00D8042F" w:rsidRDefault="00BA63AB" w:rsidP="00720BA7">
            <w:pPr>
              <w:jc w:val="center"/>
              <w:rPr>
                <w:b/>
                <w:sz w:val="19"/>
                <w:szCs w:val="19"/>
                <w:lang w:val="en-CA"/>
              </w:rPr>
            </w:pPr>
            <w:r w:rsidRPr="00D8042F">
              <w:rPr>
                <w:b/>
                <w:sz w:val="19"/>
                <w:szCs w:val="19"/>
                <w:lang w:val="en-CA"/>
              </w:rPr>
              <w:t>2025</w:t>
            </w:r>
          </w:p>
        </w:tc>
        <w:tc>
          <w:tcPr>
            <w:tcW w:w="1134" w:type="dxa"/>
            <w:tcMar>
              <w:left w:w="0" w:type="dxa"/>
              <w:right w:w="173" w:type="dxa"/>
            </w:tcMar>
            <w:vAlign w:val="center"/>
          </w:tcPr>
          <w:p w14:paraId="2F3806CF" w14:textId="77777777" w:rsidR="00BA63AB" w:rsidRPr="00D8042F" w:rsidRDefault="00BA63AB" w:rsidP="00720BA7">
            <w:pPr>
              <w:jc w:val="center"/>
              <w:rPr>
                <w:b/>
                <w:sz w:val="19"/>
                <w:szCs w:val="19"/>
                <w:lang w:val="en-CA"/>
              </w:rPr>
            </w:pPr>
            <w:r w:rsidRPr="00D8042F">
              <w:rPr>
                <w:b/>
                <w:sz w:val="19"/>
                <w:szCs w:val="19"/>
                <w:lang w:val="en-CA"/>
              </w:rPr>
              <w:t>2026</w:t>
            </w:r>
          </w:p>
        </w:tc>
        <w:tc>
          <w:tcPr>
            <w:tcW w:w="1134" w:type="dxa"/>
            <w:tcMar>
              <w:left w:w="0" w:type="dxa"/>
              <w:right w:w="173" w:type="dxa"/>
            </w:tcMar>
            <w:vAlign w:val="center"/>
          </w:tcPr>
          <w:p w14:paraId="136A04CD" w14:textId="77777777" w:rsidR="00BA63AB" w:rsidRPr="00D8042F" w:rsidRDefault="00BA63AB" w:rsidP="00720BA7">
            <w:pPr>
              <w:jc w:val="center"/>
              <w:rPr>
                <w:b/>
                <w:sz w:val="19"/>
                <w:szCs w:val="19"/>
                <w:lang w:val="en-CA"/>
              </w:rPr>
            </w:pPr>
            <w:r w:rsidRPr="00D8042F">
              <w:rPr>
                <w:b/>
                <w:sz w:val="19"/>
                <w:szCs w:val="19"/>
                <w:lang w:val="en-CA"/>
              </w:rPr>
              <w:t>Total</w:t>
            </w:r>
          </w:p>
        </w:tc>
        <w:tc>
          <w:tcPr>
            <w:tcW w:w="1280" w:type="dxa"/>
            <w:tcMar>
              <w:left w:w="0" w:type="dxa"/>
              <w:right w:w="0" w:type="dxa"/>
            </w:tcMar>
          </w:tcPr>
          <w:p w14:paraId="6546D887" w14:textId="77777777" w:rsidR="00BA63AB" w:rsidRPr="00D8042F" w:rsidRDefault="00BA63AB" w:rsidP="00720BA7">
            <w:pPr>
              <w:jc w:val="center"/>
              <w:rPr>
                <w:b/>
                <w:sz w:val="19"/>
                <w:szCs w:val="19"/>
                <w:lang w:val="fr-CA"/>
              </w:rPr>
            </w:pPr>
            <w:r w:rsidRPr="00D8042F">
              <w:rPr>
                <w:b/>
                <w:sz w:val="19"/>
                <w:szCs w:val="19"/>
                <w:lang w:val="fr-CA"/>
              </w:rPr>
              <w:t xml:space="preserve">Réduction par rapport à la valeur de référence </w:t>
            </w:r>
          </w:p>
          <w:p w14:paraId="69EDABC0" w14:textId="77777777" w:rsidR="00BA63AB" w:rsidRPr="00D8042F" w:rsidRDefault="00BA63AB" w:rsidP="00720BA7">
            <w:pPr>
              <w:jc w:val="center"/>
              <w:rPr>
                <w:b/>
                <w:sz w:val="19"/>
                <w:szCs w:val="19"/>
                <w:lang w:val="fr-CA"/>
              </w:rPr>
            </w:pPr>
            <w:r w:rsidRPr="00D8042F">
              <w:rPr>
                <w:b/>
                <w:sz w:val="19"/>
                <w:szCs w:val="19"/>
                <w:lang w:val="fr-CA"/>
              </w:rPr>
              <w:t>(%)</w:t>
            </w:r>
          </w:p>
        </w:tc>
      </w:tr>
      <w:tr w:rsidR="00BA63AB" w:rsidRPr="00D8042F" w14:paraId="09821E59" w14:textId="77777777" w:rsidTr="00720BA7">
        <w:tc>
          <w:tcPr>
            <w:tcW w:w="1170" w:type="dxa"/>
            <w:tcMar>
              <w:left w:w="29" w:type="dxa"/>
            </w:tcMar>
          </w:tcPr>
          <w:p w14:paraId="624B6F45" w14:textId="77777777" w:rsidR="00BA63AB" w:rsidRPr="00D8042F" w:rsidRDefault="00BA63AB" w:rsidP="00720BA7">
            <w:pPr>
              <w:rPr>
                <w:b/>
                <w:sz w:val="19"/>
                <w:szCs w:val="19"/>
                <w:lang w:val="en-CA"/>
              </w:rPr>
            </w:pPr>
            <w:r w:rsidRPr="00D8042F">
              <w:rPr>
                <w:sz w:val="19"/>
                <w:szCs w:val="19"/>
                <w:lang w:val="en-CA"/>
              </w:rPr>
              <w:t>XPS*</w:t>
            </w:r>
          </w:p>
        </w:tc>
        <w:tc>
          <w:tcPr>
            <w:tcW w:w="1170" w:type="dxa"/>
            <w:tcMar>
              <w:left w:w="0" w:type="dxa"/>
              <w:right w:w="173" w:type="dxa"/>
            </w:tcMar>
          </w:tcPr>
          <w:p w14:paraId="02F89F8F" w14:textId="77777777" w:rsidR="00BA63AB" w:rsidRPr="00D8042F" w:rsidRDefault="00BA63AB" w:rsidP="00720BA7">
            <w:pPr>
              <w:jc w:val="right"/>
              <w:rPr>
                <w:sz w:val="19"/>
                <w:szCs w:val="19"/>
                <w:lang w:val="en-CA"/>
              </w:rPr>
            </w:pPr>
            <w:r w:rsidRPr="00D8042F">
              <w:rPr>
                <w:sz w:val="19"/>
                <w:szCs w:val="19"/>
                <w:lang w:val="en-CA"/>
              </w:rPr>
              <w:t>254,0</w:t>
            </w:r>
          </w:p>
        </w:tc>
        <w:tc>
          <w:tcPr>
            <w:tcW w:w="1199" w:type="dxa"/>
            <w:tcMar>
              <w:left w:w="0" w:type="dxa"/>
              <w:right w:w="173" w:type="dxa"/>
            </w:tcMar>
          </w:tcPr>
          <w:p w14:paraId="170DDD3C" w14:textId="77777777" w:rsidR="00BA63AB" w:rsidRPr="00D8042F" w:rsidRDefault="00BA63AB" w:rsidP="00720BA7">
            <w:pPr>
              <w:jc w:val="right"/>
              <w:rPr>
                <w:sz w:val="19"/>
                <w:szCs w:val="19"/>
                <w:lang w:val="en-CA"/>
              </w:rPr>
            </w:pPr>
            <w:r w:rsidRPr="00D8042F">
              <w:rPr>
                <w:sz w:val="19"/>
                <w:szCs w:val="19"/>
                <w:lang w:val="en-CA"/>
              </w:rPr>
              <w:t>635,0</w:t>
            </w:r>
          </w:p>
        </w:tc>
        <w:tc>
          <w:tcPr>
            <w:tcW w:w="1134" w:type="dxa"/>
            <w:tcMar>
              <w:left w:w="0" w:type="dxa"/>
              <w:right w:w="173" w:type="dxa"/>
            </w:tcMar>
          </w:tcPr>
          <w:p w14:paraId="09ED07B1" w14:textId="77777777" w:rsidR="00BA63AB" w:rsidRPr="00D8042F" w:rsidRDefault="00BA63AB" w:rsidP="00720BA7">
            <w:pPr>
              <w:jc w:val="right"/>
              <w:rPr>
                <w:sz w:val="19"/>
                <w:szCs w:val="19"/>
                <w:lang w:val="en-CA"/>
              </w:rPr>
            </w:pPr>
            <w:r w:rsidRPr="00D8042F">
              <w:rPr>
                <w:sz w:val="19"/>
                <w:szCs w:val="19"/>
                <w:lang w:val="en-CA"/>
              </w:rPr>
              <w:t>635,0</w:t>
            </w:r>
          </w:p>
        </w:tc>
        <w:tc>
          <w:tcPr>
            <w:tcW w:w="1134" w:type="dxa"/>
            <w:tcMar>
              <w:left w:w="0" w:type="dxa"/>
              <w:right w:w="173" w:type="dxa"/>
            </w:tcMar>
          </w:tcPr>
          <w:p w14:paraId="654CC0F4" w14:textId="77777777" w:rsidR="00BA63AB" w:rsidRPr="00D8042F" w:rsidRDefault="00BA63AB" w:rsidP="00720BA7">
            <w:pPr>
              <w:jc w:val="right"/>
              <w:rPr>
                <w:sz w:val="19"/>
                <w:szCs w:val="19"/>
                <w:lang w:val="en-CA"/>
              </w:rPr>
            </w:pPr>
            <w:r w:rsidRPr="00D8042F">
              <w:rPr>
                <w:sz w:val="19"/>
                <w:szCs w:val="19"/>
                <w:lang w:val="en-CA"/>
              </w:rPr>
              <w:t>597,0</w:t>
            </w:r>
          </w:p>
        </w:tc>
        <w:tc>
          <w:tcPr>
            <w:tcW w:w="1134" w:type="dxa"/>
            <w:tcMar>
              <w:left w:w="0" w:type="dxa"/>
              <w:right w:w="173" w:type="dxa"/>
            </w:tcMar>
          </w:tcPr>
          <w:p w14:paraId="4C933E8F" w14:textId="77777777" w:rsidR="00BA63AB" w:rsidRPr="00D8042F" w:rsidRDefault="00BA63AB" w:rsidP="00720BA7">
            <w:pPr>
              <w:jc w:val="right"/>
              <w:rPr>
                <w:sz w:val="19"/>
                <w:szCs w:val="19"/>
                <w:lang w:val="en-CA"/>
              </w:rPr>
            </w:pPr>
            <w:r w:rsidRPr="00D8042F">
              <w:rPr>
                <w:sz w:val="19"/>
                <w:szCs w:val="19"/>
                <w:lang w:val="en-CA"/>
              </w:rPr>
              <w:t>165,0</w:t>
            </w:r>
          </w:p>
        </w:tc>
        <w:tc>
          <w:tcPr>
            <w:tcW w:w="1134" w:type="dxa"/>
            <w:tcMar>
              <w:left w:w="0" w:type="dxa"/>
              <w:right w:w="173" w:type="dxa"/>
            </w:tcMar>
            <w:vAlign w:val="center"/>
          </w:tcPr>
          <w:p w14:paraId="47D3DFB2" w14:textId="77777777" w:rsidR="00BA63AB" w:rsidRPr="00D8042F" w:rsidRDefault="00BA63AB" w:rsidP="00720BA7">
            <w:pPr>
              <w:jc w:val="right"/>
              <w:rPr>
                <w:sz w:val="19"/>
                <w:szCs w:val="19"/>
                <w:lang w:val="en-CA"/>
              </w:rPr>
            </w:pPr>
            <w:r w:rsidRPr="00D8042F">
              <w:rPr>
                <w:color w:val="000000"/>
                <w:sz w:val="19"/>
                <w:szCs w:val="19"/>
                <w:lang w:val="en-CA"/>
              </w:rPr>
              <w:t>2 286</w:t>
            </w:r>
          </w:p>
        </w:tc>
        <w:tc>
          <w:tcPr>
            <w:tcW w:w="1280" w:type="dxa"/>
            <w:tcMar>
              <w:left w:w="115" w:type="dxa"/>
              <w:right w:w="173" w:type="dxa"/>
            </w:tcMar>
          </w:tcPr>
          <w:p w14:paraId="26399126" w14:textId="77777777" w:rsidR="00BA63AB" w:rsidRPr="00D8042F" w:rsidRDefault="00BA63AB" w:rsidP="00720BA7">
            <w:pPr>
              <w:jc w:val="right"/>
              <w:rPr>
                <w:color w:val="000000"/>
                <w:sz w:val="19"/>
                <w:szCs w:val="19"/>
                <w:lang w:val="en-CA"/>
              </w:rPr>
            </w:pPr>
            <w:r w:rsidRPr="00D8042F">
              <w:rPr>
                <w:color w:val="000000"/>
                <w:sz w:val="19"/>
                <w:szCs w:val="19"/>
                <w:lang w:val="en-CA"/>
              </w:rPr>
              <w:t xml:space="preserve">100 </w:t>
            </w:r>
            <w:r>
              <w:rPr>
                <w:color w:val="000000"/>
                <w:sz w:val="19"/>
                <w:szCs w:val="19"/>
                <w:lang w:val="en-CA"/>
              </w:rPr>
              <w:t>en</w:t>
            </w:r>
            <w:r w:rsidRPr="00D8042F">
              <w:rPr>
                <w:color w:val="000000"/>
                <w:sz w:val="19"/>
                <w:szCs w:val="19"/>
                <w:lang w:val="en-CA"/>
              </w:rPr>
              <w:t xml:space="preserve"> 2026</w:t>
            </w:r>
          </w:p>
        </w:tc>
      </w:tr>
      <w:tr w:rsidR="00BA63AB" w:rsidRPr="00D8042F" w14:paraId="7E5C6E27" w14:textId="77777777" w:rsidTr="00720BA7">
        <w:tc>
          <w:tcPr>
            <w:tcW w:w="1170" w:type="dxa"/>
            <w:tcMar>
              <w:left w:w="29" w:type="dxa"/>
            </w:tcMar>
          </w:tcPr>
          <w:p w14:paraId="5FD2F101" w14:textId="77777777" w:rsidR="00BA63AB" w:rsidRPr="00D8042F" w:rsidRDefault="00BA63AB" w:rsidP="00720BA7">
            <w:pPr>
              <w:rPr>
                <w:b/>
                <w:sz w:val="19"/>
                <w:szCs w:val="19"/>
                <w:lang w:val="en-CA"/>
              </w:rPr>
            </w:pPr>
            <w:r w:rsidRPr="00D8042F">
              <w:rPr>
                <w:sz w:val="19"/>
                <w:szCs w:val="19"/>
                <w:lang w:val="en-CA"/>
              </w:rPr>
              <w:t>PU*</w:t>
            </w:r>
          </w:p>
        </w:tc>
        <w:tc>
          <w:tcPr>
            <w:tcW w:w="1170" w:type="dxa"/>
            <w:tcMar>
              <w:left w:w="0" w:type="dxa"/>
              <w:right w:w="173" w:type="dxa"/>
            </w:tcMar>
          </w:tcPr>
          <w:p w14:paraId="3A74A7CD" w14:textId="77777777" w:rsidR="00BA63AB" w:rsidRPr="00D8042F" w:rsidRDefault="00BA63AB" w:rsidP="00720BA7">
            <w:pPr>
              <w:jc w:val="right"/>
              <w:rPr>
                <w:sz w:val="19"/>
                <w:szCs w:val="19"/>
                <w:lang w:val="en-CA"/>
              </w:rPr>
            </w:pPr>
            <w:r w:rsidRPr="00D8042F">
              <w:rPr>
                <w:sz w:val="19"/>
                <w:szCs w:val="19"/>
                <w:lang w:val="en-CA"/>
              </w:rPr>
              <w:t>675,1</w:t>
            </w:r>
          </w:p>
        </w:tc>
        <w:tc>
          <w:tcPr>
            <w:tcW w:w="1199" w:type="dxa"/>
            <w:tcMar>
              <w:left w:w="0" w:type="dxa"/>
              <w:right w:w="173" w:type="dxa"/>
            </w:tcMar>
          </w:tcPr>
          <w:p w14:paraId="285647A7" w14:textId="77777777" w:rsidR="00BA63AB" w:rsidRPr="00D8042F" w:rsidRDefault="00BA63AB" w:rsidP="00720BA7">
            <w:pPr>
              <w:jc w:val="right"/>
              <w:rPr>
                <w:sz w:val="19"/>
                <w:szCs w:val="19"/>
                <w:lang w:val="en-CA"/>
              </w:rPr>
            </w:pPr>
            <w:r w:rsidRPr="00D8042F">
              <w:rPr>
                <w:sz w:val="19"/>
                <w:szCs w:val="19"/>
                <w:lang w:val="en-CA"/>
              </w:rPr>
              <w:t>808,8</w:t>
            </w:r>
          </w:p>
        </w:tc>
        <w:tc>
          <w:tcPr>
            <w:tcW w:w="1134" w:type="dxa"/>
            <w:tcMar>
              <w:left w:w="0" w:type="dxa"/>
              <w:right w:w="173" w:type="dxa"/>
            </w:tcMar>
          </w:tcPr>
          <w:p w14:paraId="1107A5E4" w14:textId="77777777" w:rsidR="00BA63AB" w:rsidRPr="00D8042F" w:rsidRDefault="00BA63AB" w:rsidP="00720BA7">
            <w:pPr>
              <w:jc w:val="right"/>
              <w:rPr>
                <w:sz w:val="19"/>
                <w:szCs w:val="19"/>
                <w:lang w:val="en-CA"/>
              </w:rPr>
            </w:pPr>
            <w:r w:rsidRPr="00D8042F">
              <w:rPr>
                <w:sz w:val="19"/>
                <w:szCs w:val="19"/>
                <w:lang w:val="en-CA"/>
              </w:rPr>
              <w:t>1 887,3</w:t>
            </w:r>
          </w:p>
        </w:tc>
        <w:tc>
          <w:tcPr>
            <w:tcW w:w="1134" w:type="dxa"/>
            <w:tcMar>
              <w:left w:w="0" w:type="dxa"/>
              <w:right w:w="173" w:type="dxa"/>
            </w:tcMar>
          </w:tcPr>
          <w:p w14:paraId="6D73D598" w14:textId="77777777" w:rsidR="00BA63AB" w:rsidRPr="00D8042F" w:rsidRDefault="00BA63AB" w:rsidP="00720BA7">
            <w:pPr>
              <w:jc w:val="right"/>
              <w:rPr>
                <w:sz w:val="19"/>
                <w:szCs w:val="19"/>
                <w:lang w:val="en-CA"/>
              </w:rPr>
            </w:pPr>
            <w:r w:rsidRPr="00D8042F">
              <w:rPr>
                <w:sz w:val="19"/>
                <w:szCs w:val="19"/>
                <w:lang w:val="en-CA"/>
              </w:rPr>
              <w:t>748,4</w:t>
            </w:r>
          </w:p>
        </w:tc>
        <w:tc>
          <w:tcPr>
            <w:tcW w:w="1134" w:type="dxa"/>
            <w:tcMar>
              <w:left w:w="0" w:type="dxa"/>
              <w:right w:w="173" w:type="dxa"/>
            </w:tcMar>
          </w:tcPr>
          <w:p w14:paraId="0FD62A26" w14:textId="77777777" w:rsidR="00BA63AB" w:rsidRPr="00D8042F" w:rsidRDefault="00BA63AB" w:rsidP="00720BA7">
            <w:pPr>
              <w:jc w:val="right"/>
              <w:rPr>
                <w:sz w:val="19"/>
                <w:szCs w:val="19"/>
                <w:lang w:val="en-CA"/>
              </w:rPr>
            </w:pPr>
            <w:r w:rsidRPr="00D8042F">
              <w:rPr>
                <w:sz w:val="19"/>
                <w:szCs w:val="19"/>
                <w:lang w:val="en-CA"/>
              </w:rPr>
              <w:t>330,0</w:t>
            </w:r>
          </w:p>
        </w:tc>
        <w:tc>
          <w:tcPr>
            <w:tcW w:w="1134" w:type="dxa"/>
            <w:tcMar>
              <w:left w:w="0" w:type="dxa"/>
              <w:right w:w="173" w:type="dxa"/>
            </w:tcMar>
            <w:vAlign w:val="center"/>
          </w:tcPr>
          <w:p w14:paraId="261BA615" w14:textId="77777777" w:rsidR="00BA63AB" w:rsidRPr="00D8042F" w:rsidRDefault="00BA63AB" w:rsidP="00720BA7">
            <w:pPr>
              <w:jc w:val="right"/>
              <w:rPr>
                <w:sz w:val="19"/>
                <w:szCs w:val="19"/>
                <w:lang w:val="en-CA"/>
              </w:rPr>
            </w:pPr>
            <w:r w:rsidRPr="00D8042F">
              <w:rPr>
                <w:color w:val="000000"/>
                <w:sz w:val="19"/>
                <w:szCs w:val="19"/>
                <w:lang w:val="en-CA"/>
              </w:rPr>
              <w:t>4 449,6</w:t>
            </w:r>
          </w:p>
        </w:tc>
        <w:tc>
          <w:tcPr>
            <w:tcW w:w="1280" w:type="dxa"/>
            <w:tcMar>
              <w:left w:w="115" w:type="dxa"/>
              <w:right w:w="173" w:type="dxa"/>
            </w:tcMar>
          </w:tcPr>
          <w:p w14:paraId="0DBF48E7" w14:textId="77777777" w:rsidR="00BA63AB" w:rsidRPr="00D8042F" w:rsidRDefault="00BA63AB" w:rsidP="00720BA7">
            <w:pPr>
              <w:jc w:val="right"/>
              <w:rPr>
                <w:color w:val="000000"/>
                <w:sz w:val="19"/>
                <w:szCs w:val="19"/>
                <w:lang w:val="en-CA"/>
              </w:rPr>
            </w:pPr>
            <w:r w:rsidRPr="00D8042F">
              <w:rPr>
                <w:color w:val="000000"/>
                <w:sz w:val="19"/>
                <w:szCs w:val="19"/>
                <w:lang w:val="en-CA"/>
              </w:rPr>
              <w:t xml:space="preserve">100 </w:t>
            </w:r>
            <w:r>
              <w:rPr>
                <w:color w:val="000000"/>
                <w:sz w:val="19"/>
                <w:szCs w:val="19"/>
                <w:lang w:val="en-CA"/>
              </w:rPr>
              <w:t>en</w:t>
            </w:r>
            <w:r w:rsidRPr="00D8042F">
              <w:rPr>
                <w:color w:val="000000"/>
                <w:sz w:val="19"/>
                <w:szCs w:val="19"/>
                <w:lang w:val="en-CA"/>
              </w:rPr>
              <w:t xml:space="preserve"> 2026</w:t>
            </w:r>
          </w:p>
        </w:tc>
      </w:tr>
      <w:tr w:rsidR="00BA63AB" w:rsidRPr="00D8042F" w14:paraId="74ED2D92" w14:textId="77777777" w:rsidTr="00720BA7">
        <w:tc>
          <w:tcPr>
            <w:tcW w:w="1170" w:type="dxa"/>
            <w:tcMar>
              <w:left w:w="29" w:type="dxa"/>
            </w:tcMar>
          </w:tcPr>
          <w:p w14:paraId="3AFABCC3" w14:textId="77777777" w:rsidR="00BA63AB" w:rsidRPr="00D8042F" w:rsidRDefault="00BA63AB" w:rsidP="00720BA7">
            <w:pPr>
              <w:rPr>
                <w:b/>
                <w:sz w:val="19"/>
                <w:szCs w:val="19"/>
                <w:lang w:val="en-CA"/>
              </w:rPr>
            </w:pPr>
            <w:r w:rsidRPr="00D8042F">
              <w:rPr>
                <w:sz w:val="19"/>
                <w:szCs w:val="19"/>
                <w:lang w:val="en-CA"/>
              </w:rPr>
              <w:t>ICR*</w:t>
            </w:r>
          </w:p>
        </w:tc>
        <w:tc>
          <w:tcPr>
            <w:tcW w:w="1170" w:type="dxa"/>
            <w:tcMar>
              <w:left w:w="0" w:type="dxa"/>
              <w:right w:w="173" w:type="dxa"/>
            </w:tcMar>
          </w:tcPr>
          <w:p w14:paraId="40286293" w14:textId="77777777" w:rsidR="00BA63AB" w:rsidRPr="00D8042F" w:rsidRDefault="00BA63AB" w:rsidP="00720BA7">
            <w:pPr>
              <w:jc w:val="right"/>
              <w:rPr>
                <w:sz w:val="19"/>
                <w:szCs w:val="19"/>
                <w:lang w:val="en-CA"/>
              </w:rPr>
            </w:pPr>
            <w:r w:rsidRPr="00D8042F">
              <w:rPr>
                <w:sz w:val="19"/>
                <w:szCs w:val="19"/>
                <w:lang w:val="en-CA"/>
              </w:rPr>
              <w:t>120,1</w:t>
            </w:r>
          </w:p>
        </w:tc>
        <w:tc>
          <w:tcPr>
            <w:tcW w:w="1199" w:type="dxa"/>
            <w:tcMar>
              <w:left w:w="0" w:type="dxa"/>
              <w:right w:w="173" w:type="dxa"/>
            </w:tcMar>
          </w:tcPr>
          <w:p w14:paraId="685A8428" w14:textId="77777777" w:rsidR="00BA63AB" w:rsidRPr="00D8042F" w:rsidRDefault="00BA63AB" w:rsidP="00720BA7">
            <w:pPr>
              <w:jc w:val="right"/>
              <w:rPr>
                <w:sz w:val="19"/>
                <w:szCs w:val="19"/>
                <w:lang w:val="en-CA"/>
              </w:rPr>
            </w:pPr>
            <w:r w:rsidRPr="00D8042F">
              <w:rPr>
                <w:sz w:val="19"/>
                <w:szCs w:val="19"/>
                <w:lang w:val="en-CA"/>
              </w:rPr>
              <w:t>432,5</w:t>
            </w:r>
          </w:p>
        </w:tc>
        <w:tc>
          <w:tcPr>
            <w:tcW w:w="1134" w:type="dxa"/>
            <w:tcMar>
              <w:left w:w="0" w:type="dxa"/>
              <w:right w:w="173" w:type="dxa"/>
            </w:tcMar>
          </w:tcPr>
          <w:p w14:paraId="738CDBCD" w14:textId="77777777" w:rsidR="00BA63AB" w:rsidRPr="00D8042F" w:rsidRDefault="00BA63AB" w:rsidP="00720BA7">
            <w:pPr>
              <w:jc w:val="right"/>
              <w:rPr>
                <w:sz w:val="19"/>
                <w:szCs w:val="19"/>
                <w:lang w:val="en-CA"/>
              </w:rPr>
            </w:pPr>
            <w:r w:rsidRPr="00D8042F">
              <w:rPr>
                <w:sz w:val="19"/>
                <w:szCs w:val="19"/>
                <w:lang w:val="en-CA"/>
              </w:rPr>
              <w:t xml:space="preserve">s.o. </w:t>
            </w:r>
          </w:p>
        </w:tc>
        <w:tc>
          <w:tcPr>
            <w:tcW w:w="1134" w:type="dxa"/>
            <w:tcMar>
              <w:left w:w="0" w:type="dxa"/>
              <w:right w:w="173" w:type="dxa"/>
            </w:tcMar>
          </w:tcPr>
          <w:p w14:paraId="7DD94F8A"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14CD5BF1"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vAlign w:val="center"/>
          </w:tcPr>
          <w:p w14:paraId="254CFB4D" w14:textId="77777777" w:rsidR="00BA63AB" w:rsidRPr="00D8042F" w:rsidRDefault="00BA63AB" w:rsidP="00720BA7">
            <w:pPr>
              <w:jc w:val="right"/>
              <w:rPr>
                <w:sz w:val="19"/>
                <w:szCs w:val="19"/>
                <w:lang w:val="en-CA"/>
              </w:rPr>
            </w:pPr>
            <w:r w:rsidRPr="00D8042F">
              <w:rPr>
                <w:color w:val="000000"/>
                <w:sz w:val="19"/>
                <w:szCs w:val="19"/>
                <w:lang w:val="en-CA"/>
              </w:rPr>
              <w:t>552,6</w:t>
            </w:r>
          </w:p>
        </w:tc>
        <w:tc>
          <w:tcPr>
            <w:tcW w:w="1280" w:type="dxa"/>
            <w:tcMar>
              <w:left w:w="115" w:type="dxa"/>
              <w:right w:w="173" w:type="dxa"/>
            </w:tcMar>
          </w:tcPr>
          <w:p w14:paraId="15518F25" w14:textId="77777777" w:rsidR="00BA63AB" w:rsidRPr="00D8042F" w:rsidRDefault="00BA63AB" w:rsidP="00720BA7">
            <w:pPr>
              <w:jc w:val="right"/>
              <w:rPr>
                <w:color w:val="000000"/>
                <w:sz w:val="19"/>
                <w:szCs w:val="19"/>
                <w:lang w:val="en-CA"/>
              </w:rPr>
            </w:pPr>
            <w:r>
              <w:rPr>
                <w:color w:val="000000"/>
                <w:sz w:val="19"/>
                <w:szCs w:val="19"/>
                <w:lang w:val="en-CA"/>
              </w:rPr>
              <w:t>33 en</w:t>
            </w:r>
            <w:r w:rsidRPr="00D8042F">
              <w:rPr>
                <w:color w:val="000000"/>
                <w:sz w:val="19"/>
                <w:szCs w:val="19"/>
                <w:lang w:val="en-CA"/>
              </w:rPr>
              <w:t xml:space="preserve"> 2020</w:t>
            </w:r>
          </w:p>
        </w:tc>
      </w:tr>
      <w:tr w:rsidR="00BA63AB" w:rsidRPr="00D8042F" w14:paraId="526652BD" w14:textId="77777777" w:rsidTr="00720BA7">
        <w:tc>
          <w:tcPr>
            <w:tcW w:w="1170" w:type="dxa"/>
            <w:tcMar>
              <w:left w:w="29" w:type="dxa"/>
            </w:tcMar>
          </w:tcPr>
          <w:p w14:paraId="49FA1D8B" w14:textId="77777777" w:rsidR="00BA63AB" w:rsidRPr="00D8042F" w:rsidRDefault="00BA63AB" w:rsidP="00720BA7">
            <w:pPr>
              <w:rPr>
                <w:b/>
                <w:sz w:val="19"/>
                <w:szCs w:val="19"/>
                <w:lang w:val="en-CA"/>
              </w:rPr>
            </w:pPr>
            <w:r w:rsidRPr="00D8042F">
              <w:rPr>
                <w:sz w:val="19"/>
                <w:szCs w:val="19"/>
                <w:lang w:val="en-CA"/>
              </w:rPr>
              <w:t>RAC</w:t>
            </w:r>
          </w:p>
        </w:tc>
        <w:tc>
          <w:tcPr>
            <w:tcW w:w="1170" w:type="dxa"/>
            <w:tcMar>
              <w:left w:w="0" w:type="dxa"/>
              <w:right w:w="173" w:type="dxa"/>
            </w:tcMar>
          </w:tcPr>
          <w:p w14:paraId="1B4C3FBB" w14:textId="77777777" w:rsidR="00BA63AB" w:rsidRPr="00D8042F" w:rsidRDefault="00BA63AB" w:rsidP="00720BA7">
            <w:pPr>
              <w:jc w:val="right"/>
              <w:rPr>
                <w:sz w:val="19"/>
                <w:szCs w:val="19"/>
                <w:lang w:val="en-CA"/>
              </w:rPr>
            </w:pPr>
            <w:r w:rsidRPr="00D8042F">
              <w:rPr>
                <w:sz w:val="19"/>
                <w:szCs w:val="19"/>
                <w:lang w:val="en-CA"/>
              </w:rPr>
              <w:t>821,7</w:t>
            </w:r>
          </w:p>
        </w:tc>
        <w:tc>
          <w:tcPr>
            <w:tcW w:w="1199" w:type="dxa"/>
            <w:tcMar>
              <w:left w:w="0" w:type="dxa"/>
              <w:right w:w="173" w:type="dxa"/>
            </w:tcMar>
          </w:tcPr>
          <w:p w14:paraId="5735A16E" w14:textId="77777777" w:rsidR="00BA63AB" w:rsidRPr="00D8042F" w:rsidRDefault="00BA63AB" w:rsidP="00720BA7">
            <w:pPr>
              <w:jc w:val="right"/>
              <w:rPr>
                <w:sz w:val="19"/>
                <w:szCs w:val="19"/>
                <w:lang w:val="en-CA"/>
              </w:rPr>
            </w:pPr>
            <w:r w:rsidRPr="00D8042F">
              <w:rPr>
                <w:sz w:val="19"/>
                <w:szCs w:val="19"/>
                <w:lang w:val="en-CA"/>
              </w:rPr>
              <w:t>616,3</w:t>
            </w:r>
          </w:p>
        </w:tc>
        <w:tc>
          <w:tcPr>
            <w:tcW w:w="1134" w:type="dxa"/>
            <w:tcMar>
              <w:left w:w="0" w:type="dxa"/>
              <w:right w:w="173" w:type="dxa"/>
            </w:tcMar>
          </w:tcPr>
          <w:p w14:paraId="3F7ED127"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7F2A96FC"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tcPr>
          <w:p w14:paraId="1FEF4F3D"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Mar>
              <w:left w:w="0" w:type="dxa"/>
              <w:right w:w="173" w:type="dxa"/>
            </w:tcMar>
            <w:vAlign w:val="center"/>
          </w:tcPr>
          <w:p w14:paraId="3ABF9D38" w14:textId="77777777" w:rsidR="00BA63AB" w:rsidRPr="00D8042F" w:rsidRDefault="00BA63AB" w:rsidP="00720BA7">
            <w:pPr>
              <w:jc w:val="right"/>
              <w:rPr>
                <w:sz w:val="19"/>
                <w:szCs w:val="19"/>
                <w:lang w:val="en-CA"/>
              </w:rPr>
            </w:pPr>
            <w:r w:rsidRPr="00D8042F">
              <w:rPr>
                <w:color w:val="000000"/>
                <w:sz w:val="19"/>
                <w:szCs w:val="19"/>
                <w:lang w:val="en-CA"/>
              </w:rPr>
              <w:t>1 438</w:t>
            </w:r>
          </w:p>
        </w:tc>
        <w:tc>
          <w:tcPr>
            <w:tcW w:w="1280" w:type="dxa"/>
            <w:tcMar>
              <w:left w:w="115" w:type="dxa"/>
              <w:right w:w="173" w:type="dxa"/>
            </w:tcMar>
          </w:tcPr>
          <w:p w14:paraId="63FF40D0" w14:textId="77777777" w:rsidR="00BA63AB" w:rsidRPr="00D8042F" w:rsidRDefault="00BA63AB" w:rsidP="00720BA7">
            <w:pPr>
              <w:jc w:val="right"/>
              <w:rPr>
                <w:color w:val="000000"/>
                <w:sz w:val="19"/>
                <w:szCs w:val="19"/>
                <w:lang w:val="en-CA"/>
              </w:rPr>
            </w:pPr>
            <w:r>
              <w:rPr>
                <w:color w:val="000000"/>
                <w:sz w:val="19"/>
                <w:szCs w:val="19"/>
                <w:lang w:val="en-CA"/>
              </w:rPr>
              <w:t>45 en</w:t>
            </w:r>
            <w:r w:rsidRPr="00D8042F">
              <w:rPr>
                <w:color w:val="000000"/>
                <w:sz w:val="19"/>
                <w:szCs w:val="19"/>
                <w:lang w:val="en-CA"/>
              </w:rPr>
              <w:t xml:space="preserve"> 2020</w:t>
            </w:r>
          </w:p>
        </w:tc>
      </w:tr>
      <w:tr w:rsidR="00BA63AB" w:rsidRPr="00D8042F" w14:paraId="289F4E92" w14:textId="77777777" w:rsidTr="00720BA7">
        <w:tc>
          <w:tcPr>
            <w:tcW w:w="1170" w:type="dxa"/>
            <w:tcMar>
              <w:left w:w="29" w:type="dxa"/>
            </w:tcMar>
          </w:tcPr>
          <w:p w14:paraId="3A80FB12" w14:textId="77777777" w:rsidR="00BA63AB" w:rsidRPr="00D8042F" w:rsidRDefault="00BA63AB" w:rsidP="00720BA7">
            <w:pPr>
              <w:rPr>
                <w:b/>
                <w:sz w:val="19"/>
                <w:szCs w:val="19"/>
                <w:lang w:val="en-CA"/>
              </w:rPr>
            </w:pPr>
            <w:r w:rsidRPr="00D8042F">
              <w:rPr>
                <w:sz w:val="19"/>
                <w:szCs w:val="19"/>
                <w:lang w:val="en-CA"/>
              </w:rPr>
              <w:t>Solvants</w:t>
            </w:r>
          </w:p>
        </w:tc>
        <w:tc>
          <w:tcPr>
            <w:tcW w:w="1170" w:type="dxa"/>
            <w:tcMar>
              <w:left w:w="0" w:type="dxa"/>
              <w:right w:w="173" w:type="dxa"/>
            </w:tcMar>
          </w:tcPr>
          <w:p w14:paraId="012CB64A" w14:textId="77777777" w:rsidR="00BA63AB" w:rsidRPr="00D8042F" w:rsidRDefault="00BA63AB" w:rsidP="00720BA7">
            <w:pPr>
              <w:jc w:val="right"/>
              <w:rPr>
                <w:sz w:val="19"/>
                <w:szCs w:val="19"/>
                <w:lang w:val="en-CA"/>
              </w:rPr>
            </w:pPr>
            <w:r w:rsidRPr="00D8042F">
              <w:rPr>
                <w:sz w:val="19"/>
                <w:szCs w:val="19"/>
                <w:lang w:val="en-CA"/>
              </w:rPr>
              <w:t>59,8</w:t>
            </w:r>
          </w:p>
        </w:tc>
        <w:tc>
          <w:tcPr>
            <w:tcW w:w="1199" w:type="dxa"/>
            <w:tcMar>
              <w:left w:w="0" w:type="dxa"/>
              <w:right w:w="173" w:type="dxa"/>
            </w:tcMar>
          </w:tcPr>
          <w:p w14:paraId="2B59D2B5" w14:textId="77777777" w:rsidR="00BA63AB" w:rsidRPr="00D8042F" w:rsidRDefault="00BA63AB" w:rsidP="00720BA7">
            <w:pPr>
              <w:jc w:val="right"/>
              <w:rPr>
                <w:sz w:val="19"/>
                <w:szCs w:val="19"/>
                <w:lang w:val="en-CA"/>
              </w:rPr>
            </w:pPr>
            <w:r w:rsidRPr="00D8042F">
              <w:rPr>
                <w:sz w:val="19"/>
                <w:szCs w:val="19"/>
                <w:lang w:val="en-CA"/>
              </w:rPr>
              <w:t>74,2</w:t>
            </w:r>
          </w:p>
        </w:tc>
        <w:tc>
          <w:tcPr>
            <w:tcW w:w="1134" w:type="dxa"/>
            <w:tcMar>
              <w:left w:w="0" w:type="dxa"/>
              <w:right w:w="173" w:type="dxa"/>
            </w:tcMar>
          </w:tcPr>
          <w:p w14:paraId="2FF52879" w14:textId="77777777" w:rsidR="00BA63AB" w:rsidRPr="00D8042F" w:rsidRDefault="00BA63AB" w:rsidP="00720BA7">
            <w:pPr>
              <w:jc w:val="right"/>
              <w:rPr>
                <w:sz w:val="19"/>
                <w:szCs w:val="19"/>
                <w:lang w:val="en-CA"/>
              </w:rPr>
            </w:pPr>
            <w:r w:rsidRPr="00D8042F">
              <w:rPr>
                <w:sz w:val="19"/>
                <w:szCs w:val="19"/>
                <w:lang w:val="en-CA"/>
              </w:rPr>
              <w:t>172,9</w:t>
            </w:r>
          </w:p>
        </w:tc>
        <w:tc>
          <w:tcPr>
            <w:tcW w:w="1134" w:type="dxa"/>
            <w:tcMar>
              <w:left w:w="0" w:type="dxa"/>
              <w:right w:w="173" w:type="dxa"/>
            </w:tcMar>
          </w:tcPr>
          <w:p w14:paraId="6B1E6A35" w14:textId="77777777" w:rsidR="00BA63AB" w:rsidRPr="00D8042F" w:rsidRDefault="00BA63AB" w:rsidP="00720BA7">
            <w:pPr>
              <w:jc w:val="right"/>
              <w:rPr>
                <w:sz w:val="19"/>
                <w:szCs w:val="19"/>
                <w:lang w:val="en-CA"/>
              </w:rPr>
            </w:pPr>
            <w:r w:rsidRPr="00D8042F">
              <w:rPr>
                <w:sz w:val="19"/>
                <w:szCs w:val="19"/>
                <w:lang w:val="en-CA"/>
              </w:rPr>
              <w:t>93,3</w:t>
            </w:r>
          </w:p>
        </w:tc>
        <w:tc>
          <w:tcPr>
            <w:tcW w:w="1134" w:type="dxa"/>
            <w:tcMar>
              <w:left w:w="0" w:type="dxa"/>
              <w:right w:w="173" w:type="dxa"/>
            </w:tcMar>
          </w:tcPr>
          <w:p w14:paraId="08DD56F3" w14:textId="77777777" w:rsidR="00BA63AB" w:rsidRPr="00D8042F" w:rsidRDefault="00BA63AB" w:rsidP="00720BA7">
            <w:pPr>
              <w:jc w:val="right"/>
              <w:rPr>
                <w:sz w:val="19"/>
                <w:szCs w:val="19"/>
                <w:lang w:val="en-CA"/>
              </w:rPr>
            </w:pPr>
            <w:r w:rsidRPr="00D8042F">
              <w:rPr>
                <w:sz w:val="19"/>
                <w:szCs w:val="19"/>
                <w:lang w:val="en-CA"/>
              </w:rPr>
              <w:t>55,0</w:t>
            </w:r>
          </w:p>
        </w:tc>
        <w:tc>
          <w:tcPr>
            <w:tcW w:w="1134" w:type="dxa"/>
            <w:tcMar>
              <w:left w:w="0" w:type="dxa"/>
              <w:right w:w="173" w:type="dxa"/>
            </w:tcMar>
            <w:vAlign w:val="center"/>
          </w:tcPr>
          <w:p w14:paraId="2E5D627F" w14:textId="77777777" w:rsidR="00BA63AB" w:rsidRPr="00D8042F" w:rsidRDefault="00BA63AB" w:rsidP="00720BA7">
            <w:pPr>
              <w:jc w:val="right"/>
              <w:rPr>
                <w:sz w:val="19"/>
                <w:szCs w:val="19"/>
                <w:lang w:val="en-CA"/>
              </w:rPr>
            </w:pPr>
            <w:r w:rsidRPr="00D8042F">
              <w:rPr>
                <w:color w:val="000000"/>
                <w:sz w:val="19"/>
                <w:szCs w:val="19"/>
                <w:lang w:val="en-CA"/>
              </w:rPr>
              <w:t>455,2</w:t>
            </w:r>
          </w:p>
        </w:tc>
        <w:tc>
          <w:tcPr>
            <w:tcW w:w="1280" w:type="dxa"/>
            <w:tcMar>
              <w:left w:w="115" w:type="dxa"/>
              <w:right w:w="173" w:type="dxa"/>
            </w:tcMar>
          </w:tcPr>
          <w:p w14:paraId="4F988125" w14:textId="77777777" w:rsidR="00BA63AB" w:rsidRPr="00D8042F" w:rsidRDefault="00BA63AB" w:rsidP="00720BA7">
            <w:pPr>
              <w:jc w:val="right"/>
              <w:rPr>
                <w:color w:val="000000"/>
                <w:sz w:val="19"/>
                <w:szCs w:val="19"/>
                <w:lang w:val="en-CA"/>
              </w:rPr>
            </w:pPr>
            <w:r>
              <w:rPr>
                <w:color w:val="000000"/>
                <w:sz w:val="19"/>
                <w:szCs w:val="19"/>
                <w:lang w:val="en-CA"/>
              </w:rPr>
              <w:t>100 en</w:t>
            </w:r>
            <w:r w:rsidRPr="00D8042F">
              <w:rPr>
                <w:color w:val="000000"/>
                <w:sz w:val="19"/>
                <w:szCs w:val="19"/>
                <w:lang w:val="en-CA"/>
              </w:rPr>
              <w:t xml:space="preserve"> 2026</w:t>
            </w:r>
          </w:p>
        </w:tc>
      </w:tr>
      <w:tr w:rsidR="00BA63AB" w:rsidRPr="00D8042F" w14:paraId="2B8DB0E8" w14:textId="77777777" w:rsidTr="00720BA7">
        <w:tc>
          <w:tcPr>
            <w:tcW w:w="1170" w:type="dxa"/>
            <w:tcBorders>
              <w:bottom w:val="single" w:sz="4" w:space="0" w:color="auto"/>
            </w:tcBorders>
            <w:tcMar>
              <w:left w:w="29" w:type="dxa"/>
            </w:tcMar>
          </w:tcPr>
          <w:p w14:paraId="0296009F" w14:textId="77777777" w:rsidR="00BA63AB" w:rsidRPr="000A1E22" w:rsidRDefault="00BA63AB" w:rsidP="00720BA7">
            <w:pPr>
              <w:jc w:val="left"/>
              <w:rPr>
                <w:b/>
                <w:sz w:val="19"/>
                <w:szCs w:val="19"/>
                <w:lang w:val="fr-CA"/>
              </w:rPr>
            </w:pPr>
            <w:r w:rsidRPr="00D8042F">
              <w:rPr>
                <w:sz w:val="19"/>
                <w:szCs w:val="19"/>
                <w:lang w:val="fr-CA"/>
              </w:rPr>
              <w:t xml:space="preserve">Entretien et activités </w:t>
            </w:r>
            <w:r>
              <w:rPr>
                <w:sz w:val="19"/>
                <w:szCs w:val="19"/>
                <w:lang w:val="fr-CA"/>
              </w:rPr>
              <w:t>de facilitation</w:t>
            </w:r>
            <w:r w:rsidRPr="00D8042F">
              <w:rPr>
                <w:sz w:val="19"/>
                <w:szCs w:val="19"/>
                <w:lang w:val="fr-CA"/>
              </w:rPr>
              <w:t xml:space="preserve"> </w:t>
            </w:r>
          </w:p>
        </w:tc>
        <w:tc>
          <w:tcPr>
            <w:tcW w:w="2369" w:type="dxa"/>
            <w:gridSpan w:val="2"/>
            <w:tcBorders>
              <w:bottom w:val="single" w:sz="4" w:space="0" w:color="auto"/>
            </w:tcBorders>
            <w:tcMar>
              <w:left w:w="0" w:type="dxa"/>
              <w:right w:w="173" w:type="dxa"/>
            </w:tcMar>
          </w:tcPr>
          <w:p w14:paraId="4FA29579" w14:textId="77777777" w:rsidR="00BA63AB" w:rsidRPr="00D8042F" w:rsidRDefault="00BA63AB" w:rsidP="00720BA7">
            <w:pPr>
              <w:jc w:val="right"/>
              <w:rPr>
                <w:sz w:val="19"/>
                <w:szCs w:val="19"/>
                <w:lang w:val="en-CA"/>
              </w:rPr>
            </w:pPr>
            <w:r w:rsidRPr="00D8042F">
              <w:rPr>
                <w:sz w:val="19"/>
                <w:szCs w:val="19"/>
                <w:lang w:val="en-CA"/>
              </w:rPr>
              <w:t>734,0</w:t>
            </w:r>
          </w:p>
        </w:tc>
        <w:tc>
          <w:tcPr>
            <w:tcW w:w="1134" w:type="dxa"/>
            <w:tcBorders>
              <w:bottom w:val="single" w:sz="4" w:space="0" w:color="auto"/>
            </w:tcBorders>
            <w:tcMar>
              <w:left w:w="0" w:type="dxa"/>
              <w:right w:w="173" w:type="dxa"/>
            </w:tcMar>
          </w:tcPr>
          <w:p w14:paraId="2B4D2844"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Borders>
              <w:bottom w:val="single" w:sz="4" w:space="0" w:color="auto"/>
            </w:tcBorders>
            <w:tcMar>
              <w:left w:w="0" w:type="dxa"/>
              <w:right w:w="173" w:type="dxa"/>
            </w:tcMar>
          </w:tcPr>
          <w:p w14:paraId="4A0E72FF"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Borders>
              <w:bottom w:val="single" w:sz="4" w:space="0" w:color="auto"/>
            </w:tcBorders>
            <w:tcMar>
              <w:left w:w="0" w:type="dxa"/>
              <w:right w:w="173" w:type="dxa"/>
            </w:tcMar>
          </w:tcPr>
          <w:p w14:paraId="275E869E" w14:textId="77777777" w:rsidR="00BA63AB" w:rsidRPr="00D8042F" w:rsidRDefault="00BA63AB" w:rsidP="00720BA7">
            <w:pPr>
              <w:jc w:val="right"/>
              <w:rPr>
                <w:sz w:val="19"/>
                <w:szCs w:val="19"/>
                <w:lang w:val="en-CA"/>
              </w:rPr>
            </w:pPr>
            <w:r w:rsidRPr="00D8042F">
              <w:rPr>
                <w:sz w:val="19"/>
                <w:szCs w:val="19"/>
                <w:lang w:val="en-CA"/>
              </w:rPr>
              <w:t>s.o.</w:t>
            </w:r>
          </w:p>
        </w:tc>
        <w:tc>
          <w:tcPr>
            <w:tcW w:w="1134" w:type="dxa"/>
            <w:tcBorders>
              <w:bottom w:val="single" w:sz="4" w:space="0" w:color="auto"/>
            </w:tcBorders>
            <w:tcMar>
              <w:left w:w="0" w:type="dxa"/>
              <w:right w:w="173" w:type="dxa"/>
            </w:tcMar>
          </w:tcPr>
          <w:p w14:paraId="705F170A" w14:textId="77777777" w:rsidR="00BA63AB" w:rsidRPr="00D8042F" w:rsidRDefault="00BA63AB" w:rsidP="00720BA7">
            <w:pPr>
              <w:jc w:val="right"/>
              <w:rPr>
                <w:sz w:val="19"/>
                <w:szCs w:val="19"/>
                <w:lang w:val="en-CA"/>
              </w:rPr>
            </w:pPr>
            <w:r w:rsidRPr="00D8042F">
              <w:rPr>
                <w:color w:val="000000"/>
                <w:sz w:val="19"/>
                <w:szCs w:val="19"/>
                <w:lang w:val="en-CA"/>
              </w:rPr>
              <w:t>734,0</w:t>
            </w:r>
          </w:p>
        </w:tc>
        <w:tc>
          <w:tcPr>
            <w:tcW w:w="1280" w:type="dxa"/>
            <w:tcBorders>
              <w:bottom w:val="single" w:sz="4" w:space="0" w:color="auto"/>
            </w:tcBorders>
            <w:tcMar>
              <w:left w:w="115" w:type="dxa"/>
              <w:right w:w="173" w:type="dxa"/>
            </w:tcMar>
          </w:tcPr>
          <w:p w14:paraId="0B03CAF4" w14:textId="77777777" w:rsidR="00BA63AB" w:rsidRPr="00D8042F" w:rsidRDefault="00BA63AB" w:rsidP="00720BA7">
            <w:pPr>
              <w:jc w:val="right"/>
              <w:rPr>
                <w:color w:val="000000"/>
                <w:sz w:val="19"/>
                <w:szCs w:val="19"/>
                <w:lang w:val="en-CA"/>
              </w:rPr>
            </w:pPr>
            <w:r w:rsidRPr="00D8042F">
              <w:rPr>
                <w:color w:val="000000"/>
                <w:sz w:val="19"/>
                <w:szCs w:val="19"/>
                <w:lang w:val="en-CA"/>
              </w:rPr>
              <w:t>s.o.</w:t>
            </w:r>
          </w:p>
        </w:tc>
      </w:tr>
      <w:tr w:rsidR="00BA63AB" w:rsidRPr="00D8042F" w14:paraId="1B6EE5D0" w14:textId="77777777" w:rsidTr="00720BA7">
        <w:tc>
          <w:tcPr>
            <w:tcW w:w="1170" w:type="dxa"/>
            <w:tcBorders>
              <w:bottom w:val="single" w:sz="4" w:space="0" w:color="auto"/>
            </w:tcBorders>
            <w:tcMar>
              <w:left w:w="29" w:type="dxa"/>
            </w:tcMar>
          </w:tcPr>
          <w:p w14:paraId="75C88BF2" w14:textId="77777777" w:rsidR="00BA63AB" w:rsidRPr="00D8042F" w:rsidRDefault="00BA63AB" w:rsidP="00720BA7">
            <w:pPr>
              <w:rPr>
                <w:b/>
                <w:sz w:val="19"/>
                <w:szCs w:val="19"/>
                <w:lang w:val="en-CA"/>
              </w:rPr>
            </w:pPr>
            <w:r w:rsidRPr="00D8042F">
              <w:rPr>
                <w:b/>
                <w:sz w:val="19"/>
                <w:szCs w:val="19"/>
                <w:lang w:val="en-CA"/>
              </w:rPr>
              <w:t>Total</w:t>
            </w:r>
          </w:p>
        </w:tc>
        <w:tc>
          <w:tcPr>
            <w:tcW w:w="1170" w:type="dxa"/>
            <w:tcBorders>
              <w:bottom w:val="single" w:sz="4" w:space="0" w:color="auto"/>
            </w:tcBorders>
            <w:vAlign w:val="center"/>
          </w:tcPr>
          <w:p w14:paraId="29ADB0B0" w14:textId="77777777" w:rsidR="00BA63AB" w:rsidRPr="00D8042F" w:rsidRDefault="00BA63AB" w:rsidP="00720BA7">
            <w:pPr>
              <w:jc w:val="right"/>
              <w:rPr>
                <w:b/>
                <w:sz w:val="19"/>
                <w:szCs w:val="19"/>
                <w:lang w:val="en-CA"/>
              </w:rPr>
            </w:pPr>
            <w:r w:rsidRPr="00D8042F">
              <w:rPr>
                <w:b/>
                <w:bCs/>
                <w:color w:val="000000"/>
                <w:sz w:val="19"/>
                <w:szCs w:val="19"/>
                <w:lang w:val="en-CA"/>
              </w:rPr>
              <w:t>1 930,7</w:t>
            </w:r>
          </w:p>
        </w:tc>
        <w:tc>
          <w:tcPr>
            <w:tcW w:w="1199" w:type="dxa"/>
            <w:tcBorders>
              <w:bottom w:val="single" w:sz="4" w:space="0" w:color="auto"/>
            </w:tcBorders>
            <w:vAlign w:val="center"/>
          </w:tcPr>
          <w:p w14:paraId="07600777" w14:textId="77777777" w:rsidR="00BA63AB" w:rsidRPr="00D8042F" w:rsidRDefault="00BA63AB" w:rsidP="00720BA7">
            <w:pPr>
              <w:jc w:val="right"/>
              <w:rPr>
                <w:b/>
                <w:sz w:val="19"/>
                <w:szCs w:val="19"/>
                <w:lang w:val="en-CA"/>
              </w:rPr>
            </w:pPr>
            <w:r w:rsidRPr="00D8042F">
              <w:rPr>
                <w:b/>
                <w:bCs/>
                <w:color w:val="000000"/>
                <w:sz w:val="19"/>
                <w:szCs w:val="19"/>
                <w:lang w:val="en-CA"/>
              </w:rPr>
              <w:t>3 300,8</w:t>
            </w:r>
          </w:p>
        </w:tc>
        <w:tc>
          <w:tcPr>
            <w:tcW w:w="1134" w:type="dxa"/>
            <w:tcBorders>
              <w:bottom w:val="single" w:sz="4" w:space="0" w:color="auto"/>
            </w:tcBorders>
            <w:vAlign w:val="center"/>
          </w:tcPr>
          <w:p w14:paraId="0A0B0433" w14:textId="77777777" w:rsidR="00BA63AB" w:rsidRPr="00D8042F" w:rsidRDefault="00BA63AB" w:rsidP="00720BA7">
            <w:pPr>
              <w:jc w:val="right"/>
              <w:rPr>
                <w:b/>
                <w:sz w:val="19"/>
                <w:szCs w:val="19"/>
                <w:lang w:val="en-CA"/>
              </w:rPr>
            </w:pPr>
            <w:r w:rsidRPr="00D8042F">
              <w:rPr>
                <w:b/>
                <w:bCs/>
                <w:color w:val="000000"/>
                <w:sz w:val="19"/>
                <w:szCs w:val="19"/>
                <w:lang w:val="en-CA"/>
              </w:rPr>
              <w:t>2 695,2</w:t>
            </w:r>
          </w:p>
        </w:tc>
        <w:tc>
          <w:tcPr>
            <w:tcW w:w="1134" w:type="dxa"/>
            <w:tcBorders>
              <w:bottom w:val="single" w:sz="4" w:space="0" w:color="auto"/>
            </w:tcBorders>
            <w:vAlign w:val="center"/>
          </w:tcPr>
          <w:p w14:paraId="63ACD332" w14:textId="77777777" w:rsidR="00BA63AB" w:rsidRPr="00D8042F" w:rsidRDefault="00BA63AB" w:rsidP="00720BA7">
            <w:pPr>
              <w:jc w:val="right"/>
              <w:rPr>
                <w:b/>
                <w:sz w:val="19"/>
                <w:szCs w:val="19"/>
                <w:lang w:val="en-CA"/>
              </w:rPr>
            </w:pPr>
            <w:r w:rsidRPr="00D8042F">
              <w:rPr>
                <w:b/>
                <w:bCs/>
                <w:color w:val="000000"/>
                <w:sz w:val="19"/>
                <w:szCs w:val="19"/>
                <w:lang w:val="en-CA"/>
              </w:rPr>
              <w:t>1 438,7</w:t>
            </w:r>
          </w:p>
        </w:tc>
        <w:tc>
          <w:tcPr>
            <w:tcW w:w="1134" w:type="dxa"/>
            <w:tcBorders>
              <w:bottom w:val="single" w:sz="4" w:space="0" w:color="auto"/>
            </w:tcBorders>
            <w:vAlign w:val="center"/>
          </w:tcPr>
          <w:p w14:paraId="782F079E" w14:textId="77777777" w:rsidR="00BA63AB" w:rsidRPr="00D8042F" w:rsidRDefault="00BA63AB" w:rsidP="00720BA7">
            <w:pPr>
              <w:jc w:val="right"/>
              <w:rPr>
                <w:b/>
                <w:sz w:val="19"/>
                <w:szCs w:val="19"/>
                <w:lang w:val="en-CA"/>
              </w:rPr>
            </w:pPr>
            <w:r w:rsidRPr="00D8042F">
              <w:rPr>
                <w:b/>
                <w:bCs/>
                <w:color w:val="000000"/>
                <w:sz w:val="19"/>
                <w:szCs w:val="19"/>
                <w:lang w:val="en-CA"/>
              </w:rPr>
              <w:t>550,0</w:t>
            </w:r>
          </w:p>
        </w:tc>
        <w:tc>
          <w:tcPr>
            <w:tcW w:w="1134" w:type="dxa"/>
            <w:tcBorders>
              <w:bottom w:val="single" w:sz="4" w:space="0" w:color="auto"/>
            </w:tcBorders>
            <w:vAlign w:val="center"/>
          </w:tcPr>
          <w:p w14:paraId="3F442C2A" w14:textId="77777777" w:rsidR="00BA63AB" w:rsidRPr="00D8042F" w:rsidRDefault="00BA63AB" w:rsidP="00720BA7">
            <w:pPr>
              <w:jc w:val="right"/>
              <w:rPr>
                <w:b/>
                <w:sz w:val="19"/>
                <w:szCs w:val="19"/>
                <w:lang w:val="en-CA"/>
              </w:rPr>
            </w:pPr>
            <w:r w:rsidRPr="00D8042F">
              <w:rPr>
                <w:b/>
                <w:color w:val="000000"/>
                <w:sz w:val="19"/>
                <w:szCs w:val="19"/>
                <w:lang w:val="en-CA"/>
              </w:rPr>
              <w:t>9 915,4</w:t>
            </w:r>
          </w:p>
        </w:tc>
        <w:tc>
          <w:tcPr>
            <w:tcW w:w="1280" w:type="dxa"/>
            <w:tcBorders>
              <w:bottom w:val="single" w:sz="4" w:space="0" w:color="auto"/>
            </w:tcBorders>
          </w:tcPr>
          <w:p w14:paraId="355F1329" w14:textId="77777777" w:rsidR="00BA63AB" w:rsidRPr="00D8042F" w:rsidRDefault="00BA63AB" w:rsidP="00720BA7">
            <w:pPr>
              <w:jc w:val="right"/>
              <w:rPr>
                <w:b/>
                <w:color w:val="000000"/>
                <w:sz w:val="19"/>
                <w:szCs w:val="19"/>
                <w:lang w:val="en-CA"/>
              </w:rPr>
            </w:pPr>
          </w:p>
        </w:tc>
      </w:tr>
    </w:tbl>
    <w:p w14:paraId="08730ED8" w14:textId="77777777" w:rsidR="00BA63AB" w:rsidRPr="00D8042F" w:rsidRDefault="00BA63AB" w:rsidP="00BA63AB">
      <w:pPr>
        <w:rPr>
          <w:color w:val="000000"/>
          <w:sz w:val="18"/>
          <w:szCs w:val="18"/>
          <w:lang w:val="fr-CA"/>
        </w:rPr>
      </w:pPr>
      <w:r w:rsidRPr="00D8042F">
        <w:rPr>
          <w:color w:val="000000"/>
          <w:sz w:val="18"/>
          <w:szCs w:val="18"/>
          <w:lang w:val="fr-CA"/>
        </w:rPr>
        <w:t>* XPS = mousse de polystyrène extrudé; PU = mousse de polyuréthane; ICR = appareils de réfrigération et de climatisation à usage industriel et commercial; RAC = fabrication de climatiseurs de salle et réchauffeurs d’eau à pompe thermique.</w:t>
      </w:r>
    </w:p>
    <w:p w14:paraId="410D2360" w14:textId="77777777" w:rsidR="00BA63AB" w:rsidRPr="00D8042F" w:rsidRDefault="00BA63AB" w:rsidP="00BA63AB">
      <w:pPr>
        <w:rPr>
          <w:sz w:val="18"/>
          <w:szCs w:val="18"/>
          <w:lang w:val="fr-CA"/>
        </w:rPr>
      </w:pPr>
      <w:r w:rsidRPr="00D8042F">
        <w:rPr>
          <w:color w:val="000000"/>
          <w:sz w:val="18"/>
          <w:szCs w:val="18"/>
          <w:lang w:val="fr-CA"/>
        </w:rPr>
        <w:t>** Consommation maximale autorisée nationale pour 2020 seulement; pour la période 2021</w:t>
      </w:r>
      <w:r>
        <w:rPr>
          <w:color w:val="000000"/>
          <w:sz w:val="18"/>
          <w:szCs w:val="18"/>
          <w:lang w:val="fr-CA"/>
        </w:rPr>
        <w:noBreakHyphen/>
      </w:r>
      <w:r w:rsidRPr="00D8042F">
        <w:rPr>
          <w:color w:val="000000"/>
          <w:sz w:val="18"/>
          <w:szCs w:val="18"/>
          <w:lang w:val="fr-CA"/>
        </w:rPr>
        <w:t>2026, celle</w:t>
      </w:r>
      <w:r>
        <w:rPr>
          <w:color w:val="000000"/>
          <w:sz w:val="18"/>
          <w:szCs w:val="18"/>
          <w:lang w:val="fr-CA"/>
        </w:rPr>
        <w:noBreakHyphen/>
      </w:r>
      <w:r w:rsidRPr="00D8042F">
        <w:rPr>
          <w:color w:val="000000"/>
          <w:sz w:val="18"/>
          <w:szCs w:val="18"/>
          <w:lang w:val="fr-CA"/>
        </w:rPr>
        <w:t xml:space="preserve">ci sera établie lors de la présentation de la phase III du PGEH. </w:t>
      </w:r>
    </w:p>
    <w:p w14:paraId="3012E87A" w14:textId="77777777" w:rsidR="00BA63AB" w:rsidRPr="00D8042F" w:rsidRDefault="00BA63AB" w:rsidP="00BA63AB">
      <w:pPr>
        <w:rPr>
          <w:lang w:val="fr-CA"/>
        </w:rPr>
      </w:pPr>
    </w:p>
    <w:p w14:paraId="606D588D" w14:textId="77777777" w:rsidR="00BA63AB" w:rsidRPr="00960C08" w:rsidRDefault="00BA63AB" w:rsidP="00BA63AB">
      <w:pPr>
        <w:pStyle w:val="Heading1"/>
        <w:rPr>
          <w:lang w:val="fr-CA"/>
        </w:rPr>
      </w:pPr>
      <w:r w:rsidRPr="00D8042F">
        <w:rPr>
          <w:lang w:val="fr-CA"/>
        </w:rPr>
        <w:t>Le Comité exécutif à ses 80</w:t>
      </w:r>
      <w:r w:rsidRPr="00D8042F">
        <w:rPr>
          <w:vertAlign w:val="superscript"/>
          <w:lang w:val="fr-CA"/>
        </w:rPr>
        <w:t>e</w:t>
      </w:r>
      <w:r w:rsidRPr="00D8042F">
        <w:rPr>
          <w:lang w:val="fr-CA"/>
        </w:rPr>
        <w:t> et 81</w:t>
      </w:r>
      <w:r w:rsidRPr="00D8042F">
        <w:rPr>
          <w:vertAlign w:val="superscript"/>
          <w:lang w:val="fr-CA"/>
        </w:rPr>
        <w:t>e</w:t>
      </w:r>
      <w:r w:rsidRPr="00D8042F">
        <w:rPr>
          <w:lang w:val="fr-CA"/>
        </w:rPr>
        <w:t> réunions a approuvé les deuxièmes tranches pour tous les plans sectoriels, à l’exception de celui de la mousse PU. Lors des 82</w:t>
      </w:r>
      <w:r w:rsidRPr="00D8042F">
        <w:rPr>
          <w:vertAlign w:val="superscript"/>
          <w:lang w:val="fr-CA"/>
        </w:rPr>
        <w:t>e</w:t>
      </w:r>
      <w:r w:rsidRPr="00D8042F">
        <w:rPr>
          <w:lang w:val="fr-CA"/>
        </w:rPr>
        <w:t xml:space="preserve"> et 83</w:t>
      </w:r>
      <w:r w:rsidRPr="00D8042F">
        <w:rPr>
          <w:vertAlign w:val="superscript"/>
          <w:lang w:val="fr-CA"/>
        </w:rPr>
        <w:t>e</w:t>
      </w:r>
      <w:r w:rsidRPr="00D8042F">
        <w:rPr>
          <w:lang w:val="fr-CA"/>
        </w:rPr>
        <w:t xml:space="preserve"> réunions, au nom du gouvernement de la Chine, le PNUD, le PNUE, l’ONUDI, la Banque mondiale et les gouvernements de l’Allemagne et de la Chine ont soumis des demandes concernant les troisièmes tranches pour les secteurs suivants : XPS (8 000 000 $US), ICR (12 000 000 $US), et solvants (5 549 492 $US), et secteur de l’entretien des appareils de réfrigération et programme national </w:t>
      </w:r>
      <w:r>
        <w:rPr>
          <w:lang w:val="fr-CA"/>
        </w:rPr>
        <w:t>de facilitation</w:t>
      </w:r>
      <w:r w:rsidRPr="00D8042F">
        <w:rPr>
          <w:lang w:val="fr-CA"/>
        </w:rPr>
        <w:t xml:space="preserve"> (3 850 000 $US); et pour la deuxième tranche du plan sectoriel de la mousse PU (10 600 000 $US). L’examen de ces demandes a été ensuite reporté, et les détails des délibérations concernant ces tranches de financement et des décisions prises par le Comité exécutif figurent à l’annexe I du présent document.</w:t>
      </w:r>
    </w:p>
    <w:p w14:paraId="5DEAF6F5" w14:textId="77777777" w:rsidR="00BA63AB" w:rsidRPr="000E1614" w:rsidRDefault="00BA63AB" w:rsidP="00BA63AB">
      <w:pPr>
        <w:keepNext/>
        <w:keepLines/>
        <w:widowControl w:val="0"/>
        <w:rPr>
          <w:b/>
          <w:lang w:val="fr-CA"/>
        </w:rPr>
      </w:pPr>
      <w:r w:rsidRPr="000E1614">
        <w:rPr>
          <w:b/>
          <w:lang w:val="fr-CA"/>
        </w:rPr>
        <w:lastRenderedPageBreak/>
        <w:t>Ajustements à la phase II décidés lors de la 84</w:t>
      </w:r>
      <w:r w:rsidRPr="000F3911">
        <w:rPr>
          <w:b/>
          <w:vertAlign w:val="superscript"/>
          <w:lang w:val="fr-CA"/>
        </w:rPr>
        <w:t>e</w:t>
      </w:r>
      <w:r>
        <w:rPr>
          <w:b/>
          <w:lang w:val="fr-CA"/>
        </w:rPr>
        <w:t> </w:t>
      </w:r>
      <w:r w:rsidRPr="000E1614">
        <w:rPr>
          <w:b/>
          <w:lang w:val="fr-CA"/>
        </w:rPr>
        <w:t>réunion, y compris les quantités de HCFC à éliminer et le financement associé</w:t>
      </w:r>
    </w:p>
    <w:p w14:paraId="1A10F7C3" w14:textId="77777777" w:rsidR="00BA63AB" w:rsidRPr="000E1614" w:rsidRDefault="00BA63AB" w:rsidP="00BA63AB">
      <w:pPr>
        <w:keepNext/>
        <w:keepLines/>
        <w:widowControl w:val="0"/>
        <w:rPr>
          <w:lang w:val="fr-CA"/>
        </w:rPr>
      </w:pPr>
    </w:p>
    <w:p w14:paraId="17FDB6C1" w14:textId="77777777" w:rsidR="00BA63AB" w:rsidRPr="00960C08" w:rsidRDefault="00BA63AB" w:rsidP="00BA63AB">
      <w:pPr>
        <w:pStyle w:val="Heading1"/>
        <w:keepNext/>
        <w:keepLines/>
        <w:widowControl w:val="0"/>
        <w:rPr>
          <w:lang w:val="fr-CA"/>
        </w:rPr>
      </w:pPr>
      <w:r w:rsidRPr="00960C08">
        <w:rPr>
          <w:lang w:val="fr-CA"/>
        </w:rPr>
        <w:t>Lors de la 84</w:t>
      </w:r>
      <w:r w:rsidRPr="000F3911">
        <w:rPr>
          <w:vertAlign w:val="superscript"/>
          <w:lang w:val="fr-CA"/>
        </w:rPr>
        <w:t>e</w:t>
      </w:r>
      <w:r w:rsidRPr="00960C08">
        <w:rPr>
          <w:lang w:val="fr-CA"/>
        </w:rPr>
        <w:t xml:space="preserve"> réunion, pendant l’examen des demandes de tranches de financement pour les plans sectoriels de la phase II du PGEH présentées par les agences bilatérales et d’exécution au nom du gouvernement de la Chine, le Comité exécutif a décidé (décision 84/69) : </w:t>
      </w:r>
    </w:p>
    <w:p w14:paraId="7B58C574" w14:textId="77777777" w:rsidR="00BA63AB" w:rsidRPr="00960C08" w:rsidRDefault="00BA63AB" w:rsidP="00BA63AB">
      <w:pPr>
        <w:pStyle w:val="Heading2"/>
        <w:numPr>
          <w:ilvl w:val="1"/>
          <w:numId w:val="1"/>
        </w:numPr>
        <w:rPr>
          <w:lang w:val="fr-CA"/>
        </w:rPr>
      </w:pPr>
      <w:r w:rsidRPr="00960C08">
        <w:rPr>
          <w:lang w:val="fr-CA"/>
        </w:rPr>
        <w:t xml:space="preserve">Concernant la phase II du PGEH : </w:t>
      </w:r>
    </w:p>
    <w:p w14:paraId="179BEDF3" w14:textId="0237B428" w:rsidR="00BA63AB" w:rsidRPr="00D8042F" w:rsidRDefault="00BA63AB" w:rsidP="00BA63AB">
      <w:pPr>
        <w:pStyle w:val="Heading3"/>
        <w:numPr>
          <w:ilvl w:val="2"/>
          <w:numId w:val="1"/>
        </w:numPr>
        <w:rPr>
          <w:lang w:val="fr-CA"/>
        </w:rPr>
      </w:pPr>
      <w:r w:rsidRPr="00D8042F">
        <w:rPr>
          <w:lang w:val="fr-CA"/>
        </w:rPr>
        <w:t>De demander aux agences bilatérales et d’exécution de remettre à la 85</w:t>
      </w:r>
      <w:r w:rsidRPr="00D8042F">
        <w:rPr>
          <w:vertAlign w:val="superscript"/>
          <w:lang w:val="fr-CA"/>
        </w:rPr>
        <w:t>e</w:t>
      </w:r>
      <w:r w:rsidRPr="00D8042F">
        <w:rPr>
          <w:lang w:val="fr-CA"/>
        </w:rPr>
        <w:t> réunion, au nom du gouvernement de la Chine, les demandes de financement de tranches des secteurs de la mousse de polyuréthane, de la mousse de polystyrène extrudé, de la réfrigération in</w:t>
      </w:r>
      <w:r>
        <w:rPr>
          <w:lang w:val="fr-CA"/>
        </w:rPr>
        <w:t>dustrielle</w:t>
      </w:r>
      <w:r w:rsidRPr="00D8042F">
        <w:rPr>
          <w:lang w:val="fr-CA"/>
        </w:rPr>
        <w:t xml:space="preserve"> et commerciale et des solvants de l’année 2020 en lien avec la phase II du PGEH</w:t>
      </w:r>
      <w:r w:rsidR="006E1DC9">
        <w:rPr>
          <w:lang w:val="fr-CA"/>
        </w:rPr>
        <w:t xml:space="preserve"> </w:t>
      </w:r>
      <w:r w:rsidRPr="00D8042F">
        <w:rPr>
          <w:lang w:val="fr-CA"/>
        </w:rPr>
        <w:t xml:space="preserve">; </w:t>
      </w:r>
    </w:p>
    <w:p w14:paraId="54045207" w14:textId="47A9C3CE" w:rsidR="00BA63AB" w:rsidRPr="00D8042F" w:rsidRDefault="00BA63AB" w:rsidP="00BA63AB">
      <w:pPr>
        <w:pStyle w:val="Heading3"/>
        <w:numPr>
          <w:ilvl w:val="2"/>
          <w:numId w:val="1"/>
        </w:numPr>
        <w:rPr>
          <w:lang w:val="fr-CA"/>
        </w:rPr>
      </w:pPr>
      <w:r w:rsidRPr="00D8042F">
        <w:rPr>
          <w:lang w:val="fr-CA"/>
        </w:rPr>
        <w:t>D’approuver l’Appendice 2</w:t>
      </w:r>
      <w:r>
        <w:rPr>
          <w:lang w:val="fr-CA"/>
        </w:rPr>
        <w:noBreakHyphen/>
      </w:r>
      <w:r w:rsidRPr="00D8042F">
        <w:rPr>
          <w:lang w:val="fr-CA"/>
        </w:rPr>
        <w:t>A révisé « Objectifs et financement » de l’Accord entre le gouvernement de la Chine et le Comité exécutif pour la phase II du PGEH approuvé à la 79</w:t>
      </w:r>
      <w:r w:rsidRPr="00D8042F">
        <w:rPr>
          <w:vertAlign w:val="superscript"/>
          <w:lang w:val="fr-CA"/>
        </w:rPr>
        <w:t>e</w:t>
      </w:r>
      <w:r w:rsidRPr="00D8042F">
        <w:rPr>
          <w:lang w:val="fr-CA"/>
        </w:rPr>
        <w:t> réunion et joint à l’annexe XXII au présent rapport, qui fait état de la consommation totale maximum permise de HCFC à la ligne 1.2, et du financement total révisé aux lignes 3.1, 3.2 et 3.3, ainsi que du financement pour le secteur et les coûts d’appui</w:t>
      </w:r>
      <w:r w:rsidR="006E1DC9">
        <w:rPr>
          <w:lang w:val="fr-CA"/>
        </w:rPr>
        <w:t xml:space="preserve"> </w:t>
      </w:r>
      <w:r w:rsidRPr="00D8042F">
        <w:rPr>
          <w:lang w:val="fr-CA"/>
        </w:rPr>
        <w:t xml:space="preserve">; </w:t>
      </w:r>
    </w:p>
    <w:p w14:paraId="44CBACB6" w14:textId="131FF63B" w:rsidR="00BA63AB" w:rsidRPr="00D8042F" w:rsidRDefault="00BA63AB" w:rsidP="00BA63AB">
      <w:pPr>
        <w:pStyle w:val="Heading3"/>
        <w:numPr>
          <w:ilvl w:val="2"/>
          <w:numId w:val="1"/>
        </w:numPr>
        <w:rPr>
          <w:lang w:val="fr-CA"/>
        </w:rPr>
      </w:pPr>
      <w:r w:rsidRPr="00D8042F">
        <w:rPr>
          <w:lang w:val="fr-CA"/>
        </w:rPr>
        <w:t>De demander au gouvernement de la Chine, par l’entremise des agences bilatérales et d’exécution concernées, de remettre, huit semaines avant la réunion, au plus tard, un plan d’action révisé qui comprend les activités connexes et de l’information sur la technologie choisie, et les tranches de financement connexes afin de prolonger les niveaux de consommation maximum de HCFC indiqués aux lignes 1.3.1 et 1.3.4 pour la phase II du programme de facilitation des secteurs des climatiseurs individuels, de la réfrigération in</w:t>
      </w:r>
      <w:r>
        <w:rPr>
          <w:lang w:val="fr-CA"/>
        </w:rPr>
        <w:t>dustrielle</w:t>
      </w:r>
      <w:r w:rsidRPr="00D8042F">
        <w:rPr>
          <w:lang w:val="fr-CA"/>
        </w:rPr>
        <w:t xml:space="preserve"> et commerciale, et de l’entretien de l’équipement de réfrigération et de climatisation jusqu’en 2026</w:t>
      </w:r>
      <w:r w:rsidR="006E1DC9">
        <w:rPr>
          <w:lang w:val="fr-CA"/>
        </w:rPr>
        <w:t xml:space="preserve"> </w:t>
      </w:r>
      <w:r w:rsidRPr="00D8042F">
        <w:rPr>
          <w:lang w:val="fr-CA"/>
        </w:rPr>
        <w:t>;</w:t>
      </w:r>
    </w:p>
    <w:p w14:paraId="54AD979C" w14:textId="77777777" w:rsidR="00BA63AB" w:rsidRPr="00D8042F" w:rsidRDefault="00BA63AB" w:rsidP="00BA63AB">
      <w:pPr>
        <w:pStyle w:val="Heading3"/>
        <w:numPr>
          <w:ilvl w:val="2"/>
          <w:numId w:val="1"/>
        </w:numPr>
        <w:rPr>
          <w:lang w:val="fr-CA"/>
        </w:rPr>
      </w:pPr>
      <w:r w:rsidRPr="00D8042F">
        <w:rPr>
          <w:lang w:val="fr-CA"/>
        </w:rPr>
        <w:t>De demander également au gouvernement de la Chine de remettre à la 86</w:t>
      </w:r>
      <w:r w:rsidRPr="00D8042F">
        <w:rPr>
          <w:vertAlign w:val="superscript"/>
          <w:lang w:val="fr-CA"/>
        </w:rPr>
        <w:t>e</w:t>
      </w:r>
      <w:r w:rsidRPr="00D8042F">
        <w:rPr>
          <w:lang w:val="fr-CA"/>
        </w:rPr>
        <w:t> réunion, par l’entremise des agences bilatérales et d’exécution, les chiffres pouvant servir à une révision possible de l’Appendice 2</w:t>
      </w:r>
      <w:r>
        <w:rPr>
          <w:lang w:val="fr-CA"/>
        </w:rPr>
        <w:noBreakHyphen/>
      </w:r>
      <w:r w:rsidRPr="00D8042F">
        <w:rPr>
          <w:lang w:val="fr-CA"/>
        </w:rPr>
        <w:t xml:space="preserve">A, notamment pour : </w:t>
      </w:r>
    </w:p>
    <w:p w14:paraId="229E1F2E" w14:textId="3A4740B9" w:rsidR="00BA63AB" w:rsidRPr="00D8042F" w:rsidRDefault="00BA63AB" w:rsidP="00045AA9">
      <w:pPr>
        <w:pStyle w:val="Header4"/>
        <w:numPr>
          <w:ilvl w:val="0"/>
          <w:numId w:val="13"/>
        </w:numPr>
        <w:tabs>
          <w:tab w:val="clear" w:pos="3600"/>
        </w:tabs>
        <w:ind w:left="2835" w:hanging="708"/>
        <w:rPr>
          <w:lang w:val="fr-CA"/>
        </w:rPr>
      </w:pPr>
      <w:r w:rsidRPr="00D8042F">
        <w:rPr>
          <w:lang w:val="fr-CA"/>
        </w:rPr>
        <w:t>La ligne 1.2, précisant la consommation totale maximum permise de HCFC de 2021 à 2026, qui correspond à l’information fournie au titre de l’alinéa a) iii), ci</w:t>
      </w:r>
      <w:r>
        <w:rPr>
          <w:lang w:val="fr-CA"/>
        </w:rPr>
        <w:noBreakHyphen/>
      </w:r>
      <w:r w:rsidRPr="00D8042F">
        <w:rPr>
          <w:lang w:val="fr-CA"/>
        </w:rPr>
        <w:t>dessus</w:t>
      </w:r>
      <w:r w:rsidR="006E1DC9">
        <w:rPr>
          <w:lang w:val="fr-CA"/>
        </w:rPr>
        <w:t xml:space="preserve"> </w:t>
      </w:r>
      <w:r w:rsidRPr="00D8042F">
        <w:rPr>
          <w:lang w:val="fr-CA"/>
        </w:rPr>
        <w:t xml:space="preserve">; </w:t>
      </w:r>
    </w:p>
    <w:p w14:paraId="271EE395" w14:textId="77777777" w:rsidR="00BA63AB" w:rsidRPr="00D8042F" w:rsidRDefault="00BA63AB" w:rsidP="00045AA9">
      <w:pPr>
        <w:pStyle w:val="Header4"/>
        <w:numPr>
          <w:ilvl w:val="0"/>
          <w:numId w:val="13"/>
        </w:numPr>
        <w:tabs>
          <w:tab w:val="clear" w:pos="3600"/>
        </w:tabs>
        <w:ind w:left="2835" w:hanging="708"/>
        <w:rPr>
          <w:lang w:val="fr-CA"/>
        </w:rPr>
      </w:pPr>
      <w:r w:rsidRPr="00D8042F">
        <w:rPr>
          <w:lang w:val="fr-CA"/>
        </w:rPr>
        <w:t>Les tranches de financement pour les secteurs de la mousse de polystyrène extrudé, de la mousse de polyuréthane et des solvants de 2021 à 2026 indiquées respectivement aux lignes 2.2.1 à 2.2.4, 2.3.1 à 2.3.2 et 2.6.1 à 2.6.2;</w:t>
      </w:r>
    </w:p>
    <w:p w14:paraId="670D839F" w14:textId="6DB4C189" w:rsidR="00BA63AB" w:rsidRPr="00D8042F" w:rsidRDefault="00BA63AB" w:rsidP="00045AA9">
      <w:pPr>
        <w:pStyle w:val="Header4"/>
        <w:numPr>
          <w:ilvl w:val="0"/>
          <w:numId w:val="13"/>
        </w:numPr>
        <w:tabs>
          <w:tab w:val="clear" w:pos="3600"/>
        </w:tabs>
        <w:ind w:left="2835" w:hanging="708"/>
        <w:rPr>
          <w:lang w:val="fr-CA"/>
        </w:rPr>
      </w:pPr>
      <w:r w:rsidRPr="00D8042F">
        <w:rPr>
          <w:lang w:val="fr-CA"/>
        </w:rPr>
        <w:t>Les quantités associées aux lignes 4.1.1 à 4.6.3 correspondant à l’information indiquée à l’alinéa</w:t>
      </w:r>
      <w:r>
        <w:rPr>
          <w:lang w:val="fr-CA"/>
        </w:rPr>
        <w:t xml:space="preserve"> </w:t>
      </w:r>
      <w:r w:rsidRPr="00D8042F">
        <w:rPr>
          <w:lang w:val="fr-CA"/>
        </w:rPr>
        <w:t>a) iii), ci</w:t>
      </w:r>
      <w:r>
        <w:rPr>
          <w:lang w:val="fr-CA"/>
        </w:rPr>
        <w:noBreakHyphen/>
      </w:r>
      <w:r w:rsidRPr="00D8042F">
        <w:rPr>
          <w:lang w:val="fr-CA"/>
        </w:rPr>
        <w:t>dessus</w:t>
      </w:r>
      <w:r w:rsidR="006E1DC9">
        <w:rPr>
          <w:lang w:val="fr-CA"/>
        </w:rPr>
        <w:t xml:space="preserve"> </w:t>
      </w:r>
      <w:r w:rsidRPr="00D8042F">
        <w:rPr>
          <w:lang w:val="fr-CA"/>
        </w:rPr>
        <w:t>;</w:t>
      </w:r>
    </w:p>
    <w:p w14:paraId="0C7F6952" w14:textId="20521725" w:rsidR="00BA63AB" w:rsidRPr="00D8042F" w:rsidRDefault="00BA63AB" w:rsidP="00BA63AB">
      <w:pPr>
        <w:pStyle w:val="Heading3"/>
        <w:numPr>
          <w:ilvl w:val="2"/>
          <w:numId w:val="1"/>
        </w:numPr>
        <w:rPr>
          <w:lang w:val="fr-CA"/>
        </w:rPr>
      </w:pPr>
      <w:r w:rsidRPr="00D8042F">
        <w:rPr>
          <w:lang w:val="fr-CA"/>
        </w:rPr>
        <w:t>De demander en outre au gouvernement de la Chine de mettre à jour l’information sur les révisions nécessaires correspondant à la présente décision pour les plans des secteurs de la mousse de polystyrène extrudé, de la mousse de polyuréthane et des solvants approuvés</w:t>
      </w:r>
      <w:r w:rsidR="006E1DC9">
        <w:rPr>
          <w:lang w:val="fr-CA"/>
        </w:rPr>
        <w:t xml:space="preserve"> </w:t>
      </w:r>
      <w:r w:rsidRPr="00D8042F">
        <w:rPr>
          <w:lang w:val="fr-CA"/>
        </w:rPr>
        <w:t>;</w:t>
      </w:r>
    </w:p>
    <w:p w14:paraId="0EF81A40" w14:textId="0BB58E5F" w:rsidR="00BA63AB" w:rsidRPr="00D8042F" w:rsidRDefault="00BA63AB" w:rsidP="00BA63AB">
      <w:pPr>
        <w:pStyle w:val="Heading3"/>
        <w:numPr>
          <w:ilvl w:val="2"/>
          <w:numId w:val="1"/>
        </w:numPr>
        <w:rPr>
          <w:lang w:val="fr-CA"/>
        </w:rPr>
      </w:pPr>
      <w:r w:rsidRPr="00D8042F">
        <w:rPr>
          <w:lang w:val="fr-CA"/>
        </w:rPr>
        <w:t xml:space="preserve">D’approuver la somme de 1 000 000 $US, plus les coûts d’appui d’agence de </w:t>
      </w:r>
      <w:r w:rsidRPr="00D8042F">
        <w:rPr>
          <w:lang w:val="fr-CA"/>
        </w:rPr>
        <w:lastRenderedPageBreak/>
        <w:t>120 000 $US pour le PNUE, pour le secteur de l’entretien de l’équipement de réfrigération et de climatisation, et le programme de facilitation, comme indiqué dans l’Appendice 2</w:t>
      </w:r>
      <w:r>
        <w:rPr>
          <w:lang w:val="fr-CA"/>
        </w:rPr>
        <w:noBreakHyphen/>
      </w:r>
      <w:r w:rsidRPr="00D8042F">
        <w:rPr>
          <w:lang w:val="fr-CA"/>
        </w:rPr>
        <w:t>A révisé, mentionné à l’alinéa a) ii), ci</w:t>
      </w:r>
      <w:r>
        <w:rPr>
          <w:lang w:val="fr-CA"/>
        </w:rPr>
        <w:noBreakHyphen/>
      </w:r>
      <w:r w:rsidRPr="00D8042F">
        <w:rPr>
          <w:lang w:val="fr-CA"/>
        </w:rPr>
        <w:t>dessus</w:t>
      </w:r>
      <w:r w:rsidR="006E1DC9">
        <w:rPr>
          <w:lang w:val="fr-CA"/>
        </w:rPr>
        <w:t xml:space="preserve"> </w:t>
      </w:r>
      <w:r w:rsidRPr="00D8042F">
        <w:rPr>
          <w:lang w:val="fr-CA"/>
        </w:rPr>
        <w:t>;</w:t>
      </w:r>
      <w:r w:rsidR="006E1DC9">
        <w:rPr>
          <w:lang w:val="fr-CA"/>
        </w:rPr>
        <w:t xml:space="preserve"> </w:t>
      </w:r>
    </w:p>
    <w:p w14:paraId="5F13CA36" w14:textId="5E053400" w:rsidR="00BA63AB" w:rsidRPr="00D8042F" w:rsidRDefault="00BA63AB" w:rsidP="00BA63AB">
      <w:pPr>
        <w:pStyle w:val="Heading3"/>
        <w:numPr>
          <w:ilvl w:val="2"/>
          <w:numId w:val="1"/>
        </w:numPr>
        <w:rPr>
          <w:lang w:val="fr-CA"/>
        </w:rPr>
      </w:pPr>
      <w:r w:rsidRPr="00D8042F">
        <w:rPr>
          <w:lang w:val="fr-CA"/>
        </w:rPr>
        <w:t>De demander au PNUD, en tant qu’agence d’exécution principale pour l’ensemble de la phase II du PGEH, de remettre à la 86</w:t>
      </w:r>
      <w:r w:rsidRPr="00D8042F">
        <w:rPr>
          <w:vertAlign w:val="superscript"/>
          <w:lang w:val="fr-CA"/>
        </w:rPr>
        <w:t>e</w:t>
      </w:r>
      <w:r w:rsidRPr="00D8042F">
        <w:rPr>
          <w:lang w:val="fr-CA"/>
        </w:rPr>
        <w:t> réunion, au nom du gouvernement de la Chine, un Accord révisé entre le gouvernement de la Chine et le Comité exécutif ne comprenant que les résultats pertinents approuvés à la 84</w:t>
      </w:r>
      <w:r w:rsidRPr="00D8042F">
        <w:rPr>
          <w:vertAlign w:val="superscript"/>
          <w:lang w:val="fr-CA"/>
        </w:rPr>
        <w:t>e</w:t>
      </w:r>
      <w:r w:rsidRPr="00D8042F">
        <w:rPr>
          <w:lang w:val="fr-CA"/>
        </w:rPr>
        <w:t xml:space="preserve"> réunion ou les résultats </w:t>
      </w:r>
      <w:r>
        <w:rPr>
          <w:lang w:val="fr-CA"/>
        </w:rPr>
        <w:t>en lien avec les</w:t>
      </w:r>
      <w:r w:rsidRPr="00D8042F">
        <w:rPr>
          <w:lang w:val="fr-CA"/>
        </w:rPr>
        <w:t xml:space="preserve"> alinéas a) iii) et a) iv) ci</w:t>
      </w:r>
      <w:r>
        <w:rPr>
          <w:lang w:val="fr-CA"/>
        </w:rPr>
        <w:noBreakHyphen/>
      </w:r>
      <w:r w:rsidRPr="00D8042F">
        <w:rPr>
          <w:lang w:val="fr-CA"/>
        </w:rPr>
        <w:t>dessus, et le plan d’action révisé pour les secteurs des climatiseurs individuels, de la réfrigéra</w:t>
      </w:r>
      <w:r>
        <w:rPr>
          <w:lang w:val="fr-CA"/>
        </w:rPr>
        <w:t>tion industrielle</w:t>
      </w:r>
      <w:r w:rsidRPr="00D8042F">
        <w:rPr>
          <w:lang w:val="fr-CA"/>
        </w:rPr>
        <w:t xml:space="preserve"> et commerciale, de l’entretien de l’équipement de réfrigération et de climatisation, et le programme de facilitation, aussi attendus à la 86</w:t>
      </w:r>
      <w:r w:rsidRPr="00D8042F">
        <w:rPr>
          <w:vertAlign w:val="superscript"/>
          <w:lang w:val="fr-CA"/>
        </w:rPr>
        <w:t>e</w:t>
      </w:r>
      <w:r w:rsidRPr="00D8042F">
        <w:rPr>
          <w:lang w:val="fr-CA"/>
        </w:rPr>
        <w:t> réunion</w:t>
      </w:r>
      <w:r w:rsidR="006E1DC9">
        <w:rPr>
          <w:lang w:val="fr-CA"/>
        </w:rPr>
        <w:t xml:space="preserve"> </w:t>
      </w:r>
      <w:r w:rsidRPr="00D8042F">
        <w:rPr>
          <w:lang w:val="fr-CA"/>
        </w:rPr>
        <w:t>;</w:t>
      </w:r>
      <w:r w:rsidR="006E1DC9">
        <w:rPr>
          <w:lang w:val="fr-CA"/>
        </w:rPr>
        <w:t xml:space="preserve"> et</w:t>
      </w:r>
      <w:r w:rsidRPr="00D8042F">
        <w:rPr>
          <w:lang w:val="fr-CA"/>
        </w:rPr>
        <w:t xml:space="preserve"> </w:t>
      </w:r>
    </w:p>
    <w:p w14:paraId="154165F7" w14:textId="77777777" w:rsidR="00BA63AB" w:rsidRPr="00960C08" w:rsidRDefault="00BA63AB" w:rsidP="00BA63AB">
      <w:pPr>
        <w:pStyle w:val="Heading2"/>
        <w:numPr>
          <w:ilvl w:val="1"/>
          <w:numId w:val="1"/>
        </w:numPr>
        <w:rPr>
          <w:lang w:val="fr-CA"/>
        </w:rPr>
      </w:pPr>
      <w:r w:rsidRPr="00D8042F">
        <w:rPr>
          <w:lang w:val="fr-CA"/>
        </w:rPr>
        <w:t>De demander à la Banque mondiale de remettre à la 86</w:t>
      </w:r>
      <w:r w:rsidRPr="00D8042F">
        <w:rPr>
          <w:vertAlign w:val="superscript"/>
          <w:lang w:val="fr-CA"/>
        </w:rPr>
        <w:t>e</w:t>
      </w:r>
      <w:r w:rsidRPr="00D8042F">
        <w:rPr>
          <w:lang w:val="fr-CA"/>
        </w:rPr>
        <w:t xml:space="preserve"> réunion, au nom du gouvernement de la Chine, une proposition révisée pour la phase II du plan de gestion de l’élimination de la production de HCFC (PGEPH) pour le pays. </w:t>
      </w:r>
    </w:p>
    <w:p w14:paraId="08F1813C" w14:textId="77777777" w:rsidR="00BA63AB" w:rsidRPr="00D8042F" w:rsidRDefault="00BA63AB" w:rsidP="00BA63AB">
      <w:pPr>
        <w:pStyle w:val="Heading1"/>
        <w:widowControl w:val="0"/>
        <w:rPr>
          <w:lang w:val="fr-CA"/>
        </w:rPr>
      </w:pPr>
      <w:r w:rsidRPr="00D8042F">
        <w:rPr>
          <w:lang w:val="fr-CA"/>
        </w:rPr>
        <w:t>Lors de la 85</w:t>
      </w:r>
      <w:r w:rsidRPr="00D8042F">
        <w:rPr>
          <w:vertAlign w:val="superscript"/>
          <w:lang w:val="fr-CA"/>
        </w:rPr>
        <w:t>e</w:t>
      </w:r>
      <w:r w:rsidRPr="00D8042F">
        <w:rPr>
          <w:lang w:val="fr-CA"/>
        </w:rPr>
        <w:t> réunion, les agences bilatérales et d’exécution ont représenté les demandes concernant les troisièmes tranches des plans sectoriels XPS, ICR et des solvants, et la deuxième tranche du plan sectoriel de la mousse PU, qui avaient été soumises avant l’adoption de la décision 84/69, mais qui avaient été reportées. Ultérieurement, lors de la 86</w:t>
      </w:r>
      <w:r w:rsidRPr="00D8042F">
        <w:rPr>
          <w:vertAlign w:val="superscript"/>
          <w:lang w:val="fr-CA"/>
        </w:rPr>
        <w:t>e</w:t>
      </w:r>
      <w:r w:rsidRPr="00D8042F">
        <w:rPr>
          <w:lang w:val="fr-CA"/>
        </w:rPr>
        <w:t xml:space="preserve"> réunion, les agences ont présenté des plans d’action révisés pour les plans sectoriels de la phase II du PGEH visant tous les éléments de la décision 84/69, </w:t>
      </w:r>
      <w:r>
        <w:rPr>
          <w:lang w:val="fr-CA"/>
        </w:rPr>
        <w:t>y compris</w:t>
      </w:r>
      <w:r w:rsidRPr="00D8042F">
        <w:rPr>
          <w:lang w:val="fr-CA"/>
        </w:rPr>
        <w:t xml:space="preserve"> les objectifs d’élimination des HCFC pour la période 2021</w:t>
      </w:r>
      <w:r>
        <w:rPr>
          <w:lang w:val="fr-CA"/>
        </w:rPr>
        <w:noBreakHyphen/>
      </w:r>
      <w:r w:rsidRPr="00D8042F">
        <w:rPr>
          <w:lang w:val="fr-CA"/>
        </w:rPr>
        <w:t xml:space="preserve">2026, les activités connexes, l’information sur la technologie choisie, les tranches de financement associées, et un projet d’Accord révisé entre le gouvernement de la Chine et le Comité exécutif. </w:t>
      </w:r>
    </w:p>
    <w:p w14:paraId="33F79FBB" w14:textId="77777777" w:rsidR="00BA63AB" w:rsidRPr="00D8042F" w:rsidRDefault="00BA63AB" w:rsidP="00BA63AB">
      <w:pPr>
        <w:rPr>
          <w:b/>
          <w:lang w:val="fr-CA"/>
        </w:rPr>
      </w:pPr>
      <w:r w:rsidRPr="00D8042F">
        <w:rPr>
          <w:b/>
          <w:lang w:val="fr-CA"/>
        </w:rPr>
        <w:t>Aperçu des plans d’action révisés pour les plans sectoriels de la phase II (2021</w:t>
      </w:r>
      <w:r w:rsidRPr="00D8042F">
        <w:rPr>
          <w:b/>
          <w:lang w:val="fr-CA"/>
        </w:rPr>
        <w:noBreakHyphen/>
        <w:t>2026)</w:t>
      </w:r>
    </w:p>
    <w:p w14:paraId="3DB7A6F8" w14:textId="77777777" w:rsidR="00BA63AB" w:rsidRPr="00D8042F" w:rsidRDefault="00BA63AB" w:rsidP="00BA63AB">
      <w:pPr>
        <w:rPr>
          <w:lang w:val="fr-CA"/>
        </w:rPr>
      </w:pPr>
    </w:p>
    <w:p w14:paraId="498D505C" w14:textId="77777777" w:rsidR="00BA63AB" w:rsidRPr="000E1614" w:rsidRDefault="00BA63AB" w:rsidP="00BA63AB">
      <w:pPr>
        <w:pStyle w:val="Heading1"/>
        <w:rPr>
          <w:lang w:val="fr-CA"/>
        </w:rPr>
      </w:pPr>
      <w:r w:rsidRPr="00D8042F">
        <w:rPr>
          <w:lang w:val="fr-CA"/>
        </w:rPr>
        <w:t xml:space="preserve">Compte tenu de tous les éléments de la décision 84/69, le PNUD, en sa qualité d’agence d’exécution principale, a présenté, au nom du gouvernement de la Chine, un aperçu des ajustements apportés aux six plans sectoriels associés à la phase II du PGEH. À partir des connaissances et de l’expérience acquises au cours de la préparation et de la mise en œuvre de la phase I (terminée) et de la phase II, le gouvernement de la Chine a entrepris la révision des plans sectoriels, avec le soutien des agences bilatérales et d’exécution concernées dans le cadre de la phase II, </w:t>
      </w:r>
      <w:r>
        <w:rPr>
          <w:lang w:val="fr-CA"/>
        </w:rPr>
        <w:t>y compris</w:t>
      </w:r>
      <w:r w:rsidRPr="00D8042F">
        <w:rPr>
          <w:lang w:val="fr-CA"/>
        </w:rPr>
        <w:t xml:space="preserve"> le gouvernement de l’Autriche, à titre d’agence de coopération dans le secteur des appareils de réfrigération et de climatisation, comme le montre le tableau 2.</w:t>
      </w:r>
    </w:p>
    <w:p w14:paraId="4D50B236" w14:textId="77777777" w:rsidR="00BA63AB" w:rsidRPr="00960C08" w:rsidRDefault="00BA63AB" w:rsidP="00BA63AB">
      <w:pPr>
        <w:pStyle w:val="Heading1"/>
        <w:numPr>
          <w:ilvl w:val="0"/>
          <w:numId w:val="0"/>
        </w:numPr>
        <w:spacing w:after="0"/>
        <w:rPr>
          <w:b/>
          <w:sz w:val="21"/>
          <w:szCs w:val="21"/>
          <w:lang w:val="fr-CA"/>
        </w:rPr>
      </w:pPr>
      <w:r w:rsidRPr="00960C08">
        <w:rPr>
          <w:b/>
          <w:sz w:val="21"/>
          <w:szCs w:val="21"/>
          <w:lang w:val="fr-CA"/>
        </w:rPr>
        <w:t xml:space="preserve">Tableau 2. Agences ayant participé à la préparation des plans d’action révisés pour la phase II du PGEH </w:t>
      </w:r>
    </w:p>
    <w:tbl>
      <w:tblPr>
        <w:tblStyle w:val="TableGrid"/>
        <w:tblW w:w="5000" w:type="pct"/>
        <w:tblLook w:val="04A0" w:firstRow="1" w:lastRow="0" w:firstColumn="1" w:lastColumn="0" w:noHBand="0" w:noVBand="1"/>
      </w:tblPr>
      <w:tblGrid>
        <w:gridCol w:w="1493"/>
        <w:gridCol w:w="5546"/>
        <w:gridCol w:w="2311"/>
      </w:tblGrid>
      <w:tr w:rsidR="00BA63AB" w:rsidRPr="00D8042F" w14:paraId="2C6AD63C" w14:textId="77777777" w:rsidTr="00720BA7">
        <w:trPr>
          <w:tblHeader/>
        </w:trPr>
        <w:tc>
          <w:tcPr>
            <w:tcW w:w="798" w:type="pct"/>
            <w:vAlign w:val="center"/>
          </w:tcPr>
          <w:p w14:paraId="2BD1A4D3" w14:textId="77777777" w:rsidR="00BA63AB" w:rsidRPr="00D8042F" w:rsidRDefault="00BA63AB" w:rsidP="00720BA7">
            <w:pPr>
              <w:jc w:val="left"/>
              <w:rPr>
                <w:rFonts w:eastAsia="SimSun"/>
                <w:b/>
                <w:bCs/>
                <w:color w:val="000000"/>
                <w:sz w:val="20"/>
                <w:szCs w:val="20"/>
                <w:lang w:val="en-CA"/>
              </w:rPr>
            </w:pPr>
            <w:r w:rsidRPr="00D8042F">
              <w:rPr>
                <w:rFonts w:eastAsia="SimSun"/>
                <w:b/>
                <w:bCs/>
                <w:color w:val="000000"/>
                <w:sz w:val="20"/>
                <w:szCs w:val="20"/>
                <w:lang w:val="en-CA"/>
              </w:rPr>
              <w:t>Secteur</w:t>
            </w:r>
          </w:p>
        </w:tc>
        <w:tc>
          <w:tcPr>
            <w:tcW w:w="2966" w:type="pct"/>
            <w:vAlign w:val="center"/>
          </w:tcPr>
          <w:p w14:paraId="24ACF903" w14:textId="77777777" w:rsidR="00BA63AB" w:rsidRPr="00D8042F" w:rsidRDefault="00BA63AB" w:rsidP="00720BA7">
            <w:pPr>
              <w:pStyle w:val="ListParagraph"/>
              <w:ind w:left="0" w:firstLine="482"/>
              <w:jc w:val="center"/>
              <w:rPr>
                <w:rFonts w:eastAsia="SimSun"/>
                <w:b/>
                <w:bCs/>
                <w:color w:val="000000"/>
                <w:sz w:val="20"/>
                <w:szCs w:val="20"/>
                <w:lang w:val="fr-CA"/>
              </w:rPr>
            </w:pPr>
            <w:r w:rsidRPr="00D8042F">
              <w:rPr>
                <w:rFonts w:eastAsia="SimSun"/>
                <w:b/>
                <w:bCs/>
                <w:color w:val="000000"/>
                <w:sz w:val="20"/>
                <w:szCs w:val="20"/>
                <w:lang w:val="fr-CA"/>
              </w:rPr>
              <w:t>Agence ayant participé à la préparation</w:t>
            </w:r>
          </w:p>
        </w:tc>
        <w:tc>
          <w:tcPr>
            <w:tcW w:w="1236" w:type="pct"/>
            <w:vAlign w:val="center"/>
          </w:tcPr>
          <w:p w14:paraId="1AD9B113" w14:textId="77777777" w:rsidR="00BA63AB" w:rsidRPr="00D8042F" w:rsidRDefault="00BA63AB" w:rsidP="00720BA7">
            <w:pPr>
              <w:jc w:val="center"/>
              <w:rPr>
                <w:rFonts w:eastAsia="SimSun"/>
                <w:b/>
                <w:bCs/>
                <w:color w:val="000000"/>
                <w:sz w:val="20"/>
                <w:szCs w:val="20"/>
                <w:lang w:val="fr-CA"/>
              </w:rPr>
            </w:pPr>
            <w:r w:rsidRPr="00D8042F">
              <w:rPr>
                <w:rFonts w:eastAsia="SimSun"/>
                <w:b/>
                <w:bCs/>
                <w:color w:val="000000"/>
                <w:sz w:val="20"/>
                <w:szCs w:val="20"/>
                <w:lang w:val="fr-CA"/>
              </w:rPr>
              <w:t>Agences bilatérales et d’exécution</w:t>
            </w:r>
          </w:p>
        </w:tc>
      </w:tr>
      <w:tr w:rsidR="00BA63AB" w:rsidRPr="00D8042F" w14:paraId="3F427864" w14:textId="77777777" w:rsidTr="00720BA7">
        <w:tc>
          <w:tcPr>
            <w:tcW w:w="798" w:type="pct"/>
          </w:tcPr>
          <w:p w14:paraId="19A97558"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 xml:space="preserve">Global </w:t>
            </w:r>
          </w:p>
        </w:tc>
        <w:tc>
          <w:tcPr>
            <w:tcW w:w="2966" w:type="pct"/>
          </w:tcPr>
          <w:p w14:paraId="150777A1"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FECO/MEE</w:t>
            </w:r>
          </w:p>
        </w:tc>
        <w:tc>
          <w:tcPr>
            <w:tcW w:w="1236" w:type="pct"/>
          </w:tcPr>
          <w:p w14:paraId="5A8519FA"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PNUD</w:t>
            </w:r>
          </w:p>
        </w:tc>
      </w:tr>
      <w:tr w:rsidR="00BA63AB" w:rsidRPr="00D8042F" w14:paraId="57257ECA" w14:textId="77777777" w:rsidTr="00720BA7">
        <w:tc>
          <w:tcPr>
            <w:tcW w:w="798" w:type="pct"/>
          </w:tcPr>
          <w:p w14:paraId="741175BB"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ICR</w:t>
            </w:r>
          </w:p>
        </w:tc>
        <w:tc>
          <w:tcPr>
            <w:tcW w:w="2966" w:type="pct"/>
          </w:tcPr>
          <w:p w14:paraId="5CDE8C3B" w14:textId="77777777" w:rsidR="00BA63AB" w:rsidRPr="00D8042F" w:rsidRDefault="00BA63AB" w:rsidP="00720BA7">
            <w:pPr>
              <w:pStyle w:val="ListParagraph"/>
              <w:ind w:left="0"/>
              <w:jc w:val="left"/>
              <w:rPr>
                <w:rFonts w:eastAsia="SimSun"/>
                <w:color w:val="000000"/>
                <w:sz w:val="20"/>
                <w:szCs w:val="20"/>
                <w:lang w:val="fr-CA"/>
              </w:rPr>
            </w:pPr>
            <w:r w:rsidRPr="00D8042F">
              <w:rPr>
                <w:rFonts w:eastAsia="SimSun"/>
                <w:color w:val="000000"/>
                <w:sz w:val="20"/>
                <w:szCs w:val="20"/>
                <w:lang w:val="fr-CA"/>
              </w:rPr>
              <w:t xml:space="preserve">FECO/MEE, Association chinoise de la réfrigération et de la climatisation (CRAA) </w:t>
            </w:r>
          </w:p>
        </w:tc>
        <w:tc>
          <w:tcPr>
            <w:tcW w:w="1236" w:type="pct"/>
          </w:tcPr>
          <w:p w14:paraId="60B692AA"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PNUD</w:t>
            </w:r>
          </w:p>
        </w:tc>
      </w:tr>
      <w:tr w:rsidR="00BA63AB" w:rsidRPr="00D8042F" w14:paraId="1E72F826" w14:textId="77777777" w:rsidTr="00720BA7">
        <w:tc>
          <w:tcPr>
            <w:tcW w:w="798" w:type="pct"/>
          </w:tcPr>
          <w:p w14:paraId="547DEEF6"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RAC</w:t>
            </w:r>
          </w:p>
        </w:tc>
        <w:tc>
          <w:tcPr>
            <w:tcW w:w="2966" w:type="pct"/>
          </w:tcPr>
          <w:p w14:paraId="7E453C90" w14:textId="77777777" w:rsidR="00BA63AB" w:rsidRPr="00D8042F" w:rsidRDefault="00BA63AB" w:rsidP="00720BA7">
            <w:pPr>
              <w:jc w:val="left"/>
              <w:rPr>
                <w:rFonts w:eastAsia="SimSun"/>
                <w:color w:val="000000"/>
                <w:sz w:val="20"/>
                <w:szCs w:val="20"/>
                <w:lang w:val="fr-CA"/>
              </w:rPr>
            </w:pPr>
            <w:r w:rsidRPr="00D8042F">
              <w:rPr>
                <w:rFonts w:eastAsia="SimSun"/>
                <w:color w:val="000000"/>
                <w:sz w:val="20"/>
                <w:szCs w:val="20"/>
                <w:lang w:val="fr-CA"/>
              </w:rPr>
              <w:t xml:space="preserve">FECO/MEE, Associations chinoises des électroménagers (CHEAA) </w:t>
            </w:r>
          </w:p>
        </w:tc>
        <w:tc>
          <w:tcPr>
            <w:tcW w:w="1236" w:type="pct"/>
          </w:tcPr>
          <w:p w14:paraId="4131616A"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ONUDI, Autriche, Italie</w:t>
            </w:r>
          </w:p>
        </w:tc>
      </w:tr>
      <w:tr w:rsidR="00BA63AB" w:rsidRPr="00D8042F" w14:paraId="04173976" w14:textId="77777777" w:rsidTr="00720BA7">
        <w:tc>
          <w:tcPr>
            <w:tcW w:w="798" w:type="pct"/>
          </w:tcPr>
          <w:p w14:paraId="3BA69F13" w14:textId="77777777" w:rsidR="00BA63AB" w:rsidRPr="00D8042F" w:rsidRDefault="00BA63AB" w:rsidP="00720BA7">
            <w:pPr>
              <w:pStyle w:val="ListParagraph"/>
              <w:ind w:left="0"/>
              <w:jc w:val="left"/>
              <w:rPr>
                <w:rFonts w:eastAsia="SimSun"/>
                <w:color w:val="000000"/>
                <w:sz w:val="20"/>
                <w:szCs w:val="20"/>
                <w:lang w:val="en-CA"/>
              </w:rPr>
            </w:pPr>
            <w:r w:rsidRPr="00D8042F">
              <w:rPr>
                <w:rFonts w:eastAsia="SimSun"/>
                <w:color w:val="000000"/>
                <w:sz w:val="20"/>
                <w:szCs w:val="20"/>
                <w:lang w:val="en-CA"/>
              </w:rPr>
              <w:t xml:space="preserve">Entretien </w:t>
            </w:r>
          </w:p>
        </w:tc>
        <w:tc>
          <w:tcPr>
            <w:tcW w:w="2966" w:type="pct"/>
          </w:tcPr>
          <w:p w14:paraId="02316A82"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FECO/MEE, CRAA</w:t>
            </w:r>
            <w:r w:rsidRPr="00D8042F">
              <w:rPr>
                <w:sz w:val="20"/>
                <w:szCs w:val="20"/>
                <w:lang w:val="en-CA"/>
              </w:rPr>
              <w:t xml:space="preserve">, </w:t>
            </w:r>
            <w:r w:rsidRPr="00D8042F">
              <w:rPr>
                <w:rFonts w:eastAsia="SimSun"/>
                <w:color w:val="000000"/>
                <w:sz w:val="20"/>
                <w:szCs w:val="20"/>
                <w:lang w:val="en-CA"/>
              </w:rPr>
              <w:t>CHEAA</w:t>
            </w:r>
          </w:p>
        </w:tc>
        <w:tc>
          <w:tcPr>
            <w:tcW w:w="1236" w:type="pct"/>
          </w:tcPr>
          <w:p w14:paraId="3CCF9F18" w14:textId="77777777" w:rsidR="00BA63AB" w:rsidRPr="00D8042F" w:rsidRDefault="00BA63AB" w:rsidP="00720BA7">
            <w:pPr>
              <w:jc w:val="left"/>
              <w:rPr>
                <w:rFonts w:eastAsia="SimSun"/>
                <w:color w:val="000000"/>
                <w:sz w:val="20"/>
                <w:szCs w:val="20"/>
                <w:lang w:val="fr-CA"/>
              </w:rPr>
            </w:pPr>
            <w:r w:rsidRPr="00D8042F">
              <w:rPr>
                <w:rFonts w:eastAsia="SimSun"/>
                <w:color w:val="000000"/>
                <w:sz w:val="20"/>
                <w:szCs w:val="20"/>
                <w:lang w:val="fr-CA"/>
              </w:rPr>
              <w:t>PNUE, Allemagne, Japon</w:t>
            </w:r>
          </w:p>
        </w:tc>
      </w:tr>
      <w:tr w:rsidR="00BA63AB" w:rsidRPr="00D8042F" w14:paraId="7C637EE1" w14:textId="77777777" w:rsidTr="00720BA7">
        <w:tc>
          <w:tcPr>
            <w:tcW w:w="798" w:type="pct"/>
          </w:tcPr>
          <w:p w14:paraId="0A0410E7"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 xml:space="preserve">Mousse XPS </w:t>
            </w:r>
          </w:p>
        </w:tc>
        <w:tc>
          <w:tcPr>
            <w:tcW w:w="2966" w:type="pct"/>
          </w:tcPr>
          <w:p w14:paraId="590927C3" w14:textId="77777777" w:rsidR="00BA63AB" w:rsidRPr="00D8042F" w:rsidRDefault="00BA63AB" w:rsidP="00720BA7">
            <w:pPr>
              <w:pStyle w:val="ListParagraph"/>
              <w:ind w:left="0"/>
              <w:jc w:val="left"/>
              <w:rPr>
                <w:rFonts w:eastAsia="SimSun"/>
                <w:color w:val="000000"/>
                <w:sz w:val="20"/>
                <w:szCs w:val="20"/>
                <w:lang w:val="fr-CA"/>
              </w:rPr>
            </w:pPr>
            <w:r w:rsidRPr="00D8042F">
              <w:rPr>
                <w:rFonts w:eastAsia="SimSun"/>
                <w:color w:val="000000"/>
                <w:sz w:val="20"/>
                <w:szCs w:val="20"/>
                <w:lang w:val="fr-CA"/>
              </w:rPr>
              <w:t xml:space="preserve">FECO/MEE, Université de la technologie et des affaires de Beijing </w:t>
            </w:r>
          </w:p>
        </w:tc>
        <w:tc>
          <w:tcPr>
            <w:tcW w:w="1236" w:type="pct"/>
          </w:tcPr>
          <w:p w14:paraId="4F47465F"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ONUDI, Allemagne</w:t>
            </w:r>
          </w:p>
        </w:tc>
      </w:tr>
      <w:tr w:rsidR="00BA63AB" w:rsidRPr="00D8042F" w14:paraId="6A7C9220" w14:textId="77777777" w:rsidTr="00720BA7">
        <w:tc>
          <w:tcPr>
            <w:tcW w:w="798" w:type="pct"/>
          </w:tcPr>
          <w:p w14:paraId="10076BD0"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Mousse PU</w:t>
            </w:r>
          </w:p>
        </w:tc>
        <w:tc>
          <w:tcPr>
            <w:tcW w:w="2966" w:type="pct"/>
          </w:tcPr>
          <w:p w14:paraId="07BFB799" w14:textId="77777777" w:rsidR="00BA63AB" w:rsidRPr="00D8042F" w:rsidRDefault="00BA63AB" w:rsidP="00720BA7">
            <w:pPr>
              <w:pStyle w:val="ListParagraph"/>
              <w:ind w:left="0"/>
              <w:jc w:val="left"/>
              <w:rPr>
                <w:rFonts w:eastAsia="SimSun"/>
                <w:color w:val="000000"/>
                <w:sz w:val="20"/>
                <w:szCs w:val="20"/>
                <w:lang w:val="fr-CA"/>
              </w:rPr>
            </w:pPr>
            <w:r w:rsidRPr="00D8042F">
              <w:rPr>
                <w:rFonts w:eastAsia="SimSun"/>
                <w:color w:val="000000"/>
                <w:sz w:val="20"/>
                <w:szCs w:val="20"/>
                <w:lang w:val="fr-CA"/>
              </w:rPr>
              <w:t>FECO/MEE, Université de Pékin, Association chinoise de l’industrie de transformation du plastique (CPPIA)</w:t>
            </w:r>
          </w:p>
        </w:tc>
        <w:tc>
          <w:tcPr>
            <w:tcW w:w="1236" w:type="pct"/>
          </w:tcPr>
          <w:p w14:paraId="60F3226D"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Banque mondiale</w:t>
            </w:r>
          </w:p>
        </w:tc>
      </w:tr>
      <w:tr w:rsidR="00BA63AB" w:rsidRPr="00D8042F" w14:paraId="122E29F1" w14:textId="77777777" w:rsidTr="00720BA7">
        <w:tc>
          <w:tcPr>
            <w:tcW w:w="798" w:type="pct"/>
          </w:tcPr>
          <w:p w14:paraId="47FED05B"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Solvants</w:t>
            </w:r>
          </w:p>
        </w:tc>
        <w:tc>
          <w:tcPr>
            <w:tcW w:w="2966" w:type="pct"/>
          </w:tcPr>
          <w:p w14:paraId="158C2122" w14:textId="77777777" w:rsidR="00BA63AB" w:rsidRPr="00960C08" w:rsidRDefault="00BA63AB" w:rsidP="00720BA7">
            <w:pPr>
              <w:jc w:val="left"/>
              <w:rPr>
                <w:rFonts w:eastAsia="SimSun"/>
                <w:color w:val="000000"/>
                <w:sz w:val="20"/>
                <w:szCs w:val="20"/>
                <w:lang w:val="fr-CA"/>
              </w:rPr>
            </w:pPr>
            <w:r w:rsidRPr="00960C08">
              <w:rPr>
                <w:rFonts w:eastAsia="SimSun"/>
                <w:color w:val="000000"/>
                <w:sz w:val="20"/>
                <w:szCs w:val="20"/>
                <w:lang w:val="fr-CA"/>
              </w:rPr>
              <w:t>FECO/MEE, Université de technologie chimique de Beijing</w:t>
            </w:r>
          </w:p>
        </w:tc>
        <w:tc>
          <w:tcPr>
            <w:tcW w:w="1236" w:type="pct"/>
          </w:tcPr>
          <w:p w14:paraId="3BDFC24F" w14:textId="77777777" w:rsidR="00BA63AB" w:rsidRPr="00D8042F" w:rsidRDefault="00BA63AB" w:rsidP="00720BA7">
            <w:pPr>
              <w:jc w:val="left"/>
              <w:rPr>
                <w:rFonts w:eastAsia="SimSun"/>
                <w:color w:val="000000"/>
                <w:sz w:val="20"/>
                <w:szCs w:val="20"/>
                <w:lang w:val="en-CA"/>
              </w:rPr>
            </w:pPr>
            <w:r w:rsidRPr="00D8042F">
              <w:rPr>
                <w:rFonts w:eastAsia="SimSun"/>
                <w:color w:val="000000"/>
                <w:sz w:val="20"/>
                <w:szCs w:val="20"/>
                <w:lang w:val="en-CA"/>
              </w:rPr>
              <w:t>PNUD</w:t>
            </w:r>
          </w:p>
        </w:tc>
      </w:tr>
    </w:tbl>
    <w:p w14:paraId="100BC2D8" w14:textId="77777777" w:rsidR="00BA63AB" w:rsidRPr="00D8042F" w:rsidRDefault="00BA63AB" w:rsidP="00BA63AB">
      <w:pPr>
        <w:rPr>
          <w:sz w:val="19"/>
          <w:szCs w:val="19"/>
          <w:lang w:val="en-CA"/>
        </w:rPr>
      </w:pPr>
    </w:p>
    <w:p w14:paraId="2FAB5EAD" w14:textId="7F771783" w:rsidR="00BA63AB" w:rsidRPr="006E1DC9" w:rsidRDefault="00BA63AB" w:rsidP="006E1DC9">
      <w:pPr>
        <w:keepNext/>
        <w:keepLines/>
        <w:spacing w:after="240"/>
        <w:rPr>
          <w:u w:val="single"/>
          <w:lang w:val="fr-CA"/>
        </w:rPr>
      </w:pPr>
      <w:r w:rsidRPr="00D8042F">
        <w:rPr>
          <w:u w:val="single"/>
          <w:lang w:val="fr-CA"/>
        </w:rPr>
        <w:lastRenderedPageBreak/>
        <w:t xml:space="preserve">Ajustements des quantités de HCFC à éliminer </w:t>
      </w:r>
    </w:p>
    <w:p w14:paraId="5C5BD469" w14:textId="77777777" w:rsidR="00BA63AB" w:rsidRPr="00D8042F" w:rsidRDefault="00BA63AB" w:rsidP="00BA63AB">
      <w:pPr>
        <w:pStyle w:val="Heading1"/>
        <w:rPr>
          <w:lang w:val="fr-CA"/>
        </w:rPr>
      </w:pPr>
      <w:r w:rsidRPr="00D8042F">
        <w:rPr>
          <w:lang w:val="fr-CA"/>
        </w:rPr>
        <w:t>Le gouvernement de la Chine a appliqué les principes suivants en rapport avec les objectifs d’élimination des HCFC :</w:t>
      </w:r>
    </w:p>
    <w:p w14:paraId="49F09783" w14:textId="7AE409A7" w:rsidR="00BA63AB" w:rsidRPr="00D8042F" w:rsidRDefault="00BA63AB" w:rsidP="00BA63AB">
      <w:pPr>
        <w:pStyle w:val="Heading2"/>
        <w:numPr>
          <w:ilvl w:val="1"/>
          <w:numId w:val="1"/>
        </w:numPr>
        <w:rPr>
          <w:lang w:val="fr-CA"/>
        </w:rPr>
      </w:pPr>
      <w:r w:rsidRPr="00D8042F">
        <w:rPr>
          <w:lang w:val="fr-CA"/>
        </w:rPr>
        <w:t>Pour les plans sectoriels de la mousse XPS, de la mousse PU et des solvants, les objectifs d’élimination demeurent identiques aux objectifs d’origine approuvés</w:t>
      </w:r>
      <w:r w:rsidR="006E1DC9">
        <w:rPr>
          <w:lang w:val="fr-CA"/>
        </w:rPr>
        <w:t xml:space="preserve"> </w:t>
      </w:r>
      <w:r w:rsidRPr="00D8042F">
        <w:rPr>
          <w:lang w:val="fr-CA"/>
        </w:rPr>
        <w:t>;</w:t>
      </w:r>
    </w:p>
    <w:p w14:paraId="2DF14E7D" w14:textId="3F9C4FF6" w:rsidR="00BA63AB" w:rsidRPr="00D8042F" w:rsidRDefault="00BA63AB" w:rsidP="00BA63AB">
      <w:pPr>
        <w:pStyle w:val="Heading2"/>
        <w:numPr>
          <w:ilvl w:val="1"/>
          <w:numId w:val="1"/>
        </w:numPr>
        <w:rPr>
          <w:lang w:val="fr-CA"/>
        </w:rPr>
      </w:pPr>
      <w:r w:rsidRPr="00D8042F">
        <w:rPr>
          <w:lang w:val="fr-CA"/>
        </w:rPr>
        <w:t>Pour les secteurs ICR et RAC, les objectifs d’élimination ont été reportés pour la période 2022</w:t>
      </w:r>
      <w:r>
        <w:rPr>
          <w:lang w:val="fr-CA"/>
        </w:rPr>
        <w:noBreakHyphen/>
      </w:r>
      <w:r w:rsidRPr="00D8042F">
        <w:rPr>
          <w:lang w:val="fr-CA"/>
        </w:rPr>
        <w:t>2026, compte tenu de l’échéancier stipulé par le Protocole de Montréal et la situation propre à chaque secteur</w:t>
      </w:r>
      <w:r w:rsidR="006E1DC9">
        <w:rPr>
          <w:lang w:val="fr-CA"/>
        </w:rPr>
        <w:t xml:space="preserve"> </w:t>
      </w:r>
      <w:r w:rsidRPr="00D8042F">
        <w:rPr>
          <w:lang w:val="fr-CA"/>
        </w:rPr>
        <w:t>;</w:t>
      </w:r>
      <w:r w:rsidR="006E1DC9">
        <w:rPr>
          <w:lang w:val="fr-CA"/>
        </w:rPr>
        <w:t xml:space="preserve"> et</w:t>
      </w:r>
    </w:p>
    <w:p w14:paraId="1D5CD958" w14:textId="39D06968" w:rsidR="00BA63AB" w:rsidRPr="00D8042F" w:rsidRDefault="00BA63AB" w:rsidP="00BA63AB">
      <w:pPr>
        <w:pStyle w:val="Heading2"/>
        <w:keepNext/>
        <w:keepLines/>
        <w:numPr>
          <w:ilvl w:val="1"/>
          <w:numId w:val="1"/>
        </w:numPr>
        <w:rPr>
          <w:lang w:val="fr-CA"/>
        </w:rPr>
      </w:pPr>
      <w:r w:rsidRPr="00D8042F">
        <w:rPr>
          <w:lang w:val="fr-CA"/>
        </w:rPr>
        <w:t>Pour le secteur de l’entretien des appareils de réfrigération et le programme national de facilitation, aucun objectif de consommation spécifique ne figure dans l’Accord</w:t>
      </w:r>
      <w:r w:rsidR="006E1DC9">
        <w:rPr>
          <w:lang w:val="fr-CA"/>
        </w:rPr>
        <w:t xml:space="preserve"> </w:t>
      </w:r>
      <w:r w:rsidRPr="00D8042F">
        <w:rPr>
          <w:lang w:val="fr-CA"/>
        </w:rPr>
        <w:t>; ainsi, la consommation sera fondée sur la demande d’entretien concernant les HCFC, en maintenant la souplesse voulue dans les conditions préalables liées au respect des objectifs de conformité nationaux globa</w:t>
      </w:r>
      <w:r>
        <w:rPr>
          <w:lang w:val="fr-CA"/>
        </w:rPr>
        <w:t>ux</w:t>
      </w:r>
      <w:r w:rsidRPr="00D8042F">
        <w:rPr>
          <w:lang w:val="fr-CA"/>
        </w:rPr>
        <w:t>.</w:t>
      </w:r>
    </w:p>
    <w:p w14:paraId="0E0AC6D6" w14:textId="77777777" w:rsidR="00BA63AB" w:rsidRPr="00D8042F" w:rsidRDefault="00BA63AB" w:rsidP="00BA63AB">
      <w:pPr>
        <w:pStyle w:val="Heading1"/>
        <w:rPr>
          <w:lang w:val="fr-CA"/>
        </w:rPr>
      </w:pPr>
      <w:r w:rsidRPr="00D8042F">
        <w:rPr>
          <w:lang w:val="fr-CA"/>
        </w:rPr>
        <w:t>Le tableau 3 ci</w:t>
      </w:r>
      <w:r>
        <w:rPr>
          <w:lang w:val="fr-CA"/>
        </w:rPr>
        <w:noBreakHyphen/>
      </w:r>
      <w:r w:rsidRPr="00D8042F">
        <w:rPr>
          <w:lang w:val="fr-CA"/>
        </w:rPr>
        <w:t>après récapitule les modifications apportées à la consommation admissible restante en raison des nouvelles réductions de la consommation de HCFC pour la période 2021</w:t>
      </w:r>
      <w:r>
        <w:rPr>
          <w:lang w:val="fr-CA"/>
        </w:rPr>
        <w:noBreakHyphen/>
      </w:r>
      <w:r w:rsidRPr="00D8042F">
        <w:rPr>
          <w:lang w:val="fr-CA"/>
        </w:rPr>
        <w:t xml:space="preserve">2026 dans les secteurs ICR et RAC, ainsi que le secteur de l’entretien des appareils de réfrigération et le programme de facilitation. </w:t>
      </w:r>
    </w:p>
    <w:p w14:paraId="4E7AA641" w14:textId="77777777" w:rsidR="00BA63AB" w:rsidRPr="00D8042F" w:rsidRDefault="00BA63AB" w:rsidP="00BA63AB">
      <w:pPr>
        <w:pStyle w:val="Heading1"/>
        <w:keepNext/>
        <w:numPr>
          <w:ilvl w:val="0"/>
          <w:numId w:val="0"/>
        </w:numPr>
        <w:spacing w:after="0"/>
        <w:rPr>
          <w:b/>
          <w:lang w:val="fr-CA"/>
        </w:rPr>
      </w:pPr>
      <w:r w:rsidRPr="00960C08">
        <w:rPr>
          <w:b/>
          <w:lang w:val="fr-CA"/>
        </w:rPr>
        <w:t xml:space="preserve">Tableau 3. </w:t>
      </w:r>
      <w:r w:rsidRPr="00D8042F">
        <w:rPr>
          <w:b/>
          <w:lang w:val="fr-CA"/>
        </w:rPr>
        <w:t>HCFC supplémentaires à éliminer au cours de la phase II du PGEH (tonnes PAO)*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7"/>
        <w:gridCol w:w="2338"/>
        <w:gridCol w:w="2338"/>
      </w:tblGrid>
      <w:tr w:rsidR="00BA63AB" w:rsidRPr="00D8042F" w14:paraId="3B85C909" w14:textId="77777777" w:rsidTr="00720BA7">
        <w:trPr>
          <w:trHeight w:val="224"/>
        </w:trPr>
        <w:tc>
          <w:tcPr>
            <w:tcW w:w="1250" w:type="pct"/>
            <w:shd w:val="clear" w:color="auto" w:fill="auto"/>
            <w:noWrap/>
            <w:hideMark/>
          </w:tcPr>
          <w:p w14:paraId="5248F363" w14:textId="77777777" w:rsidR="00BA63AB" w:rsidRPr="00D8042F" w:rsidRDefault="00BA63AB" w:rsidP="00720BA7">
            <w:pPr>
              <w:keepNext/>
              <w:jc w:val="left"/>
              <w:rPr>
                <w:b/>
                <w:sz w:val="21"/>
                <w:szCs w:val="21"/>
                <w:lang w:val="en-CA"/>
              </w:rPr>
            </w:pPr>
            <w:r w:rsidRPr="00D8042F">
              <w:rPr>
                <w:b/>
                <w:sz w:val="21"/>
                <w:szCs w:val="21"/>
                <w:lang w:val="en-CA"/>
              </w:rPr>
              <w:t>Substance</w:t>
            </w:r>
          </w:p>
        </w:tc>
        <w:tc>
          <w:tcPr>
            <w:tcW w:w="1250" w:type="pct"/>
            <w:shd w:val="clear" w:color="auto" w:fill="auto"/>
            <w:noWrap/>
            <w:vAlign w:val="center"/>
            <w:hideMark/>
          </w:tcPr>
          <w:p w14:paraId="53AE0CC2" w14:textId="77777777" w:rsidR="00BA63AB" w:rsidRPr="00D8042F" w:rsidRDefault="00BA63AB" w:rsidP="00720BA7">
            <w:pPr>
              <w:keepNext/>
              <w:jc w:val="center"/>
              <w:rPr>
                <w:b/>
                <w:color w:val="000000"/>
                <w:sz w:val="21"/>
                <w:szCs w:val="21"/>
                <w:lang w:val="en-CA"/>
              </w:rPr>
            </w:pPr>
            <w:r w:rsidRPr="00D8042F">
              <w:rPr>
                <w:b/>
                <w:color w:val="000000"/>
                <w:sz w:val="21"/>
                <w:szCs w:val="21"/>
                <w:lang w:val="en-CA"/>
              </w:rPr>
              <w:t>Plan initial</w:t>
            </w:r>
          </w:p>
        </w:tc>
        <w:tc>
          <w:tcPr>
            <w:tcW w:w="1250" w:type="pct"/>
            <w:shd w:val="clear" w:color="auto" w:fill="auto"/>
            <w:noWrap/>
            <w:vAlign w:val="center"/>
            <w:hideMark/>
          </w:tcPr>
          <w:p w14:paraId="572C489D" w14:textId="77777777" w:rsidR="00BA63AB" w:rsidRPr="00D8042F" w:rsidRDefault="00BA63AB" w:rsidP="00720BA7">
            <w:pPr>
              <w:keepNext/>
              <w:jc w:val="center"/>
              <w:rPr>
                <w:b/>
                <w:color w:val="000000"/>
                <w:sz w:val="21"/>
                <w:szCs w:val="21"/>
                <w:lang w:val="en-CA"/>
              </w:rPr>
            </w:pPr>
            <w:r w:rsidRPr="00D8042F">
              <w:rPr>
                <w:b/>
                <w:color w:val="000000"/>
                <w:sz w:val="21"/>
                <w:szCs w:val="21"/>
                <w:lang w:val="en-CA"/>
              </w:rPr>
              <w:t>Plan révisé</w:t>
            </w:r>
          </w:p>
        </w:tc>
        <w:tc>
          <w:tcPr>
            <w:tcW w:w="1250" w:type="pct"/>
            <w:shd w:val="clear" w:color="auto" w:fill="auto"/>
            <w:noWrap/>
            <w:vAlign w:val="center"/>
            <w:hideMark/>
          </w:tcPr>
          <w:p w14:paraId="58EA9C94" w14:textId="77777777" w:rsidR="00BA63AB" w:rsidRPr="00D8042F" w:rsidRDefault="00BA63AB" w:rsidP="00720BA7">
            <w:pPr>
              <w:keepNext/>
              <w:jc w:val="center"/>
              <w:rPr>
                <w:b/>
                <w:color w:val="000000"/>
                <w:sz w:val="21"/>
                <w:szCs w:val="21"/>
                <w:lang w:val="en-CA"/>
              </w:rPr>
            </w:pPr>
            <w:r w:rsidRPr="00D8042F">
              <w:rPr>
                <w:b/>
                <w:color w:val="000000"/>
                <w:sz w:val="21"/>
                <w:szCs w:val="21"/>
                <w:lang w:val="en-CA"/>
              </w:rPr>
              <w:t>Écart</w:t>
            </w:r>
          </w:p>
        </w:tc>
      </w:tr>
      <w:tr w:rsidR="00BA63AB" w:rsidRPr="00D8042F" w14:paraId="78A1E5BE" w14:textId="77777777" w:rsidTr="00720BA7">
        <w:trPr>
          <w:trHeight w:val="80"/>
        </w:trPr>
        <w:tc>
          <w:tcPr>
            <w:tcW w:w="1250" w:type="pct"/>
            <w:shd w:val="clear" w:color="auto" w:fill="auto"/>
            <w:noWrap/>
            <w:vAlign w:val="center"/>
            <w:hideMark/>
          </w:tcPr>
          <w:p w14:paraId="167E2DFF" w14:textId="77777777" w:rsidR="00BA63AB" w:rsidRPr="00D8042F" w:rsidRDefault="00BA63AB" w:rsidP="00720BA7">
            <w:pPr>
              <w:jc w:val="left"/>
              <w:rPr>
                <w:color w:val="000000"/>
                <w:sz w:val="21"/>
                <w:szCs w:val="21"/>
                <w:lang w:val="en-CA"/>
              </w:rPr>
            </w:pPr>
            <w:r w:rsidRPr="00D8042F">
              <w:rPr>
                <w:color w:val="000000"/>
                <w:sz w:val="21"/>
                <w:szCs w:val="21"/>
                <w:lang w:val="en-CA"/>
              </w:rPr>
              <w:t>HCFC</w:t>
            </w:r>
            <w:r>
              <w:rPr>
                <w:color w:val="000000"/>
                <w:sz w:val="21"/>
                <w:szCs w:val="21"/>
                <w:lang w:val="en-CA"/>
              </w:rPr>
              <w:noBreakHyphen/>
            </w:r>
            <w:r w:rsidRPr="00D8042F">
              <w:rPr>
                <w:color w:val="000000"/>
                <w:sz w:val="21"/>
                <w:szCs w:val="21"/>
                <w:lang w:val="en-CA"/>
              </w:rPr>
              <w:t>22</w:t>
            </w:r>
          </w:p>
        </w:tc>
        <w:tc>
          <w:tcPr>
            <w:tcW w:w="1250" w:type="pct"/>
            <w:shd w:val="clear" w:color="auto" w:fill="auto"/>
            <w:noWrap/>
            <w:tcMar>
              <w:left w:w="115" w:type="dxa"/>
              <w:right w:w="288" w:type="dxa"/>
            </w:tcMar>
            <w:hideMark/>
          </w:tcPr>
          <w:p w14:paraId="01B74D4F" w14:textId="77777777" w:rsidR="00BA63AB" w:rsidRPr="00D8042F" w:rsidRDefault="00BA63AB" w:rsidP="00720BA7">
            <w:pPr>
              <w:jc w:val="right"/>
              <w:rPr>
                <w:color w:val="000000"/>
                <w:sz w:val="21"/>
                <w:szCs w:val="21"/>
                <w:lang w:val="en-CA"/>
              </w:rPr>
            </w:pPr>
            <w:r w:rsidRPr="00D8042F">
              <w:rPr>
                <w:color w:val="000000"/>
                <w:sz w:val="21"/>
                <w:szCs w:val="21"/>
                <w:lang w:val="en-CA"/>
              </w:rPr>
              <w:t>3 878,80</w:t>
            </w:r>
          </w:p>
        </w:tc>
        <w:tc>
          <w:tcPr>
            <w:tcW w:w="1250" w:type="pct"/>
            <w:shd w:val="clear" w:color="auto" w:fill="auto"/>
            <w:noWrap/>
            <w:tcMar>
              <w:left w:w="115" w:type="dxa"/>
              <w:right w:w="288" w:type="dxa"/>
            </w:tcMar>
            <w:hideMark/>
          </w:tcPr>
          <w:p w14:paraId="701D6F9E" w14:textId="77777777" w:rsidR="00BA63AB" w:rsidRPr="00D8042F" w:rsidRDefault="00BA63AB" w:rsidP="00720BA7">
            <w:pPr>
              <w:jc w:val="right"/>
              <w:rPr>
                <w:color w:val="000000"/>
                <w:sz w:val="21"/>
                <w:szCs w:val="21"/>
                <w:lang w:val="en-CA"/>
              </w:rPr>
            </w:pPr>
            <w:r w:rsidRPr="00D8042F">
              <w:rPr>
                <w:color w:val="000000"/>
                <w:sz w:val="21"/>
                <w:szCs w:val="21"/>
                <w:lang w:val="en-CA"/>
              </w:rPr>
              <w:t>6 631,46</w:t>
            </w:r>
          </w:p>
        </w:tc>
        <w:tc>
          <w:tcPr>
            <w:tcW w:w="1250" w:type="pct"/>
            <w:shd w:val="clear" w:color="auto" w:fill="auto"/>
            <w:noWrap/>
            <w:tcMar>
              <w:left w:w="115" w:type="dxa"/>
              <w:right w:w="288" w:type="dxa"/>
            </w:tcMar>
            <w:hideMark/>
          </w:tcPr>
          <w:p w14:paraId="344FE8C7" w14:textId="77777777" w:rsidR="00BA63AB" w:rsidRPr="00D8042F" w:rsidRDefault="00BA63AB" w:rsidP="00720BA7">
            <w:pPr>
              <w:jc w:val="right"/>
              <w:rPr>
                <w:color w:val="000000"/>
                <w:sz w:val="21"/>
                <w:szCs w:val="21"/>
                <w:lang w:val="en-CA"/>
              </w:rPr>
            </w:pPr>
            <w:r w:rsidRPr="00D8042F">
              <w:rPr>
                <w:color w:val="000000"/>
                <w:sz w:val="21"/>
                <w:szCs w:val="21"/>
                <w:lang w:val="en-CA"/>
              </w:rPr>
              <w:t>2 572,66</w:t>
            </w:r>
          </w:p>
        </w:tc>
      </w:tr>
      <w:tr w:rsidR="00BA63AB" w:rsidRPr="00D8042F" w14:paraId="33DCCCBE" w14:textId="77777777" w:rsidTr="00720BA7">
        <w:trPr>
          <w:trHeight w:val="107"/>
        </w:trPr>
        <w:tc>
          <w:tcPr>
            <w:tcW w:w="1250" w:type="pct"/>
            <w:shd w:val="clear" w:color="auto" w:fill="auto"/>
            <w:noWrap/>
            <w:vAlign w:val="center"/>
            <w:hideMark/>
          </w:tcPr>
          <w:p w14:paraId="75F7A6DA" w14:textId="77777777" w:rsidR="00BA63AB" w:rsidRPr="00D8042F" w:rsidRDefault="00BA63AB" w:rsidP="00720BA7">
            <w:pPr>
              <w:jc w:val="left"/>
              <w:rPr>
                <w:color w:val="000000"/>
                <w:sz w:val="21"/>
                <w:szCs w:val="21"/>
                <w:lang w:val="en-CA"/>
              </w:rPr>
            </w:pPr>
            <w:r w:rsidRPr="00D8042F">
              <w:rPr>
                <w:color w:val="000000"/>
                <w:sz w:val="21"/>
                <w:szCs w:val="21"/>
                <w:lang w:val="en-CA"/>
              </w:rPr>
              <w:t>HCFC</w:t>
            </w:r>
            <w:r>
              <w:rPr>
                <w:color w:val="000000"/>
                <w:sz w:val="21"/>
                <w:szCs w:val="21"/>
                <w:lang w:val="en-CA"/>
              </w:rPr>
              <w:noBreakHyphen/>
            </w:r>
            <w:r w:rsidRPr="00D8042F">
              <w:rPr>
                <w:color w:val="000000"/>
                <w:sz w:val="21"/>
                <w:szCs w:val="21"/>
                <w:lang w:val="en-CA"/>
              </w:rPr>
              <w:t>123</w:t>
            </w:r>
          </w:p>
        </w:tc>
        <w:tc>
          <w:tcPr>
            <w:tcW w:w="1250" w:type="pct"/>
            <w:shd w:val="clear" w:color="auto" w:fill="auto"/>
            <w:noWrap/>
            <w:tcMar>
              <w:left w:w="115" w:type="dxa"/>
              <w:right w:w="288" w:type="dxa"/>
            </w:tcMar>
            <w:hideMark/>
          </w:tcPr>
          <w:p w14:paraId="38C8EAB6" w14:textId="77777777" w:rsidR="00BA63AB" w:rsidRPr="00D8042F" w:rsidRDefault="00BA63AB" w:rsidP="00720BA7">
            <w:pPr>
              <w:jc w:val="right"/>
              <w:rPr>
                <w:color w:val="000000"/>
                <w:sz w:val="21"/>
                <w:szCs w:val="21"/>
                <w:lang w:val="en-CA"/>
              </w:rPr>
            </w:pPr>
            <w:r w:rsidRPr="00D8042F">
              <w:rPr>
                <w:color w:val="000000"/>
                <w:sz w:val="21"/>
                <w:szCs w:val="21"/>
                <w:lang w:val="en-CA"/>
              </w:rPr>
              <w:t>2,70</w:t>
            </w:r>
          </w:p>
        </w:tc>
        <w:tc>
          <w:tcPr>
            <w:tcW w:w="1250" w:type="pct"/>
            <w:shd w:val="clear" w:color="auto" w:fill="auto"/>
            <w:noWrap/>
            <w:tcMar>
              <w:left w:w="115" w:type="dxa"/>
              <w:right w:w="288" w:type="dxa"/>
            </w:tcMar>
            <w:hideMark/>
          </w:tcPr>
          <w:p w14:paraId="0EE12927" w14:textId="77777777" w:rsidR="00BA63AB" w:rsidRPr="00D8042F" w:rsidRDefault="00BA63AB" w:rsidP="00720BA7">
            <w:pPr>
              <w:jc w:val="right"/>
              <w:rPr>
                <w:color w:val="000000"/>
                <w:sz w:val="21"/>
                <w:szCs w:val="21"/>
                <w:lang w:val="en-CA"/>
              </w:rPr>
            </w:pPr>
            <w:r w:rsidRPr="00D8042F">
              <w:rPr>
                <w:color w:val="000000"/>
                <w:sz w:val="21"/>
                <w:szCs w:val="21"/>
                <w:lang w:val="en-CA"/>
              </w:rPr>
              <w:t>7,94</w:t>
            </w:r>
          </w:p>
        </w:tc>
        <w:tc>
          <w:tcPr>
            <w:tcW w:w="1250" w:type="pct"/>
            <w:shd w:val="clear" w:color="auto" w:fill="auto"/>
            <w:noWrap/>
            <w:tcMar>
              <w:left w:w="115" w:type="dxa"/>
              <w:right w:w="288" w:type="dxa"/>
            </w:tcMar>
            <w:hideMark/>
          </w:tcPr>
          <w:p w14:paraId="6EF47942" w14:textId="77777777" w:rsidR="00BA63AB" w:rsidRPr="00D8042F" w:rsidRDefault="00BA63AB" w:rsidP="00720BA7">
            <w:pPr>
              <w:jc w:val="right"/>
              <w:rPr>
                <w:color w:val="000000"/>
                <w:sz w:val="21"/>
                <w:szCs w:val="21"/>
                <w:lang w:val="en-CA"/>
              </w:rPr>
            </w:pPr>
            <w:r w:rsidRPr="00D8042F">
              <w:rPr>
                <w:color w:val="000000"/>
                <w:sz w:val="21"/>
                <w:szCs w:val="21"/>
                <w:lang w:val="en-CA"/>
              </w:rPr>
              <w:t>5,24</w:t>
            </w:r>
          </w:p>
        </w:tc>
      </w:tr>
      <w:tr w:rsidR="00BA63AB" w:rsidRPr="00D8042F" w14:paraId="6FE4417D" w14:textId="77777777" w:rsidTr="00720BA7">
        <w:trPr>
          <w:trHeight w:val="134"/>
        </w:trPr>
        <w:tc>
          <w:tcPr>
            <w:tcW w:w="1250" w:type="pct"/>
            <w:shd w:val="clear" w:color="auto" w:fill="auto"/>
            <w:noWrap/>
            <w:vAlign w:val="center"/>
            <w:hideMark/>
          </w:tcPr>
          <w:p w14:paraId="38A760ED" w14:textId="77777777" w:rsidR="00BA63AB" w:rsidRPr="00D8042F" w:rsidRDefault="00BA63AB" w:rsidP="00720BA7">
            <w:pPr>
              <w:jc w:val="left"/>
              <w:rPr>
                <w:color w:val="000000"/>
                <w:sz w:val="21"/>
                <w:szCs w:val="21"/>
                <w:lang w:val="en-CA"/>
              </w:rPr>
            </w:pPr>
            <w:r w:rsidRPr="00D8042F">
              <w:rPr>
                <w:color w:val="000000"/>
                <w:sz w:val="21"/>
                <w:szCs w:val="21"/>
                <w:lang w:val="en-CA"/>
              </w:rPr>
              <w:t>HCFC</w:t>
            </w:r>
            <w:r>
              <w:rPr>
                <w:color w:val="000000"/>
                <w:sz w:val="21"/>
                <w:szCs w:val="21"/>
                <w:lang w:val="en-CA"/>
              </w:rPr>
              <w:noBreakHyphen/>
            </w:r>
            <w:r w:rsidRPr="00D8042F">
              <w:rPr>
                <w:color w:val="000000"/>
                <w:sz w:val="21"/>
                <w:szCs w:val="21"/>
                <w:lang w:val="en-CA"/>
              </w:rPr>
              <w:t>124</w:t>
            </w:r>
          </w:p>
        </w:tc>
        <w:tc>
          <w:tcPr>
            <w:tcW w:w="1250" w:type="pct"/>
            <w:shd w:val="clear" w:color="auto" w:fill="auto"/>
            <w:noWrap/>
            <w:tcMar>
              <w:left w:w="115" w:type="dxa"/>
              <w:right w:w="288" w:type="dxa"/>
            </w:tcMar>
            <w:hideMark/>
          </w:tcPr>
          <w:p w14:paraId="083E3E04" w14:textId="77777777" w:rsidR="00BA63AB" w:rsidRPr="00D8042F" w:rsidRDefault="00BA63AB" w:rsidP="00720BA7">
            <w:pPr>
              <w:jc w:val="right"/>
              <w:rPr>
                <w:color w:val="000000"/>
                <w:sz w:val="21"/>
                <w:szCs w:val="21"/>
                <w:lang w:val="en-CA"/>
              </w:rPr>
            </w:pPr>
            <w:r w:rsidRPr="00D8042F">
              <w:rPr>
                <w:color w:val="000000"/>
                <w:sz w:val="21"/>
                <w:szCs w:val="21"/>
                <w:lang w:val="en-CA"/>
              </w:rPr>
              <w:t>0,00</w:t>
            </w:r>
          </w:p>
        </w:tc>
        <w:tc>
          <w:tcPr>
            <w:tcW w:w="1250" w:type="pct"/>
            <w:shd w:val="clear" w:color="auto" w:fill="auto"/>
            <w:noWrap/>
            <w:tcMar>
              <w:left w:w="115" w:type="dxa"/>
              <w:right w:w="288" w:type="dxa"/>
            </w:tcMar>
            <w:hideMark/>
          </w:tcPr>
          <w:p w14:paraId="56DDD1BB" w14:textId="77777777" w:rsidR="00BA63AB" w:rsidRPr="00D8042F" w:rsidRDefault="00BA63AB" w:rsidP="00720BA7">
            <w:pPr>
              <w:jc w:val="right"/>
              <w:rPr>
                <w:color w:val="000000"/>
                <w:sz w:val="21"/>
                <w:szCs w:val="21"/>
                <w:lang w:val="en-CA"/>
              </w:rPr>
            </w:pPr>
            <w:r w:rsidRPr="00D8042F">
              <w:rPr>
                <w:color w:val="000000"/>
                <w:sz w:val="21"/>
                <w:szCs w:val="21"/>
                <w:lang w:val="en-CA"/>
              </w:rPr>
              <w:t>0,86</w:t>
            </w:r>
          </w:p>
        </w:tc>
        <w:tc>
          <w:tcPr>
            <w:tcW w:w="1250" w:type="pct"/>
            <w:shd w:val="clear" w:color="auto" w:fill="auto"/>
            <w:noWrap/>
            <w:tcMar>
              <w:left w:w="115" w:type="dxa"/>
              <w:right w:w="288" w:type="dxa"/>
            </w:tcMar>
            <w:hideMark/>
          </w:tcPr>
          <w:p w14:paraId="16C3C834" w14:textId="77777777" w:rsidR="00BA63AB" w:rsidRPr="00D8042F" w:rsidRDefault="00BA63AB" w:rsidP="00720BA7">
            <w:pPr>
              <w:jc w:val="right"/>
              <w:rPr>
                <w:color w:val="000000"/>
                <w:sz w:val="21"/>
                <w:szCs w:val="21"/>
                <w:lang w:val="en-CA"/>
              </w:rPr>
            </w:pPr>
            <w:r w:rsidRPr="00D8042F">
              <w:rPr>
                <w:color w:val="000000"/>
                <w:sz w:val="21"/>
                <w:szCs w:val="21"/>
                <w:lang w:val="en-CA"/>
              </w:rPr>
              <w:t>0,86</w:t>
            </w:r>
          </w:p>
        </w:tc>
      </w:tr>
      <w:tr w:rsidR="00BA63AB" w:rsidRPr="00D8042F" w14:paraId="523F1E3C" w14:textId="77777777" w:rsidTr="00720BA7">
        <w:trPr>
          <w:trHeight w:val="161"/>
        </w:trPr>
        <w:tc>
          <w:tcPr>
            <w:tcW w:w="1250" w:type="pct"/>
            <w:shd w:val="clear" w:color="auto" w:fill="auto"/>
            <w:noWrap/>
            <w:vAlign w:val="center"/>
            <w:hideMark/>
          </w:tcPr>
          <w:p w14:paraId="22B14702" w14:textId="77777777" w:rsidR="00BA63AB" w:rsidRPr="00D8042F" w:rsidRDefault="00BA63AB" w:rsidP="00720BA7">
            <w:pPr>
              <w:jc w:val="left"/>
              <w:rPr>
                <w:color w:val="000000"/>
                <w:sz w:val="21"/>
                <w:szCs w:val="21"/>
                <w:lang w:val="en-CA"/>
              </w:rPr>
            </w:pPr>
            <w:r w:rsidRPr="00D8042F">
              <w:rPr>
                <w:color w:val="000000"/>
                <w:sz w:val="21"/>
                <w:szCs w:val="21"/>
                <w:lang w:val="en-CA"/>
              </w:rPr>
              <w:t>HCFC</w:t>
            </w:r>
            <w:r>
              <w:rPr>
                <w:color w:val="000000"/>
                <w:sz w:val="21"/>
                <w:szCs w:val="21"/>
                <w:lang w:val="en-CA"/>
              </w:rPr>
              <w:noBreakHyphen/>
            </w:r>
            <w:r w:rsidRPr="00D8042F">
              <w:rPr>
                <w:color w:val="000000"/>
                <w:sz w:val="21"/>
                <w:szCs w:val="21"/>
                <w:lang w:val="en-CA"/>
              </w:rPr>
              <w:t>141b</w:t>
            </w:r>
          </w:p>
        </w:tc>
        <w:tc>
          <w:tcPr>
            <w:tcW w:w="1250" w:type="pct"/>
            <w:shd w:val="clear" w:color="auto" w:fill="auto"/>
            <w:noWrap/>
            <w:tcMar>
              <w:left w:w="115" w:type="dxa"/>
              <w:right w:w="288" w:type="dxa"/>
            </w:tcMar>
            <w:hideMark/>
          </w:tcPr>
          <w:p w14:paraId="05FDCF1A" w14:textId="77777777" w:rsidR="00BA63AB" w:rsidRPr="00D8042F" w:rsidRDefault="00BA63AB" w:rsidP="00720BA7">
            <w:pPr>
              <w:jc w:val="right"/>
              <w:rPr>
                <w:color w:val="000000"/>
                <w:sz w:val="21"/>
                <w:szCs w:val="21"/>
                <w:lang w:val="en-CA"/>
              </w:rPr>
            </w:pPr>
            <w:r w:rsidRPr="00D8042F">
              <w:rPr>
                <w:color w:val="000000"/>
                <w:sz w:val="21"/>
                <w:szCs w:val="21"/>
                <w:lang w:val="en-CA"/>
              </w:rPr>
              <w:t>4 187,18</w:t>
            </w:r>
          </w:p>
        </w:tc>
        <w:tc>
          <w:tcPr>
            <w:tcW w:w="1250" w:type="pct"/>
            <w:shd w:val="clear" w:color="auto" w:fill="auto"/>
            <w:noWrap/>
            <w:tcMar>
              <w:left w:w="115" w:type="dxa"/>
              <w:right w:w="288" w:type="dxa"/>
            </w:tcMar>
            <w:hideMark/>
          </w:tcPr>
          <w:p w14:paraId="74FED4D6" w14:textId="77777777" w:rsidR="00BA63AB" w:rsidRPr="00D8042F" w:rsidRDefault="00BA63AB" w:rsidP="00720BA7">
            <w:pPr>
              <w:jc w:val="right"/>
              <w:rPr>
                <w:color w:val="000000"/>
                <w:sz w:val="21"/>
                <w:szCs w:val="21"/>
                <w:lang w:val="en-CA"/>
              </w:rPr>
            </w:pPr>
            <w:r w:rsidRPr="00D8042F">
              <w:rPr>
                <w:color w:val="000000"/>
                <w:sz w:val="21"/>
                <w:szCs w:val="21"/>
                <w:lang w:val="en-CA"/>
              </w:rPr>
              <w:t>4 187,18</w:t>
            </w:r>
          </w:p>
        </w:tc>
        <w:tc>
          <w:tcPr>
            <w:tcW w:w="1250" w:type="pct"/>
            <w:shd w:val="clear" w:color="auto" w:fill="auto"/>
            <w:noWrap/>
            <w:tcMar>
              <w:left w:w="115" w:type="dxa"/>
              <w:right w:w="288" w:type="dxa"/>
            </w:tcMar>
            <w:hideMark/>
          </w:tcPr>
          <w:p w14:paraId="6F37FF04" w14:textId="77777777" w:rsidR="00BA63AB" w:rsidRPr="00D8042F" w:rsidRDefault="00BA63AB" w:rsidP="00720BA7">
            <w:pPr>
              <w:jc w:val="right"/>
              <w:rPr>
                <w:color w:val="000000"/>
                <w:sz w:val="21"/>
                <w:szCs w:val="21"/>
                <w:lang w:val="en-CA"/>
              </w:rPr>
            </w:pPr>
            <w:r w:rsidRPr="00D8042F">
              <w:rPr>
                <w:color w:val="000000"/>
                <w:sz w:val="21"/>
                <w:szCs w:val="21"/>
                <w:lang w:val="en-CA"/>
              </w:rPr>
              <w:t>0,00</w:t>
            </w:r>
          </w:p>
        </w:tc>
      </w:tr>
      <w:tr w:rsidR="00BA63AB" w:rsidRPr="00D8042F" w14:paraId="091537E5" w14:textId="77777777" w:rsidTr="00720BA7">
        <w:trPr>
          <w:trHeight w:val="107"/>
        </w:trPr>
        <w:tc>
          <w:tcPr>
            <w:tcW w:w="1250" w:type="pct"/>
            <w:shd w:val="clear" w:color="auto" w:fill="auto"/>
            <w:noWrap/>
            <w:vAlign w:val="center"/>
            <w:hideMark/>
          </w:tcPr>
          <w:p w14:paraId="5A77BF48" w14:textId="77777777" w:rsidR="00BA63AB" w:rsidRPr="00D8042F" w:rsidRDefault="00BA63AB" w:rsidP="00720BA7">
            <w:pPr>
              <w:jc w:val="left"/>
              <w:rPr>
                <w:color w:val="000000"/>
                <w:sz w:val="21"/>
                <w:szCs w:val="21"/>
                <w:lang w:val="en-CA"/>
              </w:rPr>
            </w:pPr>
            <w:r w:rsidRPr="00D8042F">
              <w:rPr>
                <w:color w:val="000000"/>
                <w:sz w:val="21"/>
                <w:szCs w:val="21"/>
                <w:lang w:val="en-CA"/>
              </w:rPr>
              <w:t>HCFC</w:t>
            </w:r>
            <w:r>
              <w:rPr>
                <w:color w:val="000000"/>
                <w:sz w:val="21"/>
                <w:szCs w:val="21"/>
                <w:lang w:val="en-CA"/>
              </w:rPr>
              <w:noBreakHyphen/>
            </w:r>
            <w:r w:rsidRPr="00D8042F">
              <w:rPr>
                <w:color w:val="000000"/>
                <w:sz w:val="21"/>
                <w:szCs w:val="21"/>
                <w:lang w:val="en-CA"/>
              </w:rPr>
              <w:t>142b</w:t>
            </w:r>
          </w:p>
        </w:tc>
        <w:tc>
          <w:tcPr>
            <w:tcW w:w="1250" w:type="pct"/>
            <w:shd w:val="clear" w:color="auto" w:fill="auto"/>
            <w:noWrap/>
            <w:tcMar>
              <w:left w:w="115" w:type="dxa"/>
              <w:right w:w="288" w:type="dxa"/>
            </w:tcMar>
            <w:hideMark/>
          </w:tcPr>
          <w:p w14:paraId="3EF2250B" w14:textId="77777777" w:rsidR="00BA63AB" w:rsidRPr="00D8042F" w:rsidRDefault="00BA63AB" w:rsidP="00720BA7">
            <w:pPr>
              <w:jc w:val="right"/>
              <w:rPr>
                <w:color w:val="000000"/>
                <w:sz w:val="21"/>
                <w:szCs w:val="21"/>
                <w:lang w:val="en-CA"/>
              </w:rPr>
            </w:pPr>
            <w:r w:rsidRPr="00D8042F">
              <w:rPr>
                <w:color w:val="000000"/>
                <w:sz w:val="21"/>
                <w:szCs w:val="21"/>
                <w:lang w:val="en-CA"/>
              </w:rPr>
              <w:t>646,02</w:t>
            </w:r>
          </w:p>
        </w:tc>
        <w:tc>
          <w:tcPr>
            <w:tcW w:w="1250" w:type="pct"/>
            <w:shd w:val="clear" w:color="auto" w:fill="auto"/>
            <w:noWrap/>
            <w:tcMar>
              <w:left w:w="115" w:type="dxa"/>
              <w:right w:w="288" w:type="dxa"/>
            </w:tcMar>
            <w:hideMark/>
          </w:tcPr>
          <w:p w14:paraId="6A83E272" w14:textId="77777777" w:rsidR="00BA63AB" w:rsidRPr="00D8042F" w:rsidRDefault="00BA63AB" w:rsidP="00720BA7">
            <w:pPr>
              <w:jc w:val="right"/>
              <w:rPr>
                <w:color w:val="000000"/>
                <w:sz w:val="21"/>
                <w:szCs w:val="21"/>
                <w:lang w:val="en-CA"/>
              </w:rPr>
            </w:pPr>
            <w:r w:rsidRPr="00D8042F">
              <w:rPr>
                <w:color w:val="000000"/>
                <w:sz w:val="21"/>
                <w:szCs w:val="21"/>
                <w:lang w:val="en-CA"/>
              </w:rPr>
              <w:t>727,87</w:t>
            </w:r>
          </w:p>
        </w:tc>
        <w:tc>
          <w:tcPr>
            <w:tcW w:w="1250" w:type="pct"/>
            <w:shd w:val="clear" w:color="auto" w:fill="auto"/>
            <w:noWrap/>
            <w:tcMar>
              <w:left w:w="115" w:type="dxa"/>
              <w:right w:w="288" w:type="dxa"/>
            </w:tcMar>
            <w:hideMark/>
          </w:tcPr>
          <w:p w14:paraId="60932C3E" w14:textId="77777777" w:rsidR="00BA63AB" w:rsidRPr="00D8042F" w:rsidRDefault="00BA63AB" w:rsidP="00720BA7">
            <w:pPr>
              <w:jc w:val="right"/>
              <w:rPr>
                <w:color w:val="000000"/>
                <w:sz w:val="21"/>
                <w:szCs w:val="21"/>
                <w:lang w:val="en-CA"/>
              </w:rPr>
            </w:pPr>
            <w:r w:rsidRPr="00D8042F">
              <w:rPr>
                <w:color w:val="000000"/>
                <w:sz w:val="21"/>
                <w:szCs w:val="21"/>
                <w:lang w:val="en-CA"/>
              </w:rPr>
              <w:t>81,85</w:t>
            </w:r>
          </w:p>
        </w:tc>
      </w:tr>
      <w:tr w:rsidR="00BA63AB" w:rsidRPr="00D8042F" w14:paraId="335347BA" w14:textId="77777777" w:rsidTr="00720BA7">
        <w:trPr>
          <w:trHeight w:val="206"/>
        </w:trPr>
        <w:tc>
          <w:tcPr>
            <w:tcW w:w="1250" w:type="pct"/>
            <w:shd w:val="clear" w:color="auto" w:fill="auto"/>
            <w:noWrap/>
            <w:vAlign w:val="center"/>
            <w:hideMark/>
          </w:tcPr>
          <w:p w14:paraId="0E0DF8DA" w14:textId="77777777" w:rsidR="00BA63AB" w:rsidRPr="00D8042F" w:rsidRDefault="00BA63AB" w:rsidP="00720BA7">
            <w:pPr>
              <w:jc w:val="left"/>
              <w:rPr>
                <w:color w:val="000000"/>
                <w:sz w:val="21"/>
                <w:szCs w:val="21"/>
                <w:lang w:val="en-CA"/>
              </w:rPr>
            </w:pPr>
            <w:r w:rsidRPr="00D8042F">
              <w:rPr>
                <w:color w:val="000000"/>
                <w:sz w:val="21"/>
                <w:szCs w:val="21"/>
                <w:lang w:val="en-CA"/>
              </w:rPr>
              <w:t>HCFC</w:t>
            </w:r>
            <w:r>
              <w:rPr>
                <w:color w:val="000000"/>
                <w:sz w:val="21"/>
                <w:szCs w:val="21"/>
                <w:lang w:val="en-CA"/>
              </w:rPr>
              <w:noBreakHyphen/>
            </w:r>
            <w:r w:rsidRPr="00D8042F">
              <w:rPr>
                <w:color w:val="000000"/>
                <w:sz w:val="21"/>
                <w:szCs w:val="21"/>
                <w:lang w:val="en-CA"/>
              </w:rPr>
              <w:t>225</w:t>
            </w:r>
          </w:p>
        </w:tc>
        <w:tc>
          <w:tcPr>
            <w:tcW w:w="1250" w:type="pct"/>
            <w:shd w:val="clear" w:color="auto" w:fill="auto"/>
            <w:noWrap/>
            <w:tcMar>
              <w:left w:w="115" w:type="dxa"/>
              <w:right w:w="288" w:type="dxa"/>
            </w:tcMar>
            <w:hideMark/>
          </w:tcPr>
          <w:p w14:paraId="49108090" w14:textId="77777777" w:rsidR="00BA63AB" w:rsidRPr="00D8042F" w:rsidRDefault="00BA63AB" w:rsidP="00720BA7">
            <w:pPr>
              <w:jc w:val="right"/>
              <w:rPr>
                <w:color w:val="000000"/>
                <w:sz w:val="21"/>
                <w:szCs w:val="21"/>
                <w:lang w:val="en-CA"/>
              </w:rPr>
            </w:pPr>
            <w:r w:rsidRPr="00D8042F">
              <w:rPr>
                <w:color w:val="000000"/>
                <w:sz w:val="21"/>
                <w:szCs w:val="21"/>
                <w:lang w:val="en-CA"/>
              </w:rPr>
              <w:t>1,13</w:t>
            </w:r>
          </w:p>
        </w:tc>
        <w:tc>
          <w:tcPr>
            <w:tcW w:w="1250" w:type="pct"/>
            <w:shd w:val="clear" w:color="auto" w:fill="auto"/>
            <w:noWrap/>
            <w:tcMar>
              <w:left w:w="115" w:type="dxa"/>
              <w:right w:w="288" w:type="dxa"/>
            </w:tcMar>
            <w:hideMark/>
          </w:tcPr>
          <w:p w14:paraId="1920E517" w14:textId="77777777" w:rsidR="00BA63AB" w:rsidRPr="00D8042F" w:rsidRDefault="00BA63AB" w:rsidP="00720BA7">
            <w:pPr>
              <w:jc w:val="right"/>
              <w:rPr>
                <w:color w:val="000000"/>
                <w:sz w:val="21"/>
                <w:szCs w:val="21"/>
                <w:lang w:val="en-CA"/>
              </w:rPr>
            </w:pPr>
            <w:r w:rsidRPr="00D8042F">
              <w:rPr>
                <w:color w:val="000000"/>
                <w:sz w:val="21"/>
                <w:szCs w:val="21"/>
                <w:lang w:val="en-CA"/>
              </w:rPr>
              <w:t>1,13</w:t>
            </w:r>
          </w:p>
        </w:tc>
        <w:tc>
          <w:tcPr>
            <w:tcW w:w="1250" w:type="pct"/>
            <w:shd w:val="clear" w:color="auto" w:fill="auto"/>
            <w:noWrap/>
            <w:tcMar>
              <w:left w:w="115" w:type="dxa"/>
              <w:right w:w="288" w:type="dxa"/>
            </w:tcMar>
            <w:hideMark/>
          </w:tcPr>
          <w:p w14:paraId="1E014F7E" w14:textId="77777777" w:rsidR="00BA63AB" w:rsidRPr="00D8042F" w:rsidRDefault="00BA63AB" w:rsidP="00720BA7">
            <w:pPr>
              <w:jc w:val="right"/>
              <w:rPr>
                <w:color w:val="000000"/>
                <w:sz w:val="21"/>
                <w:szCs w:val="21"/>
                <w:lang w:val="en-CA"/>
              </w:rPr>
            </w:pPr>
            <w:r w:rsidRPr="00D8042F">
              <w:rPr>
                <w:color w:val="000000"/>
                <w:sz w:val="21"/>
                <w:szCs w:val="21"/>
                <w:lang w:val="en-CA"/>
              </w:rPr>
              <w:t>0,00</w:t>
            </w:r>
          </w:p>
        </w:tc>
      </w:tr>
    </w:tbl>
    <w:p w14:paraId="1CF371D4" w14:textId="77777777" w:rsidR="00BA63AB" w:rsidRPr="00960C08" w:rsidRDefault="00BA63AB" w:rsidP="00BA63AB">
      <w:pPr>
        <w:rPr>
          <w:sz w:val="20"/>
          <w:szCs w:val="20"/>
          <w:lang w:val="fr-CA"/>
        </w:rPr>
      </w:pPr>
      <w:r w:rsidRPr="00D8042F">
        <w:rPr>
          <w:sz w:val="20"/>
          <w:szCs w:val="20"/>
          <w:lang w:val="fr-CA"/>
        </w:rPr>
        <w:t xml:space="preserve">* Élimination totale à atteindre en vertu de la phase II révisée du PGEH. </w:t>
      </w:r>
    </w:p>
    <w:p w14:paraId="4262A1E4" w14:textId="77777777" w:rsidR="00BA63AB" w:rsidRPr="00960C08" w:rsidRDefault="00BA63AB" w:rsidP="00BA63AB">
      <w:pPr>
        <w:rPr>
          <w:lang w:val="fr-CA"/>
        </w:rPr>
      </w:pPr>
    </w:p>
    <w:p w14:paraId="5CE9736E" w14:textId="77777777" w:rsidR="00BA63AB" w:rsidRPr="00D8042F" w:rsidRDefault="00BA63AB" w:rsidP="00BA63AB">
      <w:pPr>
        <w:pStyle w:val="Heading1"/>
        <w:numPr>
          <w:ilvl w:val="0"/>
          <w:numId w:val="0"/>
        </w:numPr>
        <w:rPr>
          <w:u w:val="single"/>
          <w:lang w:val="fr-CA"/>
        </w:rPr>
      </w:pPr>
      <w:r w:rsidRPr="00D8042F">
        <w:rPr>
          <w:u w:val="single"/>
          <w:lang w:val="fr-CA"/>
        </w:rPr>
        <w:t>Affectation des fonds et approches proposées par secteur (2021</w:t>
      </w:r>
      <w:r>
        <w:rPr>
          <w:u w:val="single"/>
          <w:lang w:val="fr-CA"/>
        </w:rPr>
        <w:noBreakHyphen/>
      </w:r>
      <w:r w:rsidRPr="00D8042F">
        <w:rPr>
          <w:u w:val="single"/>
          <w:lang w:val="fr-CA"/>
        </w:rPr>
        <w:t>2026)</w:t>
      </w:r>
    </w:p>
    <w:p w14:paraId="02FE275E" w14:textId="77777777" w:rsidR="00BA63AB" w:rsidRPr="00D8042F" w:rsidRDefault="00BA63AB" w:rsidP="00BA63AB">
      <w:pPr>
        <w:pStyle w:val="Heading1"/>
        <w:rPr>
          <w:lang w:val="fr-CA"/>
        </w:rPr>
      </w:pPr>
      <w:r w:rsidRPr="00D8042F">
        <w:rPr>
          <w:lang w:val="fr-CA"/>
        </w:rPr>
        <w:t>Suite à la décision 84/69, le financement de la phase II du PGEH a été ajusté, passant de 500 100 000 $US approuvé en principe à 247 419 890 $US. Avant la 85</w:t>
      </w:r>
      <w:r w:rsidRPr="00D8042F">
        <w:rPr>
          <w:vertAlign w:val="superscript"/>
          <w:lang w:val="fr-CA"/>
        </w:rPr>
        <w:t>e</w:t>
      </w:r>
      <w:r w:rsidRPr="00D8042F">
        <w:rPr>
          <w:lang w:val="fr-CA"/>
        </w:rPr>
        <w:t> réunion, un montant de 102 419 890 $US avait été approuvé pour les tranches des six plans sectoriels, et une somme supplémentaire de 27 000 000 $US avait été approuvée pour les tranches des plans sectoriels de la mousse PU, de la mousse XPS, ICR et des solvants lors de la 85</w:t>
      </w:r>
      <w:r w:rsidRPr="00D8042F">
        <w:rPr>
          <w:vertAlign w:val="superscript"/>
          <w:lang w:val="fr-CA"/>
        </w:rPr>
        <w:t>e</w:t>
      </w:r>
      <w:r w:rsidRPr="00D8042F">
        <w:rPr>
          <w:lang w:val="fr-CA"/>
        </w:rPr>
        <w:t> réunion, ce qui portait le financement total approuvé jusqu’ici à 129 419 890 $US. Ainsi, le solde disponible pour les activités prévues pour la période 2021</w:t>
      </w:r>
      <w:r>
        <w:rPr>
          <w:lang w:val="fr-CA"/>
        </w:rPr>
        <w:noBreakHyphen/>
      </w:r>
      <w:r w:rsidRPr="00D8042F">
        <w:rPr>
          <w:lang w:val="fr-CA"/>
        </w:rPr>
        <w:t xml:space="preserve">2026 s’élève à 118 000 000 $US. </w:t>
      </w:r>
    </w:p>
    <w:p w14:paraId="6B3903E8" w14:textId="77777777" w:rsidR="00BA63AB" w:rsidRPr="00D8042F" w:rsidRDefault="00BA63AB" w:rsidP="00BA63AB">
      <w:pPr>
        <w:pStyle w:val="Heading1"/>
        <w:rPr>
          <w:lang w:val="fr-CA"/>
        </w:rPr>
      </w:pPr>
      <w:r w:rsidRPr="00D8042F">
        <w:rPr>
          <w:lang w:val="fr-CA"/>
        </w:rPr>
        <w:t>Pour répartir le solde disponible entre les plans sectoriels, le gouvernement a tenu compte de la situation propre à chaque secteur, dont les quantités de HCFC à éliminer, le rapport coût</w:t>
      </w:r>
      <w:r>
        <w:rPr>
          <w:lang w:val="fr-CA"/>
        </w:rPr>
        <w:noBreakHyphen/>
      </w:r>
      <w:r w:rsidRPr="00D8042F">
        <w:rPr>
          <w:lang w:val="fr-CA"/>
        </w:rPr>
        <w:t xml:space="preserve">efficacité approuvé dans les plans précédents, l’état d’avancement atteint, la maturité des technologies de remplacement, et les défis à relever. </w:t>
      </w:r>
    </w:p>
    <w:p w14:paraId="0557D56C" w14:textId="77777777" w:rsidR="00BA63AB" w:rsidRPr="00960C08" w:rsidRDefault="00BA63AB" w:rsidP="00BA63AB">
      <w:pPr>
        <w:pStyle w:val="Heading1"/>
        <w:rPr>
          <w:lang w:val="fr-CA"/>
        </w:rPr>
      </w:pPr>
      <w:r w:rsidRPr="00D8042F">
        <w:rPr>
          <w:lang w:val="fr-CA"/>
        </w:rPr>
        <w:t xml:space="preserve">Le gouvernement affectera environ 10 pour cent des fonds disponibles aux activités liées à l’élaboration et </w:t>
      </w:r>
      <w:r>
        <w:rPr>
          <w:lang w:val="fr-CA"/>
        </w:rPr>
        <w:t xml:space="preserve">à </w:t>
      </w:r>
      <w:r w:rsidRPr="00D8042F">
        <w:rPr>
          <w:lang w:val="fr-CA"/>
        </w:rPr>
        <w:t xml:space="preserve">la révision des politiques, à la coordination sectorielle, à l’échange et à la coopération </w:t>
      </w:r>
      <w:r>
        <w:rPr>
          <w:lang w:val="fr-CA"/>
        </w:rPr>
        <w:t xml:space="preserve">à l’échelle </w:t>
      </w:r>
      <w:r w:rsidRPr="00D8042F">
        <w:rPr>
          <w:lang w:val="fr-CA"/>
        </w:rPr>
        <w:t>internationa</w:t>
      </w:r>
      <w:r>
        <w:rPr>
          <w:lang w:val="fr-CA"/>
        </w:rPr>
        <w:t>le</w:t>
      </w:r>
      <w:r w:rsidRPr="00D8042F">
        <w:rPr>
          <w:lang w:val="fr-CA"/>
        </w:rPr>
        <w:t xml:space="preserve">, et au renforcement des capacités à l’échelle nationale et à l’échelle des secteurs. Les activités prévues dans chaque secteur sont décrites plus en détail dans chacun des plans d’action révisés contenus dans la partie III du présent document. </w:t>
      </w:r>
    </w:p>
    <w:p w14:paraId="15A33746" w14:textId="77777777" w:rsidR="00BA63AB" w:rsidRPr="00D8042F" w:rsidRDefault="00BA63AB" w:rsidP="00BA63AB">
      <w:pPr>
        <w:pStyle w:val="Heading1"/>
        <w:rPr>
          <w:lang w:val="fr-CA"/>
        </w:rPr>
      </w:pPr>
      <w:r w:rsidRPr="00D8042F">
        <w:rPr>
          <w:lang w:val="fr-CA"/>
        </w:rPr>
        <w:lastRenderedPageBreak/>
        <w:t>Dans le cas des plans ICR et RAC, on a accordé l’attention nécessaire à l’élimination supplémentaire des HCFC à réaliser de 2021 à 2026. Le tableau 4 ci</w:t>
      </w:r>
      <w:r>
        <w:rPr>
          <w:lang w:val="fr-CA"/>
        </w:rPr>
        <w:noBreakHyphen/>
      </w:r>
      <w:r w:rsidRPr="00D8042F">
        <w:rPr>
          <w:lang w:val="fr-CA"/>
        </w:rPr>
        <w:t xml:space="preserve">après récapitule les ajustements aux objectifs de consommation des HCFC, et aux tranches de financement pour les plans ICR et RAC. </w:t>
      </w:r>
    </w:p>
    <w:p w14:paraId="318C4442" w14:textId="77777777" w:rsidR="00BA63AB" w:rsidRPr="00D8042F" w:rsidRDefault="00BA63AB" w:rsidP="00BA63AB">
      <w:pPr>
        <w:pStyle w:val="Heading1"/>
        <w:numPr>
          <w:ilvl w:val="0"/>
          <w:numId w:val="0"/>
        </w:numPr>
        <w:spacing w:after="0"/>
        <w:rPr>
          <w:b/>
          <w:sz w:val="21"/>
          <w:szCs w:val="21"/>
          <w:lang w:val="fr-CA"/>
        </w:rPr>
      </w:pPr>
      <w:r w:rsidRPr="00D8042F">
        <w:rPr>
          <w:b/>
          <w:sz w:val="21"/>
          <w:szCs w:val="21"/>
          <w:lang w:val="fr-CA"/>
        </w:rPr>
        <w:t>Tableau 4. Objectifs de consommation des HCFC et tranches de financement ajustées pour les secteurs ICR et RAC</w:t>
      </w:r>
    </w:p>
    <w:tbl>
      <w:tblPr>
        <w:tblW w:w="5000" w:type="pct"/>
        <w:tblLayout w:type="fixed"/>
        <w:tblLook w:val="04A0" w:firstRow="1" w:lastRow="0" w:firstColumn="1" w:lastColumn="0" w:noHBand="0" w:noVBand="1"/>
      </w:tblPr>
      <w:tblGrid>
        <w:gridCol w:w="806"/>
        <w:gridCol w:w="1068"/>
        <w:gridCol w:w="1068"/>
        <w:gridCol w:w="1068"/>
        <w:gridCol w:w="1068"/>
        <w:gridCol w:w="1068"/>
        <w:gridCol w:w="1068"/>
        <w:gridCol w:w="1068"/>
        <w:gridCol w:w="1068"/>
      </w:tblGrid>
      <w:tr w:rsidR="00BA63AB" w:rsidRPr="00D8042F" w14:paraId="14A5A9C6" w14:textId="77777777" w:rsidTr="00720BA7">
        <w:trPr>
          <w:trHeight w:val="89"/>
          <w:tblHeader/>
        </w:trPr>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36AEB" w14:textId="77777777" w:rsidR="00BA63AB" w:rsidRPr="00D8042F" w:rsidRDefault="00BA63AB" w:rsidP="00720BA7">
            <w:pPr>
              <w:jc w:val="left"/>
              <w:rPr>
                <w:b/>
                <w:bCs/>
                <w:color w:val="000000"/>
                <w:sz w:val="20"/>
                <w:szCs w:val="20"/>
                <w:lang w:val="en-CA"/>
              </w:rPr>
            </w:pPr>
            <w:r w:rsidRPr="00D8042F">
              <w:rPr>
                <w:b/>
                <w:bCs/>
                <w:color w:val="000000"/>
                <w:sz w:val="20"/>
                <w:szCs w:val="20"/>
                <w:lang w:val="en-CA"/>
              </w:rPr>
              <w:t>Année</w:t>
            </w:r>
          </w:p>
        </w:tc>
        <w:tc>
          <w:tcPr>
            <w:tcW w:w="2284" w:type="pct"/>
            <w:gridSpan w:val="4"/>
            <w:tcBorders>
              <w:top w:val="single" w:sz="4" w:space="0" w:color="auto"/>
              <w:left w:val="nil"/>
              <w:bottom w:val="single" w:sz="4" w:space="0" w:color="auto"/>
              <w:right w:val="single" w:sz="4" w:space="0" w:color="auto"/>
            </w:tcBorders>
            <w:shd w:val="clear" w:color="auto" w:fill="auto"/>
            <w:noWrap/>
            <w:hideMark/>
          </w:tcPr>
          <w:p w14:paraId="02C9BC80" w14:textId="77777777" w:rsidR="00BA63AB" w:rsidRPr="00D8042F" w:rsidRDefault="00BA63AB" w:rsidP="00720BA7">
            <w:pPr>
              <w:jc w:val="center"/>
              <w:rPr>
                <w:b/>
                <w:bCs/>
                <w:color w:val="000000"/>
                <w:sz w:val="20"/>
                <w:szCs w:val="20"/>
                <w:lang w:val="fr-CA"/>
              </w:rPr>
            </w:pPr>
            <w:r w:rsidRPr="00D8042F">
              <w:rPr>
                <w:b/>
                <w:sz w:val="20"/>
                <w:szCs w:val="20"/>
                <w:lang w:val="fr-CA"/>
              </w:rPr>
              <w:t>Plan du secteur ICR</w:t>
            </w:r>
          </w:p>
        </w:tc>
        <w:tc>
          <w:tcPr>
            <w:tcW w:w="2284" w:type="pct"/>
            <w:gridSpan w:val="4"/>
            <w:tcBorders>
              <w:top w:val="single" w:sz="4" w:space="0" w:color="auto"/>
              <w:left w:val="nil"/>
              <w:bottom w:val="single" w:sz="4" w:space="0" w:color="auto"/>
              <w:right w:val="single" w:sz="4" w:space="0" w:color="auto"/>
            </w:tcBorders>
            <w:shd w:val="clear" w:color="auto" w:fill="auto"/>
            <w:noWrap/>
            <w:hideMark/>
          </w:tcPr>
          <w:p w14:paraId="1051292F" w14:textId="77777777" w:rsidR="00BA63AB" w:rsidRPr="00D8042F" w:rsidRDefault="00BA63AB" w:rsidP="00720BA7">
            <w:pPr>
              <w:jc w:val="center"/>
              <w:rPr>
                <w:b/>
                <w:bCs/>
                <w:color w:val="000000"/>
                <w:sz w:val="20"/>
                <w:szCs w:val="20"/>
                <w:lang w:val="fr-CA"/>
              </w:rPr>
            </w:pPr>
            <w:r w:rsidRPr="00D8042F">
              <w:rPr>
                <w:b/>
                <w:sz w:val="20"/>
                <w:szCs w:val="20"/>
                <w:lang w:val="fr-CA"/>
              </w:rPr>
              <w:t>Plan du secteur RAC</w:t>
            </w:r>
          </w:p>
        </w:tc>
      </w:tr>
      <w:tr w:rsidR="00BA63AB" w:rsidRPr="00D8042F" w14:paraId="53801A1D" w14:textId="77777777" w:rsidTr="00720BA7">
        <w:trPr>
          <w:trHeight w:val="263"/>
          <w:tblHeader/>
        </w:trPr>
        <w:tc>
          <w:tcPr>
            <w:tcW w:w="431" w:type="pct"/>
            <w:vMerge/>
            <w:tcBorders>
              <w:top w:val="single" w:sz="4" w:space="0" w:color="auto"/>
              <w:left w:val="single" w:sz="4" w:space="0" w:color="auto"/>
              <w:bottom w:val="single" w:sz="4" w:space="0" w:color="000000"/>
              <w:right w:val="single" w:sz="4" w:space="0" w:color="auto"/>
            </w:tcBorders>
            <w:hideMark/>
          </w:tcPr>
          <w:p w14:paraId="326ED62A" w14:textId="77777777" w:rsidR="00BA63AB" w:rsidRPr="00D8042F" w:rsidRDefault="00BA63AB" w:rsidP="00720BA7">
            <w:pPr>
              <w:jc w:val="left"/>
              <w:rPr>
                <w:b/>
                <w:bCs/>
                <w:color w:val="000000"/>
                <w:sz w:val="20"/>
                <w:szCs w:val="20"/>
                <w:lang w:val="fr-CA"/>
              </w:rPr>
            </w:pP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14:paraId="611ADCCD" w14:textId="77777777" w:rsidR="00BA63AB" w:rsidRPr="00D8042F" w:rsidRDefault="00BA63AB" w:rsidP="00720BA7">
            <w:pPr>
              <w:jc w:val="center"/>
              <w:rPr>
                <w:b/>
                <w:bCs/>
                <w:color w:val="000000"/>
                <w:sz w:val="20"/>
                <w:szCs w:val="20"/>
                <w:lang w:val="en-CA"/>
              </w:rPr>
            </w:pPr>
            <w:r w:rsidRPr="00D8042F">
              <w:rPr>
                <w:b/>
                <w:sz w:val="20"/>
                <w:szCs w:val="20"/>
                <w:lang w:val="en-CA"/>
              </w:rPr>
              <w:t xml:space="preserve">Consommation maximale autorisée </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14:paraId="5E95929E" w14:textId="77777777" w:rsidR="00BA63AB" w:rsidRPr="00D8042F" w:rsidRDefault="00BA63AB" w:rsidP="00720BA7">
            <w:pPr>
              <w:jc w:val="center"/>
              <w:rPr>
                <w:b/>
                <w:bCs/>
                <w:color w:val="000000"/>
                <w:sz w:val="20"/>
                <w:szCs w:val="20"/>
                <w:lang w:val="en-CA"/>
              </w:rPr>
            </w:pPr>
            <w:r w:rsidRPr="00D8042F">
              <w:rPr>
                <w:b/>
                <w:sz w:val="20"/>
                <w:szCs w:val="20"/>
                <w:lang w:val="en-CA"/>
              </w:rPr>
              <w:t>Financement ($US)</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14:paraId="2B2691B0" w14:textId="77777777" w:rsidR="00BA63AB" w:rsidRPr="00D8042F" w:rsidRDefault="00BA63AB" w:rsidP="00720BA7">
            <w:pPr>
              <w:jc w:val="center"/>
              <w:rPr>
                <w:b/>
                <w:bCs/>
                <w:color w:val="000000"/>
                <w:sz w:val="20"/>
                <w:szCs w:val="20"/>
                <w:lang w:val="en-CA"/>
              </w:rPr>
            </w:pPr>
            <w:r w:rsidRPr="00D8042F">
              <w:rPr>
                <w:b/>
                <w:sz w:val="20"/>
                <w:szCs w:val="20"/>
                <w:lang w:val="en-CA"/>
              </w:rPr>
              <w:t xml:space="preserve">Consommation maximale autorisée </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14:paraId="01AFE20F" w14:textId="77777777" w:rsidR="00BA63AB" w:rsidRPr="00D8042F" w:rsidRDefault="00BA63AB" w:rsidP="00720BA7">
            <w:pPr>
              <w:jc w:val="center"/>
              <w:rPr>
                <w:b/>
                <w:bCs/>
                <w:color w:val="000000"/>
                <w:sz w:val="20"/>
                <w:szCs w:val="20"/>
                <w:lang w:val="en-CA"/>
              </w:rPr>
            </w:pPr>
            <w:r w:rsidRPr="00D8042F">
              <w:rPr>
                <w:b/>
                <w:sz w:val="20"/>
                <w:szCs w:val="20"/>
                <w:lang w:val="en-CA"/>
              </w:rPr>
              <w:t>Financement ($US)</w:t>
            </w:r>
          </w:p>
        </w:tc>
      </w:tr>
      <w:tr w:rsidR="00BA63AB" w:rsidRPr="00D8042F" w14:paraId="6E4CCC5A" w14:textId="77777777" w:rsidTr="00720BA7">
        <w:trPr>
          <w:trHeight w:val="80"/>
        </w:trPr>
        <w:tc>
          <w:tcPr>
            <w:tcW w:w="431" w:type="pct"/>
            <w:vMerge/>
            <w:tcBorders>
              <w:top w:val="single" w:sz="4" w:space="0" w:color="auto"/>
              <w:left w:val="single" w:sz="4" w:space="0" w:color="auto"/>
              <w:bottom w:val="single" w:sz="4" w:space="0" w:color="000000"/>
              <w:right w:val="single" w:sz="4" w:space="0" w:color="auto"/>
            </w:tcBorders>
            <w:hideMark/>
          </w:tcPr>
          <w:p w14:paraId="74769B02" w14:textId="77777777" w:rsidR="00BA63AB" w:rsidRPr="00D8042F" w:rsidRDefault="00BA63AB" w:rsidP="00720BA7">
            <w:pPr>
              <w:jc w:val="lef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vAlign w:val="center"/>
            <w:hideMark/>
          </w:tcPr>
          <w:p w14:paraId="05258FB8" w14:textId="77777777" w:rsidR="00BA63AB" w:rsidRPr="00D8042F" w:rsidRDefault="00BA63AB" w:rsidP="00720BA7">
            <w:pPr>
              <w:jc w:val="center"/>
              <w:rPr>
                <w:b/>
                <w:bCs/>
                <w:color w:val="000000"/>
                <w:sz w:val="20"/>
                <w:szCs w:val="20"/>
                <w:lang w:val="en-CA"/>
              </w:rPr>
            </w:pPr>
            <w:r w:rsidRPr="00D8042F">
              <w:rPr>
                <w:b/>
                <w:sz w:val="20"/>
                <w:szCs w:val="20"/>
                <w:lang w:val="en-CA"/>
              </w:rPr>
              <w:t xml:space="preserve">Initial </w:t>
            </w:r>
          </w:p>
        </w:tc>
        <w:tc>
          <w:tcPr>
            <w:tcW w:w="571" w:type="pct"/>
            <w:tcBorders>
              <w:top w:val="nil"/>
              <w:left w:val="nil"/>
              <w:bottom w:val="single" w:sz="4" w:space="0" w:color="auto"/>
              <w:right w:val="single" w:sz="4" w:space="0" w:color="auto"/>
            </w:tcBorders>
            <w:shd w:val="clear" w:color="auto" w:fill="auto"/>
            <w:vAlign w:val="center"/>
            <w:hideMark/>
          </w:tcPr>
          <w:p w14:paraId="0D074037" w14:textId="77777777" w:rsidR="00BA63AB" w:rsidRPr="00D8042F" w:rsidRDefault="00BA63AB" w:rsidP="00720BA7">
            <w:pPr>
              <w:jc w:val="center"/>
              <w:rPr>
                <w:b/>
                <w:bCs/>
                <w:color w:val="000000"/>
                <w:sz w:val="20"/>
                <w:szCs w:val="20"/>
                <w:lang w:val="en-CA"/>
              </w:rPr>
            </w:pPr>
            <w:r w:rsidRPr="00D8042F">
              <w:rPr>
                <w:b/>
                <w:sz w:val="20"/>
                <w:szCs w:val="20"/>
                <w:lang w:val="en-CA"/>
              </w:rPr>
              <w:t>Révisé</w:t>
            </w:r>
          </w:p>
        </w:tc>
        <w:tc>
          <w:tcPr>
            <w:tcW w:w="571" w:type="pct"/>
            <w:tcBorders>
              <w:top w:val="nil"/>
              <w:left w:val="nil"/>
              <w:bottom w:val="single" w:sz="4" w:space="0" w:color="auto"/>
              <w:right w:val="single" w:sz="4" w:space="0" w:color="auto"/>
            </w:tcBorders>
            <w:shd w:val="clear" w:color="auto" w:fill="auto"/>
            <w:vAlign w:val="center"/>
            <w:hideMark/>
          </w:tcPr>
          <w:p w14:paraId="6A374490" w14:textId="77777777" w:rsidR="00BA63AB" w:rsidRPr="00D8042F" w:rsidRDefault="00BA63AB" w:rsidP="00720BA7">
            <w:pPr>
              <w:jc w:val="center"/>
              <w:rPr>
                <w:b/>
                <w:bCs/>
                <w:color w:val="000000"/>
                <w:sz w:val="20"/>
                <w:szCs w:val="20"/>
                <w:lang w:val="en-CA"/>
              </w:rPr>
            </w:pPr>
            <w:r w:rsidRPr="00D8042F">
              <w:rPr>
                <w:b/>
                <w:sz w:val="20"/>
                <w:szCs w:val="20"/>
                <w:lang w:val="en-CA"/>
              </w:rPr>
              <w:t xml:space="preserve">Initial </w:t>
            </w:r>
          </w:p>
        </w:tc>
        <w:tc>
          <w:tcPr>
            <w:tcW w:w="571" w:type="pct"/>
            <w:tcBorders>
              <w:top w:val="nil"/>
              <w:left w:val="nil"/>
              <w:bottom w:val="single" w:sz="4" w:space="0" w:color="auto"/>
              <w:right w:val="single" w:sz="4" w:space="0" w:color="auto"/>
            </w:tcBorders>
            <w:shd w:val="clear" w:color="auto" w:fill="auto"/>
            <w:vAlign w:val="center"/>
            <w:hideMark/>
          </w:tcPr>
          <w:p w14:paraId="654E2632" w14:textId="77777777" w:rsidR="00BA63AB" w:rsidRPr="00D8042F" w:rsidRDefault="00BA63AB" w:rsidP="00720BA7">
            <w:pPr>
              <w:jc w:val="center"/>
              <w:rPr>
                <w:b/>
                <w:bCs/>
                <w:color w:val="000000"/>
                <w:sz w:val="20"/>
                <w:szCs w:val="20"/>
                <w:lang w:val="en-CA"/>
              </w:rPr>
            </w:pPr>
            <w:r w:rsidRPr="00D8042F">
              <w:rPr>
                <w:b/>
                <w:sz w:val="20"/>
                <w:szCs w:val="20"/>
                <w:lang w:val="en-CA"/>
              </w:rPr>
              <w:t>Révisé</w:t>
            </w:r>
          </w:p>
        </w:tc>
        <w:tc>
          <w:tcPr>
            <w:tcW w:w="571" w:type="pct"/>
            <w:tcBorders>
              <w:top w:val="nil"/>
              <w:left w:val="nil"/>
              <w:bottom w:val="single" w:sz="4" w:space="0" w:color="auto"/>
              <w:right w:val="single" w:sz="4" w:space="0" w:color="auto"/>
            </w:tcBorders>
            <w:shd w:val="clear" w:color="auto" w:fill="auto"/>
            <w:vAlign w:val="center"/>
            <w:hideMark/>
          </w:tcPr>
          <w:p w14:paraId="021C3CDC" w14:textId="77777777" w:rsidR="00BA63AB" w:rsidRPr="00D8042F" w:rsidRDefault="00BA63AB" w:rsidP="00720BA7">
            <w:pPr>
              <w:jc w:val="center"/>
              <w:rPr>
                <w:b/>
                <w:bCs/>
                <w:color w:val="000000"/>
                <w:sz w:val="20"/>
                <w:szCs w:val="20"/>
                <w:lang w:val="en-CA"/>
              </w:rPr>
            </w:pPr>
            <w:r w:rsidRPr="00D8042F">
              <w:rPr>
                <w:b/>
                <w:sz w:val="20"/>
                <w:szCs w:val="20"/>
                <w:lang w:val="en-CA"/>
              </w:rPr>
              <w:t xml:space="preserve">Initial </w:t>
            </w:r>
          </w:p>
        </w:tc>
        <w:tc>
          <w:tcPr>
            <w:tcW w:w="571" w:type="pct"/>
            <w:tcBorders>
              <w:top w:val="nil"/>
              <w:left w:val="nil"/>
              <w:bottom w:val="single" w:sz="4" w:space="0" w:color="auto"/>
              <w:right w:val="single" w:sz="4" w:space="0" w:color="auto"/>
            </w:tcBorders>
            <w:shd w:val="clear" w:color="auto" w:fill="auto"/>
            <w:vAlign w:val="center"/>
            <w:hideMark/>
          </w:tcPr>
          <w:p w14:paraId="10577E98" w14:textId="77777777" w:rsidR="00BA63AB" w:rsidRPr="00D8042F" w:rsidRDefault="00BA63AB" w:rsidP="00720BA7">
            <w:pPr>
              <w:jc w:val="center"/>
              <w:rPr>
                <w:b/>
                <w:bCs/>
                <w:color w:val="000000"/>
                <w:sz w:val="20"/>
                <w:szCs w:val="20"/>
                <w:lang w:val="en-CA"/>
              </w:rPr>
            </w:pPr>
            <w:r w:rsidRPr="00D8042F">
              <w:rPr>
                <w:b/>
                <w:sz w:val="20"/>
                <w:szCs w:val="20"/>
                <w:lang w:val="en-CA"/>
              </w:rPr>
              <w:t>Révisé</w:t>
            </w:r>
          </w:p>
        </w:tc>
        <w:tc>
          <w:tcPr>
            <w:tcW w:w="571" w:type="pct"/>
            <w:tcBorders>
              <w:top w:val="nil"/>
              <w:left w:val="nil"/>
              <w:bottom w:val="single" w:sz="4" w:space="0" w:color="auto"/>
              <w:right w:val="single" w:sz="4" w:space="0" w:color="auto"/>
            </w:tcBorders>
            <w:shd w:val="clear" w:color="auto" w:fill="auto"/>
            <w:vAlign w:val="center"/>
            <w:hideMark/>
          </w:tcPr>
          <w:p w14:paraId="07A04951" w14:textId="77777777" w:rsidR="00BA63AB" w:rsidRPr="00D8042F" w:rsidRDefault="00BA63AB" w:rsidP="00720BA7">
            <w:pPr>
              <w:jc w:val="center"/>
              <w:rPr>
                <w:b/>
                <w:bCs/>
                <w:color w:val="000000"/>
                <w:sz w:val="20"/>
                <w:szCs w:val="20"/>
                <w:lang w:val="en-CA"/>
              </w:rPr>
            </w:pPr>
            <w:r w:rsidRPr="00D8042F">
              <w:rPr>
                <w:b/>
                <w:sz w:val="20"/>
                <w:szCs w:val="20"/>
                <w:lang w:val="en-CA"/>
              </w:rPr>
              <w:t xml:space="preserve">Initial </w:t>
            </w:r>
          </w:p>
        </w:tc>
        <w:tc>
          <w:tcPr>
            <w:tcW w:w="571" w:type="pct"/>
            <w:tcBorders>
              <w:top w:val="nil"/>
              <w:left w:val="nil"/>
              <w:bottom w:val="single" w:sz="4" w:space="0" w:color="auto"/>
              <w:right w:val="single" w:sz="4" w:space="0" w:color="auto"/>
            </w:tcBorders>
            <w:shd w:val="clear" w:color="auto" w:fill="auto"/>
            <w:vAlign w:val="center"/>
            <w:hideMark/>
          </w:tcPr>
          <w:p w14:paraId="2B296678" w14:textId="77777777" w:rsidR="00BA63AB" w:rsidRPr="00D8042F" w:rsidRDefault="00BA63AB" w:rsidP="00720BA7">
            <w:pPr>
              <w:jc w:val="center"/>
              <w:rPr>
                <w:b/>
                <w:bCs/>
                <w:color w:val="000000"/>
                <w:sz w:val="20"/>
                <w:szCs w:val="20"/>
                <w:lang w:val="en-CA"/>
              </w:rPr>
            </w:pPr>
            <w:r w:rsidRPr="00D8042F">
              <w:rPr>
                <w:b/>
                <w:sz w:val="20"/>
                <w:szCs w:val="20"/>
                <w:lang w:val="en-CA"/>
              </w:rPr>
              <w:t>Révisé</w:t>
            </w:r>
          </w:p>
        </w:tc>
      </w:tr>
      <w:tr w:rsidR="00BA63AB" w:rsidRPr="00D8042F" w14:paraId="5C7679D9" w14:textId="77777777" w:rsidTr="00720BA7">
        <w:trPr>
          <w:trHeight w:val="53"/>
        </w:trPr>
        <w:tc>
          <w:tcPr>
            <w:tcW w:w="431" w:type="pct"/>
            <w:tcBorders>
              <w:top w:val="nil"/>
              <w:left w:val="single" w:sz="4" w:space="0" w:color="auto"/>
              <w:bottom w:val="single" w:sz="4" w:space="0" w:color="auto"/>
              <w:right w:val="single" w:sz="4" w:space="0" w:color="auto"/>
            </w:tcBorders>
            <w:shd w:val="clear" w:color="auto" w:fill="auto"/>
            <w:hideMark/>
          </w:tcPr>
          <w:p w14:paraId="134892D5" w14:textId="77777777" w:rsidR="00BA63AB" w:rsidRPr="00D8042F" w:rsidRDefault="00BA63AB" w:rsidP="00720BA7">
            <w:pPr>
              <w:jc w:val="center"/>
              <w:rPr>
                <w:color w:val="000000"/>
                <w:sz w:val="20"/>
                <w:szCs w:val="20"/>
                <w:lang w:val="en-CA"/>
              </w:rPr>
            </w:pPr>
            <w:r w:rsidRPr="00D8042F">
              <w:rPr>
                <w:color w:val="000000"/>
                <w:sz w:val="20"/>
                <w:szCs w:val="20"/>
                <w:lang w:val="en-CA"/>
              </w:rPr>
              <w:t>2016</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235ABDA" w14:textId="77777777" w:rsidR="00BA63AB" w:rsidRPr="00D8042F" w:rsidRDefault="00BA63AB" w:rsidP="00720BA7">
            <w:pPr>
              <w:jc w:val="right"/>
              <w:rPr>
                <w:color w:val="000000"/>
                <w:sz w:val="20"/>
                <w:szCs w:val="20"/>
                <w:lang w:val="en-CA"/>
              </w:rPr>
            </w:pPr>
            <w:r w:rsidRPr="00D8042F">
              <w:rPr>
                <w:sz w:val="20"/>
                <w:szCs w:val="20"/>
                <w:lang w:val="en-CA"/>
              </w:rPr>
              <w:t>2 162,50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00EA60F" w14:textId="77777777" w:rsidR="00BA63AB" w:rsidRPr="00D8042F" w:rsidRDefault="00BA63AB" w:rsidP="00720BA7">
            <w:pPr>
              <w:jc w:val="right"/>
              <w:rPr>
                <w:color w:val="000000"/>
                <w:sz w:val="20"/>
                <w:szCs w:val="20"/>
                <w:lang w:val="en-CA"/>
              </w:rPr>
            </w:pPr>
            <w:r w:rsidRPr="00D8042F">
              <w:rPr>
                <w:color w:val="000000"/>
                <w:sz w:val="20"/>
                <w:szCs w:val="20"/>
                <w:lang w:val="en-CA"/>
              </w:rPr>
              <w:t>2 162,50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0D055B74" w14:textId="77777777" w:rsidR="00BA63AB" w:rsidRPr="00D8042F" w:rsidRDefault="00BA63AB" w:rsidP="00720BA7">
            <w:pPr>
              <w:jc w:val="right"/>
              <w:rPr>
                <w:color w:val="000000"/>
                <w:sz w:val="20"/>
                <w:szCs w:val="20"/>
                <w:lang w:val="en-CA"/>
              </w:rPr>
            </w:pPr>
            <w:r w:rsidRPr="00D8042F">
              <w:rPr>
                <w:color w:val="000000"/>
                <w:sz w:val="20"/>
                <w:szCs w:val="20"/>
                <w:lang w:val="en-CA"/>
              </w:rPr>
              <w:t>13 368 756</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19227FE" w14:textId="77777777" w:rsidR="00BA63AB" w:rsidRPr="00D8042F" w:rsidRDefault="00BA63AB" w:rsidP="00720BA7">
            <w:pPr>
              <w:jc w:val="right"/>
              <w:rPr>
                <w:color w:val="000000"/>
                <w:sz w:val="20"/>
                <w:szCs w:val="20"/>
                <w:lang w:val="en-CA"/>
              </w:rPr>
            </w:pPr>
            <w:r w:rsidRPr="00D8042F">
              <w:rPr>
                <w:color w:val="000000"/>
                <w:sz w:val="20"/>
                <w:szCs w:val="20"/>
                <w:lang w:val="en-CA"/>
              </w:rPr>
              <w:t>13 368 756</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7F14ED3F" w14:textId="77777777" w:rsidR="00BA63AB" w:rsidRPr="00D8042F" w:rsidRDefault="00BA63AB" w:rsidP="00720BA7">
            <w:pPr>
              <w:jc w:val="right"/>
              <w:rPr>
                <w:color w:val="000000"/>
                <w:sz w:val="20"/>
                <w:szCs w:val="20"/>
                <w:lang w:val="en-CA"/>
              </w:rPr>
            </w:pPr>
            <w:r w:rsidRPr="00D8042F">
              <w:rPr>
                <w:sz w:val="20"/>
                <w:szCs w:val="20"/>
                <w:lang w:val="en-CA"/>
              </w:rPr>
              <w:t>3 697,70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60DE9002" w14:textId="77777777" w:rsidR="00BA63AB" w:rsidRPr="00D8042F" w:rsidRDefault="00BA63AB" w:rsidP="00720BA7">
            <w:pPr>
              <w:jc w:val="right"/>
              <w:rPr>
                <w:color w:val="000000"/>
                <w:sz w:val="20"/>
                <w:szCs w:val="20"/>
                <w:lang w:val="en-CA"/>
              </w:rPr>
            </w:pPr>
            <w:r w:rsidRPr="00D8042F">
              <w:rPr>
                <w:sz w:val="20"/>
                <w:szCs w:val="20"/>
                <w:lang w:val="en-CA"/>
              </w:rPr>
              <w:t>3 697,70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55477BF6" w14:textId="77777777" w:rsidR="00BA63AB" w:rsidRPr="00D8042F" w:rsidRDefault="00BA63AB" w:rsidP="00720BA7">
            <w:pPr>
              <w:jc w:val="right"/>
              <w:rPr>
                <w:color w:val="000000"/>
                <w:sz w:val="20"/>
                <w:szCs w:val="20"/>
                <w:lang w:val="en-CA"/>
              </w:rPr>
            </w:pPr>
            <w:r w:rsidRPr="00D8042F">
              <w:rPr>
                <w:sz w:val="20"/>
                <w:szCs w:val="20"/>
                <w:lang w:val="en-CA"/>
              </w:rPr>
              <w:t>15 562 981</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26B610A" w14:textId="77777777" w:rsidR="00BA63AB" w:rsidRPr="00D8042F" w:rsidRDefault="00BA63AB" w:rsidP="00720BA7">
            <w:pPr>
              <w:jc w:val="right"/>
              <w:rPr>
                <w:color w:val="000000"/>
                <w:sz w:val="20"/>
                <w:szCs w:val="20"/>
                <w:lang w:val="en-CA"/>
              </w:rPr>
            </w:pPr>
            <w:r w:rsidRPr="00D8042F">
              <w:rPr>
                <w:color w:val="000000"/>
                <w:sz w:val="20"/>
                <w:szCs w:val="20"/>
                <w:lang w:val="en-CA"/>
              </w:rPr>
              <w:t>15 562 981</w:t>
            </w:r>
          </w:p>
        </w:tc>
      </w:tr>
      <w:tr w:rsidR="00BA63AB" w:rsidRPr="00D8042F" w14:paraId="0EE1E0E7" w14:textId="77777777" w:rsidTr="00720BA7">
        <w:trPr>
          <w:trHeight w:val="98"/>
        </w:trPr>
        <w:tc>
          <w:tcPr>
            <w:tcW w:w="431" w:type="pct"/>
            <w:tcBorders>
              <w:top w:val="nil"/>
              <w:left w:val="single" w:sz="4" w:space="0" w:color="auto"/>
              <w:bottom w:val="single" w:sz="4" w:space="0" w:color="auto"/>
              <w:right w:val="single" w:sz="4" w:space="0" w:color="auto"/>
            </w:tcBorders>
            <w:shd w:val="clear" w:color="auto" w:fill="auto"/>
            <w:hideMark/>
          </w:tcPr>
          <w:p w14:paraId="482D6308" w14:textId="77777777" w:rsidR="00BA63AB" w:rsidRPr="00D8042F" w:rsidRDefault="00BA63AB" w:rsidP="00720BA7">
            <w:pPr>
              <w:jc w:val="center"/>
              <w:rPr>
                <w:color w:val="000000"/>
                <w:sz w:val="20"/>
                <w:szCs w:val="20"/>
                <w:lang w:val="en-CA"/>
              </w:rPr>
            </w:pPr>
            <w:r w:rsidRPr="00D8042F">
              <w:rPr>
                <w:color w:val="000000"/>
                <w:sz w:val="20"/>
                <w:szCs w:val="20"/>
                <w:lang w:val="en-CA"/>
              </w:rPr>
              <w:t>2017</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103D04A6" w14:textId="77777777" w:rsidR="00BA63AB" w:rsidRPr="00D8042F" w:rsidRDefault="00BA63AB" w:rsidP="00720BA7">
            <w:pPr>
              <w:jc w:val="right"/>
              <w:rPr>
                <w:color w:val="000000"/>
                <w:sz w:val="20"/>
                <w:szCs w:val="20"/>
                <w:lang w:val="en-CA"/>
              </w:rPr>
            </w:pPr>
            <w:r w:rsidRPr="00D8042F">
              <w:rPr>
                <w:sz w:val="20"/>
                <w:szCs w:val="20"/>
                <w:lang w:val="en-CA"/>
              </w:rPr>
              <w:t>2 162,50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0FE80683" w14:textId="77777777" w:rsidR="00BA63AB" w:rsidRPr="00D8042F" w:rsidRDefault="00BA63AB" w:rsidP="00720BA7">
            <w:pPr>
              <w:jc w:val="right"/>
              <w:rPr>
                <w:color w:val="000000"/>
                <w:sz w:val="20"/>
                <w:szCs w:val="20"/>
                <w:lang w:val="en-CA"/>
              </w:rPr>
            </w:pPr>
            <w:r w:rsidRPr="00D8042F">
              <w:rPr>
                <w:color w:val="000000"/>
                <w:sz w:val="20"/>
                <w:szCs w:val="20"/>
                <w:lang w:val="en-CA"/>
              </w:rPr>
              <w:t>2 162,50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534E7787" w14:textId="77777777" w:rsidR="00BA63AB" w:rsidRPr="00D8042F" w:rsidRDefault="00BA63AB" w:rsidP="00720BA7">
            <w:pPr>
              <w:jc w:val="right"/>
              <w:rPr>
                <w:color w:val="000000"/>
                <w:sz w:val="20"/>
                <w:szCs w:val="20"/>
                <w:lang w:val="en-CA"/>
              </w:rPr>
            </w:pPr>
            <w:r w:rsidRPr="00D8042F">
              <w:rPr>
                <w:sz w:val="20"/>
                <w:szCs w:val="20"/>
                <w:lang w:val="en-CA"/>
              </w:rPr>
              <w:t>20 000 000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044C48C5" w14:textId="77777777" w:rsidR="00BA63AB" w:rsidRPr="00D8042F" w:rsidRDefault="00BA63AB" w:rsidP="00720BA7">
            <w:pPr>
              <w:jc w:val="right"/>
              <w:rPr>
                <w:color w:val="000000"/>
                <w:sz w:val="20"/>
                <w:szCs w:val="20"/>
                <w:lang w:val="en-CA"/>
              </w:rPr>
            </w:pPr>
            <w:r w:rsidRPr="00D8042F">
              <w:rPr>
                <w:color w:val="000000"/>
                <w:sz w:val="20"/>
                <w:szCs w:val="20"/>
                <w:lang w:val="en-CA"/>
              </w:rPr>
              <w:t>20 000 000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7D904F0E" w14:textId="77777777" w:rsidR="00BA63AB" w:rsidRPr="00D8042F" w:rsidRDefault="00BA63AB" w:rsidP="00720BA7">
            <w:pPr>
              <w:jc w:val="right"/>
              <w:rPr>
                <w:color w:val="000000"/>
                <w:sz w:val="20"/>
                <w:szCs w:val="20"/>
                <w:lang w:val="en-CA"/>
              </w:rPr>
            </w:pPr>
            <w:r w:rsidRPr="00D8042F">
              <w:rPr>
                <w:sz w:val="20"/>
                <w:szCs w:val="20"/>
                <w:lang w:val="en-CA"/>
              </w:rPr>
              <w:t>3 697,70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435D3B5" w14:textId="77777777" w:rsidR="00BA63AB" w:rsidRPr="00D8042F" w:rsidRDefault="00BA63AB" w:rsidP="00720BA7">
            <w:pPr>
              <w:jc w:val="right"/>
              <w:rPr>
                <w:color w:val="000000"/>
                <w:sz w:val="20"/>
                <w:szCs w:val="20"/>
                <w:lang w:val="en-CA"/>
              </w:rPr>
            </w:pPr>
            <w:r w:rsidRPr="00D8042F">
              <w:rPr>
                <w:sz w:val="20"/>
                <w:szCs w:val="20"/>
                <w:lang w:val="en-CA"/>
              </w:rPr>
              <w:t>3 697,70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400797E7" w14:textId="77777777" w:rsidR="00BA63AB" w:rsidRPr="00D8042F" w:rsidRDefault="00BA63AB" w:rsidP="00720BA7">
            <w:pPr>
              <w:jc w:val="right"/>
              <w:rPr>
                <w:sz w:val="20"/>
                <w:szCs w:val="20"/>
                <w:lang w:val="en-CA"/>
              </w:rPr>
            </w:pPr>
            <w:r w:rsidRPr="00D8042F">
              <w:rPr>
                <w:sz w:val="20"/>
                <w:szCs w:val="20"/>
                <w:lang w:val="en-CA"/>
              </w:rPr>
              <w:t>16 000 000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7E5B47E4" w14:textId="77777777" w:rsidR="00BA63AB" w:rsidRPr="00D8042F" w:rsidRDefault="00BA63AB" w:rsidP="00720BA7">
            <w:pPr>
              <w:jc w:val="right"/>
              <w:rPr>
                <w:color w:val="000000"/>
                <w:sz w:val="20"/>
                <w:szCs w:val="20"/>
                <w:lang w:val="en-CA"/>
              </w:rPr>
            </w:pPr>
            <w:r w:rsidRPr="00D8042F">
              <w:rPr>
                <w:color w:val="000000"/>
                <w:sz w:val="20"/>
                <w:szCs w:val="20"/>
                <w:lang w:val="en-CA"/>
              </w:rPr>
              <w:t>16 000 000</w:t>
            </w:r>
          </w:p>
        </w:tc>
      </w:tr>
      <w:tr w:rsidR="00BA63AB" w:rsidRPr="00D8042F" w14:paraId="3C87643B" w14:textId="77777777" w:rsidTr="00720BA7">
        <w:trPr>
          <w:trHeight w:val="62"/>
        </w:trPr>
        <w:tc>
          <w:tcPr>
            <w:tcW w:w="431" w:type="pct"/>
            <w:tcBorders>
              <w:top w:val="nil"/>
              <w:left w:val="single" w:sz="4" w:space="0" w:color="auto"/>
              <w:bottom w:val="single" w:sz="4" w:space="0" w:color="auto"/>
              <w:right w:val="single" w:sz="4" w:space="0" w:color="auto"/>
            </w:tcBorders>
            <w:shd w:val="clear" w:color="auto" w:fill="auto"/>
            <w:hideMark/>
          </w:tcPr>
          <w:p w14:paraId="0A7DC720" w14:textId="77777777" w:rsidR="00BA63AB" w:rsidRPr="00D8042F" w:rsidRDefault="00BA63AB" w:rsidP="00720BA7">
            <w:pPr>
              <w:jc w:val="center"/>
              <w:rPr>
                <w:color w:val="000000"/>
                <w:sz w:val="20"/>
                <w:szCs w:val="20"/>
                <w:lang w:val="en-CA"/>
              </w:rPr>
            </w:pPr>
            <w:r w:rsidRPr="00D8042F">
              <w:rPr>
                <w:color w:val="000000"/>
                <w:sz w:val="20"/>
                <w:szCs w:val="20"/>
                <w:lang w:val="en-CA"/>
              </w:rPr>
              <w:t>2018</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164CDBDD" w14:textId="77777777" w:rsidR="00BA63AB" w:rsidRPr="00D8042F" w:rsidRDefault="00BA63AB" w:rsidP="00720BA7">
            <w:pPr>
              <w:jc w:val="right"/>
              <w:rPr>
                <w:color w:val="000000"/>
                <w:sz w:val="20"/>
                <w:szCs w:val="20"/>
                <w:lang w:val="en-CA"/>
              </w:rPr>
            </w:pPr>
            <w:r w:rsidRPr="00D8042F">
              <w:rPr>
                <w:sz w:val="20"/>
                <w:szCs w:val="20"/>
                <w:lang w:val="en-CA"/>
              </w:rPr>
              <w:t>2 042,40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D9B5A78" w14:textId="77777777" w:rsidR="00BA63AB" w:rsidRPr="00D8042F" w:rsidRDefault="00BA63AB" w:rsidP="00720BA7">
            <w:pPr>
              <w:jc w:val="right"/>
              <w:rPr>
                <w:color w:val="000000"/>
                <w:sz w:val="20"/>
                <w:szCs w:val="20"/>
                <w:lang w:val="en-CA"/>
              </w:rPr>
            </w:pPr>
            <w:r w:rsidRPr="00D8042F">
              <w:rPr>
                <w:color w:val="000000"/>
                <w:sz w:val="20"/>
                <w:szCs w:val="20"/>
                <w:lang w:val="en-CA"/>
              </w:rPr>
              <w:t>2 042,40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BEA755F" w14:textId="77777777" w:rsidR="00BA63AB" w:rsidRPr="00D8042F" w:rsidRDefault="00BA63AB" w:rsidP="00720BA7">
            <w:pPr>
              <w:jc w:val="right"/>
              <w:rPr>
                <w:color w:val="000000"/>
                <w:sz w:val="20"/>
                <w:szCs w:val="20"/>
                <w:lang w:val="en-CA"/>
              </w:rPr>
            </w:pPr>
            <w:r w:rsidRPr="00D8042F">
              <w:rPr>
                <w:sz w:val="20"/>
                <w:szCs w:val="20"/>
                <w:lang w:val="en-CA"/>
              </w:rPr>
              <w:t>12 000 000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CA5BE2B"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1D7D2674" w14:textId="77777777" w:rsidR="00BA63AB" w:rsidRPr="00D8042F" w:rsidRDefault="00BA63AB" w:rsidP="00720BA7">
            <w:pPr>
              <w:jc w:val="right"/>
              <w:rPr>
                <w:color w:val="000000"/>
                <w:sz w:val="20"/>
                <w:szCs w:val="20"/>
                <w:lang w:val="en-CA"/>
              </w:rPr>
            </w:pPr>
            <w:r w:rsidRPr="00D8042F">
              <w:rPr>
                <w:sz w:val="20"/>
                <w:szCs w:val="20"/>
                <w:lang w:val="en-CA"/>
              </w:rPr>
              <w:t>2 876,00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6538F7C5" w14:textId="77777777" w:rsidR="00BA63AB" w:rsidRPr="00D8042F" w:rsidRDefault="00BA63AB" w:rsidP="00720BA7">
            <w:pPr>
              <w:jc w:val="right"/>
              <w:rPr>
                <w:color w:val="000000"/>
                <w:sz w:val="20"/>
                <w:szCs w:val="20"/>
                <w:lang w:val="en-CA"/>
              </w:rPr>
            </w:pPr>
            <w:r w:rsidRPr="00D8042F">
              <w:rPr>
                <w:sz w:val="20"/>
                <w:szCs w:val="20"/>
                <w:lang w:val="en-CA"/>
              </w:rPr>
              <w:t>2 876,00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55863348" w14:textId="77777777" w:rsidR="00BA63AB" w:rsidRPr="00D8042F" w:rsidRDefault="00BA63AB" w:rsidP="00720BA7">
            <w:pPr>
              <w:jc w:val="right"/>
              <w:rPr>
                <w:sz w:val="20"/>
                <w:szCs w:val="20"/>
                <w:lang w:val="en-CA"/>
              </w:rPr>
            </w:pPr>
            <w:r w:rsidRPr="00D8042F">
              <w:rPr>
                <w:sz w:val="20"/>
                <w:szCs w:val="20"/>
                <w:lang w:val="en-CA"/>
              </w:rPr>
              <w:t>18 000 000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86A2E85"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r>
      <w:tr w:rsidR="00BA63AB" w:rsidRPr="00D8042F" w14:paraId="549C0552" w14:textId="77777777" w:rsidTr="00720BA7">
        <w:trPr>
          <w:trHeight w:val="41"/>
        </w:trPr>
        <w:tc>
          <w:tcPr>
            <w:tcW w:w="431" w:type="pct"/>
            <w:tcBorders>
              <w:top w:val="nil"/>
              <w:left w:val="single" w:sz="4" w:space="0" w:color="auto"/>
              <w:bottom w:val="single" w:sz="4" w:space="0" w:color="auto"/>
              <w:right w:val="single" w:sz="4" w:space="0" w:color="auto"/>
            </w:tcBorders>
            <w:shd w:val="clear" w:color="auto" w:fill="auto"/>
            <w:hideMark/>
          </w:tcPr>
          <w:p w14:paraId="311D02F3" w14:textId="77777777" w:rsidR="00BA63AB" w:rsidRPr="00D8042F" w:rsidRDefault="00BA63AB" w:rsidP="00720BA7">
            <w:pPr>
              <w:jc w:val="center"/>
              <w:rPr>
                <w:color w:val="000000"/>
                <w:sz w:val="20"/>
                <w:szCs w:val="20"/>
                <w:lang w:val="en-CA"/>
              </w:rPr>
            </w:pPr>
            <w:r w:rsidRPr="00D8042F">
              <w:rPr>
                <w:color w:val="000000"/>
                <w:sz w:val="20"/>
                <w:szCs w:val="20"/>
                <w:lang w:val="en-CA"/>
              </w:rPr>
              <w:t>2019</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4107041C" w14:textId="77777777" w:rsidR="00BA63AB" w:rsidRPr="00D8042F" w:rsidRDefault="00BA63AB" w:rsidP="00720BA7">
            <w:pPr>
              <w:jc w:val="right"/>
              <w:rPr>
                <w:color w:val="000000"/>
                <w:sz w:val="20"/>
                <w:szCs w:val="20"/>
                <w:lang w:val="en-CA"/>
              </w:rPr>
            </w:pPr>
            <w:r w:rsidRPr="00D8042F">
              <w:rPr>
                <w:sz w:val="20"/>
                <w:szCs w:val="20"/>
                <w:lang w:val="en-CA"/>
              </w:rPr>
              <w:t>2 042,40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5358C39" w14:textId="77777777" w:rsidR="00BA63AB" w:rsidRPr="00D8042F" w:rsidRDefault="00BA63AB" w:rsidP="00720BA7">
            <w:pPr>
              <w:jc w:val="right"/>
              <w:rPr>
                <w:color w:val="000000"/>
                <w:sz w:val="20"/>
                <w:szCs w:val="20"/>
                <w:lang w:val="en-CA"/>
              </w:rPr>
            </w:pPr>
            <w:r w:rsidRPr="00D8042F">
              <w:rPr>
                <w:color w:val="000000"/>
                <w:sz w:val="20"/>
                <w:szCs w:val="20"/>
                <w:lang w:val="en-CA"/>
              </w:rPr>
              <w:t>2 042,40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32514FAF" w14:textId="77777777" w:rsidR="00BA63AB" w:rsidRPr="00D8042F" w:rsidRDefault="00BA63AB" w:rsidP="00720BA7">
            <w:pPr>
              <w:jc w:val="right"/>
              <w:rPr>
                <w:color w:val="000000"/>
                <w:sz w:val="20"/>
                <w:szCs w:val="20"/>
                <w:lang w:val="en-CA"/>
              </w:rPr>
            </w:pPr>
            <w:r w:rsidRPr="00D8042F">
              <w:rPr>
                <w:sz w:val="20"/>
                <w:szCs w:val="20"/>
                <w:lang w:val="en-CA"/>
              </w:rPr>
              <w:t>16 000 000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746AB268"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3C4B24B6" w14:textId="77777777" w:rsidR="00BA63AB" w:rsidRPr="00D8042F" w:rsidRDefault="00BA63AB" w:rsidP="00720BA7">
            <w:pPr>
              <w:jc w:val="right"/>
              <w:rPr>
                <w:color w:val="000000"/>
                <w:sz w:val="20"/>
                <w:szCs w:val="20"/>
                <w:lang w:val="en-CA"/>
              </w:rPr>
            </w:pPr>
            <w:r w:rsidRPr="00D8042F">
              <w:rPr>
                <w:sz w:val="20"/>
                <w:szCs w:val="20"/>
                <w:lang w:val="en-CA"/>
              </w:rPr>
              <w:t>2 876,00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9CC275F" w14:textId="77777777" w:rsidR="00BA63AB" w:rsidRPr="00D8042F" w:rsidRDefault="00BA63AB" w:rsidP="00720BA7">
            <w:pPr>
              <w:jc w:val="right"/>
              <w:rPr>
                <w:color w:val="000000"/>
                <w:sz w:val="20"/>
                <w:szCs w:val="20"/>
                <w:lang w:val="en-CA"/>
              </w:rPr>
            </w:pPr>
            <w:r w:rsidRPr="00D8042F">
              <w:rPr>
                <w:sz w:val="20"/>
                <w:szCs w:val="20"/>
                <w:lang w:val="en-CA"/>
              </w:rPr>
              <w:t>2 876,00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180F2568" w14:textId="77777777" w:rsidR="00BA63AB" w:rsidRPr="00D8042F" w:rsidRDefault="00BA63AB" w:rsidP="00720BA7">
            <w:pPr>
              <w:jc w:val="right"/>
              <w:rPr>
                <w:sz w:val="20"/>
                <w:szCs w:val="20"/>
                <w:lang w:val="en-CA"/>
              </w:rPr>
            </w:pPr>
            <w:r w:rsidRPr="00D8042F">
              <w:rPr>
                <w:sz w:val="20"/>
                <w:szCs w:val="20"/>
                <w:lang w:val="en-CA"/>
              </w:rPr>
              <w:t>14 000 000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81ABB9C"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r>
      <w:tr w:rsidR="00BA63AB" w:rsidRPr="00D8042F" w14:paraId="71406011" w14:textId="77777777" w:rsidTr="00720BA7">
        <w:trPr>
          <w:trHeight w:val="41"/>
        </w:trPr>
        <w:tc>
          <w:tcPr>
            <w:tcW w:w="431" w:type="pct"/>
            <w:tcBorders>
              <w:top w:val="nil"/>
              <w:left w:val="single" w:sz="4" w:space="0" w:color="auto"/>
              <w:bottom w:val="single" w:sz="4" w:space="0" w:color="auto"/>
              <w:right w:val="single" w:sz="4" w:space="0" w:color="auto"/>
            </w:tcBorders>
            <w:shd w:val="clear" w:color="auto" w:fill="auto"/>
            <w:hideMark/>
          </w:tcPr>
          <w:p w14:paraId="0084F6BB" w14:textId="77777777" w:rsidR="00BA63AB" w:rsidRPr="00D8042F" w:rsidRDefault="00BA63AB" w:rsidP="00720BA7">
            <w:pPr>
              <w:jc w:val="center"/>
              <w:rPr>
                <w:color w:val="000000"/>
                <w:sz w:val="20"/>
                <w:szCs w:val="20"/>
                <w:lang w:val="en-CA"/>
              </w:rPr>
            </w:pPr>
            <w:r w:rsidRPr="00D8042F">
              <w:rPr>
                <w:color w:val="000000"/>
                <w:sz w:val="20"/>
                <w:szCs w:val="20"/>
                <w:lang w:val="en-CA"/>
              </w:rPr>
              <w:t>2020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07FA128B" w14:textId="77777777" w:rsidR="00BA63AB" w:rsidRPr="00D8042F" w:rsidRDefault="00BA63AB" w:rsidP="00720BA7">
            <w:pPr>
              <w:jc w:val="right"/>
              <w:rPr>
                <w:color w:val="000000"/>
                <w:sz w:val="20"/>
                <w:szCs w:val="20"/>
                <w:lang w:val="en-CA"/>
              </w:rPr>
            </w:pPr>
            <w:r w:rsidRPr="00D8042F">
              <w:rPr>
                <w:sz w:val="20"/>
                <w:szCs w:val="20"/>
                <w:lang w:val="en-CA"/>
              </w:rPr>
              <w:t>1 609,90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FA6113A" w14:textId="77777777" w:rsidR="00BA63AB" w:rsidRPr="00D8042F" w:rsidRDefault="00BA63AB" w:rsidP="00720BA7">
            <w:pPr>
              <w:jc w:val="right"/>
              <w:rPr>
                <w:color w:val="000000"/>
                <w:sz w:val="20"/>
                <w:szCs w:val="20"/>
                <w:lang w:val="en-CA"/>
              </w:rPr>
            </w:pPr>
            <w:r w:rsidRPr="00D8042F">
              <w:rPr>
                <w:color w:val="000000"/>
                <w:sz w:val="20"/>
                <w:szCs w:val="20"/>
                <w:lang w:val="en-CA"/>
              </w:rPr>
              <w:t>1 609,90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40EF9BED" w14:textId="77777777" w:rsidR="00BA63AB" w:rsidRPr="00D8042F" w:rsidRDefault="00BA63AB" w:rsidP="00720BA7">
            <w:pPr>
              <w:jc w:val="right"/>
              <w:rPr>
                <w:color w:val="000000"/>
                <w:sz w:val="20"/>
                <w:szCs w:val="20"/>
                <w:lang w:val="en-CA"/>
              </w:rPr>
            </w:pPr>
            <w:r w:rsidRPr="00D8042F">
              <w:rPr>
                <w:sz w:val="20"/>
                <w:szCs w:val="20"/>
                <w:lang w:val="en-CA"/>
              </w:rPr>
              <w:t>16 000 000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33D979F" w14:textId="77777777" w:rsidR="00BA63AB" w:rsidRPr="00D8042F" w:rsidRDefault="00BA63AB" w:rsidP="00720BA7">
            <w:pPr>
              <w:jc w:val="right"/>
              <w:rPr>
                <w:color w:val="000000"/>
                <w:sz w:val="20"/>
                <w:szCs w:val="20"/>
                <w:lang w:val="en-CA"/>
              </w:rPr>
            </w:pPr>
            <w:r w:rsidRPr="00D8042F">
              <w:rPr>
                <w:color w:val="000000"/>
                <w:sz w:val="20"/>
                <w:szCs w:val="20"/>
                <w:lang w:val="en-CA"/>
              </w:rPr>
              <w:t>2 095 775</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2CEE79B1" w14:textId="77777777" w:rsidR="00BA63AB" w:rsidRPr="00D8042F" w:rsidRDefault="00BA63AB" w:rsidP="00720BA7">
            <w:pPr>
              <w:jc w:val="right"/>
              <w:rPr>
                <w:color w:val="000000"/>
                <w:sz w:val="20"/>
                <w:szCs w:val="20"/>
                <w:lang w:val="en-CA"/>
              </w:rPr>
            </w:pPr>
            <w:r w:rsidRPr="00D8042F">
              <w:rPr>
                <w:sz w:val="20"/>
                <w:szCs w:val="20"/>
                <w:lang w:val="en-CA"/>
              </w:rPr>
              <w:t>2 259,70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53BF475A" w14:textId="77777777" w:rsidR="00BA63AB" w:rsidRPr="00D8042F" w:rsidRDefault="00BA63AB" w:rsidP="00720BA7">
            <w:pPr>
              <w:jc w:val="right"/>
              <w:rPr>
                <w:color w:val="000000"/>
                <w:sz w:val="20"/>
                <w:szCs w:val="20"/>
                <w:lang w:val="en-CA"/>
              </w:rPr>
            </w:pPr>
            <w:r w:rsidRPr="00D8042F">
              <w:rPr>
                <w:sz w:val="20"/>
                <w:szCs w:val="20"/>
                <w:lang w:val="en-CA"/>
              </w:rPr>
              <w:t>2 259,70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C212F8B" w14:textId="77777777" w:rsidR="00BA63AB" w:rsidRPr="00D8042F" w:rsidRDefault="00BA63AB" w:rsidP="00720BA7">
            <w:pPr>
              <w:jc w:val="right"/>
              <w:rPr>
                <w:sz w:val="20"/>
                <w:szCs w:val="20"/>
                <w:lang w:val="en-CA"/>
              </w:rPr>
            </w:pPr>
            <w:r w:rsidRPr="00D8042F">
              <w:rPr>
                <w:sz w:val="20"/>
                <w:szCs w:val="20"/>
                <w:lang w:val="en-CA"/>
              </w:rPr>
              <w:t>14 000 000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5029DE42"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r>
      <w:tr w:rsidR="00BA63AB" w:rsidRPr="00D8042F" w14:paraId="71DC3C40" w14:textId="77777777" w:rsidTr="00720BA7">
        <w:trPr>
          <w:trHeight w:val="44"/>
        </w:trPr>
        <w:tc>
          <w:tcPr>
            <w:tcW w:w="431" w:type="pct"/>
            <w:tcBorders>
              <w:top w:val="nil"/>
              <w:left w:val="single" w:sz="4" w:space="0" w:color="auto"/>
              <w:bottom w:val="single" w:sz="4" w:space="0" w:color="auto"/>
              <w:right w:val="single" w:sz="4" w:space="0" w:color="auto"/>
            </w:tcBorders>
            <w:shd w:val="clear" w:color="auto" w:fill="auto"/>
            <w:hideMark/>
          </w:tcPr>
          <w:p w14:paraId="4DB26110" w14:textId="77777777" w:rsidR="00BA63AB" w:rsidRPr="00D8042F" w:rsidRDefault="00BA63AB" w:rsidP="00720BA7">
            <w:pPr>
              <w:jc w:val="center"/>
              <w:rPr>
                <w:color w:val="000000"/>
                <w:sz w:val="20"/>
                <w:szCs w:val="20"/>
                <w:lang w:val="en-CA"/>
              </w:rPr>
            </w:pPr>
            <w:r w:rsidRPr="00D8042F">
              <w:rPr>
                <w:color w:val="000000"/>
                <w:sz w:val="20"/>
                <w:szCs w:val="20"/>
                <w:lang w:val="en-CA"/>
              </w:rPr>
              <w:t>2021</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4F428A70" w14:textId="77777777" w:rsidR="00BA63AB" w:rsidRPr="00D8042F" w:rsidRDefault="00BA63AB" w:rsidP="00720BA7">
            <w:pPr>
              <w:jc w:val="right"/>
              <w:rPr>
                <w:color w:val="000000"/>
                <w:sz w:val="20"/>
                <w:szCs w:val="20"/>
                <w:lang w:val="en-CA"/>
              </w:rPr>
            </w:pPr>
            <w:r w:rsidRPr="00D8042F">
              <w:rPr>
                <w:sz w:val="20"/>
                <w:szCs w:val="20"/>
                <w:lang w:val="en-CA"/>
              </w:rPr>
              <w:t>1 609,90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6C5CC8B" w14:textId="77777777" w:rsidR="00BA63AB" w:rsidRPr="00D8042F" w:rsidRDefault="00BA63AB" w:rsidP="00720BA7">
            <w:pPr>
              <w:jc w:val="right"/>
              <w:rPr>
                <w:color w:val="000000"/>
                <w:sz w:val="20"/>
                <w:szCs w:val="20"/>
                <w:lang w:val="en-CA"/>
              </w:rPr>
            </w:pPr>
            <w:r w:rsidRPr="00D8042F">
              <w:rPr>
                <w:color w:val="000000"/>
                <w:sz w:val="20"/>
                <w:szCs w:val="20"/>
                <w:lang w:val="en-CA"/>
              </w:rPr>
              <w:t>1 609,90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2D44D2E1" w14:textId="77777777" w:rsidR="00BA63AB" w:rsidRPr="00D8042F" w:rsidRDefault="00BA63AB" w:rsidP="00720BA7">
            <w:pPr>
              <w:jc w:val="right"/>
              <w:rPr>
                <w:color w:val="000000"/>
                <w:sz w:val="20"/>
                <w:szCs w:val="20"/>
                <w:lang w:val="en-CA"/>
              </w:rPr>
            </w:pPr>
            <w:r w:rsidRPr="00D8042F">
              <w:rPr>
                <w:sz w:val="20"/>
                <w:szCs w:val="20"/>
                <w:lang w:val="en-CA"/>
              </w:rPr>
              <w:t>11 776 041</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45AC82C" w14:textId="77777777" w:rsidR="00BA63AB" w:rsidRPr="00D8042F" w:rsidRDefault="00BA63AB" w:rsidP="00720BA7">
            <w:pPr>
              <w:jc w:val="right"/>
              <w:rPr>
                <w:color w:val="000000"/>
                <w:sz w:val="20"/>
                <w:szCs w:val="20"/>
                <w:lang w:val="en-CA"/>
              </w:rPr>
            </w:pPr>
            <w:r w:rsidRPr="00D8042F">
              <w:rPr>
                <w:color w:val="000000"/>
                <w:sz w:val="20"/>
                <w:szCs w:val="20"/>
                <w:lang w:val="en-CA"/>
              </w:rPr>
              <w:t>9 000 000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9BE0FEE" w14:textId="77777777" w:rsidR="00BA63AB" w:rsidRPr="00D8042F" w:rsidRDefault="00BA63AB" w:rsidP="00720BA7">
            <w:pPr>
              <w:jc w:val="right"/>
              <w:rPr>
                <w:color w:val="000000"/>
                <w:sz w:val="20"/>
                <w:szCs w:val="20"/>
                <w:lang w:val="en-CA"/>
              </w:rPr>
            </w:pPr>
            <w:r w:rsidRPr="00D8042F">
              <w:rPr>
                <w:sz w:val="20"/>
                <w:szCs w:val="20"/>
                <w:lang w:val="en-CA"/>
              </w:rPr>
              <w:t>2 259,70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B761665" w14:textId="77777777" w:rsidR="00BA63AB" w:rsidRPr="00D8042F" w:rsidRDefault="00BA63AB" w:rsidP="00720BA7">
            <w:pPr>
              <w:jc w:val="right"/>
              <w:rPr>
                <w:color w:val="000000"/>
                <w:sz w:val="20"/>
                <w:szCs w:val="20"/>
                <w:lang w:val="en-CA"/>
              </w:rPr>
            </w:pPr>
            <w:r w:rsidRPr="00D8042F">
              <w:rPr>
                <w:sz w:val="20"/>
                <w:szCs w:val="20"/>
                <w:lang w:val="en-CA"/>
              </w:rPr>
              <w:t>2 259,70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C4600FA" w14:textId="77777777" w:rsidR="00BA63AB" w:rsidRPr="00D8042F" w:rsidRDefault="00BA63AB" w:rsidP="00720BA7">
            <w:pPr>
              <w:jc w:val="right"/>
              <w:rPr>
                <w:sz w:val="20"/>
                <w:szCs w:val="20"/>
                <w:lang w:val="en-CA"/>
              </w:rPr>
            </w:pPr>
            <w:r w:rsidRPr="00D8042F">
              <w:rPr>
                <w:sz w:val="20"/>
                <w:szCs w:val="20"/>
                <w:lang w:val="en-CA"/>
              </w:rPr>
              <w:t>11 581 816</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64A039F4" w14:textId="77777777" w:rsidR="00BA63AB" w:rsidRPr="00D8042F" w:rsidRDefault="00BA63AB" w:rsidP="00720BA7">
            <w:pPr>
              <w:jc w:val="right"/>
              <w:rPr>
                <w:color w:val="000000"/>
                <w:sz w:val="20"/>
                <w:szCs w:val="20"/>
                <w:lang w:val="en-CA"/>
              </w:rPr>
            </w:pPr>
            <w:r w:rsidRPr="00D8042F">
              <w:rPr>
                <w:color w:val="000000"/>
                <w:sz w:val="20"/>
                <w:szCs w:val="20"/>
                <w:lang w:val="en-CA"/>
              </w:rPr>
              <w:t>4 500 000</w:t>
            </w:r>
          </w:p>
        </w:tc>
      </w:tr>
      <w:tr w:rsidR="00BA63AB" w:rsidRPr="00D8042F" w14:paraId="1D95433E" w14:textId="77777777" w:rsidTr="00720BA7">
        <w:trPr>
          <w:trHeight w:val="41"/>
        </w:trPr>
        <w:tc>
          <w:tcPr>
            <w:tcW w:w="431" w:type="pct"/>
            <w:tcBorders>
              <w:top w:val="nil"/>
              <w:left w:val="single" w:sz="4" w:space="0" w:color="auto"/>
              <w:bottom w:val="single" w:sz="4" w:space="0" w:color="auto"/>
              <w:right w:val="single" w:sz="4" w:space="0" w:color="auto"/>
            </w:tcBorders>
            <w:shd w:val="clear" w:color="auto" w:fill="auto"/>
            <w:hideMark/>
          </w:tcPr>
          <w:p w14:paraId="290051B2" w14:textId="77777777" w:rsidR="00BA63AB" w:rsidRPr="00D8042F" w:rsidRDefault="00BA63AB" w:rsidP="00720BA7">
            <w:pPr>
              <w:jc w:val="center"/>
              <w:rPr>
                <w:color w:val="000000"/>
                <w:sz w:val="20"/>
                <w:szCs w:val="20"/>
                <w:lang w:val="en-CA"/>
              </w:rPr>
            </w:pPr>
            <w:r w:rsidRPr="00D8042F">
              <w:rPr>
                <w:color w:val="000000"/>
                <w:sz w:val="20"/>
                <w:szCs w:val="20"/>
                <w:lang w:val="en-CA"/>
              </w:rPr>
              <w:t>2022</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0C4AE99E"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0F0FE9B" w14:textId="77777777" w:rsidR="00BA63AB" w:rsidRPr="00D8042F" w:rsidRDefault="00BA63AB" w:rsidP="00720BA7">
            <w:pPr>
              <w:jc w:val="right"/>
              <w:rPr>
                <w:color w:val="000000"/>
                <w:sz w:val="20"/>
                <w:szCs w:val="20"/>
                <w:lang w:val="en-CA"/>
              </w:rPr>
            </w:pPr>
            <w:r w:rsidRPr="00D8042F">
              <w:rPr>
                <w:color w:val="000000"/>
                <w:sz w:val="20"/>
                <w:szCs w:val="20"/>
                <w:lang w:val="en-CA"/>
              </w:rPr>
              <w:t>1 609,90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28646098"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DDA6A5B"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2F2EF54F"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7859FC8" w14:textId="77777777" w:rsidR="00BA63AB" w:rsidRPr="00D8042F" w:rsidRDefault="00BA63AB" w:rsidP="00720BA7">
            <w:pPr>
              <w:jc w:val="right"/>
              <w:rPr>
                <w:color w:val="000000"/>
                <w:sz w:val="20"/>
                <w:szCs w:val="20"/>
                <w:lang w:val="en-CA"/>
              </w:rPr>
            </w:pPr>
            <w:r w:rsidRPr="00D8042F">
              <w:rPr>
                <w:sz w:val="20"/>
                <w:szCs w:val="20"/>
                <w:lang w:val="en-CA"/>
              </w:rPr>
              <w:t>2 259,70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C4F8B75"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2A5CC24"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r>
      <w:tr w:rsidR="00BA63AB" w:rsidRPr="00D8042F" w14:paraId="0407BD85" w14:textId="77777777" w:rsidTr="00720BA7">
        <w:trPr>
          <w:trHeight w:val="41"/>
        </w:trPr>
        <w:tc>
          <w:tcPr>
            <w:tcW w:w="431" w:type="pct"/>
            <w:tcBorders>
              <w:top w:val="nil"/>
              <w:left w:val="single" w:sz="4" w:space="0" w:color="auto"/>
              <w:bottom w:val="single" w:sz="4" w:space="0" w:color="auto"/>
              <w:right w:val="single" w:sz="4" w:space="0" w:color="auto"/>
            </w:tcBorders>
            <w:shd w:val="clear" w:color="auto" w:fill="auto"/>
            <w:hideMark/>
          </w:tcPr>
          <w:p w14:paraId="024163EA" w14:textId="77777777" w:rsidR="00BA63AB" w:rsidRPr="00D8042F" w:rsidRDefault="00BA63AB" w:rsidP="00720BA7">
            <w:pPr>
              <w:jc w:val="center"/>
              <w:rPr>
                <w:color w:val="000000"/>
                <w:sz w:val="20"/>
                <w:szCs w:val="20"/>
                <w:lang w:val="en-CA"/>
              </w:rPr>
            </w:pPr>
            <w:r w:rsidRPr="00D8042F">
              <w:rPr>
                <w:color w:val="000000"/>
                <w:sz w:val="20"/>
                <w:szCs w:val="20"/>
                <w:lang w:val="en-CA"/>
              </w:rPr>
              <w:t>2023</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21A2B8F0"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7A9D9A1D" w14:textId="77777777" w:rsidR="00BA63AB" w:rsidRPr="00D8042F" w:rsidRDefault="00BA63AB" w:rsidP="00720BA7">
            <w:pPr>
              <w:jc w:val="right"/>
              <w:rPr>
                <w:color w:val="000000"/>
                <w:sz w:val="20"/>
                <w:szCs w:val="20"/>
                <w:lang w:val="en-CA"/>
              </w:rPr>
            </w:pPr>
            <w:r w:rsidRPr="00D8042F">
              <w:rPr>
                <w:color w:val="000000"/>
                <w:sz w:val="20"/>
                <w:szCs w:val="20"/>
                <w:lang w:val="en-CA"/>
              </w:rPr>
              <w:t>1 369,62</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0B2E53F5"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0B579694" w14:textId="77777777" w:rsidR="00BA63AB" w:rsidRPr="00D8042F" w:rsidRDefault="00BA63AB" w:rsidP="00720BA7">
            <w:pPr>
              <w:jc w:val="right"/>
              <w:rPr>
                <w:color w:val="000000"/>
                <w:sz w:val="20"/>
                <w:szCs w:val="20"/>
                <w:lang w:val="en-CA"/>
              </w:rPr>
            </w:pPr>
            <w:r w:rsidRPr="00D8042F">
              <w:rPr>
                <w:color w:val="000000"/>
                <w:sz w:val="20"/>
                <w:szCs w:val="20"/>
                <w:lang w:val="en-CA"/>
              </w:rPr>
              <w:t>8 000 000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3A386490"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076B604" w14:textId="77777777" w:rsidR="00BA63AB" w:rsidRPr="00D8042F" w:rsidRDefault="00BA63AB" w:rsidP="00720BA7">
            <w:pPr>
              <w:jc w:val="right"/>
              <w:rPr>
                <w:color w:val="000000"/>
                <w:sz w:val="20"/>
                <w:szCs w:val="20"/>
                <w:lang w:val="en-CA"/>
              </w:rPr>
            </w:pPr>
            <w:r w:rsidRPr="00D8042F">
              <w:rPr>
                <w:sz w:val="20"/>
                <w:szCs w:val="20"/>
                <w:lang w:val="en-CA"/>
              </w:rPr>
              <w:t>1 614,10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053178CB"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55F3C635" w14:textId="77777777" w:rsidR="00BA63AB" w:rsidRPr="00D8042F" w:rsidRDefault="00BA63AB" w:rsidP="00720BA7">
            <w:pPr>
              <w:jc w:val="right"/>
              <w:rPr>
                <w:color w:val="000000"/>
                <w:sz w:val="20"/>
                <w:szCs w:val="20"/>
                <w:lang w:val="en-CA"/>
              </w:rPr>
            </w:pPr>
            <w:r w:rsidRPr="00D8042F">
              <w:rPr>
                <w:color w:val="000000"/>
                <w:sz w:val="20"/>
                <w:szCs w:val="20"/>
                <w:lang w:val="en-CA"/>
              </w:rPr>
              <w:t>7 000 000</w:t>
            </w:r>
          </w:p>
        </w:tc>
      </w:tr>
      <w:tr w:rsidR="00BA63AB" w:rsidRPr="00D8042F" w14:paraId="76365869" w14:textId="77777777" w:rsidTr="00720BA7">
        <w:trPr>
          <w:trHeight w:val="107"/>
        </w:trPr>
        <w:tc>
          <w:tcPr>
            <w:tcW w:w="431" w:type="pct"/>
            <w:tcBorders>
              <w:top w:val="nil"/>
              <w:left w:val="single" w:sz="4" w:space="0" w:color="auto"/>
              <w:bottom w:val="single" w:sz="4" w:space="0" w:color="auto"/>
              <w:right w:val="single" w:sz="4" w:space="0" w:color="auto"/>
            </w:tcBorders>
            <w:shd w:val="clear" w:color="auto" w:fill="auto"/>
            <w:hideMark/>
          </w:tcPr>
          <w:p w14:paraId="37FE37C3" w14:textId="77777777" w:rsidR="00BA63AB" w:rsidRPr="00D8042F" w:rsidRDefault="00BA63AB" w:rsidP="00720BA7">
            <w:pPr>
              <w:jc w:val="center"/>
              <w:rPr>
                <w:color w:val="000000"/>
                <w:sz w:val="20"/>
                <w:szCs w:val="20"/>
                <w:lang w:val="en-CA"/>
              </w:rPr>
            </w:pPr>
            <w:r w:rsidRPr="00D8042F">
              <w:rPr>
                <w:color w:val="000000"/>
                <w:sz w:val="20"/>
                <w:szCs w:val="20"/>
                <w:lang w:val="en-CA"/>
              </w:rPr>
              <w:t>2024</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2EAE0045"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644D1508" w14:textId="77777777" w:rsidR="00BA63AB" w:rsidRPr="00D8042F" w:rsidRDefault="00BA63AB" w:rsidP="00720BA7">
            <w:pPr>
              <w:jc w:val="right"/>
              <w:rPr>
                <w:color w:val="000000"/>
                <w:sz w:val="20"/>
                <w:szCs w:val="20"/>
                <w:lang w:val="en-CA"/>
              </w:rPr>
            </w:pPr>
            <w:r w:rsidRPr="00D8042F">
              <w:rPr>
                <w:color w:val="000000"/>
                <w:sz w:val="20"/>
                <w:szCs w:val="20"/>
                <w:lang w:val="en-CA"/>
              </w:rPr>
              <w:t>1 369,62</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7C2CB60F"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5A515BB4"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7E37E4C6"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1507EB5" w14:textId="77777777" w:rsidR="00BA63AB" w:rsidRPr="00D8042F" w:rsidRDefault="00BA63AB" w:rsidP="00720BA7">
            <w:pPr>
              <w:jc w:val="right"/>
              <w:rPr>
                <w:color w:val="000000"/>
                <w:sz w:val="20"/>
                <w:szCs w:val="20"/>
                <w:lang w:val="en-CA"/>
              </w:rPr>
            </w:pPr>
            <w:r w:rsidRPr="00D8042F">
              <w:rPr>
                <w:sz w:val="20"/>
                <w:szCs w:val="20"/>
                <w:lang w:val="en-CA"/>
              </w:rPr>
              <w:t>1 614,10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4819CC7B"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0C665A6" w14:textId="77777777" w:rsidR="00BA63AB" w:rsidRPr="00D8042F" w:rsidRDefault="00BA63AB" w:rsidP="00720BA7">
            <w:pPr>
              <w:jc w:val="right"/>
              <w:rPr>
                <w:color w:val="000000"/>
                <w:sz w:val="20"/>
                <w:szCs w:val="20"/>
                <w:lang w:val="en-CA"/>
              </w:rPr>
            </w:pPr>
            <w:r w:rsidRPr="00D8042F">
              <w:rPr>
                <w:color w:val="000000"/>
                <w:sz w:val="20"/>
                <w:szCs w:val="20"/>
                <w:lang w:val="en-CA"/>
              </w:rPr>
              <w:t>0</w:t>
            </w:r>
          </w:p>
        </w:tc>
      </w:tr>
      <w:tr w:rsidR="00BA63AB" w:rsidRPr="00D8042F" w14:paraId="18866AA0" w14:textId="77777777" w:rsidTr="00720BA7">
        <w:trPr>
          <w:trHeight w:val="71"/>
        </w:trPr>
        <w:tc>
          <w:tcPr>
            <w:tcW w:w="431" w:type="pct"/>
            <w:tcBorders>
              <w:top w:val="nil"/>
              <w:left w:val="single" w:sz="4" w:space="0" w:color="auto"/>
              <w:bottom w:val="single" w:sz="4" w:space="0" w:color="auto"/>
              <w:right w:val="single" w:sz="4" w:space="0" w:color="auto"/>
            </w:tcBorders>
            <w:shd w:val="clear" w:color="auto" w:fill="auto"/>
            <w:hideMark/>
          </w:tcPr>
          <w:p w14:paraId="1DEA9C72" w14:textId="77777777" w:rsidR="00BA63AB" w:rsidRPr="00D8042F" w:rsidRDefault="00BA63AB" w:rsidP="00720BA7">
            <w:pPr>
              <w:jc w:val="center"/>
              <w:rPr>
                <w:color w:val="000000"/>
                <w:sz w:val="20"/>
                <w:szCs w:val="20"/>
                <w:lang w:val="en-CA"/>
              </w:rPr>
            </w:pPr>
            <w:r w:rsidRPr="00D8042F">
              <w:rPr>
                <w:color w:val="000000"/>
                <w:sz w:val="20"/>
                <w:szCs w:val="20"/>
                <w:lang w:val="en-CA"/>
              </w:rPr>
              <w:t>2025</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4C809542"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7BEAE8A1" w14:textId="77777777" w:rsidR="00BA63AB" w:rsidRPr="00D8042F" w:rsidRDefault="00BA63AB" w:rsidP="00720BA7">
            <w:pPr>
              <w:jc w:val="right"/>
              <w:rPr>
                <w:color w:val="000000"/>
                <w:sz w:val="20"/>
                <w:szCs w:val="20"/>
                <w:lang w:val="en-CA"/>
              </w:rPr>
            </w:pPr>
            <w:r w:rsidRPr="00D8042F">
              <w:rPr>
                <w:color w:val="000000"/>
                <w:sz w:val="20"/>
                <w:szCs w:val="20"/>
                <w:lang w:val="en-CA"/>
              </w:rPr>
              <w:t>780,91</w:t>
            </w:r>
          </w:p>
        </w:tc>
        <w:tc>
          <w:tcPr>
            <w:tcW w:w="571" w:type="pct"/>
            <w:tcBorders>
              <w:top w:val="nil"/>
              <w:left w:val="nil"/>
              <w:bottom w:val="single" w:sz="4" w:space="0" w:color="auto"/>
              <w:right w:val="nil"/>
            </w:tcBorders>
            <w:shd w:val="clear" w:color="auto" w:fill="auto"/>
            <w:tcMar>
              <w:left w:w="0" w:type="dxa"/>
              <w:right w:w="115" w:type="dxa"/>
            </w:tcMar>
            <w:hideMark/>
          </w:tcPr>
          <w:p w14:paraId="7DEB58A7"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single" w:sz="4" w:space="0" w:color="auto"/>
              <w:bottom w:val="single" w:sz="4" w:space="0" w:color="auto"/>
              <w:right w:val="single" w:sz="4" w:space="0" w:color="auto"/>
            </w:tcBorders>
            <w:shd w:val="clear" w:color="auto" w:fill="auto"/>
            <w:noWrap/>
            <w:tcMar>
              <w:left w:w="0" w:type="dxa"/>
              <w:right w:w="115" w:type="dxa"/>
            </w:tcMar>
            <w:hideMark/>
          </w:tcPr>
          <w:p w14:paraId="48B4FBB9" w14:textId="77777777" w:rsidR="00BA63AB" w:rsidRPr="00D8042F" w:rsidRDefault="00BA63AB" w:rsidP="00720BA7">
            <w:pPr>
              <w:jc w:val="right"/>
              <w:rPr>
                <w:color w:val="000000"/>
                <w:sz w:val="20"/>
                <w:szCs w:val="20"/>
                <w:lang w:val="en-CA"/>
              </w:rPr>
            </w:pPr>
            <w:r w:rsidRPr="00D8042F">
              <w:rPr>
                <w:color w:val="000000"/>
                <w:sz w:val="20"/>
                <w:szCs w:val="20"/>
                <w:lang w:val="en-CA"/>
              </w:rPr>
              <w:t>7 559 464</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229C830"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77F1CD6C" w14:textId="77777777" w:rsidR="00BA63AB" w:rsidRPr="00D8042F" w:rsidRDefault="00BA63AB" w:rsidP="00720BA7">
            <w:pPr>
              <w:jc w:val="right"/>
              <w:rPr>
                <w:color w:val="000000"/>
                <w:sz w:val="20"/>
                <w:szCs w:val="20"/>
                <w:lang w:val="en-CA"/>
              </w:rPr>
            </w:pPr>
            <w:r w:rsidRPr="00D8042F">
              <w:rPr>
                <w:sz w:val="20"/>
                <w:szCs w:val="20"/>
                <w:lang w:val="en-CA"/>
              </w:rPr>
              <w:t>1 232,60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1262AF55"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6EED1689" w14:textId="77777777" w:rsidR="00BA63AB" w:rsidRPr="00D8042F" w:rsidRDefault="00BA63AB" w:rsidP="00720BA7">
            <w:pPr>
              <w:jc w:val="right"/>
              <w:rPr>
                <w:color w:val="000000"/>
                <w:sz w:val="20"/>
                <w:szCs w:val="20"/>
                <w:lang w:val="en-CA"/>
              </w:rPr>
            </w:pPr>
            <w:r w:rsidRPr="00D8042F">
              <w:rPr>
                <w:color w:val="000000"/>
                <w:sz w:val="20"/>
                <w:szCs w:val="20"/>
                <w:lang w:val="en-CA"/>
              </w:rPr>
              <w:t>8 717 105</w:t>
            </w:r>
          </w:p>
        </w:tc>
      </w:tr>
      <w:tr w:rsidR="00BA63AB" w:rsidRPr="00D8042F" w14:paraId="0657E733" w14:textId="77777777" w:rsidTr="00720BA7">
        <w:trPr>
          <w:trHeight w:val="41"/>
        </w:trPr>
        <w:tc>
          <w:tcPr>
            <w:tcW w:w="431" w:type="pct"/>
            <w:tcBorders>
              <w:top w:val="nil"/>
              <w:left w:val="single" w:sz="4" w:space="0" w:color="auto"/>
              <w:bottom w:val="single" w:sz="4" w:space="0" w:color="auto"/>
              <w:right w:val="single" w:sz="4" w:space="0" w:color="auto"/>
            </w:tcBorders>
            <w:shd w:val="clear" w:color="auto" w:fill="auto"/>
            <w:hideMark/>
          </w:tcPr>
          <w:p w14:paraId="77B5427B" w14:textId="77777777" w:rsidR="00BA63AB" w:rsidRPr="00D8042F" w:rsidRDefault="00BA63AB" w:rsidP="00720BA7">
            <w:pPr>
              <w:jc w:val="center"/>
              <w:rPr>
                <w:color w:val="000000"/>
                <w:sz w:val="20"/>
                <w:szCs w:val="20"/>
                <w:lang w:val="en-CA"/>
              </w:rPr>
            </w:pPr>
            <w:r w:rsidRPr="00D8042F">
              <w:rPr>
                <w:color w:val="000000"/>
                <w:sz w:val="20"/>
                <w:szCs w:val="20"/>
                <w:lang w:val="en-CA"/>
              </w:rPr>
              <w:t>2026</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7FC45806"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2A71DB63" w14:textId="77777777" w:rsidR="00BA63AB" w:rsidRPr="00D8042F" w:rsidRDefault="00BA63AB" w:rsidP="00720BA7">
            <w:pPr>
              <w:jc w:val="right"/>
              <w:rPr>
                <w:color w:val="000000"/>
                <w:sz w:val="20"/>
                <w:szCs w:val="20"/>
                <w:lang w:val="en-CA"/>
              </w:rPr>
            </w:pPr>
            <w:r w:rsidRPr="00D8042F">
              <w:rPr>
                <w:color w:val="000000"/>
                <w:sz w:val="20"/>
                <w:szCs w:val="20"/>
                <w:lang w:val="en-CA"/>
              </w:rPr>
              <w:t>780,91</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CFA2C85"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548AD610" w14:textId="77777777" w:rsidR="00BA63AB" w:rsidRPr="00D8042F" w:rsidRDefault="00BA63AB" w:rsidP="00720BA7">
            <w:pPr>
              <w:jc w:val="right"/>
              <w:rPr>
                <w:color w:val="000000"/>
                <w:sz w:val="20"/>
                <w:szCs w:val="20"/>
                <w:lang w:val="en-CA"/>
              </w:rPr>
            </w:pPr>
            <w:r w:rsidRPr="00D8042F">
              <w:rPr>
                <w:color w:val="000000"/>
                <w:sz w:val="20"/>
                <w:szCs w:val="20"/>
                <w:lang w:val="en-CA"/>
              </w:rPr>
              <w:t>8 134 246</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D430571" w14:textId="77777777" w:rsidR="00BA63AB" w:rsidRPr="00D8042F" w:rsidRDefault="00BA63AB" w:rsidP="00720BA7">
            <w:pPr>
              <w:jc w:val="right"/>
              <w:rPr>
                <w:color w:val="000000"/>
                <w:sz w:val="20"/>
                <w:szCs w:val="20"/>
                <w:lang w:val="en-CA"/>
              </w:rPr>
            </w:pPr>
            <w:r w:rsidRPr="00D8042F">
              <w:rPr>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3F34B3E4" w14:textId="77777777" w:rsidR="00BA63AB" w:rsidRPr="00D8042F" w:rsidRDefault="00BA63AB" w:rsidP="00720BA7">
            <w:pPr>
              <w:jc w:val="right"/>
              <w:rPr>
                <w:color w:val="000000"/>
                <w:sz w:val="20"/>
                <w:szCs w:val="20"/>
                <w:lang w:val="en-CA"/>
              </w:rPr>
            </w:pPr>
            <w:r w:rsidRPr="00D8042F">
              <w:rPr>
                <w:sz w:val="20"/>
                <w:szCs w:val="20"/>
                <w:lang w:val="en-CA"/>
              </w:rPr>
              <w:t>1 232,60</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63E604C6" w14:textId="77777777" w:rsidR="00BA63AB" w:rsidRPr="00D8042F" w:rsidRDefault="00BA63AB" w:rsidP="00720BA7">
            <w:pPr>
              <w:jc w:val="right"/>
              <w:rPr>
                <w:color w:val="000000"/>
                <w:sz w:val="20"/>
                <w:szCs w:val="20"/>
                <w:lang w:val="en-CA"/>
              </w:rPr>
            </w:pPr>
            <w:r w:rsidRPr="00D8042F">
              <w:rPr>
                <w:color w:val="000000"/>
                <w:sz w:val="20"/>
                <w:szCs w:val="20"/>
                <w:lang w:val="en-CA"/>
              </w:rPr>
              <w:t>*</w:t>
            </w:r>
          </w:p>
        </w:tc>
        <w:tc>
          <w:tcPr>
            <w:tcW w:w="571" w:type="pct"/>
            <w:tcBorders>
              <w:top w:val="nil"/>
              <w:left w:val="nil"/>
              <w:bottom w:val="single" w:sz="4" w:space="0" w:color="auto"/>
              <w:right w:val="single" w:sz="4" w:space="0" w:color="auto"/>
            </w:tcBorders>
            <w:shd w:val="clear" w:color="auto" w:fill="auto"/>
            <w:noWrap/>
            <w:tcMar>
              <w:left w:w="0" w:type="dxa"/>
              <w:right w:w="115" w:type="dxa"/>
            </w:tcMar>
            <w:hideMark/>
          </w:tcPr>
          <w:p w14:paraId="0A51FCB2" w14:textId="77777777" w:rsidR="00BA63AB" w:rsidRPr="00D8042F" w:rsidRDefault="00BA63AB" w:rsidP="00720BA7">
            <w:pPr>
              <w:jc w:val="right"/>
              <w:rPr>
                <w:color w:val="000000"/>
                <w:sz w:val="20"/>
                <w:szCs w:val="20"/>
                <w:lang w:val="en-CA"/>
              </w:rPr>
            </w:pPr>
            <w:r w:rsidRPr="00D8042F">
              <w:rPr>
                <w:color w:val="000000"/>
                <w:sz w:val="20"/>
                <w:szCs w:val="20"/>
                <w:lang w:val="en-CA"/>
              </w:rPr>
              <w:t>8 613 995</w:t>
            </w:r>
          </w:p>
        </w:tc>
      </w:tr>
      <w:tr w:rsidR="00BA63AB" w:rsidRPr="00D8042F" w14:paraId="13ACE3A4" w14:textId="77777777" w:rsidTr="00720BA7">
        <w:trPr>
          <w:trHeight w:val="41"/>
        </w:trPr>
        <w:tc>
          <w:tcPr>
            <w:tcW w:w="431" w:type="pct"/>
            <w:tcBorders>
              <w:top w:val="nil"/>
              <w:left w:val="single" w:sz="4" w:space="0" w:color="auto"/>
              <w:bottom w:val="single" w:sz="4" w:space="0" w:color="auto"/>
              <w:right w:val="single" w:sz="4" w:space="0" w:color="auto"/>
            </w:tcBorders>
            <w:shd w:val="clear" w:color="auto" w:fill="auto"/>
            <w:noWrap/>
            <w:hideMark/>
          </w:tcPr>
          <w:p w14:paraId="754D3B48" w14:textId="77777777" w:rsidR="00BA63AB" w:rsidRPr="00D8042F" w:rsidRDefault="00BA63AB" w:rsidP="00720BA7">
            <w:pPr>
              <w:jc w:val="center"/>
              <w:rPr>
                <w:b/>
                <w:bCs/>
                <w:color w:val="000000"/>
                <w:sz w:val="20"/>
                <w:szCs w:val="20"/>
                <w:lang w:val="en-CA"/>
              </w:rPr>
            </w:pPr>
            <w:r w:rsidRPr="00D8042F">
              <w:rPr>
                <w:b/>
                <w:bCs/>
                <w:color w:val="000000"/>
                <w:sz w:val="20"/>
                <w:szCs w:val="20"/>
                <w:lang w:val="en-CA"/>
              </w:rPr>
              <w:t>Total</w:t>
            </w:r>
          </w:p>
        </w:tc>
        <w:tc>
          <w:tcPr>
            <w:tcW w:w="571" w:type="pct"/>
            <w:tcBorders>
              <w:top w:val="nil"/>
              <w:left w:val="nil"/>
              <w:bottom w:val="single" w:sz="4" w:space="0" w:color="auto"/>
              <w:right w:val="nil"/>
            </w:tcBorders>
            <w:shd w:val="clear" w:color="auto" w:fill="auto"/>
            <w:tcMar>
              <w:left w:w="0" w:type="dxa"/>
              <w:right w:w="115" w:type="dxa"/>
            </w:tcMar>
            <w:hideMark/>
          </w:tcPr>
          <w:p w14:paraId="2EE83C5B" w14:textId="77777777" w:rsidR="00BA63AB" w:rsidRPr="00D8042F" w:rsidRDefault="00BA63AB" w:rsidP="00720BA7">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1E604AFF" w14:textId="77777777" w:rsidR="00BA63AB" w:rsidRPr="00D8042F" w:rsidRDefault="00BA63AB" w:rsidP="00720BA7">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6F29ED9A" w14:textId="77777777" w:rsidR="00BA63AB" w:rsidRPr="00D8042F" w:rsidRDefault="00BA63AB" w:rsidP="00720BA7">
            <w:pPr>
              <w:jc w:val="right"/>
              <w:rPr>
                <w:b/>
                <w:bCs/>
                <w:color w:val="000000"/>
                <w:sz w:val="20"/>
                <w:szCs w:val="20"/>
                <w:lang w:val="en-CA"/>
              </w:rPr>
            </w:pPr>
            <w:r w:rsidRPr="00D8042F">
              <w:rPr>
                <w:b/>
                <w:bCs/>
                <w:color w:val="000000"/>
                <w:sz w:val="20"/>
                <w:szCs w:val="20"/>
                <w:lang w:val="en-CA"/>
              </w:rPr>
              <w:t>89 144 797</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368D2C66" w14:textId="77777777" w:rsidR="00BA63AB" w:rsidRPr="00D8042F" w:rsidRDefault="00BA63AB" w:rsidP="00720BA7">
            <w:pPr>
              <w:jc w:val="right"/>
              <w:rPr>
                <w:b/>
                <w:bCs/>
                <w:color w:val="000000"/>
                <w:sz w:val="20"/>
                <w:szCs w:val="20"/>
                <w:lang w:val="en-CA"/>
              </w:rPr>
            </w:pPr>
            <w:r w:rsidRPr="00D8042F">
              <w:rPr>
                <w:b/>
                <w:bCs/>
                <w:color w:val="000000"/>
                <w:sz w:val="20"/>
                <w:szCs w:val="20"/>
                <w:lang w:val="en-CA"/>
              </w:rPr>
              <w:t>68 158 241</w:t>
            </w:r>
          </w:p>
        </w:tc>
        <w:tc>
          <w:tcPr>
            <w:tcW w:w="571" w:type="pct"/>
            <w:tcBorders>
              <w:top w:val="nil"/>
              <w:left w:val="nil"/>
              <w:bottom w:val="single" w:sz="4" w:space="0" w:color="auto"/>
              <w:right w:val="single" w:sz="4" w:space="0" w:color="auto"/>
            </w:tcBorders>
            <w:shd w:val="clear" w:color="auto" w:fill="auto"/>
            <w:tcMar>
              <w:left w:w="0" w:type="dxa"/>
              <w:right w:w="115" w:type="dxa"/>
            </w:tcMar>
          </w:tcPr>
          <w:p w14:paraId="60ED1DD8" w14:textId="77777777" w:rsidR="00BA63AB" w:rsidRPr="00D8042F" w:rsidRDefault="00BA63AB" w:rsidP="00720BA7">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039ECAAE" w14:textId="77777777" w:rsidR="00BA63AB" w:rsidRPr="00D8042F" w:rsidRDefault="00BA63AB" w:rsidP="00720BA7">
            <w:pPr>
              <w:jc w:val="right"/>
              <w:rPr>
                <w:b/>
                <w:bCs/>
                <w:color w:val="000000"/>
                <w:sz w:val="20"/>
                <w:szCs w:val="20"/>
                <w:lang w:val="en-CA"/>
              </w:rPr>
            </w:pP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7DD21534" w14:textId="77777777" w:rsidR="00BA63AB" w:rsidRPr="00D8042F" w:rsidRDefault="00BA63AB" w:rsidP="00720BA7">
            <w:pPr>
              <w:jc w:val="right"/>
              <w:rPr>
                <w:b/>
                <w:bCs/>
                <w:color w:val="000000"/>
                <w:sz w:val="20"/>
                <w:szCs w:val="20"/>
                <w:lang w:val="en-CA"/>
              </w:rPr>
            </w:pPr>
            <w:r w:rsidRPr="00D8042F">
              <w:rPr>
                <w:b/>
                <w:bCs/>
                <w:color w:val="000000"/>
                <w:sz w:val="20"/>
                <w:szCs w:val="20"/>
                <w:lang w:val="en-CA"/>
              </w:rPr>
              <w:t>89 144 797</w:t>
            </w:r>
          </w:p>
        </w:tc>
        <w:tc>
          <w:tcPr>
            <w:tcW w:w="571" w:type="pct"/>
            <w:tcBorders>
              <w:top w:val="nil"/>
              <w:left w:val="nil"/>
              <w:bottom w:val="single" w:sz="4" w:space="0" w:color="auto"/>
              <w:right w:val="single" w:sz="4" w:space="0" w:color="auto"/>
            </w:tcBorders>
            <w:shd w:val="clear" w:color="auto" w:fill="auto"/>
            <w:tcMar>
              <w:left w:w="0" w:type="dxa"/>
              <w:right w:w="115" w:type="dxa"/>
            </w:tcMar>
            <w:hideMark/>
          </w:tcPr>
          <w:p w14:paraId="7F845B3B" w14:textId="77777777" w:rsidR="00BA63AB" w:rsidRPr="00D8042F" w:rsidRDefault="00BA63AB" w:rsidP="00720BA7">
            <w:pPr>
              <w:jc w:val="right"/>
              <w:rPr>
                <w:b/>
                <w:bCs/>
                <w:color w:val="000000"/>
                <w:sz w:val="20"/>
                <w:szCs w:val="20"/>
                <w:lang w:val="en-CA"/>
              </w:rPr>
            </w:pPr>
            <w:r w:rsidRPr="00D8042F">
              <w:rPr>
                <w:b/>
                <w:bCs/>
                <w:color w:val="000000"/>
                <w:sz w:val="20"/>
                <w:szCs w:val="20"/>
                <w:lang w:val="en-CA"/>
              </w:rPr>
              <w:t>60 394 081</w:t>
            </w:r>
          </w:p>
        </w:tc>
      </w:tr>
    </w:tbl>
    <w:p w14:paraId="6AA5D222" w14:textId="77777777" w:rsidR="00BA63AB" w:rsidRPr="00960C08" w:rsidRDefault="00BA63AB" w:rsidP="00BA63AB">
      <w:pPr>
        <w:rPr>
          <w:b/>
          <w:sz w:val="19"/>
          <w:szCs w:val="19"/>
          <w:lang w:val="fr-CA"/>
        </w:rPr>
      </w:pPr>
      <w:r w:rsidRPr="00D8042F">
        <w:rPr>
          <w:sz w:val="19"/>
          <w:szCs w:val="19"/>
          <w:lang w:val="fr-CA"/>
        </w:rPr>
        <w:t xml:space="preserve">* Non déterminé au moment de l’approbation de la phase II. </w:t>
      </w:r>
    </w:p>
    <w:p w14:paraId="767B4E18" w14:textId="77777777" w:rsidR="00BA63AB" w:rsidRPr="00960C08" w:rsidRDefault="00BA63AB" w:rsidP="00BA63AB">
      <w:pPr>
        <w:rPr>
          <w:b/>
          <w:lang w:val="fr-CA"/>
        </w:rPr>
      </w:pPr>
    </w:p>
    <w:p w14:paraId="736FF690" w14:textId="77777777" w:rsidR="00BA63AB" w:rsidRPr="00D8042F" w:rsidRDefault="00BA63AB" w:rsidP="00BA63AB">
      <w:pPr>
        <w:pStyle w:val="Heading1"/>
        <w:rPr>
          <w:lang w:val="fr-CA"/>
        </w:rPr>
      </w:pPr>
      <w:r w:rsidRPr="00D8042F">
        <w:rPr>
          <w:lang w:val="fr-CA"/>
        </w:rPr>
        <w:t>Pour les secteurs de la mousse XPS, de la mousse PU et des solvants, ainsi que le secteur de l’entretien des appareils de réfrigération et le programme national de facilitation, seul le niveau de financement a été ajusté, comme le montre le tableau 5 ci</w:t>
      </w:r>
      <w:r>
        <w:rPr>
          <w:lang w:val="fr-CA"/>
        </w:rPr>
        <w:noBreakHyphen/>
      </w:r>
      <w:r w:rsidRPr="00D8042F">
        <w:rPr>
          <w:lang w:val="fr-CA"/>
        </w:rPr>
        <w:t xml:space="preserve">après : </w:t>
      </w:r>
    </w:p>
    <w:p w14:paraId="2952D84B" w14:textId="77777777" w:rsidR="00BA63AB" w:rsidRPr="00D8042F" w:rsidRDefault="00BA63AB" w:rsidP="00BA63AB">
      <w:pPr>
        <w:rPr>
          <w:b/>
          <w:sz w:val="21"/>
          <w:szCs w:val="21"/>
          <w:lang w:val="fr-CA"/>
        </w:rPr>
      </w:pPr>
      <w:r w:rsidRPr="00D8042F">
        <w:rPr>
          <w:b/>
          <w:sz w:val="21"/>
          <w:szCs w:val="21"/>
          <w:lang w:val="fr-CA"/>
        </w:rPr>
        <w:t xml:space="preserve">Tableau 5. Tranches de financement ajustées pour les secteurs de la mousse XPS, de la mousse PU, des solvants et de l’entretien des appareils de réfrigération ($US) </w:t>
      </w:r>
    </w:p>
    <w:tbl>
      <w:tblPr>
        <w:tblW w:w="5000" w:type="pct"/>
        <w:tblLayout w:type="fixed"/>
        <w:tblLook w:val="04A0" w:firstRow="1" w:lastRow="0" w:firstColumn="1" w:lastColumn="0" w:noHBand="0" w:noVBand="1"/>
      </w:tblPr>
      <w:tblGrid>
        <w:gridCol w:w="623"/>
        <w:gridCol w:w="1090"/>
        <w:gridCol w:w="1092"/>
        <w:gridCol w:w="1092"/>
        <w:gridCol w:w="1092"/>
        <w:gridCol w:w="1092"/>
        <w:gridCol w:w="1092"/>
        <w:gridCol w:w="1092"/>
        <w:gridCol w:w="1085"/>
      </w:tblGrid>
      <w:tr w:rsidR="00BA63AB" w:rsidRPr="00E3303D" w14:paraId="4A9943B9" w14:textId="77777777" w:rsidTr="00720BA7">
        <w:trPr>
          <w:tblHeader/>
        </w:trPr>
        <w:tc>
          <w:tcPr>
            <w:tcW w:w="333" w:type="pct"/>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hideMark/>
          </w:tcPr>
          <w:p w14:paraId="6A4070F6" w14:textId="77777777" w:rsidR="00BA63AB" w:rsidRPr="00D8042F" w:rsidRDefault="00BA63AB" w:rsidP="00720BA7">
            <w:pPr>
              <w:jc w:val="left"/>
              <w:rPr>
                <w:b/>
                <w:bCs/>
                <w:color w:val="000000"/>
                <w:sz w:val="19"/>
                <w:szCs w:val="19"/>
                <w:lang w:val="en-CA"/>
              </w:rPr>
            </w:pPr>
            <w:r w:rsidRPr="00D8042F">
              <w:rPr>
                <w:b/>
                <w:bCs/>
                <w:color w:val="000000"/>
                <w:sz w:val="19"/>
                <w:szCs w:val="19"/>
                <w:lang w:val="en-CA"/>
              </w:rPr>
              <w:t>Année</w:t>
            </w:r>
          </w:p>
        </w:tc>
        <w:tc>
          <w:tcPr>
            <w:tcW w:w="1167" w:type="pct"/>
            <w:gridSpan w:val="2"/>
            <w:tcBorders>
              <w:top w:val="single" w:sz="4" w:space="0" w:color="auto"/>
              <w:left w:val="nil"/>
              <w:bottom w:val="single" w:sz="4" w:space="0" w:color="auto"/>
              <w:right w:val="single" w:sz="4" w:space="0" w:color="auto"/>
            </w:tcBorders>
            <w:shd w:val="clear" w:color="auto" w:fill="auto"/>
            <w:vAlign w:val="center"/>
            <w:hideMark/>
          </w:tcPr>
          <w:p w14:paraId="453A84A7" w14:textId="77777777" w:rsidR="00BA63AB" w:rsidRPr="00D8042F" w:rsidRDefault="00BA63AB" w:rsidP="00720BA7">
            <w:pPr>
              <w:jc w:val="center"/>
              <w:rPr>
                <w:b/>
                <w:bCs/>
                <w:color w:val="000000"/>
                <w:sz w:val="19"/>
                <w:szCs w:val="19"/>
                <w:lang w:val="en-CA"/>
              </w:rPr>
            </w:pPr>
            <w:r w:rsidRPr="00D8042F">
              <w:rPr>
                <w:b/>
                <w:bCs/>
                <w:color w:val="000000"/>
                <w:sz w:val="19"/>
                <w:szCs w:val="19"/>
                <w:lang w:val="en-CA"/>
              </w:rPr>
              <w:t>Mousse XPS</w:t>
            </w:r>
          </w:p>
        </w:tc>
        <w:tc>
          <w:tcPr>
            <w:tcW w:w="1168" w:type="pct"/>
            <w:gridSpan w:val="2"/>
            <w:tcBorders>
              <w:top w:val="single" w:sz="4" w:space="0" w:color="auto"/>
              <w:left w:val="nil"/>
              <w:bottom w:val="single" w:sz="4" w:space="0" w:color="auto"/>
              <w:right w:val="single" w:sz="4" w:space="0" w:color="auto"/>
            </w:tcBorders>
            <w:shd w:val="clear" w:color="auto" w:fill="auto"/>
            <w:vAlign w:val="center"/>
            <w:hideMark/>
          </w:tcPr>
          <w:p w14:paraId="70FFDB19" w14:textId="77777777" w:rsidR="00BA63AB" w:rsidRPr="00D8042F" w:rsidRDefault="00BA63AB" w:rsidP="00720BA7">
            <w:pPr>
              <w:jc w:val="center"/>
              <w:rPr>
                <w:b/>
                <w:bCs/>
                <w:color w:val="000000"/>
                <w:sz w:val="19"/>
                <w:szCs w:val="19"/>
                <w:lang w:val="en-CA"/>
              </w:rPr>
            </w:pPr>
            <w:r w:rsidRPr="00D8042F">
              <w:rPr>
                <w:b/>
                <w:bCs/>
                <w:color w:val="000000"/>
                <w:sz w:val="19"/>
                <w:szCs w:val="19"/>
                <w:lang w:val="en-CA"/>
              </w:rPr>
              <w:t>Mousse PU</w:t>
            </w:r>
          </w:p>
        </w:tc>
        <w:tc>
          <w:tcPr>
            <w:tcW w:w="1168" w:type="pct"/>
            <w:gridSpan w:val="2"/>
            <w:tcBorders>
              <w:top w:val="single" w:sz="4" w:space="0" w:color="auto"/>
              <w:left w:val="nil"/>
              <w:bottom w:val="single" w:sz="4" w:space="0" w:color="auto"/>
              <w:right w:val="single" w:sz="4" w:space="0" w:color="auto"/>
            </w:tcBorders>
            <w:shd w:val="clear" w:color="auto" w:fill="auto"/>
            <w:vAlign w:val="center"/>
            <w:hideMark/>
          </w:tcPr>
          <w:p w14:paraId="22854585" w14:textId="77777777" w:rsidR="00BA63AB" w:rsidRPr="00D8042F" w:rsidRDefault="00BA63AB" w:rsidP="00720BA7">
            <w:pPr>
              <w:jc w:val="center"/>
              <w:rPr>
                <w:b/>
                <w:bCs/>
                <w:color w:val="000000"/>
                <w:sz w:val="19"/>
                <w:szCs w:val="19"/>
                <w:lang w:val="en-CA"/>
              </w:rPr>
            </w:pPr>
            <w:r w:rsidRPr="00D8042F">
              <w:rPr>
                <w:b/>
                <w:bCs/>
                <w:color w:val="000000"/>
                <w:sz w:val="19"/>
                <w:szCs w:val="19"/>
                <w:lang w:val="en-CA"/>
              </w:rPr>
              <w:t>Solvants</w:t>
            </w:r>
          </w:p>
        </w:tc>
        <w:tc>
          <w:tcPr>
            <w:tcW w:w="1165" w:type="pct"/>
            <w:gridSpan w:val="2"/>
            <w:tcBorders>
              <w:top w:val="single" w:sz="4" w:space="0" w:color="auto"/>
              <w:left w:val="nil"/>
              <w:bottom w:val="single" w:sz="4" w:space="0" w:color="auto"/>
              <w:right w:val="single" w:sz="4" w:space="0" w:color="auto"/>
            </w:tcBorders>
            <w:shd w:val="clear" w:color="auto" w:fill="auto"/>
            <w:vAlign w:val="center"/>
            <w:hideMark/>
          </w:tcPr>
          <w:p w14:paraId="6DC8C778" w14:textId="77777777" w:rsidR="00BA63AB" w:rsidRPr="00D8042F" w:rsidRDefault="00BA63AB" w:rsidP="00720BA7">
            <w:pPr>
              <w:jc w:val="center"/>
              <w:rPr>
                <w:b/>
                <w:bCs/>
                <w:color w:val="000000"/>
                <w:sz w:val="19"/>
                <w:szCs w:val="19"/>
                <w:lang w:val="fr-CA"/>
              </w:rPr>
            </w:pPr>
            <w:r w:rsidRPr="00D8042F">
              <w:rPr>
                <w:b/>
                <w:bCs/>
                <w:color w:val="000000"/>
                <w:sz w:val="19"/>
                <w:szCs w:val="19"/>
                <w:lang w:val="fr-CA"/>
              </w:rPr>
              <w:t>Entretien des appareils de réfrigération</w:t>
            </w:r>
          </w:p>
        </w:tc>
      </w:tr>
      <w:tr w:rsidR="00BA63AB" w:rsidRPr="00D8042F" w14:paraId="6772AA0D" w14:textId="77777777" w:rsidTr="00720BA7">
        <w:trPr>
          <w:tblHeader/>
        </w:trPr>
        <w:tc>
          <w:tcPr>
            <w:tcW w:w="333" w:type="pct"/>
            <w:vMerge/>
            <w:tcBorders>
              <w:top w:val="single" w:sz="4" w:space="0" w:color="auto"/>
              <w:left w:val="single" w:sz="4" w:space="0" w:color="auto"/>
              <w:bottom w:val="single" w:sz="4" w:space="0" w:color="auto"/>
              <w:right w:val="single" w:sz="4" w:space="0" w:color="auto"/>
            </w:tcBorders>
            <w:tcMar>
              <w:left w:w="43" w:type="dxa"/>
              <w:right w:w="0" w:type="dxa"/>
            </w:tcMar>
            <w:hideMark/>
          </w:tcPr>
          <w:p w14:paraId="74C7F73B" w14:textId="77777777" w:rsidR="00BA63AB" w:rsidRPr="00D8042F" w:rsidRDefault="00BA63AB" w:rsidP="00720BA7">
            <w:pPr>
              <w:jc w:val="left"/>
              <w:rPr>
                <w:b/>
                <w:bCs/>
                <w:color w:val="000000"/>
                <w:sz w:val="19"/>
                <w:szCs w:val="19"/>
                <w:lang w:val="fr-CA"/>
              </w:rPr>
            </w:pPr>
          </w:p>
        </w:tc>
        <w:tc>
          <w:tcPr>
            <w:tcW w:w="583" w:type="pct"/>
            <w:tcBorders>
              <w:top w:val="nil"/>
              <w:left w:val="nil"/>
              <w:bottom w:val="single" w:sz="4" w:space="0" w:color="auto"/>
              <w:right w:val="single" w:sz="4" w:space="0" w:color="auto"/>
            </w:tcBorders>
            <w:shd w:val="clear" w:color="auto" w:fill="auto"/>
            <w:vAlign w:val="center"/>
            <w:hideMark/>
          </w:tcPr>
          <w:p w14:paraId="36648945" w14:textId="77777777" w:rsidR="00BA63AB" w:rsidRPr="00D8042F" w:rsidRDefault="00BA63AB" w:rsidP="00720BA7">
            <w:pPr>
              <w:jc w:val="center"/>
              <w:rPr>
                <w:b/>
                <w:bCs/>
                <w:color w:val="000000"/>
                <w:sz w:val="19"/>
                <w:szCs w:val="19"/>
                <w:lang w:val="en-CA"/>
              </w:rPr>
            </w:pPr>
            <w:r w:rsidRPr="00D8042F">
              <w:rPr>
                <w:b/>
                <w:sz w:val="20"/>
                <w:szCs w:val="20"/>
                <w:lang w:val="en-CA"/>
              </w:rPr>
              <w:t xml:space="preserve">Initial </w:t>
            </w:r>
          </w:p>
        </w:tc>
        <w:tc>
          <w:tcPr>
            <w:tcW w:w="584" w:type="pct"/>
            <w:tcBorders>
              <w:top w:val="nil"/>
              <w:left w:val="nil"/>
              <w:bottom w:val="single" w:sz="4" w:space="0" w:color="auto"/>
              <w:right w:val="single" w:sz="4" w:space="0" w:color="auto"/>
            </w:tcBorders>
            <w:shd w:val="clear" w:color="auto" w:fill="auto"/>
            <w:vAlign w:val="center"/>
            <w:hideMark/>
          </w:tcPr>
          <w:p w14:paraId="49F2F934" w14:textId="77777777" w:rsidR="00BA63AB" w:rsidRPr="00D8042F" w:rsidRDefault="00BA63AB" w:rsidP="00720BA7">
            <w:pPr>
              <w:jc w:val="center"/>
              <w:rPr>
                <w:b/>
                <w:bCs/>
                <w:color w:val="000000"/>
                <w:sz w:val="19"/>
                <w:szCs w:val="19"/>
                <w:lang w:val="en-CA"/>
              </w:rPr>
            </w:pPr>
            <w:r w:rsidRPr="00D8042F">
              <w:rPr>
                <w:b/>
                <w:sz w:val="20"/>
                <w:szCs w:val="20"/>
                <w:lang w:val="en-CA"/>
              </w:rPr>
              <w:t>Révisé</w:t>
            </w:r>
          </w:p>
        </w:tc>
        <w:tc>
          <w:tcPr>
            <w:tcW w:w="584" w:type="pct"/>
            <w:tcBorders>
              <w:top w:val="nil"/>
              <w:left w:val="nil"/>
              <w:bottom w:val="single" w:sz="4" w:space="0" w:color="auto"/>
              <w:right w:val="single" w:sz="4" w:space="0" w:color="auto"/>
            </w:tcBorders>
            <w:shd w:val="clear" w:color="auto" w:fill="auto"/>
            <w:vAlign w:val="center"/>
            <w:hideMark/>
          </w:tcPr>
          <w:p w14:paraId="094F1144" w14:textId="77777777" w:rsidR="00BA63AB" w:rsidRPr="00D8042F" w:rsidRDefault="00BA63AB" w:rsidP="00720BA7">
            <w:pPr>
              <w:jc w:val="center"/>
              <w:rPr>
                <w:b/>
                <w:bCs/>
                <w:color w:val="000000"/>
                <w:sz w:val="19"/>
                <w:szCs w:val="19"/>
                <w:lang w:val="en-CA"/>
              </w:rPr>
            </w:pPr>
            <w:r w:rsidRPr="00D8042F">
              <w:rPr>
                <w:b/>
                <w:sz w:val="20"/>
                <w:szCs w:val="20"/>
                <w:lang w:val="en-CA"/>
              </w:rPr>
              <w:t xml:space="preserve">Initial </w:t>
            </w:r>
          </w:p>
        </w:tc>
        <w:tc>
          <w:tcPr>
            <w:tcW w:w="584" w:type="pct"/>
            <w:tcBorders>
              <w:top w:val="nil"/>
              <w:left w:val="nil"/>
              <w:bottom w:val="single" w:sz="4" w:space="0" w:color="auto"/>
              <w:right w:val="single" w:sz="4" w:space="0" w:color="auto"/>
            </w:tcBorders>
            <w:shd w:val="clear" w:color="auto" w:fill="auto"/>
            <w:vAlign w:val="center"/>
            <w:hideMark/>
          </w:tcPr>
          <w:p w14:paraId="39561B38" w14:textId="77777777" w:rsidR="00BA63AB" w:rsidRPr="00D8042F" w:rsidRDefault="00BA63AB" w:rsidP="00720BA7">
            <w:pPr>
              <w:jc w:val="center"/>
              <w:rPr>
                <w:b/>
                <w:bCs/>
                <w:color w:val="000000"/>
                <w:sz w:val="19"/>
                <w:szCs w:val="19"/>
                <w:lang w:val="en-CA"/>
              </w:rPr>
            </w:pPr>
            <w:r w:rsidRPr="00D8042F">
              <w:rPr>
                <w:b/>
                <w:sz w:val="20"/>
                <w:szCs w:val="20"/>
                <w:lang w:val="en-CA"/>
              </w:rPr>
              <w:t>Révisé</w:t>
            </w:r>
          </w:p>
        </w:tc>
        <w:tc>
          <w:tcPr>
            <w:tcW w:w="584" w:type="pct"/>
            <w:tcBorders>
              <w:top w:val="nil"/>
              <w:left w:val="nil"/>
              <w:bottom w:val="single" w:sz="4" w:space="0" w:color="auto"/>
              <w:right w:val="single" w:sz="4" w:space="0" w:color="auto"/>
            </w:tcBorders>
            <w:shd w:val="clear" w:color="auto" w:fill="auto"/>
            <w:vAlign w:val="center"/>
            <w:hideMark/>
          </w:tcPr>
          <w:p w14:paraId="375F120E" w14:textId="77777777" w:rsidR="00BA63AB" w:rsidRPr="00D8042F" w:rsidRDefault="00BA63AB" w:rsidP="00720BA7">
            <w:pPr>
              <w:jc w:val="center"/>
              <w:rPr>
                <w:b/>
                <w:bCs/>
                <w:color w:val="000000"/>
                <w:sz w:val="19"/>
                <w:szCs w:val="19"/>
                <w:lang w:val="en-CA"/>
              </w:rPr>
            </w:pPr>
            <w:r w:rsidRPr="00D8042F">
              <w:rPr>
                <w:b/>
                <w:sz w:val="20"/>
                <w:szCs w:val="20"/>
                <w:lang w:val="en-CA"/>
              </w:rPr>
              <w:t xml:space="preserve">Initial </w:t>
            </w:r>
          </w:p>
        </w:tc>
        <w:tc>
          <w:tcPr>
            <w:tcW w:w="584" w:type="pct"/>
            <w:tcBorders>
              <w:top w:val="nil"/>
              <w:left w:val="nil"/>
              <w:bottom w:val="single" w:sz="4" w:space="0" w:color="auto"/>
              <w:right w:val="single" w:sz="4" w:space="0" w:color="auto"/>
            </w:tcBorders>
            <w:shd w:val="clear" w:color="auto" w:fill="auto"/>
            <w:vAlign w:val="center"/>
            <w:hideMark/>
          </w:tcPr>
          <w:p w14:paraId="55446D57" w14:textId="77777777" w:rsidR="00BA63AB" w:rsidRPr="00D8042F" w:rsidRDefault="00BA63AB" w:rsidP="00720BA7">
            <w:pPr>
              <w:jc w:val="center"/>
              <w:rPr>
                <w:b/>
                <w:bCs/>
                <w:color w:val="000000"/>
                <w:sz w:val="19"/>
                <w:szCs w:val="19"/>
                <w:lang w:val="en-CA"/>
              </w:rPr>
            </w:pPr>
            <w:r w:rsidRPr="00D8042F">
              <w:rPr>
                <w:b/>
                <w:sz w:val="20"/>
                <w:szCs w:val="20"/>
                <w:lang w:val="en-CA"/>
              </w:rPr>
              <w:t>Révisé</w:t>
            </w:r>
          </w:p>
        </w:tc>
        <w:tc>
          <w:tcPr>
            <w:tcW w:w="584" w:type="pct"/>
            <w:tcBorders>
              <w:top w:val="nil"/>
              <w:left w:val="nil"/>
              <w:bottom w:val="single" w:sz="4" w:space="0" w:color="auto"/>
              <w:right w:val="single" w:sz="4" w:space="0" w:color="auto"/>
            </w:tcBorders>
            <w:shd w:val="clear" w:color="auto" w:fill="auto"/>
            <w:vAlign w:val="center"/>
            <w:hideMark/>
          </w:tcPr>
          <w:p w14:paraId="3D237CAB" w14:textId="77777777" w:rsidR="00BA63AB" w:rsidRPr="00D8042F" w:rsidRDefault="00BA63AB" w:rsidP="00720BA7">
            <w:pPr>
              <w:jc w:val="center"/>
              <w:rPr>
                <w:b/>
                <w:bCs/>
                <w:color w:val="000000"/>
                <w:sz w:val="19"/>
                <w:szCs w:val="19"/>
                <w:lang w:val="en-CA"/>
              </w:rPr>
            </w:pPr>
            <w:r w:rsidRPr="00D8042F">
              <w:rPr>
                <w:b/>
                <w:sz w:val="20"/>
                <w:szCs w:val="20"/>
                <w:lang w:val="en-CA"/>
              </w:rPr>
              <w:t xml:space="preserve">Initial </w:t>
            </w:r>
          </w:p>
        </w:tc>
        <w:tc>
          <w:tcPr>
            <w:tcW w:w="581" w:type="pct"/>
            <w:tcBorders>
              <w:top w:val="nil"/>
              <w:left w:val="nil"/>
              <w:bottom w:val="single" w:sz="4" w:space="0" w:color="auto"/>
              <w:right w:val="single" w:sz="4" w:space="0" w:color="auto"/>
            </w:tcBorders>
            <w:shd w:val="clear" w:color="auto" w:fill="auto"/>
            <w:vAlign w:val="center"/>
            <w:hideMark/>
          </w:tcPr>
          <w:p w14:paraId="157292B3" w14:textId="77777777" w:rsidR="00BA63AB" w:rsidRPr="00D8042F" w:rsidRDefault="00BA63AB" w:rsidP="00720BA7">
            <w:pPr>
              <w:jc w:val="center"/>
              <w:rPr>
                <w:b/>
                <w:bCs/>
                <w:color w:val="000000"/>
                <w:sz w:val="19"/>
                <w:szCs w:val="19"/>
                <w:lang w:val="en-CA"/>
              </w:rPr>
            </w:pPr>
            <w:r w:rsidRPr="00D8042F">
              <w:rPr>
                <w:b/>
                <w:sz w:val="20"/>
                <w:szCs w:val="20"/>
                <w:lang w:val="en-CA"/>
              </w:rPr>
              <w:t>Révisé</w:t>
            </w:r>
          </w:p>
        </w:tc>
      </w:tr>
      <w:tr w:rsidR="00BA63AB" w:rsidRPr="00D8042F" w14:paraId="44C891EA"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34F2AA70" w14:textId="77777777" w:rsidR="00BA63AB" w:rsidRPr="00D8042F" w:rsidRDefault="00BA63AB" w:rsidP="00720BA7">
            <w:pPr>
              <w:jc w:val="center"/>
              <w:rPr>
                <w:color w:val="000000"/>
                <w:sz w:val="19"/>
                <w:szCs w:val="19"/>
                <w:lang w:val="en-CA"/>
              </w:rPr>
            </w:pPr>
            <w:r w:rsidRPr="00D8042F">
              <w:rPr>
                <w:color w:val="000000"/>
                <w:sz w:val="19"/>
                <w:szCs w:val="19"/>
                <w:lang w:val="en-CA"/>
              </w:rPr>
              <w:t>2016</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5C814BE0" w14:textId="77777777" w:rsidR="00BA63AB" w:rsidRPr="00D8042F" w:rsidRDefault="00BA63AB" w:rsidP="00720BA7">
            <w:pPr>
              <w:jc w:val="right"/>
              <w:rPr>
                <w:color w:val="000000"/>
                <w:sz w:val="19"/>
                <w:szCs w:val="19"/>
                <w:lang w:val="en-CA"/>
              </w:rPr>
            </w:pPr>
            <w:r w:rsidRPr="00D8042F">
              <w:rPr>
                <w:color w:val="000000"/>
                <w:sz w:val="19"/>
                <w:szCs w:val="19"/>
                <w:lang w:val="en-CA"/>
              </w:rPr>
              <w:t>7 514 867</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6748AB43" w14:textId="77777777" w:rsidR="00BA63AB" w:rsidRPr="00D8042F" w:rsidRDefault="00BA63AB" w:rsidP="00720BA7">
            <w:pPr>
              <w:jc w:val="right"/>
              <w:rPr>
                <w:color w:val="000000"/>
                <w:sz w:val="19"/>
                <w:szCs w:val="19"/>
                <w:lang w:val="en-CA"/>
              </w:rPr>
            </w:pPr>
            <w:r w:rsidRPr="00D8042F">
              <w:rPr>
                <w:color w:val="000000"/>
                <w:sz w:val="19"/>
                <w:szCs w:val="19"/>
                <w:lang w:val="en-CA"/>
              </w:rPr>
              <w:t>7 514 867</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69DF0FD7" w14:textId="77777777" w:rsidR="00BA63AB" w:rsidRPr="00D8042F" w:rsidRDefault="00BA63AB" w:rsidP="00720BA7">
            <w:pPr>
              <w:jc w:val="right"/>
              <w:rPr>
                <w:color w:val="000000"/>
                <w:sz w:val="19"/>
                <w:szCs w:val="19"/>
                <w:lang w:val="en-CA"/>
              </w:rPr>
            </w:pPr>
            <w:r w:rsidRPr="00D8042F">
              <w:rPr>
                <w:color w:val="000000"/>
                <w:sz w:val="19"/>
                <w:szCs w:val="19"/>
                <w:lang w:val="en-CA"/>
              </w:rPr>
              <w:t>7 045 027</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2D6F9787" w14:textId="77777777" w:rsidR="00BA63AB" w:rsidRPr="00D8042F" w:rsidRDefault="00BA63AB" w:rsidP="00720BA7">
            <w:pPr>
              <w:jc w:val="right"/>
              <w:rPr>
                <w:color w:val="000000"/>
                <w:sz w:val="19"/>
                <w:szCs w:val="19"/>
                <w:lang w:val="en-CA"/>
              </w:rPr>
            </w:pPr>
            <w:r w:rsidRPr="00D8042F">
              <w:rPr>
                <w:color w:val="000000"/>
                <w:sz w:val="19"/>
                <w:szCs w:val="19"/>
                <w:lang w:val="en-CA"/>
              </w:rPr>
              <w:t>7 045 027</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D14E984" w14:textId="77777777" w:rsidR="00BA63AB" w:rsidRPr="00D8042F" w:rsidRDefault="00BA63AB" w:rsidP="00720BA7">
            <w:pPr>
              <w:jc w:val="right"/>
              <w:rPr>
                <w:color w:val="000000"/>
                <w:sz w:val="19"/>
                <w:szCs w:val="19"/>
                <w:lang w:val="en-CA"/>
              </w:rPr>
            </w:pPr>
            <w:r w:rsidRPr="00D8042F">
              <w:rPr>
                <w:color w:val="000000"/>
                <w:sz w:val="19"/>
                <w:szCs w:val="19"/>
                <w:lang w:val="en-CA"/>
              </w:rPr>
              <w:t>2 821 937</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164F2DC5" w14:textId="77777777" w:rsidR="00BA63AB" w:rsidRPr="00D8042F" w:rsidRDefault="00BA63AB" w:rsidP="00720BA7">
            <w:pPr>
              <w:jc w:val="right"/>
              <w:rPr>
                <w:color w:val="000000"/>
                <w:sz w:val="19"/>
                <w:szCs w:val="19"/>
                <w:lang w:val="en-CA"/>
              </w:rPr>
            </w:pPr>
            <w:r w:rsidRPr="00D8042F">
              <w:rPr>
                <w:color w:val="000000"/>
                <w:sz w:val="19"/>
                <w:szCs w:val="19"/>
                <w:lang w:val="en-CA"/>
              </w:rPr>
              <w:t>2 821 937</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69B969C" w14:textId="77777777" w:rsidR="00BA63AB" w:rsidRPr="00D8042F" w:rsidRDefault="00BA63AB" w:rsidP="00720BA7">
            <w:pPr>
              <w:jc w:val="right"/>
              <w:rPr>
                <w:color w:val="000000"/>
                <w:sz w:val="19"/>
                <w:szCs w:val="19"/>
                <w:lang w:val="en-CA"/>
              </w:rPr>
            </w:pPr>
            <w:r w:rsidRPr="00D8042F">
              <w:rPr>
                <w:color w:val="000000"/>
                <w:sz w:val="19"/>
                <w:szCs w:val="19"/>
                <w:lang w:val="en-CA"/>
              </w:rPr>
              <w:t>3 679 132</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49EDD9C7" w14:textId="77777777" w:rsidR="00BA63AB" w:rsidRPr="00D8042F" w:rsidRDefault="00BA63AB" w:rsidP="00720BA7">
            <w:pPr>
              <w:jc w:val="right"/>
              <w:rPr>
                <w:color w:val="000000"/>
                <w:sz w:val="19"/>
                <w:szCs w:val="19"/>
                <w:lang w:val="en-CA"/>
              </w:rPr>
            </w:pPr>
            <w:r w:rsidRPr="00D8042F">
              <w:rPr>
                <w:color w:val="000000"/>
                <w:sz w:val="19"/>
                <w:szCs w:val="19"/>
                <w:lang w:val="en-CA"/>
              </w:rPr>
              <w:t>3 679 132</w:t>
            </w:r>
          </w:p>
        </w:tc>
      </w:tr>
      <w:tr w:rsidR="00BA63AB" w:rsidRPr="00D8042F" w14:paraId="2C916929"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5D92AA0E" w14:textId="77777777" w:rsidR="00BA63AB" w:rsidRPr="00D8042F" w:rsidRDefault="00BA63AB" w:rsidP="00720BA7">
            <w:pPr>
              <w:jc w:val="center"/>
              <w:rPr>
                <w:color w:val="000000"/>
                <w:sz w:val="19"/>
                <w:szCs w:val="19"/>
                <w:lang w:val="en-CA"/>
              </w:rPr>
            </w:pPr>
            <w:r w:rsidRPr="00D8042F">
              <w:rPr>
                <w:color w:val="000000"/>
                <w:sz w:val="19"/>
                <w:szCs w:val="19"/>
                <w:lang w:val="en-CA"/>
              </w:rPr>
              <w:t>2017</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5E92B213" w14:textId="77777777" w:rsidR="00BA63AB" w:rsidRPr="00D8042F" w:rsidRDefault="00BA63AB" w:rsidP="00720BA7">
            <w:pPr>
              <w:jc w:val="right"/>
              <w:rPr>
                <w:color w:val="000000"/>
                <w:sz w:val="19"/>
                <w:szCs w:val="19"/>
                <w:lang w:val="en-CA"/>
              </w:rPr>
            </w:pPr>
            <w:r w:rsidRPr="00D8042F">
              <w:rPr>
                <w:color w:val="000000"/>
                <w:sz w:val="19"/>
                <w:szCs w:val="19"/>
                <w:lang w:val="en-CA"/>
              </w:rPr>
              <w:t>9 000 000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3CC67EAF" w14:textId="77777777" w:rsidR="00BA63AB" w:rsidRPr="00D8042F" w:rsidRDefault="00BA63AB" w:rsidP="00720BA7">
            <w:pPr>
              <w:jc w:val="right"/>
              <w:rPr>
                <w:color w:val="000000"/>
                <w:sz w:val="19"/>
                <w:szCs w:val="19"/>
                <w:lang w:val="en-CA"/>
              </w:rPr>
            </w:pPr>
            <w:r w:rsidRPr="00D8042F">
              <w:rPr>
                <w:color w:val="000000"/>
                <w:sz w:val="19"/>
                <w:szCs w:val="19"/>
                <w:lang w:val="en-CA"/>
              </w:rPr>
              <w:t>9 000 000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5F6DC1D" w14:textId="77777777" w:rsidR="00BA63AB" w:rsidRPr="00D8042F" w:rsidRDefault="00BA63AB" w:rsidP="00720BA7">
            <w:pPr>
              <w:jc w:val="right"/>
              <w:rPr>
                <w:sz w:val="19"/>
                <w:szCs w:val="19"/>
                <w:lang w:val="en-CA"/>
              </w:rPr>
            </w:pPr>
            <w:r w:rsidRPr="00D8042F">
              <w:rPr>
                <w:sz w:val="19"/>
                <w:szCs w:val="19"/>
                <w:lang w:val="en-CA"/>
              </w:rPr>
              <w:t>10 600 000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0A670487"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D25672A" w14:textId="77777777" w:rsidR="00BA63AB" w:rsidRPr="00D8042F" w:rsidRDefault="00BA63AB" w:rsidP="00720BA7">
            <w:pPr>
              <w:jc w:val="right"/>
              <w:rPr>
                <w:sz w:val="19"/>
                <w:szCs w:val="19"/>
                <w:lang w:val="en-CA"/>
              </w:rPr>
            </w:pPr>
            <w:r w:rsidRPr="00D8042F">
              <w:rPr>
                <w:sz w:val="19"/>
                <w:szCs w:val="19"/>
                <w:lang w:val="en-CA"/>
              </w:rPr>
              <w:t>3 777 190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0EF391F9" w14:textId="77777777" w:rsidR="00BA63AB" w:rsidRPr="00D8042F" w:rsidRDefault="00BA63AB" w:rsidP="00720BA7">
            <w:pPr>
              <w:jc w:val="right"/>
              <w:rPr>
                <w:color w:val="000000"/>
                <w:sz w:val="19"/>
                <w:szCs w:val="19"/>
                <w:lang w:val="en-CA"/>
              </w:rPr>
            </w:pPr>
            <w:r w:rsidRPr="00D8042F">
              <w:rPr>
                <w:color w:val="000000"/>
                <w:sz w:val="19"/>
                <w:szCs w:val="19"/>
                <w:lang w:val="en-CA"/>
              </w:rPr>
              <w:t>3 777 190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3133BD86" w14:textId="77777777" w:rsidR="00BA63AB" w:rsidRPr="00D8042F" w:rsidRDefault="00BA63AB" w:rsidP="00720BA7">
            <w:pPr>
              <w:jc w:val="right"/>
              <w:rPr>
                <w:color w:val="000000"/>
                <w:sz w:val="19"/>
                <w:szCs w:val="19"/>
                <w:lang w:val="en-CA"/>
              </w:rPr>
            </w:pPr>
            <w:r w:rsidRPr="00D8042F">
              <w:rPr>
                <w:color w:val="000000"/>
                <w:sz w:val="19"/>
                <w:szCs w:val="19"/>
                <w:lang w:val="en-CA"/>
              </w:rPr>
              <w:t>2 650 000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28FA7CC5" w14:textId="77777777" w:rsidR="00BA63AB" w:rsidRPr="00D8042F" w:rsidRDefault="00BA63AB" w:rsidP="00720BA7">
            <w:pPr>
              <w:jc w:val="right"/>
              <w:rPr>
                <w:color w:val="000000"/>
                <w:sz w:val="19"/>
                <w:szCs w:val="19"/>
                <w:lang w:val="en-CA"/>
              </w:rPr>
            </w:pPr>
            <w:r w:rsidRPr="00D8042F">
              <w:rPr>
                <w:color w:val="000000"/>
                <w:sz w:val="19"/>
                <w:szCs w:val="19"/>
                <w:lang w:val="en-CA"/>
              </w:rPr>
              <w:t>2 650 000</w:t>
            </w:r>
          </w:p>
        </w:tc>
      </w:tr>
      <w:tr w:rsidR="00BA63AB" w:rsidRPr="00D8042F" w14:paraId="2924027D"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617C0A55" w14:textId="77777777" w:rsidR="00BA63AB" w:rsidRPr="00D8042F" w:rsidRDefault="00BA63AB" w:rsidP="00720BA7">
            <w:pPr>
              <w:jc w:val="center"/>
              <w:rPr>
                <w:color w:val="000000"/>
                <w:sz w:val="19"/>
                <w:szCs w:val="19"/>
                <w:lang w:val="en-CA"/>
              </w:rPr>
            </w:pPr>
            <w:r w:rsidRPr="00D8042F">
              <w:rPr>
                <w:color w:val="000000"/>
                <w:sz w:val="19"/>
                <w:szCs w:val="19"/>
                <w:lang w:val="en-CA"/>
              </w:rPr>
              <w:t>2018</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6EA540CF" w14:textId="77777777" w:rsidR="00BA63AB" w:rsidRPr="00D8042F" w:rsidRDefault="00BA63AB" w:rsidP="00720BA7">
            <w:pPr>
              <w:jc w:val="right"/>
              <w:rPr>
                <w:color w:val="000000"/>
                <w:sz w:val="19"/>
                <w:szCs w:val="19"/>
                <w:lang w:val="en-CA"/>
              </w:rPr>
            </w:pPr>
            <w:r w:rsidRPr="00D8042F">
              <w:rPr>
                <w:color w:val="000000"/>
                <w:sz w:val="19"/>
                <w:szCs w:val="19"/>
                <w:lang w:val="en-CA"/>
              </w:rPr>
              <w:t>8 000 000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54B42E8C"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1F6A99B0" w14:textId="77777777" w:rsidR="00BA63AB" w:rsidRPr="00D8042F" w:rsidRDefault="00BA63AB" w:rsidP="00720BA7">
            <w:pPr>
              <w:jc w:val="right"/>
              <w:rPr>
                <w:sz w:val="19"/>
                <w:szCs w:val="19"/>
                <w:lang w:val="en-CA"/>
              </w:rPr>
            </w:pPr>
            <w:r w:rsidRPr="00D8042F">
              <w:rPr>
                <w:sz w:val="19"/>
                <w:szCs w:val="19"/>
                <w:lang w:val="en-CA"/>
              </w:rPr>
              <w:t>9 500 000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5796ACD5"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4A71548D" w14:textId="77777777" w:rsidR="00BA63AB" w:rsidRPr="00D8042F" w:rsidRDefault="00BA63AB" w:rsidP="00720BA7">
            <w:pPr>
              <w:jc w:val="right"/>
              <w:rPr>
                <w:sz w:val="19"/>
                <w:szCs w:val="19"/>
                <w:lang w:val="en-CA"/>
              </w:rPr>
            </w:pPr>
            <w:r w:rsidRPr="00D8042F">
              <w:rPr>
                <w:sz w:val="19"/>
                <w:szCs w:val="19"/>
                <w:lang w:val="en-CA"/>
              </w:rPr>
              <w:t>2 959 930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8C571A5"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49A5D1A2" w14:textId="77777777" w:rsidR="00BA63AB" w:rsidRPr="00D8042F" w:rsidRDefault="00BA63AB" w:rsidP="00720BA7">
            <w:pPr>
              <w:jc w:val="right"/>
              <w:rPr>
                <w:color w:val="000000"/>
                <w:sz w:val="19"/>
                <w:szCs w:val="19"/>
                <w:lang w:val="en-CA"/>
              </w:rPr>
            </w:pPr>
            <w:r w:rsidRPr="00D8042F">
              <w:rPr>
                <w:color w:val="000000"/>
                <w:sz w:val="19"/>
                <w:szCs w:val="19"/>
                <w:lang w:val="en-CA"/>
              </w:rPr>
              <w:t>3 650 000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79681614"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r>
      <w:tr w:rsidR="00BA63AB" w:rsidRPr="00D8042F" w14:paraId="37670D6B"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65804DC0" w14:textId="77777777" w:rsidR="00BA63AB" w:rsidRPr="00D8042F" w:rsidRDefault="00BA63AB" w:rsidP="00720BA7">
            <w:pPr>
              <w:jc w:val="center"/>
              <w:rPr>
                <w:color w:val="000000"/>
                <w:sz w:val="19"/>
                <w:szCs w:val="19"/>
                <w:lang w:val="en-CA"/>
              </w:rPr>
            </w:pPr>
            <w:r w:rsidRPr="00D8042F">
              <w:rPr>
                <w:color w:val="000000"/>
                <w:sz w:val="19"/>
                <w:szCs w:val="19"/>
                <w:lang w:val="en-CA"/>
              </w:rPr>
              <w:t>2019</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06339E83" w14:textId="77777777" w:rsidR="00BA63AB" w:rsidRPr="00D8042F" w:rsidRDefault="00BA63AB" w:rsidP="00720BA7">
            <w:pPr>
              <w:jc w:val="right"/>
              <w:rPr>
                <w:color w:val="000000"/>
                <w:sz w:val="19"/>
                <w:szCs w:val="19"/>
                <w:lang w:val="en-CA"/>
              </w:rPr>
            </w:pPr>
            <w:r w:rsidRPr="00D8042F">
              <w:rPr>
                <w:color w:val="000000"/>
                <w:sz w:val="19"/>
                <w:szCs w:val="19"/>
                <w:lang w:val="en-CA"/>
              </w:rPr>
              <w:t>9 600 000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0554C051"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1F6283CC" w14:textId="77777777" w:rsidR="00BA63AB" w:rsidRPr="00D8042F" w:rsidRDefault="00BA63AB" w:rsidP="00720BA7">
            <w:pPr>
              <w:jc w:val="right"/>
              <w:rPr>
                <w:sz w:val="19"/>
                <w:szCs w:val="19"/>
                <w:lang w:val="en-CA"/>
              </w:rPr>
            </w:pPr>
            <w:r w:rsidRPr="00D8042F">
              <w:rPr>
                <w:sz w:val="19"/>
                <w:szCs w:val="19"/>
                <w:lang w:val="en-CA"/>
              </w:rPr>
              <w:t>12 700 000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2166EE92"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04DB1921" w14:textId="77777777" w:rsidR="00BA63AB" w:rsidRPr="00D8042F" w:rsidRDefault="00BA63AB" w:rsidP="00720BA7">
            <w:pPr>
              <w:jc w:val="right"/>
              <w:rPr>
                <w:sz w:val="19"/>
                <w:szCs w:val="19"/>
                <w:lang w:val="en-CA"/>
              </w:rPr>
            </w:pPr>
            <w:r w:rsidRPr="00D8042F">
              <w:rPr>
                <w:sz w:val="19"/>
                <w:szCs w:val="19"/>
                <w:lang w:val="en-CA"/>
              </w:rPr>
              <w:t>3 229 030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645FC268"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48B1EB32" w14:textId="77777777" w:rsidR="00BA63AB" w:rsidRPr="00D8042F" w:rsidRDefault="00BA63AB" w:rsidP="00720BA7">
            <w:pPr>
              <w:jc w:val="right"/>
              <w:rPr>
                <w:color w:val="000000"/>
                <w:sz w:val="19"/>
                <w:szCs w:val="19"/>
                <w:lang w:val="en-CA"/>
              </w:rPr>
            </w:pPr>
            <w:r w:rsidRPr="00D8042F">
              <w:rPr>
                <w:color w:val="000000"/>
                <w:sz w:val="19"/>
                <w:szCs w:val="19"/>
                <w:lang w:val="en-CA"/>
              </w:rPr>
              <w:t>3 650 000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6C98A7B7" w14:textId="77777777" w:rsidR="00BA63AB" w:rsidRPr="00D8042F" w:rsidRDefault="00BA63AB" w:rsidP="00720BA7">
            <w:pPr>
              <w:jc w:val="right"/>
              <w:rPr>
                <w:color w:val="000000"/>
                <w:sz w:val="19"/>
                <w:szCs w:val="19"/>
                <w:lang w:val="en-CA"/>
              </w:rPr>
            </w:pPr>
            <w:r w:rsidRPr="00D8042F">
              <w:rPr>
                <w:color w:val="000000"/>
                <w:sz w:val="19"/>
                <w:szCs w:val="19"/>
                <w:lang w:val="en-CA"/>
              </w:rPr>
              <w:t>1 000 000</w:t>
            </w:r>
          </w:p>
        </w:tc>
      </w:tr>
      <w:tr w:rsidR="00BA63AB" w:rsidRPr="00D8042F" w14:paraId="678C15B9"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077A981E" w14:textId="77777777" w:rsidR="00BA63AB" w:rsidRPr="00D8042F" w:rsidRDefault="00BA63AB" w:rsidP="00720BA7">
            <w:pPr>
              <w:jc w:val="center"/>
              <w:rPr>
                <w:color w:val="000000"/>
                <w:sz w:val="19"/>
                <w:szCs w:val="19"/>
                <w:lang w:val="en-CA"/>
              </w:rPr>
            </w:pPr>
            <w:r w:rsidRPr="00D8042F">
              <w:rPr>
                <w:color w:val="000000"/>
                <w:sz w:val="19"/>
                <w:szCs w:val="19"/>
                <w:lang w:val="en-CA"/>
              </w:rPr>
              <w:t>2020</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052A6D00" w14:textId="77777777" w:rsidR="00BA63AB" w:rsidRPr="00D8042F" w:rsidRDefault="00BA63AB" w:rsidP="00720BA7">
            <w:pPr>
              <w:jc w:val="right"/>
              <w:rPr>
                <w:color w:val="000000"/>
                <w:sz w:val="19"/>
                <w:szCs w:val="19"/>
                <w:lang w:val="en-CA"/>
              </w:rPr>
            </w:pPr>
            <w:r w:rsidRPr="00D8042F">
              <w:rPr>
                <w:color w:val="000000"/>
                <w:sz w:val="19"/>
                <w:szCs w:val="19"/>
                <w:lang w:val="en-CA"/>
              </w:rPr>
              <w:t>9 600 000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47A45205" w14:textId="77777777" w:rsidR="00BA63AB" w:rsidRPr="00D8042F" w:rsidRDefault="00BA63AB" w:rsidP="00720BA7">
            <w:pPr>
              <w:jc w:val="right"/>
              <w:rPr>
                <w:color w:val="000000"/>
                <w:sz w:val="19"/>
                <w:szCs w:val="19"/>
                <w:lang w:val="en-CA"/>
              </w:rPr>
            </w:pPr>
            <w:r w:rsidRPr="00D8042F">
              <w:rPr>
                <w:color w:val="000000"/>
                <w:sz w:val="19"/>
                <w:szCs w:val="19"/>
                <w:lang w:val="en-CA"/>
              </w:rPr>
              <w:t>9 890 431</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05EB6C6D" w14:textId="77777777" w:rsidR="00BA63AB" w:rsidRPr="00D8042F" w:rsidRDefault="00BA63AB" w:rsidP="00720BA7">
            <w:pPr>
              <w:jc w:val="right"/>
              <w:rPr>
                <w:sz w:val="19"/>
                <w:szCs w:val="19"/>
                <w:lang w:val="en-CA"/>
              </w:rPr>
            </w:pPr>
            <w:r w:rsidRPr="00D8042F">
              <w:rPr>
                <w:sz w:val="19"/>
                <w:szCs w:val="19"/>
                <w:lang w:val="en-CA"/>
              </w:rPr>
              <w:t>12 700 000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33AB4693" w14:textId="77777777" w:rsidR="00BA63AB" w:rsidRPr="00D8042F" w:rsidRDefault="00BA63AB" w:rsidP="00720BA7">
            <w:pPr>
              <w:jc w:val="right"/>
              <w:rPr>
                <w:color w:val="000000"/>
                <w:sz w:val="19"/>
                <w:szCs w:val="19"/>
                <w:lang w:val="en-CA"/>
              </w:rPr>
            </w:pPr>
            <w:r w:rsidRPr="00D8042F">
              <w:rPr>
                <w:color w:val="000000"/>
                <w:sz w:val="19"/>
                <w:szCs w:val="19"/>
                <w:lang w:val="en-CA"/>
              </w:rPr>
              <w:t>2 067 012</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4CBF38FD" w14:textId="77777777" w:rsidR="00BA63AB" w:rsidRPr="00D8042F" w:rsidRDefault="00BA63AB" w:rsidP="00720BA7">
            <w:pPr>
              <w:jc w:val="right"/>
              <w:rPr>
                <w:sz w:val="19"/>
                <w:szCs w:val="19"/>
                <w:lang w:val="en-CA"/>
              </w:rPr>
            </w:pPr>
            <w:r w:rsidRPr="00D8042F">
              <w:rPr>
                <w:sz w:val="19"/>
                <w:szCs w:val="19"/>
                <w:lang w:val="en-CA"/>
              </w:rPr>
              <w:t>3 601 083</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5EFA159A" w14:textId="77777777" w:rsidR="00BA63AB" w:rsidRPr="00D8042F" w:rsidRDefault="00BA63AB" w:rsidP="00720BA7">
            <w:pPr>
              <w:jc w:val="right"/>
              <w:rPr>
                <w:color w:val="000000"/>
                <w:sz w:val="19"/>
                <w:szCs w:val="19"/>
                <w:lang w:val="en-CA"/>
              </w:rPr>
            </w:pPr>
            <w:r w:rsidRPr="00D8042F">
              <w:rPr>
                <w:color w:val="000000"/>
                <w:sz w:val="19"/>
                <w:szCs w:val="19"/>
                <w:lang w:val="en-CA"/>
              </w:rPr>
              <w:t>12 946 782</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3B1BB107" w14:textId="77777777" w:rsidR="00BA63AB" w:rsidRPr="00D8042F" w:rsidRDefault="00BA63AB" w:rsidP="00720BA7">
            <w:pPr>
              <w:jc w:val="right"/>
              <w:rPr>
                <w:color w:val="000000"/>
                <w:sz w:val="19"/>
                <w:szCs w:val="19"/>
                <w:lang w:val="en-CA"/>
              </w:rPr>
            </w:pPr>
            <w:r w:rsidRPr="00D8042F">
              <w:rPr>
                <w:color w:val="000000"/>
                <w:sz w:val="19"/>
                <w:szCs w:val="19"/>
                <w:lang w:val="en-CA"/>
              </w:rPr>
              <w:t>3 650 000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30632B97"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r>
      <w:tr w:rsidR="00BA63AB" w:rsidRPr="00D8042F" w14:paraId="338C5D85"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042A3A32" w14:textId="77777777" w:rsidR="00BA63AB" w:rsidRPr="00D8042F" w:rsidRDefault="00BA63AB" w:rsidP="00720BA7">
            <w:pPr>
              <w:jc w:val="center"/>
              <w:rPr>
                <w:color w:val="000000"/>
                <w:sz w:val="19"/>
                <w:szCs w:val="19"/>
                <w:lang w:val="en-CA"/>
              </w:rPr>
            </w:pPr>
            <w:r w:rsidRPr="00D8042F">
              <w:rPr>
                <w:color w:val="000000"/>
                <w:sz w:val="19"/>
                <w:szCs w:val="19"/>
                <w:lang w:val="en-CA"/>
              </w:rPr>
              <w:t>2021</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6307376D" w14:textId="77777777" w:rsidR="00BA63AB" w:rsidRPr="00D8042F" w:rsidRDefault="00BA63AB" w:rsidP="00720BA7">
            <w:pPr>
              <w:jc w:val="right"/>
              <w:rPr>
                <w:color w:val="000000"/>
                <w:sz w:val="19"/>
                <w:szCs w:val="19"/>
                <w:lang w:val="en-CA"/>
              </w:rPr>
            </w:pPr>
            <w:r w:rsidRPr="00D8042F">
              <w:rPr>
                <w:color w:val="000000"/>
                <w:sz w:val="19"/>
                <w:szCs w:val="19"/>
                <w:lang w:val="en-CA"/>
              </w:rPr>
              <w:t>15 000 000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6E63155" w14:textId="77777777" w:rsidR="00BA63AB" w:rsidRPr="00D8042F" w:rsidRDefault="00BA63AB" w:rsidP="00720BA7">
            <w:pPr>
              <w:jc w:val="right"/>
              <w:rPr>
                <w:color w:val="000000"/>
                <w:sz w:val="19"/>
                <w:szCs w:val="19"/>
                <w:lang w:val="en-CA"/>
              </w:rPr>
            </w:pPr>
            <w:r w:rsidRPr="00D8042F">
              <w:rPr>
                <w:color w:val="000000"/>
                <w:sz w:val="19"/>
                <w:szCs w:val="19"/>
                <w:lang w:val="en-CA"/>
              </w:rPr>
              <w:t>5 000 000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67FF5076" w14:textId="77777777" w:rsidR="00BA63AB" w:rsidRPr="00D8042F" w:rsidRDefault="00BA63AB" w:rsidP="00720BA7">
            <w:pPr>
              <w:jc w:val="right"/>
              <w:rPr>
                <w:sz w:val="19"/>
                <w:szCs w:val="19"/>
                <w:lang w:val="en-CA"/>
              </w:rPr>
            </w:pPr>
            <w:r w:rsidRPr="00D8042F">
              <w:rPr>
                <w:sz w:val="19"/>
                <w:szCs w:val="19"/>
                <w:lang w:val="en-CA"/>
              </w:rPr>
              <w:t>20 000 000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48BE9CC1" w14:textId="77777777" w:rsidR="00BA63AB" w:rsidRPr="00D8042F" w:rsidRDefault="00BA63AB" w:rsidP="00720BA7">
            <w:pPr>
              <w:jc w:val="right"/>
              <w:rPr>
                <w:color w:val="000000"/>
                <w:sz w:val="19"/>
                <w:szCs w:val="19"/>
                <w:lang w:val="en-CA"/>
              </w:rPr>
            </w:pPr>
            <w:r w:rsidRPr="00D8042F">
              <w:rPr>
                <w:color w:val="000000"/>
                <w:sz w:val="19"/>
                <w:szCs w:val="19"/>
                <w:lang w:val="en-CA"/>
              </w:rPr>
              <w:t>4 000 000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53906271" w14:textId="77777777" w:rsidR="00BA63AB" w:rsidRPr="00D8042F" w:rsidRDefault="00BA63AB" w:rsidP="00720BA7">
            <w:pPr>
              <w:jc w:val="right"/>
              <w:rPr>
                <w:sz w:val="19"/>
                <w:szCs w:val="19"/>
                <w:lang w:val="en-CA"/>
              </w:rPr>
            </w:pPr>
            <w:r w:rsidRPr="00D8042F">
              <w:rPr>
                <w:sz w:val="19"/>
                <w:szCs w:val="19"/>
                <w:lang w:val="en-CA"/>
              </w:rPr>
              <w:t>7 888 921</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651D6A15" w14:textId="77777777" w:rsidR="00BA63AB" w:rsidRPr="00D8042F" w:rsidRDefault="00BA63AB" w:rsidP="00720BA7">
            <w:pPr>
              <w:jc w:val="right"/>
              <w:rPr>
                <w:color w:val="000000"/>
                <w:sz w:val="19"/>
                <w:szCs w:val="19"/>
                <w:lang w:val="en-CA"/>
              </w:rPr>
            </w:pPr>
            <w:r w:rsidRPr="00D8042F">
              <w:rPr>
                <w:color w:val="000000"/>
                <w:sz w:val="19"/>
                <w:szCs w:val="19"/>
                <w:lang w:val="en-CA"/>
              </w:rPr>
              <w:t>2 500 000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347B8A16" w14:textId="77777777" w:rsidR="00BA63AB" w:rsidRPr="00D8042F" w:rsidRDefault="00BA63AB" w:rsidP="00720BA7">
            <w:pPr>
              <w:jc w:val="right"/>
              <w:rPr>
                <w:color w:val="000000"/>
                <w:sz w:val="19"/>
                <w:szCs w:val="19"/>
                <w:lang w:val="en-CA"/>
              </w:rPr>
            </w:pPr>
            <w:r w:rsidRPr="00D8042F">
              <w:rPr>
                <w:color w:val="000000"/>
                <w:sz w:val="19"/>
                <w:szCs w:val="19"/>
                <w:lang w:val="en-CA"/>
              </w:rPr>
              <w:t>3 010 868</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026D3B66" w14:textId="77777777" w:rsidR="00BA63AB" w:rsidRPr="00D8042F" w:rsidRDefault="00BA63AB" w:rsidP="00720BA7">
            <w:pPr>
              <w:jc w:val="right"/>
              <w:rPr>
                <w:color w:val="000000"/>
                <w:sz w:val="19"/>
                <w:szCs w:val="19"/>
                <w:lang w:val="en-CA"/>
              </w:rPr>
            </w:pPr>
            <w:r w:rsidRPr="00D8042F">
              <w:rPr>
                <w:color w:val="000000"/>
                <w:sz w:val="19"/>
                <w:szCs w:val="19"/>
                <w:lang w:val="en-CA"/>
              </w:rPr>
              <w:t>2 000 000</w:t>
            </w:r>
          </w:p>
        </w:tc>
      </w:tr>
      <w:tr w:rsidR="00BA63AB" w:rsidRPr="00D8042F" w14:paraId="70F5ED58"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2AEC8A44" w14:textId="77777777" w:rsidR="00BA63AB" w:rsidRPr="00D8042F" w:rsidRDefault="00BA63AB" w:rsidP="00720BA7">
            <w:pPr>
              <w:jc w:val="center"/>
              <w:rPr>
                <w:color w:val="000000"/>
                <w:sz w:val="19"/>
                <w:szCs w:val="19"/>
                <w:lang w:val="en-CA"/>
              </w:rPr>
            </w:pPr>
            <w:r w:rsidRPr="00D8042F">
              <w:rPr>
                <w:color w:val="000000"/>
                <w:sz w:val="19"/>
                <w:szCs w:val="19"/>
                <w:lang w:val="en-CA"/>
              </w:rPr>
              <w:t>2022</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4F81201A" w14:textId="77777777" w:rsidR="00BA63AB" w:rsidRPr="00D8042F" w:rsidRDefault="00BA63AB" w:rsidP="00720BA7">
            <w:pPr>
              <w:jc w:val="right"/>
              <w:rPr>
                <w:color w:val="000000"/>
                <w:sz w:val="19"/>
                <w:szCs w:val="19"/>
                <w:lang w:val="en-CA"/>
              </w:rPr>
            </w:pPr>
            <w:r w:rsidRPr="00D8042F">
              <w:rPr>
                <w:color w:val="000000"/>
                <w:sz w:val="19"/>
                <w:szCs w:val="19"/>
                <w:lang w:val="en-CA"/>
              </w:rPr>
              <w:t>11 400 000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7B977A3" w14:textId="77777777" w:rsidR="00BA63AB" w:rsidRPr="00D8042F" w:rsidRDefault="00BA63AB" w:rsidP="00720BA7">
            <w:pPr>
              <w:jc w:val="right"/>
              <w:rPr>
                <w:color w:val="000000"/>
                <w:sz w:val="19"/>
                <w:szCs w:val="19"/>
                <w:lang w:val="en-CA"/>
              </w:rPr>
            </w:pPr>
            <w:r w:rsidRPr="00D8042F">
              <w:rPr>
                <w:color w:val="000000"/>
                <w:sz w:val="19"/>
                <w:szCs w:val="19"/>
                <w:lang w:val="en-CA"/>
              </w:rPr>
              <w:t>2 000 000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112F7B2A" w14:textId="77777777" w:rsidR="00BA63AB" w:rsidRPr="00D8042F" w:rsidRDefault="00BA63AB" w:rsidP="00720BA7">
            <w:pPr>
              <w:jc w:val="right"/>
              <w:rPr>
                <w:color w:val="000000"/>
                <w:sz w:val="19"/>
                <w:szCs w:val="19"/>
                <w:lang w:val="en-CA"/>
              </w:rPr>
            </w:pPr>
            <w:r w:rsidRPr="00D8042F">
              <w:rPr>
                <w:color w:val="000000"/>
                <w:sz w:val="19"/>
                <w:szCs w:val="19"/>
                <w:lang w:val="en-CA"/>
              </w:rPr>
              <w:t>15 700 000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6594B0A7"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1449F1EE" w14:textId="77777777" w:rsidR="00BA63AB" w:rsidRPr="00D8042F" w:rsidRDefault="00BA63AB" w:rsidP="00720BA7">
            <w:pPr>
              <w:jc w:val="right"/>
              <w:rPr>
                <w:color w:val="000000"/>
                <w:sz w:val="19"/>
                <w:szCs w:val="19"/>
                <w:lang w:val="en-CA"/>
              </w:rPr>
            </w:pPr>
            <w:r w:rsidRPr="00D8042F">
              <w:rPr>
                <w:color w:val="000000"/>
                <w:sz w:val="19"/>
                <w:szCs w:val="19"/>
                <w:lang w:val="en-CA"/>
              </w:rPr>
              <w:t>7 128 589</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3D2E337" w14:textId="77777777" w:rsidR="00BA63AB" w:rsidRPr="00D8042F" w:rsidRDefault="00BA63AB" w:rsidP="00720BA7">
            <w:pPr>
              <w:jc w:val="right"/>
              <w:rPr>
                <w:color w:val="000000"/>
                <w:sz w:val="19"/>
                <w:szCs w:val="19"/>
                <w:lang w:val="en-CA"/>
              </w:rPr>
            </w:pPr>
            <w:r w:rsidRPr="00D8042F">
              <w:rPr>
                <w:color w:val="000000"/>
                <w:sz w:val="19"/>
                <w:szCs w:val="19"/>
                <w:lang w:val="en-CA"/>
              </w:rPr>
              <w:t>1 000 000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C63B82D"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189D98A7" w14:textId="77777777" w:rsidR="00BA63AB" w:rsidRPr="00D8042F" w:rsidRDefault="00BA63AB" w:rsidP="00720BA7">
            <w:pPr>
              <w:jc w:val="right"/>
              <w:rPr>
                <w:color w:val="000000"/>
                <w:sz w:val="19"/>
                <w:szCs w:val="19"/>
                <w:lang w:val="en-CA"/>
              </w:rPr>
            </w:pPr>
            <w:r w:rsidRPr="00D8042F">
              <w:rPr>
                <w:color w:val="000000"/>
                <w:sz w:val="19"/>
                <w:szCs w:val="19"/>
                <w:lang w:val="en-CA"/>
              </w:rPr>
              <w:t>2 000 000</w:t>
            </w:r>
          </w:p>
        </w:tc>
      </w:tr>
      <w:tr w:rsidR="00BA63AB" w:rsidRPr="00D8042F" w14:paraId="2AF4809E"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259F4F64" w14:textId="77777777" w:rsidR="00BA63AB" w:rsidRPr="00D8042F" w:rsidRDefault="00BA63AB" w:rsidP="00720BA7">
            <w:pPr>
              <w:jc w:val="center"/>
              <w:rPr>
                <w:color w:val="000000"/>
                <w:sz w:val="19"/>
                <w:szCs w:val="19"/>
                <w:lang w:val="en-CA"/>
              </w:rPr>
            </w:pPr>
            <w:r w:rsidRPr="00D8042F">
              <w:rPr>
                <w:color w:val="000000"/>
                <w:sz w:val="19"/>
                <w:szCs w:val="19"/>
                <w:lang w:val="en-CA"/>
              </w:rPr>
              <w:t>2023</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6BB58412" w14:textId="77777777" w:rsidR="00BA63AB" w:rsidRPr="00D8042F" w:rsidRDefault="00BA63AB" w:rsidP="00720BA7">
            <w:pPr>
              <w:jc w:val="right"/>
              <w:rPr>
                <w:color w:val="000000"/>
                <w:sz w:val="19"/>
                <w:szCs w:val="19"/>
                <w:lang w:val="en-CA"/>
              </w:rPr>
            </w:pPr>
            <w:r w:rsidRPr="00D8042F">
              <w:rPr>
                <w:color w:val="000000"/>
                <w:sz w:val="19"/>
                <w:szCs w:val="19"/>
                <w:lang w:val="en-CA"/>
              </w:rPr>
              <w:t>11 300 000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D989117" w14:textId="77777777" w:rsidR="00BA63AB" w:rsidRPr="00D8042F" w:rsidRDefault="00BA63AB" w:rsidP="00720BA7">
            <w:pPr>
              <w:jc w:val="right"/>
              <w:rPr>
                <w:color w:val="000000"/>
                <w:sz w:val="19"/>
                <w:szCs w:val="19"/>
                <w:lang w:val="en-CA"/>
              </w:rPr>
            </w:pPr>
            <w:r w:rsidRPr="00D8042F">
              <w:rPr>
                <w:color w:val="000000"/>
                <w:sz w:val="19"/>
                <w:szCs w:val="19"/>
                <w:lang w:val="en-CA"/>
              </w:rPr>
              <w:t>3 000 000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5102DE38" w14:textId="77777777" w:rsidR="00BA63AB" w:rsidRPr="00D8042F" w:rsidRDefault="00BA63AB" w:rsidP="00720BA7">
            <w:pPr>
              <w:jc w:val="right"/>
              <w:rPr>
                <w:color w:val="000000"/>
                <w:sz w:val="19"/>
                <w:szCs w:val="19"/>
                <w:lang w:val="en-CA"/>
              </w:rPr>
            </w:pPr>
            <w:r w:rsidRPr="00D8042F">
              <w:rPr>
                <w:color w:val="000000"/>
                <w:sz w:val="19"/>
                <w:szCs w:val="19"/>
                <w:lang w:val="en-CA"/>
              </w:rPr>
              <w:t>15 600 000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613F364" w14:textId="77777777" w:rsidR="00BA63AB" w:rsidRPr="00D8042F" w:rsidRDefault="00BA63AB" w:rsidP="00720BA7">
            <w:pPr>
              <w:jc w:val="right"/>
              <w:rPr>
                <w:color w:val="000000"/>
                <w:sz w:val="19"/>
                <w:szCs w:val="19"/>
                <w:lang w:val="en-CA"/>
              </w:rPr>
            </w:pPr>
            <w:r w:rsidRPr="00D8042F">
              <w:rPr>
                <w:color w:val="000000"/>
                <w:sz w:val="19"/>
                <w:szCs w:val="19"/>
                <w:lang w:val="en-CA"/>
              </w:rPr>
              <w:t>5 000 000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66D367D" w14:textId="77777777" w:rsidR="00BA63AB" w:rsidRPr="00D8042F" w:rsidRDefault="00BA63AB" w:rsidP="00720BA7">
            <w:pPr>
              <w:jc w:val="right"/>
              <w:rPr>
                <w:color w:val="000000"/>
                <w:sz w:val="19"/>
                <w:szCs w:val="19"/>
                <w:lang w:val="en-CA"/>
              </w:rPr>
            </w:pPr>
            <w:r w:rsidRPr="00D8042F">
              <w:rPr>
                <w:color w:val="000000"/>
                <w:sz w:val="19"/>
                <w:szCs w:val="19"/>
                <w:lang w:val="en-CA"/>
              </w:rPr>
              <w:t>3 664 360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56D060A8" w14:textId="77777777" w:rsidR="00BA63AB" w:rsidRPr="00D8042F" w:rsidRDefault="00BA63AB" w:rsidP="00720BA7">
            <w:pPr>
              <w:jc w:val="right"/>
              <w:rPr>
                <w:color w:val="000000"/>
                <w:sz w:val="19"/>
                <w:szCs w:val="19"/>
                <w:lang w:val="en-CA"/>
              </w:rPr>
            </w:pPr>
            <w:r w:rsidRPr="00D8042F">
              <w:rPr>
                <w:color w:val="000000"/>
                <w:sz w:val="19"/>
                <w:szCs w:val="19"/>
                <w:lang w:val="en-CA"/>
              </w:rPr>
              <w:t>2 000 000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1318E1A1"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3C9493BD" w14:textId="77777777" w:rsidR="00BA63AB" w:rsidRPr="00D8042F" w:rsidRDefault="00BA63AB" w:rsidP="00720BA7">
            <w:pPr>
              <w:jc w:val="right"/>
              <w:rPr>
                <w:color w:val="000000"/>
                <w:sz w:val="19"/>
                <w:szCs w:val="19"/>
                <w:lang w:val="en-CA"/>
              </w:rPr>
            </w:pPr>
            <w:r w:rsidRPr="00D8042F">
              <w:rPr>
                <w:color w:val="000000"/>
                <w:sz w:val="19"/>
                <w:szCs w:val="19"/>
                <w:lang w:val="en-CA"/>
              </w:rPr>
              <w:t>2 000 000</w:t>
            </w:r>
          </w:p>
        </w:tc>
      </w:tr>
      <w:tr w:rsidR="00BA63AB" w:rsidRPr="00D8042F" w14:paraId="6A0B78D0"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00F707C4" w14:textId="77777777" w:rsidR="00BA63AB" w:rsidRPr="00D8042F" w:rsidRDefault="00BA63AB" w:rsidP="00720BA7">
            <w:pPr>
              <w:jc w:val="center"/>
              <w:rPr>
                <w:color w:val="000000"/>
                <w:sz w:val="19"/>
                <w:szCs w:val="19"/>
                <w:lang w:val="en-CA"/>
              </w:rPr>
            </w:pPr>
            <w:r w:rsidRPr="00D8042F">
              <w:rPr>
                <w:color w:val="000000"/>
                <w:sz w:val="19"/>
                <w:szCs w:val="19"/>
                <w:lang w:val="en-CA"/>
              </w:rPr>
              <w:t>2024</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1FF19FEE" w14:textId="77777777" w:rsidR="00BA63AB" w:rsidRPr="00D8042F" w:rsidRDefault="00BA63AB" w:rsidP="00720BA7">
            <w:pPr>
              <w:jc w:val="right"/>
              <w:rPr>
                <w:color w:val="000000"/>
                <w:sz w:val="19"/>
                <w:szCs w:val="19"/>
                <w:lang w:val="en-CA"/>
              </w:rPr>
            </w:pPr>
            <w:r w:rsidRPr="00D8042F">
              <w:rPr>
                <w:color w:val="000000"/>
                <w:sz w:val="19"/>
                <w:szCs w:val="19"/>
                <w:lang w:val="en-CA"/>
              </w:rPr>
              <w:t>9 800 000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13912A02" w14:textId="77777777" w:rsidR="00BA63AB" w:rsidRPr="00D8042F" w:rsidRDefault="00BA63AB" w:rsidP="00720BA7">
            <w:pPr>
              <w:jc w:val="right"/>
              <w:rPr>
                <w:color w:val="000000"/>
                <w:sz w:val="19"/>
                <w:szCs w:val="19"/>
                <w:lang w:val="en-CA"/>
              </w:rPr>
            </w:pPr>
            <w:r w:rsidRPr="00D8042F">
              <w:rPr>
                <w:color w:val="000000"/>
                <w:sz w:val="19"/>
                <w:szCs w:val="19"/>
                <w:lang w:val="en-CA"/>
              </w:rPr>
              <w:t>1 000 000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430544B6" w14:textId="77777777" w:rsidR="00BA63AB" w:rsidRPr="00D8042F" w:rsidRDefault="00BA63AB" w:rsidP="00720BA7">
            <w:pPr>
              <w:jc w:val="right"/>
              <w:rPr>
                <w:color w:val="000000"/>
                <w:sz w:val="19"/>
                <w:szCs w:val="19"/>
                <w:lang w:val="en-CA"/>
              </w:rPr>
            </w:pPr>
            <w:r w:rsidRPr="00D8042F">
              <w:rPr>
                <w:color w:val="000000"/>
                <w:sz w:val="19"/>
                <w:szCs w:val="19"/>
                <w:lang w:val="en-CA"/>
              </w:rPr>
              <w:t>10 500 000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3C29E23B" w14:textId="77777777" w:rsidR="00BA63AB" w:rsidRPr="00D8042F" w:rsidRDefault="00BA63AB" w:rsidP="00720BA7">
            <w:pPr>
              <w:jc w:val="right"/>
              <w:rPr>
                <w:color w:val="000000"/>
                <w:sz w:val="19"/>
                <w:szCs w:val="19"/>
                <w:lang w:val="en-CA"/>
              </w:rPr>
            </w:pPr>
            <w:r w:rsidRPr="00D8042F">
              <w:rPr>
                <w:color w:val="000000"/>
                <w:sz w:val="19"/>
                <w:szCs w:val="19"/>
                <w:lang w:val="en-CA"/>
              </w:rPr>
              <w:t>1 000 000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2DD8C701" w14:textId="77777777" w:rsidR="00BA63AB" w:rsidRPr="00D8042F" w:rsidRDefault="00BA63AB" w:rsidP="00720BA7">
            <w:pPr>
              <w:jc w:val="right"/>
              <w:rPr>
                <w:color w:val="000000"/>
                <w:sz w:val="19"/>
                <w:szCs w:val="19"/>
                <w:lang w:val="en-CA"/>
              </w:rPr>
            </w:pPr>
            <w:r w:rsidRPr="00D8042F">
              <w:rPr>
                <w:color w:val="000000"/>
                <w:sz w:val="19"/>
                <w:szCs w:val="19"/>
                <w:lang w:val="en-CA"/>
              </w:rPr>
              <w:t>5 481 592</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0573578"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5CAB4111"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30EC0869" w14:textId="77777777" w:rsidR="00BA63AB" w:rsidRPr="00D8042F" w:rsidRDefault="00BA63AB" w:rsidP="00720BA7">
            <w:pPr>
              <w:jc w:val="right"/>
              <w:rPr>
                <w:color w:val="000000"/>
                <w:sz w:val="19"/>
                <w:szCs w:val="19"/>
                <w:lang w:val="en-CA"/>
              </w:rPr>
            </w:pPr>
            <w:r w:rsidRPr="00D8042F">
              <w:rPr>
                <w:color w:val="000000"/>
                <w:sz w:val="19"/>
                <w:szCs w:val="19"/>
                <w:lang w:val="en-CA"/>
              </w:rPr>
              <w:t>3 000 000</w:t>
            </w:r>
          </w:p>
        </w:tc>
      </w:tr>
      <w:tr w:rsidR="00BA63AB" w:rsidRPr="00D8042F" w14:paraId="12FF97AA"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5526A724" w14:textId="77777777" w:rsidR="00BA63AB" w:rsidRPr="00D8042F" w:rsidRDefault="00BA63AB" w:rsidP="00720BA7">
            <w:pPr>
              <w:jc w:val="center"/>
              <w:rPr>
                <w:color w:val="000000"/>
                <w:sz w:val="19"/>
                <w:szCs w:val="19"/>
                <w:lang w:val="en-CA"/>
              </w:rPr>
            </w:pPr>
            <w:r w:rsidRPr="00D8042F">
              <w:rPr>
                <w:color w:val="000000"/>
                <w:sz w:val="19"/>
                <w:szCs w:val="19"/>
                <w:lang w:val="en-CA"/>
              </w:rPr>
              <w:t>2025</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46E6F947" w14:textId="77777777" w:rsidR="00BA63AB" w:rsidRPr="00D8042F" w:rsidRDefault="00BA63AB" w:rsidP="00720BA7">
            <w:pPr>
              <w:jc w:val="right"/>
              <w:rPr>
                <w:color w:val="000000"/>
                <w:sz w:val="19"/>
                <w:szCs w:val="19"/>
                <w:lang w:val="en-CA"/>
              </w:rPr>
            </w:pPr>
            <w:r w:rsidRPr="00D8042F">
              <w:rPr>
                <w:color w:val="000000"/>
                <w:sz w:val="19"/>
                <w:szCs w:val="19"/>
                <w:lang w:val="en-CA"/>
              </w:rPr>
              <w:t>9 600 000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25F5F388" w14:textId="77777777" w:rsidR="00BA63AB" w:rsidRPr="00D8042F" w:rsidRDefault="00BA63AB" w:rsidP="00720BA7">
            <w:pPr>
              <w:jc w:val="right"/>
              <w:rPr>
                <w:color w:val="000000"/>
                <w:sz w:val="19"/>
                <w:szCs w:val="19"/>
                <w:lang w:val="en-CA"/>
              </w:rPr>
            </w:pPr>
            <w:r w:rsidRPr="00D8042F">
              <w:rPr>
                <w:color w:val="000000"/>
                <w:sz w:val="19"/>
                <w:szCs w:val="19"/>
                <w:lang w:val="en-CA"/>
              </w:rPr>
              <w:t>4 000 000</w:t>
            </w:r>
          </w:p>
        </w:tc>
        <w:tc>
          <w:tcPr>
            <w:tcW w:w="584" w:type="pct"/>
            <w:tcBorders>
              <w:top w:val="nil"/>
              <w:left w:val="nil"/>
              <w:bottom w:val="single" w:sz="4" w:space="0" w:color="auto"/>
              <w:right w:val="nil"/>
            </w:tcBorders>
            <w:shd w:val="clear" w:color="auto" w:fill="auto"/>
            <w:noWrap/>
            <w:tcMar>
              <w:left w:w="0" w:type="dxa"/>
              <w:right w:w="115" w:type="dxa"/>
            </w:tcMar>
            <w:hideMark/>
          </w:tcPr>
          <w:p w14:paraId="678C80F8" w14:textId="77777777" w:rsidR="00BA63AB" w:rsidRPr="00D8042F" w:rsidRDefault="00BA63AB" w:rsidP="00720BA7">
            <w:pPr>
              <w:jc w:val="right"/>
              <w:rPr>
                <w:color w:val="000000"/>
                <w:sz w:val="19"/>
                <w:szCs w:val="19"/>
                <w:lang w:val="en-CA"/>
              </w:rPr>
            </w:pPr>
            <w:r w:rsidRPr="00D8042F">
              <w:rPr>
                <w:color w:val="000000"/>
                <w:sz w:val="19"/>
                <w:szCs w:val="19"/>
                <w:lang w:val="en-CA"/>
              </w:rPr>
              <w:t>13 100 000</w:t>
            </w:r>
          </w:p>
        </w:tc>
        <w:tc>
          <w:tcPr>
            <w:tcW w:w="584" w:type="pct"/>
            <w:tcBorders>
              <w:top w:val="nil"/>
              <w:left w:val="single" w:sz="4" w:space="0" w:color="auto"/>
              <w:bottom w:val="single" w:sz="4" w:space="0" w:color="auto"/>
              <w:right w:val="single" w:sz="4" w:space="0" w:color="auto"/>
            </w:tcBorders>
            <w:shd w:val="clear" w:color="auto" w:fill="auto"/>
            <w:noWrap/>
            <w:tcMar>
              <w:left w:w="0" w:type="dxa"/>
              <w:right w:w="115" w:type="dxa"/>
            </w:tcMar>
            <w:hideMark/>
          </w:tcPr>
          <w:p w14:paraId="143C9EC3" w14:textId="77777777" w:rsidR="00BA63AB" w:rsidRPr="00D8042F" w:rsidRDefault="00BA63AB" w:rsidP="00720BA7">
            <w:pPr>
              <w:jc w:val="right"/>
              <w:rPr>
                <w:color w:val="000000"/>
                <w:sz w:val="19"/>
                <w:szCs w:val="19"/>
                <w:lang w:val="en-CA"/>
              </w:rPr>
            </w:pPr>
            <w:r w:rsidRPr="00D8042F">
              <w:rPr>
                <w:color w:val="000000"/>
                <w:sz w:val="19"/>
                <w:szCs w:val="19"/>
                <w:lang w:val="en-CA"/>
              </w:rPr>
              <w:t>5 000 000</w:t>
            </w:r>
          </w:p>
        </w:tc>
        <w:tc>
          <w:tcPr>
            <w:tcW w:w="584" w:type="pct"/>
            <w:tcBorders>
              <w:top w:val="nil"/>
              <w:left w:val="nil"/>
              <w:bottom w:val="single" w:sz="4" w:space="0" w:color="auto"/>
              <w:right w:val="nil"/>
            </w:tcBorders>
            <w:shd w:val="clear" w:color="auto" w:fill="auto"/>
            <w:noWrap/>
            <w:tcMar>
              <w:left w:w="0" w:type="dxa"/>
              <w:right w:w="115" w:type="dxa"/>
            </w:tcMar>
            <w:hideMark/>
          </w:tcPr>
          <w:p w14:paraId="74A34B32" w14:textId="77777777" w:rsidR="00BA63AB" w:rsidRPr="00D8042F" w:rsidRDefault="00BA63AB" w:rsidP="00720BA7">
            <w:pPr>
              <w:jc w:val="right"/>
              <w:rPr>
                <w:color w:val="000000"/>
                <w:sz w:val="19"/>
                <w:szCs w:val="19"/>
                <w:lang w:val="en-CA"/>
              </w:rPr>
            </w:pPr>
            <w:r w:rsidRPr="00D8042F">
              <w:rPr>
                <w:color w:val="000000"/>
                <w:sz w:val="19"/>
                <w:szCs w:val="19"/>
                <w:lang w:val="en-CA"/>
              </w:rPr>
              <w:t>2 707 880</w:t>
            </w:r>
          </w:p>
        </w:tc>
        <w:tc>
          <w:tcPr>
            <w:tcW w:w="584" w:type="pct"/>
            <w:tcBorders>
              <w:top w:val="nil"/>
              <w:left w:val="single" w:sz="4" w:space="0" w:color="auto"/>
              <w:bottom w:val="single" w:sz="4" w:space="0" w:color="auto"/>
              <w:right w:val="single" w:sz="4" w:space="0" w:color="auto"/>
            </w:tcBorders>
            <w:shd w:val="clear" w:color="auto" w:fill="auto"/>
            <w:noWrap/>
            <w:tcMar>
              <w:left w:w="0" w:type="dxa"/>
              <w:right w:w="115" w:type="dxa"/>
            </w:tcMar>
            <w:hideMark/>
          </w:tcPr>
          <w:p w14:paraId="3788AB62" w14:textId="77777777" w:rsidR="00BA63AB" w:rsidRPr="00D8042F" w:rsidRDefault="00BA63AB" w:rsidP="00720BA7">
            <w:pPr>
              <w:jc w:val="right"/>
              <w:rPr>
                <w:color w:val="000000"/>
                <w:sz w:val="19"/>
                <w:szCs w:val="19"/>
                <w:lang w:val="en-CA"/>
              </w:rPr>
            </w:pPr>
            <w:r w:rsidRPr="00D8042F">
              <w:rPr>
                <w:color w:val="000000"/>
                <w:sz w:val="19"/>
                <w:szCs w:val="19"/>
                <w:lang w:val="en-CA"/>
              </w:rPr>
              <w:t>523 431</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1123AFF0"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21213BCB" w14:textId="77777777" w:rsidR="00BA63AB" w:rsidRPr="00D8042F" w:rsidRDefault="00BA63AB" w:rsidP="00720BA7">
            <w:pPr>
              <w:jc w:val="right"/>
              <w:rPr>
                <w:color w:val="000000"/>
                <w:sz w:val="19"/>
                <w:szCs w:val="19"/>
                <w:lang w:val="en-CA"/>
              </w:rPr>
            </w:pPr>
            <w:r w:rsidRPr="00D8042F">
              <w:rPr>
                <w:color w:val="000000"/>
                <w:sz w:val="19"/>
                <w:szCs w:val="19"/>
                <w:lang w:val="en-CA"/>
              </w:rPr>
              <w:t>1 200 000</w:t>
            </w:r>
          </w:p>
        </w:tc>
      </w:tr>
      <w:tr w:rsidR="00BA63AB" w:rsidRPr="00D8042F" w14:paraId="67885975" w14:textId="77777777" w:rsidTr="00720BA7">
        <w:tc>
          <w:tcPr>
            <w:tcW w:w="333"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726A2215" w14:textId="77777777" w:rsidR="00BA63AB" w:rsidRPr="00D8042F" w:rsidRDefault="00BA63AB" w:rsidP="00720BA7">
            <w:pPr>
              <w:jc w:val="center"/>
              <w:rPr>
                <w:color w:val="000000"/>
                <w:sz w:val="19"/>
                <w:szCs w:val="19"/>
                <w:lang w:val="en-CA"/>
              </w:rPr>
            </w:pPr>
            <w:r w:rsidRPr="00D8042F">
              <w:rPr>
                <w:color w:val="000000"/>
                <w:sz w:val="19"/>
                <w:szCs w:val="19"/>
                <w:lang w:val="en-CA"/>
              </w:rPr>
              <w:t>2026</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6CAA6AD9" w14:textId="77777777" w:rsidR="00BA63AB" w:rsidRPr="00D8042F" w:rsidRDefault="00BA63AB" w:rsidP="00720BA7">
            <w:pPr>
              <w:jc w:val="right"/>
              <w:rPr>
                <w:color w:val="000000"/>
                <w:sz w:val="19"/>
                <w:szCs w:val="19"/>
                <w:lang w:val="en-CA"/>
              </w:rPr>
            </w:pPr>
            <w:r w:rsidRPr="00D8042F">
              <w:rPr>
                <w:color w:val="000000"/>
                <w:sz w:val="19"/>
                <w:szCs w:val="19"/>
                <w:lang w:val="en-CA"/>
              </w:rPr>
              <w:t>11 971 763</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60D20456" w14:textId="77777777" w:rsidR="00BA63AB" w:rsidRPr="00D8042F" w:rsidRDefault="00BA63AB" w:rsidP="00720BA7">
            <w:pPr>
              <w:jc w:val="right"/>
              <w:rPr>
                <w:color w:val="000000"/>
                <w:sz w:val="19"/>
                <w:szCs w:val="19"/>
                <w:lang w:val="en-CA"/>
              </w:rPr>
            </w:pPr>
            <w:r w:rsidRPr="00D8042F">
              <w:rPr>
                <w:color w:val="000000"/>
                <w:sz w:val="19"/>
                <w:szCs w:val="19"/>
                <w:lang w:val="en-CA"/>
              </w:rPr>
              <w:t>3 534 654</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3FD3AAB" w14:textId="77777777" w:rsidR="00BA63AB" w:rsidRPr="00D8042F" w:rsidRDefault="00BA63AB" w:rsidP="00720BA7">
            <w:pPr>
              <w:jc w:val="right"/>
              <w:rPr>
                <w:color w:val="000000"/>
                <w:sz w:val="19"/>
                <w:szCs w:val="19"/>
                <w:lang w:val="en-CA"/>
              </w:rPr>
            </w:pPr>
            <w:r w:rsidRPr="00D8042F">
              <w:rPr>
                <w:color w:val="000000"/>
                <w:sz w:val="19"/>
                <w:szCs w:val="19"/>
                <w:lang w:val="en-CA"/>
              </w:rPr>
              <w:t>14 026 183</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54C0B3BF" w14:textId="77777777" w:rsidR="00BA63AB" w:rsidRPr="00D8042F" w:rsidRDefault="00BA63AB" w:rsidP="00720BA7">
            <w:pPr>
              <w:jc w:val="right"/>
              <w:rPr>
                <w:color w:val="000000"/>
                <w:sz w:val="19"/>
                <w:szCs w:val="19"/>
                <w:lang w:val="en-CA"/>
              </w:rPr>
            </w:pPr>
            <w:r w:rsidRPr="00D8042F">
              <w:rPr>
                <w:color w:val="000000"/>
                <w:sz w:val="19"/>
                <w:szCs w:val="19"/>
                <w:lang w:val="en-CA"/>
              </w:rPr>
              <w:t>4 200 000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FBC8983" w14:textId="77777777" w:rsidR="00BA63AB" w:rsidRPr="00D8042F" w:rsidRDefault="00BA63AB" w:rsidP="00720BA7">
            <w:pPr>
              <w:jc w:val="right"/>
              <w:rPr>
                <w:color w:val="000000"/>
                <w:sz w:val="19"/>
                <w:szCs w:val="19"/>
                <w:lang w:val="en-CA"/>
              </w:rPr>
            </w:pPr>
            <w:r w:rsidRPr="00D8042F">
              <w:rPr>
                <w:color w:val="000000"/>
                <w:sz w:val="19"/>
                <w:szCs w:val="19"/>
                <w:lang w:val="en-CA"/>
              </w:rPr>
              <w:t>4 002 054</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EF472B4"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02E15702" w14:textId="77777777" w:rsidR="00BA63AB" w:rsidRPr="00D8042F" w:rsidRDefault="00BA63AB" w:rsidP="00720BA7">
            <w:pPr>
              <w:jc w:val="right"/>
              <w:rPr>
                <w:color w:val="000000"/>
                <w:sz w:val="19"/>
                <w:szCs w:val="19"/>
                <w:lang w:val="en-CA"/>
              </w:rPr>
            </w:pPr>
            <w:r w:rsidRPr="00D8042F">
              <w:rPr>
                <w:color w:val="000000"/>
                <w:sz w:val="19"/>
                <w:szCs w:val="19"/>
                <w:lang w:val="en-CA"/>
              </w:rPr>
              <w:t>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19D3A5B2" w14:textId="77777777" w:rsidR="00BA63AB" w:rsidRPr="00D8042F" w:rsidRDefault="00BA63AB" w:rsidP="00720BA7">
            <w:pPr>
              <w:jc w:val="right"/>
              <w:rPr>
                <w:color w:val="000000"/>
                <w:sz w:val="19"/>
                <w:szCs w:val="19"/>
                <w:lang w:val="en-CA"/>
              </w:rPr>
            </w:pPr>
            <w:r w:rsidRPr="00D8042F">
              <w:rPr>
                <w:color w:val="000000"/>
                <w:sz w:val="19"/>
                <w:szCs w:val="19"/>
                <w:lang w:val="en-CA"/>
              </w:rPr>
              <w:t>2 517 105</w:t>
            </w:r>
          </w:p>
        </w:tc>
      </w:tr>
      <w:tr w:rsidR="00BA63AB" w:rsidRPr="00D8042F" w14:paraId="6CE0F8F9" w14:textId="77777777" w:rsidTr="00720BA7">
        <w:tc>
          <w:tcPr>
            <w:tcW w:w="333" w:type="pct"/>
            <w:tcBorders>
              <w:top w:val="nil"/>
              <w:left w:val="single" w:sz="4" w:space="0" w:color="auto"/>
              <w:bottom w:val="single" w:sz="4" w:space="0" w:color="auto"/>
              <w:right w:val="single" w:sz="4" w:space="0" w:color="auto"/>
            </w:tcBorders>
            <w:shd w:val="clear" w:color="auto" w:fill="auto"/>
            <w:noWrap/>
            <w:tcMar>
              <w:left w:w="43" w:type="dxa"/>
              <w:right w:w="0" w:type="dxa"/>
            </w:tcMar>
            <w:hideMark/>
          </w:tcPr>
          <w:p w14:paraId="74DCCC65" w14:textId="77777777" w:rsidR="00BA63AB" w:rsidRPr="00D8042F" w:rsidRDefault="00BA63AB" w:rsidP="00720BA7">
            <w:pPr>
              <w:jc w:val="left"/>
              <w:rPr>
                <w:b/>
                <w:bCs/>
                <w:color w:val="000000"/>
                <w:sz w:val="19"/>
                <w:szCs w:val="19"/>
                <w:lang w:val="en-CA"/>
              </w:rPr>
            </w:pPr>
            <w:r w:rsidRPr="00D8042F">
              <w:rPr>
                <w:b/>
                <w:bCs/>
                <w:color w:val="000000"/>
                <w:sz w:val="19"/>
                <w:szCs w:val="19"/>
                <w:lang w:val="en-CA"/>
              </w:rPr>
              <w:t>Total</w:t>
            </w:r>
          </w:p>
        </w:tc>
        <w:tc>
          <w:tcPr>
            <w:tcW w:w="583" w:type="pct"/>
            <w:tcBorders>
              <w:top w:val="nil"/>
              <w:left w:val="nil"/>
              <w:bottom w:val="single" w:sz="4" w:space="0" w:color="auto"/>
              <w:right w:val="single" w:sz="4" w:space="0" w:color="auto"/>
            </w:tcBorders>
            <w:shd w:val="clear" w:color="auto" w:fill="auto"/>
            <w:tcMar>
              <w:left w:w="0" w:type="dxa"/>
              <w:right w:w="115" w:type="dxa"/>
            </w:tcMar>
            <w:hideMark/>
          </w:tcPr>
          <w:p w14:paraId="559A384D"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112 786 630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186EB452"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44 939 952</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6A08792A"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141 471 210</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621D361E"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28 312 039</w:t>
            </w:r>
          </w:p>
        </w:tc>
        <w:tc>
          <w:tcPr>
            <w:tcW w:w="584" w:type="pct"/>
            <w:tcBorders>
              <w:top w:val="nil"/>
              <w:left w:val="nil"/>
              <w:bottom w:val="single" w:sz="4" w:space="0" w:color="auto"/>
              <w:right w:val="single" w:sz="4" w:space="0" w:color="auto"/>
            </w:tcBorders>
            <w:shd w:val="clear" w:color="auto" w:fill="auto"/>
            <w:tcMar>
              <w:left w:w="0" w:type="dxa"/>
              <w:right w:w="115" w:type="dxa"/>
            </w:tcMar>
            <w:hideMark/>
          </w:tcPr>
          <w:p w14:paraId="15B21264"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47 262 566</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6B78329C"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25 569 340</w:t>
            </w:r>
          </w:p>
        </w:tc>
        <w:tc>
          <w:tcPr>
            <w:tcW w:w="584" w:type="pct"/>
            <w:tcBorders>
              <w:top w:val="nil"/>
              <w:left w:val="nil"/>
              <w:bottom w:val="single" w:sz="4" w:space="0" w:color="auto"/>
              <w:right w:val="single" w:sz="4" w:space="0" w:color="auto"/>
            </w:tcBorders>
            <w:shd w:val="clear" w:color="auto" w:fill="auto"/>
            <w:noWrap/>
            <w:tcMar>
              <w:left w:w="0" w:type="dxa"/>
              <w:right w:w="115" w:type="dxa"/>
            </w:tcMar>
            <w:hideMark/>
          </w:tcPr>
          <w:p w14:paraId="7D3A71EB"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20 290 000</w:t>
            </w:r>
          </w:p>
        </w:tc>
        <w:tc>
          <w:tcPr>
            <w:tcW w:w="581" w:type="pct"/>
            <w:tcBorders>
              <w:top w:val="nil"/>
              <w:left w:val="nil"/>
              <w:bottom w:val="single" w:sz="4" w:space="0" w:color="auto"/>
              <w:right w:val="single" w:sz="4" w:space="0" w:color="auto"/>
            </w:tcBorders>
            <w:shd w:val="clear" w:color="auto" w:fill="auto"/>
            <w:noWrap/>
            <w:tcMar>
              <w:left w:w="0" w:type="dxa"/>
              <w:right w:w="115" w:type="dxa"/>
            </w:tcMar>
            <w:hideMark/>
          </w:tcPr>
          <w:p w14:paraId="46315043" w14:textId="77777777" w:rsidR="00BA63AB" w:rsidRPr="00D8042F" w:rsidRDefault="00BA63AB" w:rsidP="00720BA7">
            <w:pPr>
              <w:jc w:val="right"/>
              <w:rPr>
                <w:b/>
                <w:bCs/>
                <w:color w:val="000000"/>
                <w:sz w:val="19"/>
                <w:szCs w:val="19"/>
                <w:lang w:val="en-CA"/>
              </w:rPr>
            </w:pPr>
            <w:r w:rsidRPr="00D8042F">
              <w:rPr>
                <w:b/>
                <w:bCs/>
                <w:color w:val="000000"/>
                <w:sz w:val="19"/>
                <w:szCs w:val="19"/>
                <w:lang w:val="en-CA"/>
              </w:rPr>
              <w:t>20 046 237</w:t>
            </w:r>
          </w:p>
        </w:tc>
      </w:tr>
    </w:tbl>
    <w:p w14:paraId="0DBC521C" w14:textId="77777777" w:rsidR="00BA63AB" w:rsidRPr="00D8042F" w:rsidRDefault="00BA63AB" w:rsidP="00BA63AB">
      <w:pPr>
        <w:rPr>
          <w:lang w:val="en-CA"/>
        </w:rPr>
      </w:pPr>
    </w:p>
    <w:p w14:paraId="0CA6B426" w14:textId="77777777" w:rsidR="00BA63AB" w:rsidRPr="00D8042F" w:rsidRDefault="00BA63AB" w:rsidP="00BA63AB">
      <w:pPr>
        <w:pStyle w:val="Heading1"/>
        <w:rPr>
          <w:lang w:val="fr-CA"/>
        </w:rPr>
      </w:pPr>
      <w:r w:rsidRPr="00D8042F">
        <w:rPr>
          <w:lang w:val="fr-CA"/>
        </w:rPr>
        <w:t>Le tableau 6 ci</w:t>
      </w:r>
      <w:r>
        <w:rPr>
          <w:lang w:val="fr-CA"/>
        </w:rPr>
        <w:noBreakHyphen/>
      </w:r>
      <w:r w:rsidRPr="00D8042F">
        <w:rPr>
          <w:lang w:val="fr-CA"/>
        </w:rPr>
        <w:t>après récapitule la répartition des fonds pour la phase II du PGEH en Chine.</w:t>
      </w:r>
    </w:p>
    <w:p w14:paraId="7259BD37" w14:textId="77777777" w:rsidR="00BA63AB" w:rsidRPr="00960C08" w:rsidRDefault="00BA63AB" w:rsidP="00BA63AB">
      <w:pPr>
        <w:rPr>
          <w:b/>
          <w:lang w:val="fr-CA"/>
        </w:rPr>
      </w:pPr>
      <w:r w:rsidRPr="00960C08">
        <w:rPr>
          <w:b/>
          <w:lang w:val="fr-CA"/>
        </w:rPr>
        <w:t>Tableau 6. Récapitulation des fonds affectés p</w:t>
      </w:r>
      <w:r>
        <w:rPr>
          <w:b/>
          <w:lang w:val="fr-CA"/>
        </w:rPr>
        <w:t>our</w:t>
      </w:r>
      <w:r w:rsidRPr="00960C08">
        <w:rPr>
          <w:b/>
          <w:lang w:val="fr-CA"/>
        </w:rPr>
        <w:t xml:space="preserve"> la phase II du PGEH ($US)</w:t>
      </w:r>
    </w:p>
    <w:tbl>
      <w:tblPr>
        <w:tblW w:w="5000" w:type="pct"/>
        <w:tblLayout w:type="fixed"/>
        <w:tblLook w:val="04A0" w:firstRow="1" w:lastRow="0" w:firstColumn="1" w:lastColumn="0" w:noHBand="0" w:noVBand="1"/>
      </w:tblPr>
      <w:tblGrid>
        <w:gridCol w:w="2425"/>
        <w:gridCol w:w="2070"/>
        <w:gridCol w:w="1801"/>
        <w:gridCol w:w="1530"/>
        <w:gridCol w:w="1524"/>
      </w:tblGrid>
      <w:tr w:rsidR="00BA63AB" w:rsidRPr="00E3303D" w14:paraId="2BB40235" w14:textId="77777777" w:rsidTr="006E1DC9">
        <w:trPr>
          <w:tblHeader/>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CD5A6" w14:textId="77777777" w:rsidR="00BA63AB" w:rsidRPr="00D8042F" w:rsidRDefault="00BA63AB" w:rsidP="00720BA7">
            <w:pPr>
              <w:jc w:val="left"/>
              <w:rPr>
                <w:b/>
                <w:color w:val="000000"/>
                <w:sz w:val="20"/>
                <w:szCs w:val="20"/>
                <w:lang w:val="fr-CA" w:eastAsia="en-CA"/>
              </w:rPr>
            </w:pPr>
            <w:r w:rsidRPr="00D8042F">
              <w:rPr>
                <w:b/>
                <w:color w:val="000000"/>
                <w:sz w:val="20"/>
                <w:szCs w:val="20"/>
                <w:lang w:val="fr-CA" w:eastAsia="en-CA"/>
              </w:rPr>
              <w:t xml:space="preserve">Plan sectoriel </w:t>
            </w:r>
          </w:p>
        </w:tc>
        <w:tc>
          <w:tcPr>
            <w:tcW w:w="1107" w:type="pct"/>
            <w:tcBorders>
              <w:top w:val="single" w:sz="4" w:space="0" w:color="auto"/>
              <w:left w:val="nil"/>
              <w:bottom w:val="single" w:sz="4" w:space="0" w:color="auto"/>
              <w:right w:val="single" w:sz="4" w:space="0" w:color="auto"/>
            </w:tcBorders>
            <w:shd w:val="clear" w:color="auto" w:fill="auto"/>
            <w:noWrap/>
            <w:hideMark/>
          </w:tcPr>
          <w:p w14:paraId="225D2616" w14:textId="77777777" w:rsidR="00BA63AB" w:rsidRPr="00D8042F" w:rsidRDefault="00BA63AB" w:rsidP="00720BA7">
            <w:pPr>
              <w:jc w:val="center"/>
              <w:rPr>
                <w:b/>
                <w:color w:val="000000"/>
                <w:sz w:val="20"/>
                <w:szCs w:val="20"/>
                <w:lang w:val="en-CA" w:eastAsia="en-CA"/>
              </w:rPr>
            </w:pPr>
            <w:r w:rsidRPr="00D8042F">
              <w:rPr>
                <w:b/>
                <w:color w:val="000000"/>
                <w:sz w:val="20"/>
                <w:szCs w:val="20"/>
                <w:lang w:val="en-CA" w:eastAsia="en-CA"/>
              </w:rPr>
              <w:t>Fonds approuvés en principe</w:t>
            </w:r>
          </w:p>
        </w:tc>
        <w:tc>
          <w:tcPr>
            <w:tcW w:w="963" w:type="pct"/>
            <w:tcBorders>
              <w:top w:val="single" w:sz="4" w:space="0" w:color="auto"/>
              <w:left w:val="nil"/>
              <w:bottom w:val="single" w:sz="4" w:space="0" w:color="auto"/>
              <w:right w:val="single" w:sz="4" w:space="0" w:color="auto"/>
            </w:tcBorders>
            <w:shd w:val="clear" w:color="auto" w:fill="auto"/>
            <w:noWrap/>
            <w:hideMark/>
          </w:tcPr>
          <w:p w14:paraId="6A8AD94E" w14:textId="77777777" w:rsidR="00BA63AB" w:rsidRPr="00D8042F" w:rsidRDefault="00BA63AB" w:rsidP="00720BA7">
            <w:pPr>
              <w:jc w:val="center"/>
              <w:rPr>
                <w:b/>
                <w:color w:val="000000"/>
                <w:sz w:val="20"/>
                <w:szCs w:val="20"/>
                <w:lang w:val="en-CA" w:eastAsia="en-CA"/>
              </w:rPr>
            </w:pPr>
            <w:r w:rsidRPr="00D8042F">
              <w:rPr>
                <w:b/>
                <w:color w:val="000000"/>
                <w:sz w:val="20"/>
                <w:szCs w:val="20"/>
                <w:lang w:val="en-CA" w:eastAsia="en-CA"/>
              </w:rPr>
              <w:t>Fonds approuvés</w:t>
            </w:r>
          </w:p>
          <w:p w14:paraId="6BBF71D4" w14:textId="77777777" w:rsidR="00BA63AB" w:rsidRPr="00D8042F" w:rsidRDefault="00BA63AB" w:rsidP="00720BA7">
            <w:pPr>
              <w:jc w:val="center"/>
              <w:rPr>
                <w:b/>
                <w:color w:val="000000"/>
                <w:sz w:val="20"/>
                <w:szCs w:val="20"/>
                <w:lang w:val="en-CA" w:eastAsia="en-CA"/>
              </w:rPr>
            </w:pPr>
            <w:r w:rsidRPr="00D8042F">
              <w:rPr>
                <w:b/>
                <w:color w:val="000000"/>
                <w:sz w:val="20"/>
                <w:szCs w:val="20"/>
                <w:lang w:val="en-CA" w:eastAsia="en-CA"/>
              </w:rPr>
              <w:t>(2016</w:t>
            </w:r>
            <w:r>
              <w:rPr>
                <w:b/>
                <w:color w:val="000000"/>
                <w:sz w:val="20"/>
                <w:szCs w:val="20"/>
                <w:lang w:val="en-CA" w:eastAsia="en-CA"/>
              </w:rPr>
              <w:noBreakHyphen/>
            </w:r>
            <w:r w:rsidRPr="00D8042F">
              <w:rPr>
                <w:b/>
                <w:color w:val="000000"/>
                <w:sz w:val="20"/>
                <w:szCs w:val="20"/>
                <w:lang w:val="en-CA" w:eastAsia="en-CA"/>
              </w:rPr>
              <w:t>2020)*</w:t>
            </w:r>
          </w:p>
        </w:tc>
        <w:tc>
          <w:tcPr>
            <w:tcW w:w="818" w:type="pct"/>
            <w:tcBorders>
              <w:top w:val="single" w:sz="4" w:space="0" w:color="auto"/>
              <w:left w:val="nil"/>
              <w:bottom w:val="single" w:sz="4" w:space="0" w:color="auto"/>
              <w:right w:val="single" w:sz="4" w:space="0" w:color="auto"/>
            </w:tcBorders>
            <w:shd w:val="clear" w:color="auto" w:fill="auto"/>
            <w:noWrap/>
            <w:hideMark/>
          </w:tcPr>
          <w:p w14:paraId="2A7ED2D2" w14:textId="77777777" w:rsidR="00BA63AB" w:rsidRPr="00D8042F" w:rsidRDefault="00BA63AB" w:rsidP="00720BA7">
            <w:pPr>
              <w:jc w:val="center"/>
              <w:rPr>
                <w:b/>
                <w:color w:val="000000"/>
                <w:sz w:val="20"/>
                <w:szCs w:val="20"/>
                <w:lang w:val="en-CA" w:eastAsia="en-CA"/>
              </w:rPr>
            </w:pPr>
            <w:r w:rsidRPr="00D8042F">
              <w:rPr>
                <w:b/>
                <w:color w:val="000000"/>
                <w:sz w:val="20"/>
                <w:szCs w:val="20"/>
                <w:lang w:val="en-CA" w:eastAsia="en-CA"/>
              </w:rPr>
              <w:t>Plan révisé</w:t>
            </w:r>
          </w:p>
          <w:p w14:paraId="5E6A7F0E" w14:textId="77777777" w:rsidR="00BA63AB" w:rsidRPr="00D8042F" w:rsidRDefault="00BA63AB" w:rsidP="00720BA7">
            <w:pPr>
              <w:jc w:val="center"/>
              <w:rPr>
                <w:b/>
                <w:color w:val="000000"/>
                <w:sz w:val="20"/>
                <w:szCs w:val="20"/>
                <w:lang w:val="en-CA" w:eastAsia="en-CA"/>
              </w:rPr>
            </w:pPr>
            <w:r w:rsidRPr="00D8042F">
              <w:rPr>
                <w:b/>
                <w:color w:val="000000"/>
                <w:sz w:val="20"/>
                <w:szCs w:val="20"/>
                <w:lang w:val="en-CA" w:eastAsia="en-CA"/>
              </w:rPr>
              <w:t>(2021</w:t>
            </w:r>
            <w:r>
              <w:rPr>
                <w:b/>
                <w:color w:val="000000"/>
                <w:sz w:val="20"/>
                <w:szCs w:val="20"/>
                <w:lang w:val="en-CA" w:eastAsia="en-CA"/>
              </w:rPr>
              <w:noBreakHyphen/>
            </w:r>
            <w:r w:rsidRPr="00D8042F">
              <w:rPr>
                <w:b/>
                <w:color w:val="000000"/>
                <w:sz w:val="20"/>
                <w:szCs w:val="20"/>
                <w:lang w:val="en-CA" w:eastAsia="en-CA"/>
              </w:rPr>
              <w:t>2026)</w:t>
            </w:r>
          </w:p>
        </w:tc>
        <w:tc>
          <w:tcPr>
            <w:tcW w:w="816" w:type="pct"/>
            <w:tcBorders>
              <w:top w:val="single" w:sz="4" w:space="0" w:color="auto"/>
              <w:left w:val="nil"/>
              <w:bottom w:val="single" w:sz="4" w:space="0" w:color="auto"/>
              <w:right w:val="single" w:sz="4" w:space="0" w:color="auto"/>
            </w:tcBorders>
            <w:shd w:val="clear" w:color="auto" w:fill="auto"/>
            <w:noWrap/>
            <w:hideMark/>
          </w:tcPr>
          <w:p w14:paraId="369921D7" w14:textId="77777777" w:rsidR="00BA63AB" w:rsidRPr="00960C08" w:rsidRDefault="00BA63AB" w:rsidP="00720BA7">
            <w:pPr>
              <w:jc w:val="center"/>
              <w:rPr>
                <w:b/>
                <w:color w:val="000000"/>
                <w:sz w:val="20"/>
                <w:szCs w:val="20"/>
                <w:lang w:val="fr-CA" w:eastAsia="en-CA"/>
              </w:rPr>
            </w:pPr>
            <w:r w:rsidRPr="00960C08">
              <w:rPr>
                <w:b/>
                <w:color w:val="000000"/>
                <w:sz w:val="20"/>
                <w:szCs w:val="20"/>
                <w:lang w:val="fr-CA" w:eastAsia="en-CA"/>
              </w:rPr>
              <w:t>Plan ajusté approuvé en principe</w:t>
            </w:r>
          </w:p>
        </w:tc>
      </w:tr>
      <w:tr w:rsidR="00BA63AB" w:rsidRPr="00D8042F" w14:paraId="1C7F83A0"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33C58193" w14:textId="77777777" w:rsidR="00BA63AB" w:rsidRPr="00D8042F" w:rsidRDefault="00BA63AB" w:rsidP="00720BA7">
            <w:pPr>
              <w:jc w:val="left"/>
              <w:rPr>
                <w:color w:val="000000"/>
                <w:sz w:val="20"/>
                <w:szCs w:val="20"/>
                <w:lang w:val="en-CA" w:eastAsia="en-CA"/>
              </w:rPr>
            </w:pPr>
            <w:r w:rsidRPr="00D8042F">
              <w:rPr>
                <w:color w:val="000000"/>
                <w:sz w:val="20"/>
                <w:szCs w:val="20"/>
                <w:lang w:val="en-CA" w:eastAsia="en-CA"/>
              </w:rPr>
              <w:t>ICR</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3B08A178"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89 144 797</w:t>
            </w:r>
          </w:p>
        </w:tc>
        <w:tc>
          <w:tcPr>
            <w:tcW w:w="963" w:type="pct"/>
            <w:tcBorders>
              <w:top w:val="nil"/>
              <w:left w:val="nil"/>
              <w:bottom w:val="single" w:sz="4" w:space="0" w:color="auto"/>
              <w:right w:val="single" w:sz="4" w:space="0" w:color="auto"/>
            </w:tcBorders>
            <w:shd w:val="clear" w:color="auto" w:fill="auto"/>
            <w:tcMar>
              <w:left w:w="115" w:type="dxa"/>
              <w:right w:w="202" w:type="dxa"/>
            </w:tcMar>
            <w:hideMark/>
          </w:tcPr>
          <w:p w14:paraId="552753DB"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35 464 531</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60C8DB8A"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32 693 710</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149B14F4"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68 158 241</w:t>
            </w:r>
          </w:p>
        </w:tc>
      </w:tr>
      <w:tr w:rsidR="00BA63AB" w:rsidRPr="00D8042F" w14:paraId="5998A9E8"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62E94054" w14:textId="77777777" w:rsidR="00BA63AB" w:rsidRPr="00D8042F" w:rsidRDefault="00BA63AB" w:rsidP="00720BA7">
            <w:pPr>
              <w:jc w:val="left"/>
              <w:rPr>
                <w:color w:val="000000"/>
                <w:sz w:val="20"/>
                <w:szCs w:val="20"/>
                <w:lang w:val="en-CA" w:eastAsia="en-CA"/>
              </w:rPr>
            </w:pPr>
            <w:r w:rsidRPr="00D8042F">
              <w:rPr>
                <w:color w:val="000000"/>
                <w:sz w:val="20"/>
                <w:szCs w:val="20"/>
                <w:lang w:val="en-CA" w:eastAsia="en-CA"/>
              </w:rPr>
              <w:t>RAC</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2955C0FE"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89 144 797</w:t>
            </w:r>
          </w:p>
        </w:tc>
        <w:tc>
          <w:tcPr>
            <w:tcW w:w="963" w:type="pct"/>
            <w:tcBorders>
              <w:top w:val="nil"/>
              <w:left w:val="nil"/>
              <w:bottom w:val="single" w:sz="4" w:space="0" w:color="auto"/>
              <w:right w:val="single" w:sz="4" w:space="0" w:color="auto"/>
            </w:tcBorders>
            <w:shd w:val="clear" w:color="auto" w:fill="auto"/>
            <w:tcMar>
              <w:left w:w="115" w:type="dxa"/>
              <w:right w:w="202" w:type="dxa"/>
            </w:tcMar>
            <w:hideMark/>
          </w:tcPr>
          <w:p w14:paraId="59D98805"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31 562 981</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0944070E"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28 831 100</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11CF5265"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60 394 081</w:t>
            </w:r>
          </w:p>
        </w:tc>
      </w:tr>
      <w:tr w:rsidR="00BA63AB" w:rsidRPr="00D8042F" w14:paraId="68BE3086"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50BB127B" w14:textId="77777777" w:rsidR="00BA63AB" w:rsidRPr="00D8042F" w:rsidRDefault="00BA63AB" w:rsidP="00720BA7">
            <w:pPr>
              <w:jc w:val="left"/>
              <w:rPr>
                <w:color w:val="000000"/>
                <w:sz w:val="20"/>
                <w:szCs w:val="20"/>
                <w:lang w:val="fr-CA" w:eastAsia="en-CA"/>
              </w:rPr>
            </w:pPr>
            <w:r w:rsidRPr="00D8042F">
              <w:rPr>
                <w:color w:val="000000"/>
                <w:sz w:val="20"/>
                <w:szCs w:val="20"/>
                <w:lang w:val="fr-CA" w:eastAsia="en-CA"/>
              </w:rPr>
              <w:t xml:space="preserve">Entretien des appareils de réfrigération </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33C0D36C"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20 290 000</w:t>
            </w:r>
          </w:p>
        </w:tc>
        <w:tc>
          <w:tcPr>
            <w:tcW w:w="963" w:type="pct"/>
            <w:tcBorders>
              <w:top w:val="nil"/>
              <w:left w:val="nil"/>
              <w:bottom w:val="single" w:sz="4" w:space="0" w:color="auto"/>
              <w:right w:val="single" w:sz="4" w:space="0" w:color="auto"/>
            </w:tcBorders>
            <w:shd w:val="clear" w:color="auto" w:fill="auto"/>
            <w:tcMar>
              <w:left w:w="115" w:type="dxa"/>
              <w:right w:w="202" w:type="dxa"/>
            </w:tcMar>
            <w:hideMark/>
          </w:tcPr>
          <w:p w14:paraId="077BAECE"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7 329 132</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2EEDBCC6"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12 717 105</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716FCAA6"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20 046 237</w:t>
            </w:r>
          </w:p>
        </w:tc>
      </w:tr>
      <w:tr w:rsidR="00BA63AB" w:rsidRPr="00D8042F" w14:paraId="06ED44C8"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63586602" w14:textId="77777777" w:rsidR="00BA63AB" w:rsidRPr="00D8042F" w:rsidRDefault="00BA63AB" w:rsidP="00720BA7">
            <w:pPr>
              <w:jc w:val="left"/>
              <w:rPr>
                <w:color w:val="000000"/>
                <w:sz w:val="20"/>
                <w:szCs w:val="20"/>
                <w:lang w:val="en-CA" w:eastAsia="en-CA"/>
              </w:rPr>
            </w:pPr>
            <w:r w:rsidRPr="00D8042F">
              <w:rPr>
                <w:color w:val="000000"/>
                <w:sz w:val="20"/>
                <w:szCs w:val="20"/>
                <w:lang w:val="en-CA" w:eastAsia="en-CA"/>
              </w:rPr>
              <w:lastRenderedPageBreak/>
              <w:t>Mousse XPS</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514E590E"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112 786 630</w:t>
            </w:r>
          </w:p>
        </w:tc>
        <w:tc>
          <w:tcPr>
            <w:tcW w:w="963" w:type="pct"/>
            <w:tcBorders>
              <w:top w:val="nil"/>
              <w:left w:val="nil"/>
              <w:bottom w:val="single" w:sz="4" w:space="0" w:color="auto"/>
              <w:right w:val="single" w:sz="4" w:space="0" w:color="auto"/>
            </w:tcBorders>
            <w:shd w:val="clear" w:color="auto" w:fill="auto"/>
            <w:tcMar>
              <w:left w:w="115" w:type="dxa"/>
              <w:right w:w="202" w:type="dxa"/>
            </w:tcMar>
            <w:hideMark/>
          </w:tcPr>
          <w:p w14:paraId="45BB515E"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26 405 298</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3E2D507A"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18 534 654</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6B751D2D"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44 939 952</w:t>
            </w:r>
          </w:p>
        </w:tc>
      </w:tr>
      <w:tr w:rsidR="00BA63AB" w:rsidRPr="00D8042F" w14:paraId="722F551C"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577462D4" w14:textId="77777777" w:rsidR="00BA63AB" w:rsidRPr="00D8042F" w:rsidRDefault="00BA63AB" w:rsidP="00720BA7">
            <w:pPr>
              <w:jc w:val="left"/>
              <w:rPr>
                <w:color w:val="000000"/>
                <w:sz w:val="20"/>
                <w:szCs w:val="20"/>
                <w:lang w:val="en-CA" w:eastAsia="en-CA"/>
              </w:rPr>
            </w:pPr>
            <w:r w:rsidRPr="00D8042F">
              <w:rPr>
                <w:color w:val="000000"/>
                <w:sz w:val="20"/>
                <w:szCs w:val="20"/>
                <w:lang w:val="en-CA" w:eastAsia="en-CA"/>
              </w:rPr>
              <w:t>Mousse PU</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2700455F"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141 471 210</w:t>
            </w:r>
          </w:p>
        </w:tc>
        <w:tc>
          <w:tcPr>
            <w:tcW w:w="963" w:type="pct"/>
            <w:tcBorders>
              <w:top w:val="nil"/>
              <w:left w:val="nil"/>
              <w:bottom w:val="single" w:sz="4" w:space="0" w:color="auto"/>
              <w:right w:val="single" w:sz="4" w:space="0" w:color="auto"/>
            </w:tcBorders>
            <w:shd w:val="clear" w:color="auto" w:fill="auto"/>
            <w:tcMar>
              <w:left w:w="115" w:type="dxa"/>
              <w:right w:w="202" w:type="dxa"/>
            </w:tcMar>
            <w:hideMark/>
          </w:tcPr>
          <w:p w14:paraId="507205A2"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9 112 039</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414EF390"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19 200 000</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0CE2C1BE"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28 312 039</w:t>
            </w:r>
          </w:p>
        </w:tc>
      </w:tr>
      <w:tr w:rsidR="00BA63AB" w:rsidRPr="00D8042F" w14:paraId="7B93A12A"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1CE11121" w14:textId="77777777" w:rsidR="00BA63AB" w:rsidRPr="00D8042F" w:rsidRDefault="00BA63AB" w:rsidP="00720BA7">
            <w:pPr>
              <w:jc w:val="left"/>
              <w:rPr>
                <w:color w:val="000000"/>
                <w:sz w:val="20"/>
                <w:szCs w:val="20"/>
                <w:lang w:val="en-CA" w:eastAsia="en-CA"/>
              </w:rPr>
            </w:pPr>
            <w:r w:rsidRPr="00D8042F">
              <w:rPr>
                <w:color w:val="000000"/>
                <w:sz w:val="20"/>
                <w:szCs w:val="20"/>
                <w:lang w:val="en-CA" w:eastAsia="en-CA"/>
              </w:rPr>
              <w:t>Solvants</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015ADF81"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47 262 566</w:t>
            </w:r>
          </w:p>
        </w:tc>
        <w:tc>
          <w:tcPr>
            <w:tcW w:w="963" w:type="pct"/>
            <w:tcBorders>
              <w:top w:val="nil"/>
              <w:left w:val="nil"/>
              <w:bottom w:val="single" w:sz="4" w:space="0" w:color="auto"/>
              <w:right w:val="single" w:sz="4" w:space="0" w:color="auto"/>
            </w:tcBorders>
            <w:shd w:val="clear" w:color="auto" w:fill="auto"/>
            <w:tcMar>
              <w:left w:w="115" w:type="dxa"/>
              <w:right w:w="202" w:type="dxa"/>
            </w:tcMar>
            <w:hideMark/>
          </w:tcPr>
          <w:p w14:paraId="163D1A67"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19 545 909</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412AA049"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6 023 431</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1B53DEB6" w14:textId="77777777" w:rsidR="00BA63AB" w:rsidRPr="00D8042F" w:rsidRDefault="00BA63AB" w:rsidP="00720BA7">
            <w:pPr>
              <w:jc w:val="right"/>
              <w:rPr>
                <w:color w:val="000000"/>
                <w:sz w:val="20"/>
                <w:szCs w:val="20"/>
                <w:lang w:val="en-CA" w:eastAsia="en-CA"/>
              </w:rPr>
            </w:pPr>
            <w:r w:rsidRPr="00D8042F">
              <w:rPr>
                <w:color w:val="000000"/>
                <w:sz w:val="20"/>
                <w:szCs w:val="20"/>
                <w:lang w:val="en-CA" w:eastAsia="en-CA"/>
              </w:rPr>
              <w:t>25 569 340</w:t>
            </w:r>
          </w:p>
        </w:tc>
      </w:tr>
      <w:tr w:rsidR="00BA63AB" w:rsidRPr="00D8042F" w14:paraId="34C28C7C" w14:textId="77777777" w:rsidTr="006E1DC9">
        <w:tc>
          <w:tcPr>
            <w:tcW w:w="1297" w:type="pct"/>
            <w:tcBorders>
              <w:top w:val="nil"/>
              <w:left w:val="single" w:sz="4" w:space="0" w:color="auto"/>
              <w:bottom w:val="single" w:sz="4" w:space="0" w:color="auto"/>
              <w:right w:val="single" w:sz="4" w:space="0" w:color="auto"/>
            </w:tcBorders>
            <w:shd w:val="clear" w:color="auto" w:fill="auto"/>
            <w:noWrap/>
            <w:hideMark/>
          </w:tcPr>
          <w:p w14:paraId="699AB92C" w14:textId="77777777" w:rsidR="00BA63AB" w:rsidRPr="00D8042F" w:rsidRDefault="00BA63AB" w:rsidP="00720BA7">
            <w:pPr>
              <w:jc w:val="left"/>
              <w:rPr>
                <w:b/>
                <w:color w:val="000000"/>
                <w:sz w:val="20"/>
                <w:szCs w:val="20"/>
                <w:lang w:val="en-CA" w:eastAsia="en-CA"/>
              </w:rPr>
            </w:pPr>
            <w:r w:rsidRPr="00D8042F">
              <w:rPr>
                <w:b/>
                <w:color w:val="000000"/>
                <w:sz w:val="20"/>
                <w:szCs w:val="20"/>
                <w:lang w:val="en-CA" w:eastAsia="en-CA"/>
              </w:rPr>
              <w:t>Total</w:t>
            </w:r>
          </w:p>
        </w:tc>
        <w:tc>
          <w:tcPr>
            <w:tcW w:w="1107" w:type="pct"/>
            <w:tcBorders>
              <w:top w:val="nil"/>
              <w:left w:val="nil"/>
              <w:bottom w:val="single" w:sz="4" w:space="0" w:color="auto"/>
              <w:right w:val="single" w:sz="4" w:space="0" w:color="auto"/>
            </w:tcBorders>
            <w:shd w:val="clear" w:color="auto" w:fill="auto"/>
            <w:noWrap/>
            <w:tcMar>
              <w:left w:w="115" w:type="dxa"/>
              <w:right w:w="202" w:type="dxa"/>
            </w:tcMar>
            <w:hideMark/>
          </w:tcPr>
          <w:p w14:paraId="6FBEC2FE" w14:textId="77777777" w:rsidR="00BA63AB" w:rsidRPr="00D8042F" w:rsidRDefault="00BA63AB" w:rsidP="00720BA7">
            <w:pPr>
              <w:jc w:val="right"/>
              <w:rPr>
                <w:b/>
                <w:color w:val="000000"/>
                <w:sz w:val="20"/>
                <w:szCs w:val="20"/>
                <w:lang w:val="en-CA" w:eastAsia="en-CA"/>
              </w:rPr>
            </w:pPr>
            <w:r w:rsidRPr="00D8042F">
              <w:rPr>
                <w:b/>
                <w:color w:val="000000"/>
                <w:sz w:val="20"/>
                <w:szCs w:val="20"/>
                <w:lang w:val="en-CA" w:eastAsia="en-CA"/>
              </w:rPr>
              <w:t>500 100 000</w:t>
            </w:r>
          </w:p>
        </w:tc>
        <w:tc>
          <w:tcPr>
            <w:tcW w:w="963" w:type="pct"/>
            <w:tcBorders>
              <w:top w:val="nil"/>
              <w:left w:val="nil"/>
              <w:bottom w:val="single" w:sz="4" w:space="0" w:color="auto"/>
              <w:right w:val="single" w:sz="4" w:space="0" w:color="auto"/>
            </w:tcBorders>
            <w:shd w:val="clear" w:color="auto" w:fill="auto"/>
            <w:noWrap/>
            <w:tcMar>
              <w:left w:w="115" w:type="dxa"/>
              <w:right w:w="202" w:type="dxa"/>
            </w:tcMar>
            <w:hideMark/>
          </w:tcPr>
          <w:p w14:paraId="044B8DB4" w14:textId="77777777" w:rsidR="00BA63AB" w:rsidRPr="00D8042F" w:rsidRDefault="00BA63AB" w:rsidP="00720BA7">
            <w:pPr>
              <w:jc w:val="right"/>
              <w:rPr>
                <w:b/>
                <w:color w:val="000000"/>
                <w:sz w:val="20"/>
                <w:szCs w:val="20"/>
                <w:lang w:val="en-CA" w:eastAsia="en-CA"/>
              </w:rPr>
            </w:pPr>
            <w:r w:rsidRPr="00D8042F">
              <w:rPr>
                <w:b/>
                <w:color w:val="000000"/>
                <w:sz w:val="20"/>
                <w:szCs w:val="20"/>
                <w:lang w:val="en-CA" w:eastAsia="en-CA"/>
              </w:rPr>
              <w:t>129 419 890</w:t>
            </w:r>
          </w:p>
        </w:tc>
        <w:tc>
          <w:tcPr>
            <w:tcW w:w="818" w:type="pct"/>
            <w:tcBorders>
              <w:top w:val="nil"/>
              <w:left w:val="nil"/>
              <w:bottom w:val="single" w:sz="4" w:space="0" w:color="auto"/>
              <w:right w:val="single" w:sz="4" w:space="0" w:color="auto"/>
            </w:tcBorders>
            <w:shd w:val="clear" w:color="auto" w:fill="auto"/>
            <w:noWrap/>
            <w:tcMar>
              <w:left w:w="115" w:type="dxa"/>
              <w:right w:w="202" w:type="dxa"/>
            </w:tcMar>
            <w:hideMark/>
          </w:tcPr>
          <w:p w14:paraId="6187D694" w14:textId="77777777" w:rsidR="00BA63AB" w:rsidRPr="00D8042F" w:rsidRDefault="00BA63AB" w:rsidP="00720BA7">
            <w:pPr>
              <w:jc w:val="right"/>
              <w:rPr>
                <w:b/>
                <w:color w:val="000000"/>
                <w:sz w:val="20"/>
                <w:szCs w:val="20"/>
                <w:lang w:val="en-CA" w:eastAsia="en-CA"/>
              </w:rPr>
            </w:pPr>
            <w:r w:rsidRPr="00D8042F">
              <w:rPr>
                <w:b/>
                <w:color w:val="000000"/>
                <w:sz w:val="20"/>
                <w:szCs w:val="20"/>
                <w:lang w:val="en-CA" w:eastAsia="en-CA"/>
              </w:rPr>
              <w:t>118 000 000</w:t>
            </w:r>
          </w:p>
        </w:tc>
        <w:tc>
          <w:tcPr>
            <w:tcW w:w="816" w:type="pct"/>
            <w:tcBorders>
              <w:top w:val="nil"/>
              <w:left w:val="nil"/>
              <w:bottom w:val="single" w:sz="4" w:space="0" w:color="auto"/>
              <w:right w:val="single" w:sz="4" w:space="0" w:color="auto"/>
            </w:tcBorders>
            <w:shd w:val="clear" w:color="auto" w:fill="auto"/>
            <w:noWrap/>
            <w:tcMar>
              <w:left w:w="115" w:type="dxa"/>
              <w:right w:w="202" w:type="dxa"/>
            </w:tcMar>
            <w:hideMark/>
          </w:tcPr>
          <w:p w14:paraId="333FE1B4" w14:textId="77777777" w:rsidR="00BA63AB" w:rsidRPr="00D8042F" w:rsidRDefault="00BA63AB" w:rsidP="00720BA7">
            <w:pPr>
              <w:jc w:val="right"/>
              <w:rPr>
                <w:b/>
                <w:color w:val="000000"/>
                <w:sz w:val="20"/>
                <w:szCs w:val="20"/>
                <w:lang w:val="en-CA" w:eastAsia="en-CA"/>
              </w:rPr>
            </w:pPr>
            <w:r w:rsidRPr="00D8042F">
              <w:rPr>
                <w:b/>
                <w:color w:val="000000"/>
                <w:sz w:val="20"/>
                <w:szCs w:val="20"/>
                <w:lang w:val="en-CA" w:eastAsia="en-CA"/>
              </w:rPr>
              <w:t>247 419 890</w:t>
            </w:r>
          </w:p>
        </w:tc>
      </w:tr>
    </w:tbl>
    <w:p w14:paraId="26943F93" w14:textId="77777777" w:rsidR="00BA63AB" w:rsidRPr="00D8042F" w:rsidRDefault="00BA63AB" w:rsidP="00BA63AB">
      <w:pPr>
        <w:rPr>
          <w:sz w:val="18"/>
          <w:szCs w:val="18"/>
          <w:lang w:val="fr-CA"/>
        </w:rPr>
      </w:pPr>
      <w:r w:rsidRPr="00D8042F">
        <w:rPr>
          <w:sz w:val="18"/>
          <w:szCs w:val="18"/>
          <w:lang w:val="fr-CA"/>
        </w:rPr>
        <w:t>* Y compris le montant de 1 000 000</w:t>
      </w:r>
      <w:r>
        <w:rPr>
          <w:sz w:val="18"/>
          <w:szCs w:val="18"/>
          <w:lang w:val="fr-CA"/>
        </w:rPr>
        <w:t> </w:t>
      </w:r>
      <w:r w:rsidRPr="00D8042F">
        <w:rPr>
          <w:sz w:val="18"/>
          <w:szCs w:val="18"/>
          <w:lang w:val="fr-CA"/>
        </w:rPr>
        <w:t>$US approuvé lors de la 84</w:t>
      </w:r>
      <w:r w:rsidRPr="00D8042F">
        <w:rPr>
          <w:sz w:val="18"/>
          <w:szCs w:val="18"/>
          <w:vertAlign w:val="superscript"/>
          <w:lang w:val="fr-CA"/>
        </w:rPr>
        <w:t>e</w:t>
      </w:r>
      <w:r w:rsidRPr="00D8042F">
        <w:rPr>
          <w:sz w:val="18"/>
          <w:szCs w:val="18"/>
          <w:lang w:val="fr-CA"/>
        </w:rPr>
        <w:t> réunion pour le secteur de l’entretien des appareils de réfrigération et les activités de facilitation, et le montant de 27 000 000 $US approuvé lors de la 85</w:t>
      </w:r>
      <w:r w:rsidRPr="00D8042F">
        <w:rPr>
          <w:sz w:val="18"/>
          <w:szCs w:val="18"/>
          <w:vertAlign w:val="superscript"/>
          <w:lang w:val="fr-CA"/>
        </w:rPr>
        <w:t>e</w:t>
      </w:r>
      <w:r w:rsidRPr="00D8042F">
        <w:rPr>
          <w:sz w:val="18"/>
          <w:szCs w:val="18"/>
          <w:lang w:val="fr-CA"/>
        </w:rPr>
        <w:t xml:space="preserve"> réunion pour les secteurs ICR, de la mousse XPS, de la mousse PU et des solvants. </w:t>
      </w:r>
    </w:p>
    <w:p w14:paraId="2057ABAB" w14:textId="77777777" w:rsidR="00BA63AB" w:rsidRPr="00D8042F" w:rsidRDefault="00BA63AB" w:rsidP="00BA63AB">
      <w:pPr>
        <w:rPr>
          <w:lang w:val="fr-CA"/>
        </w:rPr>
      </w:pPr>
    </w:p>
    <w:p w14:paraId="5E617A9D" w14:textId="77777777" w:rsidR="00BA63AB" w:rsidRPr="00D8042F" w:rsidRDefault="00BA63AB" w:rsidP="00BA63AB">
      <w:pPr>
        <w:rPr>
          <w:u w:val="single"/>
          <w:lang w:val="fr-CA"/>
        </w:rPr>
      </w:pPr>
      <w:r w:rsidRPr="00D8042F">
        <w:rPr>
          <w:u w:val="single"/>
          <w:lang w:val="fr-CA"/>
        </w:rPr>
        <w:t>Aperçu des priorités des plans sectoriels pour la phase II du PGEH (période 2021</w:t>
      </w:r>
      <w:r>
        <w:rPr>
          <w:u w:val="single"/>
          <w:lang w:val="fr-CA"/>
        </w:rPr>
        <w:noBreakHyphen/>
      </w:r>
      <w:r w:rsidRPr="00D8042F">
        <w:rPr>
          <w:u w:val="single"/>
          <w:lang w:val="fr-CA"/>
        </w:rPr>
        <w:t>2026)</w:t>
      </w:r>
    </w:p>
    <w:p w14:paraId="5CA9BB6A" w14:textId="77777777" w:rsidR="00BA63AB" w:rsidRPr="00D8042F" w:rsidRDefault="00BA63AB" w:rsidP="00BA63AB">
      <w:pPr>
        <w:rPr>
          <w:lang w:val="fr-CA"/>
        </w:rPr>
      </w:pPr>
    </w:p>
    <w:p w14:paraId="7687BE4D" w14:textId="77777777" w:rsidR="00BA63AB" w:rsidRPr="00D8042F" w:rsidRDefault="00BA63AB" w:rsidP="00BA63AB">
      <w:pPr>
        <w:pStyle w:val="Heading1"/>
        <w:rPr>
          <w:lang w:val="fr-CA"/>
        </w:rPr>
      </w:pPr>
      <w:r w:rsidRPr="00D8042F">
        <w:rPr>
          <w:lang w:val="fr-CA"/>
        </w:rPr>
        <w:t>Le sommaire des priorités dans chacun des plans sectoriels pour la période 2021</w:t>
      </w:r>
      <w:r w:rsidRPr="00D8042F">
        <w:rPr>
          <w:lang w:val="fr-CA"/>
        </w:rPr>
        <w:noBreakHyphen/>
        <w:t>2026 est présenté ci</w:t>
      </w:r>
      <w:r w:rsidRPr="00D8042F">
        <w:rPr>
          <w:lang w:val="fr-CA"/>
        </w:rPr>
        <w:noBreakHyphen/>
        <w:t xml:space="preserve">dessous : </w:t>
      </w:r>
    </w:p>
    <w:p w14:paraId="509C8649" w14:textId="0B68CA5E" w:rsidR="00BA63AB" w:rsidRPr="00960C08" w:rsidRDefault="00BA63AB" w:rsidP="00BA63AB">
      <w:pPr>
        <w:pStyle w:val="Heading2"/>
        <w:numPr>
          <w:ilvl w:val="1"/>
          <w:numId w:val="1"/>
        </w:numPr>
        <w:rPr>
          <w:lang w:val="fr-CA"/>
        </w:rPr>
      </w:pPr>
      <w:r w:rsidRPr="00D8042F">
        <w:rPr>
          <w:i/>
          <w:lang w:val="fr-CA"/>
        </w:rPr>
        <w:t>Secteur ICR </w:t>
      </w:r>
      <w:r w:rsidRPr="00D8042F">
        <w:rPr>
          <w:lang w:val="fr-CA"/>
        </w:rPr>
        <w:t>: Compte tenu du financement limité et du grand nombre de sous</w:t>
      </w:r>
      <w:r>
        <w:rPr>
          <w:lang w:val="fr-CA"/>
        </w:rPr>
        <w:noBreakHyphen/>
      </w:r>
      <w:r w:rsidRPr="00D8042F">
        <w:rPr>
          <w:lang w:val="fr-CA"/>
        </w:rPr>
        <w:t>secteurs avec des types de produits et technologies de remplacement complexes, le plan sectoriel prolongé révisé financera des proje</w:t>
      </w:r>
      <w:r>
        <w:rPr>
          <w:lang w:val="fr-CA"/>
        </w:rPr>
        <w:t>ts de reconversion de première chaîne</w:t>
      </w:r>
      <w:r w:rsidRPr="00D8042F">
        <w:rPr>
          <w:lang w:val="fr-CA"/>
        </w:rPr>
        <w:t xml:space="preserve"> de production à des technologies de remplacement à faible PRP dans les quatre sous</w:t>
      </w:r>
      <w:r>
        <w:rPr>
          <w:lang w:val="fr-CA"/>
        </w:rPr>
        <w:noBreakHyphen/>
      </w:r>
      <w:r w:rsidRPr="00D8042F">
        <w:rPr>
          <w:lang w:val="fr-CA"/>
        </w:rPr>
        <w:t>secteurs ci</w:t>
      </w:r>
      <w:r>
        <w:rPr>
          <w:lang w:val="fr-CA"/>
        </w:rPr>
        <w:noBreakHyphen/>
      </w:r>
      <w:r w:rsidRPr="00D8042F">
        <w:rPr>
          <w:lang w:val="fr-CA"/>
        </w:rPr>
        <w:t xml:space="preserve">après : congélateurs et appareils de réfrigération et de condensation, refroidisseurs d’eau (pompes thermiques), climatiseurs individuels, et réchauffeurs d’eau à pompe thermique. On mettra l’accent sur la promotion des projets de reconversion de </w:t>
      </w:r>
      <w:r>
        <w:rPr>
          <w:lang w:val="fr-CA"/>
        </w:rPr>
        <w:t>chaînes</w:t>
      </w:r>
      <w:r w:rsidRPr="00D8042F">
        <w:rPr>
          <w:lang w:val="fr-CA"/>
        </w:rPr>
        <w:t xml:space="preserve"> de production dans les PME, afin de vérifier la faisabilité et l’applicabilité des technologies de remplacement sélectionnées. En tant que composant clé de l’équipement ICR, on a donné la prior</w:t>
      </w:r>
      <w:r>
        <w:rPr>
          <w:lang w:val="fr-CA"/>
        </w:rPr>
        <w:t>ité à la reconversion des chaînes</w:t>
      </w:r>
      <w:r w:rsidRPr="00D8042F">
        <w:rPr>
          <w:lang w:val="fr-CA"/>
        </w:rPr>
        <w:t xml:space="preserve"> de fabrication de compresseurs. Le plan sectoriel prolongé révisé comprend également la recherche sur les technologies de remplacement, la révision des normes </w:t>
      </w:r>
      <w:r>
        <w:rPr>
          <w:lang w:val="fr-CA"/>
        </w:rPr>
        <w:t>et</w:t>
      </w:r>
      <w:r w:rsidRPr="00D8042F">
        <w:rPr>
          <w:lang w:val="fr-CA"/>
        </w:rPr>
        <w:t xml:space="preserve"> politiques</w:t>
      </w:r>
      <w:r>
        <w:rPr>
          <w:lang w:val="fr-CA"/>
        </w:rPr>
        <w:t xml:space="preserve"> concernées</w:t>
      </w:r>
      <w:r w:rsidRPr="00D8042F">
        <w:rPr>
          <w:lang w:val="fr-CA"/>
        </w:rPr>
        <w:t>, la publicité et les activités de formation (PNUD) (32 693 710 $US)</w:t>
      </w:r>
      <w:r w:rsidR="006E1DC9">
        <w:rPr>
          <w:lang w:val="fr-CA"/>
        </w:rPr>
        <w:t xml:space="preserve"> </w:t>
      </w:r>
      <w:r w:rsidRPr="00D8042F">
        <w:rPr>
          <w:lang w:val="fr-CA"/>
        </w:rPr>
        <w:t xml:space="preserve">; </w:t>
      </w:r>
    </w:p>
    <w:p w14:paraId="1FD8712B" w14:textId="4A41100C" w:rsidR="00BA63AB" w:rsidRPr="00D8042F" w:rsidRDefault="00BA63AB" w:rsidP="00BA63AB">
      <w:pPr>
        <w:pStyle w:val="Heading2"/>
        <w:numPr>
          <w:ilvl w:val="1"/>
          <w:numId w:val="1"/>
        </w:numPr>
        <w:rPr>
          <w:lang w:val="fr-CA"/>
        </w:rPr>
      </w:pPr>
      <w:r w:rsidRPr="00D8042F">
        <w:rPr>
          <w:i/>
          <w:lang w:val="fr-CA"/>
        </w:rPr>
        <w:t>Secteur RAC </w:t>
      </w:r>
      <w:r w:rsidRPr="00D8042F">
        <w:rPr>
          <w:lang w:val="fr-CA"/>
        </w:rPr>
        <w:t>: Compte tenu des reconversions de chaînes de production de R</w:t>
      </w:r>
      <w:r>
        <w:rPr>
          <w:lang w:val="fr-CA"/>
        </w:rPr>
        <w:noBreakHyphen/>
      </w:r>
      <w:r w:rsidRPr="00D8042F">
        <w:rPr>
          <w:lang w:val="fr-CA"/>
        </w:rPr>
        <w:t>290 terminées lors de la phase I du PGEH, et de celles en cours dans le cadre des deux premières tranches approuvées de la phase II, le plan sectoriel prolongé révisé est axé sur la promotion de l’adoption de l’équipement RAC sur le marché du R</w:t>
      </w:r>
      <w:r>
        <w:rPr>
          <w:lang w:val="fr-CA"/>
        </w:rPr>
        <w:noBreakHyphen/>
      </w:r>
      <w:r w:rsidRPr="00D8042F">
        <w:rPr>
          <w:lang w:val="fr-CA"/>
        </w:rPr>
        <w:t>290, la recherche sur les technologies de remplacement, la révision des normes et politiques concernées, la publicité et les activités de formation. Un nombre limité de chaînes de fabrication supplémentaires sera reconverti en vertu des tranches restantes au R</w:t>
      </w:r>
      <w:r>
        <w:rPr>
          <w:lang w:val="fr-CA"/>
        </w:rPr>
        <w:noBreakHyphen/>
      </w:r>
      <w:r w:rsidRPr="00D8042F">
        <w:rPr>
          <w:lang w:val="fr-CA"/>
        </w:rPr>
        <w:t>290, et des surcoûts d’exploitation seront fournis (ONUDI, le gouvernement de l’Autriche) (28 831 100 $US)</w:t>
      </w:r>
      <w:r w:rsidR="006E1DC9">
        <w:rPr>
          <w:lang w:val="fr-CA"/>
        </w:rPr>
        <w:t> </w:t>
      </w:r>
      <w:r w:rsidRPr="00D8042F">
        <w:rPr>
          <w:lang w:val="fr-CA"/>
        </w:rPr>
        <w:t xml:space="preserve">; </w:t>
      </w:r>
    </w:p>
    <w:p w14:paraId="4D7A3F82" w14:textId="4EA6CBDE" w:rsidR="00BA63AB" w:rsidRPr="00D8042F" w:rsidRDefault="00BA63AB" w:rsidP="00BA63AB">
      <w:pPr>
        <w:pStyle w:val="Heading2"/>
        <w:numPr>
          <w:ilvl w:val="1"/>
          <w:numId w:val="1"/>
        </w:numPr>
        <w:rPr>
          <w:lang w:val="fr-CA"/>
        </w:rPr>
      </w:pPr>
      <w:r w:rsidRPr="00D8042F">
        <w:rPr>
          <w:i/>
          <w:lang w:val="fr-CA"/>
        </w:rPr>
        <w:t xml:space="preserve">Secteur de l’entretien : </w:t>
      </w:r>
      <w:r w:rsidRPr="00D8042F">
        <w:rPr>
          <w:lang w:val="fr-CA"/>
        </w:rPr>
        <w:t>À partir d’activités menées au cours des phases I et II, le plan sectoriel prolongé révisé mettra l’accent sur les exigences relatives aux codes sectoriels d’entretien et aux qualifications, la révision des politiques et normes concernées, le renforcement des capacités de l’EEB et des douanes, la publicité et la formation des techniciens, et l’harmonisation avec les plans sectoriels de fabrication concernés, afin de satisfaire les exigences à long terme en matière de conformité (PNUE, gouvernements de l’Allemagne et du Japon) (12 717 105 $US)</w:t>
      </w:r>
      <w:r w:rsidR="006E1DC9">
        <w:rPr>
          <w:lang w:val="fr-CA"/>
        </w:rPr>
        <w:t xml:space="preserve"> </w:t>
      </w:r>
      <w:r w:rsidRPr="00D8042F">
        <w:rPr>
          <w:lang w:val="fr-CA"/>
        </w:rPr>
        <w:t xml:space="preserve">; </w:t>
      </w:r>
    </w:p>
    <w:p w14:paraId="65E3439A" w14:textId="6FD38B85" w:rsidR="00BA63AB" w:rsidRPr="00960C08" w:rsidRDefault="00BA63AB" w:rsidP="00BA63AB">
      <w:pPr>
        <w:pStyle w:val="Heading2"/>
        <w:numPr>
          <w:ilvl w:val="1"/>
          <w:numId w:val="1"/>
        </w:numPr>
        <w:rPr>
          <w:lang w:val="fr-CA"/>
        </w:rPr>
      </w:pPr>
      <w:r w:rsidRPr="00D8042F">
        <w:rPr>
          <w:i/>
          <w:lang w:val="fr-CA"/>
        </w:rPr>
        <w:t>Secteur de la mousse XPS :</w:t>
      </w:r>
      <w:r w:rsidRPr="00D8042F">
        <w:rPr>
          <w:lang w:val="fr-CA"/>
        </w:rPr>
        <w:t xml:space="preserve"> Compte tenu du financement limité, le nombre de projets d’investissement dans le plan sectoriel révisé a dû être sensiblement réduit, soit à 11 entreprises. Le soutien apporté aux activités d’assistance technique, comme la publicité, la formation, la supervision et la gestion, la recherche sur l’optimisation des technologies de remplacement, et la formulation et la révision des politiques et des normes, sera renforcé (ONUDI, gouvernement de l’Allemagne) (18 534 654 $US)</w:t>
      </w:r>
      <w:r w:rsidR="006E1DC9">
        <w:rPr>
          <w:lang w:val="fr-CA"/>
        </w:rPr>
        <w:t xml:space="preserve"> </w:t>
      </w:r>
      <w:r w:rsidRPr="00D8042F">
        <w:rPr>
          <w:lang w:val="fr-CA"/>
        </w:rPr>
        <w:t>;</w:t>
      </w:r>
    </w:p>
    <w:p w14:paraId="5AA561EE" w14:textId="43F8D724" w:rsidR="00BA63AB" w:rsidRPr="00960C08" w:rsidRDefault="00BA63AB" w:rsidP="00BA63AB">
      <w:pPr>
        <w:pStyle w:val="Heading2"/>
        <w:numPr>
          <w:ilvl w:val="1"/>
          <w:numId w:val="1"/>
        </w:numPr>
        <w:rPr>
          <w:lang w:val="fr-CA"/>
        </w:rPr>
      </w:pPr>
      <w:r w:rsidRPr="00D8042F">
        <w:rPr>
          <w:i/>
          <w:lang w:val="fr-CA"/>
        </w:rPr>
        <w:lastRenderedPageBreak/>
        <w:t xml:space="preserve">Secteur de la mousse PU : </w:t>
      </w:r>
      <w:r w:rsidRPr="00D8042F">
        <w:rPr>
          <w:lang w:val="fr-CA"/>
        </w:rPr>
        <w:t>Compte tenu du financement limité, le projet sera axé sur les besoins de reconversion des PME, en renforçant le rôle joué par les sociétés de formulation et en augmentant le financement des reconversions au sein des PME. Les activités d’assistance technique, comme la publicité, la formation, la supervision et la gestion, la recherche sur l’optimisation des technologies de remplacement, et la formulation et la révision des politiques et normes seront consolidées (Banque mondiale) (19 200 000 $US)</w:t>
      </w:r>
      <w:r w:rsidR="006E1DC9">
        <w:rPr>
          <w:lang w:val="fr-CA"/>
        </w:rPr>
        <w:t xml:space="preserve"> </w:t>
      </w:r>
      <w:r w:rsidRPr="00D8042F">
        <w:rPr>
          <w:lang w:val="fr-CA"/>
        </w:rPr>
        <w:t>;</w:t>
      </w:r>
      <w:r w:rsidR="006E1DC9">
        <w:rPr>
          <w:lang w:val="fr-CA"/>
        </w:rPr>
        <w:t xml:space="preserve"> et</w:t>
      </w:r>
      <w:r w:rsidRPr="00D8042F">
        <w:rPr>
          <w:lang w:val="fr-CA"/>
        </w:rPr>
        <w:t xml:space="preserve"> </w:t>
      </w:r>
    </w:p>
    <w:p w14:paraId="15AAD263" w14:textId="77777777" w:rsidR="00BA63AB" w:rsidRPr="00D8042F" w:rsidRDefault="00BA63AB" w:rsidP="00BA63AB">
      <w:pPr>
        <w:pStyle w:val="Heading2"/>
        <w:numPr>
          <w:ilvl w:val="1"/>
          <w:numId w:val="1"/>
        </w:numPr>
        <w:rPr>
          <w:lang w:val="fr-CA"/>
        </w:rPr>
      </w:pPr>
      <w:r w:rsidRPr="00D8042F">
        <w:rPr>
          <w:i/>
          <w:lang w:val="fr-CA"/>
        </w:rPr>
        <w:t xml:space="preserve">Secteur des solvants : </w:t>
      </w:r>
      <w:r w:rsidRPr="00D8042F">
        <w:rPr>
          <w:iCs/>
          <w:lang w:val="fr-CA"/>
        </w:rPr>
        <w:t xml:space="preserve">Compte tenu de la complexité </w:t>
      </w:r>
      <w:r w:rsidRPr="00D8042F">
        <w:rPr>
          <w:lang w:val="fr-CA"/>
        </w:rPr>
        <w:t>des sous</w:t>
      </w:r>
      <w:r>
        <w:rPr>
          <w:lang w:val="fr-CA"/>
        </w:rPr>
        <w:noBreakHyphen/>
      </w:r>
      <w:r w:rsidRPr="00D8042F">
        <w:rPr>
          <w:lang w:val="fr-CA"/>
        </w:rPr>
        <w:t xml:space="preserve">secteurs, de la diversité des exigences et procédés concernant les nettoyeurs </w:t>
      </w:r>
      <w:r>
        <w:rPr>
          <w:lang w:val="fr-CA"/>
        </w:rPr>
        <w:t>à</w:t>
      </w:r>
      <w:r w:rsidRPr="00D8042F">
        <w:rPr>
          <w:lang w:val="fr-CA"/>
        </w:rPr>
        <w:t xml:space="preserve"> solvants, et des projets d’investissement déjà mis en œuvre au cours des phases I et II, des projets d’investissement limité seront mis en œuvre, et les activités d’assistance technique, comme la révision des politiques et normes pertinentes, la publicité et la formation, la supervision et la gestion, seront consolidées (PNUD) (6 023 431 $US); </w:t>
      </w:r>
    </w:p>
    <w:p w14:paraId="5555DB28" w14:textId="77777777" w:rsidR="00BA63AB" w:rsidRPr="00D8042F" w:rsidRDefault="00BA63AB" w:rsidP="00BA63AB">
      <w:pPr>
        <w:rPr>
          <w:b/>
          <w:lang w:val="fr-CA"/>
        </w:rPr>
      </w:pPr>
      <w:r w:rsidRPr="00D8042F">
        <w:rPr>
          <w:b/>
          <w:lang w:val="fr-CA"/>
        </w:rPr>
        <w:t xml:space="preserve">Projet d’Accord révisé pour la phase II du PGEH </w:t>
      </w:r>
    </w:p>
    <w:p w14:paraId="59C57A67" w14:textId="77777777" w:rsidR="00BA63AB" w:rsidRPr="00D8042F" w:rsidRDefault="00BA63AB" w:rsidP="00BA63AB">
      <w:pPr>
        <w:rPr>
          <w:u w:val="single"/>
          <w:lang w:val="fr-CA"/>
        </w:rPr>
      </w:pPr>
    </w:p>
    <w:p w14:paraId="07F59857" w14:textId="77777777" w:rsidR="00BA63AB" w:rsidRPr="00D8042F" w:rsidRDefault="00BA63AB" w:rsidP="00BA63AB">
      <w:pPr>
        <w:pStyle w:val="Heading1"/>
        <w:rPr>
          <w:lang w:val="fr-CA"/>
        </w:rPr>
      </w:pPr>
      <w:r w:rsidRPr="00D8042F">
        <w:rPr>
          <w:lang w:val="fr-CA"/>
        </w:rPr>
        <w:t>Conformément à la décision 84/69 a) vii), le PNUD, en sa qualité d’agence d’exécution principale de la phase II générale du PGEH, a remis un projet d’Accord révisé ne reflétant que les résultats approuvés lors de la 84</w:t>
      </w:r>
      <w:r w:rsidRPr="00D8042F">
        <w:rPr>
          <w:vertAlign w:val="superscript"/>
          <w:lang w:val="fr-CA"/>
        </w:rPr>
        <w:t>e</w:t>
      </w:r>
      <w:r w:rsidRPr="00D8042F">
        <w:rPr>
          <w:lang w:val="fr-CA"/>
        </w:rPr>
        <w:t xml:space="preserve"> réunion, en particulier les suivants : </w:t>
      </w:r>
    </w:p>
    <w:p w14:paraId="73E1E9B0" w14:textId="700CB778" w:rsidR="00BA63AB" w:rsidRPr="00D8042F" w:rsidRDefault="00BA63AB" w:rsidP="00BA63AB">
      <w:pPr>
        <w:pStyle w:val="Heading2"/>
        <w:numPr>
          <w:ilvl w:val="1"/>
          <w:numId w:val="1"/>
        </w:numPr>
        <w:rPr>
          <w:lang w:val="fr-CA"/>
        </w:rPr>
      </w:pPr>
      <w:r w:rsidRPr="00D8042F">
        <w:rPr>
          <w:lang w:val="fr-CA"/>
        </w:rPr>
        <w:t>Prolongement, jusqu’en 2026, de la phase II concernant les secteurs RAC, ICR et de l’entretien des appareils de réfrigération et le programme national de facilitation, et, pour les secteurs RAC et ICR, les niveaux de consommation sectorielle maximale autorisée des HCFC, décrits aux lignes 1.3.1 et 1.3.4 de l’Appendice 2</w:t>
      </w:r>
      <w:r>
        <w:rPr>
          <w:lang w:val="fr-CA"/>
        </w:rPr>
        <w:noBreakHyphen/>
      </w:r>
      <w:r w:rsidRPr="00D8042F">
        <w:rPr>
          <w:lang w:val="fr-CA"/>
        </w:rPr>
        <w:t>A et révisions à l’Appendice 8</w:t>
      </w:r>
      <w:r>
        <w:rPr>
          <w:lang w:val="fr-CA"/>
        </w:rPr>
        <w:noBreakHyphen/>
      </w:r>
      <w:r w:rsidRPr="00D8042F">
        <w:rPr>
          <w:lang w:val="fr-CA"/>
        </w:rPr>
        <w:t>A</w:t>
      </w:r>
      <w:r w:rsidR="006E1DC9">
        <w:rPr>
          <w:lang w:val="fr-CA"/>
        </w:rPr>
        <w:t> </w:t>
      </w:r>
      <w:r w:rsidRPr="00D8042F">
        <w:rPr>
          <w:lang w:val="fr-CA"/>
        </w:rPr>
        <w:t xml:space="preserve">; </w:t>
      </w:r>
    </w:p>
    <w:p w14:paraId="3CCF0BF5" w14:textId="77777777" w:rsidR="00BA63AB" w:rsidRPr="00D8042F" w:rsidRDefault="00BA63AB" w:rsidP="00BA63AB">
      <w:pPr>
        <w:pStyle w:val="Heading2"/>
        <w:numPr>
          <w:ilvl w:val="1"/>
          <w:numId w:val="1"/>
        </w:numPr>
        <w:rPr>
          <w:lang w:val="fr-CA"/>
        </w:rPr>
      </w:pPr>
      <w:r w:rsidRPr="00D8042F">
        <w:rPr>
          <w:lang w:val="fr-CA"/>
        </w:rPr>
        <w:t>Chiffres pour les révisions potentielles de l’Appendice 2</w:t>
      </w:r>
      <w:r>
        <w:rPr>
          <w:lang w:val="fr-CA"/>
        </w:rPr>
        <w:noBreakHyphen/>
      </w:r>
      <w:r w:rsidRPr="00D8042F">
        <w:rPr>
          <w:lang w:val="fr-CA"/>
        </w:rPr>
        <w:t xml:space="preserve">A pour : </w:t>
      </w:r>
    </w:p>
    <w:p w14:paraId="6E0A9C21" w14:textId="3A7956BB" w:rsidR="00BA63AB" w:rsidRPr="00D8042F" w:rsidRDefault="00BA63AB" w:rsidP="00BA63AB">
      <w:pPr>
        <w:pStyle w:val="Heading3"/>
        <w:numPr>
          <w:ilvl w:val="2"/>
          <w:numId w:val="1"/>
        </w:numPr>
        <w:rPr>
          <w:lang w:val="fr-CA"/>
        </w:rPr>
      </w:pPr>
      <w:r w:rsidRPr="00D8042F">
        <w:rPr>
          <w:lang w:val="fr-CA"/>
        </w:rPr>
        <w:t>La ligne 1.2 indiquant la consommation totale maximale autorisée de HCFC pour la période 2021</w:t>
      </w:r>
      <w:r>
        <w:rPr>
          <w:lang w:val="fr-CA"/>
        </w:rPr>
        <w:noBreakHyphen/>
      </w:r>
      <w:r w:rsidRPr="00D8042F">
        <w:rPr>
          <w:lang w:val="fr-CA"/>
        </w:rPr>
        <w:t>2026, de manière à refléter les renseignements du sous</w:t>
      </w:r>
      <w:r>
        <w:rPr>
          <w:lang w:val="fr-CA"/>
        </w:rPr>
        <w:noBreakHyphen/>
      </w:r>
      <w:r w:rsidRPr="00D8042F">
        <w:rPr>
          <w:lang w:val="fr-CA"/>
        </w:rPr>
        <w:t>paragraphe a), ci</w:t>
      </w:r>
      <w:r>
        <w:rPr>
          <w:lang w:val="fr-CA"/>
        </w:rPr>
        <w:noBreakHyphen/>
      </w:r>
      <w:r w:rsidRPr="00D8042F">
        <w:rPr>
          <w:lang w:val="fr-CA"/>
        </w:rPr>
        <w:t>dessus</w:t>
      </w:r>
      <w:r w:rsidR="006E1DC9">
        <w:rPr>
          <w:lang w:val="fr-CA"/>
        </w:rPr>
        <w:t xml:space="preserve"> </w:t>
      </w:r>
      <w:r w:rsidRPr="00D8042F">
        <w:rPr>
          <w:lang w:val="fr-CA"/>
        </w:rPr>
        <w:t xml:space="preserve">; </w:t>
      </w:r>
    </w:p>
    <w:p w14:paraId="28148DEF" w14:textId="16795CEC" w:rsidR="00BA63AB" w:rsidRPr="00D8042F" w:rsidRDefault="00BA63AB" w:rsidP="00BA63AB">
      <w:pPr>
        <w:pStyle w:val="Heading3"/>
        <w:numPr>
          <w:ilvl w:val="2"/>
          <w:numId w:val="1"/>
        </w:numPr>
        <w:rPr>
          <w:lang w:val="fr-CA"/>
        </w:rPr>
      </w:pPr>
      <w:r w:rsidRPr="00D8042F">
        <w:rPr>
          <w:lang w:val="fr-CA"/>
        </w:rPr>
        <w:t>Les tranches de financement des secteurs de la mousse XPS, de la mousse PU et des solvants pour 2021</w:t>
      </w:r>
      <w:r>
        <w:rPr>
          <w:lang w:val="fr-CA"/>
        </w:rPr>
        <w:noBreakHyphen/>
      </w:r>
      <w:r w:rsidRPr="00D8042F">
        <w:rPr>
          <w:lang w:val="fr-CA"/>
        </w:rPr>
        <w:t>2026 aux lignes 2.2.1 à 2.2.4, 2.3.1 à 2.3.2 et 2.6.1 à 2.6.2, respectivement</w:t>
      </w:r>
      <w:r w:rsidR="006E1DC9">
        <w:rPr>
          <w:lang w:val="fr-CA"/>
        </w:rPr>
        <w:t xml:space="preserve"> </w:t>
      </w:r>
      <w:r w:rsidRPr="00D8042F">
        <w:rPr>
          <w:lang w:val="fr-CA"/>
        </w:rPr>
        <w:t>;</w:t>
      </w:r>
    </w:p>
    <w:p w14:paraId="3795CBB0" w14:textId="64713069" w:rsidR="00BA63AB" w:rsidRPr="00D8042F" w:rsidRDefault="00BA63AB" w:rsidP="00BA63AB">
      <w:pPr>
        <w:pStyle w:val="Heading3"/>
        <w:numPr>
          <w:ilvl w:val="2"/>
          <w:numId w:val="1"/>
        </w:numPr>
        <w:rPr>
          <w:lang w:val="fr-CA"/>
        </w:rPr>
      </w:pPr>
      <w:r w:rsidRPr="00D8042F">
        <w:rPr>
          <w:lang w:val="fr-CA"/>
        </w:rPr>
        <w:t xml:space="preserve">Les </w:t>
      </w:r>
      <w:r>
        <w:rPr>
          <w:lang w:val="fr-CA"/>
        </w:rPr>
        <w:t>quantités</w:t>
      </w:r>
      <w:r w:rsidRPr="00D8042F">
        <w:rPr>
          <w:lang w:val="fr-CA"/>
        </w:rPr>
        <w:t xml:space="preserve"> associé</w:t>
      </w:r>
      <w:r>
        <w:rPr>
          <w:lang w:val="fr-CA"/>
        </w:rPr>
        <w:t>e</w:t>
      </w:r>
      <w:r w:rsidRPr="00D8042F">
        <w:rPr>
          <w:lang w:val="fr-CA"/>
        </w:rPr>
        <w:t>s aux lignes 4.1.1 à 4.6.3, de manière à refléter les renseignements au sous</w:t>
      </w:r>
      <w:r>
        <w:rPr>
          <w:lang w:val="fr-CA"/>
        </w:rPr>
        <w:noBreakHyphen/>
      </w:r>
      <w:r w:rsidRPr="00D8042F">
        <w:rPr>
          <w:lang w:val="fr-CA"/>
        </w:rPr>
        <w:t>paragraphe a), ci</w:t>
      </w:r>
      <w:r>
        <w:rPr>
          <w:lang w:val="fr-CA"/>
        </w:rPr>
        <w:noBreakHyphen/>
      </w:r>
      <w:r w:rsidRPr="00D8042F">
        <w:rPr>
          <w:lang w:val="fr-CA"/>
        </w:rPr>
        <w:t>dessus</w:t>
      </w:r>
      <w:r w:rsidR="006E1DC9">
        <w:rPr>
          <w:lang w:val="fr-CA"/>
        </w:rPr>
        <w:t xml:space="preserve"> </w:t>
      </w:r>
      <w:r w:rsidRPr="00D8042F">
        <w:rPr>
          <w:lang w:val="fr-CA"/>
        </w:rPr>
        <w:t>;</w:t>
      </w:r>
      <w:r w:rsidR="006E1DC9">
        <w:rPr>
          <w:lang w:val="fr-CA"/>
        </w:rPr>
        <w:t xml:space="preserve"> et</w:t>
      </w:r>
      <w:r w:rsidRPr="00D8042F">
        <w:rPr>
          <w:lang w:val="fr-CA"/>
        </w:rPr>
        <w:t xml:space="preserve"> </w:t>
      </w:r>
    </w:p>
    <w:p w14:paraId="08B3EBD1" w14:textId="77777777" w:rsidR="00BA63AB" w:rsidRPr="00D8042F" w:rsidRDefault="00BA63AB" w:rsidP="00BA63AB">
      <w:pPr>
        <w:pStyle w:val="Heading2"/>
        <w:numPr>
          <w:ilvl w:val="1"/>
          <w:numId w:val="1"/>
        </w:numPr>
        <w:rPr>
          <w:lang w:val="fr-CA"/>
        </w:rPr>
      </w:pPr>
      <w:r w:rsidRPr="00D8042F">
        <w:rPr>
          <w:lang w:val="fr-CA"/>
        </w:rPr>
        <w:t>Une clause révisée de sanction à l’Appendice 7</w:t>
      </w:r>
      <w:r>
        <w:rPr>
          <w:lang w:val="fr-CA"/>
        </w:rPr>
        <w:noBreakHyphen/>
      </w:r>
      <w:r w:rsidRPr="00D8042F">
        <w:rPr>
          <w:lang w:val="fr-CA"/>
        </w:rPr>
        <w:t xml:space="preserve">A, conformément au niveau révisé de financement et d’élimination des HCFC. </w:t>
      </w:r>
    </w:p>
    <w:p w14:paraId="796A7256" w14:textId="77777777" w:rsidR="00BA63AB" w:rsidRPr="00960C08" w:rsidRDefault="00BA63AB" w:rsidP="00BA63AB">
      <w:pPr>
        <w:pStyle w:val="Heading1"/>
        <w:rPr>
          <w:lang w:val="fr-CA"/>
        </w:rPr>
      </w:pPr>
      <w:r w:rsidRPr="00960C08">
        <w:rPr>
          <w:lang w:val="fr-CA"/>
        </w:rPr>
        <w:t xml:space="preserve">En outre, le PNUD a proposé des changements aux paragraphes 5 c) et 7) a) iv), respectivement, du projet d’Accord révisé : </w:t>
      </w:r>
    </w:p>
    <w:p w14:paraId="03B13D0A" w14:textId="09DA194B" w:rsidR="00BA63AB" w:rsidRPr="00960C08" w:rsidRDefault="00BA63AB" w:rsidP="00BA63AB">
      <w:pPr>
        <w:pStyle w:val="Heading2"/>
        <w:numPr>
          <w:ilvl w:val="1"/>
          <w:numId w:val="1"/>
        </w:numPr>
        <w:rPr>
          <w:lang w:val="fr-CA" w:bidi="en-US"/>
        </w:rPr>
      </w:pPr>
      <w:r>
        <w:rPr>
          <w:lang w:val="fr-CA"/>
        </w:rPr>
        <w:t>P</w:t>
      </w:r>
      <w:r w:rsidRPr="00960C08">
        <w:rPr>
          <w:lang w:val="fr-CA"/>
        </w:rPr>
        <w:t>réciser que l’échantillonnage aléatoire des chaînes de fabrication à vérifier au cours d’une année donnée représentait au moins 10 pour cent de la consommation éliminée dans les chaînes de fabrication reconverties grâce à l’assistance financière du Fonds multilatéral dans le secteur cette même année</w:t>
      </w:r>
      <w:r w:rsidR="006E1DC9">
        <w:rPr>
          <w:lang w:val="fr-CA"/>
        </w:rPr>
        <w:t xml:space="preserve"> </w:t>
      </w:r>
      <w:r w:rsidRPr="00960C08">
        <w:rPr>
          <w:lang w:val="fr-CA"/>
        </w:rPr>
        <w:t>;</w:t>
      </w:r>
      <w:r w:rsidR="006E1DC9">
        <w:rPr>
          <w:lang w:val="fr-CA"/>
        </w:rPr>
        <w:t xml:space="preserve"> et</w:t>
      </w:r>
    </w:p>
    <w:p w14:paraId="417F5C69" w14:textId="77777777" w:rsidR="00BA63AB" w:rsidRPr="00960C08" w:rsidRDefault="00BA63AB" w:rsidP="00E3303D">
      <w:pPr>
        <w:pStyle w:val="Heading2"/>
        <w:keepNext/>
        <w:keepLines/>
        <w:numPr>
          <w:ilvl w:val="1"/>
          <w:numId w:val="1"/>
        </w:numPr>
        <w:rPr>
          <w:lang w:val="fr-CA" w:bidi="en-US"/>
        </w:rPr>
      </w:pPr>
      <w:r w:rsidRPr="00D8042F">
        <w:rPr>
          <w:lang w:val="fr-CA" w:bidi="en-US"/>
        </w:rPr>
        <w:lastRenderedPageBreak/>
        <w:t>Modifier la définition d’un changement majeur, passant de 20 pour cent du coût total de la dernière tranche approuvée, ou 2,5 millions $US, selon la valeur la plus faible, à 30 pour cent de la dernière tranche approuvée.</w:t>
      </w:r>
    </w:p>
    <w:p w14:paraId="4E08EF53" w14:textId="77777777" w:rsidR="00BA63AB" w:rsidRPr="00960C08" w:rsidRDefault="00BA63AB" w:rsidP="00BA63AB">
      <w:pPr>
        <w:pStyle w:val="Heading1"/>
        <w:rPr>
          <w:lang w:val="fr-CA"/>
        </w:rPr>
      </w:pPr>
      <w:r w:rsidRPr="00D8042F">
        <w:rPr>
          <w:lang w:val="fr-CA"/>
        </w:rPr>
        <w:t xml:space="preserve">Le projet d’Accord révisé figure à l’annexe II du présent document. </w:t>
      </w:r>
    </w:p>
    <w:p w14:paraId="47D2326C" w14:textId="77777777" w:rsidR="00BA63AB" w:rsidRPr="00D8042F" w:rsidRDefault="00BA63AB" w:rsidP="00BA63AB">
      <w:pPr>
        <w:rPr>
          <w:b/>
          <w:lang w:val="fr-CA" w:bidi="en-US"/>
        </w:rPr>
      </w:pPr>
      <w:r w:rsidRPr="00D8042F">
        <w:rPr>
          <w:b/>
          <w:lang w:val="fr-CA" w:bidi="en-US"/>
        </w:rPr>
        <w:t>Observations du Secrétariat</w:t>
      </w:r>
    </w:p>
    <w:p w14:paraId="65E528F5" w14:textId="77777777" w:rsidR="00BA63AB" w:rsidRPr="00D8042F" w:rsidRDefault="00BA63AB" w:rsidP="00BA63AB">
      <w:pPr>
        <w:rPr>
          <w:lang w:val="fr-CA" w:bidi="en-US"/>
        </w:rPr>
      </w:pPr>
    </w:p>
    <w:p w14:paraId="23612309" w14:textId="77777777" w:rsidR="00BA63AB" w:rsidRPr="00960C08" w:rsidRDefault="00BA63AB" w:rsidP="00BA63AB">
      <w:pPr>
        <w:pStyle w:val="Heading1"/>
        <w:rPr>
          <w:lang w:val="fr-CA" w:bidi="en-US"/>
        </w:rPr>
      </w:pPr>
      <w:r w:rsidRPr="00D8042F">
        <w:rPr>
          <w:lang w:val="fr-CA" w:bidi="en-US"/>
        </w:rPr>
        <w:t>Afin de faciliter l’examen de la phase II révisée du PGEH en Chine, le Secrétariat a consolidé dans la partie III du présent document, les plans sectoriels révisés de la phase II du PGEH soumis séparément par l’agence d’exécution principale de chaque plan. Les observations spécifiques du Secrétariat concernant chaque plan sectoriel sont par ailleurs présentées dans la partie III.</w:t>
      </w:r>
    </w:p>
    <w:p w14:paraId="6089D68D" w14:textId="77777777" w:rsidR="00BA63AB" w:rsidRPr="00960C08" w:rsidRDefault="00BA63AB" w:rsidP="00BA63AB">
      <w:pPr>
        <w:pStyle w:val="Heading1"/>
        <w:rPr>
          <w:lang w:val="fr-CA"/>
        </w:rPr>
      </w:pPr>
      <w:r w:rsidRPr="00D8042F">
        <w:rPr>
          <w:lang w:val="fr-CA"/>
        </w:rPr>
        <w:t xml:space="preserve">En vertu de la décision 84/69 a) iii), le Comité exécutif a demandé que les plans des secteurs ICR, RAC et de l’entretien des appareils de réfrigération et du programme de facilitation soient prolongés de 2021 (comme cela avait été approuvé au départ) à 2026. C’est pourquoi le Secrétariat parle de plans d’action prolongés révisés, alors que pour les plans des secteurs de la mousse XPS, de la mousse PU et des solvants, il est question de plans d’action révisés (étant donné que seuls les niveaux de financement ont été ajustés). </w:t>
      </w:r>
    </w:p>
    <w:p w14:paraId="22F8C79A" w14:textId="77777777" w:rsidR="00BA63AB" w:rsidRPr="00960C08" w:rsidRDefault="00BA63AB" w:rsidP="00BA63AB">
      <w:pPr>
        <w:pStyle w:val="Heading1"/>
        <w:rPr>
          <w:u w:val="single"/>
          <w:lang w:val="fr-CA"/>
        </w:rPr>
      </w:pPr>
      <w:r w:rsidRPr="00960C08">
        <w:rPr>
          <w:lang w:val="fr-CA"/>
        </w:rPr>
        <w:t xml:space="preserve">Pour ce qui est du projet d’Accord révisé entre le gouvernement de la Chine et le Comité exécutif, le Secrétariat note ce qui suit : </w:t>
      </w:r>
    </w:p>
    <w:p w14:paraId="3D0E1365" w14:textId="34119937" w:rsidR="00BA63AB" w:rsidRPr="00D8042F" w:rsidRDefault="00BA63AB" w:rsidP="00BA63AB">
      <w:pPr>
        <w:pStyle w:val="Heading2"/>
        <w:numPr>
          <w:ilvl w:val="1"/>
          <w:numId w:val="1"/>
        </w:numPr>
        <w:rPr>
          <w:lang w:val="fr-CA"/>
        </w:rPr>
      </w:pPr>
      <w:r w:rsidRPr="00D8042F">
        <w:rPr>
          <w:lang w:val="fr-CA"/>
        </w:rPr>
        <w:t>Le projet d’Accord révisé comprend l’ajustement des coûts d’appui d’agence, qui passent de 6,5 à 7,0 pour cent des deuxièmes tranches approuvées pour le PNUD et l’ONUDI, conformément à la décision 81/45 a)</w:t>
      </w:r>
      <w:r>
        <w:rPr>
          <w:lang w:val="fr-CA"/>
        </w:rPr>
        <w:t>,</w:t>
      </w:r>
      <w:r w:rsidRPr="00D8042F">
        <w:rPr>
          <w:lang w:val="fr-CA"/>
        </w:rPr>
        <w:t xml:space="preserve"> qui n’était pas mis à jour dans l’Appendice 2</w:t>
      </w:r>
      <w:r>
        <w:rPr>
          <w:lang w:val="fr-CA"/>
        </w:rPr>
        <w:noBreakHyphen/>
      </w:r>
      <w:r w:rsidRPr="00D8042F">
        <w:rPr>
          <w:lang w:val="fr-CA"/>
        </w:rPr>
        <w:t>A révisé de l’Accord approuvé lors de la 84</w:t>
      </w:r>
      <w:r w:rsidRPr="00D8042F">
        <w:rPr>
          <w:vertAlign w:val="superscript"/>
          <w:lang w:val="fr-CA"/>
        </w:rPr>
        <w:t>e</w:t>
      </w:r>
      <w:r w:rsidRPr="00D8042F">
        <w:rPr>
          <w:lang w:val="fr-CA"/>
        </w:rPr>
        <w:t> réunion</w:t>
      </w:r>
      <w:r w:rsidR="00720BA7">
        <w:rPr>
          <w:lang w:val="fr-CA"/>
        </w:rPr>
        <w:t xml:space="preserve"> </w:t>
      </w:r>
      <w:r w:rsidRPr="00D8042F">
        <w:rPr>
          <w:lang w:val="fr-CA"/>
        </w:rPr>
        <w:t xml:space="preserve">; </w:t>
      </w:r>
    </w:p>
    <w:p w14:paraId="600AE939" w14:textId="4529775D" w:rsidR="00BA63AB" w:rsidRPr="00D8042F" w:rsidRDefault="00BA63AB" w:rsidP="00BA63AB">
      <w:pPr>
        <w:pStyle w:val="Heading2"/>
        <w:numPr>
          <w:ilvl w:val="1"/>
          <w:numId w:val="1"/>
        </w:numPr>
        <w:rPr>
          <w:lang w:val="fr-CA"/>
        </w:rPr>
      </w:pPr>
      <w:r w:rsidRPr="00D8042F">
        <w:rPr>
          <w:lang w:val="fr-CA"/>
        </w:rPr>
        <w:t>Les coûts d’appui d’agence pour le PNUE et le gouvernement de l’Allemagne ont été modifiés de manière à correspondre aux totaux ajustés approuvés en principe</w:t>
      </w:r>
      <w:r w:rsidR="00720BA7">
        <w:rPr>
          <w:lang w:val="fr-CA"/>
        </w:rPr>
        <w:t xml:space="preserve"> </w:t>
      </w:r>
      <w:r w:rsidRPr="00D8042F">
        <w:rPr>
          <w:lang w:val="fr-CA"/>
        </w:rPr>
        <w:t>;</w:t>
      </w:r>
      <w:r w:rsidR="00720BA7">
        <w:rPr>
          <w:lang w:val="fr-CA"/>
        </w:rPr>
        <w:t xml:space="preserve"> et</w:t>
      </w:r>
      <w:r w:rsidRPr="00D8042F">
        <w:rPr>
          <w:lang w:val="fr-CA"/>
        </w:rPr>
        <w:t xml:space="preserve"> </w:t>
      </w:r>
    </w:p>
    <w:p w14:paraId="1DA22040" w14:textId="77777777" w:rsidR="00BA63AB" w:rsidRPr="00D8042F" w:rsidRDefault="00BA63AB" w:rsidP="00BA63AB">
      <w:pPr>
        <w:pStyle w:val="Heading2"/>
        <w:numPr>
          <w:ilvl w:val="1"/>
          <w:numId w:val="1"/>
        </w:numPr>
        <w:rPr>
          <w:lang w:val="fr-CA"/>
        </w:rPr>
      </w:pPr>
      <w:r w:rsidRPr="00D8042F">
        <w:rPr>
          <w:lang w:val="fr-CA"/>
        </w:rPr>
        <w:t>À l’Appendice 7</w:t>
      </w:r>
      <w:r>
        <w:rPr>
          <w:lang w:val="fr-CA"/>
        </w:rPr>
        <w:noBreakHyphen/>
      </w:r>
      <w:r w:rsidRPr="00D8042F">
        <w:rPr>
          <w:lang w:val="fr-CA"/>
        </w:rPr>
        <w:t xml:space="preserve">A, le PNUD a </w:t>
      </w:r>
      <w:r>
        <w:rPr>
          <w:lang w:val="fr-CA"/>
        </w:rPr>
        <w:t>établi</w:t>
      </w:r>
      <w:r w:rsidRPr="00D8042F">
        <w:rPr>
          <w:lang w:val="fr-CA"/>
        </w:rPr>
        <w:t xml:space="preserve"> la sanction à 40,32 $US/kg PAO, </w:t>
      </w:r>
      <w:r>
        <w:rPr>
          <w:lang w:val="fr-CA"/>
        </w:rPr>
        <w:t>y compris en plus des</w:t>
      </w:r>
      <w:r w:rsidRPr="00D8042F">
        <w:rPr>
          <w:lang w:val="fr-CA"/>
        </w:rPr>
        <w:t xml:space="preserve"> 11 556,44 tonnes PAO de HCFC à éliminer dans le cadre de la phase II, les 716,50 tonnes PAO éliminées en vertu du précédent Accord. Conformément à la formule établie dans le modèle d’Accord pour la phase II des PGEH (c.</w:t>
      </w:r>
      <w:r>
        <w:rPr>
          <w:lang w:val="fr-CA"/>
        </w:rPr>
        <w:noBreakHyphen/>
      </w:r>
      <w:r w:rsidRPr="00D8042F">
        <w:rPr>
          <w:lang w:val="fr-CA"/>
        </w:rPr>
        <w:t>à</w:t>
      </w:r>
      <w:r>
        <w:rPr>
          <w:lang w:val="fr-CA"/>
        </w:rPr>
        <w:noBreakHyphen/>
      </w:r>
      <w:r w:rsidRPr="00D8042F">
        <w:rPr>
          <w:lang w:val="fr-CA"/>
        </w:rPr>
        <w:t>d., deux fois le rapport coût</w:t>
      </w:r>
      <w:r>
        <w:rPr>
          <w:lang w:val="fr-CA"/>
        </w:rPr>
        <w:noBreakHyphen/>
      </w:r>
      <w:r w:rsidRPr="00D8042F">
        <w:rPr>
          <w:lang w:val="fr-CA"/>
        </w:rPr>
        <w:t xml:space="preserve">efficacité du projet en $US/kg PAO), le Secrétariat a établi la clause de sanction à 42,82 $US/kg PAO, en se fondant exclusivement sur </w:t>
      </w:r>
      <w:r>
        <w:rPr>
          <w:lang w:val="fr-CA"/>
        </w:rPr>
        <w:t>quantité</w:t>
      </w:r>
      <w:r w:rsidRPr="00D8042F">
        <w:rPr>
          <w:lang w:val="fr-CA"/>
        </w:rPr>
        <w:t xml:space="preserve"> à éliminer en vertu de la phase II. </w:t>
      </w:r>
    </w:p>
    <w:p w14:paraId="6FBC0A58" w14:textId="77777777" w:rsidR="00BA63AB" w:rsidRPr="00960C08" w:rsidRDefault="00BA63AB" w:rsidP="00BA63AB">
      <w:pPr>
        <w:pStyle w:val="Heading1"/>
        <w:rPr>
          <w:lang w:val="fr-CA"/>
        </w:rPr>
      </w:pPr>
      <w:r w:rsidRPr="00D8042F">
        <w:rPr>
          <w:lang w:val="fr-CA"/>
        </w:rPr>
        <w:t>La décision 84/69 a) vii) demandait que le projet d’Accord révisé ne présente que les résultats pertinents approuvés lors de la 84</w:t>
      </w:r>
      <w:r w:rsidRPr="00D8042F">
        <w:rPr>
          <w:vertAlign w:val="superscript"/>
          <w:lang w:val="fr-CA"/>
        </w:rPr>
        <w:t>e</w:t>
      </w:r>
      <w:r w:rsidRPr="00D8042F">
        <w:rPr>
          <w:lang w:val="fr-CA"/>
        </w:rPr>
        <w:t xml:space="preserve"> réunion. Les plans sectoriels révisés comportent une augmentation substantielle des reconversions de chaînes de fabrication dont le financement n’a pas été affecté. Par conséquent, le Secrétariat considère que le changement proposé au paragraphe 5 c) est en accord avec la décision 84/69 a) vii) et l’intention du Comité exécutif de vérifier de manière indépendante un échantillon aléatoire de chaînes de fabrication qui ont été reconverties avec l’aide du Fonds multilatéral. </w:t>
      </w:r>
    </w:p>
    <w:p w14:paraId="1BE5BCAB" w14:textId="77777777" w:rsidR="00BA63AB" w:rsidRPr="00960C08" w:rsidRDefault="00BA63AB" w:rsidP="00BA63AB">
      <w:pPr>
        <w:pStyle w:val="Heading1"/>
        <w:rPr>
          <w:lang w:val="fr-CA"/>
        </w:rPr>
      </w:pPr>
      <w:r w:rsidRPr="00D8042F">
        <w:rPr>
          <w:lang w:val="fr-CA"/>
        </w:rPr>
        <w:t xml:space="preserve">Alors que le Secrétariat constate le souhait du gouvernement de la Chine d’obtenir une plus grande souplesse pour ce qui est de la mise en œuvre des plans sectoriels par la modification de la définition d’un changement majeur, et que la Chine </w:t>
      </w:r>
      <w:r>
        <w:rPr>
          <w:lang w:val="fr-CA"/>
        </w:rPr>
        <w:t>atteint</w:t>
      </w:r>
      <w:r w:rsidRPr="00D8042F">
        <w:rPr>
          <w:lang w:val="fr-CA"/>
        </w:rPr>
        <w:t xml:space="preserve"> un niveau d’élimination plus élevé avec moins de financement du Fonds multilatéral, le Secrétariat ne considère pas que la modification </w:t>
      </w:r>
      <w:r>
        <w:rPr>
          <w:lang w:val="fr-CA"/>
        </w:rPr>
        <w:t>proposée</w:t>
      </w:r>
      <w:r w:rsidRPr="00D8042F">
        <w:rPr>
          <w:lang w:val="fr-CA"/>
        </w:rPr>
        <w:t xml:space="preserve"> au paragraphe 7 a) iv) correspond aux résultats approuvés lors de la 84</w:t>
      </w:r>
      <w:r w:rsidRPr="00D8042F">
        <w:rPr>
          <w:vertAlign w:val="superscript"/>
          <w:lang w:val="fr-CA"/>
        </w:rPr>
        <w:t>e</w:t>
      </w:r>
      <w:r w:rsidRPr="00D8042F">
        <w:rPr>
          <w:lang w:val="fr-CA"/>
        </w:rPr>
        <w:t xml:space="preserve"> réunion, et qu’elle est conforme à la décision 84/69 a) vii). Le gouvernement de la Chine, par l’intermédiaire du PNUD, a indiqué que la demande de souplesse </w:t>
      </w:r>
      <w:r w:rsidRPr="00D8042F">
        <w:rPr>
          <w:lang w:val="fr-CA"/>
        </w:rPr>
        <w:lastRenderedPageBreak/>
        <w:t xml:space="preserve">supplémentaire lui semblait en accord avec la décision 84/69. Le Comité exécutif pourrait souhaiter envisager inclure le changement proposé par le PNUD. </w:t>
      </w:r>
    </w:p>
    <w:p w14:paraId="5783B8C6" w14:textId="77777777" w:rsidR="00BA63AB" w:rsidRPr="00D8042F" w:rsidRDefault="00BA63AB" w:rsidP="00BA63AB">
      <w:pPr>
        <w:tabs>
          <w:tab w:val="left" w:pos="8280"/>
        </w:tabs>
        <w:rPr>
          <w:b/>
          <w:lang w:val="en-CA"/>
        </w:rPr>
      </w:pPr>
      <w:r w:rsidRPr="00D8042F">
        <w:rPr>
          <w:b/>
          <w:lang w:val="en-CA"/>
        </w:rPr>
        <w:t>Recommandation</w:t>
      </w:r>
    </w:p>
    <w:p w14:paraId="735456CC" w14:textId="77777777" w:rsidR="00BA63AB" w:rsidRPr="00D8042F" w:rsidRDefault="00BA63AB" w:rsidP="00BA63AB">
      <w:pPr>
        <w:tabs>
          <w:tab w:val="left" w:pos="8280"/>
        </w:tabs>
        <w:rPr>
          <w:lang w:val="en-CA"/>
        </w:rPr>
      </w:pPr>
    </w:p>
    <w:p w14:paraId="0592CC45" w14:textId="77777777" w:rsidR="00BA63AB" w:rsidRPr="00960C08" w:rsidRDefault="00BA63AB" w:rsidP="00BA63AB">
      <w:pPr>
        <w:pStyle w:val="Heading1"/>
        <w:rPr>
          <w:lang w:val="fr-CA"/>
        </w:rPr>
      </w:pPr>
      <w:r w:rsidRPr="00960C08">
        <w:rPr>
          <w:lang w:val="fr-CA"/>
        </w:rPr>
        <w:t>Le Comité exécutif pourrait souhaiter :</w:t>
      </w:r>
    </w:p>
    <w:p w14:paraId="6BB325CA" w14:textId="77777777" w:rsidR="00BA63AB" w:rsidRPr="00D8042F" w:rsidRDefault="00BA63AB" w:rsidP="00BA63AB">
      <w:pPr>
        <w:pStyle w:val="Heading2"/>
        <w:numPr>
          <w:ilvl w:val="1"/>
          <w:numId w:val="1"/>
        </w:numPr>
        <w:rPr>
          <w:lang w:val="en-CA"/>
        </w:rPr>
      </w:pPr>
      <w:r w:rsidRPr="00D8042F">
        <w:rPr>
          <w:lang w:val="en-CA"/>
        </w:rPr>
        <w:t>Noter :</w:t>
      </w:r>
    </w:p>
    <w:p w14:paraId="52BDB576" w14:textId="646B7137" w:rsidR="00BA63AB" w:rsidRPr="00D8042F" w:rsidRDefault="00BA63AB" w:rsidP="00BA63AB">
      <w:pPr>
        <w:pStyle w:val="Heading3"/>
        <w:numPr>
          <w:ilvl w:val="2"/>
          <w:numId w:val="1"/>
        </w:numPr>
        <w:rPr>
          <w:lang w:val="fr-CA"/>
        </w:rPr>
      </w:pPr>
      <w:r w:rsidRPr="00D8042F">
        <w:rPr>
          <w:lang w:val="fr-CA"/>
        </w:rPr>
        <w:t>Les plans d’action prolongés révisés pour les secteurs des appareils de réfrigération à usage industriel et commercial, de la fabrication des climatiseurs de salle, des réchauffeurs d’eau à pompe thermique et de l’entretien des appareils de réfrigération, et pour le programme national de facilitation soumis, conformément à la décision 84/69 a) iii), et les plans d’action révisés pour les secteurs de la mousse de polystyrène extrudé, de la mousse de polyuréthane et des solvants soumis</w:t>
      </w:r>
      <w:r>
        <w:rPr>
          <w:lang w:val="fr-CA"/>
        </w:rPr>
        <w:t>,</w:t>
      </w:r>
      <w:r w:rsidRPr="00D8042F">
        <w:rPr>
          <w:lang w:val="fr-CA"/>
        </w:rPr>
        <w:t xml:space="preserve"> conformément à la décision 84/69 a) iv)</w:t>
      </w:r>
      <w:r w:rsidR="00720BA7">
        <w:rPr>
          <w:lang w:val="fr-CA"/>
        </w:rPr>
        <w:t xml:space="preserve"> </w:t>
      </w:r>
      <w:r w:rsidRPr="00D8042F">
        <w:rPr>
          <w:lang w:val="fr-CA"/>
        </w:rPr>
        <w:t>;</w:t>
      </w:r>
    </w:p>
    <w:p w14:paraId="52E74C1A" w14:textId="5F26974F" w:rsidR="00BA63AB" w:rsidRPr="00D8042F" w:rsidRDefault="00BA63AB" w:rsidP="00BA63AB">
      <w:pPr>
        <w:pStyle w:val="Heading3"/>
        <w:numPr>
          <w:ilvl w:val="2"/>
          <w:numId w:val="1"/>
        </w:numPr>
        <w:rPr>
          <w:lang w:val="fr-CA"/>
        </w:rPr>
      </w:pPr>
      <w:r w:rsidRPr="00D8042F">
        <w:rPr>
          <w:lang w:val="fr-CA"/>
        </w:rPr>
        <w:t>Le projet d’Accord révisé entre le gouvernement de la Chine et le Comité exécutif ne présentant que les résultats pertinents approuvés lors de la 84</w:t>
      </w:r>
      <w:r w:rsidRPr="00D8042F">
        <w:rPr>
          <w:vertAlign w:val="superscript"/>
          <w:lang w:val="fr-CA"/>
        </w:rPr>
        <w:t>e</w:t>
      </w:r>
      <w:r w:rsidRPr="00D8042F">
        <w:rPr>
          <w:lang w:val="fr-CA"/>
        </w:rPr>
        <w:t xml:space="preserve"> réunion ou ceux </w:t>
      </w:r>
      <w:r>
        <w:rPr>
          <w:lang w:val="fr-CA"/>
        </w:rPr>
        <w:t>en lien avec</w:t>
      </w:r>
      <w:r w:rsidRPr="00D8042F">
        <w:rPr>
          <w:lang w:val="fr-CA"/>
        </w:rPr>
        <w:t xml:space="preserve"> la décision 84/69 a) iii), iv) et vii)</w:t>
      </w:r>
      <w:r w:rsidR="00720BA7">
        <w:rPr>
          <w:lang w:val="fr-CA"/>
        </w:rPr>
        <w:t xml:space="preserve"> </w:t>
      </w:r>
      <w:r w:rsidRPr="00D8042F">
        <w:rPr>
          <w:lang w:val="fr-CA"/>
        </w:rPr>
        <w:t xml:space="preserve">; </w:t>
      </w:r>
    </w:p>
    <w:p w14:paraId="0E5F724A" w14:textId="785F54DD" w:rsidR="00BA63AB" w:rsidRPr="00D8042F" w:rsidRDefault="00BA63AB" w:rsidP="00BA63AB">
      <w:pPr>
        <w:pStyle w:val="Heading2"/>
        <w:numPr>
          <w:ilvl w:val="1"/>
          <w:numId w:val="1"/>
        </w:numPr>
        <w:rPr>
          <w:lang w:val="fr-CA"/>
        </w:rPr>
      </w:pPr>
      <w:r w:rsidRPr="00D8042F">
        <w:rPr>
          <w:lang w:val="fr-CA"/>
        </w:rPr>
        <w:t>Faire passer la définition d’un changement majeur à 30 pour cent de la dernière tranche approuvée au paragraphe 7 a) iv) du projet d’Accord révisé</w:t>
      </w:r>
      <w:r w:rsidR="00720BA7">
        <w:rPr>
          <w:lang w:val="fr-CA"/>
        </w:rPr>
        <w:t xml:space="preserve"> </w:t>
      </w:r>
      <w:r w:rsidRPr="00D8042F">
        <w:rPr>
          <w:lang w:val="fr-CA"/>
        </w:rPr>
        <w:t>;</w:t>
      </w:r>
      <w:r w:rsidR="00720BA7">
        <w:rPr>
          <w:lang w:val="fr-CA"/>
        </w:rPr>
        <w:t xml:space="preserve"> et</w:t>
      </w:r>
    </w:p>
    <w:p w14:paraId="7EB0497C" w14:textId="77777777" w:rsidR="00BA63AB" w:rsidRPr="00960C08" w:rsidRDefault="00BA63AB" w:rsidP="00BA63AB">
      <w:pPr>
        <w:pStyle w:val="Heading2"/>
        <w:numPr>
          <w:ilvl w:val="1"/>
          <w:numId w:val="1"/>
        </w:numPr>
        <w:rPr>
          <w:lang w:val="fr-CA"/>
        </w:rPr>
      </w:pPr>
      <w:r w:rsidRPr="00D8042F">
        <w:rPr>
          <w:lang w:val="fr-CA"/>
        </w:rPr>
        <w:t>Approuv</w:t>
      </w:r>
      <w:r>
        <w:rPr>
          <w:lang w:val="fr-CA"/>
        </w:rPr>
        <w:t>er</w:t>
      </w:r>
      <w:r w:rsidRPr="00D8042F">
        <w:rPr>
          <w:lang w:val="fr-CA"/>
        </w:rPr>
        <w:t xml:space="preserve"> le projet d’Accord révisé entre le gouvernement de la Chine et le Comité exécutif pour la mise en œuvre de la phase II du plan de gestion de l’élimination des H</w:t>
      </w:r>
      <w:r>
        <w:rPr>
          <w:lang w:val="fr-CA"/>
        </w:rPr>
        <w:t>C</w:t>
      </w:r>
      <w:r w:rsidRPr="00D8042F">
        <w:rPr>
          <w:lang w:val="fr-CA"/>
        </w:rPr>
        <w:t>FC figurant à l’annexe</w:t>
      </w:r>
      <w:r>
        <w:rPr>
          <w:lang w:val="fr-CA"/>
        </w:rPr>
        <w:t> </w:t>
      </w:r>
      <w:r w:rsidRPr="00D8042F">
        <w:rPr>
          <w:lang w:val="fr-CA"/>
        </w:rPr>
        <w:t>II du présent document.</w:t>
      </w:r>
    </w:p>
    <w:p w14:paraId="4C001AA0" w14:textId="77777777" w:rsidR="00BA63AB" w:rsidRPr="00960C08" w:rsidRDefault="00BA63AB" w:rsidP="00BA63AB">
      <w:pPr>
        <w:jc w:val="left"/>
        <w:rPr>
          <w:lang w:val="fr-CA"/>
        </w:rPr>
      </w:pPr>
      <w:r w:rsidRPr="00960C08">
        <w:rPr>
          <w:lang w:val="fr-CA"/>
        </w:rPr>
        <w:br w:type="page"/>
      </w:r>
    </w:p>
    <w:p w14:paraId="2DE3EC30" w14:textId="77777777" w:rsidR="00720BA7" w:rsidRPr="00720BA7" w:rsidRDefault="00720BA7" w:rsidP="00720BA7">
      <w:pPr>
        <w:pBdr>
          <w:top w:val="single" w:sz="4" w:space="1" w:color="E9FFFF"/>
          <w:left w:val="single" w:sz="4" w:space="4" w:color="E9FFFF"/>
          <w:bottom w:val="single" w:sz="4" w:space="1" w:color="E9FFFF"/>
          <w:right w:val="single" w:sz="4" w:space="4" w:color="E9FFFF"/>
        </w:pBdr>
        <w:spacing w:after="240"/>
        <w:ind w:left="1440" w:hanging="1440"/>
        <w:rPr>
          <w:b/>
          <w:lang w:val="fr-CA"/>
        </w:rPr>
      </w:pPr>
      <w:r w:rsidRPr="008E6D07">
        <w:rPr>
          <w:b/>
          <w:lang w:val="fr-FR"/>
        </w:rPr>
        <w:lastRenderedPageBreak/>
        <w:t>PARTIE III :</w:t>
      </w:r>
      <w:r w:rsidRPr="00720BA7">
        <w:rPr>
          <w:b/>
          <w:lang w:val="fr-CA"/>
        </w:rPr>
        <w:t xml:space="preserve"> </w:t>
      </w:r>
      <w:r w:rsidRPr="00720BA7">
        <w:rPr>
          <w:b/>
          <w:lang w:val="fr-CA"/>
        </w:rPr>
        <w:tab/>
      </w:r>
      <w:r w:rsidRPr="008E6D07">
        <w:rPr>
          <w:b/>
          <w:lang w:val="fr-FR"/>
        </w:rPr>
        <w:t xml:space="preserve">PLANS </w:t>
      </w:r>
      <w:r>
        <w:rPr>
          <w:b/>
          <w:lang w:val="fr-FR"/>
        </w:rPr>
        <w:t xml:space="preserve">DE SECTEUR </w:t>
      </w:r>
      <w:r w:rsidRPr="008E6D07">
        <w:rPr>
          <w:b/>
          <w:lang w:val="fr-FR"/>
        </w:rPr>
        <w:t>RÉVISÉS POUR LA PHASE II DU PGEH POUR LA CHINE</w:t>
      </w:r>
      <w:r w:rsidRPr="00720BA7">
        <w:rPr>
          <w:b/>
          <w:lang w:val="fr-CA"/>
        </w:rPr>
        <w:t xml:space="preserve"> </w:t>
      </w:r>
    </w:p>
    <w:p w14:paraId="1BE8BBAA" w14:textId="77777777" w:rsidR="00720BA7" w:rsidRPr="00C20600" w:rsidRDefault="00720BA7" w:rsidP="00720BA7">
      <w:pPr>
        <w:pStyle w:val="Heading1"/>
        <w:numPr>
          <w:ilvl w:val="0"/>
          <w:numId w:val="0"/>
        </w:numPr>
        <w:rPr>
          <w:b/>
          <w:lang w:val="en-CA"/>
        </w:rPr>
      </w:pPr>
      <w:r w:rsidRPr="008E6D07">
        <w:rPr>
          <w:b/>
          <w:lang w:val="fr-FR"/>
        </w:rPr>
        <w:t>Contexte</w:t>
      </w:r>
      <w:r w:rsidRPr="008E6D07">
        <w:rPr>
          <w:b/>
          <w:lang w:val="en-CA"/>
        </w:rPr>
        <w:t xml:space="preserve"> </w:t>
      </w:r>
    </w:p>
    <w:p w14:paraId="4A743483" w14:textId="125F3627" w:rsidR="00720BA7" w:rsidRPr="00720BA7" w:rsidRDefault="00720BA7" w:rsidP="00720BA7">
      <w:pPr>
        <w:pStyle w:val="Heading1"/>
        <w:rPr>
          <w:rStyle w:val="tw4winMark"/>
          <w:vanish w:val="0"/>
          <w:lang w:val="fr-CA"/>
        </w:rPr>
      </w:pPr>
      <w:r w:rsidRPr="00CC3679">
        <w:rPr>
          <w:lang w:val="fr-FR"/>
        </w:rPr>
        <w:t xml:space="preserve">En </w:t>
      </w:r>
      <w:r>
        <w:rPr>
          <w:lang w:val="fr-FR"/>
        </w:rPr>
        <w:t>tenant compte des composantes</w:t>
      </w:r>
      <w:r w:rsidRPr="00CC3679">
        <w:rPr>
          <w:lang w:val="fr-FR"/>
        </w:rPr>
        <w:t xml:space="preserve"> de la décision 84/69, les agences bilatérales et d</w:t>
      </w:r>
      <w:r>
        <w:rPr>
          <w:lang w:val="fr-FR"/>
        </w:rPr>
        <w:t>’</w:t>
      </w:r>
      <w:r w:rsidRPr="00CC3679">
        <w:rPr>
          <w:lang w:val="fr-FR"/>
        </w:rPr>
        <w:t>exécution concernée</w:t>
      </w:r>
      <w:r>
        <w:rPr>
          <w:lang w:val="fr-FR"/>
        </w:rPr>
        <w:t xml:space="preserve">s, </w:t>
      </w:r>
      <w:r w:rsidRPr="00CC3679">
        <w:rPr>
          <w:lang w:val="fr-FR"/>
        </w:rPr>
        <w:t>au nom du gouvernement de la Chine, ont soumis à la 86</w:t>
      </w:r>
      <w:r w:rsidRPr="00CC3679">
        <w:rPr>
          <w:vertAlign w:val="superscript"/>
          <w:lang w:val="fr-FR"/>
        </w:rPr>
        <w:t>e</w:t>
      </w:r>
      <w:r w:rsidRPr="00CC3679">
        <w:rPr>
          <w:lang w:val="fr-FR"/>
        </w:rPr>
        <w:t xml:space="preserve"> réunion des plans d</w:t>
      </w:r>
      <w:r>
        <w:rPr>
          <w:lang w:val="fr-FR"/>
        </w:rPr>
        <w:t>’</w:t>
      </w:r>
      <w:r w:rsidRPr="00CC3679">
        <w:rPr>
          <w:lang w:val="fr-FR"/>
        </w:rPr>
        <w:t xml:space="preserve">action révisés pour les six secteurs suivants </w:t>
      </w:r>
      <w:r w:rsidR="00D75337">
        <w:rPr>
          <w:lang w:val="fr-FR"/>
        </w:rPr>
        <w:t>inclus dans la phase II du PGEH :</w:t>
      </w:r>
    </w:p>
    <w:p w14:paraId="670F5191" w14:textId="77777777" w:rsidR="00720BA7" w:rsidRPr="00720BA7" w:rsidRDefault="00720BA7" w:rsidP="00045AA9">
      <w:pPr>
        <w:pStyle w:val="ListParagraph"/>
        <w:numPr>
          <w:ilvl w:val="0"/>
          <w:numId w:val="14"/>
        </w:numPr>
        <w:ind w:hanging="720"/>
        <w:rPr>
          <w:lang w:val="fr-CA"/>
        </w:rPr>
      </w:pPr>
      <w:r w:rsidRPr="00CC3679">
        <w:rPr>
          <w:lang w:val="fr-FR"/>
        </w:rPr>
        <w:t xml:space="preserve">Plan révisé </w:t>
      </w:r>
      <w:r>
        <w:rPr>
          <w:lang w:val="fr-FR"/>
        </w:rPr>
        <w:t>et prolon</w:t>
      </w:r>
      <w:r w:rsidRPr="00CC3679">
        <w:rPr>
          <w:lang w:val="fr-FR"/>
        </w:rPr>
        <w:t>gé du secteur de la réfrigération industrielle et commerciale (PNUD)</w:t>
      </w:r>
    </w:p>
    <w:p w14:paraId="51B9088F" w14:textId="77777777" w:rsidR="00720BA7" w:rsidRPr="00720BA7" w:rsidRDefault="00720BA7" w:rsidP="00045AA9">
      <w:pPr>
        <w:pStyle w:val="ListParagraph"/>
        <w:numPr>
          <w:ilvl w:val="0"/>
          <w:numId w:val="14"/>
        </w:numPr>
        <w:ind w:hanging="720"/>
        <w:rPr>
          <w:lang w:val="fr-CA"/>
        </w:rPr>
      </w:pPr>
      <w:r w:rsidRPr="00CC3679">
        <w:rPr>
          <w:lang w:val="fr-FR"/>
        </w:rPr>
        <w:t xml:space="preserve">Plan révisé </w:t>
      </w:r>
      <w:r>
        <w:rPr>
          <w:lang w:val="fr-FR"/>
        </w:rPr>
        <w:t>et prolongé</w:t>
      </w:r>
      <w:r w:rsidRPr="00CC3679">
        <w:rPr>
          <w:lang w:val="fr-FR"/>
        </w:rPr>
        <w:t xml:space="preserve"> </w:t>
      </w:r>
      <w:r w:rsidRPr="004D7A5C">
        <w:rPr>
          <w:lang w:val="fr-FR"/>
        </w:rPr>
        <w:t>du secteur de la fabrication des climatiseurs individuels et des chauffe-eau à pompe</w:t>
      </w:r>
      <w:r w:rsidRPr="00CC3679">
        <w:rPr>
          <w:lang w:val="fr-FR"/>
        </w:rPr>
        <w:t xml:space="preserve"> à chaleur (ONUDI, Autriche, Italie) </w:t>
      </w:r>
    </w:p>
    <w:p w14:paraId="428A2A78" w14:textId="77777777" w:rsidR="00720BA7" w:rsidRPr="00720BA7" w:rsidRDefault="00720BA7" w:rsidP="00045AA9">
      <w:pPr>
        <w:pStyle w:val="ListParagraph"/>
        <w:numPr>
          <w:ilvl w:val="0"/>
          <w:numId w:val="14"/>
        </w:numPr>
        <w:ind w:hanging="720"/>
        <w:rPr>
          <w:lang w:val="fr-CA"/>
        </w:rPr>
      </w:pPr>
      <w:r w:rsidRPr="00CC3679">
        <w:rPr>
          <w:lang w:val="fr-FR"/>
        </w:rPr>
        <w:t xml:space="preserve">Plan révisé </w:t>
      </w:r>
      <w:r>
        <w:rPr>
          <w:lang w:val="fr-FR"/>
        </w:rPr>
        <w:t>et prolongé</w:t>
      </w:r>
      <w:r w:rsidRPr="00CC3679">
        <w:rPr>
          <w:lang w:val="fr-FR"/>
        </w:rPr>
        <w:t xml:space="preserve"> du secteur de l</w:t>
      </w:r>
      <w:r>
        <w:rPr>
          <w:lang w:val="fr-FR"/>
        </w:rPr>
        <w:t>’</w:t>
      </w:r>
      <w:r w:rsidRPr="00CC3679">
        <w:rPr>
          <w:lang w:val="fr-FR"/>
        </w:rPr>
        <w:t>entretien des équipements de réfrigération et programme de facilitation national (PNUE, Allemagne, Japon)</w:t>
      </w:r>
    </w:p>
    <w:p w14:paraId="498C133D" w14:textId="77777777" w:rsidR="00720BA7" w:rsidRPr="00720BA7" w:rsidRDefault="00720BA7" w:rsidP="00045AA9">
      <w:pPr>
        <w:pStyle w:val="ListParagraph"/>
        <w:numPr>
          <w:ilvl w:val="0"/>
          <w:numId w:val="14"/>
        </w:numPr>
        <w:ind w:hanging="720"/>
        <w:rPr>
          <w:lang w:val="fr-CA"/>
        </w:rPr>
      </w:pPr>
      <w:r w:rsidRPr="00CC3679">
        <w:rPr>
          <w:lang w:val="fr-FR"/>
        </w:rPr>
        <w:t>Plan révisé du secteur des mousses de polystyrène extrudé (ONUDI, Allemagne)</w:t>
      </w:r>
    </w:p>
    <w:p w14:paraId="1DCAD63E" w14:textId="77777777" w:rsidR="00720BA7" w:rsidRPr="00720BA7" w:rsidRDefault="00720BA7" w:rsidP="00045AA9">
      <w:pPr>
        <w:pStyle w:val="ListParagraph"/>
        <w:numPr>
          <w:ilvl w:val="0"/>
          <w:numId w:val="14"/>
        </w:numPr>
        <w:ind w:hanging="720"/>
        <w:rPr>
          <w:lang w:val="fr-CA"/>
        </w:rPr>
      </w:pPr>
      <w:r w:rsidRPr="00CC3679">
        <w:rPr>
          <w:lang w:val="fr-FR"/>
        </w:rPr>
        <w:t>Plan révisé du secteur des mousses de polyuréthane (Banque mondiale)</w:t>
      </w:r>
    </w:p>
    <w:p w14:paraId="0989BC27" w14:textId="77777777" w:rsidR="00720BA7" w:rsidRPr="00720BA7" w:rsidRDefault="00720BA7" w:rsidP="00045AA9">
      <w:pPr>
        <w:pStyle w:val="ListParagraph"/>
        <w:numPr>
          <w:ilvl w:val="0"/>
          <w:numId w:val="14"/>
        </w:numPr>
        <w:ind w:hanging="720"/>
        <w:rPr>
          <w:lang w:val="fr-CA"/>
        </w:rPr>
      </w:pPr>
      <w:r w:rsidRPr="00CC3679">
        <w:rPr>
          <w:lang w:val="fr-FR"/>
        </w:rPr>
        <w:t>Plan révisé du secteur des solvants (PNUD)</w:t>
      </w:r>
    </w:p>
    <w:p w14:paraId="0403DD6B" w14:textId="77777777" w:rsidR="00720BA7" w:rsidRPr="00720BA7" w:rsidRDefault="00720BA7" w:rsidP="00720BA7">
      <w:pPr>
        <w:rPr>
          <w:lang w:val="fr-CA"/>
        </w:rPr>
      </w:pPr>
    </w:p>
    <w:p w14:paraId="2351FCA8" w14:textId="5D37BD8C" w:rsidR="00720BA7" w:rsidRPr="00720BA7" w:rsidRDefault="00720BA7" w:rsidP="00720BA7">
      <w:pPr>
        <w:pStyle w:val="Heading1"/>
        <w:rPr>
          <w:lang w:val="fr-CA"/>
        </w:rPr>
      </w:pPr>
      <w:r w:rsidRPr="00CC3679">
        <w:rPr>
          <w:lang w:val="fr-FR"/>
        </w:rPr>
        <w:t xml:space="preserve">Chacun de ces plans de secteur comprend une description des objectifs de consommation de HCFC et des fonds alloués, une description des éléments du plan, </w:t>
      </w:r>
      <w:r>
        <w:rPr>
          <w:lang w:val="fr-FR"/>
        </w:rPr>
        <w:t>d</w:t>
      </w:r>
      <w:r w:rsidRPr="00CC3679">
        <w:rPr>
          <w:lang w:val="fr-FR"/>
        </w:rPr>
        <w:t>es</w:t>
      </w:r>
      <w:r>
        <w:rPr>
          <w:lang w:val="fr-FR"/>
        </w:rPr>
        <w:t xml:space="preserve"> </w:t>
      </w:r>
      <w:r w:rsidRPr="00CC3679">
        <w:rPr>
          <w:lang w:val="fr-FR"/>
        </w:rPr>
        <w:t xml:space="preserve">technologies sélectionnées et </w:t>
      </w:r>
      <w:r>
        <w:rPr>
          <w:lang w:val="fr-FR"/>
        </w:rPr>
        <w:t>d</w:t>
      </w:r>
      <w:r w:rsidRPr="00CC3679">
        <w:rPr>
          <w:lang w:val="fr-FR"/>
        </w:rPr>
        <w:t>es coûts</w:t>
      </w:r>
      <w:r>
        <w:rPr>
          <w:lang w:val="fr-FR"/>
        </w:rPr>
        <w:t xml:space="preserve"> différentiels</w:t>
      </w:r>
      <w:r w:rsidRPr="00CC3679">
        <w:rPr>
          <w:lang w:val="fr-FR"/>
        </w:rPr>
        <w:t>.</w:t>
      </w:r>
      <w:r w:rsidRPr="00720BA7">
        <w:rPr>
          <w:lang w:val="fr-CA"/>
        </w:rPr>
        <w:t xml:space="preserve"> </w:t>
      </w:r>
      <w:r w:rsidRPr="00CC3679">
        <w:rPr>
          <w:lang w:val="fr-FR"/>
        </w:rPr>
        <w:t>Chaque plan de secteur inclut également les observations du Secrétariat et une recommandation.</w:t>
      </w:r>
    </w:p>
    <w:p w14:paraId="1B568802" w14:textId="77777777" w:rsidR="00720BA7" w:rsidRPr="00720BA7" w:rsidRDefault="00720BA7" w:rsidP="00720BA7">
      <w:pPr>
        <w:rPr>
          <w:b/>
          <w:lang w:val="fr-CA"/>
        </w:rPr>
      </w:pPr>
      <w:r w:rsidRPr="00CC3679">
        <w:rPr>
          <w:b/>
          <w:lang w:val="fr-FR"/>
        </w:rPr>
        <w:t xml:space="preserve">PLAN RÉVISÉ </w:t>
      </w:r>
      <w:r>
        <w:rPr>
          <w:b/>
          <w:lang w:val="fr-FR"/>
        </w:rPr>
        <w:t>ET PROLONGÉ</w:t>
      </w:r>
      <w:r w:rsidRPr="00CC3679">
        <w:rPr>
          <w:b/>
          <w:lang w:val="fr-FR"/>
        </w:rPr>
        <w:t xml:space="preserve"> DU SECTEUR DE LA RÉFRIGÉRATION INDUSTRIELLE ET COMMERCIALE (PNUD)</w:t>
      </w:r>
    </w:p>
    <w:p w14:paraId="61AC796F" w14:textId="77777777" w:rsidR="00720BA7" w:rsidRPr="00720BA7" w:rsidRDefault="00720BA7" w:rsidP="00720BA7">
      <w:pPr>
        <w:rPr>
          <w:lang w:val="fr-CA"/>
        </w:rPr>
      </w:pPr>
    </w:p>
    <w:p w14:paraId="30BB86D2" w14:textId="77777777" w:rsidR="00720BA7" w:rsidRPr="00720BA7" w:rsidRDefault="00720BA7" w:rsidP="00720BA7">
      <w:pPr>
        <w:rPr>
          <w:b/>
          <w:lang w:val="fr-CA"/>
        </w:rPr>
      </w:pPr>
      <w:r w:rsidRPr="00CC3679">
        <w:rPr>
          <w:b/>
          <w:lang w:val="fr-FR"/>
        </w:rPr>
        <w:t>Description du plan de secteur</w:t>
      </w:r>
    </w:p>
    <w:p w14:paraId="252FE48E" w14:textId="77777777" w:rsidR="00720BA7" w:rsidRPr="00720BA7" w:rsidRDefault="00720BA7" w:rsidP="00720BA7">
      <w:pPr>
        <w:rPr>
          <w:lang w:val="fr-CA"/>
        </w:rPr>
      </w:pPr>
    </w:p>
    <w:p w14:paraId="395FF341" w14:textId="77777777" w:rsidR="00720BA7" w:rsidRPr="00720BA7" w:rsidRDefault="00720BA7" w:rsidP="00720BA7">
      <w:pPr>
        <w:rPr>
          <w:b/>
          <w:lang w:val="fr-CA"/>
        </w:rPr>
      </w:pPr>
      <w:r w:rsidRPr="00CC3679">
        <w:rPr>
          <w:b/>
          <w:lang w:val="fr-FR"/>
        </w:rPr>
        <w:t>Contexte</w:t>
      </w:r>
    </w:p>
    <w:p w14:paraId="3103CC05" w14:textId="77777777" w:rsidR="00720BA7" w:rsidRPr="00720BA7" w:rsidRDefault="00720BA7" w:rsidP="00720BA7">
      <w:pPr>
        <w:rPr>
          <w:lang w:val="fr-CA"/>
        </w:rPr>
      </w:pPr>
    </w:p>
    <w:p w14:paraId="79B6B9A0" w14:textId="77777777" w:rsidR="00720BA7" w:rsidRPr="00720BA7" w:rsidRDefault="00720BA7" w:rsidP="00720BA7">
      <w:pPr>
        <w:pStyle w:val="Heading1"/>
        <w:rPr>
          <w:rStyle w:val="tw4winMark"/>
          <w:vanish w:val="0"/>
          <w:lang w:val="fr-CA"/>
        </w:rPr>
      </w:pPr>
      <w:r w:rsidRPr="00CC3679">
        <w:rPr>
          <w:lang w:val="fr-FR"/>
        </w:rPr>
        <w:t>La phase II du plan de gestion de l</w:t>
      </w:r>
      <w:r>
        <w:rPr>
          <w:lang w:val="fr-FR"/>
        </w:rPr>
        <w:t>’</w:t>
      </w:r>
      <w:r w:rsidRPr="00CC3679">
        <w:rPr>
          <w:lang w:val="fr-FR"/>
        </w:rPr>
        <w:t>élimination des HCFC (PGEH) pour le secteur de la réfrigération industrielle et commerciale pour la Chine a été approuvé</w:t>
      </w:r>
      <w:r>
        <w:rPr>
          <w:lang w:val="fr-FR"/>
        </w:rPr>
        <w:t>e</w:t>
      </w:r>
      <w:r w:rsidRPr="00CC3679">
        <w:rPr>
          <w:lang w:val="fr-FR"/>
        </w:rPr>
        <w:t xml:space="preserve"> lors de la 77</w:t>
      </w:r>
      <w:r w:rsidRPr="00CC3679">
        <w:rPr>
          <w:vertAlign w:val="superscript"/>
          <w:lang w:val="fr-FR"/>
        </w:rPr>
        <w:t>e</w:t>
      </w:r>
      <w:r w:rsidRPr="00CC3679">
        <w:rPr>
          <w:lang w:val="fr-FR"/>
        </w:rPr>
        <w:t xml:space="preserve"> réunion pour un montant total de 89 144 797 $US, plus coûts d</w:t>
      </w:r>
      <w:r>
        <w:rPr>
          <w:lang w:val="fr-FR"/>
        </w:rPr>
        <w:t>’</w:t>
      </w:r>
      <w:r w:rsidRPr="00CC3679">
        <w:rPr>
          <w:lang w:val="fr-FR"/>
        </w:rPr>
        <w:t>appui d</w:t>
      </w:r>
      <w:r>
        <w:rPr>
          <w:lang w:val="fr-FR"/>
        </w:rPr>
        <w:t>’</w:t>
      </w:r>
      <w:r w:rsidRPr="00CC3679">
        <w:rPr>
          <w:lang w:val="fr-FR"/>
        </w:rPr>
        <w:t>agence, afin d</w:t>
      </w:r>
      <w:r>
        <w:rPr>
          <w:lang w:val="fr-FR"/>
        </w:rPr>
        <w:t>’</w:t>
      </w:r>
      <w:r w:rsidRPr="00CC3679">
        <w:rPr>
          <w:lang w:val="fr-FR"/>
        </w:rPr>
        <w:t>éliminer 480,50 tonnes PAO de HCFC pour parvenir à une réduction de 33 pour cent par</w:t>
      </w:r>
      <w:r>
        <w:rPr>
          <w:lang w:val="fr-FR"/>
        </w:rPr>
        <w:t xml:space="preserve"> </w:t>
      </w:r>
      <w:r w:rsidRPr="00CC3679">
        <w:rPr>
          <w:lang w:val="fr-FR"/>
        </w:rPr>
        <w:t>rapport à la consommation maximale admissible de 2013 dans ce secteur, étant entendu :</w:t>
      </w:r>
      <w:r w:rsidRPr="00720BA7">
        <w:rPr>
          <w:lang w:val="fr-CA"/>
        </w:rPr>
        <w:t xml:space="preserve"> </w:t>
      </w:r>
    </w:p>
    <w:p w14:paraId="71FC18D9" w14:textId="77777777" w:rsidR="00720BA7" w:rsidRPr="00720BA7" w:rsidRDefault="00720BA7" w:rsidP="00720BA7">
      <w:pPr>
        <w:pStyle w:val="Heading2"/>
        <w:numPr>
          <w:ilvl w:val="1"/>
          <w:numId w:val="1"/>
        </w:numPr>
        <w:rPr>
          <w:lang w:val="fr-CA"/>
        </w:rPr>
      </w:pPr>
      <w:r w:rsidRPr="006F1183">
        <w:rPr>
          <w:lang w:val="fr-FR"/>
        </w:rPr>
        <w:t>Qu</w:t>
      </w:r>
      <w:r>
        <w:rPr>
          <w:lang w:val="fr-FR"/>
        </w:rPr>
        <w:t>’</w:t>
      </w:r>
      <w:r w:rsidRPr="006F1183">
        <w:rPr>
          <w:lang w:val="fr-FR"/>
        </w:rPr>
        <w:t>une quantité maximum de 3 150 tonnes métriques (tm) dans le sous-secteur de la climatisation individuelle pourrait être reconvertie au</w:t>
      </w:r>
      <w:r>
        <w:rPr>
          <w:lang w:val="fr-FR"/>
        </w:rPr>
        <w:t xml:space="preserve"> </w:t>
      </w:r>
      <w:r w:rsidRPr="006F1183">
        <w:rPr>
          <w:lang w:val="fr-FR"/>
        </w:rPr>
        <w:t>HFC-32 ;</w:t>
      </w:r>
    </w:p>
    <w:p w14:paraId="6F52220F" w14:textId="77777777" w:rsidR="00720BA7" w:rsidRPr="00720BA7" w:rsidRDefault="00720BA7" w:rsidP="00720BA7">
      <w:pPr>
        <w:pStyle w:val="Heading2"/>
        <w:numPr>
          <w:ilvl w:val="1"/>
          <w:numId w:val="1"/>
        </w:numPr>
        <w:rPr>
          <w:lang w:val="fr-CA"/>
        </w:rPr>
      </w:pPr>
      <w:r w:rsidRPr="006F1183">
        <w:rPr>
          <w:lang w:val="fr-FR"/>
        </w:rPr>
        <w:t>Que</w:t>
      </w:r>
      <w:r>
        <w:rPr>
          <w:lang w:val="fr-FR"/>
        </w:rPr>
        <w:t>,</w:t>
      </w:r>
      <w:r w:rsidRPr="006F1183">
        <w:rPr>
          <w:lang w:val="fr-FR"/>
        </w:rPr>
        <w:t xml:space="preserve"> dans le sous-secteur de la climatisation individuelle</w:t>
      </w:r>
      <w:r>
        <w:rPr>
          <w:lang w:val="fr-FR"/>
        </w:rPr>
        <w:t>,</w:t>
      </w:r>
      <w:r w:rsidRPr="006F1183">
        <w:rPr>
          <w:lang w:val="fr-FR"/>
        </w:rPr>
        <w:t xml:space="preserve"> le gouvernement de la Chine </w:t>
      </w:r>
      <w:r>
        <w:rPr>
          <w:lang w:val="fr-FR"/>
        </w:rPr>
        <w:t>disposerait d’une certaine flexibilité pour</w:t>
      </w:r>
      <w:r w:rsidRPr="006F1183">
        <w:rPr>
          <w:lang w:val="fr-FR"/>
        </w:rPr>
        <w:t xml:space="preserve"> se reconvertir à des solutions de remplacement ayant un potentiel de réchauffement de la planète (PRP) moins élevé que celui du HFC</w:t>
      </w:r>
      <w:r w:rsidRPr="006F1183">
        <w:rPr>
          <w:lang w:val="fr-FR"/>
        </w:rPr>
        <w:noBreakHyphen/>
        <w:t>32 tant que les coûts et le</w:t>
      </w:r>
      <w:r>
        <w:rPr>
          <w:lang w:val="fr-FR"/>
        </w:rPr>
        <w:t>s</w:t>
      </w:r>
      <w:r w:rsidRPr="006F1183">
        <w:rPr>
          <w:lang w:val="fr-FR"/>
        </w:rPr>
        <w:t xml:space="preserve"> tonnage</w:t>
      </w:r>
      <w:r>
        <w:rPr>
          <w:lang w:val="fr-FR"/>
        </w:rPr>
        <w:t>s</w:t>
      </w:r>
      <w:r w:rsidRPr="006F1183">
        <w:rPr>
          <w:lang w:val="fr-FR"/>
        </w:rPr>
        <w:t xml:space="preserve"> à éliminer restent les mêmes ;</w:t>
      </w:r>
    </w:p>
    <w:p w14:paraId="3CF18293" w14:textId="2D85F53F" w:rsidR="00720BA7" w:rsidRPr="00720BA7" w:rsidRDefault="00720BA7" w:rsidP="00720BA7">
      <w:pPr>
        <w:pStyle w:val="Heading2"/>
        <w:numPr>
          <w:ilvl w:val="1"/>
          <w:numId w:val="1"/>
        </w:numPr>
        <w:rPr>
          <w:lang w:val="fr-CA"/>
        </w:rPr>
      </w:pPr>
      <w:r w:rsidRPr="006F1183">
        <w:rPr>
          <w:lang w:val="fr-FR"/>
        </w:rPr>
        <w:t xml:space="preserve">Que le gouvernement de la Chine disposerait </w:t>
      </w:r>
      <w:r>
        <w:rPr>
          <w:lang w:val="fr-FR"/>
        </w:rPr>
        <w:t>d’une certaine</w:t>
      </w:r>
      <w:r w:rsidRPr="006F1183">
        <w:rPr>
          <w:lang w:val="fr-FR"/>
        </w:rPr>
        <w:t xml:space="preserve"> flexibilité </w:t>
      </w:r>
      <w:r>
        <w:rPr>
          <w:lang w:val="fr-FR"/>
        </w:rPr>
        <w:t xml:space="preserve">pour </w:t>
      </w:r>
      <w:r w:rsidRPr="006F1183">
        <w:rPr>
          <w:lang w:val="fr-FR"/>
        </w:rPr>
        <w:t>reconvertir les lignes de chauffe-eau à pompe à chaleur à l</w:t>
      </w:r>
      <w:r>
        <w:rPr>
          <w:lang w:val="fr-FR"/>
        </w:rPr>
        <w:t>’</w:t>
      </w:r>
      <w:r w:rsidRPr="006F1183">
        <w:rPr>
          <w:lang w:val="fr-FR"/>
        </w:rPr>
        <w:t>utilisation du HFC-32</w:t>
      </w:r>
      <w:r>
        <w:rPr>
          <w:lang w:val="fr-FR"/>
        </w:rPr>
        <w:t>,</w:t>
      </w:r>
      <w:r w:rsidRPr="006F1183">
        <w:rPr>
          <w:lang w:val="fr-FR"/>
        </w:rPr>
        <w:t xml:space="preserve"> étant entendu que </w:t>
      </w:r>
      <w:r w:rsidR="00D75337" w:rsidRPr="006F1183">
        <w:rPr>
          <w:lang w:val="fr-FR"/>
        </w:rPr>
        <w:t>les reconversions combinées</w:t>
      </w:r>
      <w:r w:rsidRPr="006F1183">
        <w:rPr>
          <w:lang w:val="fr-FR"/>
        </w:rPr>
        <w:t xml:space="preserve"> des climatiseurs individuels et des chauffe-eau à pompe</w:t>
      </w:r>
      <w:r>
        <w:rPr>
          <w:lang w:val="fr-FR"/>
        </w:rPr>
        <w:t xml:space="preserve"> à chaleur</w:t>
      </w:r>
      <w:r w:rsidRPr="006F1183">
        <w:rPr>
          <w:lang w:val="fr-FR"/>
        </w:rPr>
        <w:t xml:space="preserve"> au HFC</w:t>
      </w:r>
      <w:r>
        <w:rPr>
          <w:lang w:val="fr-FR"/>
        </w:rPr>
        <w:t>-</w:t>
      </w:r>
      <w:r w:rsidRPr="006F1183">
        <w:rPr>
          <w:lang w:val="fr-FR"/>
        </w:rPr>
        <w:t>32 ne dépasseront pas 3 150 tm ;</w:t>
      </w:r>
    </w:p>
    <w:p w14:paraId="182B1540" w14:textId="77777777" w:rsidR="00720BA7" w:rsidRPr="00720BA7" w:rsidRDefault="00720BA7" w:rsidP="00720BA7">
      <w:pPr>
        <w:pStyle w:val="Heading2"/>
        <w:numPr>
          <w:ilvl w:val="1"/>
          <w:numId w:val="1"/>
        </w:numPr>
        <w:rPr>
          <w:lang w:val="fr-CA"/>
        </w:rPr>
      </w:pPr>
      <w:r w:rsidRPr="006F1183">
        <w:rPr>
          <w:lang w:val="fr-FR"/>
        </w:rPr>
        <w:t>Qu</w:t>
      </w:r>
      <w:r>
        <w:rPr>
          <w:lang w:val="fr-FR"/>
        </w:rPr>
        <w:t>’</w:t>
      </w:r>
      <w:r w:rsidRPr="006F1183">
        <w:rPr>
          <w:lang w:val="fr-FR"/>
        </w:rPr>
        <w:t>au moins 20 pour cent de l</w:t>
      </w:r>
      <w:r>
        <w:rPr>
          <w:lang w:val="fr-FR"/>
        </w:rPr>
        <w:t>’</w:t>
      </w:r>
      <w:r w:rsidRPr="006F1183">
        <w:rPr>
          <w:lang w:val="fr-FR"/>
        </w:rPr>
        <w:t xml:space="preserve">élimination totale de HCFC-22 dans le secteur de la réfrigération industrielle et commerciale </w:t>
      </w:r>
      <w:r>
        <w:rPr>
          <w:lang w:val="fr-FR"/>
        </w:rPr>
        <w:t>proviendra</w:t>
      </w:r>
      <w:r w:rsidRPr="006F1183">
        <w:rPr>
          <w:lang w:val="fr-FR"/>
        </w:rPr>
        <w:t xml:space="preserve"> de la reconversion des petites et moyennes entreprises (PME) (soit celles consommant au plus 50 tm) ; et</w:t>
      </w:r>
    </w:p>
    <w:p w14:paraId="47DAF58B" w14:textId="77777777" w:rsidR="00720BA7" w:rsidRPr="00720BA7" w:rsidRDefault="00720BA7" w:rsidP="00720BA7">
      <w:pPr>
        <w:pStyle w:val="Heading2"/>
        <w:numPr>
          <w:ilvl w:val="1"/>
          <w:numId w:val="1"/>
        </w:numPr>
        <w:rPr>
          <w:lang w:val="fr-CA"/>
        </w:rPr>
      </w:pPr>
      <w:r w:rsidRPr="006F1183">
        <w:rPr>
          <w:lang w:val="fr-FR"/>
        </w:rPr>
        <w:lastRenderedPageBreak/>
        <w:t xml:space="preserve">Que </w:t>
      </w:r>
      <w:r w:rsidRPr="006F1183">
        <w:rPr>
          <w:rStyle w:val="tlid-translation"/>
          <w:lang w:val="fr-FR"/>
        </w:rPr>
        <w:t>dans les secteurs autres que le secteur</w:t>
      </w:r>
      <w:r>
        <w:rPr>
          <w:rStyle w:val="tlid-translation"/>
          <w:lang w:val="fr-FR"/>
        </w:rPr>
        <w:t xml:space="preserve"> </w:t>
      </w:r>
      <w:r w:rsidRPr="006F1183">
        <w:rPr>
          <w:rStyle w:val="tlid-translation"/>
          <w:lang w:val="fr-FR"/>
        </w:rPr>
        <w:t>de la climatisation individuelle, le gouvernement de la Chine disposerait de la flexibilité de choisir parmi les six technologies à faible PRP recensé</w:t>
      </w:r>
      <w:r>
        <w:rPr>
          <w:rStyle w:val="tlid-translation"/>
          <w:lang w:val="fr-FR"/>
        </w:rPr>
        <w:t>e</w:t>
      </w:r>
      <w:r w:rsidRPr="006F1183">
        <w:rPr>
          <w:rStyle w:val="tlid-translation"/>
          <w:lang w:val="fr-FR"/>
        </w:rPr>
        <w:t xml:space="preserve">s </w:t>
      </w:r>
      <w:r>
        <w:rPr>
          <w:rStyle w:val="tlid-translation"/>
          <w:lang w:val="fr-FR"/>
        </w:rPr>
        <w:t>dans</w:t>
      </w:r>
      <w:r w:rsidRPr="006F1183">
        <w:rPr>
          <w:rStyle w:val="tlid-translation"/>
          <w:lang w:val="fr-FR"/>
        </w:rPr>
        <w:t xml:space="preserve"> tableau 8 du document UNEP/</w:t>
      </w:r>
      <w:r>
        <w:rPr>
          <w:rStyle w:val="tlid-translation"/>
          <w:lang w:val="fr-FR"/>
        </w:rPr>
        <w:t>OzL.Pro/</w:t>
      </w:r>
      <w:r w:rsidRPr="006F1183">
        <w:rPr>
          <w:rStyle w:val="tlid-translation"/>
          <w:lang w:val="fr-FR"/>
        </w:rPr>
        <w:t>ExCom/76/25, à l</w:t>
      </w:r>
      <w:r>
        <w:rPr>
          <w:rStyle w:val="tlid-translation"/>
          <w:lang w:val="fr-FR"/>
        </w:rPr>
        <w:t>’</w:t>
      </w:r>
      <w:r w:rsidRPr="006F1183">
        <w:rPr>
          <w:rStyle w:val="tlid-translation"/>
          <w:lang w:val="fr-FR"/>
        </w:rPr>
        <w:t>exclusion du HFC-32, et qu</w:t>
      </w:r>
      <w:r>
        <w:rPr>
          <w:rStyle w:val="tlid-translation"/>
          <w:lang w:val="fr-FR"/>
        </w:rPr>
        <w:t>’</w:t>
      </w:r>
      <w:r w:rsidRPr="006F1183">
        <w:rPr>
          <w:rStyle w:val="tlid-translation"/>
          <w:lang w:val="fr-FR"/>
        </w:rPr>
        <w:t xml:space="preserve">il fera tout son possible pour assurer que le tonnage reste </w:t>
      </w:r>
      <w:r>
        <w:rPr>
          <w:rStyle w:val="tlid-translation"/>
          <w:lang w:val="fr-FR"/>
        </w:rPr>
        <w:t>dans les limites de 30</w:t>
      </w:r>
      <w:r w:rsidRPr="006F1183">
        <w:rPr>
          <w:rStyle w:val="tlid-translation"/>
          <w:lang w:val="fr-FR"/>
        </w:rPr>
        <w:t xml:space="preserve"> pour cent </w:t>
      </w:r>
      <w:r w:rsidRPr="00202B10">
        <w:rPr>
          <w:rStyle w:val="tlid-translation"/>
          <w:lang w:val="fr-FR"/>
        </w:rPr>
        <w:t>de la quantité spécifiée</w:t>
      </w:r>
      <w:r w:rsidRPr="006F1183">
        <w:rPr>
          <w:rStyle w:val="tlid-translation"/>
          <w:lang w:val="fr-FR"/>
        </w:rPr>
        <w:t xml:space="preserve"> pour chaque technologie dans ce tableau, sans frais supplémentaires pour le Fonds multilatéral, et que tout écart par rapport à cette fourchette </w:t>
      </w:r>
      <w:r>
        <w:rPr>
          <w:rStyle w:val="tlid-translation"/>
          <w:lang w:val="fr-FR"/>
        </w:rPr>
        <w:t>sera</w:t>
      </w:r>
      <w:r w:rsidRPr="006F1183">
        <w:rPr>
          <w:rStyle w:val="tlid-translation"/>
          <w:lang w:val="fr-FR"/>
        </w:rPr>
        <w:t xml:space="preserve"> signalé au Comité exécutif aux fins d</w:t>
      </w:r>
      <w:r>
        <w:rPr>
          <w:rStyle w:val="tlid-translation"/>
          <w:lang w:val="fr-FR"/>
        </w:rPr>
        <w:t>’</w:t>
      </w:r>
      <w:r w:rsidRPr="006F1183">
        <w:rPr>
          <w:rStyle w:val="tlid-translation"/>
          <w:lang w:val="fr-FR"/>
        </w:rPr>
        <w:t>examen</w:t>
      </w:r>
      <w:r w:rsidRPr="006F1183">
        <w:rPr>
          <w:lang w:val="fr-FR"/>
        </w:rPr>
        <w:t>.</w:t>
      </w:r>
      <w:r w:rsidRPr="00720BA7">
        <w:rPr>
          <w:lang w:val="fr-CA"/>
        </w:rPr>
        <w:t xml:space="preserve"> </w:t>
      </w:r>
    </w:p>
    <w:p w14:paraId="360A9F4D" w14:textId="77777777" w:rsidR="00720BA7" w:rsidRPr="00720BA7" w:rsidRDefault="00720BA7" w:rsidP="00720BA7">
      <w:pPr>
        <w:pStyle w:val="Heading1"/>
        <w:rPr>
          <w:lang w:val="fr-CA"/>
        </w:rPr>
      </w:pPr>
      <w:r w:rsidRPr="006F1183">
        <w:rPr>
          <w:lang w:val="fr-FR"/>
        </w:rPr>
        <w:t xml:space="preserve">La phase II du plan du secteur de la réfrigération industrielle </w:t>
      </w:r>
      <w:r>
        <w:rPr>
          <w:lang w:val="fr-FR"/>
        </w:rPr>
        <w:t xml:space="preserve">et commerciale (secteur ICR) </w:t>
      </w:r>
      <w:r w:rsidRPr="006F1183">
        <w:rPr>
          <w:lang w:val="fr-FR"/>
        </w:rPr>
        <w:t>propose l</w:t>
      </w:r>
      <w:r>
        <w:rPr>
          <w:lang w:val="fr-FR"/>
        </w:rPr>
        <w:t>’</w:t>
      </w:r>
      <w:r w:rsidRPr="006F1183">
        <w:rPr>
          <w:lang w:val="fr-FR"/>
        </w:rPr>
        <w:t>élimination de 8 822 tm (480,50 tonnes PAO) de HCFC, dont 6 500 tm seront reconverties à des solutions de remplacement à faible PRP ; et les 2 322 tm restantes seront éliminées au moyen d</w:t>
      </w:r>
      <w:r>
        <w:rPr>
          <w:lang w:val="fr-FR"/>
        </w:rPr>
        <w:t>’</w:t>
      </w:r>
      <w:r w:rsidRPr="006F1183">
        <w:rPr>
          <w:lang w:val="fr-FR"/>
        </w:rPr>
        <w:t xml:space="preserve">activités </w:t>
      </w:r>
      <w:r>
        <w:rPr>
          <w:lang w:val="fr-FR"/>
        </w:rPr>
        <w:t>d’</w:t>
      </w:r>
      <w:r w:rsidRPr="006F1183">
        <w:rPr>
          <w:lang w:val="fr-FR"/>
        </w:rPr>
        <w:t>assistance technique.</w:t>
      </w:r>
    </w:p>
    <w:p w14:paraId="508E2397" w14:textId="77777777" w:rsidR="00720BA7" w:rsidRPr="00720BA7" w:rsidRDefault="00720BA7" w:rsidP="00720BA7">
      <w:pPr>
        <w:pStyle w:val="Heading1"/>
        <w:rPr>
          <w:rStyle w:val="tw4winMark"/>
          <w:vanish w:val="0"/>
          <w:lang w:val="fr-CA"/>
        </w:rPr>
      </w:pPr>
      <w:r w:rsidRPr="006F1183">
        <w:rPr>
          <w:lang w:val="fr-FR"/>
        </w:rPr>
        <w:t>La deuxième tranche du plan du secteur de la réfrigération industrielle et commerciale et le plan de mise en œuvre correspondant pour 2017</w:t>
      </w:r>
      <w:r w:rsidRPr="006F1183">
        <w:rPr>
          <w:lang w:val="fr-FR"/>
        </w:rPr>
        <w:noBreakHyphen/>
        <w:t>2018 ont été</w:t>
      </w:r>
      <w:r>
        <w:rPr>
          <w:lang w:val="fr-FR"/>
        </w:rPr>
        <w:t xml:space="preserve"> </w:t>
      </w:r>
      <w:r w:rsidRPr="006F1183">
        <w:rPr>
          <w:lang w:val="fr-FR"/>
        </w:rPr>
        <w:t>approuvés lors de la 80</w:t>
      </w:r>
      <w:r w:rsidRPr="006F1183">
        <w:rPr>
          <w:vertAlign w:val="superscript"/>
          <w:lang w:val="fr-FR"/>
        </w:rPr>
        <w:t>e</w:t>
      </w:r>
      <w:r w:rsidRPr="006F1183">
        <w:rPr>
          <w:lang w:val="fr-FR"/>
        </w:rPr>
        <w:t xml:space="preserve"> réunion.</w:t>
      </w:r>
      <w:r w:rsidRPr="00720BA7">
        <w:rPr>
          <w:lang w:val="fr-CA"/>
        </w:rPr>
        <w:t xml:space="preserve"> </w:t>
      </w:r>
    </w:p>
    <w:p w14:paraId="77F830CB" w14:textId="77777777" w:rsidR="00720BA7" w:rsidRPr="00720BA7" w:rsidRDefault="00720BA7" w:rsidP="00720BA7">
      <w:pPr>
        <w:pStyle w:val="Heading1"/>
        <w:rPr>
          <w:lang w:val="fr-CA"/>
        </w:rPr>
      </w:pPr>
      <w:r w:rsidRPr="006F1183">
        <w:rPr>
          <w:lang w:val="fr-FR"/>
        </w:rPr>
        <w:t>Lors de sa 84</w:t>
      </w:r>
      <w:r w:rsidRPr="006F1183">
        <w:rPr>
          <w:vertAlign w:val="superscript"/>
          <w:lang w:val="fr-FR"/>
        </w:rPr>
        <w:t>e</w:t>
      </w:r>
      <w:r w:rsidRPr="006F1183">
        <w:rPr>
          <w:lang w:val="fr-FR"/>
        </w:rPr>
        <w:t xml:space="preserve"> réunion, le Comité exécutif a approuvé l</w:t>
      </w:r>
      <w:r>
        <w:rPr>
          <w:lang w:val="fr-FR"/>
        </w:rPr>
        <w:t>’</w:t>
      </w:r>
      <w:r w:rsidRPr="006F1183">
        <w:rPr>
          <w:lang w:val="fr-FR"/>
        </w:rPr>
        <w:t>Appendice A-2 révisé de l</w:t>
      </w:r>
      <w:r>
        <w:rPr>
          <w:lang w:val="fr-FR"/>
        </w:rPr>
        <w:t>’a</w:t>
      </w:r>
      <w:r w:rsidRPr="006F1183">
        <w:rPr>
          <w:lang w:val="fr-FR"/>
        </w:rPr>
        <w:t>ccord conclu entre</w:t>
      </w:r>
      <w:r>
        <w:rPr>
          <w:lang w:val="fr-FR"/>
        </w:rPr>
        <w:t xml:space="preserve"> </w:t>
      </w:r>
      <w:r w:rsidRPr="006F1183">
        <w:rPr>
          <w:lang w:val="fr-FR"/>
        </w:rPr>
        <w:t>le gouvernement de la Chine et le Comité exécutif pour la phase II du PGEH reflétant, entre autres, le changement intervenu dans le niveau de financement pour le secteur de la réfrigération industrielle et commerciale et dans les coûts d</w:t>
      </w:r>
      <w:r>
        <w:rPr>
          <w:lang w:val="fr-FR"/>
        </w:rPr>
        <w:t>’</w:t>
      </w:r>
      <w:r w:rsidRPr="006F1183">
        <w:rPr>
          <w:lang w:val="fr-FR"/>
        </w:rPr>
        <w:t xml:space="preserve">appui correspondants indiqués aux lignes 2.1.1 et 2.1.2, et a demandé à </w:t>
      </w:r>
      <w:r>
        <w:rPr>
          <w:lang w:val="fr-FR"/>
        </w:rPr>
        <w:t>l’</w:t>
      </w:r>
      <w:r w:rsidRPr="006F1183">
        <w:rPr>
          <w:lang w:val="fr-FR"/>
        </w:rPr>
        <w:t>agence d</w:t>
      </w:r>
      <w:r>
        <w:rPr>
          <w:lang w:val="fr-FR"/>
        </w:rPr>
        <w:t>’</w:t>
      </w:r>
      <w:r w:rsidRPr="006F1183">
        <w:rPr>
          <w:lang w:val="fr-FR"/>
        </w:rPr>
        <w:t>exécution, au nom du gouvernement de la Chine, de soumettre à la 85</w:t>
      </w:r>
      <w:r w:rsidRPr="006F1183">
        <w:rPr>
          <w:vertAlign w:val="superscript"/>
          <w:lang w:val="fr-FR"/>
        </w:rPr>
        <w:t>e</w:t>
      </w:r>
      <w:r w:rsidRPr="006F1183">
        <w:rPr>
          <w:lang w:val="fr-FR"/>
        </w:rPr>
        <w:t xml:space="preserve"> réunion les demandes de financement de tranche pour 2020 pour le plan du secteur de la réfrigération industrielle et commerciale de la phase II du PGEH.</w:t>
      </w:r>
      <w:r w:rsidRPr="00720BA7">
        <w:rPr>
          <w:lang w:val="fr-CA"/>
        </w:rPr>
        <w:t xml:space="preserve"> </w:t>
      </w:r>
    </w:p>
    <w:p w14:paraId="0774CCE4" w14:textId="77777777" w:rsidR="00720BA7" w:rsidRPr="00720BA7" w:rsidRDefault="00720BA7" w:rsidP="00720BA7">
      <w:pPr>
        <w:pStyle w:val="Heading1"/>
        <w:rPr>
          <w:lang w:val="fr-CA"/>
        </w:rPr>
      </w:pPr>
      <w:r w:rsidRPr="006F1183">
        <w:rPr>
          <w:lang w:val="fr-FR"/>
        </w:rPr>
        <w:t>Lors de cette même réunion, le Comité exécutif a demandé au gouvernement de la Chine, par l</w:t>
      </w:r>
      <w:r>
        <w:rPr>
          <w:lang w:val="fr-FR"/>
        </w:rPr>
        <w:t>’</w:t>
      </w:r>
      <w:r w:rsidRPr="006F1183">
        <w:rPr>
          <w:lang w:val="fr-FR"/>
        </w:rPr>
        <w:t>intermédiaire des agences bilatérales et d</w:t>
      </w:r>
      <w:r>
        <w:rPr>
          <w:lang w:val="fr-FR"/>
        </w:rPr>
        <w:t>’</w:t>
      </w:r>
      <w:r w:rsidRPr="006F1183">
        <w:rPr>
          <w:lang w:val="fr-FR"/>
        </w:rPr>
        <w:t>exécution concernées, de soumettre entre autres un plan d</w:t>
      </w:r>
      <w:r>
        <w:rPr>
          <w:lang w:val="fr-FR"/>
        </w:rPr>
        <w:t>’</w:t>
      </w:r>
      <w:r w:rsidRPr="006F1183">
        <w:rPr>
          <w:lang w:val="fr-FR"/>
        </w:rPr>
        <w:t xml:space="preserve">action révisé incluant les activités et les informations se rapportant à la technologie choisie, et les tranches de financement correspondantes </w:t>
      </w:r>
      <w:r>
        <w:rPr>
          <w:lang w:val="fr-FR"/>
        </w:rPr>
        <w:t>afin</w:t>
      </w:r>
      <w:r w:rsidRPr="006F1183">
        <w:rPr>
          <w:lang w:val="fr-FR"/>
        </w:rPr>
        <w:t xml:space="preserve"> de prolonger jusqu</w:t>
      </w:r>
      <w:r>
        <w:rPr>
          <w:lang w:val="fr-FR"/>
        </w:rPr>
        <w:t>’</w:t>
      </w:r>
      <w:r w:rsidRPr="006F1183">
        <w:rPr>
          <w:lang w:val="fr-FR"/>
        </w:rPr>
        <w:t>en 2026 la phase II du secteur de la réfrigération industrielle et commerciale</w:t>
      </w:r>
      <w:r>
        <w:rPr>
          <w:lang w:val="fr-FR"/>
        </w:rPr>
        <w:t>, ainsi que</w:t>
      </w:r>
      <w:r w:rsidRPr="006F1183">
        <w:rPr>
          <w:lang w:val="fr-FR"/>
        </w:rPr>
        <w:t xml:space="preserve"> les niveaux de consommation sectorielle maximum admissibles de HCFC (décision 84/69).</w:t>
      </w:r>
      <w:r w:rsidRPr="00720BA7">
        <w:rPr>
          <w:lang w:val="fr-CA"/>
        </w:rPr>
        <w:t xml:space="preserve"> </w:t>
      </w:r>
    </w:p>
    <w:p w14:paraId="26E50518" w14:textId="77777777" w:rsidR="00720BA7" w:rsidRPr="00720BA7" w:rsidRDefault="00720BA7" w:rsidP="00720BA7">
      <w:pPr>
        <w:pStyle w:val="Heading1"/>
        <w:keepNext/>
        <w:keepLines/>
        <w:widowControl w:val="0"/>
        <w:rPr>
          <w:lang w:val="fr-CA"/>
        </w:rPr>
      </w:pPr>
      <w:r w:rsidRPr="006F1183">
        <w:rPr>
          <w:lang w:val="fr-FR"/>
        </w:rPr>
        <w:t>Lors de sa 85</w:t>
      </w:r>
      <w:r w:rsidRPr="006F1183">
        <w:rPr>
          <w:vertAlign w:val="superscript"/>
          <w:lang w:val="fr-FR"/>
        </w:rPr>
        <w:t>e</w:t>
      </w:r>
      <w:r w:rsidRPr="006F1183">
        <w:rPr>
          <w:lang w:val="fr-FR"/>
        </w:rPr>
        <w:t xml:space="preserve"> réunion, </w:t>
      </w:r>
      <w:r>
        <w:rPr>
          <w:lang w:val="fr-FR"/>
        </w:rPr>
        <w:t>l</w:t>
      </w:r>
      <w:r w:rsidRPr="006F1183">
        <w:rPr>
          <w:lang w:val="fr-FR"/>
        </w:rPr>
        <w:t>e Comité exécutif a approuvé la troisième tranche du plan du secteur de la réfrigération industrielle et commerciale pour un montant de 2 095 775 $US, plus coûts d</w:t>
      </w:r>
      <w:r>
        <w:rPr>
          <w:lang w:val="fr-FR"/>
        </w:rPr>
        <w:t>’</w:t>
      </w:r>
      <w:r w:rsidRPr="006F1183">
        <w:rPr>
          <w:lang w:val="fr-FR"/>
        </w:rPr>
        <w:t>appui d</w:t>
      </w:r>
      <w:r>
        <w:rPr>
          <w:lang w:val="fr-FR"/>
        </w:rPr>
        <w:t>’</w:t>
      </w:r>
      <w:r w:rsidRPr="006F1183">
        <w:rPr>
          <w:lang w:val="fr-FR"/>
        </w:rPr>
        <w:t>agence pour le PNUD afin de soutenir la mise en œuvre continue des projets de reconversion commencés lors de la première et la deuxième tranche.</w:t>
      </w:r>
      <w:r w:rsidRPr="00720BA7">
        <w:rPr>
          <w:lang w:val="fr-CA"/>
        </w:rPr>
        <w:t xml:space="preserve"> </w:t>
      </w:r>
    </w:p>
    <w:p w14:paraId="3B014163" w14:textId="77777777" w:rsidR="00720BA7" w:rsidRPr="00720BA7" w:rsidRDefault="00720BA7" w:rsidP="00720BA7">
      <w:pPr>
        <w:pStyle w:val="Heading1"/>
        <w:rPr>
          <w:lang w:val="fr-CA"/>
        </w:rPr>
      </w:pPr>
      <w:r w:rsidRPr="006F1183">
        <w:rPr>
          <w:lang w:val="fr-FR"/>
        </w:rPr>
        <w:t>Conformément à la décision 84/69, le PNUD, au nom du gouvernement de la Chine, a soumis à la 86</w:t>
      </w:r>
      <w:r w:rsidRPr="006F1183">
        <w:rPr>
          <w:vertAlign w:val="superscript"/>
          <w:lang w:val="fr-FR"/>
        </w:rPr>
        <w:t>e</w:t>
      </w:r>
      <w:r>
        <w:rPr>
          <w:lang w:val="fr-FR"/>
        </w:rPr>
        <w:t xml:space="preserve"> </w:t>
      </w:r>
      <w:r w:rsidRPr="006F1183">
        <w:rPr>
          <w:lang w:val="fr-FR"/>
        </w:rPr>
        <w:t>réunion un plan révisé de phase II du secteur de la réfrigération industrielle et commerciale, qui comprend les activités et les informations se rapportant à la technologie choisie et les tranches de financement correspondantes à prolonger jusqu</w:t>
      </w:r>
      <w:r>
        <w:rPr>
          <w:lang w:val="fr-FR"/>
        </w:rPr>
        <w:t>’</w:t>
      </w:r>
      <w:r w:rsidRPr="006F1183">
        <w:rPr>
          <w:lang w:val="fr-FR"/>
        </w:rPr>
        <w:t>en</w:t>
      </w:r>
      <w:r>
        <w:rPr>
          <w:lang w:val="fr-FR"/>
        </w:rPr>
        <w:t xml:space="preserve"> </w:t>
      </w:r>
      <w:r w:rsidRPr="006F1183">
        <w:rPr>
          <w:lang w:val="fr-FR"/>
        </w:rPr>
        <w:t>2026</w:t>
      </w:r>
      <w:r w:rsidRPr="006F1183">
        <w:rPr>
          <w:rStyle w:val="FootnoteReference"/>
          <w:lang w:val="en-CA"/>
        </w:rPr>
        <w:footnoteReference w:id="10"/>
      </w:r>
      <w:r>
        <w:rPr>
          <w:lang w:val="fr-FR"/>
        </w:rPr>
        <w:t>.</w:t>
      </w:r>
      <w:r w:rsidRPr="00720BA7">
        <w:rPr>
          <w:lang w:val="fr-CA"/>
        </w:rPr>
        <w:t xml:space="preserve"> </w:t>
      </w:r>
    </w:p>
    <w:p w14:paraId="3A363A5F" w14:textId="77777777" w:rsidR="00720BA7" w:rsidRPr="00720BA7" w:rsidRDefault="00720BA7" w:rsidP="00720BA7">
      <w:pPr>
        <w:spacing w:after="240"/>
        <w:rPr>
          <w:b/>
          <w:lang w:val="fr-CA"/>
        </w:rPr>
      </w:pPr>
      <w:r w:rsidRPr="006F1183">
        <w:rPr>
          <w:b/>
          <w:lang w:val="fr-FR"/>
        </w:rPr>
        <w:t>État de l</w:t>
      </w:r>
      <w:r>
        <w:rPr>
          <w:b/>
          <w:lang w:val="fr-FR"/>
        </w:rPr>
        <w:t>’</w:t>
      </w:r>
      <w:r w:rsidRPr="006F1183">
        <w:rPr>
          <w:b/>
          <w:lang w:val="fr-FR"/>
        </w:rPr>
        <w:t xml:space="preserve">avancement de la mise en œuvre de la phase I du plan du secteur </w:t>
      </w:r>
      <w:r>
        <w:rPr>
          <w:b/>
          <w:lang w:val="fr-FR"/>
        </w:rPr>
        <w:t>ICR</w:t>
      </w:r>
    </w:p>
    <w:p w14:paraId="4D6A2C52" w14:textId="77777777" w:rsidR="00720BA7" w:rsidRPr="00720BA7" w:rsidRDefault="00720BA7" w:rsidP="00720BA7">
      <w:pPr>
        <w:pStyle w:val="Heading1"/>
        <w:rPr>
          <w:lang w:val="fr-CA"/>
        </w:rPr>
      </w:pPr>
      <w:r w:rsidRPr="006F1183">
        <w:rPr>
          <w:lang w:val="fr-FR"/>
        </w:rPr>
        <w:t>La phase I du plan du secteur de la réfrigération industrielle et commerciale pour la Chine est achevée d</w:t>
      </w:r>
      <w:r>
        <w:rPr>
          <w:lang w:val="fr-FR"/>
        </w:rPr>
        <w:t>’</w:t>
      </w:r>
      <w:r w:rsidRPr="006F1183">
        <w:rPr>
          <w:lang w:val="fr-FR"/>
        </w:rPr>
        <w:t>un point de vue opérationnel, et un rapport d</w:t>
      </w:r>
      <w:r>
        <w:rPr>
          <w:lang w:val="fr-FR"/>
        </w:rPr>
        <w:t>’</w:t>
      </w:r>
      <w:r w:rsidRPr="006F1183">
        <w:rPr>
          <w:lang w:val="fr-FR"/>
        </w:rPr>
        <w:t>achèvement de projet a été soumis à la 85</w:t>
      </w:r>
      <w:r w:rsidRPr="006F1183">
        <w:rPr>
          <w:vertAlign w:val="superscript"/>
          <w:lang w:val="fr-FR"/>
        </w:rPr>
        <w:t>e</w:t>
      </w:r>
      <w:r w:rsidRPr="006F1183">
        <w:rPr>
          <w:lang w:val="fr-FR"/>
        </w:rPr>
        <w:t xml:space="preserve"> réunion.</w:t>
      </w:r>
    </w:p>
    <w:p w14:paraId="7D332F82" w14:textId="77777777" w:rsidR="00720BA7" w:rsidRPr="00720BA7" w:rsidRDefault="00720BA7" w:rsidP="00720BA7">
      <w:pPr>
        <w:spacing w:after="240"/>
        <w:outlineLvl w:val="0"/>
        <w:rPr>
          <w:b/>
          <w:lang w:val="fr-CA"/>
        </w:rPr>
      </w:pPr>
      <w:r w:rsidRPr="006F1183">
        <w:rPr>
          <w:b/>
          <w:lang w:val="fr-FR"/>
        </w:rPr>
        <w:t>État de l</w:t>
      </w:r>
      <w:r>
        <w:rPr>
          <w:b/>
          <w:lang w:val="fr-FR"/>
        </w:rPr>
        <w:t>’</w:t>
      </w:r>
      <w:r w:rsidRPr="006F1183">
        <w:rPr>
          <w:b/>
          <w:lang w:val="fr-FR"/>
        </w:rPr>
        <w:t xml:space="preserve">avancement de la mise en œuvre de la phase II du plan du secteur </w:t>
      </w:r>
      <w:r>
        <w:rPr>
          <w:b/>
          <w:lang w:val="fr-FR"/>
        </w:rPr>
        <w:t>ICR</w:t>
      </w:r>
      <w:r w:rsidRPr="00720BA7">
        <w:rPr>
          <w:b/>
          <w:lang w:val="fr-CA"/>
        </w:rPr>
        <w:t xml:space="preserve"> </w:t>
      </w:r>
    </w:p>
    <w:p w14:paraId="2FB299BF" w14:textId="77777777" w:rsidR="00720BA7" w:rsidRPr="00720BA7" w:rsidRDefault="00720BA7" w:rsidP="00720BA7">
      <w:pPr>
        <w:pStyle w:val="Heading1"/>
        <w:rPr>
          <w:lang w:val="fr-CA"/>
        </w:rPr>
      </w:pPr>
      <w:r w:rsidRPr="006F1183">
        <w:rPr>
          <w:lang w:val="fr-FR"/>
        </w:rPr>
        <w:t>Sur la base du rapport périodique détaillé sur la</w:t>
      </w:r>
      <w:r>
        <w:rPr>
          <w:lang w:val="fr-FR"/>
        </w:rPr>
        <w:t xml:space="preserve"> </w:t>
      </w:r>
      <w:r w:rsidRPr="006F1183">
        <w:rPr>
          <w:lang w:val="fr-FR"/>
        </w:rPr>
        <w:t>mise en œuvre de la phase II soumis à la 85</w:t>
      </w:r>
      <w:r w:rsidRPr="006F1183">
        <w:rPr>
          <w:vertAlign w:val="superscript"/>
          <w:lang w:val="fr-FR"/>
        </w:rPr>
        <w:t>e</w:t>
      </w:r>
      <w:r>
        <w:rPr>
          <w:lang w:val="fr-FR"/>
        </w:rPr>
        <w:t xml:space="preserve"> </w:t>
      </w:r>
      <w:r w:rsidRPr="006F1183">
        <w:rPr>
          <w:lang w:val="fr-FR"/>
        </w:rPr>
        <w:t>réunion</w:t>
      </w:r>
      <w:r w:rsidRPr="006F1183">
        <w:rPr>
          <w:rStyle w:val="FootnoteReference"/>
          <w:lang w:val="fr-FR"/>
        </w:rPr>
        <w:footnoteReference w:id="11"/>
      </w:r>
      <w:r w:rsidRPr="006F1183">
        <w:rPr>
          <w:lang w:val="fr-FR"/>
        </w:rPr>
        <w:t>, les contrats visant la reconversion de</w:t>
      </w:r>
      <w:r>
        <w:rPr>
          <w:lang w:val="fr-FR"/>
        </w:rPr>
        <w:t xml:space="preserve"> </w:t>
      </w:r>
      <w:r w:rsidRPr="006F1183">
        <w:rPr>
          <w:lang w:val="fr-FR"/>
        </w:rPr>
        <w:t>18 chaînes de fabrication (pour l</w:t>
      </w:r>
      <w:r>
        <w:rPr>
          <w:lang w:val="fr-FR"/>
        </w:rPr>
        <w:t>’</w:t>
      </w:r>
      <w:r w:rsidRPr="006F1183">
        <w:rPr>
          <w:lang w:val="fr-FR"/>
        </w:rPr>
        <w:t>élimination de</w:t>
      </w:r>
      <w:r>
        <w:rPr>
          <w:lang w:val="fr-FR"/>
        </w:rPr>
        <w:t xml:space="preserve"> </w:t>
      </w:r>
      <w:r w:rsidRPr="006F1183">
        <w:rPr>
          <w:lang w:val="fr-FR"/>
        </w:rPr>
        <w:t>2 557,42 tm (140,66 tonnes PAO) de HCFC-22) ont été signés et la reconversion de quatre chaînes a été achevée.</w:t>
      </w:r>
      <w:r w:rsidRPr="00720BA7">
        <w:rPr>
          <w:lang w:val="fr-CA"/>
        </w:rPr>
        <w:t xml:space="preserve"> </w:t>
      </w:r>
      <w:r w:rsidRPr="006F1183">
        <w:rPr>
          <w:lang w:val="fr-FR"/>
        </w:rPr>
        <w:t xml:space="preserve">Les </w:t>
      </w:r>
      <w:r w:rsidRPr="006F1183">
        <w:rPr>
          <w:lang w:val="fr-FR"/>
        </w:rPr>
        <w:lastRenderedPageBreak/>
        <w:t>progrès récents depuis la 85</w:t>
      </w:r>
      <w:r w:rsidRPr="006F1183">
        <w:rPr>
          <w:vertAlign w:val="superscript"/>
          <w:lang w:val="fr-FR"/>
        </w:rPr>
        <w:t>e</w:t>
      </w:r>
      <w:r w:rsidRPr="006F1183">
        <w:rPr>
          <w:lang w:val="fr-FR"/>
        </w:rPr>
        <w:t xml:space="preserve"> réunion n</w:t>
      </w:r>
      <w:r>
        <w:rPr>
          <w:lang w:val="fr-FR"/>
        </w:rPr>
        <w:t>’</w:t>
      </w:r>
      <w:r w:rsidRPr="006F1183">
        <w:rPr>
          <w:lang w:val="fr-FR"/>
        </w:rPr>
        <w:t>ont pas pu être vérifiés du fait des restrictions impos</w:t>
      </w:r>
      <w:r>
        <w:rPr>
          <w:lang w:val="fr-FR"/>
        </w:rPr>
        <w:t>é</w:t>
      </w:r>
      <w:r w:rsidRPr="006F1183">
        <w:rPr>
          <w:lang w:val="fr-FR"/>
        </w:rPr>
        <w:t>es par la pandémie de Covid-19.</w:t>
      </w:r>
      <w:r w:rsidRPr="00720BA7">
        <w:rPr>
          <w:lang w:val="fr-CA"/>
        </w:rPr>
        <w:t xml:space="preserve"> </w:t>
      </w:r>
    </w:p>
    <w:p w14:paraId="71C0F040" w14:textId="77777777" w:rsidR="00720BA7" w:rsidRPr="00720BA7" w:rsidRDefault="00720BA7" w:rsidP="00720BA7">
      <w:pPr>
        <w:rPr>
          <w:lang w:val="fr-CA"/>
        </w:rPr>
      </w:pPr>
      <w:r w:rsidRPr="006F1183">
        <w:rPr>
          <w:u w:val="single"/>
          <w:lang w:val="fr-FR"/>
        </w:rPr>
        <w:t>Données de consommation de HCFC dans le secteur de la réfrigération industrielle et commerciale</w:t>
      </w:r>
      <w:r>
        <w:rPr>
          <w:u w:val="single"/>
          <w:lang w:val="fr-FR"/>
        </w:rPr>
        <w:t xml:space="preserve"> (secteur ICR)</w:t>
      </w:r>
    </w:p>
    <w:p w14:paraId="11CDCC7A" w14:textId="77777777" w:rsidR="00720BA7" w:rsidRPr="00720BA7" w:rsidRDefault="00720BA7" w:rsidP="00720BA7">
      <w:pPr>
        <w:rPr>
          <w:lang w:val="fr-CA"/>
        </w:rPr>
      </w:pPr>
      <w:r w:rsidRPr="00720BA7">
        <w:rPr>
          <w:u w:val="single"/>
          <w:lang w:val="fr-CA"/>
        </w:rPr>
        <w:t xml:space="preserve"> </w:t>
      </w:r>
    </w:p>
    <w:p w14:paraId="1F2A164D" w14:textId="77777777" w:rsidR="00720BA7" w:rsidRPr="00720BA7" w:rsidRDefault="00720BA7" w:rsidP="00720BA7">
      <w:pPr>
        <w:pStyle w:val="Heading1"/>
        <w:rPr>
          <w:lang w:val="fr-CA"/>
        </w:rPr>
      </w:pPr>
      <w:r w:rsidRPr="006F1183">
        <w:rPr>
          <w:lang w:val="fr-FR"/>
        </w:rPr>
        <w:t>Le</w:t>
      </w:r>
      <w:r>
        <w:rPr>
          <w:lang w:val="fr-FR"/>
        </w:rPr>
        <w:t xml:space="preserve"> </w:t>
      </w:r>
      <w:r w:rsidRPr="006F1183">
        <w:rPr>
          <w:lang w:val="fr-FR"/>
        </w:rPr>
        <w:t>gouvernement de la Chine a communiqué pour 2019 une consommation de 1 996,91 tonnes PAO de HCFC dans secteur de la réfrigération industrielle et commerciale, quantité de 2,2 pour cent inférieure à la consommation maximale admissible pour ce secteur, comme l</w:t>
      </w:r>
      <w:r>
        <w:rPr>
          <w:lang w:val="fr-FR"/>
        </w:rPr>
        <w:t>’</w:t>
      </w:r>
      <w:r w:rsidRPr="006F1183">
        <w:rPr>
          <w:lang w:val="fr-FR"/>
        </w:rPr>
        <w:t>indique le tableau 1.</w:t>
      </w:r>
      <w:r w:rsidRPr="00720BA7">
        <w:rPr>
          <w:lang w:val="fr-CA"/>
        </w:rPr>
        <w:t xml:space="preserve"> </w:t>
      </w:r>
    </w:p>
    <w:p w14:paraId="2CA6415F" w14:textId="77777777" w:rsidR="00720BA7" w:rsidRPr="00720BA7" w:rsidRDefault="00720BA7" w:rsidP="00720BA7">
      <w:pPr>
        <w:keepNext/>
        <w:keepLines/>
        <w:rPr>
          <w:b/>
          <w:lang w:val="fr-CA"/>
        </w:rPr>
      </w:pPr>
      <w:r w:rsidRPr="006F1183">
        <w:rPr>
          <w:b/>
          <w:lang w:val="fr-FR"/>
        </w:rPr>
        <w:t>Tableau 1</w:t>
      </w:r>
      <w:r>
        <w:rPr>
          <w:b/>
          <w:lang w:val="fr-FR"/>
        </w:rPr>
        <w:t>.</w:t>
      </w:r>
      <w:r w:rsidRPr="006F1183">
        <w:rPr>
          <w:b/>
          <w:lang w:val="fr-FR"/>
        </w:rPr>
        <w:t xml:space="preserve"> Consommation de HCFC dans le secteur </w:t>
      </w:r>
      <w:r>
        <w:rPr>
          <w:b/>
          <w:lang w:val="fr-FR"/>
        </w:rPr>
        <w:t>ICR</w:t>
      </w:r>
    </w:p>
    <w:tbl>
      <w:tblPr>
        <w:tblW w:w="5082" w:type="pct"/>
        <w:tblLayout w:type="fixed"/>
        <w:tblLook w:val="04A0" w:firstRow="1" w:lastRow="0" w:firstColumn="1" w:lastColumn="0" w:noHBand="0" w:noVBand="1"/>
      </w:tblPr>
      <w:tblGrid>
        <w:gridCol w:w="2244"/>
        <w:gridCol w:w="1258"/>
        <w:gridCol w:w="1171"/>
        <w:gridCol w:w="1169"/>
        <w:gridCol w:w="1194"/>
        <w:gridCol w:w="1235"/>
        <w:gridCol w:w="1232"/>
      </w:tblGrid>
      <w:tr w:rsidR="00720BA7" w:rsidRPr="00C20600" w14:paraId="49188B54" w14:textId="77777777" w:rsidTr="00D75337">
        <w:trPr>
          <w:trHeight w:val="49"/>
          <w:tblHeader/>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6923D" w14:textId="77777777" w:rsidR="00720BA7" w:rsidRPr="006F1183" w:rsidRDefault="00720BA7" w:rsidP="00720BA7">
            <w:pPr>
              <w:keepNext/>
              <w:keepLines/>
              <w:jc w:val="left"/>
              <w:rPr>
                <w:b/>
                <w:sz w:val="20"/>
                <w:szCs w:val="20"/>
                <w:lang w:val="en-CA" w:eastAsia="zh-CN"/>
              </w:rPr>
            </w:pPr>
            <w:r w:rsidRPr="006F1183">
              <w:rPr>
                <w:b/>
                <w:sz w:val="20"/>
                <w:szCs w:val="20"/>
                <w:lang w:val="fr-FR" w:eastAsia="zh-CN"/>
              </w:rPr>
              <w:t>Substances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4CE88" w14:textId="77777777" w:rsidR="00720BA7" w:rsidRPr="00C20600" w:rsidRDefault="00720BA7" w:rsidP="00720BA7">
            <w:pPr>
              <w:keepNext/>
              <w:keepLines/>
              <w:jc w:val="center"/>
              <w:rPr>
                <w:b/>
                <w:sz w:val="20"/>
                <w:szCs w:val="20"/>
                <w:lang w:val="en-CA" w:eastAsia="zh-CN"/>
              </w:rPr>
            </w:pPr>
            <w:r w:rsidRPr="00C20600">
              <w:rPr>
                <w:b/>
                <w:sz w:val="20"/>
                <w:szCs w:val="20"/>
                <w:lang w:val="en-CA"/>
              </w:rPr>
              <w:t>2015</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7C33FCDD" w14:textId="77777777" w:rsidR="00720BA7" w:rsidRPr="00C20600" w:rsidRDefault="00720BA7" w:rsidP="00720BA7">
            <w:pPr>
              <w:keepNext/>
              <w:keepLines/>
              <w:jc w:val="center"/>
              <w:rPr>
                <w:b/>
                <w:sz w:val="20"/>
                <w:szCs w:val="20"/>
                <w:lang w:val="en-CA" w:eastAsia="zh-CN"/>
              </w:rPr>
            </w:pPr>
            <w:r w:rsidRPr="00C20600">
              <w:rPr>
                <w:b/>
                <w:sz w:val="20"/>
                <w:szCs w:val="20"/>
                <w:lang w:val="en-CA"/>
              </w:rPr>
              <w:t>2016</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71789E32" w14:textId="77777777" w:rsidR="00720BA7" w:rsidRPr="00C20600" w:rsidRDefault="00720BA7" w:rsidP="00720BA7">
            <w:pPr>
              <w:keepNext/>
              <w:keepLines/>
              <w:jc w:val="center"/>
              <w:rPr>
                <w:b/>
                <w:sz w:val="20"/>
                <w:szCs w:val="20"/>
                <w:lang w:val="en-CA" w:eastAsia="zh-CN"/>
              </w:rPr>
            </w:pPr>
            <w:r w:rsidRPr="00C20600">
              <w:rPr>
                <w:b/>
                <w:sz w:val="20"/>
                <w:szCs w:val="20"/>
                <w:lang w:val="en-CA"/>
              </w:rPr>
              <w:t>2017</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3B59E45E" w14:textId="77777777" w:rsidR="00720BA7" w:rsidRPr="00C20600" w:rsidRDefault="00720BA7" w:rsidP="00720BA7">
            <w:pPr>
              <w:keepNext/>
              <w:keepLines/>
              <w:jc w:val="center"/>
              <w:rPr>
                <w:b/>
                <w:sz w:val="20"/>
                <w:szCs w:val="20"/>
                <w:lang w:val="en-CA" w:eastAsia="zh-CN"/>
              </w:rPr>
            </w:pPr>
            <w:r w:rsidRPr="00C20600">
              <w:rPr>
                <w:b/>
                <w:sz w:val="20"/>
                <w:szCs w:val="20"/>
                <w:lang w:val="en-CA"/>
              </w:rPr>
              <w:t>2018</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029ABBE6" w14:textId="77777777" w:rsidR="00720BA7" w:rsidRPr="00C20600" w:rsidRDefault="00720BA7" w:rsidP="00720BA7">
            <w:pPr>
              <w:keepNext/>
              <w:keepLines/>
              <w:jc w:val="center"/>
              <w:rPr>
                <w:b/>
                <w:sz w:val="20"/>
                <w:szCs w:val="20"/>
                <w:lang w:val="en-CA" w:eastAsia="zh-CN"/>
              </w:rPr>
            </w:pPr>
            <w:r w:rsidRPr="00C20600">
              <w:rPr>
                <w:b/>
                <w:sz w:val="20"/>
                <w:szCs w:val="20"/>
                <w:lang w:val="en-CA"/>
              </w:rPr>
              <w:t>2019*</w:t>
            </w:r>
          </w:p>
        </w:tc>
        <w:tc>
          <w:tcPr>
            <w:tcW w:w="647" w:type="pct"/>
            <w:tcBorders>
              <w:top w:val="single" w:sz="4" w:space="0" w:color="auto"/>
              <w:left w:val="nil"/>
              <w:bottom w:val="single" w:sz="4" w:space="0" w:color="auto"/>
              <w:right w:val="single" w:sz="4" w:space="0" w:color="auto"/>
            </w:tcBorders>
            <w:vAlign w:val="center"/>
          </w:tcPr>
          <w:p w14:paraId="0527208E" w14:textId="77777777" w:rsidR="00720BA7" w:rsidRPr="006F1183" w:rsidRDefault="00720BA7" w:rsidP="00720BA7">
            <w:pPr>
              <w:keepNext/>
              <w:keepLines/>
              <w:rPr>
                <w:b/>
                <w:sz w:val="20"/>
                <w:szCs w:val="20"/>
                <w:lang w:val="en-CA" w:eastAsia="zh-CN"/>
              </w:rPr>
            </w:pPr>
            <w:r w:rsidRPr="006F1183">
              <w:rPr>
                <w:b/>
                <w:sz w:val="20"/>
                <w:szCs w:val="20"/>
                <w:lang w:val="fr-FR"/>
              </w:rPr>
              <w:t>Valeur de référence</w:t>
            </w:r>
          </w:p>
        </w:tc>
      </w:tr>
      <w:tr w:rsidR="00720BA7" w:rsidRPr="00C20600" w14:paraId="2898C108" w14:textId="77777777" w:rsidTr="00D75337">
        <w:trPr>
          <w:trHeight w:val="80"/>
        </w:trPr>
        <w:tc>
          <w:tcPr>
            <w:tcW w:w="1181" w:type="pct"/>
            <w:tcBorders>
              <w:top w:val="single" w:sz="4" w:space="0" w:color="auto"/>
              <w:left w:val="single" w:sz="4" w:space="0" w:color="auto"/>
              <w:bottom w:val="single" w:sz="4" w:space="0" w:color="auto"/>
              <w:right w:val="single" w:sz="4" w:space="0" w:color="000000"/>
            </w:tcBorders>
            <w:shd w:val="clear" w:color="auto" w:fill="auto"/>
            <w:noWrap/>
          </w:tcPr>
          <w:p w14:paraId="4DA5F8A3" w14:textId="77777777" w:rsidR="00720BA7" w:rsidRPr="006F1183" w:rsidRDefault="00720BA7" w:rsidP="00D75337">
            <w:pPr>
              <w:keepNext/>
              <w:keepLines/>
              <w:jc w:val="left"/>
              <w:rPr>
                <w:color w:val="000000"/>
                <w:sz w:val="20"/>
                <w:szCs w:val="20"/>
                <w:lang w:val="en-CA" w:eastAsia="zh-CN"/>
              </w:rPr>
            </w:pPr>
            <w:r w:rsidRPr="006F1183">
              <w:rPr>
                <w:color w:val="000000"/>
                <w:sz w:val="20"/>
                <w:szCs w:val="20"/>
                <w:lang w:val="fr-FR" w:eastAsia="zh-CN"/>
              </w:rPr>
              <w:t xml:space="preserve">Objectif** (tonnes PAO) </w:t>
            </w:r>
          </w:p>
        </w:tc>
        <w:tc>
          <w:tcPr>
            <w:tcW w:w="662" w:type="pct"/>
            <w:tcBorders>
              <w:top w:val="nil"/>
              <w:left w:val="nil"/>
              <w:bottom w:val="single" w:sz="4" w:space="0" w:color="auto"/>
              <w:right w:val="single" w:sz="4" w:space="0" w:color="auto"/>
            </w:tcBorders>
            <w:shd w:val="clear" w:color="auto" w:fill="auto"/>
            <w:tcMar>
              <w:left w:w="115" w:type="dxa"/>
              <w:right w:w="173" w:type="dxa"/>
            </w:tcMar>
          </w:tcPr>
          <w:p w14:paraId="73405BAE" w14:textId="77777777" w:rsidR="00720BA7" w:rsidRPr="00C20600" w:rsidRDefault="00720BA7" w:rsidP="00720BA7">
            <w:pPr>
              <w:keepNext/>
              <w:keepLines/>
              <w:jc w:val="right"/>
              <w:rPr>
                <w:color w:val="000000"/>
                <w:sz w:val="20"/>
                <w:szCs w:val="20"/>
                <w:lang w:val="en-CA" w:eastAsia="zh-CN"/>
              </w:rPr>
            </w:pPr>
            <w:r w:rsidRPr="00C20600">
              <w:rPr>
                <w:color w:val="000000"/>
                <w:sz w:val="20"/>
                <w:szCs w:val="20"/>
                <w:lang w:val="en-CA" w:eastAsia="zh-CN"/>
              </w:rPr>
              <w:t>2</w:t>
            </w:r>
            <w:r>
              <w:rPr>
                <w:color w:val="000000"/>
                <w:sz w:val="20"/>
                <w:szCs w:val="20"/>
                <w:lang w:val="en-CA" w:eastAsia="zh-CN"/>
              </w:rPr>
              <w:t> </w:t>
            </w:r>
            <w:r w:rsidRPr="00C20600">
              <w:rPr>
                <w:color w:val="000000"/>
                <w:sz w:val="20"/>
                <w:szCs w:val="20"/>
                <w:lang w:val="en-CA" w:eastAsia="zh-CN"/>
              </w:rPr>
              <w:t>162</w:t>
            </w:r>
            <w:r>
              <w:rPr>
                <w:color w:val="000000"/>
                <w:sz w:val="20"/>
                <w:szCs w:val="20"/>
                <w:lang w:val="en-CA" w:eastAsia="zh-CN"/>
              </w:rPr>
              <w:t>,</w:t>
            </w:r>
            <w:r w:rsidRPr="00C20600">
              <w:rPr>
                <w:color w:val="000000"/>
                <w:sz w:val="20"/>
                <w:szCs w:val="20"/>
                <w:lang w:val="en-CA" w:eastAsia="zh-CN"/>
              </w:rPr>
              <w:t>50</w:t>
            </w:r>
          </w:p>
        </w:tc>
        <w:tc>
          <w:tcPr>
            <w:tcW w:w="616" w:type="pct"/>
            <w:tcBorders>
              <w:top w:val="nil"/>
              <w:left w:val="nil"/>
              <w:bottom w:val="single" w:sz="4" w:space="0" w:color="auto"/>
              <w:right w:val="single" w:sz="4" w:space="0" w:color="auto"/>
            </w:tcBorders>
            <w:shd w:val="clear" w:color="auto" w:fill="auto"/>
            <w:tcMar>
              <w:left w:w="115" w:type="dxa"/>
              <w:right w:w="173" w:type="dxa"/>
            </w:tcMar>
          </w:tcPr>
          <w:p w14:paraId="070A1395" w14:textId="77777777" w:rsidR="00720BA7" w:rsidRPr="00C20600" w:rsidRDefault="00720BA7" w:rsidP="00720BA7">
            <w:pPr>
              <w:keepNext/>
              <w:keepLines/>
              <w:jc w:val="right"/>
              <w:rPr>
                <w:color w:val="000000"/>
                <w:sz w:val="20"/>
                <w:szCs w:val="20"/>
                <w:lang w:val="en-CA" w:eastAsia="zh-CN"/>
              </w:rPr>
            </w:pPr>
            <w:r w:rsidRPr="00C20600">
              <w:rPr>
                <w:color w:val="000000"/>
                <w:sz w:val="20"/>
                <w:szCs w:val="20"/>
                <w:lang w:val="en-CA" w:eastAsia="zh-CN"/>
              </w:rPr>
              <w:t>2</w:t>
            </w:r>
            <w:r>
              <w:rPr>
                <w:color w:val="000000"/>
                <w:sz w:val="20"/>
                <w:szCs w:val="20"/>
                <w:lang w:val="en-CA" w:eastAsia="zh-CN"/>
              </w:rPr>
              <w:t> </w:t>
            </w:r>
            <w:r w:rsidRPr="00C20600">
              <w:rPr>
                <w:color w:val="000000"/>
                <w:sz w:val="20"/>
                <w:szCs w:val="20"/>
                <w:lang w:val="en-CA" w:eastAsia="zh-CN"/>
              </w:rPr>
              <w:t>162</w:t>
            </w:r>
            <w:r>
              <w:rPr>
                <w:color w:val="000000"/>
                <w:sz w:val="20"/>
                <w:szCs w:val="20"/>
                <w:lang w:val="en-CA" w:eastAsia="zh-CN"/>
              </w:rPr>
              <w:t>,</w:t>
            </w:r>
            <w:r w:rsidRPr="00C20600">
              <w:rPr>
                <w:color w:val="000000"/>
                <w:sz w:val="20"/>
                <w:szCs w:val="20"/>
                <w:lang w:val="en-CA" w:eastAsia="zh-CN"/>
              </w:rPr>
              <w:t>50</w:t>
            </w:r>
          </w:p>
        </w:tc>
        <w:tc>
          <w:tcPr>
            <w:tcW w:w="615" w:type="pct"/>
            <w:tcBorders>
              <w:top w:val="nil"/>
              <w:left w:val="nil"/>
              <w:bottom w:val="single" w:sz="4" w:space="0" w:color="auto"/>
              <w:right w:val="single" w:sz="4" w:space="0" w:color="auto"/>
            </w:tcBorders>
            <w:shd w:val="clear" w:color="auto" w:fill="auto"/>
            <w:tcMar>
              <w:left w:w="115" w:type="dxa"/>
              <w:right w:w="173" w:type="dxa"/>
            </w:tcMar>
          </w:tcPr>
          <w:p w14:paraId="289DE7DD" w14:textId="77777777" w:rsidR="00720BA7" w:rsidRPr="00C20600" w:rsidRDefault="00720BA7" w:rsidP="00720BA7">
            <w:pPr>
              <w:keepNext/>
              <w:keepLines/>
              <w:jc w:val="right"/>
              <w:rPr>
                <w:color w:val="000000"/>
                <w:sz w:val="20"/>
                <w:szCs w:val="20"/>
                <w:lang w:val="en-CA" w:eastAsia="zh-CN"/>
              </w:rPr>
            </w:pPr>
            <w:r w:rsidRPr="00C20600">
              <w:rPr>
                <w:color w:val="000000"/>
                <w:sz w:val="20"/>
                <w:szCs w:val="20"/>
                <w:lang w:val="en-CA" w:eastAsia="zh-CN"/>
              </w:rPr>
              <w:t>2</w:t>
            </w:r>
            <w:r>
              <w:rPr>
                <w:color w:val="000000"/>
                <w:sz w:val="20"/>
                <w:szCs w:val="20"/>
                <w:lang w:val="en-CA" w:eastAsia="zh-CN"/>
              </w:rPr>
              <w:t> </w:t>
            </w:r>
            <w:r w:rsidRPr="00C20600">
              <w:rPr>
                <w:color w:val="000000"/>
                <w:sz w:val="20"/>
                <w:szCs w:val="20"/>
                <w:lang w:val="en-CA" w:eastAsia="zh-CN"/>
              </w:rPr>
              <w:t>162</w:t>
            </w:r>
            <w:r>
              <w:rPr>
                <w:color w:val="000000"/>
                <w:sz w:val="20"/>
                <w:szCs w:val="20"/>
                <w:lang w:val="en-CA" w:eastAsia="zh-CN"/>
              </w:rPr>
              <w:t>,</w:t>
            </w:r>
            <w:r w:rsidRPr="00C20600">
              <w:rPr>
                <w:color w:val="000000"/>
                <w:sz w:val="20"/>
                <w:szCs w:val="20"/>
                <w:lang w:val="en-CA" w:eastAsia="zh-CN"/>
              </w:rPr>
              <w:t>50</w:t>
            </w:r>
          </w:p>
        </w:tc>
        <w:tc>
          <w:tcPr>
            <w:tcW w:w="628" w:type="pct"/>
            <w:tcBorders>
              <w:top w:val="nil"/>
              <w:left w:val="nil"/>
              <w:bottom w:val="single" w:sz="4" w:space="0" w:color="auto"/>
              <w:right w:val="single" w:sz="4" w:space="0" w:color="auto"/>
            </w:tcBorders>
            <w:shd w:val="clear" w:color="auto" w:fill="auto"/>
            <w:tcMar>
              <w:left w:w="115" w:type="dxa"/>
              <w:right w:w="173" w:type="dxa"/>
            </w:tcMar>
          </w:tcPr>
          <w:p w14:paraId="4CD4CD9F" w14:textId="77777777" w:rsidR="00720BA7" w:rsidRPr="00C20600" w:rsidRDefault="00720BA7" w:rsidP="00720BA7">
            <w:pPr>
              <w:keepNext/>
              <w:keepLines/>
              <w:jc w:val="right"/>
              <w:rPr>
                <w:color w:val="000000"/>
                <w:sz w:val="20"/>
                <w:szCs w:val="20"/>
                <w:lang w:val="en-CA" w:eastAsia="zh-CN"/>
              </w:rPr>
            </w:pPr>
            <w:r w:rsidRPr="00C20600">
              <w:rPr>
                <w:color w:val="000000"/>
                <w:sz w:val="20"/>
                <w:szCs w:val="20"/>
                <w:lang w:val="en-CA" w:eastAsia="zh-CN"/>
              </w:rPr>
              <w:t>2</w:t>
            </w:r>
            <w:r>
              <w:rPr>
                <w:color w:val="000000"/>
                <w:sz w:val="20"/>
                <w:szCs w:val="20"/>
                <w:lang w:val="en-CA" w:eastAsia="zh-CN"/>
              </w:rPr>
              <w:t> </w:t>
            </w:r>
            <w:r w:rsidRPr="00C20600">
              <w:rPr>
                <w:color w:val="000000"/>
                <w:sz w:val="20"/>
                <w:szCs w:val="20"/>
                <w:lang w:val="en-CA" w:eastAsia="zh-CN"/>
              </w:rPr>
              <w:t>042</w:t>
            </w:r>
            <w:r>
              <w:rPr>
                <w:color w:val="000000"/>
                <w:sz w:val="20"/>
                <w:szCs w:val="20"/>
                <w:lang w:val="en-CA" w:eastAsia="zh-CN"/>
              </w:rPr>
              <w:t>,</w:t>
            </w:r>
            <w:r w:rsidRPr="00C20600">
              <w:rPr>
                <w:color w:val="000000"/>
                <w:sz w:val="20"/>
                <w:szCs w:val="20"/>
                <w:lang w:val="en-CA" w:eastAsia="zh-CN"/>
              </w:rPr>
              <w:t>40</w:t>
            </w:r>
          </w:p>
        </w:tc>
        <w:tc>
          <w:tcPr>
            <w:tcW w:w="650" w:type="pct"/>
            <w:tcBorders>
              <w:top w:val="nil"/>
              <w:left w:val="nil"/>
              <w:bottom w:val="single" w:sz="4" w:space="0" w:color="auto"/>
              <w:right w:val="single" w:sz="4" w:space="0" w:color="auto"/>
            </w:tcBorders>
            <w:shd w:val="clear" w:color="auto" w:fill="auto"/>
            <w:tcMar>
              <w:left w:w="115" w:type="dxa"/>
              <w:right w:w="173" w:type="dxa"/>
            </w:tcMar>
          </w:tcPr>
          <w:p w14:paraId="1AE1196A" w14:textId="77777777" w:rsidR="00720BA7" w:rsidRPr="00C20600" w:rsidRDefault="00720BA7" w:rsidP="00720BA7">
            <w:pPr>
              <w:keepNext/>
              <w:keepLines/>
              <w:jc w:val="right"/>
              <w:rPr>
                <w:color w:val="000000"/>
                <w:sz w:val="20"/>
                <w:szCs w:val="20"/>
                <w:lang w:val="en-CA" w:eastAsia="zh-CN"/>
              </w:rPr>
            </w:pPr>
            <w:r w:rsidRPr="00C20600">
              <w:rPr>
                <w:color w:val="000000"/>
                <w:sz w:val="20"/>
                <w:szCs w:val="20"/>
                <w:lang w:val="en-CA" w:eastAsia="zh-CN"/>
              </w:rPr>
              <w:t>2</w:t>
            </w:r>
            <w:r>
              <w:rPr>
                <w:color w:val="000000"/>
                <w:sz w:val="20"/>
                <w:szCs w:val="20"/>
                <w:lang w:val="en-CA" w:eastAsia="zh-CN"/>
              </w:rPr>
              <w:t> </w:t>
            </w:r>
            <w:r w:rsidRPr="00C20600">
              <w:rPr>
                <w:color w:val="000000"/>
                <w:sz w:val="20"/>
                <w:szCs w:val="20"/>
                <w:lang w:val="en-CA" w:eastAsia="zh-CN"/>
              </w:rPr>
              <w:t>042</w:t>
            </w:r>
            <w:r>
              <w:rPr>
                <w:color w:val="000000"/>
                <w:sz w:val="20"/>
                <w:szCs w:val="20"/>
                <w:lang w:val="en-CA" w:eastAsia="zh-CN"/>
              </w:rPr>
              <w:t>,</w:t>
            </w:r>
            <w:r w:rsidRPr="00C20600">
              <w:rPr>
                <w:color w:val="000000"/>
                <w:sz w:val="20"/>
                <w:szCs w:val="20"/>
                <w:lang w:val="en-CA" w:eastAsia="zh-CN"/>
              </w:rPr>
              <w:t>40</w:t>
            </w:r>
          </w:p>
        </w:tc>
        <w:tc>
          <w:tcPr>
            <w:tcW w:w="647" w:type="pct"/>
            <w:tcBorders>
              <w:top w:val="nil"/>
              <w:left w:val="nil"/>
              <w:bottom w:val="single" w:sz="4" w:space="0" w:color="auto"/>
              <w:right w:val="single" w:sz="4" w:space="0" w:color="auto"/>
            </w:tcBorders>
            <w:shd w:val="clear" w:color="auto" w:fill="auto"/>
            <w:tcMar>
              <w:left w:w="115" w:type="dxa"/>
              <w:right w:w="173" w:type="dxa"/>
            </w:tcMar>
          </w:tcPr>
          <w:p w14:paraId="4898CA61" w14:textId="77777777" w:rsidR="00720BA7" w:rsidRPr="006F1183" w:rsidRDefault="00720BA7" w:rsidP="00720BA7">
            <w:pPr>
              <w:keepNext/>
              <w:keepLines/>
              <w:jc w:val="right"/>
              <w:rPr>
                <w:color w:val="000000"/>
                <w:sz w:val="20"/>
                <w:szCs w:val="20"/>
                <w:lang w:val="en-CA" w:eastAsia="zh-CN"/>
              </w:rPr>
            </w:pPr>
            <w:r w:rsidRPr="006F1183">
              <w:rPr>
                <w:color w:val="000000"/>
                <w:sz w:val="20"/>
                <w:szCs w:val="20"/>
                <w:lang w:val="fr-FR" w:eastAsia="zh-CN"/>
              </w:rPr>
              <w:t>s.o.</w:t>
            </w:r>
          </w:p>
        </w:tc>
      </w:tr>
      <w:tr w:rsidR="00720BA7" w:rsidRPr="00C20600" w14:paraId="2A58B77C" w14:textId="77777777" w:rsidTr="00720BA7">
        <w:trPr>
          <w:trHeight w:val="4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3228ED" w14:textId="77777777" w:rsidR="00720BA7" w:rsidRPr="006F1183" w:rsidRDefault="00720BA7" w:rsidP="00720BA7">
            <w:pPr>
              <w:keepNext/>
              <w:keepLines/>
              <w:jc w:val="left"/>
              <w:rPr>
                <w:color w:val="000000"/>
                <w:sz w:val="20"/>
                <w:szCs w:val="20"/>
                <w:lang w:val="en-CA" w:eastAsia="zh-CN"/>
              </w:rPr>
            </w:pPr>
            <w:r w:rsidRPr="006F1183">
              <w:rPr>
                <w:color w:val="000000"/>
                <w:sz w:val="20"/>
                <w:szCs w:val="20"/>
                <w:lang w:val="fr-FR" w:eastAsia="zh-CN"/>
              </w:rPr>
              <w:t>Tonnes métriques</w:t>
            </w:r>
          </w:p>
        </w:tc>
      </w:tr>
      <w:tr w:rsidR="00720BA7" w:rsidRPr="00C20600" w14:paraId="116955B6" w14:textId="77777777" w:rsidTr="00D75337">
        <w:trPr>
          <w:trHeight w:val="49"/>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2883CA0B" w14:textId="77777777" w:rsidR="00720BA7" w:rsidRPr="006F1183" w:rsidRDefault="00720BA7" w:rsidP="00720BA7">
            <w:pPr>
              <w:jc w:val="left"/>
              <w:rPr>
                <w:sz w:val="20"/>
                <w:szCs w:val="20"/>
                <w:lang w:val="en-CA" w:eastAsia="zh-CN"/>
              </w:rPr>
            </w:pPr>
            <w:r w:rsidRPr="006F1183">
              <w:rPr>
                <w:sz w:val="20"/>
                <w:szCs w:val="20"/>
                <w:lang w:val="fr-FR" w:eastAsia="zh-CN"/>
              </w:rPr>
              <w:t>HCFC-22</w:t>
            </w:r>
          </w:p>
        </w:tc>
        <w:tc>
          <w:tcPr>
            <w:tcW w:w="66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62EAD219" w14:textId="77777777" w:rsidR="00720BA7" w:rsidRPr="00C20600" w:rsidRDefault="00720BA7" w:rsidP="00720BA7">
            <w:pPr>
              <w:jc w:val="right"/>
              <w:rPr>
                <w:color w:val="000000"/>
                <w:sz w:val="20"/>
                <w:szCs w:val="20"/>
                <w:lang w:val="en-CA"/>
              </w:rPr>
            </w:pPr>
            <w:r w:rsidRPr="00C20600">
              <w:rPr>
                <w:color w:val="000000"/>
                <w:sz w:val="20"/>
                <w:szCs w:val="20"/>
                <w:lang w:val="en-CA"/>
              </w:rPr>
              <w:t>35</w:t>
            </w:r>
            <w:r>
              <w:rPr>
                <w:color w:val="000000"/>
                <w:sz w:val="20"/>
                <w:szCs w:val="20"/>
                <w:lang w:val="en-CA"/>
              </w:rPr>
              <w:t> </w:t>
            </w:r>
            <w:r w:rsidRPr="00C20600">
              <w:rPr>
                <w:color w:val="000000"/>
                <w:sz w:val="20"/>
                <w:szCs w:val="20"/>
                <w:lang w:val="en-CA"/>
              </w:rPr>
              <w:t>700</w:t>
            </w:r>
            <w:r>
              <w:rPr>
                <w:color w:val="000000"/>
                <w:sz w:val="20"/>
                <w:szCs w:val="20"/>
                <w:lang w:val="en-CA"/>
              </w:rPr>
              <w:t>,</w:t>
            </w:r>
            <w:r w:rsidRPr="00C20600">
              <w:rPr>
                <w:color w:val="000000"/>
                <w:sz w:val="20"/>
                <w:szCs w:val="20"/>
                <w:lang w:val="en-CA"/>
              </w:rPr>
              <w:t>00</w:t>
            </w:r>
          </w:p>
        </w:tc>
        <w:tc>
          <w:tcPr>
            <w:tcW w:w="616"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14:paraId="658AFB92" w14:textId="77777777" w:rsidR="00720BA7" w:rsidRPr="00C20600" w:rsidRDefault="00720BA7" w:rsidP="00720BA7">
            <w:pPr>
              <w:jc w:val="right"/>
              <w:rPr>
                <w:color w:val="000000"/>
                <w:sz w:val="20"/>
                <w:szCs w:val="20"/>
                <w:lang w:val="en-CA"/>
              </w:rPr>
            </w:pPr>
            <w:r w:rsidRPr="00C20600">
              <w:rPr>
                <w:color w:val="000000"/>
                <w:sz w:val="20"/>
                <w:szCs w:val="20"/>
                <w:lang w:val="en-CA"/>
              </w:rPr>
              <w:t>37</w:t>
            </w:r>
            <w:r>
              <w:rPr>
                <w:color w:val="000000"/>
                <w:sz w:val="20"/>
                <w:szCs w:val="20"/>
                <w:lang w:val="en-CA"/>
              </w:rPr>
              <w:t> </w:t>
            </w:r>
            <w:r w:rsidRPr="00C20600">
              <w:rPr>
                <w:color w:val="000000"/>
                <w:sz w:val="20"/>
                <w:szCs w:val="20"/>
                <w:lang w:val="en-CA"/>
              </w:rPr>
              <w:t>500</w:t>
            </w:r>
            <w:r>
              <w:rPr>
                <w:color w:val="000000"/>
                <w:sz w:val="20"/>
                <w:szCs w:val="20"/>
                <w:lang w:val="en-CA"/>
              </w:rPr>
              <w:t>,</w:t>
            </w:r>
            <w:r w:rsidRPr="00C20600">
              <w:rPr>
                <w:color w:val="000000"/>
                <w:sz w:val="20"/>
                <w:szCs w:val="20"/>
                <w:lang w:val="en-CA"/>
              </w:rPr>
              <w:t>00</w:t>
            </w:r>
          </w:p>
        </w:tc>
        <w:tc>
          <w:tcPr>
            <w:tcW w:w="615" w:type="pct"/>
            <w:tcBorders>
              <w:top w:val="single" w:sz="4" w:space="0" w:color="auto"/>
              <w:left w:val="nil"/>
              <w:bottom w:val="single" w:sz="4" w:space="0" w:color="auto"/>
              <w:right w:val="nil"/>
            </w:tcBorders>
            <w:shd w:val="clear" w:color="auto" w:fill="auto"/>
            <w:noWrap/>
            <w:tcMar>
              <w:left w:w="115" w:type="dxa"/>
              <w:right w:w="173" w:type="dxa"/>
            </w:tcMar>
            <w:hideMark/>
          </w:tcPr>
          <w:p w14:paraId="1FE1FEDC" w14:textId="77777777" w:rsidR="00720BA7" w:rsidRPr="00C20600" w:rsidRDefault="00720BA7" w:rsidP="00720BA7">
            <w:pPr>
              <w:jc w:val="right"/>
              <w:rPr>
                <w:color w:val="000000"/>
                <w:sz w:val="20"/>
                <w:szCs w:val="20"/>
                <w:lang w:val="en-CA"/>
              </w:rPr>
            </w:pPr>
            <w:r w:rsidRPr="00C20600">
              <w:rPr>
                <w:color w:val="000000"/>
                <w:sz w:val="20"/>
                <w:szCs w:val="20"/>
                <w:lang w:val="en-CA"/>
              </w:rPr>
              <w:t>37</w:t>
            </w:r>
            <w:r>
              <w:rPr>
                <w:color w:val="000000"/>
                <w:sz w:val="20"/>
                <w:szCs w:val="20"/>
                <w:lang w:val="en-CA"/>
              </w:rPr>
              <w:t> </w:t>
            </w:r>
            <w:r w:rsidRPr="00C20600">
              <w:rPr>
                <w:color w:val="000000"/>
                <w:sz w:val="20"/>
                <w:szCs w:val="20"/>
                <w:lang w:val="en-CA"/>
              </w:rPr>
              <w:t>500</w:t>
            </w:r>
            <w:r>
              <w:rPr>
                <w:color w:val="000000"/>
                <w:sz w:val="20"/>
                <w:szCs w:val="20"/>
                <w:lang w:val="en-CA"/>
              </w:rPr>
              <w:t>,</w:t>
            </w:r>
            <w:r w:rsidRPr="00C20600">
              <w:rPr>
                <w:color w:val="000000"/>
                <w:sz w:val="20"/>
                <w:szCs w:val="20"/>
                <w:lang w:val="en-CA"/>
              </w:rPr>
              <w:t>00</w:t>
            </w:r>
          </w:p>
        </w:tc>
        <w:tc>
          <w:tcPr>
            <w:tcW w:w="62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3BFB0A33" w14:textId="77777777" w:rsidR="00720BA7" w:rsidRPr="00C20600" w:rsidRDefault="00720BA7" w:rsidP="00720BA7">
            <w:pPr>
              <w:jc w:val="right"/>
              <w:rPr>
                <w:color w:val="000000"/>
                <w:sz w:val="20"/>
                <w:szCs w:val="20"/>
                <w:lang w:val="en-CA"/>
              </w:rPr>
            </w:pPr>
            <w:r w:rsidRPr="00C20600">
              <w:rPr>
                <w:color w:val="000000"/>
                <w:sz w:val="20"/>
                <w:szCs w:val="20"/>
                <w:lang w:val="en-CA"/>
              </w:rPr>
              <w:t>36</w:t>
            </w:r>
            <w:r>
              <w:rPr>
                <w:color w:val="000000"/>
                <w:sz w:val="20"/>
                <w:szCs w:val="20"/>
                <w:lang w:val="en-CA"/>
              </w:rPr>
              <w:t> </w:t>
            </w:r>
            <w:r w:rsidRPr="00C20600">
              <w:rPr>
                <w:color w:val="000000"/>
                <w:sz w:val="20"/>
                <w:szCs w:val="20"/>
                <w:lang w:val="en-CA"/>
              </w:rPr>
              <w:t>000</w:t>
            </w:r>
            <w:r>
              <w:rPr>
                <w:color w:val="000000"/>
                <w:sz w:val="20"/>
                <w:szCs w:val="20"/>
                <w:lang w:val="en-CA"/>
              </w:rPr>
              <w:t>,</w:t>
            </w:r>
            <w:r w:rsidRPr="00C20600">
              <w:rPr>
                <w:color w:val="000000"/>
                <w:sz w:val="20"/>
                <w:szCs w:val="20"/>
                <w:lang w:val="en-CA"/>
              </w:rPr>
              <w:t>00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14:paraId="28C31CEC" w14:textId="77777777" w:rsidR="00720BA7" w:rsidRPr="00C20600" w:rsidRDefault="00720BA7" w:rsidP="00720BA7">
            <w:pPr>
              <w:jc w:val="right"/>
              <w:rPr>
                <w:color w:val="000000"/>
                <w:sz w:val="20"/>
                <w:szCs w:val="20"/>
                <w:lang w:val="en-CA"/>
              </w:rPr>
            </w:pPr>
            <w:r w:rsidRPr="00C20600">
              <w:rPr>
                <w:color w:val="000000"/>
                <w:sz w:val="20"/>
                <w:szCs w:val="20"/>
                <w:lang w:val="en-CA"/>
              </w:rPr>
              <w:t>36</w:t>
            </w:r>
            <w:r>
              <w:rPr>
                <w:color w:val="000000"/>
                <w:sz w:val="20"/>
                <w:szCs w:val="20"/>
                <w:lang w:val="en-CA"/>
              </w:rPr>
              <w:t> </w:t>
            </w:r>
            <w:r w:rsidRPr="00C20600">
              <w:rPr>
                <w:color w:val="000000"/>
                <w:sz w:val="20"/>
                <w:szCs w:val="20"/>
                <w:lang w:val="en-CA"/>
              </w:rPr>
              <w:t>000</w:t>
            </w:r>
            <w:r>
              <w:rPr>
                <w:color w:val="000000"/>
                <w:sz w:val="20"/>
                <w:szCs w:val="20"/>
                <w:lang w:val="en-CA"/>
              </w:rPr>
              <w:t>,</w:t>
            </w:r>
            <w:r w:rsidRPr="00C20600">
              <w:rPr>
                <w:color w:val="000000"/>
                <w:sz w:val="20"/>
                <w:szCs w:val="20"/>
                <w:lang w:val="en-CA"/>
              </w:rPr>
              <w:t>00</w:t>
            </w:r>
          </w:p>
        </w:tc>
        <w:tc>
          <w:tcPr>
            <w:tcW w:w="647"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14:paraId="60394DC5" w14:textId="77777777" w:rsidR="00720BA7" w:rsidRPr="00C20600" w:rsidRDefault="00720BA7" w:rsidP="00720BA7">
            <w:pPr>
              <w:jc w:val="right"/>
              <w:rPr>
                <w:color w:val="000000"/>
                <w:sz w:val="20"/>
                <w:szCs w:val="20"/>
                <w:lang w:val="en-CA"/>
              </w:rPr>
            </w:pPr>
            <w:r w:rsidRPr="00C20600">
              <w:rPr>
                <w:color w:val="000000"/>
                <w:sz w:val="20"/>
                <w:szCs w:val="20"/>
                <w:lang w:val="en-CA"/>
              </w:rPr>
              <w:t>43</w:t>
            </w:r>
            <w:r>
              <w:rPr>
                <w:color w:val="000000"/>
                <w:sz w:val="20"/>
                <w:szCs w:val="20"/>
                <w:lang w:val="en-CA"/>
              </w:rPr>
              <w:t> </w:t>
            </w:r>
            <w:r w:rsidRPr="00C20600">
              <w:rPr>
                <w:color w:val="000000"/>
                <w:sz w:val="20"/>
                <w:szCs w:val="20"/>
                <w:lang w:val="en-CA"/>
              </w:rPr>
              <w:t>467</w:t>
            </w:r>
            <w:r>
              <w:rPr>
                <w:color w:val="000000"/>
                <w:sz w:val="20"/>
                <w:szCs w:val="20"/>
                <w:lang w:val="en-CA"/>
              </w:rPr>
              <w:t>,</w:t>
            </w:r>
            <w:r w:rsidRPr="00C20600">
              <w:rPr>
                <w:color w:val="000000"/>
                <w:sz w:val="20"/>
                <w:szCs w:val="20"/>
                <w:lang w:val="en-CA"/>
              </w:rPr>
              <w:t>50</w:t>
            </w:r>
          </w:p>
        </w:tc>
      </w:tr>
      <w:tr w:rsidR="00720BA7" w:rsidRPr="00C20600" w14:paraId="2AFACD1C" w14:textId="77777777" w:rsidTr="00D75337">
        <w:trPr>
          <w:trHeight w:val="49"/>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1109E41D" w14:textId="77777777" w:rsidR="00720BA7" w:rsidRPr="006F1183" w:rsidRDefault="00720BA7" w:rsidP="00720BA7">
            <w:pPr>
              <w:jc w:val="left"/>
              <w:rPr>
                <w:sz w:val="20"/>
                <w:szCs w:val="20"/>
                <w:lang w:val="en-CA" w:eastAsia="zh-CN"/>
              </w:rPr>
            </w:pPr>
            <w:r w:rsidRPr="006F1183">
              <w:rPr>
                <w:sz w:val="20"/>
                <w:szCs w:val="20"/>
                <w:lang w:val="fr-FR" w:eastAsia="zh-CN"/>
              </w:rPr>
              <w:t>HCFC-123</w:t>
            </w:r>
          </w:p>
        </w:tc>
        <w:tc>
          <w:tcPr>
            <w:tcW w:w="662"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4380DA77" w14:textId="77777777" w:rsidR="00720BA7" w:rsidRPr="00C20600" w:rsidRDefault="00720BA7" w:rsidP="00720BA7">
            <w:pPr>
              <w:jc w:val="right"/>
              <w:rPr>
                <w:sz w:val="20"/>
                <w:szCs w:val="20"/>
                <w:lang w:val="en-CA"/>
              </w:rPr>
            </w:pPr>
            <w:r w:rsidRPr="00C20600">
              <w:rPr>
                <w:color w:val="000000"/>
                <w:sz w:val="20"/>
                <w:szCs w:val="20"/>
                <w:lang w:val="en-CA"/>
              </w:rPr>
              <w:t>585</w:t>
            </w:r>
            <w:r>
              <w:rPr>
                <w:color w:val="000000"/>
                <w:sz w:val="20"/>
                <w:szCs w:val="20"/>
                <w:lang w:val="en-CA"/>
              </w:rPr>
              <w:t>,</w:t>
            </w:r>
            <w:r w:rsidRPr="00C20600">
              <w:rPr>
                <w:color w:val="000000"/>
                <w:sz w:val="20"/>
                <w:szCs w:val="20"/>
                <w:lang w:val="en-CA"/>
              </w:rPr>
              <w:t>00</w:t>
            </w:r>
          </w:p>
        </w:tc>
        <w:tc>
          <w:tcPr>
            <w:tcW w:w="616" w:type="pct"/>
            <w:tcBorders>
              <w:top w:val="nil"/>
              <w:left w:val="nil"/>
              <w:bottom w:val="single" w:sz="4" w:space="0" w:color="auto"/>
              <w:right w:val="single" w:sz="4" w:space="0" w:color="auto"/>
            </w:tcBorders>
            <w:shd w:val="clear" w:color="auto" w:fill="auto"/>
            <w:noWrap/>
            <w:tcMar>
              <w:left w:w="115" w:type="dxa"/>
              <w:right w:w="173" w:type="dxa"/>
            </w:tcMar>
            <w:hideMark/>
          </w:tcPr>
          <w:p w14:paraId="4149EE55" w14:textId="77777777" w:rsidR="00720BA7" w:rsidRPr="00C20600" w:rsidRDefault="00720BA7" w:rsidP="00720BA7">
            <w:pPr>
              <w:jc w:val="right"/>
              <w:rPr>
                <w:sz w:val="20"/>
                <w:szCs w:val="20"/>
                <w:lang w:val="en-CA"/>
              </w:rPr>
            </w:pPr>
            <w:r w:rsidRPr="00C20600">
              <w:rPr>
                <w:sz w:val="20"/>
                <w:szCs w:val="20"/>
                <w:lang w:val="en-CA"/>
              </w:rPr>
              <w:t>654</w:t>
            </w:r>
            <w:r>
              <w:rPr>
                <w:sz w:val="20"/>
                <w:szCs w:val="20"/>
                <w:lang w:val="en-CA"/>
              </w:rPr>
              <w:t>,</w:t>
            </w:r>
            <w:r w:rsidRPr="00C20600">
              <w:rPr>
                <w:sz w:val="20"/>
                <w:szCs w:val="20"/>
                <w:lang w:val="en-CA"/>
              </w:rPr>
              <w:t>70</w:t>
            </w:r>
          </w:p>
        </w:tc>
        <w:tc>
          <w:tcPr>
            <w:tcW w:w="615" w:type="pct"/>
            <w:tcBorders>
              <w:top w:val="nil"/>
              <w:left w:val="nil"/>
              <w:bottom w:val="single" w:sz="4" w:space="0" w:color="auto"/>
              <w:right w:val="nil"/>
            </w:tcBorders>
            <w:shd w:val="clear" w:color="auto" w:fill="auto"/>
            <w:noWrap/>
            <w:tcMar>
              <w:left w:w="115" w:type="dxa"/>
              <w:right w:w="173" w:type="dxa"/>
            </w:tcMar>
            <w:hideMark/>
          </w:tcPr>
          <w:p w14:paraId="4C490A52" w14:textId="77777777" w:rsidR="00720BA7" w:rsidRPr="00C20600" w:rsidRDefault="00720BA7" w:rsidP="00720BA7">
            <w:pPr>
              <w:jc w:val="right"/>
              <w:rPr>
                <w:sz w:val="20"/>
                <w:szCs w:val="20"/>
                <w:lang w:val="en-CA"/>
              </w:rPr>
            </w:pPr>
            <w:r w:rsidRPr="00C20600">
              <w:rPr>
                <w:color w:val="000000"/>
                <w:sz w:val="20"/>
                <w:szCs w:val="20"/>
                <w:lang w:val="en-CA"/>
              </w:rPr>
              <w:t>644</w:t>
            </w:r>
            <w:r>
              <w:rPr>
                <w:color w:val="000000"/>
                <w:sz w:val="20"/>
                <w:szCs w:val="20"/>
                <w:lang w:val="en-CA"/>
              </w:rPr>
              <w:t>,</w:t>
            </w:r>
            <w:r w:rsidRPr="00C20600">
              <w:rPr>
                <w:color w:val="000000"/>
                <w:sz w:val="20"/>
                <w:szCs w:val="20"/>
                <w:lang w:val="en-CA"/>
              </w:rPr>
              <w:t>00</w:t>
            </w:r>
          </w:p>
        </w:tc>
        <w:tc>
          <w:tcPr>
            <w:tcW w:w="628"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291DC4A8" w14:textId="77777777" w:rsidR="00720BA7" w:rsidRPr="00C20600" w:rsidRDefault="00720BA7" w:rsidP="00720BA7">
            <w:pPr>
              <w:jc w:val="right"/>
              <w:rPr>
                <w:sz w:val="20"/>
                <w:szCs w:val="20"/>
                <w:lang w:val="en-CA"/>
              </w:rPr>
            </w:pPr>
            <w:r w:rsidRPr="00C20600">
              <w:rPr>
                <w:color w:val="000000"/>
                <w:sz w:val="20"/>
                <w:szCs w:val="20"/>
                <w:lang w:val="en-CA"/>
              </w:rPr>
              <w:t>553</w:t>
            </w:r>
            <w:r>
              <w:rPr>
                <w:color w:val="000000"/>
                <w:sz w:val="20"/>
                <w:szCs w:val="20"/>
                <w:lang w:val="en-CA"/>
              </w:rPr>
              <w:t>,</w:t>
            </w:r>
            <w:r w:rsidRPr="00C20600">
              <w:rPr>
                <w:color w:val="000000"/>
                <w:sz w:val="20"/>
                <w:szCs w:val="20"/>
                <w:lang w:val="en-CA"/>
              </w:rPr>
              <w:t>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14:paraId="760E24D7" w14:textId="77777777" w:rsidR="00720BA7" w:rsidRPr="00C20600" w:rsidRDefault="00720BA7" w:rsidP="00720BA7">
            <w:pPr>
              <w:jc w:val="right"/>
              <w:rPr>
                <w:sz w:val="20"/>
                <w:szCs w:val="20"/>
                <w:lang w:val="en-CA"/>
              </w:rPr>
            </w:pPr>
            <w:r w:rsidRPr="00C20600">
              <w:rPr>
                <w:color w:val="000000"/>
                <w:sz w:val="20"/>
                <w:szCs w:val="20"/>
                <w:lang w:val="en-CA"/>
              </w:rPr>
              <w:t>553</w:t>
            </w:r>
            <w:r>
              <w:rPr>
                <w:color w:val="000000"/>
                <w:sz w:val="20"/>
                <w:szCs w:val="20"/>
                <w:lang w:val="en-CA"/>
              </w:rPr>
              <w:t>,</w:t>
            </w:r>
            <w:r w:rsidRPr="00C20600">
              <w:rPr>
                <w:color w:val="000000"/>
                <w:sz w:val="20"/>
                <w:szCs w:val="20"/>
                <w:lang w:val="en-CA"/>
              </w:rPr>
              <w:t>00</w:t>
            </w:r>
          </w:p>
        </w:tc>
        <w:tc>
          <w:tcPr>
            <w:tcW w:w="647" w:type="pct"/>
            <w:tcBorders>
              <w:top w:val="nil"/>
              <w:left w:val="single" w:sz="4" w:space="0" w:color="auto"/>
              <w:bottom w:val="single" w:sz="4" w:space="0" w:color="auto"/>
              <w:right w:val="single" w:sz="4" w:space="0" w:color="auto"/>
            </w:tcBorders>
            <w:shd w:val="clear" w:color="auto" w:fill="auto"/>
            <w:tcMar>
              <w:left w:w="115" w:type="dxa"/>
              <w:right w:w="173" w:type="dxa"/>
            </w:tcMar>
          </w:tcPr>
          <w:p w14:paraId="17A834B5" w14:textId="77777777" w:rsidR="00720BA7" w:rsidRPr="00C20600" w:rsidRDefault="00720BA7" w:rsidP="00720BA7">
            <w:pPr>
              <w:jc w:val="right"/>
              <w:rPr>
                <w:sz w:val="20"/>
                <w:szCs w:val="20"/>
                <w:lang w:val="en-CA"/>
              </w:rPr>
            </w:pPr>
            <w:r w:rsidRPr="00C20600">
              <w:rPr>
                <w:color w:val="000000"/>
                <w:sz w:val="20"/>
                <w:szCs w:val="20"/>
                <w:lang w:val="en-CA"/>
              </w:rPr>
              <w:t>392</w:t>
            </w:r>
            <w:r>
              <w:rPr>
                <w:color w:val="000000"/>
                <w:sz w:val="20"/>
                <w:szCs w:val="20"/>
                <w:lang w:val="en-CA"/>
              </w:rPr>
              <w:t>,</w:t>
            </w:r>
            <w:r w:rsidRPr="00C20600">
              <w:rPr>
                <w:color w:val="000000"/>
                <w:sz w:val="20"/>
                <w:szCs w:val="20"/>
                <w:lang w:val="en-CA"/>
              </w:rPr>
              <w:t>50</w:t>
            </w:r>
          </w:p>
        </w:tc>
      </w:tr>
      <w:tr w:rsidR="00720BA7" w:rsidRPr="00C20600" w14:paraId="6B312866" w14:textId="77777777" w:rsidTr="00D75337">
        <w:trPr>
          <w:trHeight w:val="49"/>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729B7E57" w14:textId="77777777" w:rsidR="00720BA7" w:rsidRPr="006F1183" w:rsidRDefault="00720BA7" w:rsidP="00720BA7">
            <w:pPr>
              <w:jc w:val="left"/>
              <w:rPr>
                <w:sz w:val="20"/>
                <w:szCs w:val="20"/>
                <w:lang w:val="en-CA" w:eastAsia="zh-CN"/>
              </w:rPr>
            </w:pPr>
            <w:r w:rsidRPr="006F1183">
              <w:rPr>
                <w:sz w:val="20"/>
                <w:szCs w:val="20"/>
                <w:lang w:val="fr-FR" w:eastAsia="zh-CN"/>
              </w:rPr>
              <w:t>HCFC-142b</w:t>
            </w:r>
          </w:p>
        </w:tc>
        <w:tc>
          <w:tcPr>
            <w:tcW w:w="662"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524AC145" w14:textId="77777777" w:rsidR="00720BA7" w:rsidRPr="00C20600" w:rsidRDefault="00720BA7" w:rsidP="00720BA7">
            <w:pPr>
              <w:jc w:val="right"/>
              <w:rPr>
                <w:sz w:val="20"/>
                <w:szCs w:val="20"/>
                <w:lang w:val="en-CA"/>
              </w:rPr>
            </w:pPr>
            <w:r w:rsidRPr="00C20600">
              <w:rPr>
                <w:color w:val="000000"/>
                <w:sz w:val="20"/>
                <w:szCs w:val="20"/>
                <w:lang w:val="en-CA"/>
              </w:rPr>
              <w:t>100</w:t>
            </w:r>
            <w:r>
              <w:rPr>
                <w:color w:val="000000"/>
                <w:sz w:val="20"/>
                <w:szCs w:val="20"/>
                <w:lang w:val="en-CA"/>
              </w:rPr>
              <w:t>,</w:t>
            </w:r>
            <w:r w:rsidRPr="00C20600">
              <w:rPr>
                <w:color w:val="000000"/>
                <w:sz w:val="20"/>
                <w:szCs w:val="20"/>
                <w:lang w:val="en-CA"/>
              </w:rPr>
              <w:t>00</w:t>
            </w:r>
          </w:p>
        </w:tc>
        <w:tc>
          <w:tcPr>
            <w:tcW w:w="616" w:type="pct"/>
            <w:tcBorders>
              <w:top w:val="nil"/>
              <w:left w:val="nil"/>
              <w:bottom w:val="single" w:sz="4" w:space="0" w:color="auto"/>
              <w:right w:val="single" w:sz="4" w:space="0" w:color="auto"/>
            </w:tcBorders>
            <w:shd w:val="clear" w:color="auto" w:fill="auto"/>
            <w:noWrap/>
            <w:tcMar>
              <w:left w:w="115" w:type="dxa"/>
              <w:right w:w="173" w:type="dxa"/>
            </w:tcMar>
            <w:hideMark/>
          </w:tcPr>
          <w:p w14:paraId="18E5630A" w14:textId="77777777" w:rsidR="00720BA7" w:rsidRPr="00C20600" w:rsidRDefault="00720BA7" w:rsidP="00720BA7">
            <w:pPr>
              <w:jc w:val="right"/>
              <w:rPr>
                <w:sz w:val="20"/>
                <w:szCs w:val="20"/>
                <w:lang w:val="en-CA"/>
              </w:rPr>
            </w:pPr>
            <w:r w:rsidRPr="00C20600">
              <w:rPr>
                <w:color w:val="000000"/>
                <w:sz w:val="20"/>
                <w:szCs w:val="20"/>
                <w:lang w:val="en-CA"/>
              </w:rPr>
              <w:t>100</w:t>
            </w:r>
            <w:r>
              <w:rPr>
                <w:color w:val="000000"/>
                <w:sz w:val="20"/>
                <w:szCs w:val="20"/>
                <w:lang w:val="en-CA"/>
              </w:rPr>
              <w:t>,</w:t>
            </w:r>
            <w:r w:rsidRPr="00C20600">
              <w:rPr>
                <w:color w:val="000000"/>
                <w:sz w:val="20"/>
                <w:szCs w:val="20"/>
                <w:lang w:val="en-CA"/>
              </w:rPr>
              <w:t>00</w:t>
            </w:r>
          </w:p>
        </w:tc>
        <w:tc>
          <w:tcPr>
            <w:tcW w:w="615" w:type="pct"/>
            <w:tcBorders>
              <w:top w:val="nil"/>
              <w:left w:val="nil"/>
              <w:bottom w:val="single" w:sz="4" w:space="0" w:color="auto"/>
              <w:right w:val="nil"/>
            </w:tcBorders>
            <w:shd w:val="clear" w:color="auto" w:fill="auto"/>
            <w:noWrap/>
            <w:tcMar>
              <w:left w:w="115" w:type="dxa"/>
              <w:right w:w="173" w:type="dxa"/>
            </w:tcMar>
            <w:hideMark/>
          </w:tcPr>
          <w:p w14:paraId="33152A7C" w14:textId="77777777" w:rsidR="00720BA7" w:rsidRPr="00C20600" w:rsidRDefault="00720BA7" w:rsidP="00720BA7">
            <w:pPr>
              <w:jc w:val="right"/>
              <w:rPr>
                <w:sz w:val="20"/>
                <w:szCs w:val="20"/>
                <w:lang w:val="en-CA"/>
              </w:rPr>
            </w:pPr>
            <w:r w:rsidRPr="00C20600">
              <w:rPr>
                <w:color w:val="000000"/>
                <w:sz w:val="20"/>
                <w:szCs w:val="20"/>
                <w:lang w:val="en-CA"/>
              </w:rPr>
              <w:t>90</w:t>
            </w:r>
            <w:r>
              <w:rPr>
                <w:color w:val="000000"/>
                <w:sz w:val="20"/>
                <w:szCs w:val="20"/>
                <w:lang w:val="en-CA"/>
              </w:rPr>
              <w:t>,</w:t>
            </w:r>
            <w:r w:rsidRPr="00C20600">
              <w:rPr>
                <w:color w:val="000000"/>
                <w:sz w:val="20"/>
                <w:szCs w:val="20"/>
                <w:lang w:val="en-CA"/>
              </w:rPr>
              <w:t>00</w:t>
            </w:r>
          </w:p>
        </w:tc>
        <w:tc>
          <w:tcPr>
            <w:tcW w:w="628"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4E0BA532" w14:textId="77777777" w:rsidR="00720BA7" w:rsidRPr="00C20600" w:rsidRDefault="00720BA7" w:rsidP="00720BA7">
            <w:pPr>
              <w:jc w:val="right"/>
              <w:rPr>
                <w:sz w:val="20"/>
                <w:szCs w:val="20"/>
                <w:lang w:val="en-CA"/>
              </w:rPr>
            </w:pPr>
            <w:r w:rsidRPr="00C20600">
              <w:rPr>
                <w:color w:val="000000"/>
                <w:sz w:val="20"/>
                <w:szCs w:val="20"/>
                <w:lang w:val="en-CA"/>
              </w:rPr>
              <w:t>90</w:t>
            </w:r>
            <w:r>
              <w:rPr>
                <w:color w:val="000000"/>
                <w:sz w:val="20"/>
                <w:szCs w:val="20"/>
                <w:lang w:val="en-CA"/>
              </w:rPr>
              <w:t>,</w:t>
            </w:r>
            <w:r w:rsidRPr="00C20600">
              <w:rPr>
                <w:color w:val="000000"/>
                <w:sz w:val="20"/>
                <w:szCs w:val="20"/>
                <w:lang w:val="en-CA"/>
              </w:rPr>
              <w:t>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14:paraId="2FCD5A50" w14:textId="77777777" w:rsidR="00720BA7" w:rsidRPr="00C20600" w:rsidRDefault="00720BA7" w:rsidP="00720BA7">
            <w:pPr>
              <w:jc w:val="right"/>
              <w:rPr>
                <w:sz w:val="20"/>
                <w:szCs w:val="20"/>
                <w:lang w:val="en-CA"/>
              </w:rPr>
            </w:pPr>
            <w:r w:rsidRPr="00C20600">
              <w:rPr>
                <w:color w:val="000000"/>
                <w:sz w:val="20"/>
                <w:szCs w:val="20"/>
                <w:lang w:val="en-CA"/>
              </w:rPr>
              <w:t>90</w:t>
            </w:r>
            <w:r>
              <w:rPr>
                <w:color w:val="000000"/>
                <w:sz w:val="20"/>
                <w:szCs w:val="20"/>
                <w:lang w:val="en-CA"/>
              </w:rPr>
              <w:t>,</w:t>
            </w:r>
            <w:r w:rsidRPr="00C20600">
              <w:rPr>
                <w:color w:val="000000"/>
                <w:sz w:val="20"/>
                <w:szCs w:val="20"/>
                <w:lang w:val="en-CA"/>
              </w:rPr>
              <w:t>00</w:t>
            </w:r>
          </w:p>
        </w:tc>
        <w:tc>
          <w:tcPr>
            <w:tcW w:w="647" w:type="pct"/>
            <w:tcBorders>
              <w:top w:val="nil"/>
              <w:left w:val="single" w:sz="4" w:space="0" w:color="auto"/>
              <w:bottom w:val="single" w:sz="4" w:space="0" w:color="auto"/>
              <w:right w:val="single" w:sz="4" w:space="0" w:color="auto"/>
            </w:tcBorders>
            <w:shd w:val="clear" w:color="auto" w:fill="auto"/>
            <w:tcMar>
              <w:left w:w="115" w:type="dxa"/>
              <w:right w:w="173" w:type="dxa"/>
            </w:tcMar>
          </w:tcPr>
          <w:p w14:paraId="740E7F28" w14:textId="77777777" w:rsidR="00720BA7" w:rsidRPr="00C20600" w:rsidRDefault="00720BA7" w:rsidP="00720BA7">
            <w:pPr>
              <w:jc w:val="right"/>
              <w:rPr>
                <w:sz w:val="20"/>
                <w:szCs w:val="20"/>
                <w:lang w:val="en-CA"/>
              </w:rPr>
            </w:pPr>
            <w:r w:rsidRPr="00C20600">
              <w:rPr>
                <w:color w:val="000000"/>
                <w:sz w:val="20"/>
                <w:szCs w:val="20"/>
                <w:lang w:val="en-CA"/>
              </w:rPr>
              <w:t>65</w:t>
            </w:r>
            <w:r>
              <w:rPr>
                <w:color w:val="000000"/>
                <w:sz w:val="20"/>
                <w:szCs w:val="20"/>
                <w:lang w:val="en-CA"/>
              </w:rPr>
              <w:t>,</w:t>
            </w:r>
            <w:r w:rsidRPr="00C20600">
              <w:rPr>
                <w:color w:val="000000"/>
                <w:sz w:val="20"/>
                <w:szCs w:val="20"/>
                <w:lang w:val="en-CA"/>
              </w:rPr>
              <w:t>00</w:t>
            </w:r>
          </w:p>
        </w:tc>
      </w:tr>
      <w:tr w:rsidR="00720BA7" w:rsidRPr="00C20600" w14:paraId="4B65EE8F" w14:textId="77777777" w:rsidTr="00D75337">
        <w:trPr>
          <w:trHeight w:val="161"/>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57E7CF75" w14:textId="77777777" w:rsidR="00720BA7" w:rsidRPr="006F1183" w:rsidRDefault="00720BA7" w:rsidP="00720BA7">
            <w:pPr>
              <w:jc w:val="left"/>
              <w:rPr>
                <w:b/>
                <w:sz w:val="20"/>
                <w:szCs w:val="20"/>
                <w:lang w:val="en-CA" w:eastAsia="zh-CN"/>
              </w:rPr>
            </w:pPr>
            <w:r w:rsidRPr="006F1183">
              <w:rPr>
                <w:b/>
                <w:sz w:val="20"/>
                <w:szCs w:val="20"/>
                <w:lang w:val="fr-FR" w:eastAsia="zh-CN"/>
              </w:rPr>
              <w:t>Total (tm)</w:t>
            </w:r>
          </w:p>
        </w:tc>
        <w:tc>
          <w:tcPr>
            <w:tcW w:w="662"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730EA5D3" w14:textId="77777777" w:rsidR="00720BA7" w:rsidRPr="00C20600" w:rsidRDefault="00720BA7" w:rsidP="00720BA7">
            <w:pPr>
              <w:jc w:val="right"/>
              <w:rPr>
                <w:sz w:val="20"/>
                <w:szCs w:val="20"/>
                <w:lang w:val="en-CA"/>
              </w:rPr>
            </w:pPr>
            <w:r w:rsidRPr="00C20600">
              <w:rPr>
                <w:color w:val="000000"/>
                <w:sz w:val="20"/>
                <w:szCs w:val="20"/>
                <w:lang w:val="en-CA"/>
              </w:rPr>
              <w:t>36</w:t>
            </w:r>
            <w:r>
              <w:rPr>
                <w:color w:val="000000"/>
                <w:sz w:val="20"/>
                <w:szCs w:val="20"/>
                <w:lang w:val="en-CA"/>
              </w:rPr>
              <w:t> </w:t>
            </w:r>
            <w:r w:rsidRPr="00C20600">
              <w:rPr>
                <w:color w:val="000000"/>
                <w:sz w:val="20"/>
                <w:szCs w:val="20"/>
                <w:lang w:val="en-CA"/>
              </w:rPr>
              <w:t>385</w:t>
            </w:r>
            <w:r>
              <w:rPr>
                <w:color w:val="000000"/>
                <w:sz w:val="20"/>
                <w:szCs w:val="20"/>
                <w:lang w:val="en-CA"/>
              </w:rPr>
              <w:t>,</w:t>
            </w:r>
            <w:r w:rsidRPr="00C20600">
              <w:rPr>
                <w:color w:val="000000"/>
                <w:sz w:val="20"/>
                <w:szCs w:val="20"/>
                <w:lang w:val="en-CA"/>
              </w:rPr>
              <w:t>00</w:t>
            </w:r>
          </w:p>
        </w:tc>
        <w:tc>
          <w:tcPr>
            <w:tcW w:w="616" w:type="pct"/>
            <w:tcBorders>
              <w:top w:val="nil"/>
              <w:left w:val="nil"/>
              <w:bottom w:val="single" w:sz="4" w:space="0" w:color="auto"/>
              <w:right w:val="single" w:sz="4" w:space="0" w:color="auto"/>
            </w:tcBorders>
            <w:shd w:val="clear" w:color="auto" w:fill="auto"/>
            <w:noWrap/>
            <w:tcMar>
              <w:left w:w="115" w:type="dxa"/>
              <w:right w:w="173" w:type="dxa"/>
            </w:tcMar>
            <w:hideMark/>
          </w:tcPr>
          <w:p w14:paraId="13FC8631" w14:textId="77777777" w:rsidR="00720BA7" w:rsidRPr="00C20600" w:rsidRDefault="00720BA7" w:rsidP="00720BA7">
            <w:pPr>
              <w:jc w:val="right"/>
              <w:rPr>
                <w:sz w:val="20"/>
                <w:szCs w:val="20"/>
                <w:lang w:val="en-CA"/>
              </w:rPr>
            </w:pPr>
            <w:r w:rsidRPr="00C20600">
              <w:rPr>
                <w:color w:val="000000"/>
                <w:sz w:val="20"/>
                <w:szCs w:val="20"/>
                <w:lang w:val="en-CA"/>
              </w:rPr>
              <w:t>38</w:t>
            </w:r>
            <w:r>
              <w:rPr>
                <w:color w:val="000000"/>
                <w:sz w:val="20"/>
                <w:szCs w:val="20"/>
                <w:lang w:val="en-CA"/>
              </w:rPr>
              <w:t> </w:t>
            </w:r>
            <w:r w:rsidRPr="00C20600">
              <w:rPr>
                <w:color w:val="000000"/>
                <w:sz w:val="20"/>
                <w:szCs w:val="20"/>
                <w:lang w:val="en-CA"/>
              </w:rPr>
              <w:t>254</w:t>
            </w:r>
            <w:r>
              <w:rPr>
                <w:color w:val="000000"/>
                <w:sz w:val="20"/>
                <w:szCs w:val="20"/>
                <w:lang w:val="en-CA"/>
              </w:rPr>
              <w:t>,</w:t>
            </w:r>
            <w:r w:rsidRPr="00C20600">
              <w:rPr>
                <w:color w:val="000000"/>
                <w:sz w:val="20"/>
                <w:szCs w:val="20"/>
                <w:lang w:val="en-CA"/>
              </w:rPr>
              <w:t>70</w:t>
            </w:r>
          </w:p>
        </w:tc>
        <w:tc>
          <w:tcPr>
            <w:tcW w:w="615" w:type="pct"/>
            <w:tcBorders>
              <w:top w:val="nil"/>
              <w:left w:val="nil"/>
              <w:bottom w:val="nil"/>
              <w:right w:val="nil"/>
            </w:tcBorders>
            <w:shd w:val="clear" w:color="auto" w:fill="auto"/>
            <w:noWrap/>
            <w:tcMar>
              <w:left w:w="115" w:type="dxa"/>
              <w:right w:w="173" w:type="dxa"/>
            </w:tcMar>
            <w:hideMark/>
          </w:tcPr>
          <w:p w14:paraId="59B4C710" w14:textId="77777777" w:rsidR="00720BA7" w:rsidRPr="00C20600" w:rsidRDefault="00720BA7" w:rsidP="00720BA7">
            <w:pPr>
              <w:jc w:val="right"/>
              <w:rPr>
                <w:sz w:val="20"/>
                <w:szCs w:val="20"/>
                <w:lang w:val="en-CA"/>
              </w:rPr>
            </w:pPr>
            <w:r w:rsidRPr="00C20600">
              <w:rPr>
                <w:color w:val="000000"/>
                <w:sz w:val="20"/>
                <w:szCs w:val="20"/>
                <w:lang w:val="en-CA"/>
              </w:rPr>
              <w:t>38</w:t>
            </w:r>
            <w:r>
              <w:rPr>
                <w:color w:val="000000"/>
                <w:sz w:val="20"/>
                <w:szCs w:val="20"/>
                <w:lang w:val="en-CA"/>
              </w:rPr>
              <w:t> </w:t>
            </w:r>
            <w:r w:rsidRPr="00C20600">
              <w:rPr>
                <w:color w:val="000000"/>
                <w:sz w:val="20"/>
                <w:szCs w:val="20"/>
                <w:lang w:val="en-CA"/>
              </w:rPr>
              <w:t>234</w:t>
            </w:r>
            <w:r>
              <w:rPr>
                <w:color w:val="000000"/>
                <w:sz w:val="20"/>
                <w:szCs w:val="20"/>
                <w:lang w:val="en-CA"/>
              </w:rPr>
              <w:t>,</w:t>
            </w:r>
            <w:r w:rsidRPr="00C20600">
              <w:rPr>
                <w:color w:val="000000"/>
                <w:sz w:val="20"/>
                <w:szCs w:val="20"/>
                <w:lang w:val="en-CA"/>
              </w:rPr>
              <w:t>00</w:t>
            </w:r>
          </w:p>
        </w:tc>
        <w:tc>
          <w:tcPr>
            <w:tcW w:w="628"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074592AC" w14:textId="77777777" w:rsidR="00720BA7" w:rsidRPr="00C20600" w:rsidRDefault="00720BA7" w:rsidP="00720BA7">
            <w:pPr>
              <w:jc w:val="right"/>
              <w:rPr>
                <w:sz w:val="20"/>
                <w:szCs w:val="20"/>
                <w:lang w:val="en-CA"/>
              </w:rPr>
            </w:pPr>
            <w:r w:rsidRPr="00C20600">
              <w:rPr>
                <w:color w:val="000000"/>
                <w:sz w:val="20"/>
                <w:szCs w:val="20"/>
                <w:lang w:val="en-CA"/>
              </w:rPr>
              <w:t>36</w:t>
            </w:r>
            <w:r>
              <w:rPr>
                <w:color w:val="000000"/>
                <w:sz w:val="20"/>
                <w:szCs w:val="20"/>
                <w:lang w:val="en-CA"/>
              </w:rPr>
              <w:t> </w:t>
            </w:r>
            <w:r w:rsidRPr="00C20600">
              <w:rPr>
                <w:color w:val="000000"/>
                <w:sz w:val="20"/>
                <w:szCs w:val="20"/>
                <w:lang w:val="en-CA"/>
              </w:rPr>
              <w:t>643</w:t>
            </w:r>
            <w:r>
              <w:rPr>
                <w:color w:val="000000"/>
                <w:sz w:val="20"/>
                <w:szCs w:val="20"/>
                <w:lang w:val="en-CA"/>
              </w:rPr>
              <w:t>,</w:t>
            </w:r>
            <w:r w:rsidRPr="00C20600">
              <w:rPr>
                <w:color w:val="000000"/>
                <w:sz w:val="20"/>
                <w:szCs w:val="20"/>
                <w:lang w:val="en-CA"/>
              </w:rPr>
              <w:t>00</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14:paraId="13188C81" w14:textId="77777777" w:rsidR="00720BA7" w:rsidRPr="00C20600" w:rsidRDefault="00720BA7" w:rsidP="00720BA7">
            <w:pPr>
              <w:jc w:val="right"/>
              <w:rPr>
                <w:sz w:val="20"/>
                <w:szCs w:val="20"/>
                <w:lang w:val="en-CA"/>
              </w:rPr>
            </w:pPr>
            <w:r w:rsidRPr="00C20600">
              <w:rPr>
                <w:color w:val="000000"/>
                <w:sz w:val="20"/>
                <w:szCs w:val="20"/>
                <w:lang w:val="en-CA"/>
              </w:rPr>
              <w:t>36</w:t>
            </w:r>
            <w:r>
              <w:rPr>
                <w:color w:val="000000"/>
                <w:sz w:val="20"/>
                <w:szCs w:val="20"/>
                <w:lang w:val="en-CA"/>
              </w:rPr>
              <w:t> </w:t>
            </w:r>
            <w:r w:rsidRPr="00C20600">
              <w:rPr>
                <w:color w:val="000000"/>
                <w:sz w:val="20"/>
                <w:szCs w:val="20"/>
                <w:lang w:val="en-CA"/>
              </w:rPr>
              <w:t>643</w:t>
            </w:r>
            <w:r>
              <w:rPr>
                <w:color w:val="000000"/>
                <w:sz w:val="20"/>
                <w:szCs w:val="20"/>
                <w:lang w:val="en-CA"/>
              </w:rPr>
              <w:t>,</w:t>
            </w:r>
            <w:r w:rsidRPr="00C20600">
              <w:rPr>
                <w:color w:val="000000"/>
                <w:sz w:val="20"/>
                <w:szCs w:val="20"/>
                <w:lang w:val="en-CA"/>
              </w:rPr>
              <w:t>00</w:t>
            </w:r>
          </w:p>
        </w:tc>
        <w:tc>
          <w:tcPr>
            <w:tcW w:w="647" w:type="pct"/>
            <w:tcBorders>
              <w:top w:val="nil"/>
              <w:left w:val="single" w:sz="4" w:space="0" w:color="auto"/>
              <w:bottom w:val="single" w:sz="4" w:space="0" w:color="auto"/>
              <w:right w:val="single" w:sz="4" w:space="0" w:color="auto"/>
            </w:tcBorders>
            <w:shd w:val="clear" w:color="auto" w:fill="auto"/>
            <w:tcMar>
              <w:left w:w="115" w:type="dxa"/>
              <w:right w:w="173" w:type="dxa"/>
            </w:tcMar>
          </w:tcPr>
          <w:p w14:paraId="2FD2F74C" w14:textId="77777777" w:rsidR="00720BA7" w:rsidRPr="00C20600" w:rsidRDefault="00720BA7" w:rsidP="00720BA7">
            <w:pPr>
              <w:jc w:val="right"/>
              <w:rPr>
                <w:sz w:val="20"/>
                <w:szCs w:val="20"/>
                <w:lang w:val="en-CA"/>
              </w:rPr>
            </w:pPr>
            <w:r w:rsidRPr="00C20600">
              <w:rPr>
                <w:sz w:val="20"/>
                <w:szCs w:val="20"/>
                <w:lang w:val="en-CA"/>
              </w:rPr>
              <w:t>43</w:t>
            </w:r>
            <w:r>
              <w:rPr>
                <w:sz w:val="20"/>
                <w:szCs w:val="20"/>
                <w:lang w:val="en-CA"/>
              </w:rPr>
              <w:t> </w:t>
            </w:r>
            <w:r w:rsidRPr="00C20600">
              <w:rPr>
                <w:sz w:val="20"/>
                <w:szCs w:val="20"/>
                <w:lang w:val="en-CA"/>
              </w:rPr>
              <w:t>925</w:t>
            </w:r>
            <w:r>
              <w:rPr>
                <w:sz w:val="20"/>
                <w:szCs w:val="20"/>
                <w:lang w:val="en-CA"/>
              </w:rPr>
              <w:t>,</w:t>
            </w:r>
            <w:r w:rsidRPr="00C20600">
              <w:rPr>
                <w:sz w:val="20"/>
                <w:szCs w:val="20"/>
                <w:lang w:val="en-CA"/>
              </w:rPr>
              <w:t>00</w:t>
            </w:r>
          </w:p>
        </w:tc>
      </w:tr>
      <w:tr w:rsidR="00720BA7" w:rsidRPr="00C20600" w14:paraId="11CFEC9A" w14:textId="77777777" w:rsidTr="00720BA7">
        <w:trPr>
          <w:trHeight w:val="4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207DB686" w14:textId="77777777" w:rsidR="00720BA7" w:rsidRPr="006F1183" w:rsidRDefault="00720BA7" w:rsidP="00720BA7">
            <w:pPr>
              <w:jc w:val="left"/>
              <w:rPr>
                <w:color w:val="000000"/>
                <w:sz w:val="20"/>
                <w:szCs w:val="20"/>
                <w:lang w:val="en-CA" w:eastAsia="zh-CN"/>
              </w:rPr>
            </w:pPr>
            <w:r w:rsidRPr="006F1183">
              <w:rPr>
                <w:color w:val="000000"/>
                <w:sz w:val="20"/>
                <w:szCs w:val="20"/>
                <w:lang w:val="fr-FR" w:eastAsia="zh-CN"/>
              </w:rPr>
              <w:t>Tonnes PAO</w:t>
            </w:r>
          </w:p>
        </w:tc>
      </w:tr>
      <w:tr w:rsidR="00720BA7" w:rsidRPr="00C20600" w14:paraId="5F7FB919" w14:textId="77777777" w:rsidTr="00D75337">
        <w:trPr>
          <w:trHeight w:val="40"/>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70B49314" w14:textId="77777777" w:rsidR="00720BA7" w:rsidRPr="006F1183" w:rsidRDefault="00720BA7" w:rsidP="00720BA7">
            <w:pPr>
              <w:jc w:val="left"/>
              <w:rPr>
                <w:sz w:val="20"/>
                <w:szCs w:val="20"/>
                <w:lang w:val="en-CA" w:eastAsia="zh-CN"/>
              </w:rPr>
            </w:pPr>
            <w:r w:rsidRPr="006F1183">
              <w:rPr>
                <w:sz w:val="20"/>
                <w:szCs w:val="20"/>
                <w:lang w:val="fr-FR" w:eastAsia="zh-CN"/>
              </w:rPr>
              <w:t>HCFC-22</w:t>
            </w:r>
          </w:p>
        </w:tc>
        <w:tc>
          <w:tcPr>
            <w:tcW w:w="66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5A7B5CE0" w14:textId="77777777" w:rsidR="00720BA7" w:rsidRPr="00C20600" w:rsidRDefault="00720BA7" w:rsidP="00720BA7">
            <w:pPr>
              <w:jc w:val="right"/>
              <w:rPr>
                <w:color w:val="000000"/>
                <w:sz w:val="20"/>
                <w:szCs w:val="20"/>
                <w:lang w:val="en-CA"/>
              </w:rPr>
            </w:pPr>
            <w:r w:rsidRPr="00C20600">
              <w:rPr>
                <w:color w:val="000000"/>
                <w:sz w:val="20"/>
                <w:szCs w:val="20"/>
                <w:lang w:val="en-CA"/>
              </w:rPr>
              <w:t>1</w:t>
            </w:r>
            <w:r>
              <w:rPr>
                <w:color w:val="000000"/>
                <w:sz w:val="20"/>
                <w:szCs w:val="20"/>
                <w:lang w:val="en-CA"/>
              </w:rPr>
              <w:t> </w:t>
            </w:r>
            <w:r w:rsidRPr="00C20600">
              <w:rPr>
                <w:color w:val="000000"/>
                <w:sz w:val="20"/>
                <w:szCs w:val="20"/>
                <w:lang w:val="en-CA"/>
              </w:rPr>
              <w:t>963</w:t>
            </w:r>
            <w:r>
              <w:rPr>
                <w:color w:val="000000"/>
                <w:sz w:val="20"/>
                <w:szCs w:val="20"/>
                <w:lang w:val="en-CA"/>
              </w:rPr>
              <w:t>,</w:t>
            </w:r>
            <w:r w:rsidRPr="00C20600">
              <w:rPr>
                <w:color w:val="000000"/>
                <w:sz w:val="20"/>
                <w:szCs w:val="20"/>
                <w:lang w:val="en-CA"/>
              </w:rPr>
              <w:t>50</w:t>
            </w:r>
          </w:p>
        </w:tc>
        <w:tc>
          <w:tcPr>
            <w:tcW w:w="616"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14:paraId="49A6EBE5" w14:textId="77777777" w:rsidR="00720BA7" w:rsidRPr="00C20600" w:rsidRDefault="00720BA7" w:rsidP="00720BA7">
            <w:pPr>
              <w:jc w:val="right"/>
              <w:rPr>
                <w:color w:val="000000"/>
                <w:sz w:val="20"/>
                <w:szCs w:val="20"/>
                <w:lang w:val="en-CA"/>
              </w:rPr>
            </w:pPr>
            <w:r w:rsidRPr="00C20600">
              <w:rPr>
                <w:color w:val="000000"/>
                <w:sz w:val="20"/>
                <w:szCs w:val="20"/>
                <w:lang w:val="en-CA"/>
              </w:rPr>
              <w:t>2</w:t>
            </w:r>
            <w:r>
              <w:rPr>
                <w:color w:val="000000"/>
                <w:sz w:val="20"/>
                <w:szCs w:val="20"/>
                <w:lang w:val="en-CA"/>
              </w:rPr>
              <w:t> </w:t>
            </w:r>
            <w:r w:rsidRPr="00C20600">
              <w:rPr>
                <w:color w:val="000000"/>
                <w:sz w:val="20"/>
                <w:szCs w:val="20"/>
                <w:lang w:val="en-CA"/>
              </w:rPr>
              <w:t>062</w:t>
            </w:r>
            <w:r>
              <w:rPr>
                <w:color w:val="000000"/>
                <w:sz w:val="20"/>
                <w:szCs w:val="20"/>
                <w:lang w:val="en-CA"/>
              </w:rPr>
              <w:t>,</w:t>
            </w:r>
            <w:r w:rsidRPr="00C20600">
              <w:rPr>
                <w:color w:val="000000"/>
                <w:sz w:val="20"/>
                <w:szCs w:val="20"/>
                <w:lang w:val="en-CA"/>
              </w:rPr>
              <w:t>50</w:t>
            </w:r>
          </w:p>
        </w:tc>
        <w:tc>
          <w:tcPr>
            <w:tcW w:w="615"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14:paraId="23B486F6" w14:textId="77777777" w:rsidR="00720BA7" w:rsidRPr="00C20600" w:rsidRDefault="00720BA7" w:rsidP="00720BA7">
            <w:pPr>
              <w:jc w:val="right"/>
              <w:rPr>
                <w:color w:val="000000"/>
                <w:sz w:val="20"/>
                <w:szCs w:val="20"/>
                <w:lang w:val="en-CA"/>
              </w:rPr>
            </w:pPr>
            <w:r w:rsidRPr="00C20600">
              <w:rPr>
                <w:color w:val="000000"/>
                <w:sz w:val="20"/>
                <w:szCs w:val="20"/>
                <w:lang w:val="en-CA"/>
              </w:rPr>
              <w:t>2</w:t>
            </w:r>
            <w:r>
              <w:rPr>
                <w:color w:val="000000"/>
                <w:sz w:val="20"/>
                <w:szCs w:val="20"/>
                <w:lang w:val="en-CA"/>
              </w:rPr>
              <w:t> </w:t>
            </w:r>
            <w:r w:rsidRPr="00C20600">
              <w:rPr>
                <w:color w:val="000000"/>
                <w:sz w:val="20"/>
                <w:szCs w:val="20"/>
                <w:lang w:val="en-CA"/>
              </w:rPr>
              <w:t>062</w:t>
            </w:r>
            <w:r>
              <w:rPr>
                <w:color w:val="000000"/>
                <w:sz w:val="20"/>
                <w:szCs w:val="20"/>
                <w:lang w:val="en-CA"/>
              </w:rPr>
              <w:t>,</w:t>
            </w:r>
            <w:r w:rsidRPr="00C20600">
              <w:rPr>
                <w:color w:val="000000"/>
                <w:sz w:val="20"/>
                <w:szCs w:val="20"/>
                <w:lang w:val="en-CA"/>
              </w:rPr>
              <w:t>50</w:t>
            </w:r>
          </w:p>
        </w:tc>
        <w:tc>
          <w:tcPr>
            <w:tcW w:w="628"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14:paraId="5FAA4BE1" w14:textId="77777777" w:rsidR="00720BA7" w:rsidRPr="00C20600" w:rsidRDefault="00720BA7" w:rsidP="00720BA7">
            <w:pPr>
              <w:jc w:val="right"/>
              <w:rPr>
                <w:color w:val="000000"/>
                <w:sz w:val="20"/>
                <w:szCs w:val="20"/>
                <w:lang w:val="en-CA"/>
              </w:rPr>
            </w:pPr>
            <w:r w:rsidRPr="00C20600">
              <w:rPr>
                <w:color w:val="000000"/>
                <w:sz w:val="20"/>
                <w:szCs w:val="20"/>
                <w:lang w:val="en-CA"/>
              </w:rPr>
              <w:t>1</w:t>
            </w:r>
            <w:r>
              <w:rPr>
                <w:color w:val="000000"/>
                <w:sz w:val="20"/>
                <w:szCs w:val="20"/>
                <w:lang w:val="en-CA"/>
              </w:rPr>
              <w:t> </w:t>
            </w:r>
            <w:r w:rsidRPr="00C20600">
              <w:rPr>
                <w:color w:val="000000"/>
                <w:sz w:val="20"/>
                <w:szCs w:val="20"/>
                <w:lang w:val="en-CA"/>
              </w:rPr>
              <w:t>980</w:t>
            </w:r>
            <w:r>
              <w:rPr>
                <w:color w:val="000000"/>
                <w:sz w:val="20"/>
                <w:szCs w:val="20"/>
                <w:lang w:val="en-CA"/>
              </w:rPr>
              <w:t>,</w:t>
            </w:r>
            <w:r w:rsidRPr="00C20600">
              <w:rPr>
                <w:color w:val="000000"/>
                <w:sz w:val="20"/>
                <w:szCs w:val="20"/>
                <w:lang w:val="en-CA"/>
              </w:rPr>
              <w:t>00</w:t>
            </w:r>
          </w:p>
        </w:tc>
        <w:tc>
          <w:tcPr>
            <w:tcW w:w="650" w:type="pct"/>
            <w:tcBorders>
              <w:top w:val="single" w:sz="4" w:space="0" w:color="auto"/>
              <w:left w:val="nil"/>
              <w:bottom w:val="single" w:sz="4" w:space="0" w:color="auto"/>
              <w:right w:val="single" w:sz="4" w:space="0" w:color="auto"/>
            </w:tcBorders>
            <w:shd w:val="clear" w:color="auto" w:fill="auto"/>
            <w:noWrap/>
            <w:tcMar>
              <w:left w:w="115" w:type="dxa"/>
              <w:right w:w="173" w:type="dxa"/>
            </w:tcMar>
            <w:hideMark/>
          </w:tcPr>
          <w:p w14:paraId="232DDFA4" w14:textId="77777777" w:rsidR="00720BA7" w:rsidRPr="00C20600" w:rsidRDefault="00720BA7" w:rsidP="00720BA7">
            <w:pPr>
              <w:jc w:val="right"/>
              <w:rPr>
                <w:color w:val="000000"/>
                <w:sz w:val="20"/>
                <w:szCs w:val="20"/>
                <w:lang w:val="en-CA"/>
              </w:rPr>
            </w:pPr>
            <w:r w:rsidRPr="00C20600">
              <w:rPr>
                <w:color w:val="000000"/>
                <w:sz w:val="20"/>
                <w:szCs w:val="20"/>
                <w:lang w:val="en-CA"/>
              </w:rPr>
              <w:t>1</w:t>
            </w:r>
            <w:r>
              <w:rPr>
                <w:color w:val="000000"/>
                <w:sz w:val="20"/>
                <w:szCs w:val="20"/>
                <w:lang w:val="en-CA"/>
              </w:rPr>
              <w:t> </w:t>
            </w:r>
            <w:r w:rsidRPr="00C20600">
              <w:rPr>
                <w:color w:val="000000"/>
                <w:sz w:val="20"/>
                <w:szCs w:val="20"/>
                <w:lang w:val="en-CA"/>
              </w:rPr>
              <w:t>980</w:t>
            </w:r>
            <w:r>
              <w:rPr>
                <w:color w:val="000000"/>
                <w:sz w:val="20"/>
                <w:szCs w:val="20"/>
                <w:lang w:val="en-CA"/>
              </w:rPr>
              <w:t>,</w:t>
            </w:r>
            <w:r w:rsidRPr="00C20600">
              <w:rPr>
                <w:color w:val="000000"/>
                <w:sz w:val="20"/>
                <w:szCs w:val="20"/>
                <w:lang w:val="en-CA"/>
              </w:rPr>
              <w:t>00</w:t>
            </w:r>
          </w:p>
        </w:tc>
        <w:tc>
          <w:tcPr>
            <w:tcW w:w="647"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tcPr>
          <w:p w14:paraId="31E95572" w14:textId="77777777" w:rsidR="00720BA7" w:rsidRPr="00C20600" w:rsidRDefault="00720BA7" w:rsidP="00720BA7">
            <w:pPr>
              <w:jc w:val="right"/>
              <w:rPr>
                <w:color w:val="000000"/>
                <w:sz w:val="20"/>
                <w:szCs w:val="20"/>
                <w:lang w:val="en-CA"/>
              </w:rPr>
            </w:pPr>
            <w:r w:rsidRPr="00C20600">
              <w:rPr>
                <w:color w:val="000000"/>
                <w:sz w:val="20"/>
                <w:szCs w:val="20"/>
                <w:lang w:val="en-CA"/>
              </w:rPr>
              <w:t>2</w:t>
            </w:r>
            <w:r>
              <w:rPr>
                <w:color w:val="000000"/>
                <w:sz w:val="20"/>
                <w:szCs w:val="20"/>
                <w:lang w:val="en-CA"/>
              </w:rPr>
              <w:t> </w:t>
            </w:r>
            <w:r w:rsidRPr="00C20600">
              <w:rPr>
                <w:color w:val="000000"/>
                <w:sz w:val="20"/>
                <w:szCs w:val="20"/>
                <w:lang w:val="en-CA"/>
              </w:rPr>
              <w:t>390</w:t>
            </w:r>
            <w:r>
              <w:rPr>
                <w:color w:val="000000"/>
                <w:sz w:val="20"/>
                <w:szCs w:val="20"/>
                <w:lang w:val="en-CA"/>
              </w:rPr>
              <w:t>,</w:t>
            </w:r>
            <w:r w:rsidRPr="00C20600">
              <w:rPr>
                <w:color w:val="000000"/>
                <w:sz w:val="20"/>
                <w:szCs w:val="20"/>
                <w:lang w:val="en-CA"/>
              </w:rPr>
              <w:t>71</w:t>
            </w:r>
          </w:p>
        </w:tc>
      </w:tr>
      <w:tr w:rsidR="00720BA7" w:rsidRPr="00C20600" w14:paraId="329B35C6" w14:textId="77777777" w:rsidTr="00D75337">
        <w:trPr>
          <w:trHeight w:val="49"/>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41ECE73F" w14:textId="77777777" w:rsidR="00720BA7" w:rsidRPr="006F1183" w:rsidRDefault="00720BA7" w:rsidP="00720BA7">
            <w:pPr>
              <w:jc w:val="left"/>
              <w:rPr>
                <w:sz w:val="20"/>
                <w:szCs w:val="20"/>
                <w:lang w:val="en-CA" w:eastAsia="zh-CN"/>
              </w:rPr>
            </w:pPr>
            <w:r w:rsidRPr="006F1183">
              <w:rPr>
                <w:sz w:val="20"/>
                <w:szCs w:val="20"/>
                <w:lang w:val="fr-FR" w:eastAsia="zh-CN"/>
              </w:rPr>
              <w:t>HCFC-123</w:t>
            </w:r>
          </w:p>
        </w:tc>
        <w:tc>
          <w:tcPr>
            <w:tcW w:w="662"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38703CB2" w14:textId="77777777" w:rsidR="00720BA7" w:rsidRPr="00C20600" w:rsidRDefault="00720BA7" w:rsidP="00720BA7">
            <w:pPr>
              <w:jc w:val="right"/>
              <w:rPr>
                <w:color w:val="000000"/>
                <w:sz w:val="20"/>
                <w:szCs w:val="20"/>
                <w:lang w:val="en-CA"/>
              </w:rPr>
            </w:pPr>
            <w:r w:rsidRPr="00C20600">
              <w:rPr>
                <w:color w:val="000000"/>
                <w:sz w:val="20"/>
                <w:szCs w:val="20"/>
                <w:lang w:val="en-CA"/>
              </w:rPr>
              <w:t>11</w:t>
            </w:r>
            <w:r>
              <w:rPr>
                <w:color w:val="000000"/>
                <w:sz w:val="20"/>
                <w:szCs w:val="20"/>
                <w:lang w:val="en-CA"/>
              </w:rPr>
              <w:t>,</w:t>
            </w:r>
            <w:r w:rsidRPr="00C20600">
              <w:rPr>
                <w:color w:val="000000"/>
                <w:sz w:val="20"/>
                <w:szCs w:val="20"/>
                <w:lang w:val="en-CA"/>
              </w:rPr>
              <w:t>70</w:t>
            </w:r>
          </w:p>
        </w:tc>
        <w:tc>
          <w:tcPr>
            <w:tcW w:w="616" w:type="pct"/>
            <w:tcBorders>
              <w:top w:val="nil"/>
              <w:left w:val="nil"/>
              <w:bottom w:val="single" w:sz="4" w:space="0" w:color="auto"/>
              <w:right w:val="single" w:sz="4" w:space="0" w:color="auto"/>
            </w:tcBorders>
            <w:shd w:val="clear" w:color="auto" w:fill="auto"/>
            <w:noWrap/>
            <w:tcMar>
              <w:left w:w="115" w:type="dxa"/>
              <w:right w:w="173" w:type="dxa"/>
            </w:tcMar>
            <w:hideMark/>
          </w:tcPr>
          <w:p w14:paraId="44D54637" w14:textId="77777777" w:rsidR="00720BA7" w:rsidRPr="00C20600" w:rsidRDefault="00720BA7" w:rsidP="00720BA7">
            <w:pPr>
              <w:jc w:val="right"/>
              <w:rPr>
                <w:color w:val="000000"/>
                <w:sz w:val="20"/>
                <w:szCs w:val="20"/>
                <w:lang w:val="en-CA"/>
              </w:rPr>
            </w:pPr>
            <w:r w:rsidRPr="00C20600">
              <w:rPr>
                <w:color w:val="000000"/>
                <w:sz w:val="20"/>
                <w:szCs w:val="20"/>
                <w:lang w:val="en-CA"/>
              </w:rPr>
              <w:t>13</w:t>
            </w:r>
            <w:r>
              <w:rPr>
                <w:color w:val="000000"/>
                <w:sz w:val="20"/>
                <w:szCs w:val="20"/>
                <w:lang w:val="en-CA"/>
              </w:rPr>
              <w:t>,</w:t>
            </w:r>
            <w:r w:rsidRPr="00C20600">
              <w:rPr>
                <w:color w:val="000000"/>
                <w:sz w:val="20"/>
                <w:szCs w:val="20"/>
                <w:lang w:val="en-CA"/>
              </w:rPr>
              <w:t>09</w:t>
            </w:r>
          </w:p>
        </w:tc>
        <w:tc>
          <w:tcPr>
            <w:tcW w:w="615" w:type="pct"/>
            <w:tcBorders>
              <w:top w:val="nil"/>
              <w:left w:val="nil"/>
              <w:bottom w:val="single" w:sz="4" w:space="0" w:color="auto"/>
              <w:right w:val="single" w:sz="4" w:space="0" w:color="auto"/>
            </w:tcBorders>
            <w:shd w:val="clear" w:color="auto" w:fill="auto"/>
            <w:noWrap/>
            <w:tcMar>
              <w:left w:w="115" w:type="dxa"/>
              <w:right w:w="173" w:type="dxa"/>
            </w:tcMar>
            <w:hideMark/>
          </w:tcPr>
          <w:p w14:paraId="44F385BF" w14:textId="77777777" w:rsidR="00720BA7" w:rsidRPr="00C20600" w:rsidRDefault="00720BA7" w:rsidP="00720BA7">
            <w:pPr>
              <w:jc w:val="right"/>
              <w:rPr>
                <w:color w:val="000000"/>
                <w:sz w:val="20"/>
                <w:szCs w:val="20"/>
                <w:lang w:val="en-CA"/>
              </w:rPr>
            </w:pPr>
            <w:r w:rsidRPr="00C20600">
              <w:rPr>
                <w:color w:val="000000"/>
                <w:sz w:val="20"/>
                <w:szCs w:val="20"/>
                <w:lang w:val="en-CA"/>
              </w:rPr>
              <w:t>12</w:t>
            </w:r>
            <w:r>
              <w:rPr>
                <w:color w:val="000000"/>
                <w:sz w:val="20"/>
                <w:szCs w:val="20"/>
                <w:lang w:val="en-CA"/>
              </w:rPr>
              <w:t>,</w:t>
            </w:r>
            <w:r w:rsidRPr="00C20600">
              <w:rPr>
                <w:color w:val="000000"/>
                <w:sz w:val="20"/>
                <w:szCs w:val="20"/>
                <w:lang w:val="en-CA"/>
              </w:rPr>
              <w:t>88</w:t>
            </w:r>
          </w:p>
        </w:tc>
        <w:tc>
          <w:tcPr>
            <w:tcW w:w="628" w:type="pct"/>
            <w:tcBorders>
              <w:top w:val="nil"/>
              <w:left w:val="nil"/>
              <w:bottom w:val="single" w:sz="4" w:space="0" w:color="auto"/>
              <w:right w:val="single" w:sz="4" w:space="0" w:color="auto"/>
            </w:tcBorders>
            <w:shd w:val="clear" w:color="auto" w:fill="auto"/>
            <w:noWrap/>
            <w:tcMar>
              <w:left w:w="115" w:type="dxa"/>
              <w:right w:w="173" w:type="dxa"/>
            </w:tcMar>
            <w:hideMark/>
          </w:tcPr>
          <w:p w14:paraId="4D5EBB17" w14:textId="77777777" w:rsidR="00720BA7" w:rsidRPr="00C20600" w:rsidRDefault="00720BA7" w:rsidP="00720BA7">
            <w:pPr>
              <w:jc w:val="right"/>
              <w:rPr>
                <w:color w:val="000000"/>
                <w:sz w:val="20"/>
                <w:szCs w:val="20"/>
                <w:lang w:val="en-CA"/>
              </w:rPr>
            </w:pPr>
            <w:r w:rsidRPr="00C20600">
              <w:rPr>
                <w:color w:val="000000"/>
                <w:sz w:val="20"/>
                <w:szCs w:val="20"/>
                <w:lang w:val="en-CA"/>
              </w:rPr>
              <w:t>11</w:t>
            </w:r>
            <w:r>
              <w:rPr>
                <w:color w:val="000000"/>
                <w:sz w:val="20"/>
                <w:szCs w:val="20"/>
                <w:lang w:val="en-CA"/>
              </w:rPr>
              <w:t>,</w:t>
            </w:r>
            <w:r w:rsidRPr="00C20600">
              <w:rPr>
                <w:color w:val="000000"/>
                <w:sz w:val="20"/>
                <w:szCs w:val="20"/>
                <w:lang w:val="en-CA"/>
              </w:rPr>
              <w:t>06</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14:paraId="463C3EDE" w14:textId="77777777" w:rsidR="00720BA7" w:rsidRPr="00C20600" w:rsidRDefault="00720BA7" w:rsidP="00720BA7">
            <w:pPr>
              <w:jc w:val="right"/>
              <w:rPr>
                <w:color w:val="000000"/>
                <w:sz w:val="20"/>
                <w:szCs w:val="20"/>
                <w:lang w:val="en-CA"/>
              </w:rPr>
            </w:pPr>
            <w:r w:rsidRPr="00C20600">
              <w:rPr>
                <w:color w:val="000000"/>
                <w:sz w:val="20"/>
                <w:szCs w:val="20"/>
                <w:lang w:val="en-CA"/>
              </w:rPr>
              <w:t>11</w:t>
            </w:r>
            <w:r>
              <w:rPr>
                <w:color w:val="000000"/>
                <w:sz w:val="20"/>
                <w:szCs w:val="20"/>
                <w:lang w:val="en-CA"/>
              </w:rPr>
              <w:t>,</w:t>
            </w:r>
            <w:r w:rsidRPr="00C20600">
              <w:rPr>
                <w:color w:val="000000"/>
                <w:sz w:val="20"/>
                <w:szCs w:val="20"/>
                <w:lang w:val="en-CA"/>
              </w:rPr>
              <w:t>06</w:t>
            </w:r>
          </w:p>
        </w:tc>
        <w:tc>
          <w:tcPr>
            <w:tcW w:w="647" w:type="pct"/>
            <w:tcBorders>
              <w:top w:val="nil"/>
              <w:left w:val="single" w:sz="4" w:space="0" w:color="auto"/>
              <w:bottom w:val="single" w:sz="4" w:space="0" w:color="auto"/>
              <w:right w:val="single" w:sz="4" w:space="0" w:color="auto"/>
            </w:tcBorders>
            <w:shd w:val="clear" w:color="auto" w:fill="auto"/>
            <w:tcMar>
              <w:left w:w="115" w:type="dxa"/>
              <w:right w:w="173" w:type="dxa"/>
            </w:tcMar>
          </w:tcPr>
          <w:p w14:paraId="10449881" w14:textId="77777777" w:rsidR="00720BA7" w:rsidRPr="00C20600" w:rsidRDefault="00720BA7" w:rsidP="00720BA7">
            <w:pPr>
              <w:jc w:val="right"/>
              <w:rPr>
                <w:color w:val="000000"/>
                <w:sz w:val="20"/>
                <w:szCs w:val="20"/>
                <w:lang w:val="en-CA"/>
              </w:rPr>
            </w:pPr>
            <w:r w:rsidRPr="00C20600">
              <w:rPr>
                <w:color w:val="000000"/>
                <w:sz w:val="20"/>
                <w:szCs w:val="20"/>
                <w:lang w:val="en-CA"/>
              </w:rPr>
              <w:t>7</w:t>
            </w:r>
            <w:r>
              <w:rPr>
                <w:color w:val="000000"/>
                <w:sz w:val="20"/>
                <w:szCs w:val="20"/>
                <w:lang w:val="en-CA"/>
              </w:rPr>
              <w:t>,</w:t>
            </w:r>
            <w:r w:rsidRPr="00C20600">
              <w:rPr>
                <w:color w:val="000000"/>
                <w:sz w:val="20"/>
                <w:szCs w:val="20"/>
                <w:lang w:val="en-CA"/>
              </w:rPr>
              <w:t>85</w:t>
            </w:r>
          </w:p>
        </w:tc>
      </w:tr>
      <w:tr w:rsidR="00720BA7" w:rsidRPr="00C20600" w14:paraId="3C0C11A5" w14:textId="77777777" w:rsidTr="00D75337">
        <w:trPr>
          <w:trHeight w:val="49"/>
        </w:trPr>
        <w:tc>
          <w:tcPr>
            <w:tcW w:w="1181" w:type="pct"/>
            <w:tcBorders>
              <w:top w:val="nil"/>
              <w:left w:val="single" w:sz="4" w:space="0" w:color="auto"/>
              <w:bottom w:val="single" w:sz="4" w:space="0" w:color="auto"/>
              <w:right w:val="single" w:sz="4" w:space="0" w:color="auto"/>
            </w:tcBorders>
            <w:shd w:val="clear" w:color="auto" w:fill="auto"/>
            <w:vAlign w:val="center"/>
            <w:hideMark/>
          </w:tcPr>
          <w:p w14:paraId="076ACD84" w14:textId="77777777" w:rsidR="00720BA7" w:rsidRPr="006F1183" w:rsidRDefault="00720BA7" w:rsidP="00720BA7">
            <w:pPr>
              <w:jc w:val="left"/>
              <w:rPr>
                <w:sz w:val="20"/>
                <w:szCs w:val="20"/>
                <w:lang w:val="en-CA" w:eastAsia="zh-CN"/>
              </w:rPr>
            </w:pPr>
            <w:r w:rsidRPr="006F1183">
              <w:rPr>
                <w:sz w:val="20"/>
                <w:szCs w:val="20"/>
                <w:lang w:val="fr-FR" w:eastAsia="zh-CN"/>
              </w:rPr>
              <w:t>HCFC-142b</w:t>
            </w:r>
          </w:p>
        </w:tc>
        <w:tc>
          <w:tcPr>
            <w:tcW w:w="662"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275AF99A" w14:textId="77777777" w:rsidR="00720BA7" w:rsidRPr="00C20600" w:rsidRDefault="00720BA7" w:rsidP="00720BA7">
            <w:pPr>
              <w:jc w:val="right"/>
              <w:rPr>
                <w:color w:val="000000"/>
                <w:sz w:val="20"/>
                <w:szCs w:val="20"/>
                <w:lang w:val="en-CA"/>
              </w:rPr>
            </w:pPr>
            <w:r w:rsidRPr="00C20600">
              <w:rPr>
                <w:color w:val="000000"/>
                <w:sz w:val="20"/>
                <w:szCs w:val="20"/>
                <w:lang w:val="en-CA"/>
              </w:rPr>
              <w:t>6</w:t>
            </w:r>
            <w:r>
              <w:rPr>
                <w:color w:val="000000"/>
                <w:sz w:val="20"/>
                <w:szCs w:val="20"/>
                <w:lang w:val="en-CA"/>
              </w:rPr>
              <w:t>,</w:t>
            </w:r>
            <w:r w:rsidRPr="00C20600">
              <w:rPr>
                <w:color w:val="000000"/>
                <w:sz w:val="20"/>
                <w:szCs w:val="20"/>
                <w:lang w:val="en-CA"/>
              </w:rPr>
              <w:t>50</w:t>
            </w:r>
          </w:p>
        </w:tc>
        <w:tc>
          <w:tcPr>
            <w:tcW w:w="616" w:type="pct"/>
            <w:tcBorders>
              <w:top w:val="nil"/>
              <w:left w:val="nil"/>
              <w:bottom w:val="single" w:sz="4" w:space="0" w:color="auto"/>
              <w:right w:val="single" w:sz="4" w:space="0" w:color="auto"/>
            </w:tcBorders>
            <w:shd w:val="clear" w:color="auto" w:fill="auto"/>
            <w:noWrap/>
            <w:tcMar>
              <w:left w:w="115" w:type="dxa"/>
              <w:right w:w="173" w:type="dxa"/>
            </w:tcMar>
            <w:hideMark/>
          </w:tcPr>
          <w:p w14:paraId="682648B5" w14:textId="77777777" w:rsidR="00720BA7" w:rsidRPr="00C20600" w:rsidRDefault="00720BA7" w:rsidP="00720BA7">
            <w:pPr>
              <w:jc w:val="right"/>
              <w:rPr>
                <w:color w:val="000000"/>
                <w:sz w:val="20"/>
                <w:szCs w:val="20"/>
                <w:lang w:val="en-CA"/>
              </w:rPr>
            </w:pPr>
            <w:r w:rsidRPr="00C20600">
              <w:rPr>
                <w:color w:val="000000"/>
                <w:sz w:val="20"/>
                <w:szCs w:val="20"/>
                <w:lang w:val="en-CA"/>
              </w:rPr>
              <w:t>6</w:t>
            </w:r>
            <w:r>
              <w:rPr>
                <w:color w:val="000000"/>
                <w:sz w:val="20"/>
                <w:szCs w:val="20"/>
                <w:lang w:val="en-CA"/>
              </w:rPr>
              <w:t>,</w:t>
            </w:r>
            <w:r w:rsidRPr="00C20600">
              <w:rPr>
                <w:color w:val="000000"/>
                <w:sz w:val="20"/>
                <w:szCs w:val="20"/>
                <w:lang w:val="en-CA"/>
              </w:rPr>
              <w:t>50</w:t>
            </w:r>
          </w:p>
        </w:tc>
        <w:tc>
          <w:tcPr>
            <w:tcW w:w="615" w:type="pct"/>
            <w:tcBorders>
              <w:top w:val="nil"/>
              <w:left w:val="nil"/>
              <w:bottom w:val="single" w:sz="4" w:space="0" w:color="auto"/>
              <w:right w:val="single" w:sz="4" w:space="0" w:color="auto"/>
            </w:tcBorders>
            <w:shd w:val="clear" w:color="auto" w:fill="auto"/>
            <w:noWrap/>
            <w:tcMar>
              <w:left w:w="115" w:type="dxa"/>
              <w:right w:w="173" w:type="dxa"/>
            </w:tcMar>
            <w:hideMark/>
          </w:tcPr>
          <w:p w14:paraId="1FC037B3" w14:textId="77777777" w:rsidR="00720BA7" w:rsidRPr="00C20600" w:rsidRDefault="00720BA7" w:rsidP="00720BA7">
            <w:pPr>
              <w:jc w:val="right"/>
              <w:rPr>
                <w:color w:val="000000"/>
                <w:sz w:val="20"/>
                <w:szCs w:val="20"/>
                <w:lang w:val="en-CA"/>
              </w:rPr>
            </w:pPr>
            <w:r w:rsidRPr="00C20600">
              <w:rPr>
                <w:color w:val="000000"/>
                <w:sz w:val="20"/>
                <w:szCs w:val="20"/>
                <w:lang w:val="en-CA"/>
              </w:rPr>
              <w:t>5</w:t>
            </w:r>
            <w:r>
              <w:rPr>
                <w:color w:val="000000"/>
                <w:sz w:val="20"/>
                <w:szCs w:val="20"/>
                <w:lang w:val="en-CA"/>
              </w:rPr>
              <w:t>,</w:t>
            </w:r>
            <w:r w:rsidRPr="00C20600">
              <w:rPr>
                <w:color w:val="000000"/>
                <w:sz w:val="20"/>
                <w:szCs w:val="20"/>
                <w:lang w:val="en-CA"/>
              </w:rPr>
              <w:t>85</w:t>
            </w:r>
          </w:p>
        </w:tc>
        <w:tc>
          <w:tcPr>
            <w:tcW w:w="628" w:type="pct"/>
            <w:tcBorders>
              <w:top w:val="nil"/>
              <w:left w:val="nil"/>
              <w:bottom w:val="single" w:sz="4" w:space="0" w:color="auto"/>
              <w:right w:val="single" w:sz="4" w:space="0" w:color="auto"/>
            </w:tcBorders>
            <w:shd w:val="clear" w:color="auto" w:fill="auto"/>
            <w:noWrap/>
            <w:tcMar>
              <w:left w:w="115" w:type="dxa"/>
              <w:right w:w="173" w:type="dxa"/>
            </w:tcMar>
            <w:hideMark/>
          </w:tcPr>
          <w:p w14:paraId="2C258FBE" w14:textId="77777777" w:rsidR="00720BA7" w:rsidRPr="00C20600" w:rsidRDefault="00720BA7" w:rsidP="00720BA7">
            <w:pPr>
              <w:jc w:val="right"/>
              <w:rPr>
                <w:color w:val="000000"/>
                <w:sz w:val="20"/>
                <w:szCs w:val="20"/>
                <w:lang w:val="en-CA"/>
              </w:rPr>
            </w:pPr>
            <w:r w:rsidRPr="00C20600">
              <w:rPr>
                <w:color w:val="000000"/>
                <w:sz w:val="20"/>
                <w:szCs w:val="20"/>
                <w:lang w:val="en-CA"/>
              </w:rPr>
              <w:t>5</w:t>
            </w:r>
            <w:r>
              <w:rPr>
                <w:color w:val="000000"/>
                <w:sz w:val="20"/>
                <w:szCs w:val="20"/>
                <w:lang w:val="en-CA"/>
              </w:rPr>
              <w:t>,</w:t>
            </w:r>
            <w:r w:rsidRPr="00C20600">
              <w:rPr>
                <w:color w:val="000000"/>
                <w:sz w:val="20"/>
                <w:szCs w:val="20"/>
                <w:lang w:val="en-CA"/>
              </w:rPr>
              <w:t>85</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14:paraId="38082AF7" w14:textId="77777777" w:rsidR="00720BA7" w:rsidRPr="00C20600" w:rsidRDefault="00720BA7" w:rsidP="00720BA7">
            <w:pPr>
              <w:jc w:val="right"/>
              <w:rPr>
                <w:color w:val="000000"/>
                <w:sz w:val="20"/>
                <w:szCs w:val="20"/>
                <w:lang w:val="en-CA"/>
              </w:rPr>
            </w:pPr>
            <w:r w:rsidRPr="00C20600">
              <w:rPr>
                <w:color w:val="000000"/>
                <w:sz w:val="20"/>
                <w:szCs w:val="20"/>
                <w:lang w:val="en-CA"/>
              </w:rPr>
              <w:t>5</w:t>
            </w:r>
            <w:r>
              <w:rPr>
                <w:color w:val="000000"/>
                <w:sz w:val="20"/>
                <w:szCs w:val="20"/>
                <w:lang w:val="en-CA"/>
              </w:rPr>
              <w:t>,</w:t>
            </w:r>
            <w:r w:rsidRPr="00C20600">
              <w:rPr>
                <w:color w:val="000000"/>
                <w:sz w:val="20"/>
                <w:szCs w:val="20"/>
                <w:lang w:val="en-CA"/>
              </w:rPr>
              <w:t>85</w:t>
            </w:r>
          </w:p>
        </w:tc>
        <w:tc>
          <w:tcPr>
            <w:tcW w:w="647" w:type="pct"/>
            <w:tcBorders>
              <w:top w:val="nil"/>
              <w:left w:val="single" w:sz="4" w:space="0" w:color="auto"/>
              <w:bottom w:val="single" w:sz="4" w:space="0" w:color="auto"/>
              <w:right w:val="single" w:sz="4" w:space="0" w:color="auto"/>
            </w:tcBorders>
            <w:shd w:val="clear" w:color="auto" w:fill="auto"/>
            <w:tcMar>
              <w:left w:w="115" w:type="dxa"/>
              <w:right w:w="173" w:type="dxa"/>
            </w:tcMar>
          </w:tcPr>
          <w:p w14:paraId="2C650F63" w14:textId="77777777" w:rsidR="00720BA7" w:rsidRPr="00C20600" w:rsidRDefault="00720BA7" w:rsidP="00720BA7">
            <w:pPr>
              <w:jc w:val="right"/>
              <w:rPr>
                <w:color w:val="000000"/>
                <w:sz w:val="20"/>
                <w:szCs w:val="20"/>
                <w:lang w:val="en-CA"/>
              </w:rPr>
            </w:pPr>
            <w:r w:rsidRPr="00C20600">
              <w:rPr>
                <w:color w:val="000000"/>
                <w:sz w:val="20"/>
                <w:szCs w:val="20"/>
                <w:lang w:val="en-CA"/>
              </w:rPr>
              <w:t>4</w:t>
            </w:r>
            <w:r>
              <w:rPr>
                <w:color w:val="000000"/>
                <w:sz w:val="20"/>
                <w:szCs w:val="20"/>
                <w:lang w:val="en-CA"/>
              </w:rPr>
              <w:t>,</w:t>
            </w:r>
            <w:r w:rsidRPr="00C20600">
              <w:rPr>
                <w:color w:val="000000"/>
                <w:sz w:val="20"/>
                <w:szCs w:val="20"/>
                <w:lang w:val="en-CA"/>
              </w:rPr>
              <w:t>23</w:t>
            </w:r>
          </w:p>
        </w:tc>
      </w:tr>
      <w:tr w:rsidR="00720BA7" w:rsidRPr="00C20600" w14:paraId="2F8EE847" w14:textId="77777777" w:rsidTr="00D75337">
        <w:trPr>
          <w:trHeight w:val="49"/>
        </w:trPr>
        <w:tc>
          <w:tcPr>
            <w:tcW w:w="1181" w:type="pct"/>
            <w:tcBorders>
              <w:top w:val="nil"/>
              <w:left w:val="single" w:sz="4" w:space="0" w:color="auto"/>
              <w:bottom w:val="single" w:sz="4" w:space="0" w:color="auto"/>
              <w:right w:val="single" w:sz="4" w:space="0" w:color="auto"/>
            </w:tcBorders>
            <w:shd w:val="clear" w:color="auto" w:fill="auto"/>
            <w:noWrap/>
            <w:vAlign w:val="center"/>
            <w:hideMark/>
          </w:tcPr>
          <w:p w14:paraId="360DC820" w14:textId="77777777" w:rsidR="00720BA7" w:rsidRPr="006F1183" w:rsidRDefault="00720BA7" w:rsidP="00720BA7">
            <w:pPr>
              <w:jc w:val="left"/>
              <w:rPr>
                <w:b/>
                <w:color w:val="000000"/>
                <w:sz w:val="20"/>
                <w:szCs w:val="20"/>
                <w:lang w:val="en-CA" w:eastAsia="zh-CN"/>
              </w:rPr>
            </w:pPr>
            <w:r w:rsidRPr="006F1183">
              <w:rPr>
                <w:b/>
                <w:color w:val="000000"/>
                <w:sz w:val="20"/>
                <w:szCs w:val="20"/>
                <w:lang w:val="fr-FR" w:eastAsia="zh-CN"/>
              </w:rPr>
              <w:t>Total tonnes PAO</w:t>
            </w:r>
          </w:p>
        </w:tc>
        <w:tc>
          <w:tcPr>
            <w:tcW w:w="662" w:type="pct"/>
            <w:tcBorders>
              <w:top w:val="nil"/>
              <w:left w:val="single" w:sz="4" w:space="0" w:color="auto"/>
              <w:bottom w:val="single" w:sz="4" w:space="0" w:color="auto"/>
              <w:right w:val="single" w:sz="4" w:space="0" w:color="auto"/>
            </w:tcBorders>
            <w:shd w:val="clear" w:color="auto" w:fill="auto"/>
            <w:noWrap/>
            <w:tcMar>
              <w:left w:w="115" w:type="dxa"/>
              <w:right w:w="173" w:type="dxa"/>
            </w:tcMar>
            <w:hideMark/>
          </w:tcPr>
          <w:p w14:paraId="49C33DA7" w14:textId="77777777" w:rsidR="00720BA7" w:rsidRPr="00C20600" w:rsidRDefault="00720BA7" w:rsidP="00720BA7">
            <w:pPr>
              <w:jc w:val="right"/>
              <w:rPr>
                <w:color w:val="000000"/>
                <w:sz w:val="20"/>
                <w:szCs w:val="20"/>
                <w:lang w:val="en-CA"/>
              </w:rPr>
            </w:pPr>
            <w:r w:rsidRPr="00C20600">
              <w:rPr>
                <w:color w:val="000000"/>
                <w:sz w:val="20"/>
                <w:szCs w:val="20"/>
                <w:lang w:val="en-CA"/>
              </w:rPr>
              <w:t>1</w:t>
            </w:r>
            <w:r>
              <w:rPr>
                <w:color w:val="000000"/>
                <w:sz w:val="20"/>
                <w:szCs w:val="20"/>
                <w:lang w:val="en-CA"/>
              </w:rPr>
              <w:t> </w:t>
            </w:r>
            <w:r w:rsidRPr="00C20600">
              <w:rPr>
                <w:color w:val="000000"/>
                <w:sz w:val="20"/>
                <w:szCs w:val="20"/>
                <w:lang w:val="en-CA"/>
              </w:rPr>
              <w:t>981</w:t>
            </w:r>
            <w:r>
              <w:rPr>
                <w:color w:val="000000"/>
                <w:sz w:val="20"/>
                <w:szCs w:val="20"/>
                <w:lang w:val="en-CA"/>
              </w:rPr>
              <w:t>,</w:t>
            </w:r>
            <w:r w:rsidRPr="00C20600">
              <w:rPr>
                <w:color w:val="000000"/>
                <w:sz w:val="20"/>
                <w:szCs w:val="20"/>
                <w:lang w:val="en-CA"/>
              </w:rPr>
              <w:t>70</w:t>
            </w:r>
          </w:p>
        </w:tc>
        <w:tc>
          <w:tcPr>
            <w:tcW w:w="616" w:type="pct"/>
            <w:tcBorders>
              <w:top w:val="nil"/>
              <w:left w:val="nil"/>
              <w:bottom w:val="single" w:sz="4" w:space="0" w:color="auto"/>
              <w:right w:val="single" w:sz="4" w:space="0" w:color="auto"/>
            </w:tcBorders>
            <w:shd w:val="clear" w:color="auto" w:fill="auto"/>
            <w:noWrap/>
            <w:tcMar>
              <w:left w:w="115" w:type="dxa"/>
              <w:right w:w="173" w:type="dxa"/>
            </w:tcMar>
            <w:hideMark/>
          </w:tcPr>
          <w:p w14:paraId="62211B30" w14:textId="77777777" w:rsidR="00720BA7" w:rsidRPr="00C20600" w:rsidRDefault="00720BA7" w:rsidP="00720BA7">
            <w:pPr>
              <w:jc w:val="right"/>
              <w:rPr>
                <w:color w:val="000000"/>
                <w:sz w:val="20"/>
                <w:szCs w:val="20"/>
                <w:lang w:val="en-CA"/>
              </w:rPr>
            </w:pPr>
            <w:r w:rsidRPr="00C20600">
              <w:rPr>
                <w:color w:val="000000"/>
                <w:sz w:val="20"/>
                <w:szCs w:val="20"/>
                <w:lang w:val="en-CA"/>
              </w:rPr>
              <w:t>2</w:t>
            </w:r>
            <w:r>
              <w:rPr>
                <w:color w:val="000000"/>
                <w:sz w:val="20"/>
                <w:szCs w:val="20"/>
                <w:lang w:val="en-CA"/>
              </w:rPr>
              <w:t> </w:t>
            </w:r>
            <w:r w:rsidRPr="00C20600">
              <w:rPr>
                <w:color w:val="000000"/>
                <w:sz w:val="20"/>
                <w:szCs w:val="20"/>
                <w:lang w:val="en-CA"/>
              </w:rPr>
              <w:t>082</w:t>
            </w:r>
            <w:r>
              <w:rPr>
                <w:color w:val="000000"/>
                <w:sz w:val="20"/>
                <w:szCs w:val="20"/>
                <w:lang w:val="en-CA"/>
              </w:rPr>
              <w:t>,</w:t>
            </w:r>
            <w:r w:rsidRPr="00C20600">
              <w:rPr>
                <w:color w:val="000000"/>
                <w:sz w:val="20"/>
                <w:szCs w:val="20"/>
                <w:lang w:val="en-CA"/>
              </w:rPr>
              <w:t>09</w:t>
            </w:r>
          </w:p>
        </w:tc>
        <w:tc>
          <w:tcPr>
            <w:tcW w:w="615" w:type="pct"/>
            <w:tcBorders>
              <w:top w:val="nil"/>
              <w:left w:val="nil"/>
              <w:bottom w:val="single" w:sz="4" w:space="0" w:color="auto"/>
              <w:right w:val="single" w:sz="4" w:space="0" w:color="auto"/>
            </w:tcBorders>
            <w:shd w:val="clear" w:color="auto" w:fill="auto"/>
            <w:noWrap/>
            <w:tcMar>
              <w:left w:w="115" w:type="dxa"/>
              <w:right w:w="173" w:type="dxa"/>
            </w:tcMar>
            <w:hideMark/>
          </w:tcPr>
          <w:p w14:paraId="2B1CF361" w14:textId="77777777" w:rsidR="00720BA7" w:rsidRPr="00C20600" w:rsidRDefault="00720BA7" w:rsidP="00720BA7">
            <w:pPr>
              <w:jc w:val="right"/>
              <w:rPr>
                <w:color w:val="000000"/>
                <w:sz w:val="20"/>
                <w:szCs w:val="20"/>
                <w:lang w:val="en-CA"/>
              </w:rPr>
            </w:pPr>
            <w:r w:rsidRPr="00C20600">
              <w:rPr>
                <w:color w:val="000000"/>
                <w:sz w:val="20"/>
                <w:szCs w:val="20"/>
                <w:lang w:val="en-CA"/>
              </w:rPr>
              <w:t>2</w:t>
            </w:r>
            <w:r>
              <w:rPr>
                <w:color w:val="000000"/>
                <w:sz w:val="20"/>
                <w:szCs w:val="20"/>
                <w:lang w:val="en-CA"/>
              </w:rPr>
              <w:t> </w:t>
            </w:r>
            <w:r w:rsidRPr="00C20600">
              <w:rPr>
                <w:color w:val="000000"/>
                <w:sz w:val="20"/>
                <w:szCs w:val="20"/>
                <w:lang w:val="en-CA"/>
              </w:rPr>
              <w:t>081</w:t>
            </w:r>
            <w:r>
              <w:rPr>
                <w:color w:val="000000"/>
                <w:sz w:val="20"/>
                <w:szCs w:val="20"/>
                <w:lang w:val="en-CA"/>
              </w:rPr>
              <w:t>,</w:t>
            </w:r>
            <w:r w:rsidRPr="00C20600">
              <w:rPr>
                <w:color w:val="000000"/>
                <w:sz w:val="20"/>
                <w:szCs w:val="20"/>
                <w:lang w:val="en-CA"/>
              </w:rPr>
              <w:t>23</w:t>
            </w:r>
          </w:p>
        </w:tc>
        <w:tc>
          <w:tcPr>
            <w:tcW w:w="628" w:type="pct"/>
            <w:tcBorders>
              <w:top w:val="nil"/>
              <w:left w:val="nil"/>
              <w:bottom w:val="single" w:sz="4" w:space="0" w:color="auto"/>
              <w:right w:val="single" w:sz="4" w:space="0" w:color="auto"/>
            </w:tcBorders>
            <w:shd w:val="clear" w:color="auto" w:fill="auto"/>
            <w:noWrap/>
            <w:tcMar>
              <w:left w:w="115" w:type="dxa"/>
              <w:right w:w="173" w:type="dxa"/>
            </w:tcMar>
            <w:hideMark/>
          </w:tcPr>
          <w:p w14:paraId="10B19C25" w14:textId="77777777" w:rsidR="00720BA7" w:rsidRPr="00C20600" w:rsidRDefault="00720BA7" w:rsidP="00720BA7">
            <w:pPr>
              <w:jc w:val="right"/>
              <w:rPr>
                <w:color w:val="000000"/>
                <w:sz w:val="20"/>
                <w:szCs w:val="20"/>
                <w:lang w:val="en-CA"/>
              </w:rPr>
            </w:pPr>
            <w:r w:rsidRPr="00C20600">
              <w:rPr>
                <w:color w:val="000000"/>
                <w:sz w:val="20"/>
                <w:szCs w:val="20"/>
                <w:lang w:val="en-CA"/>
              </w:rPr>
              <w:t>1</w:t>
            </w:r>
            <w:r>
              <w:rPr>
                <w:color w:val="000000"/>
                <w:sz w:val="20"/>
                <w:szCs w:val="20"/>
                <w:lang w:val="en-CA"/>
              </w:rPr>
              <w:t> </w:t>
            </w:r>
            <w:r w:rsidRPr="00C20600">
              <w:rPr>
                <w:color w:val="000000"/>
                <w:sz w:val="20"/>
                <w:szCs w:val="20"/>
                <w:lang w:val="en-CA"/>
              </w:rPr>
              <w:t>996</w:t>
            </w:r>
            <w:r>
              <w:rPr>
                <w:color w:val="000000"/>
                <w:sz w:val="20"/>
                <w:szCs w:val="20"/>
                <w:lang w:val="en-CA"/>
              </w:rPr>
              <w:t>,</w:t>
            </w:r>
            <w:r w:rsidRPr="00C20600">
              <w:rPr>
                <w:color w:val="000000"/>
                <w:sz w:val="20"/>
                <w:szCs w:val="20"/>
                <w:lang w:val="en-CA"/>
              </w:rPr>
              <w:t>91</w:t>
            </w:r>
          </w:p>
        </w:tc>
        <w:tc>
          <w:tcPr>
            <w:tcW w:w="650" w:type="pct"/>
            <w:tcBorders>
              <w:top w:val="nil"/>
              <w:left w:val="nil"/>
              <w:bottom w:val="single" w:sz="4" w:space="0" w:color="auto"/>
              <w:right w:val="single" w:sz="4" w:space="0" w:color="auto"/>
            </w:tcBorders>
            <w:shd w:val="clear" w:color="auto" w:fill="auto"/>
            <w:noWrap/>
            <w:tcMar>
              <w:left w:w="115" w:type="dxa"/>
              <w:right w:w="173" w:type="dxa"/>
            </w:tcMar>
            <w:hideMark/>
          </w:tcPr>
          <w:p w14:paraId="08BFEAFF" w14:textId="77777777" w:rsidR="00720BA7" w:rsidRPr="00C20600" w:rsidRDefault="00720BA7" w:rsidP="00720BA7">
            <w:pPr>
              <w:jc w:val="right"/>
              <w:rPr>
                <w:color w:val="000000"/>
                <w:sz w:val="20"/>
                <w:szCs w:val="20"/>
                <w:lang w:val="en-CA"/>
              </w:rPr>
            </w:pPr>
            <w:r w:rsidRPr="00C20600">
              <w:rPr>
                <w:color w:val="000000"/>
                <w:sz w:val="20"/>
                <w:szCs w:val="20"/>
                <w:lang w:val="en-CA"/>
              </w:rPr>
              <w:t>1</w:t>
            </w:r>
            <w:r>
              <w:rPr>
                <w:color w:val="000000"/>
                <w:sz w:val="20"/>
                <w:szCs w:val="20"/>
                <w:lang w:val="en-CA"/>
              </w:rPr>
              <w:t> </w:t>
            </w:r>
            <w:r w:rsidRPr="00C20600">
              <w:rPr>
                <w:color w:val="000000"/>
                <w:sz w:val="20"/>
                <w:szCs w:val="20"/>
                <w:lang w:val="en-CA"/>
              </w:rPr>
              <w:t>996</w:t>
            </w:r>
            <w:r>
              <w:rPr>
                <w:color w:val="000000"/>
                <w:sz w:val="20"/>
                <w:szCs w:val="20"/>
                <w:lang w:val="en-CA"/>
              </w:rPr>
              <w:t>,</w:t>
            </w:r>
            <w:r w:rsidRPr="00C20600">
              <w:rPr>
                <w:color w:val="000000"/>
                <w:sz w:val="20"/>
                <w:szCs w:val="20"/>
                <w:lang w:val="en-CA"/>
              </w:rPr>
              <w:t>91</w:t>
            </w:r>
          </w:p>
        </w:tc>
        <w:tc>
          <w:tcPr>
            <w:tcW w:w="647" w:type="pct"/>
            <w:tcBorders>
              <w:top w:val="nil"/>
              <w:left w:val="single" w:sz="4" w:space="0" w:color="auto"/>
              <w:bottom w:val="single" w:sz="4" w:space="0" w:color="auto"/>
              <w:right w:val="single" w:sz="4" w:space="0" w:color="auto"/>
            </w:tcBorders>
            <w:shd w:val="clear" w:color="auto" w:fill="auto"/>
            <w:tcMar>
              <w:left w:w="115" w:type="dxa"/>
              <w:right w:w="173" w:type="dxa"/>
            </w:tcMar>
          </w:tcPr>
          <w:p w14:paraId="45A6EAEA" w14:textId="77777777" w:rsidR="00720BA7" w:rsidRPr="00C20600" w:rsidRDefault="00720BA7" w:rsidP="00720BA7">
            <w:pPr>
              <w:jc w:val="right"/>
              <w:rPr>
                <w:color w:val="000000"/>
                <w:sz w:val="20"/>
                <w:szCs w:val="20"/>
                <w:lang w:val="en-CA"/>
              </w:rPr>
            </w:pPr>
            <w:r w:rsidRPr="00C20600">
              <w:rPr>
                <w:sz w:val="20"/>
                <w:szCs w:val="20"/>
                <w:lang w:val="en-CA"/>
              </w:rPr>
              <w:t>2</w:t>
            </w:r>
            <w:r>
              <w:rPr>
                <w:sz w:val="20"/>
                <w:szCs w:val="20"/>
                <w:lang w:val="en-CA"/>
              </w:rPr>
              <w:t> </w:t>
            </w:r>
            <w:r w:rsidRPr="00C20600">
              <w:rPr>
                <w:sz w:val="20"/>
                <w:szCs w:val="20"/>
                <w:lang w:val="en-CA"/>
              </w:rPr>
              <w:t>402</w:t>
            </w:r>
            <w:r>
              <w:rPr>
                <w:sz w:val="20"/>
                <w:szCs w:val="20"/>
                <w:lang w:val="en-CA"/>
              </w:rPr>
              <w:t>,</w:t>
            </w:r>
            <w:r w:rsidRPr="00C20600">
              <w:rPr>
                <w:sz w:val="20"/>
                <w:szCs w:val="20"/>
                <w:lang w:val="en-CA"/>
              </w:rPr>
              <w:t>79</w:t>
            </w:r>
          </w:p>
        </w:tc>
      </w:tr>
    </w:tbl>
    <w:p w14:paraId="1871BA65" w14:textId="77777777" w:rsidR="00720BA7" w:rsidRPr="00720BA7" w:rsidRDefault="00720BA7" w:rsidP="00720BA7">
      <w:pPr>
        <w:rPr>
          <w:sz w:val="18"/>
          <w:szCs w:val="18"/>
          <w:lang w:val="fr-CA"/>
        </w:rPr>
      </w:pPr>
      <w:r w:rsidRPr="006F1183">
        <w:rPr>
          <w:sz w:val="18"/>
          <w:szCs w:val="18"/>
          <w:lang w:val="fr-FR"/>
        </w:rPr>
        <w:t>* Communiqué dans la proposition de projet.</w:t>
      </w:r>
    </w:p>
    <w:p w14:paraId="5E087CEC" w14:textId="05291F17" w:rsidR="00720BA7" w:rsidRPr="00720BA7" w:rsidRDefault="00720BA7" w:rsidP="00720BA7">
      <w:pPr>
        <w:rPr>
          <w:sz w:val="18"/>
          <w:szCs w:val="18"/>
          <w:lang w:val="fr-CA"/>
        </w:rPr>
      </w:pPr>
      <w:r w:rsidRPr="006F1183">
        <w:rPr>
          <w:sz w:val="18"/>
          <w:szCs w:val="18"/>
          <w:lang w:val="fr-FR"/>
        </w:rPr>
        <w:t xml:space="preserve">** Objectifs indiqués à la ligne 1.3.1 de </w:t>
      </w:r>
      <w:r w:rsidR="00D75337">
        <w:rPr>
          <w:sz w:val="18"/>
          <w:szCs w:val="18"/>
          <w:lang w:val="fr-FR"/>
        </w:rPr>
        <w:t>l’</w:t>
      </w:r>
      <w:r w:rsidRPr="006F1183">
        <w:rPr>
          <w:sz w:val="18"/>
          <w:szCs w:val="18"/>
          <w:lang w:val="fr-FR"/>
        </w:rPr>
        <w:t>Appendice 2-A de l</w:t>
      </w:r>
      <w:r>
        <w:rPr>
          <w:sz w:val="18"/>
          <w:szCs w:val="18"/>
          <w:lang w:val="fr-FR"/>
        </w:rPr>
        <w:t>’</w:t>
      </w:r>
      <w:r w:rsidRPr="006F1183">
        <w:rPr>
          <w:sz w:val="18"/>
          <w:szCs w:val="18"/>
          <w:lang w:val="fr-FR"/>
        </w:rPr>
        <w:t>accord conclu avec le Comité exécutif.</w:t>
      </w:r>
    </w:p>
    <w:p w14:paraId="06AD4779" w14:textId="77777777" w:rsidR="00720BA7" w:rsidRPr="00720BA7" w:rsidRDefault="00720BA7" w:rsidP="00720BA7">
      <w:pPr>
        <w:rPr>
          <w:lang w:val="fr-CA"/>
        </w:rPr>
      </w:pPr>
    </w:p>
    <w:p w14:paraId="409BA959" w14:textId="77777777" w:rsidR="00720BA7" w:rsidRPr="00720BA7" w:rsidRDefault="00720BA7" w:rsidP="00720BA7">
      <w:pPr>
        <w:pStyle w:val="Heading1"/>
        <w:rPr>
          <w:lang w:val="fr-CA"/>
        </w:rPr>
      </w:pPr>
      <w:r w:rsidRPr="006F1183">
        <w:rPr>
          <w:lang w:val="fr-FR"/>
        </w:rPr>
        <w:t>La mise en œuvre des activités comprises dans le PGEH, tout particulièrement la reconversion des capacités de fabrication utilisant du HCFC-22 et l</w:t>
      </w:r>
      <w:r>
        <w:rPr>
          <w:lang w:val="fr-FR"/>
        </w:rPr>
        <w:t>’</w:t>
      </w:r>
      <w:r w:rsidRPr="006F1183">
        <w:rPr>
          <w:lang w:val="fr-FR"/>
        </w:rPr>
        <w:t xml:space="preserve">application des </w:t>
      </w:r>
      <w:r>
        <w:rPr>
          <w:lang w:val="fr-FR"/>
        </w:rPr>
        <w:t>systèmes d’</w:t>
      </w:r>
      <w:r w:rsidRPr="006F1183">
        <w:rPr>
          <w:lang w:val="fr-FR"/>
        </w:rPr>
        <w:t>autorisations et de quotas, ont empêché l</w:t>
      </w:r>
      <w:r>
        <w:rPr>
          <w:lang w:val="fr-FR"/>
        </w:rPr>
        <w:t>’</w:t>
      </w:r>
      <w:r w:rsidRPr="006F1183">
        <w:rPr>
          <w:lang w:val="fr-FR"/>
        </w:rPr>
        <w:t>augmentation de la consommation de HCFC.</w:t>
      </w:r>
      <w:r w:rsidRPr="00720BA7">
        <w:rPr>
          <w:lang w:val="fr-CA"/>
        </w:rPr>
        <w:t xml:space="preserve"> </w:t>
      </w:r>
      <w:r w:rsidRPr="006F1183">
        <w:rPr>
          <w:lang w:val="fr-FR"/>
        </w:rPr>
        <w:t>En 2019, la consommation de HCFC de 1 996,91 tonnes PAO, représentait 83 pour cent de la valeur de référence du secteur de la réfrigération industrielle et commerciale.</w:t>
      </w:r>
      <w:r w:rsidRPr="00720BA7">
        <w:rPr>
          <w:lang w:val="fr-CA"/>
        </w:rPr>
        <w:t xml:space="preserve"> </w:t>
      </w:r>
    </w:p>
    <w:p w14:paraId="2EBCA49C" w14:textId="77777777" w:rsidR="00720BA7" w:rsidRPr="00720BA7" w:rsidRDefault="00720BA7" w:rsidP="00720BA7">
      <w:pPr>
        <w:pStyle w:val="Heading1"/>
        <w:keepNext/>
        <w:keepLines/>
        <w:widowControl w:val="0"/>
        <w:numPr>
          <w:ilvl w:val="0"/>
          <w:numId w:val="0"/>
        </w:numPr>
        <w:rPr>
          <w:b/>
          <w:lang w:val="fr-CA"/>
        </w:rPr>
      </w:pPr>
      <w:r w:rsidRPr="006F1183">
        <w:rPr>
          <w:b/>
          <w:lang w:val="fr-FR"/>
        </w:rPr>
        <w:t>Phase II révisé</w:t>
      </w:r>
      <w:r>
        <w:rPr>
          <w:b/>
          <w:lang w:val="fr-FR"/>
        </w:rPr>
        <w:t>e</w:t>
      </w:r>
      <w:r w:rsidRPr="006F1183">
        <w:rPr>
          <w:b/>
          <w:lang w:val="fr-FR"/>
        </w:rPr>
        <w:t xml:space="preserve"> et pro</w:t>
      </w:r>
      <w:r>
        <w:rPr>
          <w:b/>
          <w:lang w:val="fr-FR"/>
        </w:rPr>
        <w:t>longée</w:t>
      </w:r>
      <w:r w:rsidRPr="006F1183">
        <w:rPr>
          <w:b/>
          <w:lang w:val="fr-FR"/>
        </w:rPr>
        <w:t xml:space="preserve"> du secteur </w:t>
      </w:r>
      <w:r>
        <w:rPr>
          <w:b/>
          <w:lang w:val="fr-FR"/>
        </w:rPr>
        <w:t>ICR</w:t>
      </w:r>
    </w:p>
    <w:p w14:paraId="1603B005" w14:textId="77777777" w:rsidR="00720BA7" w:rsidRPr="0096738E" w:rsidRDefault="00720BA7" w:rsidP="00720BA7">
      <w:pPr>
        <w:pStyle w:val="Heading1"/>
        <w:keepNext/>
        <w:keepLines/>
        <w:widowControl w:val="0"/>
        <w:numPr>
          <w:ilvl w:val="0"/>
          <w:numId w:val="0"/>
        </w:numPr>
        <w:rPr>
          <w:u w:val="single"/>
          <w:lang w:val="en-CA"/>
        </w:rPr>
      </w:pPr>
      <w:r w:rsidRPr="0096738E">
        <w:rPr>
          <w:u w:val="single"/>
          <w:lang w:val="fr-FR"/>
        </w:rPr>
        <w:t>Stratégie d</w:t>
      </w:r>
      <w:r>
        <w:rPr>
          <w:u w:val="single"/>
          <w:lang w:val="fr-FR"/>
        </w:rPr>
        <w:t>’</w:t>
      </w:r>
      <w:r w:rsidRPr="0096738E">
        <w:rPr>
          <w:u w:val="single"/>
          <w:lang w:val="fr-FR"/>
        </w:rPr>
        <w:t>élimination</w:t>
      </w:r>
    </w:p>
    <w:p w14:paraId="26845DE6" w14:textId="77777777" w:rsidR="00720BA7" w:rsidRPr="00720BA7" w:rsidRDefault="00720BA7" w:rsidP="00720BA7">
      <w:pPr>
        <w:pStyle w:val="Heading1"/>
        <w:keepNext/>
        <w:keepLines/>
        <w:widowControl w:val="0"/>
        <w:rPr>
          <w:lang w:val="fr-CA"/>
        </w:rPr>
      </w:pPr>
      <w:r w:rsidRPr="0096738E">
        <w:rPr>
          <w:lang w:val="fr-FR"/>
        </w:rPr>
        <w:t>La phase II révisée et prolongée du plan du secteur de la réfrigération industrielle et commerciale sera mise en œuvre de 2021 à 2026 en vue de réduire 15 225,28 tm (828,99 tonnes PAO) de consommation de HCFC et parvenir à 67,5 pour cent de réduction de la valeur de référence de ce secteur d</w:t>
      </w:r>
      <w:r>
        <w:rPr>
          <w:lang w:val="fr-FR"/>
        </w:rPr>
        <w:t>’</w:t>
      </w:r>
      <w:r w:rsidRPr="0096738E">
        <w:rPr>
          <w:lang w:val="fr-FR"/>
        </w:rPr>
        <w:t>ici 2025. La réduction sera réalisée grâce à la reconversion des chaînes de fabrication, des activités d</w:t>
      </w:r>
      <w:r>
        <w:rPr>
          <w:lang w:val="fr-FR"/>
        </w:rPr>
        <w:t>’</w:t>
      </w:r>
      <w:r w:rsidRPr="0096738E">
        <w:rPr>
          <w:lang w:val="fr-FR"/>
        </w:rPr>
        <w:t>assistance technique et des mesures politiques.</w:t>
      </w:r>
      <w:r w:rsidRPr="00720BA7">
        <w:rPr>
          <w:lang w:val="fr-CA"/>
        </w:rPr>
        <w:t xml:space="preserve"> </w:t>
      </w:r>
      <w:r w:rsidRPr="0096738E">
        <w:rPr>
          <w:lang w:val="fr-FR"/>
        </w:rPr>
        <w:t>Les objectifs de consommation pour la période 2020-2026 et la réduction exprimée en pourcentage par rapport à la valeur de référence sont indiqués au tableau 2</w:t>
      </w:r>
      <w:r>
        <w:rPr>
          <w:lang w:val="fr-FR"/>
        </w:rPr>
        <w:t> </w:t>
      </w:r>
      <w:r w:rsidRPr="0096738E">
        <w:rPr>
          <w:lang w:val="fr-FR"/>
        </w:rPr>
        <w:t>:</w:t>
      </w:r>
    </w:p>
    <w:p w14:paraId="3F130F3B" w14:textId="77777777" w:rsidR="00720BA7" w:rsidRPr="00720BA7" w:rsidRDefault="00720BA7" w:rsidP="00720BA7">
      <w:pPr>
        <w:rPr>
          <w:b/>
          <w:lang w:val="fr-CA"/>
        </w:rPr>
      </w:pPr>
      <w:r w:rsidRPr="0096738E">
        <w:rPr>
          <w:b/>
          <w:lang w:val="fr-FR"/>
        </w:rPr>
        <w:t>Tableau 2</w:t>
      </w:r>
      <w:r>
        <w:rPr>
          <w:b/>
          <w:lang w:val="fr-FR"/>
        </w:rPr>
        <w:t>.</w:t>
      </w:r>
      <w:r w:rsidRPr="0096738E">
        <w:rPr>
          <w:b/>
          <w:lang w:val="fr-FR"/>
        </w:rPr>
        <w:t xml:space="preserve"> Objectifs</w:t>
      </w:r>
      <w:r>
        <w:rPr>
          <w:b/>
          <w:lang w:val="fr-FR"/>
        </w:rPr>
        <w:t xml:space="preserve"> </w:t>
      </w:r>
      <w:r w:rsidRPr="0096738E">
        <w:rPr>
          <w:b/>
          <w:lang w:val="fr-FR"/>
        </w:rPr>
        <w:t xml:space="preserve">de consommation de maximum de HCFC de 2020 à 2026 pour le secteur </w:t>
      </w:r>
      <w:r>
        <w:rPr>
          <w:b/>
          <w:lang w:val="fr-FR"/>
        </w:rPr>
        <w:t>ICR</w:t>
      </w:r>
      <w:r w:rsidRPr="0096738E">
        <w:rPr>
          <w:b/>
          <w:lang w:val="fr-FR"/>
        </w:rPr>
        <w:t xml:space="preserve"> (tm)</w:t>
      </w:r>
    </w:p>
    <w:tbl>
      <w:tblPr>
        <w:tblW w:w="5000" w:type="pct"/>
        <w:tblLayout w:type="fixed"/>
        <w:tblLook w:val="04A0" w:firstRow="1" w:lastRow="0" w:firstColumn="1" w:lastColumn="0" w:noHBand="0" w:noVBand="1"/>
      </w:tblPr>
      <w:tblGrid>
        <w:gridCol w:w="1866"/>
        <w:gridCol w:w="935"/>
        <w:gridCol w:w="937"/>
        <w:gridCol w:w="935"/>
        <w:gridCol w:w="937"/>
        <w:gridCol w:w="935"/>
        <w:gridCol w:w="937"/>
        <w:gridCol w:w="935"/>
        <w:gridCol w:w="933"/>
      </w:tblGrid>
      <w:tr w:rsidR="00720BA7" w:rsidRPr="00C20600" w14:paraId="66B0EFA6" w14:textId="77777777" w:rsidTr="00720BA7">
        <w:tc>
          <w:tcPr>
            <w:tcW w:w="998"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93C19A2" w14:textId="77777777" w:rsidR="00720BA7" w:rsidRPr="0096738E" w:rsidRDefault="00720BA7" w:rsidP="00720BA7">
            <w:pPr>
              <w:jc w:val="left"/>
              <w:rPr>
                <w:b/>
                <w:color w:val="000000" w:themeColor="text1"/>
                <w:sz w:val="20"/>
                <w:szCs w:val="20"/>
                <w:lang w:val="en-CA" w:eastAsia="zh-CN"/>
              </w:rPr>
            </w:pPr>
            <w:r w:rsidRPr="0096738E">
              <w:rPr>
                <w:b/>
                <w:color w:val="000000" w:themeColor="text1"/>
                <w:sz w:val="20"/>
                <w:szCs w:val="20"/>
                <w:lang w:val="fr-FR" w:eastAsia="zh-CN"/>
              </w:rPr>
              <w:t>Substances</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1B03577"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2020</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FFFF95D"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2021</w:t>
            </w:r>
          </w:p>
        </w:tc>
        <w:tc>
          <w:tcPr>
            <w:tcW w:w="50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A0E243F"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2022</w:t>
            </w:r>
          </w:p>
        </w:tc>
        <w:tc>
          <w:tcPr>
            <w:tcW w:w="50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B917F52"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2023</w:t>
            </w:r>
          </w:p>
        </w:tc>
        <w:tc>
          <w:tcPr>
            <w:tcW w:w="500"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7CE3EFC"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2024</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E532D5B"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2025</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7FFAD6F" w14:textId="77777777" w:rsidR="00720BA7" w:rsidRPr="00C20600" w:rsidRDefault="00720BA7" w:rsidP="00720BA7">
            <w:pPr>
              <w:jc w:val="center"/>
              <w:rPr>
                <w:b/>
                <w:color w:val="000000"/>
                <w:sz w:val="20"/>
                <w:szCs w:val="20"/>
                <w:lang w:val="en-CA" w:eastAsia="zh-CN"/>
              </w:rPr>
            </w:pPr>
            <w:r w:rsidRPr="00C20600">
              <w:rPr>
                <w:b/>
                <w:color w:val="000000" w:themeColor="text1"/>
                <w:sz w:val="20"/>
                <w:szCs w:val="20"/>
                <w:lang w:val="en-CA" w:eastAsia="zh-CN"/>
              </w:rPr>
              <w:t>2026</w:t>
            </w:r>
          </w:p>
        </w:tc>
        <w:tc>
          <w:tcPr>
            <w:tcW w:w="50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AD7010" w14:textId="77777777" w:rsidR="00720BA7" w:rsidRPr="0096738E" w:rsidRDefault="00720BA7" w:rsidP="00720BA7">
            <w:pPr>
              <w:jc w:val="center"/>
              <w:rPr>
                <w:b/>
                <w:color w:val="000000" w:themeColor="text1"/>
                <w:sz w:val="20"/>
                <w:szCs w:val="20"/>
                <w:lang w:val="en-CA" w:eastAsia="zh-CN"/>
              </w:rPr>
            </w:pPr>
            <w:r w:rsidRPr="0096738E">
              <w:rPr>
                <w:b/>
                <w:color w:val="000000" w:themeColor="text1"/>
                <w:sz w:val="20"/>
                <w:szCs w:val="20"/>
                <w:lang w:val="fr-FR" w:eastAsia="zh-CN"/>
              </w:rPr>
              <w:t>Réduction (tm)</w:t>
            </w:r>
          </w:p>
        </w:tc>
      </w:tr>
      <w:tr w:rsidR="00720BA7" w:rsidRPr="00C20600" w14:paraId="633F5E3D" w14:textId="77777777" w:rsidTr="00720BA7">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CE6AB57" w14:textId="77777777" w:rsidR="00720BA7" w:rsidRPr="0096738E" w:rsidRDefault="00720BA7" w:rsidP="00720BA7">
            <w:pPr>
              <w:jc w:val="left"/>
              <w:rPr>
                <w:sz w:val="20"/>
                <w:szCs w:val="20"/>
                <w:lang w:val="en-CA" w:eastAsia="zh-CN"/>
              </w:rPr>
            </w:pPr>
            <w:r w:rsidRPr="0096738E">
              <w:rPr>
                <w:sz w:val="20"/>
                <w:szCs w:val="20"/>
                <w:lang w:val="fr-FR" w:eastAsia="zh-CN"/>
              </w:rPr>
              <w:t>HCFC-22</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0" w:type="dxa"/>
              <w:right w:w="58" w:type="dxa"/>
            </w:tcMar>
            <w:hideMark/>
          </w:tcPr>
          <w:p w14:paraId="284801FF" w14:textId="77777777" w:rsidR="00720BA7" w:rsidRPr="00C20600" w:rsidRDefault="00720BA7" w:rsidP="00720BA7">
            <w:pPr>
              <w:jc w:val="right"/>
              <w:rPr>
                <w:sz w:val="20"/>
                <w:szCs w:val="20"/>
                <w:lang w:val="en-CA" w:eastAsia="zh-CN"/>
              </w:rPr>
            </w:pPr>
            <w:r w:rsidRPr="00C20600">
              <w:rPr>
                <w:color w:val="000000"/>
                <w:sz w:val="20"/>
                <w:szCs w:val="20"/>
                <w:lang w:val="en-CA"/>
              </w:rPr>
              <w:t>28</w:t>
            </w:r>
            <w:r>
              <w:rPr>
                <w:color w:val="000000"/>
                <w:sz w:val="20"/>
                <w:szCs w:val="20"/>
                <w:lang w:val="en-CA"/>
              </w:rPr>
              <w:t> </w:t>
            </w:r>
            <w:r w:rsidRPr="00C20600">
              <w:rPr>
                <w:color w:val="000000"/>
                <w:sz w:val="20"/>
                <w:szCs w:val="20"/>
                <w:lang w:val="en-CA"/>
              </w:rPr>
              <w:t>997</w:t>
            </w:r>
            <w:r>
              <w:rPr>
                <w:color w:val="000000"/>
                <w:sz w:val="20"/>
                <w:szCs w:val="20"/>
                <w:lang w:val="en-CA"/>
              </w:rPr>
              <w:t>,</w:t>
            </w:r>
            <w:r w:rsidRPr="00C20600">
              <w:rPr>
                <w:color w:val="000000"/>
                <w:sz w:val="20"/>
                <w:szCs w:val="20"/>
                <w:lang w:val="en-CA"/>
              </w:rPr>
              <w:t>73</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6D8161DC" w14:textId="77777777" w:rsidR="00720BA7" w:rsidRPr="00C20600" w:rsidRDefault="00720BA7" w:rsidP="00720BA7">
            <w:pPr>
              <w:jc w:val="right"/>
              <w:rPr>
                <w:sz w:val="20"/>
                <w:szCs w:val="20"/>
                <w:lang w:val="en-CA"/>
              </w:rPr>
            </w:pPr>
            <w:r w:rsidRPr="00C20600">
              <w:rPr>
                <w:color w:val="000000"/>
                <w:sz w:val="20"/>
                <w:szCs w:val="20"/>
                <w:lang w:val="en-CA"/>
              </w:rPr>
              <w:t>28</w:t>
            </w:r>
            <w:r>
              <w:rPr>
                <w:color w:val="000000"/>
                <w:sz w:val="20"/>
                <w:szCs w:val="20"/>
                <w:lang w:val="en-CA"/>
              </w:rPr>
              <w:t> </w:t>
            </w:r>
            <w:r w:rsidRPr="00C20600">
              <w:rPr>
                <w:color w:val="000000"/>
                <w:sz w:val="20"/>
                <w:szCs w:val="20"/>
                <w:lang w:val="en-CA"/>
              </w:rPr>
              <w:t>997</w:t>
            </w:r>
            <w:r>
              <w:rPr>
                <w:color w:val="000000"/>
                <w:sz w:val="20"/>
                <w:szCs w:val="20"/>
                <w:lang w:val="en-CA"/>
              </w:rPr>
              <w:t>,</w:t>
            </w:r>
            <w:r w:rsidRPr="00C20600">
              <w:rPr>
                <w:color w:val="000000"/>
                <w:sz w:val="20"/>
                <w:szCs w:val="20"/>
                <w:lang w:val="en-CA"/>
              </w:rPr>
              <w:t>73</w:t>
            </w:r>
          </w:p>
        </w:tc>
        <w:tc>
          <w:tcPr>
            <w:tcW w:w="500"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1794270A" w14:textId="77777777" w:rsidR="00720BA7" w:rsidRPr="00C20600" w:rsidRDefault="00720BA7" w:rsidP="00720BA7">
            <w:pPr>
              <w:jc w:val="right"/>
              <w:rPr>
                <w:sz w:val="20"/>
                <w:szCs w:val="20"/>
                <w:lang w:val="en-CA"/>
              </w:rPr>
            </w:pPr>
            <w:r w:rsidRPr="00C20600">
              <w:rPr>
                <w:color w:val="000000"/>
                <w:sz w:val="20"/>
                <w:szCs w:val="20"/>
                <w:lang w:val="en-CA"/>
              </w:rPr>
              <w:t>28</w:t>
            </w:r>
            <w:r>
              <w:rPr>
                <w:color w:val="000000"/>
                <w:sz w:val="20"/>
                <w:szCs w:val="20"/>
                <w:lang w:val="en-CA"/>
              </w:rPr>
              <w:t> </w:t>
            </w:r>
            <w:r w:rsidRPr="00C20600">
              <w:rPr>
                <w:color w:val="000000"/>
                <w:sz w:val="20"/>
                <w:szCs w:val="20"/>
                <w:lang w:val="en-CA"/>
              </w:rPr>
              <w:t>997</w:t>
            </w:r>
            <w:r>
              <w:rPr>
                <w:color w:val="000000"/>
                <w:sz w:val="20"/>
                <w:szCs w:val="20"/>
                <w:lang w:val="en-CA"/>
              </w:rPr>
              <w:t>,</w:t>
            </w:r>
            <w:r w:rsidRPr="00C20600">
              <w:rPr>
                <w:color w:val="000000"/>
                <w:sz w:val="20"/>
                <w:szCs w:val="20"/>
                <w:lang w:val="en-CA"/>
              </w:rPr>
              <w:t>73</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29AA76B0" w14:textId="77777777" w:rsidR="00720BA7" w:rsidRPr="00C20600" w:rsidRDefault="00720BA7" w:rsidP="00720BA7">
            <w:pPr>
              <w:jc w:val="right"/>
              <w:rPr>
                <w:sz w:val="20"/>
                <w:szCs w:val="20"/>
                <w:lang w:val="en-CA"/>
              </w:rPr>
            </w:pPr>
            <w:r w:rsidRPr="00C20600">
              <w:rPr>
                <w:color w:val="000000"/>
                <w:sz w:val="20"/>
                <w:szCs w:val="20"/>
                <w:lang w:val="en-CA"/>
              </w:rPr>
              <w:t>24</w:t>
            </w:r>
            <w:r>
              <w:rPr>
                <w:color w:val="000000"/>
                <w:sz w:val="20"/>
                <w:szCs w:val="20"/>
                <w:lang w:val="en-CA"/>
              </w:rPr>
              <w:t> </w:t>
            </w:r>
            <w:r w:rsidRPr="00C20600">
              <w:rPr>
                <w:color w:val="000000"/>
                <w:sz w:val="20"/>
                <w:szCs w:val="20"/>
                <w:lang w:val="en-CA"/>
              </w:rPr>
              <w:t>666</w:t>
            </w:r>
            <w:r>
              <w:rPr>
                <w:color w:val="000000"/>
                <w:sz w:val="20"/>
                <w:szCs w:val="20"/>
                <w:lang w:val="en-CA"/>
              </w:rPr>
              <w:t>,</w:t>
            </w:r>
            <w:r w:rsidRPr="00C20600">
              <w:rPr>
                <w:color w:val="000000"/>
                <w:sz w:val="20"/>
                <w:szCs w:val="20"/>
                <w:lang w:val="en-CA"/>
              </w:rPr>
              <w:t>27</w:t>
            </w:r>
          </w:p>
        </w:tc>
        <w:tc>
          <w:tcPr>
            <w:tcW w:w="500"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0B97FF6E" w14:textId="77777777" w:rsidR="00720BA7" w:rsidRPr="00C20600" w:rsidRDefault="00720BA7" w:rsidP="00720BA7">
            <w:pPr>
              <w:jc w:val="right"/>
              <w:rPr>
                <w:sz w:val="20"/>
                <w:szCs w:val="20"/>
                <w:lang w:val="en-CA"/>
              </w:rPr>
            </w:pPr>
            <w:r w:rsidRPr="00C20600">
              <w:rPr>
                <w:color w:val="000000"/>
                <w:sz w:val="20"/>
                <w:szCs w:val="20"/>
                <w:lang w:val="en-CA"/>
              </w:rPr>
              <w:t>24</w:t>
            </w:r>
            <w:r>
              <w:rPr>
                <w:color w:val="000000"/>
                <w:sz w:val="20"/>
                <w:szCs w:val="20"/>
                <w:lang w:val="en-CA"/>
              </w:rPr>
              <w:t> </w:t>
            </w:r>
            <w:r w:rsidRPr="00C20600">
              <w:rPr>
                <w:color w:val="000000"/>
                <w:sz w:val="20"/>
                <w:szCs w:val="20"/>
                <w:lang w:val="en-CA"/>
              </w:rPr>
              <w:t>666</w:t>
            </w:r>
            <w:r>
              <w:rPr>
                <w:color w:val="000000"/>
                <w:sz w:val="20"/>
                <w:szCs w:val="20"/>
                <w:lang w:val="en-CA"/>
              </w:rPr>
              <w:t>,</w:t>
            </w:r>
            <w:r w:rsidRPr="00C20600">
              <w:rPr>
                <w:color w:val="000000"/>
                <w:sz w:val="20"/>
                <w:szCs w:val="20"/>
                <w:lang w:val="en-CA"/>
              </w:rPr>
              <w:t>27</w:t>
            </w:r>
          </w:p>
        </w:tc>
        <w:tc>
          <w:tcPr>
            <w:tcW w:w="501" w:type="pct"/>
            <w:tcBorders>
              <w:top w:val="single" w:sz="4" w:space="0" w:color="auto"/>
              <w:left w:val="nil"/>
              <w:bottom w:val="single" w:sz="4" w:space="0" w:color="auto"/>
              <w:right w:val="single" w:sz="4" w:space="0" w:color="auto"/>
            </w:tcBorders>
            <w:shd w:val="clear" w:color="auto" w:fill="auto"/>
            <w:tcMar>
              <w:left w:w="0" w:type="dxa"/>
              <w:right w:w="58" w:type="dxa"/>
            </w:tcMar>
            <w:hideMark/>
          </w:tcPr>
          <w:p w14:paraId="612EC8FE" w14:textId="77777777" w:rsidR="00720BA7" w:rsidRPr="00C20600" w:rsidRDefault="00720BA7" w:rsidP="00720BA7">
            <w:pPr>
              <w:jc w:val="right"/>
              <w:rPr>
                <w:sz w:val="20"/>
                <w:szCs w:val="20"/>
                <w:lang w:val="en-CA" w:eastAsia="zh-CN"/>
              </w:rPr>
            </w:pPr>
            <w:r w:rsidRPr="00C20600">
              <w:rPr>
                <w:color w:val="000000"/>
                <w:sz w:val="20"/>
                <w:szCs w:val="20"/>
                <w:lang w:val="en-CA"/>
              </w:rPr>
              <w:t>14</w:t>
            </w:r>
            <w:r>
              <w:rPr>
                <w:color w:val="000000"/>
                <w:sz w:val="20"/>
                <w:szCs w:val="20"/>
                <w:lang w:val="en-CA"/>
              </w:rPr>
              <w:t> </w:t>
            </w:r>
            <w:r w:rsidRPr="00C20600">
              <w:rPr>
                <w:color w:val="000000"/>
                <w:sz w:val="20"/>
                <w:szCs w:val="20"/>
                <w:lang w:val="en-CA"/>
              </w:rPr>
              <w:t>066</w:t>
            </w:r>
            <w:r>
              <w:rPr>
                <w:color w:val="000000"/>
                <w:sz w:val="20"/>
                <w:szCs w:val="20"/>
                <w:lang w:val="en-CA"/>
              </w:rPr>
              <w:t>,</w:t>
            </w:r>
            <w:r w:rsidRPr="00C20600">
              <w:rPr>
                <w:color w:val="000000"/>
                <w:sz w:val="20"/>
                <w:szCs w:val="20"/>
                <w:lang w:val="en-CA"/>
              </w:rPr>
              <w:t>45</w:t>
            </w:r>
          </w:p>
        </w:tc>
        <w:tc>
          <w:tcPr>
            <w:tcW w:w="500" w:type="pct"/>
            <w:tcBorders>
              <w:top w:val="single" w:sz="4" w:space="0" w:color="auto"/>
              <w:left w:val="nil"/>
              <w:bottom w:val="single" w:sz="4" w:space="0" w:color="auto"/>
              <w:right w:val="single" w:sz="4" w:space="0" w:color="auto"/>
            </w:tcBorders>
            <w:shd w:val="clear" w:color="auto" w:fill="auto"/>
            <w:noWrap/>
            <w:tcMar>
              <w:left w:w="0" w:type="dxa"/>
              <w:right w:w="58" w:type="dxa"/>
            </w:tcMar>
            <w:hideMark/>
          </w:tcPr>
          <w:p w14:paraId="5AE1B4A7" w14:textId="77777777" w:rsidR="00720BA7" w:rsidRPr="00C20600" w:rsidRDefault="00720BA7" w:rsidP="00720BA7">
            <w:pPr>
              <w:jc w:val="right"/>
              <w:rPr>
                <w:sz w:val="20"/>
                <w:szCs w:val="20"/>
                <w:lang w:val="en-CA" w:eastAsia="zh-CN"/>
              </w:rPr>
            </w:pPr>
            <w:r w:rsidRPr="00C20600">
              <w:rPr>
                <w:color w:val="000000"/>
                <w:sz w:val="20"/>
                <w:szCs w:val="20"/>
                <w:lang w:val="en-CA"/>
              </w:rPr>
              <w:t>14</w:t>
            </w:r>
            <w:r>
              <w:rPr>
                <w:color w:val="000000"/>
                <w:sz w:val="20"/>
                <w:szCs w:val="20"/>
                <w:lang w:val="en-CA"/>
              </w:rPr>
              <w:t> </w:t>
            </w:r>
            <w:r w:rsidRPr="00C20600">
              <w:rPr>
                <w:color w:val="000000"/>
                <w:sz w:val="20"/>
                <w:szCs w:val="20"/>
                <w:lang w:val="en-CA"/>
              </w:rPr>
              <w:t>066</w:t>
            </w:r>
            <w:r>
              <w:rPr>
                <w:color w:val="000000"/>
                <w:sz w:val="20"/>
                <w:szCs w:val="20"/>
                <w:lang w:val="en-CA"/>
              </w:rPr>
              <w:t>,</w:t>
            </w:r>
            <w:r w:rsidRPr="00C20600">
              <w:rPr>
                <w:color w:val="000000"/>
                <w:sz w:val="20"/>
                <w:szCs w:val="20"/>
                <w:lang w:val="en-CA"/>
              </w:rPr>
              <w:t>45</w:t>
            </w:r>
          </w:p>
        </w:tc>
        <w:tc>
          <w:tcPr>
            <w:tcW w:w="501" w:type="pct"/>
            <w:tcBorders>
              <w:top w:val="single" w:sz="4" w:space="0" w:color="auto"/>
              <w:left w:val="nil"/>
              <w:bottom w:val="single" w:sz="4" w:space="0" w:color="auto"/>
              <w:right w:val="single" w:sz="4" w:space="0" w:color="auto"/>
            </w:tcBorders>
            <w:shd w:val="clear" w:color="auto" w:fill="auto"/>
            <w:noWrap/>
            <w:tcMar>
              <w:left w:w="0" w:type="dxa"/>
              <w:right w:w="58" w:type="dxa"/>
            </w:tcMar>
            <w:hideMark/>
          </w:tcPr>
          <w:p w14:paraId="1FDC5897" w14:textId="77777777" w:rsidR="00720BA7" w:rsidRPr="00C20600" w:rsidRDefault="00720BA7" w:rsidP="00720BA7">
            <w:pPr>
              <w:jc w:val="right"/>
              <w:rPr>
                <w:sz w:val="20"/>
                <w:szCs w:val="20"/>
                <w:lang w:val="en-CA" w:eastAsia="zh-CN"/>
              </w:rPr>
            </w:pPr>
            <w:r w:rsidRPr="00C20600">
              <w:rPr>
                <w:color w:val="000000"/>
                <w:sz w:val="20"/>
                <w:szCs w:val="20"/>
                <w:lang w:val="en-CA"/>
              </w:rPr>
              <w:t>14</w:t>
            </w:r>
            <w:r>
              <w:rPr>
                <w:color w:val="000000"/>
                <w:sz w:val="20"/>
                <w:szCs w:val="20"/>
                <w:lang w:val="en-CA"/>
              </w:rPr>
              <w:t> </w:t>
            </w:r>
            <w:r w:rsidRPr="00C20600">
              <w:rPr>
                <w:color w:val="000000"/>
                <w:sz w:val="20"/>
                <w:szCs w:val="20"/>
                <w:lang w:val="en-CA"/>
              </w:rPr>
              <w:t>931</w:t>
            </w:r>
            <w:r>
              <w:rPr>
                <w:color w:val="000000"/>
                <w:sz w:val="20"/>
                <w:szCs w:val="20"/>
                <w:lang w:val="en-CA"/>
              </w:rPr>
              <w:t>,</w:t>
            </w:r>
            <w:r w:rsidRPr="00C20600">
              <w:rPr>
                <w:color w:val="000000"/>
                <w:sz w:val="20"/>
                <w:szCs w:val="20"/>
                <w:lang w:val="en-CA"/>
              </w:rPr>
              <w:t>28</w:t>
            </w:r>
          </w:p>
        </w:tc>
      </w:tr>
      <w:tr w:rsidR="00720BA7" w:rsidRPr="00C20600" w14:paraId="5C173889" w14:textId="77777777" w:rsidTr="00720BA7">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110F2BA5" w14:textId="77777777" w:rsidR="00720BA7" w:rsidRPr="0096738E" w:rsidRDefault="00720BA7" w:rsidP="00720BA7">
            <w:pPr>
              <w:jc w:val="left"/>
              <w:rPr>
                <w:color w:val="000000" w:themeColor="text1"/>
                <w:sz w:val="20"/>
                <w:szCs w:val="20"/>
                <w:lang w:val="en-CA" w:eastAsia="zh-CN"/>
              </w:rPr>
            </w:pPr>
            <w:r w:rsidRPr="0096738E">
              <w:rPr>
                <w:color w:val="000000" w:themeColor="text1"/>
                <w:sz w:val="20"/>
                <w:szCs w:val="20"/>
                <w:lang w:val="fr-FR" w:eastAsia="zh-CN"/>
              </w:rPr>
              <w:t>HCFC-123</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14:paraId="0E0A187C"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540</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345A01B9"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540</w:t>
            </w:r>
            <w:r>
              <w:rPr>
                <w:color w:val="000000"/>
                <w:sz w:val="20"/>
                <w:szCs w:val="20"/>
                <w:lang w:val="en-CA"/>
              </w:rPr>
              <w:t>,</w:t>
            </w:r>
            <w:r w:rsidRPr="00C20600">
              <w:rPr>
                <w:color w:val="000000"/>
                <w:sz w:val="20"/>
                <w:szCs w:val="20"/>
                <w:lang w:val="en-CA"/>
              </w:rPr>
              <w:t>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7C00E447"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540</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49428256"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470</w:t>
            </w:r>
            <w:r>
              <w:rPr>
                <w:color w:val="000000"/>
                <w:sz w:val="20"/>
                <w:szCs w:val="20"/>
                <w:lang w:val="en-CA"/>
              </w:rPr>
              <w:t>,</w:t>
            </w:r>
            <w:r w:rsidRPr="00C20600">
              <w:rPr>
                <w:color w:val="000000"/>
                <w:sz w:val="20"/>
                <w:szCs w:val="20"/>
                <w:lang w:val="en-CA"/>
              </w:rPr>
              <w:t>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178EF18A"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470</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61D4FBDE"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288</w:t>
            </w:r>
            <w:r>
              <w:rPr>
                <w:color w:val="000000"/>
                <w:sz w:val="20"/>
                <w:szCs w:val="20"/>
                <w:lang w:val="en-CA"/>
              </w:rPr>
              <w:t>,</w:t>
            </w:r>
            <w:r w:rsidRPr="00C20600">
              <w:rPr>
                <w:color w:val="000000"/>
                <w:sz w:val="20"/>
                <w:szCs w:val="20"/>
                <w:lang w:val="en-CA"/>
              </w:rPr>
              <w:t>00</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14:paraId="42CF7174"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288</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14:paraId="2B404802"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252</w:t>
            </w:r>
            <w:r>
              <w:rPr>
                <w:color w:val="000000"/>
                <w:sz w:val="20"/>
                <w:szCs w:val="20"/>
                <w:lang w:val="en-CA"/>
              </w:rPr>
              <w:t>,</w:t>
            </w:r>
            <w:r w:rsidRPr="00C20600">
              <w:rPr>
                <w:color w:val="000000"/>
                <w:sz w:val="20"/>
                <w:szCs w:val="20"/>
                <w:lang w:val="en-CA"/>
              </w:rPr>
              <w:t>00</w:t>
            </w:r>
          </w:p>
        </w:tc>
      </w:tr>
      <w:tr w:rsidR="00720BA7" w:rsidRPr="00C20600" w14:paraId="23C85EED" w14:textId="77777777" w:rsidTr="00720BA7">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1E0C860" w14:textId="77777777" w:rsidR="00720BA7" w:rsidRPr="0096738E" w:rsidRDefault="00720BA7" w:rsidP="00720BA7">
            <w:pPr>
              <w:jc w:val="left"/>
              <w:rPr>
                <w:color w:val="000000" w:themeColor="text1"/>
                <w:sz w:val="20"/>
                <w:szCs w:val="20"/>
                <w:lang w:val="en-CA" w:eastAsia="zh-CN"/>
              </w:rPr>
            </w:pPr>
            <w:r w:rsidRPr="0096738E">
              <w:rPr>
                <w:color w:val="000000" w:themeColor="text1"/>
                <w:sz w:val="20"/>
                <w:szCs w:val="20"/>
                <w:lang w:val="fr-FR" w:eastAsia="zh-CN"/>
              </w:rPr>
              <w:t>HCFC-142b</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14:paraId="2773ADDE"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65</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1BE1F0D3"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65</w:t>
            </w:r>
            <w:r>
              <w:rPr>
                <w:color w:val="000000"/>
                <w:sz w:val="20"/>
                <w:szCs w:val="20"/>
                <w:lang w:val="en-CA"/>
              </w:rPr>
              <w:t>,</w:t>
            </w:r>
            <w:r w:rsidRPr="00C20600">
              <w:rPr>
                <w:color w:val="000000"/>
                <w:sz w:val="20"/>
                <w:szCs w:val="20"/>
                <w:lang w:val="en-CA"/>
              </w:rPr>
              <w:t>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45E08A98"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65</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5231CF0C"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55</w:t>
            </w:r>
            <w:r>
              <w:rPr>
                <w:color w:val="000000"/>
                <w:sz w:val="20"/>
                <w:szCs w:val="20"/>
                <w:lang w:val="en-CA"/>
              </w:rPr>
              <w:t>,</w:t>
            </w:r>
            <w:r w:rsidRPr="00C20600">
              <w:rPr>
                <w:color w:val="000000"/>
                <w:sz w:val="20"/>
                <w:szCs w:val="20"/>
                <w:lang w:val="en-CA"/>
              </w:rPr>
              <w:t>00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5BE0D36D"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55</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5B1BF528"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23</w:t>
            </w:r>
            <w:r>
              <w:rPr>
                <w:color w:val="000000"/>
                <w:sz w:val="20"/>
                <w:szCs w:val="20"/>
                <w:lang w:val="en-CA"/>
              </w:rPr>
              <w:t>,</w:t>
            </w:r>
            <w:r w:rsidRPr="00C20600">
              <w:rPr>
                <w:color w:val="000000"/>
                <w:sz w:val="20"/>
                <w:szCs w:val="20"/>
                <w:lang w:val="en-CA"/>
              </w:rPr>
              <w:t>00</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14:paraId="5A98E356"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23</w:t>
            </w:r>
            <w:r>
              <w:rPr>
                <w:color w:val="000000"/>
                <w:sz w:val="20"/>
                <w:szCs w:val="20"/>
                <w:lang w:val="en-CA"/>
              </w:rPr>
              <w:t>,</w:t>
            </w:r>
            <w:r w:rsidRPr="00C20600">
              <w:rPr>
                <w:color w:val="000000"/>
                <w:sz w:val="20"/>
                <w:szCs w:val="20"/>
                <w:lang w:val="en-CA"/>
              </w:rPr>
              <w:t>00</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14:paraId="365631FC"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42</w:t>
            </w:r>
            <w:r>
              <w:rPr>
                <w:color w:val="000000"/>
                <w:sz w:val="20"/>
                <w:szCs w:val="20"/>
                <w:lang w:val="en-CA"/>
              </w:rPr>
              <w:t>,</w:t>
            </w:r>
            <w:r w:rsidRPr="00C20600">
              <w:rPr>
                <w:color w:val="000000"/>
                <w:sz w:val="20"/>
                <w:szCs w:val="20"/>
                <w:lang w:val="en-CA"/>
              </w:rPr>
              <w:t>00</w:t>
            </w:r>
          </w:p>
        </w:tc>
      </w:tr>
      <w:tr w:rsidR="00720BA7" w:rsidRPr="00C20600" w14:paraId="59B73A64" w14:textId="77777777" w:rsidTr="00720BA7">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58EE5D6C" w14:textId="77777777" w:rsidR="00720BA7" w:rsidRPr="0096738E" w:rsidRDefault="00720BA7" w:rsidP="00720BA7">
            <w:pPr>
              <w:jc w:val="left"/>
              <w:rPr>
                <w:color w:val="000000" w:themeColor="text1"/>
                <w:sz w:val="20"/>
                <w:szCs w:val="20"/>
                <w:lang w:val="en-CA" w:eastAsia="zh-CN"/>
              </w:rPr>
            </w:pPr>
            <w:r w:rsidRPr="0096738E">
              <w:rPr>
                <w:color w:val="000000" w:themeColor="text1"/>
                <w:sz w:val="20"/>
                <w:szCs w:val="20"/>
                <w:lang w:val="fr-FR" w:eastAsia="zh-CN"/>
              </w:rPr>
              <w:t>Total (tm)</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14:paraId="4B82E255"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29</w:t>
            </w:r>
            <w:r>
              <w:rPr>
                <w:color w:val="000000"/>
                <w:sz w:val="20"/>
                <w:szCs w:val="20"/>
                <w:lang w:val="en-CA"/>
              </w:rPr>
              <w:t> </w:t>
            </w:r>
            <w:r w:rsidRPr="00C20600">
              <w:rPr>
                <w:color w:val="000000"/>
                <w:sz w:val="20"/>
                <w:szCs w:val="20"/>
                <w:lang w:val="en-CA"/>
              </w:rPr>
              <w:t>602</w:t>
            </w:r>
            <w:r>
              <w:rPr>
                <w:color w:val="000000"/>
                <w:sz w:val="20"/>
                <w:szCs w:val="20"/>
                <w:lang w:val="en-CA"/>
              </w:rPr>
              <w:t>,</w:t>
            </w:r>
            <w:r w:rsidRPr="00C20600">
              <w:rPr>
                <w:color w:val="000000"/>
                <w:sz w:val="20"/>
                <w:szCs w:val="20"/>
                <w:lang w:val="en-CA"/>
              </w:rPr>
              <w:t>73</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7731B882"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29</w:t>
            </w:r>
            <w:r>
              <w:rPr>
                <w:color w:val="000000"/>
                <w:sz w:val="20"/>
                <w:szCs w:val="20"/>
                <w:lang w:val="en-CA"/>
              </w:rPr>
              <w:t> </w:t>
            </w:r>
            <w:r w:rsidRPr="00C20600">
              <w:rPr>
                <w:color w:val="000000"/>
                <w:sz w:val="20"/>
                <w:szCs w:val="20"/>
                <w:lang w:val="en-CA"/>
              </w:rPr>
              <w:t>602</w:t>
            </w:r>
            <w:r>
              <w:rPr>
                <w:color w:val="000000"/>
                <w:sz w:val="20"/>
                <w:szCs w:val="20"/>
                <w:lang w:val="en-CA"/>
              </w:rPr>
              <w:t>,</w:t>
            </w:r>
            <w:r w:rsidRPr="00C20600">
              <w:rPr>
                <w:color w:val="000000"/>
                <w:sz w:val="20"/>
                <w:szCs w:val="20"/>
                <w:lang w:val="en-CA"/>
              </w:rPr>
              <w:t>73</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49804711"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29</w:t>
            </w:r>
            <w:r>
              <w:rPr>
                <w:color w:val="000000"/>
                <w:sz w:val="20"/>
                <w:szCs w:val="20"/>
                <w:lang w:val="en-CA"/>
              </w:rPr>
              <w:t> </w:t>
            </w:r>
            <w:r w:rsidRPr="00C20600">
              <w:rPr>
                <w:color w:val="000000"/>
                <w:sz w:val="20"/>
                <w:szCs w:val="20"/>
                <w:lang w:val="en-CA"/>
              </w:rPr>
              <w:t>602</w:t>
            </w:r>
            <w:r>
              <w:rPr>
                <w:color w:val="000000"/>
                <w:sz w:val="20"/>
                <w:szCs w:val="20"/>
                <w:lang w:val="en-CA"/>
              </w:rPr>
              <w:t>,</w:t>
            </w:r>
            <w:r w:rsidRPr="00C20600">
              <w:rPr>
                <w:color w:val="000000"/>
                <w:sz w:val="20"/>
                <w:szCs w:val="20"/>
                <w:lang w:val="en-CA"/>
              </w:rPr>
              <w:t>73</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59332A1F"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25</w:t>
            </w:r>
            <w:r>
              <w:rPr>
                <w:color w:val="000000"/>
                <w:sz w:val="20"/>
                <w:szCs w:val="20"/>
                <w:lang w:val="en-CA"/>
              </w:rPr>
              <w:t> </w:t>
            </w:r>
            <w:r w:rsidRPr="00C20600">
              <w:rPr>
                <w:color w:val="000000"/>
                <w:sz w:val="20"/>
                <w:szCs w:val="20"/>
                <w:lang w:val="en-CA"/>
              </w:rPr>
              <w:t>191</w:t>
            </w:r>
            <w:r>
              <w:rPr>
                <w:color w:val="000000"/>
                <w:sz w:val="20"/>
                <w:szCs w:val="20"/>
                <w:lang w:val="en-CA"/>
              </w:rPr>
              <w:t>,</w:t>
            </w:r>
            <w:r w:rsidRPr="00C20600">
              <w:rPr>
                <w:color w:val="000000"/>
                <w:sz w:val="20"/>
                <w:szCs w:val="20"/>
                <w:lang w:val="en-CA"/>
              </w:rPr>
              <w:t>27</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1AE3C407"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25</w:t>
            </w:r>
            <w:r>
              <w:rPr>
                <w:color w:val="000000"/>
                <w:sz w:val="20"/>
                <w:szCs w:val="20"/>
                <w:lang w:val="en-CA"/>
              </w:rPr>
              <w:t> </w:t>
            </w:r>
            <w:r w:rsidRPr="00C20600">
              <w:rPr>
                <w:color w:val="000000"/>
                <w:sz w:val="20"/>
                <w:szCs w:val="20"/>
                <w:lang w:val="en-CA"/>
              </w:rPr>
              <w:t>191</w:t>
            </w:r>
            <w:r>
              <w:rPr>
                <w:color w:val="000000"/>
                <w:sz w:val="20"/>
                <w:szCs w:val="20"/>
                <w:lang w:val="en-CA"/>
              </w:rPr>
              <w:t>,</w:t>
            </w:r>
            <w:r w:rsidRPr="00C20600">
              <w:rPr>
                <w:color w:val="000000"/>
                <w:sz w:val="20"/>
                <w:szCs w:val="20"/>
                <w:lang w:val="en-CA"/>
              </w:rPr>
              <w:t>27</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2EE3EF13"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14</w:t>
            </w:r>
            <w:r>
              <w:rPr>
                <w:color w:val="000000"/>
                <w:sz w:val="20"/>
                <w:szCs w:val="20"/>
                <w:lang w:val="en-CA"/>
              </w:rPr>
              <w:t> </w:t>
            </w:r>
            <w:r w:rsidRPr="00C20600">
              <w:rPr>
                <w:color w:val="000000"/>
                <w:sz w:val="20"/>
                <w:szCs w:val="20"/>
                <w:lang w:val="en-CA"/>
              </w:rPr>
              <w:t>377</w:t>
            </w:r>
            <w:r>
              <w:rPr>
                <w:color w:val="000000"/>
                <w:sz w:val="20"/>
                <w:szCs w:val="20"/>
                <w:lang w:val="en-CA"/>
              </w:rPr>
              <w:t>,</w:t>
            </w:r>
            <w:r w:rsidRPr="00C20600">
              <w:rPr>
                <w:color w:val="000000"/>
                <w:sz w:val="20"/>
                <w:szCs w:val="20"/>
                <w:lang w:val="en-CA"/>
              </w:rPr>
              <w:t>45</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14:paraId="79577E05"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14</w:t>
            </w:r>
            <w:r>
              <w:rPr>
                <w:color w:val="000000"/>
                <w:sz w:val="20"/>
                <w:szCs w:val="20"/>
                <w:lang w:val="en-CA"/>
              </w:rPr>
              <w:t> </w:t>
            </w:r>
            <w:r w:rsidRPr="00C20600">
              <w:rPr>
                <w:color w:val="000000"/>
                <w:sz w:val="20"/>
                <w:szCs w:val="20"/>
                <w:lang w:val="en-CA"/>
              </w:rPr>
              <w:t>377</w:t>
            </w:r>
            <w:r>
              <w:rPr>
                <w:color w:val="000000"/>
                <w:sz w:val="20"/>
                <w:szCs w:val="20"/>
                <w:lang w:val="en-CA"/>
              </w:rPr>
              <w:t>,</w:t>
            </w:r>
            <w:r w:rsidRPr="00C20600">
              <w:rPr>
                <w:color w:val="000000"/>
                <w:sz w:val="20"/>
                <w:szCs w:val="20"/>
                <w:lang w:val="en-CA"/>
              </w:rPr>
              <w:t>45</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14:paraId="2C8A8904"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15</w:t>
            </w:r>
            <w:r>
              <w:rPr>
                <w:color w:val="000000"/>
                <w:sz w:val="20"/>
                <w:szCs w:val="20"/>
                <w:lang w:val="en-CA"/>
              </w:rPr>
              <w:t> </w:t>
            </w:r>
            <w:r w:rsidRPr="00C20600">
              <w:rPr>
                <w:color w:val="000000"/>
                <w:sz w:val="20"/>
                <w:szCs w:val="20"/>
                <w:lang w:val="en-CA"/>
              </w:rPr>
              <w:t>225</w:t>
            </w:r>
            <w:r>
              <w:rPr>
                <w:color w:val="000000"/>
                <w:sz w:val="20"/>
                <w:szCs w:val="20"/>
                <w:lang w:val="en-CA"/>
              </w:rPr>
              <w:t>,</w:t>
            </w:r>
            <w:r w:rsidRPr="00C20600">
              <w:rPr>
                <w:color w:val="000000"/>
                <w:sz w:val="20"/>
                <w:szCs w:val="20"/>
                <w:lang w:val="en-CA"/>
              </w:rPr>
              <w:t>28</w:t>
            </w:r>
          </w:p>
        </w:tc>
      </w:tr>
      <w:tr w:rsidR="00720BA7" w:rsidRPr="00C20600" w14:paraId="28AC3CF8" w14:textId="77777777" w:rsidTr="00720BA7">
        <w:tc>
          <w:tcPr>
            <w:tcW w:w="998" w:type="pct"/>
            <w:tcBorders>
              <w:top w:val="nil"/>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6547E34B" w14:textId="77777777" w:rsidR="00720BA7" w:rsidRPr="0096738E" w:rsidRDefault="00720BA7" w:rsidP="00720BA7">
            <w:pPr>
              <w:jc w:val="left"/>
              <w:rPr>
                <w:color w:val="000000" w:themeColor="text1"/>
                <w:sz w:val="20"/>
                <w:szCs w:val="20"/>
                <w:lang w:val="en-CA" w:eastAsia="zh-CN"/>
              </w:rPr>
            </w:pPr>
            <w:r w:rsidRPr="0096738E">
              <w:rPr>
                <w:color w:val="000000" w:themeColor="text1"/>
                <w:sz w:val="20"/>
                <w:szCs w:val="20"/>
                <w:lang w:val="fr-FR" w:eastAsia="zh-CN"/>
              </w:rPr>
              <w:t>Tonnes PAO</w:t>
            </w:r>
          </w:p>
        </w:tc>
        <w:tc>
          <w:tcPr>
            <w:tcW w:w="500" w:type="pct"/>
            <w:tcBorders>
              <w:top w:val="nil"/>
              <w:left w:val="single" w:sz="4" w:space="0" w:color="auto"/>
              <w:bottom w:val="single" w:sz="4" w:space="0" w:color="auto"/>
              <w:right w:val="single" w:sz="4" w:space="0" w:color="auto"/>
            </w:tcBorders>
            <w:shd w:val="clear" w:color="auto" w:fill="auto"/>
            <w:noWrap/>
            <w:tcMar>
              <w:left w:w="0" w:type="dxa"/>
              <w:right w:w="58" w:type="dxa"/>
            </w:tcMar>
            <w:hideMark/>
          </w:tcPr>
          <w:p w14:paraId="11E7B3B4"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w:t>
            </w:r>
            <w:r>
              <w:rPr>
                <w:color w:val="000000"/>
                <w:sz w:val="20"/>
                <w:szCs w:val="20"/>
                <w:lang w:val="en-CA"/>
              </w:rPr>
              <w:t> </w:t>
            </w:r>
            <w:r w:rsidRPr="00C20600">
              <w:rPr>
                <w:color w:val="000000"/>
                <w:sz w:val="20"/>
                <w:szCs w:val="20"/>
                <w:lang w:val="en-CA"/>
              </w:rPr>
              <w:t>609</w:t>
            </w:r>
            <w:r>
              <w:rPr>
                <w:color w:val="000000"/>
                <w:sz w:val="20"/>
                <w:szCs w:val="20"/>
                <w:lang w:val="en-CA"/>
              </w:rPr>
              <w:t>,</w:t>
            </w:r>
            <w:r w:rsidRPr="00C20600">
              <w:rPr>
                <w:color w:val="000000"/>
                <w:sz w:val="20"/>
                <w:szCs w:val="20"/>
                <w:lang w:val="en-CA"/>
              </w:rPr>
              <w:t>90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00E5B2BF"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w:t>
            </w:r>
            <w:r>
              <w:rPr>
                <w:color w:val="000000"/>
                <w:sz w:val="20"/>
                <w:szCs w:val="20"/>
                <w:lang w:val="en-CA"/>
              </w:rPr>
              <w:t> </w:t>
            </w:r>
            <w:r w:rsidRPr="00C20600">
              <w:rPr>
                <w:color w:val="000000"/>
                <w:sz w:val="20"/>
                <w:szCs w:val="20"/>
                <w:lang w:val="en-CA"/>
              </w:rPr>
              <w:t>609</w:t>
            </w:r>
            <w:r>
              <w:rPr>
                <w:color w:val="000000"/>
                <w:sz w:val="20"/>
                <w:szCs w:val="20"/>
                <w:lang w:val="en-CA"/>
              </w:rPr>
              <w:t>,</w:t>
            </w:r>
            <w:r w:rsidRPr="00C20600">
              <w:rPr>
                <w:color w:val="000000"/>
                <w:sz w:val="20"/>
                <w:szCs w:val="20"/>
                <w:lang w:val="en-CA"/>
              </w:rPr>
              <w:t>90</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0706FF44"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w:t>
            </w:r>
            <w:r>
              <w:rPr>
                <w:color w:val="000000"/>
                <w:sz w:val="20"/>
                <w:szCs w:val="20"/>
                <w:lang w:val="en-CA"/>
              </w:rPr>
              <w:t> </w:t>
            </w:r>
            <w:r w:rsidRPr="00C20600">
              <w:rPr>
                <w:color w:val="000000"/>
                <w:sz w:val="20"/>
                <w:szCs w:val="20"/>
                <w:lang w:val="en-CA"/>
              </w:rPr>
              <w:t>609</w:t>
            </w:r>
            <w:r>
              <w:rPr>
                <w:color w:val="000000"/>
                <w:sz w:val="20"/>
                <w:szCs w:val="20"/>
                <w:lang w:val="en-CA"/>
              </w:rPr>
              <w:t>,</w:t>
            </w:r>
            <w:r w:rsidRPr="00C20600">
              <w:rPr>
                <w:color w:val="000000"/>
                <w:sz w:val="20"/>
                <w:szCs w:val="20"/>
                <w:lang w:val="en-CA"/>
              </w:rPr>
              <w:t>90</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327B77D2"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w:t>
            </w:r>
            <w:r>
              <w:rPr>
                <w:color w:val="000000"/>
                <w:sz w:val="20"/>
                <w:szCs w:val="20"/>
                <w:lang w:val="en-CA"/>
              </w:rPr>
              <w:t> </w:t>
            </w:r>
            <w:r w:rsidRPr="00C20600">
              <w:rPr>
                <w:color w:val="000000"/>
                <w:sz w:val="20"/>
                <w:szCs w:val="20"/>
                <w:lang w:val="en-CA"/>
              </w:rPr>
              <w:t>369</w:t>
            </w:r>
            <w:r>
              <w:rPr>
                <w:color w:val="000000"/>
                <w:sz w:val="20"/>
                <w:szCs w:val="20"/>
                <w:lang w:val="en-CA"/>
              </w:rPr>
              <w:t>,</w:t>
            </w:r>
            <w:r w:rsidRPr="00C20600">
              <w:rPr>
                <w:color w:val="000000"/>
                <w:sz w:val="20"/>
                <w:szCs w:val="20"/>
                <w:lang w:val="en-CA"/>
              </w:rPr>
              <w:t>62</w:t>
            </w:r>
          </w:p>
        </w:tc>
        <w:tc>
          <w:tcPr>
            <w:tcW w:w="500" w:type="pct"/>
            <w:tcBorders>
              <w:top w:val="nil"/>
              <w:left w:val="nil"/>
              <w:bottom w:val="single" w:sz="4" w:space="0" w:color="auto"/>
              <w:right w:val="single" w:sz="4" w:space="0" w:color="auto"/>
            </w:tcBorders>
            <w:shd w:val="clear" w:color="auto" w:fill="auto"/>
            <w:tcMar>
              <w:left w:w="0" w:type="dxa"/>
              <w:right w:w="58" w:type="dxa"/>
            </w:tcMar>
            <w:hideMark/>
          </w:tcPr>
          <w:p w14:paraId="45B08765"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1</w:t>
            </w:r>
            <w:r>
              <w:rPr>
                <w:color w:val="000000"/>
                <w:sz w:val="20"/>
                <w:szCs w:val="20"/>
                <w:lang w:val="en-CA"/>
              </w:rPr>
              <w:t> </w:t>
            </w:r>
            <w:r w:rsidRPr="00C20600">
              <w:rPr>
                <w:color w:val="000000"/>
                <w:sz w:val="20"/>
                <w:szCs w:val="20"/>
                <w:lang w:val="en-CA"/>
              </w:rPr>
              <w:t>369</w:t>
            </w:r>
            <w:r>
              <w:rPr>
                <w:color w:val="000000"/>
                <w:sz w:val="20"/>
                <w:szCs w:val="20"/>
                <w:lang w:val="en-CA"/>
              </w:rPr>
              <w:t>,</w:t>
            </w:r>
            <w:r w:rsidRPr="00C20600">
              <w:rPr>
                <w:color w:val="000000"/>
                <w:sz w:val="20"/>
                <w:szCs w:val="20"/>
                <w:lang w:val="en-CA"/>
              </w:rPr>
              <w:t>62</w:t>
            </w:r>
          </w:p>
        </w:tc>
        <w:tc>
          <w:tcPr>
            <w:tcW w:w="501" w:type="pct"/>
            <w:tcBorders>
              <w:top w:val="nil"/>
              <w:left w:val="nil"/>
              <w:bottom w:val="single" w:sz="4" w:space="0" w:color="auto"/>
              <w:right w:val="single" w:sz="4" w:space="0" w:color="auto"/>
            </w:tcBorders>
            <w:shd w:val="clear" w:color="auto" w:fill="auto"/>
            <w:tcMar>
              <w:left w:w="0" w:type="dxa"/>
              <w:right w:w="58" w:type="dxa"/>
            </w:tcMar>
            <w:hideMark/>
          </w:tcPr>
          <w:p w14:paraId="2047168E"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780</w:t>
            </w:r>
            <w:r>
              <w:rPr>
                <w:color w:val="000000"/>
                <w:sz w:val="20"/>
                <w:szCs w:val="20"/>
                <w:lang w:val="en-CA"/>
              </w:rPr>
              <w:t>,</w:t>
            </w:r>
            <w:r w:rsidRPr="00C20600">
              <w:rPr>
                <w:color w:val="000000"/>
                <w:sz w:val="20"/>
                <w:szCs w:val="20"/>
                <w:lang w:val="en-CA"/>
              </w:rPr>
              <w:t>91</w:t>
            </w:r>
          </w:p>
        </w:tc>
        <w:tc>
          <w:tcPr>
            <w:tcW w:w="500" w:type="pct"/>
            <w:tcBorders>
              <w:top w:val="nil"/>
              <w:left w:val="nil"/>
              <w:bottom w:val="single" w:sz="4" w:space="0" w:color="auto"/>
              <w:right w:val="single" w:sz="4" w:space="0" w:color="auto"/>
            </w:tcBorders>
            <w:shd w:val="clear" w:color="auto" w:fill="auto"/>
            <w:noWrap/>
            <w:tcMar>
              <w:left w:w="0" w:type="dxa"/>
              <w:right w:w="58" w:type="dxa"/>
            </w:tcMar>
            <w:hideMark/>
          </w:tcPr>
          <w:p w14:paraId="6239141C"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780</w:t>
            </w:r>
            <w:r>
              <w:rPr>
                <w:color w:val="000000"/>
                <w:sz w:val="20"/>
                <w:szCs w:val="20"/>
                <w:lang w:val="en-CA"/>
              </w:rPr>
              <w:t>,</w:t>
            </w:r>
            <w:r w:rsidRPr="00C20600">
              <w:rPr>
                <w:color w:val="000000"/>
                <w:sz w:val="20"/>
                <w:szCs w:val="20"/>
                <w:lang w:val="en-CA"/>
              </w:rPr>
              <w:t>91</w:t>
            </w:r>
          </w:p>
        </w:tc>
        <w:tc>
          <w:tcPr>
            <w:tcW w:w="501" w:type="pct"/>
            <w:tcBorders>
              <w:top w:val="nil"/>
              <w:left w:val="nil"/>
              <w:bottom w:val="single" w:sz="4" w:space="0" w:color="auto"/>
              <w:right w:val="single" w:sz="4" w:space="0" w:color="auto"/>
            </w:tcBorders>
            <w:shd w:val="clear" w:color="auto" w:fill="auto"/>
            <w:noWrap/>
            <w:tcMar>
              <w:left w:w="0" w:type="dxa"/>
              <w:right w:w="58" w:type="dxa"/>
            </w:tcMar>
            <w:hideMark/>
          </w:tcPr>
          <w:p w14:paraId="42C55DCC" w14:textId="77777777" w:rsidR="00720BA7" w:rsidRPr="00C20600" w:rsidRDefault="00720BA7" w:rsidP="00720BA7">
            <w:pPr>
              <w:jc w:val="right"/>
              <w:rPr>
                <w:color w:val="000000"/>
                <w:sz w:val="20"/>
                <w:szCs w:val="20"/>
                <w:lang w:val="en-CA" w:eastAsia="zh-CN"/>
              </w:rPr>
            </w:pPr>
            <w:r w:rsidRPr="00C20600">
              <w:rPr>
                <w:color w:val="000000"/>
                <w:sz w:val="20"/>
                <w:szCs w:val="20"/>
                <w:lang w:val="en-CA"/>
              </w:rPr>
              <w:t>828</w:t>
            </w:r>
            <w:r>
              <w:rPr>
                <w:color w:val="000000"/>
                <w:sz w:val="20"/>
                <w:szCs w:val="20"/>
                <w:lang w:val="en-CA"/>
              </w:rPr>
              <w:t>,</w:t>
            </w:r>
            <w:r w:rsidRPr="00C20600">
              <w:rPr>
                <w:color w:val="000000"/>
                <w:sz w:val="20"/>
                <w:szCs w:val="20"/>
                <w:lang w:val="en-CA"/>
              </w:rPr>
              <w:t>99</w:t>
            </w:r>
          </w:p>
        </w:tc>
      </w:tr>
      <w:tr w:rsidR="00720BA7" w:rsidRPr="00C20600" w14:paraId="0945DF2A" w14:textId="77777777" w:rsidTr="00720BA7">
        <w:tc>
          <w:tcPr>
            <w:tcW w:w="998"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14:paraId="72ABB21C" w14:textId="77777777" w:rsidR="00720BA7" w:rsidRPr="00720BA7" w:rsidRDefault="00720BA7" w:rsidP="00720BA7">
            <w:pPr>
              <w:jc w:val="left"/>
              <w:rPr>
                <w:b/>
                <w:color w:val="000000" w:themeColor="text1"/>
                <w:sz w:val="20"/>
                <w:szCs w:val="20"/>
                <w:lang w:val="fr-CA" w:eastAsia="zh-CN"/>
              </w:rPr>
            </w:pPr>
            <w:r w:rsidRPr="0096738E">
              <w:rPr>
                <w:b/>
                <w:color w:val="000000" w:themeColor="text1"/>
                <w:sz w:val="20"/>
                <w:szCs w:val="20"/>
                <w:lang w:val="fr-FR" w:eastAsia="zh-CN"/>
              </w:rPr>
              <w:t>Réduction (% de la valeur de référence)</w:t>
            </w:r>
          </w:p>
        </w:tc>
        <w:tc>
          <w:tcPr>
            <w:tcW w:w="500" w:type="pc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tcPr>
          <w:p w14:paraId="3FDCC8F8"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33</w:t>
            </w:r>
            <w:r>
              <w:rPr>
                <w:b/>
                <w:color w:val="000000" w:themeColor="text1"/>
                <w:sz w:val="20"/>
                <w:szCs w:val="20"/>
                <w:lang w:val="en-CA"/>
              </w:rPr>
              <w:t>,</w:t>
            </w:r>
            <w:r w:rsidRPr="00C20600">
              <w:rPr>
                <w:b/>
                <w:color w:val="000000" w:themeColor="text1"/>
                <w:sz w:val="20"/>
                <w:szCs w:val="20"/>
                <w:lang w:val="en-CA"/>
              </w:rPr>
              <w:t>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14:paraId="1416A20C"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33</w:t>
            </w:r>
            <w:r>
              <w:rPr>
                <w:b/>
                <w:color w:val="000000" w:themeColor="text1"/>
                <w:sz w:val="20"/>
                <w:szCs w:val="20"/>
                <w:lang w:val="en-CA"/>
              </w:rPr>
              <w:t>,</w:t>
            </w:r>
            <w:r w:rsidRPr="00C20600">
              <w:rPr>
                <w:b/>
                <w:color w:val="000000" w:themeColor="text1"/>
                <w:sz w:val="20"/>
                <w:szCs w:val="20"/>
                <w:lang w:val="en-CA"/>
              </w:rPr>
              <w:t>0</w:t>
            </w:r>
          </w:p>
        </w:tc>
        <w:tc>
          <w:tcPr>
            <w:tcW w:w="500"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14:paraId="43535291"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33</w:t>
            </w:r>
            <w:r>
              <w:rPr>
                <w:b/>
                <w:color w:val="000000" w:themeColor="text1"/>
                <w:sz w:val="20"/>
                <w:szCs w:val="20"/>
                <w:lang w:val="en-CA"/>
              </w:rPr>
              <w:t>,</w:t>
            </w:r>
            <w:r w:rsidRPr="00C20600">
              <w:rPr>
                <w:b/>
                <w:color w:val="000000" w:themeColor="text1"/>
                <w:sz w:val="20"/>
                <w:szCs w:val="20"/>
                <w:lang w:val="en-CA"/>
              </w:rPr>
              <w:t>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14:paraId="6E9364F5"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43</w:t>
            </w:r>
            <w:r>
              <w:rPr>
                <w:b/>
                <w:color w:val="000000" w:themeColor="text1"/>
                <w:sz w:val="20"/>
                <w:szCs w:val="20"/>
                <w:lang w:val="en-CA"/>
              </w:rPr>
              <w:t>,</w:t>
            </w:r>
            <w:r w:rsidRPr="00C20600">
              <w:rPr>
                <w:b/>
                <w:color w:val="000000" w:themeColor="text1"/>
                <w:sz w:val="20"/>
                <w:szCs w:val="20"/>
                <w:lang w:val="en-CA"/>
              </w:rPr>
              <w:t>0</w:t>
            </w:r>
          </w:p>
        </w:tc>
        <w:tc>
          <w:tcPr>
            <w:tcW w:w="500"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14:paraId="2794F481"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43</w:t>
            </w:r>
            <w:r>
              <w:rPr>
                <w:b/>
                <w:color w:val="000000" w:themeColor="text1"/>
                <w:sz w:val="20"/>
                <w:szCs w:val="20"/>
                <w:lang w:val="en-CA"/>
              </w:rPr>
              <w:t>,</w:t>
            </w:r>
            <w:r w:rsidRPr="00C20600">
              <w:rPr>
                <w:b/>
                <w:color w:val="000000" w:themeColor="text1"/>
                <w:sz w:val="20"/>
                <w:szCs w:val="20"/>
                <w:lang w:val="en-CA"/>
              </w:rPr>
              <w:t>0</w:t>
            </w:r>
          </w:p>
        </w:tc>
        <w:tc>
          <w:tcPr>
            <w:tcW w:w="501" w:type="pct"/>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14:paraId="1874C91D"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67</w:t>
            </w:r>
            <w:r>
              <w:rPr>
                <w:b/>
                <w:color w:val="000000" w:themeColor="text1"/>
                <w:sz w:val="20"/>
                <w:szCs w:val="20"/>
                <w:lang w:val="en-CA"/>
              </w:rPr>
              <w:t>,</w:t>
            </w:r>
            <w:r w:rsidRPr="00C20600">
              <w:rPr>
                <w:b/>
                <w:color w:val="000000" w:themeColor="text1"/>
                <w:sz w:val="20"/>
                <w:szCs w:val="20"/>
                <w:lang w:val="en-CA"/>
              </w:rPr>
              <w:t>5</w:t>
            </w:r>
          </w:p>
        </w:tc>
        <w:tc>
          <w:tcPr>
            <w:tcW w:w="500" w:type="pct"/>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14:paraId="5354259E"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rPr>
              <w:t>67</w:t>
            </w:r>
            <w:r>
              <w:rPr>
                <w:b/>
                <w:color w:val="000000" w:themeColor="text1"/>
                <w:sz w:val="20"/>
                <w:szCs w:val="20"/>
                <w:lang w:val="en-CA"/>
              </w:rPr>
              <w:t>,</w:t>
            </w:r>
            <w:r w:rsidRPr="00C20600">
              <w:rPr>
                <w:b/>
                <w:color w:val="000000" w:themeColor="text1"/>
                <w:sz w:val="20"/>
                <w:szCs w:val="20"/>
                <w:lang w:val="en-CA"/>
              </w:rPr>
              <w:t>5</w:t>
            </w:r>
          </w:p>
        </w:tc>
        <w:tc>
          <w:tcPr>
            <w:tcW w:w="501" w:type="pct"/>
            <w:tcBorders>
              <w:top w:val="single" w:sz="4" w:space="0" w:color="auto"/>
              <w:left w:val="nil"/>
              <w:bottom w:val="single" w:sz="4" w:space="0" w:color="auto"/>
              <w:right w:val="single" w:sz="4" w:space="0" w:color="auto"/>
            </w:tcBorders>
            <w:shd w:val="clear" w:color="auto" w:fill="auto"/>
            <w:noWrap/>
            <w:tcMar>
              <w:left w:w="29" w:type="dxa"/>
              <w:right w:w="0" w:type="dxa"/>
            </w:tcMar>
            <w:vAlign w:val="center"/>
          </w:tcPr>
          <w:p w14:paraId="5E33EE32" w14:textId="77777777" w:rsidR="00720BA7" w:rsidRPr="00C20600" w:rsidRDefault="00720BA7" w:rsidP="00720BA7">
            <w:pPr>
              <w:jc w:val="center"/>
              <w:rPr>
                <w:b/>
                <w:color w:val="000000" w:themeColor="text1"/>
                <w:sz w:val="20"/>
                <w:szCs w:val="20"/>
                <w:lang w:val="en-CA" w:eastAsia="zh-CN"/>
              </w:rPr>
            </w:pPr>
            <w:r w:rsidRPr="00C20600">
              <w:rPr>
                <w:b/>
                <w:color w:val="000000" w:themeColor="text1"/>
                <w:sz w:val="20"/>
                <w:szCs w:val="20"/>
                <w:lang w:val="en-CA" w:eastAsia="zh-CN"/>
              </w:rPr>
              <w:t>34</w:t>
            </w:r>
            <w:r>
              <w:rPr>
                <w:b/>
                <w:color w:val="000000" w:themeColor="text1"/>
                <w:sz w:val="20"/>
                <w:szCs w:val="20"/>
                <w:lang w:val="en-CA" w:eastAsia="zh-CN"/>
              </w:rPr>
              <w:t>,</w:t>
            </w:r>
            <w:r w:rsidRPr="00C20600">
              <w:rPr>
                <w:b/>
                <w:color w:val="000000" w:themeColor="text1"/>
                <w:sz w:val="20"/>
                <w:szCs w:val="20"/>
                <w:lang w:val="en-CA" w:eastAsia="zh-CN"/>
              </w:rPr>
              <w:t>5</w:t>
            </w:r>
          </w:p>
        </w:tc>
      </w:tr>
    </w:tbl>
    <w:p w14:paraId="588F106B" w14:textId="77777777" w:rsidR="00720BA7" w:rsidRPr="00C20600" w:rsidRDefault="00720BA7" w:rsidP="00720BA7">
      <w:pPr>
        <w:rPr>
          <w:lang w:val="en-CA"/>
        </w:rPr>
      </w:pPr>
    </w:p>
    <w:p w14:paraId="0375C1A0" w14:textId="77777777" w:rsidR="00720BA7" w:rsidRPr="00720BA7" w:rsidRDefault="00720BA7" w:rsidP="00720BA7">
      <w:pPr>
        <w:pStyle w:val="Heading1"/>
        <w:rPr>
          <w:lang w:val="fr-CA"/>
        </w:rPr>
      </w:pPr>
      <w:r w:rsidRPr="0096738E">
        <w:rPr>
          <w:lang w:val="fr-FR"/>
        </w:rPr>
        <w:t xml:space="preserve">La phase II du plan du secteur de la réfrigération industrielle </w:t>
      </w:r>
      <w:r>
        <w:rPr>
          <w:lang w:val="fr-FR"/>
        </w:rPr>
        <w:t xml:space="preserve">et commerciale </w:t>
      </w:r>
      <w:r w:rsidRPr="0096738E">
        <w:rPr>
          <w:lang w:val="fr-FR"/>
        </w:rPr>
        <w:t xml:space="preserve">prendra </w:t>
      </w:r>
      <w:r>
        <w:rPr>
          <w:lang w:val="fr-FR"/>
        </w:rPr>
        <w:t xml:space="preserve">simultanément </w:t>
      </w:r>
      <w:r w:rsidRPr="0096738E">
        <w:rPr>
          <w:lang w:val="fr-FR"/>
        </w:rPr>
        <w:t>en compte l</w:t>
      </w:r>
      <w:r>
        <w:rPr>
          <w:lang w:val="fr-FR"/>
        </w:rPr>
        <w:t>’</w:t>
      </w:r>
      <w:r w:rsidRPr="0096738E">
        <w:rPr>
          <w:lang w:val="fr-FR"/>
        </w:rPr>
        <w:t>élimination des HCFC et la réduction progressive des HFC pour créer des synergies et optimiser les avantages climatiques.</w:t>
      </w:r>
      <w:r w:rsidRPr="00720BA7">
        <w:rPr>
          <w:lang w:val="fr-CA"/>
        </w:rPr>
        <w:t xml:space="preserve"> </w:t>
      </w:r>
      <w:r w:rsidRPr="0096738E">
        <w:rPr>
          <w:lang w:val="fr-FR"/>
        </w:rPr>
        <w:t>L</w:t>
      </w:r>
      <w:r w:rsidRPr="0096738E">
        <w:rPr>
          <w:rStyle w:val="tlid-translation"/>
          <w:lang w:val="fr-FR"/>
        </w:rPr>
        <w:t>es activités prévues dans le cadre des reconversions de chaînes de fabrication, de l</w:t>
      </w:r>
      <w:r>
        <w:rPr>
          <w:rStyle w:val="tlid-translation"/>
          <w:lang w:val="fr-FR"/>
        </w:rPr>
        <w:t>’</w:t>
      </w:r>
      <w:r w:rsidRPr="0096738E">
        <w:rPr>
          <w:rStyle w:val="tlid-translation"/>
          <w:lang w:val="fr-FR"/>
        </w:rPr>
        <w:t>assistance technique et des mesures réglementaires, ainsi que</w:t>
      </w:r>
      <w:r>
        <w:rPr>
          <w:rStyle w:val="tlid-translation"/>
          <w:lang w:val="fr-FR"/>
        </w:rPr>
        <w:t xml:space="preserve"> celles</w:t>
      </w:r>
      <w:r w:rsidRPr="0096738E">
        <w:rPr>
          <w:rStyle w:val="tlid-translation"/>
          <w:lang w:val="fr-FR"/>
        </w:rPr>
        <w:t xml:space="preserve"> visant à promouvoir l</w:t>
      </w:r>
      <w:r>
        <w:rPr>
          <w:rStyle w:val="tlid-translation"/>
          <w:lang w:val="fr-FR"/>
        </w:rPr>
        <w:t>’</w:t>
      </w:r>
      <w:r w:rsidRPr="0096738E">
        <w:rPr>
          <w:rStyle w:val="tlid-translation"/>
          <w:lang w:val="fr-FR"/>
        </w:rPr>
        <w:t>adoption par le marché des technologies de remplacement seront menées de manière coordonnée et équilibrée afin d</w:t>
      </w:r>
      <w:r>
        <w:rPr>
          <w:rStyle w:val="tlid-translation"/>
          <w:lang w:val="fr-FR"/>
        </w:rPr>
        <w:t>’</w:t>
      </w:r>
      <w:r w:rsidRPr="0096738E">
        <w:rPr>
          <w:rStyle w:val="tlid-translation"/>
          <w:lang w:val="fr-FR"/>
        </w:rPr>
        <w:t>optimiser l</w:t>
      </w:r>
      <w:r>
        <w:rPr>
          <w:rStyle w:val="tlid-translation"/>
          <w:lang w:val="fr-FR"/>
        </w:rPr>
        <w:t>’</w:t>
      </w:r>
      <w:r w:rsidRPr="0096738E">
        <w:rPr>
          <w:rStyle w:val="tlid-translation"/>
          <w:lang w:val="fr-FR"/>
        </w:rPr>
        <w:t>impact des différentes activités</w:t>
      </w:r>
      <w:r w:rsidRPr="0096738E">
        <w:rPr>
          <w:color w:val="000000" w:themeColor="text1"/>
          <w:lang w:val="fr-FR"/>
        </w:rPr>
        <w:t>.</w:t>
      </w:r>
      <w:r w:rsidRPr="00720BA7">
        <w:rPr>
          <w:lang w:val="fr-CA"/>
        </w:rPr>
        <w:t xml:space="preserve"> </w:t>
      </w:r>
      <w:r w:rsidRPr="0096738E">
        <w:rPr>
          <w:color w:val="000000" w:themeColor="text1"/>
          <w:lang w:val="fr-FR"/>
        </w:rPr>
        <w:t>L</w:t>
      </w:r>
      <w:r w:rsidRPr="0096738E">
        <w:rPr>
          <w:rStyle w:val="tlid-translation"/>
          <w:lang w:val="fr-FR"/>
        </w:rPr>
        <w:t xml:space="preserve">a reconversion des </w:t>
      </w:r>
      <w:r w:rsidRPr="0096738E">
        <w:rPr>
          <w:rStyle w:val="tlid-translation"/>
          <w:color w:val="000000" w:themeColor="text1"/>
          <w:lang w:val="fr-FR"/>
        </w:rPr>
        <w:t xml:space="preserve">chaînes de fabrication, </w:t>
      </w:r>
      <w:r w:rsidRPr="0096738E">
        <w:rPr>
          <w:rStyle w:val="tlid-translation"/>
          <w:lang w:val="fr-FR"/>
        </w:rPr>
        <w:t>axée sur la reconversion dans les PME, évaluera la faisabilité et la viabilité des technologies sélectionnées, permettra de surmonter les obstacles et d</w:t>
      </w:r>
      <w:r>
        <w:rPr>
          <w:rStyle w:val="tlid-translation"/>
          <w:lang w:val="fr-FR"/>
        </w:rPr>
        <w:t>’</w:t>
      </w:r>
      <w:r w:rsidRPr="0096738E">
        <w:rPr>
          <w:rStyle w:val="tlid-translation"/>
          <w:lang w:val="fr-FR"/>
        </w:rPr>
        <w:t>acquérir de l</w:t>
      </w:r>
      <w:r>
        <w:rPr>
          <w:rStyle w:val="tlid-translation"/>
          <w:lang w:val="fr-FR"/>
        </w:rPr>
        <w:t>’</w:t>
      </w:r>
      <w:r w:rsidRPr="0096738E">
        <w:rPr>
          <w:rStyle w:val="tlid-translation"/>
          <w:lang w:val="fr-FR"/>
        </w:rPr>
        <w:t>expérience dans le domaine de la</w:t>
      </w:r>
      <w:r>
        <w:rPr>
          <w:rStyle w:val="tlid-translation"/>
          <w:lang w:val="fr-FR"/>
        </w:rPr>
        <w:t xml:space="preserve"> </w:t>
      </w:r>
      <w:r w:rsidRPr="0096738E">
        <w:rPr>
          <w:rStyle w:val="tlid-translation"/>
          <w:lang w:val="fr-FR"/>
        </w:rPr>
        <w:t>reconversion afin que d</w:t>
      </w:r>
      <w:r>
        <w:rPr>
          <w:rStyle w:val="tlid-translation"/>
          <w:lang w:val="fr-FR"/>
        </w:rPr>
        <w:t>’</w:t>
      </w:r>
      <w:r w:rsidRPr="0096738E">
        <w:rPr>
          <w:rStyle w:val="tlid-translation"/>
          <w:lang w:val="fr-FR"/>
        </w:rPr>
        <w:t>autres entreprises du secteur puissent se reconvertir par leurs propres moyens aux solutions de remplacement des HCFC.</w:t>
      </w:r>
      <w:r w:rsidRPr="00720BA7">
        <w:rPr>
          <w:color w:val="000000" w:themeColor="text1"/>
          <w:lang w:val="fr-CA"/>
        </w:rPr>
        <w:t xml:space="preserve"> </w:t>
      </w:r>
      <w:r w:rsidRPr="0096738E">
        <w:rPr>
          <w:lang w:val="fr-FR"/>
        </w:rPr>
        <w:t>L</w:t>
      </w:r>
      <w:r>
        <w:rPr>
          <w:lang w:val="fr-FR"/>
        </w:rPr>
        <w:t>’</w:t>
      </w:r>
      <w:r w:rsidRPr="0096738E">
        <w:rPr>
          <w:lang w:val="fr-FR"/>
        </w:rPr>
        <w:t>intégration de l</w:t>
      </w:r>
      <w:r>
        <w:rPr>
          <w:lang w:val="fr-FR"/>
        </w:rPr>
        <w:t>’</w:t>
      </w:r>
      <w:r w:rsidRPr="0096738E">
        <w:rPr>
          <w:lang w:val="fr-FR"/>
        </w:rPr>
        <w:t>égalité hommes-femmes se fera dans toutes les étapes du processus de mise en œuvre.</w:t>
      </w:r>
    </w:p>
    <w:p w14:paraId="5791C80D" w14:textId="77777777" w:rsidR="00720BA7" w:rsidRPr="00720BA7" w:rsidRDefault="00720BA7" w:rsidP="00720BA7">
      <w:pPr>
        <w:pStyle w:val="Heading1"/>
        <w:rPr>
          <w:lang w:val="fr-CA"/>
        </w:rPr>
      </w:pPr>
      <w:r w:rsidRPr="00042750">
        <w:rPr>
          <w:lang w:val="fr-FR"/>
        </w:rPr>
        <w:t xml:space="preserve">La phase II révisée et prolongée accordera la priorité à la reconversion des chaînes de fabrication de compresseurs en tant que </w:t>
      </w:r>
      <w:r w:rsidRPr="00042750">
        <w:rPr>
          <w:color w:val="000000" w:themeColor="text1"/>
          <w:lang w:val="fr-FR" w:eastAsia="zh-CN"/>
        </w:rPr>
        <w:t>facteur clé</w:t>
      </w:r>
      <w:r w:rsidRPr="00042750">
        <w:rPr>
          <w:lang w:val="fr-FR"/>
        </w:rPr>
        <w:t xml:space="preserve"> dans la reconversion des </w:t>
      </w:r>
      <w:r w:rsidRPr="00042750">
        <w:rPr>
          <w:color w:val="000000" w:themeColor="text1"/>
          <w:lang w:val="fr-FR" w:eastAsia="zh-CN"/>
        </w:rPr>
        <w:t>refroidisseurs d</w:t>
      </w:r>
      <w:r>
        <w:rPr>
          <w:color w:val="000000" w:themeColor="text1"/>
          <w:lang w:val="fr-FR" w:eastAsia="zh-CN"/>
        </w:rPr>
        <w:t>’</w:t>
      </w:r>
      <w:r w:rsidRPr="00042750">
        <w:rPr>
          <w:color w:val="000000" w:themeColor="text1"/>
          <w:lang w:val="fr-FR" w:eastAsia="zh-CN"/>
        </w:rPr>
        <w:t>eau</w:t>
      </w:r>
      <w:r w:rsidRPr="00042750">
        <w:rPr>
          <w:lang w:val="fr-FR"/>
        </w:rPr>
        <w:t xml:space="preserve">, qui représente le plus important sous-secteur de </w:t>
      </w:r>
      <w:r w:rsidRPr="00042750">
        <w:rPr>
          <w:color w:val="000000" w:themeColor="text1"/>
          <w:lang w:val="fr-FR" w:eastAsia="zh-CN"/>
        </w:rPr>
        <w:t>consommation</w:t>
      </w:r>
      <w:r w:rsidRPr="00042750">
        <w:rPr>
          <w:lang w:val="fr-FR"/>
        </w:rPr>
        <w:t xml:space="preserve"> dans le </w:t>
      </w:r>
      <w:r w:rsidRPr="00042750">
        <w:rPr>
          <w:color w:val="000000" w:themeColor="text1"/>
          <w:lang w:val="fr-FR" w:eastAsia="zh-CN"/>
        </w:rPr>
        <w:t>secteur de la réfrigération industrielle et commerciale.</w:t>
      </w:r>
      <w:r w:rsidRPr="00720BA7">
        <w:rPr>
          <w:lang w:val="fr-CA" w:eastAsia="zh-CN"/>
        </w:rPr>
        <w:t xml:space="preserve"> </w:t>
      </w:r>
      <w:r w:rsidRPr="00042750">
        <w:rPr>
          <w:color w:val="000000" w:themeColor="text1"/>
          <w:lang w:val="fr-FR" w:eastAsia="zh-CN"/>
        </w:rPr>
        <w:t xml:space="preserve">Elle accordera également la priorité </w:t>
      </w:r>
      <w:r w:rsidRPr="00042750">
        <w:rPr>
          <w:lang w:val="fr-FR"/>
        </w:rPr>
        <w:t>à la reconversion des chaînes de fabrication dans quatre sous-secteurs (congélateurs, entreposage frigorifique</w:t>
      </w:r>
      <w:r w:rsidRPr="00042750">
        <w:rPr>
          <w:color w:val="000000" w:themeColor="text1"/>
          <w:lang w:val="fr-FR" w:eastAsia="zh-CN"/>
        </w:rPr>
        <w:t xml:space="preserve"> et condensateurs ; </w:t>
      </w:r>
      <w:r w:rsidRPr="00042750">
        <w:rPr>
          <w:lang w:val="fr-FR"/>
        </w:rPr>
        <w:t>refroidisseurs d</w:t>
      </w:r>
      <w:r>
        <w:rPr>
          <w:lang w:val="fr-FR"/>
        </w:rPr>
        <w:t>’</w:t>
      </w:r>
      <w:r w:rsidRPr="00042750">
        <w:rPr>
          <w:lang w:val="fr-FR"/>
        </w:rPr>
        <w:t>eau</w:t>
      </w:r>
      <w:r w:rsidRPr="00042750">
        <w:rPr>
          <w:color w:val="000000" w:themeColor="text1"/>
          <w:lang w:val="fr-FR" w:eastAsia="zh-CN"/>
        </w:rPr>
        <w:t xml:space="preserve"> ; </w:t>
      </w:r>
      <w:r w:rsidRPr="00042750">
        <w:rPr>
          <w:lang w:val="fr-FR"/>
        </w:rPr>
        <w:t>climatisation individuelle ; et chauffe-eau</w:t>
      </w:r>
      <w:r w:rsidRPr="00042750">
        <w:rPr>
          <w:color w:val="000000" w:themeColor="text1"/>
          <w:lang w:val="fr-FR" w:eastAsia="zh-CN"/>
        </w:rPr>
        <w:t xml:space="preserve"> à </w:t>
      </w:r>
      <w:r w:rsidRPr="00042750">
        <w:rPr>
          <w:lang w:val="fr-FR"/>
        </w:rPr>
        <w:t>pompe à chaleur</w:t>
      </w:r>
      <w:r w:rsidRPr="00042750">
        <w:rPr>
          <w:color w:val="000000" w:themeColor="text1"/>
          <w:lang w:val="fr-FR" w:eastAsia="zh-CN"/>
        </w:rPr>
        <w:t>) s</w:t>
      </w:r>
      <w:r>
        <w:rPr>
          <w:color w:val="000000" w:themeColor="text1"/>
          <w:lang w:val="fr-FR" w:eastAsia="zh-CN"/>
        </w:rPr>
        <w:t>’</w:t>
      </w:r>
      <w:r w:rsidRPr="00042750">
        <w:rPr>
          <w:color w:val="000000" w:themeColor="text1"/>
          <w:lang w:val="fr-FR" w:eastAsia="zh-CN"/>
        </w:rPr>
        <w:t xml:space="preserve">agissant des principaux sous-secteurs de consommation </w:t>
      </w:r>
      <w:r w:rsidRPr="00042750">
        <w:rPr>
          <w:lang w:val="fr-FR"/>
        </w:rPr>
        <w:t xml:space="preserve">comportant un grand nombre de PME et caractérisés par </w:t>
      </w:r>
      <w:r>
        <w:rPr>
          <w:lang w:val="fr-FR"/>
        </w:rPr>
        <w:t>une tendance à une</w:t>
      </w:r>
      <w:r w:rsidRPr="00042750">
        <w:rPr>
          <w:lang w:val="fr-FR"/>
        </w:rPr>
        <w:t xml:space="preserve"> forte croissance dans la consommation</w:t>
      </w:r>
      <w:r w:rsidRPr="00042750">
        <w:rPr>
          <w:color w:val="000000" w:themeColor="text1"/>
          <w:lang w:val="fr-FR" w:eastAsia="zh-CN"/>
        </w:rPr>
        <w:t xml:space="preserve"> de HCFC</w:t>
      </w:r>
      <w:r w:rsidRPr="00042750">
        <w:rPr>
          <w:lang w:val="fr-FR"/>
        </w:rPr>
        <w:t>.</w:t>
      </w:r>
      <w:r w:rsidRPr="00720BA7">
        <w:rPr>
          <w:color w:val="000000" w:themeColor="text1"/>
          <w:lang w:val="fr-CA"/>
        </w:rPr>
        <w:t xml:space="preserve"> </w:t>
      </w:r>
      <w:r w:rsidRPr="00893D46">
        <w:rPr>
          <w:rStyle w:val="tlid-translation"/>
          <w:lang w:val="fr-FR"/>
        </w:rPr>
        <w:t>La consommation de HCFC dans le sous-secteur de la climatisation des véhicules est très faible et celle dans le sous-secteur de la climatisation multi-split a été pratiquement éliminée ; les consommations restantes dans ces deux sous-secteurs seront prises en main à l</w:t>
      </w:r>
      <w:r>
        <w:rPr>
          <w:rStyle w:val="tlid-translation"/>
          <w:lang w:val="fr-FR"/>
        </w:rPr>
        <w:t>’</w:t>
      </w:r>
      <w:r w:rsidRPr="00893D46">
        <w:rPr>
          <w:rStyle w:val="tlid-translation"/>
          <w:lang w:val="fr-FR"/>
        </w:rPr>
        <w:t>aide de mesures réglementaires</w:t>
      </w:r>
      <w:r w:rsidRPr="00893D46">
        <w:rPr>
          <w:lang w:val="fr-FR"/>
        </w:rPr>
        <w:t>.</w:t>
      </w:r>
      <w:r w:rsidRPr="00720BA7">
        <w:rPr>
          <w:lang w:val="fr-CA"/>
        </w:rPr>
        <w:t xml:space="preserve"> </w:t>
      </w:r>
    </w:p>
    <w:p w14:paraId="0EB48C04" w14:textId="77777777" w:rsidR="00720BA7" w:rsidRPr="00720BA7" w:rsidRDefault="00720BA7" w:rsidP="00720BA7">
      <w:pPr>
        <w:pStyle w:val="Heading1"/>
        <w:rPr>
          <w:lang w:val="fr-CA"/>
        </w:rPr>
      </w:pPr>
      <w:r w:rsidRPr="00893D46">
        <w:rPr>
          <w:lang w:val="fr-FR"/>
        </w:rPr>
        <w:t>Sur les 15 225,28 tm, 1 980 tm seront éliminées au moyen de la reconversion des chaînes de fabrication à des technologies à faible PRP ; et 13 245,28 tm seront éliminées au moyen de la reconversion des compresseurs, de mesures d</w:t>
      </w:r>
      <w:r>
        <w:rPr>
          <w:lang w:val="fr-FR"/>
        </w:rPr>
        <w:t>’</w:t>
      </w:r>
      <w:r w:rsidRPr="00893D46">
        <w:rPr>
          <w:lang w:val="fr-FR"/>
        </w:rPr>
        <w:t>ordre politique et réglementaire, des activités d</w:t>
      </w:r>
      <w:r>
        <w:rPr>
          <w:lang w:val="fr-FR"/>
        </w:rPr>
        <w:t>’</w:t>
      </w:r>
      <w:r w:rsidRPr="00893D46">
        <w:rPr>
          <w:lang w:val="fr-FR"/>
        </w:rPr>
        <w:t>assistance technique, et de la réduction dans les entreprises à capital étranger.</w:t>
      </w:r>
    </w:p>
    <w:p w14:paraId="3F6C4181" w14:textId="77777777" w:rsidR="00720BA7" w:rsidRPr="00720BA7" w:rsidRDefault="00720BA7" w:rsidP="00720BA7">
      <w:pPr>
        <w:pStyle w:val="Heading1"/>
        <w:keepNext/>
        <w:numPr>
          <w:ilvl w:val="0"/>
          <w:numId w:val="0"/>
        </w:numPr>
        <w:rPr>
          <w:color w:val="000000" w:themeColor="text1"/>
          <w:szCs w:val="24"/>
          <w:u w:val="single"/>
          <w:lang w:val="fr-CA"/>
        </w:rPr>
      </w:pPr>
      <w:r w:rsidRPr="00893D46">
        <w:rPr>
          <w:color w:val="000000" w:themeColor="text1"/>
          <w:szCs w:val="24"/>
          <w:u w:val="single"/>
          <w:lang w:val="fr-FR"/>
        </w:rPr>
        <w:t>Activités prévues pour la phase II révisée au cours de la période 2021-2026</w:t>
      </w:r>
    </w:p>
    <w:p w14:paraId="3719D9B7" w14:textId="77777777" w:rsidR="00720BA7" w:rsidRPr="00720BA7" w:rsidRDefault="00720BA7" w:rsidP="00720BA7">
      <w:pPr>
        <w:pStyle w:val="Heading1"/>
        <w:rPr>
          <w:lang w:val="fr-CA"/>
        </w:rPr>
      </w:pPr>
      <w:r w:rsidRPr="00893D46">
        <w:rPr>
          <w:lang w:val="fr-FR"/>
        </w:rPr>
        <w:t>Les</w:t>
      </w:r>
      <w:r>
        <w:rPr>
          <w:lang w:val="fr-FR"/>
        </w:rPr>
        <w:t xml:space="preserve"> </w:t>
      </w:r>
      <w:r w:rsidRPr="00893D46">
        <w:rPr>
          <w:lang w:val="fr-FR"/>
        </w:rPr>
        <w:t>activités suivantes ont été prévues pour la phase II révisée du secteur de la réfrigération industrielle et commerciale et seront mises en œuvre de 2021 à 2026.</w:t>
      </w:r>
    </w:p>
    <w:p w14:paraId="75C211E0" w14:textId="77777777" w:rsidR="00720BA7" w:rsidRPr="00893D46" w:rsidRDefault="00720BA7" w:rsidP="00720BA7">
      <w:pPr>
        <w:pStyle w:val="Heading1"/>
        <w:keepNext/>
        <w:keepLines/>
        <w:numPr>
          <w:ilvl w:val="0"/>
          <w:numId w:val="0"/>
        </w:numPr>
        <w:rPr>
          <w:i/>
          <w:color w:val="000000" w:themeColor="text1"/>
          <w:szCs w:val="24"/>
          <w:lang w:val="en-CA"/>
        </w:rPr>
      </w:pPr>
      <w:r>
        <w:rPr>
          <w:i/>
          <w:color w:val="000000" w:themeColor="text1"/>
          <w:szCs w:val="24"/>
          <w:lang w:val="fr-FR"/>
        </w:rPr>
        <w:t xml:space="preserve">Cadre </w:t>
      </w:r>
      <w:r w:rsidRPr="00893D46">
        <w:rPr>
          <w:i/>
          <w:color w:val="000000" w:themeColor="text1"/>
          <w:szCs w:val="24"/>
          <w:lang w:val="fr-FR"/>
        </w:rPr>
        <w:t>politique réglementaire</w:t>
      </w:r>
    </w:p>
    <w:p w14:paraId="3134BAC2" w14:textId="77777777" w:rsidR="00720BA7" w:rsidRPr="00893D46" w:rsidRDefault="00720BA7" w:rsidP="00720BA7">
      <w:pPr>
        <w:pStyle w:val="Heading1"/>
        <w:keepNext/>
        <w:keepLines/>
        <w:rPr>
          <w:lang w:val="en-CA"/>
        </w:rPr>
      </w:pPr>
      <w:r w:rsidRPr="00893D46">
        <w:rPr>
          <w:lang w:val="fr-FR"/>
        </w:rPr>
        <w:t>Des mesures d</w:t>
      </w:r>
      <w:r>
        <w:rPr>
          <w:lang w:val="fr-FR"/>
        </w:rPr>
        <w:t>’</w:t>
      </w:r>
      <w:r w:rsidRPr="00893D46">
        <w:rPr>
          <w:lang w:val="fr-FR"/>
        </w:rPr>
        <w:t>ordre politique et réglementaire seront élaborées et mises en œuvre pour assurer la conformité ; pour fournir des incitatifs en faveur de l</w:t>
      </w:r>
      <w:r>
        <w:rPr>
          <w:lang w:val="fr-FR"/>
        </w:rPr>
        <w:t>’</w:t>
      </w:r>
      <w:r w:rsidRPr="00893D46">
        <w:rPr>
          <w:lang w:val="fr-FR"/>
        </w:rPr>
        <w:t>élimination des HCFC et de l</w:t>
      </w:r>
      <w:r>
        <w:rPr>
          <w:lang w:val="fr-FR"/>
        </w:rPr>
        <w:t>’</w:t>
      </w:r>
      <w:r w:rsidRPr="00893D46">
        <w:rPr>
          <w:lang w:val="fr-FR"/>
        </w:rPr>
        <w:t>adoption de solutions de remplacement à faible PRP ; et pour assurer que l</w:t>
      </w:r>
      <w:r>
        <w:rPr>
          <w:lang w:val="fr-FR"/>
        </w:rPr>
        <w:t>’</w:t>
      </w:r>
      <w:r w:rsidRPr="00893D46">
        <w:rPr>
          <w:lang w:val="fr-FR"/>
        </w:rPr>
        <w:t>industrie de la réfrigération industrielle et commerciale</w:t>
      </w:r>
      <w:r>
        <w:rPr>
          <w:lang w:val="fr-FR"/>
        </w:rPr>
        <w:t xml:space="preserve"> ne soit pas </w:t>
      </w:r>
      <w:r w:rsidRPr="00893D46">
        <w:rPr>
          <w:lang w:val="fr-FR"/>
        </w:rPr>
        <w:t>impactée négativement par les activités d</w:t>
      </w:r>
      <w:r>
        <w:rPr>
          <w:lang w:val="fr-FR"/>
        </w:rPr>
        <w:t>’</w:t>
      </w:r>
      <w:r w:rsidRPr="00893D46">
        <w:rPr>
          <w:lang w:val="fr-FR"/>
        </w:rPr>
        <w:t>élimination.</w:t>
      </w:r>
      <w:r w:rsidRPr="00720BA7">
        <w:rPr>
          <w:lang w:val="fr-CA"/>
        </w:rPr>
        <w:t xml:space="preserve"> </w:t>
      </w:r>
      <w:r w:rsidRPr="00893D46">
        <w:rPr>
          <w:lang w:val="fr-FR"/>
        </w:rPr>
        <w:t xml:space="preserve">Les mesures politiques prévues sont les suivantes </w:t>
      </w:r>
      <w:r w:rsidRPr="00893D46">
        <w:rPr>
          <w:color w:val="000000" w:themeColor="text1"/>
          <w:lang w:val="fr-FR"/>
        </w:rPr>
        <w:t>:</w:t>
      </w:r>
    </w:p>
    <w:p w14:paraId="4EED6C08" w14:textId="77777777" w:rsidR="00720BA7" w:rsidRPr="00720BA7" w:rsidRDefault="00720BA7" w:rsidP="00720BA7">
      <w:pPr>
        <w:pStyle w:val="Heading2"/>
        <w:numPr>
          <w:ilvl w:val="1"/>
          <w:numId w:val="1"/>
        </w:numPr>
        <w:rPr>
          <w:lang w:val="fr-CA"/>
        </w:rPr>
      </w:pPr>
      <w:r w:rsidRPr="00893D46">
        <w:rPr>
          <w:lang w:val="fr-FR"/>
        </w:rPr>
        <w:t>Modifi</w:t>
      </w:r>
      <w:r>
        <w:rPr>
          <w:lang w:val="fr-FR"/>
        </w:rPr>
        <w:t>cation des</w:t>
      </w:r>
      <w:r w:rsidRPr="00893D46">
        <w:rPr>
          <w:lang w:val="fr-FR"/>
        </w:rPr>
        <w:t xml:space="preserve"> r</w:t>
      </w:r>
      <w:r>
        <w:rPr>
          <w:lang w:val="fr-FR"/>
        </w:rPr>
        <w:t>é</w:t>
      </w:r>
      <w:r w:rsidRPr="00893D46">
        <w:rPr>
          <w:lang w:val="fr-FR"/>
        </w:rPr>
        <w:t>glementations sur la gestion des SAO afin de soutenir l</w:t>
      </w:r>
      <w:r>
        <w:rPr>
          <w:lang w:val="fr-FR"/>
        </w:rPr>
        <w:t>’</w:t>
      </w:r>
      <w:r w:rsidRPr="00893D46">
        <w:rPr>
          <w:lang w:val="fr-FR"/>
        </w:rPr>
        <w:t>élimination des HCFC et</w:t>
      </w:r>
      <w:r>
        <w:rPr>
          <w:lang w:val="fr-FR"/>
        </w:rPr>
        <w:t xml:space="preserve"> </w:t>
      </w:r>
      <w:r w:rsidRPr="00893D46">
        <w:rPr>
          <w:lang w:val="fr-FR"/>
        </w:rPr>
        <w:t>la réduction progressive des HFC en continu ;</w:t>
      </w:r>
      <w:r w:rsidRPr="00720BA7">
        <w:rPr>
          <w:lang w:val="fr-CA"/>
        </w:rPr>
        <w:t xml:space="preserve"> </w:t>
      </w:r>
    </w:p>
    <w:p w14:paraId="05565AA8" w14:textId="77777777" w:rsidR="00720BA7" w:rsidRPr="00720BA7" w:rsidRDefault="00720BA7" w:rsidP="00720BA7">
      <w:pPr>
        <w:pStyle w:val="Heading2"/>
        <w:numPr>
          <w:ilvl w:val="1"/>
          <w:numId w:val="1"/>
        </w:numPr>
        <w:rPr>
          <w:lang w:val="fr-CA"/>
        </w:rPr>
      </w:pPr>
      <w:r w:rsidRPr="00893D46">
        <w:rPr>
          <w:rStyle w:val="tlid-translation"/>
          <w:lang w:val="fr-FR"/>
        </w:rPr>
        <w:t>Application du système d</w:t>
      </w:r>
      <w:r>
        <w:rPr>
          <w:rStyle w:val="tlid-translation"/>
          <w:lang w:val="fr-FR"/>
        </w:rPr>
        <w:t>’</w:t>
      </w:r>
      <w:r w:rsidRPr="00893D46">
        <w:rPr>
          <w:rStyle w:val="tlid-translation"/>
          <w:lang w:val="fr-FR"/>
        </w:rPr>
        <w:t>autorisations et de quotas afin de contrôler la production, les ventes et les utilisations de HCFC, en réduisant progressivement l</w:t>
      </w:r>
      <w:r>
        <w:rPr>
          <w:rStyle w:val="tlid-translation"/>
          <w:lang w:val="fr-FR"/>
        </w:rPr>
        <w:t>’</w:t>
      </w:r>
      <w:r w:rsidRPr="00893D46">
        <w:rPr>
          <w:rStyle w:val="tlid-translation"/>
          <w:lang w:val="fr-FR"/>
        </w:rPr>
        <w:t>offre intérieure de HCFC conformément aux objectifs de réglementation afin de créer un cadre favorable à l</w:t>
      </w:r>
      <w:r>
        <w:rPr>
          <w:rStyle w:val="tlid-translation"/>
          <w:lang w:val="fr-FR"/>
        </w:rPr>
        <w:t>’</w:t>
      </w:r>
      <w:r w:rsidRPr="00893D46">
        <w:rPr>
          <w:rStyle w:val="tlid-translation"/>
          <w:lang w:val="fr-FR"/>
        </w:rPr>
        <w:t>élimination des HCFC dans le secteur de la réfrigération industrielle et commerciale </w:t>
      </w:r>
      <w:r w:rsidRPr="00893D46">
        <w:rPr>
          <w:lang w:val="fr-FR"/>
        </w:rPr>
        <w:t>;</w:t>
      </w:r>
    </w:p>
    <w:p w14:paraId="5CE09A26" w14:textId="77777777" w:rsidR="00720BA7" w:rsidRPr="00720BA7" w:rsidRDefault="00720BA7" w:rsidP="00720BA7">
      <w:pPr>
        <w:pStyle w:val="Heading2"/>
        <w:numPr>
          <w:ilvl w:val="1"/>
          <w:numId w:val="1"/>
        </w:numPr>
        <w:rPr>
          <w:lang w:val="fr-CA"/>
        </w:rPr>
      </w:pPr>
      <w:r w:rsidRPr="00893D46">
        <w:rPr>
          <w:rStyle w:val="tlid-translation"/>
          <w:lang w:val="fr-FR"/>
        </w:rPr>
        <w:t>Actualisation de la liste des solutions de remplacement clés recommandées pour intégrer les nouveaux produits de remplacement à faible PR</w:t>
      </w:r>
      <w:r>
        <w:rPr>
          <w:rStyle w:val="tlid-translation"/>
          <w:lang w:val="fr-FR"/>
        </w:rPr>
        <w:t>P</w:t>
      </w:r>
      <w:r w:rsidRPr="00893D46">
        <w:rPr>
          <w:rStyle w:val="tlid-translation"/>
          <w:lang w:val="fr-FR"/>
        </w:rPr>
        <w:t xml:space="preserve"> des HCFC </w:t>
      </w:r>
      <w:r w:rsidRPr="00893D46">
        <w:rPr>
          <w:lang w:val="fr-FR"/>
        </w:rPr>
        <w:t>;</w:t>
      </w:r>
    </w:p>
    <w:p w14:paraId="2F8689B5" w14:textId="77777777" w:rsidR="00720BA7" w:rsidRPr="00720BA7" w:rsidRDefault="00720BA7" w:rsidP="00720BA7">
      <w:pPr>
        <w:pStyle w:val="Heading2"/>
        <w:numPr>
          <w:ilvl w:val="1"/>
          <w:numId w:val="1"/>
        </w:numPr>
        <w:rPr>
          <w:lang w:val="fr-CA"/>
        </w:rPr>
      </w:pPr>
      <w:r w:rsidRPr="00893D46">
        <w:rPr>
          <w:lang w:val="fr-FR"/>
        </w:rPr>
        <w:lastRenderedPageBreak/>
        <w:t>Développement de mesures incitatives pour promouvoir l</w:t>
      </w:r>
      <w:r>
        <w:rPr>
          <w:lang w:val="fr-FR"/>
        </w:rPr>
        <w:t>’</w:t>
      </w:r>
      <w:r w:rsidRPr="00893D46">
        <w:rPr>
          <w:lang w:val="fr-FR"/>
        </w:rPr>
        <w:t>adoption de frigorigènes ayant un PAO nul et un faible PRP ;</w:t>
      </w:r>
    </w:p>
    <w:p w14:paraId="575DBFCA" w14:textId="35EE14D7" w:rsidR="00720BA7" w:rsidRPr="00720BA7" w:rsidRDefault="00720BA7" w:rsidP="00720BA7">
      <w:pPr>
        <w:pStyle w:val="Heading2"/>
        <w:numPr>
          <w:ilvl w:val="1"/>
          <w:numId w:val="1"/>
        </w:numPr>
        <w:rPr>
          <w:lang w:val="fr-CA"/>
        </w:rPr>
      </w:pPr>
      <w:r w:rsidRPr="00893D46">
        <w:rPr>
          <w:lang w:val="fr-FR"/>
        </w:rPr>
        <w:t>Élaboration et actualisation de la liste des produits respectueux de l</w:t>
      </w:r>
      <w:r>
        <w:rPr>
          <w:lang w:val="fr-FR"/>
        </w:rPr>
        <w:t>’</w:t>
      </w:r>
      <w:r w:rsidRPr="00893D46">
        <w:rPr>
          <w:lang w:val="fr-FR"/>
        </w:rPr>
        <w:t>environnement pour l</w:t>
      </w:r>
      <w:r>
        <w:rPr>
          <w:lang w:val="fr-FR"/>
        </w:rPr>
        <w:t>’</w:t>
      </w:r>
      <w:r w:rsidRPr="00893D46">
        <w:rPr>
          <w:lang w:val="fr-FR"/>
        </w:rPr>
        <w:t>obtention d</w:t>
      </w:r>
      <w:r>
        <w:rPr>
          <w:lang w:val="fr-FR"/>
        </w:rPr>
        <w:t>’</w:t>
      </w:r>
      <w:r w:rsidRPr="00893D46">
        <w:rPr>
          <w:lang w:val="fr-FR"/>
        </w:rPr>
        <w:t>un label vert et mise à jour des catalogues des marchés publics pour promouvoir leur</w:t>
      </w:r>
      <w:r>
        <w:rPr>
          <w:lang w:val="fr-FR"/>
        </w:rPr>
        <w:t xml:space="preserve"> </w:t>
      </w:r>
      <w:r w:rsidRPr="00893D46">
        <w:rPr>
          <w:lang w:val="fr-FR"/>
        </w:rPr>
        <w:t>adoption</w:t>
      </w:r>
      <w:r w:rsidR="00D75337">
        <w:rPr>
          <w:lang w:val="fr-FR"/>
        </w:rPr>
        <w:t xml:space="preserve"> </w:t>
      </w:r>
      <w:r w:rsidRPr="00893D46">
        <w:rPr>
          <w:lang w:val="fr-FR"/>
        </w:rPr>
        <w:t>;</w:t>
      </w:r>
    </w:p>
    <w:p w14:paraId="42939CD2" w14:textId="5CB155D9" w:rsidR="00720BA7" w:rsidRPr="00720BA7" w:rsidRDefault="00720BA7" w:rsidP="00720BA7">
      <w:pPr>
        <w:pStyle w:val="Heading2"/>
        <w:numPr>
          <w:ilvl w:val="1"/>
          <w:numId w:val="1"/>
        </w:numPr>
        <w:rPr>
          <w:lang w:val="fr-CA"/>
        </w:rPr>
      </w:pPr>
      <w:r w:rsidRPr="00893D46">
        <w:rPr>
          <w:lang w:val="fr-FR"/>
        </w:rPr>
        <w:t>Interdiction de l</w:t>
      </w:r>
      <w:r>
        <w:rPr>
          <w:lang w:val="fr-FR"/>
        </w:rPr>
        <w:t>’</w:t>
      </w:r>
      <w:r w:rsidRPr="00893D46">
        <w:rPr>
          <w:lang w:val="fr-FR"/>
        </w:rPr>
        <w:t>utilisation des HCFC dans les sous-secteurs pour lesquels des technologies de remplacement bien développées sont disponibles sur la base de l</w:t>
      </w:r>
      <w:r>
        <w:rPr>
          <w:lang w:val="fr-FR"/>
        </w:rPr>
        <w:t>’</w:t>
      </w:r>
      <w:r w:rsidRPr="00893D46">
        <w:rPr>
          <w:lang w:val="fr-FR"/>
        </w:rPr>
        <w:t xml:space="preserve">évaluation des impacts socio-économiques et environnementaux ; </w:t>
      </w:r>
      <w:r w:rsidR="00D75337">
        <w:rPr>
          <w:lang w:val="fr-FR"/>
        </w:rPr>
        <w:t>et</w:t>
      </w:r>
    </w:p>
    <w:p w14:paraId="33F40878" w14:textId="77777777" w:rsidR="00720BA7" w:rsidRPr="00720BA7" w:rsidRDefault="00720BA7" w:rsidP="00720BA7">
      <w:pPr>
        <w:pStyle w:val="Heading2"/>
        <w:numPr>
          <w:ilvl w:val="1"/>
          <w:numId w:val="1"/>
        </w:numPr>
        <w:rPr>
          <w:lang w:val="fr-CA"/>
        </w:rPr>
      </w:pPr>
      <w:r>
        <w:rPr>
          <w:rStyle w:val="tlid-translation"/>
          <w:lang w:val="fr-FR"/>
        </w:rPr>
        <w:t xml:space="preserve">Promotion et soutien de </w:t>
      </w:r>
      <w:r w:rsidRPr="002F36CF">
        <w:rPr>
          <w:rStyle w:val="tlid-translation"/>
          <w:lang w:val="fr-FR"/>
        </w:rPr>
        <w:t xml:space="preserve">la recherche, </w:t>
      </w:r>
      <w:r>
        <w:rPr>
          <w:rStyle w:val="tlid-translation"/>
          <w:lang w:val="fr-FR"/>
        </w:rPr>
        <w:t xml:space="preserve">du </w:t>
      </w:r>
      <w:r w:rsidRPr="002F36CF">
        <w:rPr>
          <w:rStyle w:val="tlid-translation"/>
          <w:lang w:val="fr-FR"/>
        </w:rPr>
        <w:t>développement et</w:t>
      </w:r>
      <w:r>
        <w:rPr>
          <w:rStyle w:val="tlid-translation"/>
          <w:lang w:val="fr-FR"/>
        </w:rPr>
        <w:t xml:space="preserve"> de</w:t>
      </w:r>
      <w:r w:rsidRPr="002F36CF">
        <w:rPr>
          <w:rStyle w:val="tlid-translation"/>
          <w:lang w:val="fr-FR"/>
        </w:rPr>
        <w:t xml:space="preserve"> l</w:t>
      </w:r>
      <w:r>
        <w:rPr>
          <w:rStyle w:val="tlid-translation"/>
          <w:lang w:val="fr-FR"/>
        </w:rPr>
        <w:t>’</w:t>
      </w:r>
      <w:r w:rsidRPr="002F36CF">
        <w:rPr>
          <w:rStyle w:val="tlid-translation"/>
          <w:lang w:val="fr-FR"/>
        </w:rPr>
        <w:t>adoption de technologies de remplacement des HCFC en incluant ces solutions de remplacement dans la liste des technologies respectueuses de l</w:t>
      </w:r>
      <w:r>
        <w:rPr>
          <w:rStyle w:val="tlid-translation"/>
          <w:lang w:val="fr-FR"/>
        </w:rPr>
        <w:t>’</w:t>
      </w:r>
      <w:r w:rsidRPr="002F36CF">
        <w:rPr>
          <w:rStyle w:val="tlid-translation"/>
          <w:lang w:val="fr-FR"/>
        </w:rPr>
        <w:t>environnement pour les politiques nationales de technologie industrielle</w:t>
      </w:r>
      <w:r w:rsidRPr="002F36CF">
        <w:rPr>
          <w:lang w:val="fr-FR"/>
        </w:rPr>
        <w:t>.</w:t>
      </w:r>
    </w:p>
    <w:p w14:paraId="33F5B7D0" w14:textId="77777777" w:rsidR="00720BA7" w:rsidRPr="00C20600" w:rsidRDefault="00720BA7" w:rsidP="00720BA7">
      <w:pPr>
        <w:pStyle w:val="ListParagraph"/>
        <w:widowControl w:val="0"/>
        <w:spacing w:afterLines="100" w:after="240"/>
        <w:ind w:left="0"/>
        <w:contextualSpacing w:val="0"/>
        <w:rPr>
          <w:i/>
          <w:color w:val="000000" w:themeColor="text1"/>
          <w:szCs w:val="20"/>
          <w:lang w:val="en-CA"/>
        </w:rPr>
      </w:pPr>
      <w:r w:rsidRPr="002F36CF">
        <w:rPr>
          <w:i/>
          <w:color w:val="000000" w:themeColor="text1"/>
          <w:szCs w:val="20"/>
          <w:lang w:val="fr-FR"/>
        </w:rPr>
        <w:t>Reconversion des chaînes de fabrication</w:t>
      </w:r>
      <w:r w:rsidRPr="002F36CF">
        <w:rPr>
          <w:i/>
          <w:color w:val="000000" w:themeColor="text1"/>
          <w:szCs w:val="20"/>
          <w:lang w:val="en-CA"/>
        </w:rPr>
        <w:t xml:space="preserve"> </w:t>
      </w:r>
    </w:p>
    <w:p w14:paraId="749986B1" w14:textId="77777777" w:rsidR="00720BA7" w:rsidRPr="00720BA7" w:rsidRDefault="00720BA7" w:rsidP="00720BA7">
      <w:pPr>
        <w:pStyle w:val="Heading1"/>
        <w:rPr>
          <w:rStyle w:val="tw4winMark"/>
          <w:vanish w:val="0"/>
          <w:lang w:val="fr-CA"/>
        </w:rPr>
      </w:pPr>
      <w:r w:rsidRPr="002F36CF">
        <w:rPr>
          <w:lang w:val="fr-FR"/>
        </w:rPr>
        <w:t>Dans la phase II du plan du secteur de la réfrigération industrielle et commerciale, 31 chaînes de fabrication seront reconverties à l</w:t>
      </w:r>
      <w:r>
        <w:rPr>
          <w:lang w:val="fr-FR"/>
        </w:rPr>
        <w:t>’</w:t>
      </w:r>
      <w:r w:rsidRPr="002F36CF">
        <w:rPr>
          <w:lang w:val="fr-FR"/>
        </w:rPr>
        <w:t>utilisation de technologies à faible PRP en vue de l</w:t>
      </w:r>
      <w:r>
        <w:rPr>
          <w:lang w:val="fr-FR"/>
        </w:rPr>
        <w:t>’</w:t>
      </w:r>
      <w:r w:rsidRPr="002F36CF">
        <w:rPr>
          <w:lang w:val="fr-FR"/>
        </w:rPr>
        <w:t>élimination de 1 980 tm.</w:t>
      </w:r>
      <w:r w:rsidRPr="00720BA7">
        <w:rPr>
          <w:lang w:val="fr-CA"/>
        </w:rPr>
        <w:t xml:space="preserve"> </w:t>
      </w:r>
      <w:r w:rsidRPr="002F36CF">
        <w:rPr>
          <w:lang w:val="fr-FR"/>
        </w:rPr>
        <w:t>Sur cette quantité,</w:t>
      </w:r>
      <w:r>
        <w:rPr>
          <w:lang w:val="fr-FR"/>
        </w:rPr>
        <w:t xml:space="preserve"> </w:t>
      </w:r>
      <w:r w:rsidRPr="002F36CF">
        <w:rPr>
          <w:lang w:val="fr-FR"/>
        </w:rPr>
        <w:t xml:space="preserve">580 tm (31 pour cent) seront reconverties au HFC-32, </w:t>
      </w:r>
      <w:r>
        <w:rPr>
          <w:lang w:val="fr-FR"/>
        </w:rPr>
        <w:t xml:space="preserve">et </w:t>
      </w:r>
      <w:r w:rsidRPr="002F36CF">
        <w:rPr>
          <w:lang w:val="fr-FR"/>
        </w:rPr>
        <w:t>1 400 tm (69 pour cent) seront reconverties à d</w:t>
      </w:r>
      <w:r>
        <w:rPr>
          <w:lang w:val="fr-FR"/>
        </w:rPr>
        <w:t>’</w:t>
      </w:r>
      <w:r w:rsidRPr="002F36CF">
        <w:rPr>
          <w:lang w:val="fr-FR"/>
        </w:rPr>
        <w:t>autres technologies à faible PRP.</w:t>
      </w:r>
      <w:r w:rsidRPr="00720BA7">
        <w:rPr>
          <w:lang w:val="fr-CA"/>
        </w:rPr>
        <w:t xml:space="preserve"> </w:t>
      </w:r>
      <w:r w:rsidRPr="002F36CF">
        <w:rPr>
          <w:lang w:val="fr-FR"/>
        </w:rPr>
        <w:t>Trente pour cent des 1 980 tm seront éliminées par les PME.</w:t>
      </w:r>
      <w:r w:rsidRPr="00720BA7">
        <w:rPr>
          <w:lang w:val="fr-CA"/>
        </w:rPr>
        <w:t xml:space="preserve"> </w:t>
      </w:r>
      <w:r w:rsidRPr="00D0684D">
        <w:rPr>
          <w:lang w:val="fr-FR"/>
        </w:rPr>
        <w:t>L</w:t>
      </w:r>
      <w:r>
        <w:rPr>
          <w:lang w:val="fr-FR"/>
        </w:rPr>
        <w:t>’</w:t>
      </w:r>
      <w:r w:rsidRPr="00D0684D">
        <w:rPr>
          <w:lang w:val="fr-FR"/>
        </w:rPr>
        <w:t>élimination et les technologies de remplacement sont présentées au tableau 3.</w:t>
      </w:r>
      <w:r w:rsidRPr="00720BA7">
        <w:rPr>
          <w:lang w:val="fr-CA"/>
        </w:rPr>
        <w:t xml:space="preserve"> </w:t>
      </w:r>
    </w:p>
    <w:p w14:paraId="40D1363A" w14:textId="77777777" w:rsidR="00720BA7" w:rsidRPr="00720BA7" w:rsidRDefault="00720BA7" w:rsidP="00720BA7">
      <w:pPr>
        <w:pStyle w:val="Heading1"/>
        <w:keepNext/>
        <w:keepLines/>
        <w:numPr>
          <w:ilvl w:val="0"/>
          <w:numId w:val="0"/>
        </w:numPr>
        <w:spacing w:after="0"/>
        <w:rPr>
          <w:b/>
          <w:color w:val="000000" w:themeColor="text1"/>
          <w:lang w:val="fr-CA" w:eastAsia="zh-CN"/>
        </w:rPr>
      </w:pPr>
      <w:r w:rsidRPr="00D0684D">
        <w:rPr>
          <w:b/>
          <w:color w:val="000000" w:themeColor="text1"/>
          <w:lang w:val="fr-FR"/>
        </w:rPr>
        <w:t>Tableau 3</w:t>
      </w:r>
      <w:r>
        <w:rPr>
          <w:b/>
          <w:color w:val="000000" w:themeColor="text1"/>
          <w:lang w:val="fr-FR"/>
        </w:rPr>
        <w:t>.</w:t>
      </w:r>
      <w:r w:rsidRPr="00D0684D">
        <w:rPr>
          <w:b/>
          <w:color w:val="000000" w:themeColor="text1"/>
          <w:lang w:val="fr-FR"/>
        </w:rPr>
        <w:t xml:space="preserve"> Élimination des HCFC et technologies de remplacement dans les différents sous-secteurs (tm)</w:t>
      </w:r>
    </w:p>
    <w:tbl>
      <w:tblPr>
        <w:tblW w:w="5002" w:type="pct"/>
        <w:tblLook w:val="04A0" w:firstRow="1" w:lastRow="0" w:firstColumn="1" w:lastColumn="0" w:noHBand="0" w:noVBand="1"/>
      </w:tblPr>
      <w:tblGrid>
        <w:gridCol w:w="1345"/>
        <w:gridCol w:w="1083"/>
        <w:gridCol w:w="990"/>
        <w:gridCol w:w="806"/>
        <w:gridCol w:w="1175"/>
        <w:gridCol w:w="806"/>
        <w:gridCol w:w="1349"/>
        <w:gridCol w:w="818"/>
        <w:gridCol w:w="982"/>
      </w:tblGrid>
      <w:tr w:rsidR="00720BA7" w:rsidRPr="00C20600" w14:paraId="5C3AAC40" w14:textId="77777777" w:rsidTr="00720BA7">
        <w:trPr>
          <w:tblHeader/>
        </w:trPr>
        <w:tc>
          <w:tcPr>
            <w:tcW w:w="12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A27B6" w14:textId="77777777" w:rsidR="00720BA7" w:rsidRPr="00D0684D" w:rsidRDefault="00720BA7" w:rsidP="00720BA7">
            <w:pPr>
              <w:pStyle w:val="NoSpacing"/>
              <w:keepNext/>
              <w:keepLines/>
              <w:jc w:val="left"/>
              <w:rPr>
                <w:rFonts w:cs="Times New Roman"/>
                <w:b/>
                <w:color w:val="000000" w:themeColor="text1"/>
                <w:sz w:val="20"/>
                <w:szCs w:val="20"/>
                <w:lang w:val="en-CA"/>
              </w:rPr>
            </w:pPr>
            <w:r w:rsidRPr="00D0684D">
              <w:rPr>
                <w:rFonts w:cs="Times New Roman"/>
                <w:b/>
                <w:color w:val="000000" w:themeColor="text1"/>
                <w:sz w:val="20"/>
                <w:szCs w:val="20"/>
                <w:lang w:val="fr-FR" w:eastAsia="ja-JP"/>
              </w:rPr>
              <w:t>Sous-secteur</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7724663" w14:textId="77777777" w:rsidR="00720BA7" w:rsidRPr="00D0684D" w:rsidRDefault="00720BA7" w:rsidP="00720BA7">
            <w:pPr>
              <w:pStyle w:val="NoSpacing"/>
              <w:keepNext/>
              <w:keepLines/>
              <w:jc w:val="center"/>
              <w:rPr>
                <w:rFonts w:cs="Times New Roman"/>
                <w:b/>
                <w:color w:val="000000" w:themeColor="text1"/>
                <w:sz w:val="20"/>
                <w:szCs w:val="20"/>
                <w:lang w:val="en-CA"/>
              </w:rPr>
            </w:pPr>
            <w:r w:rsidRPr="00D0684D">
              <w:rPr>
                <w:rFonts w:cs="Times New Roman"/>
                <w:b/>
                <w:color w:val="000000" w:themeColor="text1"/>
                <w:kern w:val="0"/>
                <w:sz w:val="20"/>
                <w:szCs w:val="20"/>
                <w:lang w:val="fr-FR"/>
              </w:rPr>
              <w:t>HFC-32</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031292" w14:textId="77777777" w:rsidR="00720BA7" w:rsidRPr="00D0684D" w:rsidRDefault="00720BA7" w:rsidP="00720BA7">
            <w:pPr>
              <w:pStyle w:val="NoSpacing"/>
              <w:keepNext/>
              <w:keepLines/>
              <w:jc w:val="center"/>
              <w:rPr>
                <w:rFonts w:cs="Times New Roman"/>
                <w:b/>
                <w:color w:val="000000" w:themeColor="text1"/>
                <w:sz w:val="20"/>
                <w:szCs w:val="20"/>
                <w:lang w:val="en-CA"/>
              </w:rPr>
            </w:pPr>
            <w:r w:rsidRPr="00D0684D">
              <w:rPr>
                <w:rFonts w:cs="Times New Roman"/>
                <w:b/>
                <w:color w:val="000000" w:themeColor="text1"/>
                <w:kern w:val="0"/>
                <w:sz w:val="20"/>
                <w:szCs w:val="20"/>
                <w:lang w:val="fr-FR"/>
              </w:rPr>
              <w:t>NH</w:t>
            </w:r>
            <w:r w:rsidRPr="00D0684D">
              <w:rPr>
                <w:rFonts w:cs="Times New Roman"/>
                <w:b/>
                <w:color w:val="000000" w:themeColor="text1"/>
                <w:kern w:val="0"/>
                <w:sz w:val="20"/>
                <w:szCs w:val="20"/>
                <w:vertAlign w:val="subscript"/>
                <w:lang w:val="fr-FR"/>
              </w:rPr>
              <w:t>3</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EEC0CE8" w14:textId="77777777" w:rsidR="00720BA7" w:rsidRPr="00720BA7" w:rsidRDefault="00720BA7" w:rsidP="00720BA7">
            <w:pPr>
              <w:pStyle w:val="NoSpacing"/>
              <w:keepNext/>
              <w:keepLines/>
              <w:jc w:val="center"/>
              <w:rPr>
                <w:rFonts w:cs="Times New Roman"/>
                <w:b/>
                <w:color w:val="000000" w:themeColor="text1"/>
                <w:sz w:val="20"/>
                <w:szCs w:val="20"/>
                <w:lang w:val="fr-CA"/>
              </w:rPr>
            </w:pPr>
            <w:r w:rsidRPr="00D0684D">
              <w:rPr>
                <w:rFonts w:cs="Times New Roman"/>
                <w:b/>
                <w:color w:val="000000" w:themeColor="text1"/>
                <w:kern w:val="0"/>
                <w:sz w:val="20"/>
                <w:szCs w:val="20"/>
                <w:lang w:val="fr-FR"/>
              </w:rPr>
              <w:t>NH</w:t>
            </w:r>
            <w:r w:rsidRPr="00D0684D">
              <w:rPr>
                <w:rFonts w:cs="Times New Roman"/>
                <w:b/>
                <w:color w:val="000000" w:themeColor="text1"/>
                <w:kern w:val="0"/>
                <w:sz w:val="20"/>
                <w:szCs w:val="20"/>
                <w:vertAlign w:val="subscript"/>
                <w:lang w:val="fr-FR"/>
              </w:rPr>
              <w:t>3</w:t>
            </w:r>
            <w:r w:rsidRPr="00D0684D">
              <w:rPr>
                <w:rFonts w:cs="Times New Roman"/>
                <w:b/>
                <w:color w:val="000000" w:themeColor="text1"/>
                <w:kern w:val="0"/>
                <w:sz w:val="20"/>
                <w:szCs w:val="20"/>
                <w:lang w:val="fr-FR"/>
              </w:rPr>
              <w:t>/CO</w:t>
            </w:r>
            <w:r w:rsidRPr="00D0684D">
              <w:rPr>
                <w:rFonts w:cs="Times New Roman"/>
                <w:b/>
                <w:color w:val="000000" w:themeColor="text1"/>
                <w:kern w:val="0"/>
                <w:sz w:val="20"/>
                <w:szCs w:val="20"/>
                <w:vertAlign w:val="subscript"/>
                <w:lang w:val="fr-FR"/>
              </w:rPr>
              <w:t xml:space="preserve">2, </w:t>
            </w:r>
            <w:r w:rsidRPr="00D0684D">
              <w:rPr>
                <w:rFonts w:cs="Times New Roman"/>
                <w:b/>
                <w:color w:val="000000" w:themeColor="text1"/>
                <w:kern w:val="0"/>
                <w:sz w:val="20"/>
                <w:szCs w:val="20"/>
                <w:lang w:val="fr-FR"/>
              </w:rPr>
              <w:t>HFO et mélanges*</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0B7FE05" w14:textId="77777777" w:rsidR="00720BA7" w:rsidRPr="00D0684D" w:rsidRDefault="00720BA7" w:rsidP="00720BA7">
            <w:pPr>
              <w:pStyle w:val="NoSpacing"/>
              <w:keepNext/>
              <w:keepLines/>
              <w:jc w:val="center"/>
              <w:rPr>
                <w:rFonts w:cs="Times New Roman"/>
                <w:b/>
                <w:color w:val="000000" w:themeColor="text1"/>
                <w:sz w:val="20"/>
                <w:szCs w:val="20"/>
                <w:lang w:val="en-CA"/>
              </w:rPr>
            </w:pPr>
            <w:r w:rsidRPr="00D0684D">
              <w:rPr>
                <w:rFonts w:cs="Times New Roman"/>
                <w:b/>
                <w:color w:val="000000" w:themeColor="text1"/>
                <w:kern w:val="0"/>
                <w:sz w:val="20"/>
                <w:szCs w:val="20"/>
                <w:lang w:val="fr-FR"/>
              </w:rPr>
              <w:t>CO</w:t>
            </w:r>
            <w:r w:rsidRPr="00D0684D">
              <w:rPr>
                <w:rFonts w:cs="Times New Roman"/>
                <w:b/>
                <w:color w:val="000000" w:themeColor="text1"/>
                <w:kern w:val="0"/>
                <w:sz w:val="20"/>
                <w:szCs w:val="20"/>
                <w:vertAlign w:val="subscript"/>
                <w:lang w:val="fr-FR"/>
              </w:rPr>
              <w:t xml:space="preserve">2 </w:t>
            </w:r>
            <w:r w:rsidRPr="00D0684D">
              <w:rPr>
                <w:rFonts w:cs="Times New Roman"/>
                <w:b/>
                <w:color w:val="000000" w:themeColor="text1"/>
                <w:kern w:val="0"/>
                <w:sz w:val="20"/>
                <w:szCs w:val="20"/>
                <w:lang w:val="fr-FR"/>
              </w:rPr>
              <w:t>et R-290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98C236" w14:textId="77777777" w:rsidR="00720BA7" w:rsidRPr="00D0684D" w:rsidRDefault="00720BA7" w:rsidP="00720BA7">
            <w:pPr>
              <w:pStyle w:val="NoSpacing"/>
              <w:keepNext/>
              <w:keepLines/>
              <w:jc w:val="center"/>
              <w:rPr>
                <w:rFonts w:cs="Times New Roman"/>
                <w:b/>
                <w:color w:val="000000" w:themeColor="text1"/>
                <w:sz w:val="20"/>
                <w:szCs w:val="20"/>
                <w:lang w:val="en-CA"/>
              </w:rPr>
            </w:pPr>
            <w:r w:rsidRPr="00720BA7">
              <w:rPr>
                <w:rFonts w:cs="Times New Roman"/>
                <w:b/>
                <w:color w:val="000000" w:themeColor="text1"/>
                <w:kern w:val="0"/>
                <w:sz w:val="20"/>
                <w:szCs w:val="20"/>
              </w:rPr>
              <w:t>CO</w:t>
            </w:r>
            <w:r w:rsidRPr="00720BA7">
              <w:rPr>
                <w:rFonts w:cs="Times New Roman"/>
                <w:b/>
                <w:color w:val="000000" w:themeColor="text1"/>
                <w:kern w:val="0"/>
                <w:sz w:val="20"/>
                <w:szCs w:val="20"/>
                <w:vertAlign w:val="subscript"/>
              </w:rPr>
              <w:t>2</w:t>
            </w:r>
            <w:r w:rsidRPr="00720BA7">
              <w:rPr>
                <w:rFonts w:cs="Times New Roman"/>
                <w:b/>
                <w:color w:val="000000" w:themeColor="text1"/>
                <w:sz w:val="20"/>
                <w:szCs w:val="20"/>
              </w:rPr>
              <w:t xml:space="preserve">/HFC-134a </w:t>
            </w:r>
            <w:r w:rsidRPr="00720BA7">
              <w:rPr>
                <w:rFonts w:cs="Times New Roman"/>
                <w:b/>
                <w:color w:val="000000" w:themeColor="text1"/>
                <w:kern w:val="0"/>
                <w:sz w:val="20"/>
                <w:szCs w:val="20"/>
              </w:rPr>
              <w:t>CO</w:t>
            </w:r>
            <w:r w:rsidRPr="00720BA7">
              <w:rPr>
                <w:rFonts w:cs="Times New Roman"/>
                <w:b/>
                <w:color w:val="000000" w:themeColor="text1"/>
                <w:kern w:val="0"/>
                <w:sz w:val="20"/>
                <w:szCs w:val="20"/>
                <w:vertAlign w:val="subscript"/>
              </w:rPr>
              <w:t>2</w:t>
            </w:r>
            <w:r w:rsidRPr="00720BA7">
              <w:rPr>
                <w:rFonts w:cs="Times New Roman"/>
                <w:b/>
                <w:color w:val="000000" w:themeColor="text1"/>
                <w:sz w:val="20"/>
                <w:szCs w:val="20"/>
              </w:rPr>
              <w:t>/HFC-32</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85F5487" w14:textId="77777777" w:rsidR="00720BA7" w:rsidRPr="00D0684D" w:rsidRDefault="00720BA7" w:rsidP="00720BA7">
            <w:pPr>
              <w:pStyle w:val="NoSpacing"/>
              <w:keepNext/>
              <w:keepLines/>
              <w:jc w:val="center"/>
              <w:rPr>
                <w:rFonts w:cs="Times New Roman"/>
                <w:b/>
                <w:color w:val="000000" w:themeColor="text1"/>
                <w:sz w:val="20"/>
                <w:szCs w:val="20"/>
                <w:lang w:val="en-CA"/>
              </w:rPr>
            </w:pPr>
            <w:r w:rsidRPr="00D0684D">
              <w:rPr>
                <w:rFonts w:cs="Times New Roman"/>
                <w:b/>
                <w:color w:val="000000" w:themeColor="text1"/>
                <w:sz w:val="20"/>
                <w:szCs w:val="20"/>
                <w:lang w:val="fr-FR"/>
              </w:rPr>
              <w:t>Total</w:t>
            </w:r>
          </w:p>
        </w:tc>
      </w:tr>
      <w:tr w:rsidR="00720BA7" w:rsidRPr="00C20600" w14:paraId="6768DF40" w14:textId="77777777" w:rsidTr="00720BA7">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51EEF64E" w14:textId="77777777" w:rsidR="00720BA7" w:rsidRPr="00720BA7" w:rsidRDefault="00720BA7" w:rsidP="00720BA7">
            <w:pPr>
              <w:pStyle w:val="NoSpacing"/>
              <w:jc w:val="left"/>
              <w:rPr>
                <w:rFonts w:cs="Times New Roman"/>
                <w:color w:val="000000" w:themeColor="text1"/>
                <w:sz w:val="20"/>
                <w:szCs w:val="20"/>
                <w:lang w:val="fr-CA"/>
              </w:rPr>
            </w:pPr>
            <w:r w:rsidRPr="00D0684D">
              <w:rPr>
                <w:rFonts w:cs="Times New Roman"/>
                <w:color w:val="000000" w:themeColor="text1"/>
                <w:sz w:val="20"/>
                <w:szCs w:val="20"/>
                <w:lang w:val="fr-FR" w:eastAsia="ja-JP"/>
              </w:rPr>
              <w:t>Congélateurs et unités de</w:t>
            </w:r>
            <w:r>
              <w:rPr>
                <w:rFonts w:cs="Times New Roman"/>
                <w:color w:val="000000" w:themeColor="text1"/>
                <w:sz w:val="20"/>
                <w:szCs w:val="20"/>
                <w:lang w:val="fr-FR" w:eastAsia="ja-JP"/>
              </w:rPr>
              <w:t xml:space="preserve"> </w:t>
            </w:r>
            <w:r w:rsidRPr="00D0684D">
              <w:rPr>
                <w:rFonts w:cs="Times New Roman"/>
                <w:color w:val="000000" w:themeColor="text1"/>
                <w:sz w:val="20"/>
                <w:szCs w:val="20"/>
                <w:lang w:val="fr-FR" w:eastAsia="ja-JP"/>
              </w:rPr>
              <w:t>réfrigération et de condensation</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576BED1E"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PME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62748F7B"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CB15DFE"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B6F99DD"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36E7CC9"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0B6327D"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370</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8BBCED6"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370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77FAB118"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1,040</w:t>
            </w:r>
          </w:p>
        </w:tc>
      </w:tr>
      <w:tr w:rsidR="00720BA7" w:rsidRPr="00C20600" w14:paraId="37E6440A" w14:textId="77777777" w:rsidTr="00720BA7">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3D498C11" w14:textId="77777777" w:rsidR="00720BA7" w:rsidRPr="00C20600" w:rsidRDefault="00720BA7" w:rsidP="00720BA7">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498F3EA5"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Grandes entreprises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7630AF3"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DA7B8EF"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80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66E8C8E"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590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A12F45C"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4353FEB"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9E1F3B0"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670</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0C4E6E33" w14:textId="77777777" w:rsidR="00720BA7" w:rsidRPr="00C20600" w:rsidRDefault="00720BA7" w:rsidP="00720BA7">
            <w:pPr>
              <w:pStyle w:val="NoSpacing"/>
              <w:jc w:val="right"/>
              <w:rPr>
                <w:rFonts w:cs="Times New Roman"/>
                <w:color w:val="000000" w:themeColor="text1"/>
                <w:sz w:val="20"/>
                <w:szCs w:val="20"/>
                <w:lang w:val="en-CA"/>
              </w:rPr>
            </w:pPr>
          </w:p>
        </w:tc>
      </w:tr>
      <w:tr w:rsidR="00720BA7" w:rsidRPr="00C20600" w14:paraId="20DB843F" w14:textId="77777777" w:rsidTr="00720BA7">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17CCFF3D" w14:textId="77777777" w:rsidR="00720BA7" w:rsidRPr="00720BA7" w:rsidRDefault="00720BA7" w:rsidP="00720BA7">
            <w:pPr>
              <w:pStyle w:val="NoSpacing"/>
              <w:jc w:val="left"/>
              <w:rPr>
                <w:rFonts w:cs="Times New Roman"/>
                <w:color w:val="000000" w:themeColor="text1"/>
                <w:sz w:val="20"/>
                <w:szCs w:val="20"/>
                <w:lang w:val="fr-CA"/>
              </w:rPr>
            </w:pPr>
            <w:r w:rsidRPr="00D0684D">
              <w:rPr>
                <w:rFonts w:cs="Times New Roman"/>
                <w:color w:val="000000" w:themeColor="text1"/>
                <w:sz w:val="20"/>
                <w:szCs w:val="20"/>
                <w:lang w:val="fr-FR" w:eastAsia="ja-JP"/>
              </w:rPr>
              <w:t>refroidisseur</w:t>
            </w:r>
            <w:r>
              <w:rPr>
                <w:rFonts w:cs="Times New Roman"/>
                <w:color w:val="000000" w:themeColor="text1"/>
                <w:sz w:val="20"/>
                <w:szCs w:val="20"/>
                <w:lang w:val="fr-FR" w:eastAsia="ja-JP"/>
              </w:rPr>
              <w:t>s</w:t>
            </w:r>
            <w:r w:rsidRPr="00D0684D">
              <w:rPr>
                <w:rFonts w:cs="Times New Roman"/>
                <w:color w:val="000000" w:themeColor="text1"/>
                <w:sz w:val="20"/>
                <w:szCs w:val="20"/>
                <w:lang w:val="fr-FR" w:eastAsia="ja-JP"/>
              </w:rPr>
              <w:t xml:space="preserve"> d</w:t>
            </w:r>
            <w:r>
              <w:rPr>
                <w:rFonts w:cs="Times New Roman"/>
                <w:color w:val="000000" w:themeColor="text1"/>
                <w:sz w:val="20"/>
                <w:szCs w:val="20"/>
                <w:lang w:val="fr-FR" w:eastAsia="ja-JP"/>
              </w:rPr>
              <w:t>’</w:t>
            </w:r>
            <w:r w:rsidRPr="00D0684D">
              <w:rPr>
                <w:rFonts w:cs="Times New Roman"/>
                <w:color w:val="000000" w:themeColor="text1"/>
                <w:sz w:val="20"/>
                <w:szCs w:val="20"/>
                <w:lang w:val="fr-FR" w:eastAsia="ja-JP"/>
              </w:rPr>
              <w:t>eau (pompe à chaleur)</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2E688534"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PME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ACADEA6"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110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3CC8070"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67682586"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174618B"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8CEDF80"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360E85A"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110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37BE76AC"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440</w:t>
            </w:r>
          </w:p>
        </w:tc>
      </w:tr>
      <w:tr w:rsidR="00720BA7" w:rsidRPr="00C20600" w14:paraId="1DC64B12" w14:textId="77777777" w:rsidTr="00720BA7">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206D1D9C" w14:textId="77777777" w:rsidR="00720BA7" w:rsidRPr="00C20600" w:rsidRDefault="00720BA7" w:rsidP="00720BA7">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1515B068"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Grandes entreprises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C1D4B3D"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ADC4B9D"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04D819A"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330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871DA4B"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2D057EC"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DC9C922"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330</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5135F35E" w14:textId="77777777" w:rsidR="00720BA7" w:rsidRPr="00C20600" w:rsidRDefault="00720BA7" w:rsidP="00720BA7">
            <w:pPr>
              <w:pStyle w:val="NoSpacing"/>
              <w:jc w:val="right"/>
              <w:rPr>
                <w:rFonts w:cs="Times New Roman"/>
                <w:color w:val="000000" w:themeColor="text1"/>
                <w:sz w:val="20"/>
                <w:szCs w:val="20"/>
                <w:lang w:val="en-CA"/>
              </w:rPr>
            </w:pPr>
          </w:p>
        </w:tc>
      </w:tr>
      <w:tr w:rsidR="00720BA7" w:rsidRPr="00C20600" w14:paraId="441B2D41" w14:textId="77777777" w:rsidTr="00720BA7">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5B3AB6EC" w14:textId="77777777" w:rsidR="00720BA7" w:rsidRPr="00720BA7" w:rsidRDefault="00720BA7" w:rsidP="00720BA7">
            <w:pPr>
              <w:pStyle w:val="NoSpacing"/>
              <w:jc w:val="left"/>
              <w:rPr>
                <w:rFonts w:cs="Times New Roman"/>
                <w:color w:val="000000" w:themeColor="text1"/>
                <w:sz w:val="20"/>
                <w:szCs w:val="20"/>
                <w:lang w:val="fr-CA"/>
              </w:rPr>
            </w:pPr>
            <w:r w:rsidRPr="00D0684D">
              <w:rPr>
                <w:rFonts w:cs="Times New Roman"/>
                <w:color w:val="000000" w:themeColor="text1"/>
                <w:sz w:val="20"/>
                <w:szCs w:val="20"/>
                <w:lang w:val="fr-FR"/>
              </w:rPr>
              <w:t>Chauffe-eau à pompe à chaleur</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76885D37"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PME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686CECE1"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50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5C87524"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6642B427"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8062059"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E13CA8E"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84E635C"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80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6246759F"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80</w:t>
            </w:r>
          </w:p>
        </w:tc>
      </w:tr>
      <w:tr w:rsidR="00720BA7" w:rsidRPr="00C20600" w14:paraId="18D953E5" w14:textId="77777777" w:rsidTr="00720BA7">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61A3DDF1" w14:textId="77777777" w:rsidR="00720BA7" w:rsidRPr="00C20600" w:rsidRDefault="00720BA7" w:rsidP="00720BA7">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668663C1"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Grandes entreprises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CADD0F5"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3362BC8"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03A7D43"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EE43281"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3725D6D"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576DAEA" w14:textId="77777777" w:rsidR="00720BA7" w:rsidRPr="00C20600" w:rsidRDefault="00720BA7" w:rsidP="00720BA7">
            <w:pPr>
              <w:pStyle w:val="NoSpacing"/>
              <w:jc w:val="right"/>
              <w:rPr>
                <w:rFonts w:cs="Times New Roman"/>
                <w:color w:val="000000" w:themeColor="text1"/>
                <w:sz w:val="20"/>
                <w:szCs w:val="20"/>
                <w:lang w:val="en-CA"/>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4BB92550" w14:textId="77777777" w:rsidR="00720BA7" w:rsidRPr="00C20600" w:rsidRDefault="00720BA7" w:rsidP="00720BA7">
            <w:pPr>
              <w:pStyle w:val="NoSpacing"/>
              <w:jc w:val="right"/>
              <w:rPr>
                <w:rFonts w:cs="Times New Roman"/>
                <w:color w:val="000000" w:themeColor="text1"/>
                <w:sz w:val="20"/>
                <w:szCs w:val="20"/>
                <w:lang w:val="en-CA"/>
              </w:rPr>
            </w:pPr>
          </w:p>
        </w:tc>
      </w:tr>
      <w:tr w:rsidR="00720BA7" w:rsidRPr="00C20600" w14:paraId="1F41AE91" w14:textId="77777777" w:rsidTr="00720BA7">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647425E5"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eastAsia="ja-JP"/>
              </w:rPr>
              <w:t>Climatisation individuelle</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56DEBAC0"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PME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9AF3B8E"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100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28C8E54"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53CFAE4"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F71D684"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D3F700D"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5BA845B"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100</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vAlign w:val="center"/>
          </w:tcPr>
          <w:p w14:paraId="2F746489"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420</w:t>
            </w:r>
          </w:p>
        </w:tc>
      </w:tr>
      <w:tr w:rsidR="00720BA7" w:rsidRPr="00C20600" w14:paraId="77EB8D6C" w14:textId="77777777" w:rsidTr="00720BA7">
        <w:tc>
          <w:tcPr>
            <w:tcW w:w="719" w:type="pct"/>
            <w:vMerge/>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tcPr>
          <w:p w14:paraId="35D2BF80" w14:textId="77777777" w:rsidR="00720BA7" w:rsidRPr="00C20600" w:rsidRDefault="00720BA7" w:rsidP="00720BA7">
            <w:pPr>
              <w:pStyle w:val="NoSpacing"/>
              <w:jc w:val="left"/>
              <w:rPr>
                <w:rFonts w:cs="Times New Roman"/>
                <w:color w:val="000000" w:themeColor="text1"/>
                <w:sz w:val="20"/>
                <w:szCs w:val="20"/>
                <w:lang w:val="en-CA" w:eastAsia="ja-JP"/>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71096EA2"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Grandes entreprises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1E63497"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77C4285" w14:textId="77777777" w:rsidR="00720BA7" w:rsidRPr="00C20600" w:rsidRDefault="00720BA7" w:rsidP="00720BA7">
            <w:pPr>
              <w:pStyle w:val="NoSpacing"/>
              <w:jc w:val="right"/>
              <w:rPr>
                <w:rFonts w:cs="Times New Roman"/>
                <w:color w:val="000000" w:themeColor="text1"/>
                <w:sz w:val="20"/>
                <w:szCs w:val="20"/>
                <w:lang w:val="en-CA"/>
              </w:rPr>
            </w:pP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510D4F7" w14:textId="77777777" w:rsidR="00720BA7" w:rsidRPr="00C20600" w:rsidRDefault="00720BA7" w:rsidP="00720BA7">
            <w:pPr>
              <w:pStyle w:val="NoSpacing"/>
              <w:jc w:val="right"/>
              <w:rPr>
                <w:rFonts w:cs="Times New Roman"/>
                <w:color w:val="000000" w:themeColor="text1"/>
                <w:sz w:val="20"/>
                <w:szCs w:val="20"/>
                <w:lang w:val="en-CA"/>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1C6C9BD" w14:textId="77777777" w:rsidR="00720BA7" w:rsidRPr="00C20600" w:rsidRDefault="00720BA7" w:rsidP="00720BA7">
            <w:pPr>
              <w:pStyle w:val="NoSpacing"/>
              <w:jc w:val="right"/>
              <w:rPr>
                <w:rFonts w:cs="Times New Roman"/>
                <w:color w:val="000000" w:themeColor="text1"/>
                <w:sz w:val="20"/>
                <w:szCs w:val="20"/>
                <w:lang w:val="en-CA"/>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23658D5" w14:textId="77777777" w:rsidR="00720BA7" w:rsidRPr="00C20600" w:rsidRDefault="00720BA7" w:rsidP="00720BA7">
            <w:pPr>
              <w:pStyle w:val="NoSpacing"/>
              <w:jc w:val="right"/>
              <w:rPr>
                <w:rFonts w:cs="Times New Roman"/>
                <w:color w:val="000000" w:themeColor="text1"/>
                <w:sz w:val="20"/>
                <w:szCs w:val="20"/>
                <w:lang w:val="en-CA"/>
              </w:rPr>
            </w:pPr>
          </w:p>
        </w:tc>
        <w:tc>
          <w:tcPr>
            <w:tcW w:w="437"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9FAE947"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320</w:t>
            </w: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9D4130D" w14:textId="77777777" w:rsidR="00720BA7" w:rsidRPr="00C20600" w:rsidRDefault="00720BA7" w:rsidP="00720BA7">
            <w:pPr>
              <w:pStyle w:val="NoSpacing"/>
              <w:jc w:val="right"/>
              <w:rPr>
                <w:rFonts w:cs="Times New Roman"/>
                <w:color w:val="000000" w:themeColor="text1"/>
                <w:sz w:val="20"/>
                <w:szCs w:val="20"/>
                <w:lang w:val="en-CA"/>
              </w:rPr>
            </w:pPr>
          </w:p>
        </w:tc>
      </w:tr>
      <w:tr w:rsidR="00720BA7" w:rsidRPr="00C20600" w14:paraId="1590CF2E" w14:textId="77777777" w:rsidTr="00720BA7">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0" w:type="dxa"/>
            </w:tcMar>
            <w:vAlign w:val="center"/>
          </w:tcPr>
          <w:p w14:paraId="229D4ED0" w14:textId="77777777" w:rsidR="00720BA7" w:rsidRPr="00D0684D" w:rsidRDefault="00720BA7" w:rsidP="00720BA7">
            <w:pPr>
              <w:pStyle w:val="NoSpacing"/>
              <w:jc w:val="left"/>
              <w:rPr>
                <w:rFonts w:cs="Times New Roman"/>
                <w:b/>
                <w:color w:val="000000" w:themeColor="text1"/>
                <w:sz w:val="20"/>
                <w:szCs w:val="20"/>
                <w:lang w:val="en-CA"/>
              </w:rPr>
            </w:pPr>
            <w:r w:rsidRPr="00D0684D">
              <w:rPr>
                <w:rFonts w:cs="Times New Roman"/>
                <w:b/>
                <w:color w:val="000000" w:themeColor="text1"/>
                <w:sz w:val="20"/>
                <w:szCs w:val="20"/>
                <w:lang w:val="fr-FR"/>
              </w:rPr>
              <w:t>Total</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07E54EAB"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PME</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307A614"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260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77B0A55"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6483A25"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BEB7110"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25D4190"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370</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EA9077A"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660</w:t>
            </w:r>
          </w:p>
        </w:tc>
      </w:tr>
      <w:tr w:rsidR="00720BA7" w:rsidRPr="00C20600" w14:paraId="236A11FC" w14:textId="77777777" w:rsidTr="00720BA7">
        <w:tc>
          <w:tcPr>
            <w:tcW w:w="719" w:type="pct"/>
            <w:vMerge/>
            <w:tcBorders>
              <w:top w:val="single" w:sz="4" w:space="0" w:color="000000"/>
              <w:left w:val="single" w:sz="4" w:space="0" w:color="000000"/>
              <w:bottom w:val="single" w:sz="4" w:space="0" w:color="000000"/>
              <w:right w:val="single" w:sz="4" w:space="0" w:color="000000"/>
            </w:tcBorders>
            <w:shd w:val="clear" w:color="auto" w:fill="auto"/>
          </w:tcPr>
          <w:p w14:paraId="6F68D4DA" w14:textId="77777777" w:rsidR="00720BA7" w:rsidRPr="00C20600" w:rsidRDefault="00720BA7" w:rsidP="00720BA7">
            <w:pPr>
              <w:pStyle w:val="NoSpacing"/>
              <w:jc w:val="center"/>
              <w:rPr>
                <w:rFonts w:cs="Times New Roman"/>
                <w:color w:val="000000" w:themeColor="text1"/>
                <w:sz w:val="20"/>
                <w:szCs w:val="20"/>
                <w:lang w:val="en-CA"/>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23BA916E" w14:textId="77777777" w:rsidR="00720BA7" w:rsidRPr="00D0684D" w:rsidRDefault="00720BA7" w:rsidP="00720BA7">
            <w:pPr>
              <w:pStyle w:val="NoSpacing"/>
              <w:jc w:val="left"/>
              <w:rPr>
                <w:rFonts w:cs="Times New Roman"/>
                <w:color w:val="000000" w:themeColor="text1"/>
                <w:sz w:val="20"/>
                <w:szCs w:val="20"/>
                <w:lang w:val="en-CA"/>
              </w:rPr>
            </w:pPr>
            <w:r w:rsidRPr="00D0684D">
              <w:rPr>
                <w:rFonts w:cs="Times New Roman"/>
                <w:color w:val="000000" w:themeColor="text1"/>
                <w:sz w:val="20"/>
                <w:szCs w:val="20"/>
                <w:lang w:val="fr-FR"/>
              </w:rPr>
              <w:t>Grandes entreprises</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769E188"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320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3FDFD91"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80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1F57161"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920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00B5793"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0E2B8B3C" w14:textId="77777777" w:rsidR="00720BA7" w:rsidRPr="00C20600" w:rsidRDefault="00720BA7" w:rsidP="00720BA7">
            <w:pPr>
              <w:pStyle w:val="NoSpacing"/>
              <w:jc w:val="right"/>
              <w:rPr>
                <w:rFonts w:cs="Times New Roman"/>
                <w:color w:val="000000" w:themeColor="text1"/>
                <w:sz w:val="20"/>
                <w:szCs w:val="20"/>
                <w:lang w:val="en-CA"/>
              </w:rPr>
            </w:pP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7892555" w14:textId="77777777" w:rsidR="00720BA7" w:rsidRPr="00C20600" w:rsidRDefault="00720BA7" w:rsidP="00720BA7">
            <w:pPr>
              <w:pStyle w:val="NoSpacing"/>
              <w:jc w:val="right"/>
              <w:rPr>
                <w:rFonts w:cs="Times New Roman"/>
                <w:color w:val="000000" w:themeColor="text1"/>
                <w:sz w:val="20"/>
                <w:szCs w:val="20"/>
                <w:lang w:val="en-CA"/>
              </w:rPr>
            </w:pPr>
            <w:r w:rsidRPr="00C20600">
              <w:rPr>
                <w:rFonts w:cs="Times New Roman"/>
                <w:color w:val="000000" w:themeColor="text1"/>
                <w:sz w:val="20"/>
                <w:szCs w:val="20"/>
                <w:lang w:val="en-CA"/>
              </w:rPr>
              <w:t>1,320</w:t>
            </w:r>
          </w:p>
        </w:tc>
      </w:tr>
      <w:tr w:rsidR="00720BA7" w:rsidRPr="00C20600" w14:paraId="3501C6A7" w14:textId="77777777" w:rsidTr="00720BA7">
        <w:tc>
          <w:tcPr>
            <w:tcW w:w="719" w:type="pct"/>
            <w:vMerge/>
            <w:tcBorders>
              <w:top w:val="single" w:sz="4" w:space="0" w:color="000000"/>
              <w:left w:val="single" w:sz="4" w:space="0" w:color="000000"/>
              <w:bottom w:val="single" w:sz="4" w:space="0" w:color="000000"/>
              <w:right w:val="single" w:sz="4" w:space="0" w:color="000000"/>
            </w:tcBorders>
            <w:shd w:val="clear" w:color="auto" w:fill="auto"/>
          </w:tcPr>
          <w:p w14:paraId="3740BDCC" w14:textId="77777777" w:rsidR="00720BA7" w:rsidRPr="00C20600" w:rsidRDefault="00720BA7" w:rsidP="00720BA7">
            <w:pPr>
              <w:pStyle w:val="NoSpacing"/>
              <w:jc w:val="center"/>
              <w:rPr>
                <w:rFonts w:cs="Times New Roman"/>
                <w:color w:val="000000" w:themeColor="text1"/>
                <w:sz w:val="20"/>
                <w:szCs w:val="20"/>
                <w:lang w:val="en-CA"/>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left w:w="58" w:type="dxa"/>
              <w:right w:w="0" w:type="dxa"/>
            </w:tcMar>
            <w:vAlign w:val="center"/>
          </w:tcPr>
          <w:p w14:paraId="49BE1F5D" w14:textId="77777777" w:rsidR="00720BA7" w:rsidRPr="00D0684D" w:rsidRDefault="00720BA7" w:rsidP="00720BA7">
            <w:pPr>
              <w:pStyle w:val="NoSpacing"/>
              <w:jc w:val="left"/>
              <w:rPr>
                <w:rFonts w:cs="Times New Roman"/>
                <w:b/>
                <w:color w:val="000000" w:themeColor="text1"/>
                <w:sz w:val="20"/>
                <w:szCs w:val="20"/>
                <w:lang w:val="en-CA"/>
              </w:rPr>
            </w:pPr>
            <w:r w:rsidRPr="00D0684D">
              <w:rPr>
                <w:rFonts w:cs="Times New Roman"/>
                <w:b/>
                <w:color w:val="000000" w:themeColor="text1"/>
                <w:sz w:val="20"/>
                <w:szCs w:val="20"/>
                <w:lang w:val="fr-FR"/>
              </w:rPr>
              <w:t>Total</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1DC60DFA" w14:textId="77777777" w:rsidR="00720BA7" w:rsidRPr="00C20600" w:rsidRDefault="00720BA7" w:rsidP="00720BA7">
            <w:pPr>
              <w:pStyle w:val="NoSpacing"/>
              <w:jc w:val="right"/>
              <w:rPr>
                <w:rFonts w:cs="Times New Roman"/>
                <w:b/>
                <w:color w:val="000000" w:themeColor="text1"/>
                <w:sz w:val="20"/>
                <w:szCs w:val="20"/>
                <w:lang w:val="en-CA"/>
              </w:rPr>
            </w:pPr>
            <w:r w:rsidRPr="00C20600">
              <w:rPr>
                <w:rFonts w:cs="Times New Roman"/>
                <w:b/>
                <w:color w:val="000000" w:themeColor="text1"/>
                <w:sz w:val="20"/>
                <w:szCs w:val="20"/>
                <w:lang w:val="en-CA"/>
              </w:rPr>
              <w:t>580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5212E578" w14:textId="77777777" w:rsidR="00720BA7" w:rsidRPr="00C20600" w:rsidRDefault="00720BA7" w:rsidP="00720BA7">
            <w:pPr>
              <w:pStyle w:val="NoSpacing"/>
              <w:jc w:val="right"/>
              <w:rPr>
                <w:rFonts w:cs="Times New Roman"/>
                <w:b/>
                <w:color w:val="000000" w:themeColor="text1"/>
                <w:sz w:val="20"/>
                <w:szCs w:val="20"/>
                <w:lang w:val="en-CA"/>
              </w:rPr>
            </w:pPr>
            <w:r w:rsidRPr="00C20600">
              <w:rPr>
                <w:rFonts w:cs="Times New Roman"/>
                <w:b/>
                <w:color w:val="000000" w:themeColor="text1"/>
                <w:sz w:val="20"/>
                <w:szCs w:val="20"/>
                <w:lang w:val="en-CA"/>
              </w:rPr>
              <w:t>80</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39FA0888" w14:textId="77777777" w:rsidR="00720BA7" w:rsidRPr="00C20600" w:rsidRDefault="00720BA7" w:rsidP="00720BA7">
            <w:pPr>
              <w:pStyle w:val="NoSpacing"/>
              <w:jc w:val="right"/>
              <w:rPr>
                <w:rFonts w:cs="Times New Roman"/>
                <w:b/>
                <w:color w:val="000000" w:themeColor="text1"/>
                <w:sz w:val="20"/>
                <w:szCs w:val="20"/>
                <w:lang w:val="en-CA"/>
              </w:rPr>
            </w:pPr>
            <w:r w:rsidRPr="00C20600">
              <w:rPr>
                <w:rFonts w:cs="Times New Roman"/>
                <w:b/>
                <w:color w:val="000000" w:themeColor="text1"/>
                <w:sz w:val="20"/>
                <w:szCs w:val="20"/>
                <w:lang w:val="en-CA"/>
              </w:rPr>
              <w:t>920</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48261E60" w14:textId="77777777" w:rsidR="00720BA7" w:rsidRPr="00C20600" w:rsidRDefault="00720BA7" w:rsidP="00720BA7">
            <w:pPr>
              <w:pStyle w:val="NoSpacing"/>
              <w:jc w:val="right"/>
              <w:rPr>
                <w:rFonts w:cs="Times New Roman"/>
                <w:b/>
                <w:color w:val="000000" w:themeColor="text1"/>
                <w:sz w:val="20"/>
                <w:szCs w:val="20"/>
                <w:lang w:val="en-CA"/>
              </w:rPr>
            </w:pPr>
            <w:r w:rsidRPr="00C20600">
              <w:rPr>
                <w:rFonts w:cs="Times New Roman"/>
                <w:b/>
                <w:color w:val="000000" w:themeColor="text1"/>
                <w:sz w:val="20"/>
                <w:szCs w:val="20"/>
                <w:lang w:val="en-CA"/>
              </w:rPr>
              <w:t>30</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796821F6" w14:textId="77777777" w:rsidR="00720BA7" w:rsidRPr="00C20600" w:rsidRDefault="00720BA7" w:rsidP="00720BA7">
            <w:pPr>
              <w:pStyle w:val="NoSpacing"/>
              <w:jc w:val="right"/>
              <w:rPr>
                <w:rFonts w:cs="Times New Roman"/>
                <w:b/>
                <w:color w:val="000000" w:themeColor="text1"/>
                <w:sz w:val="20"/>
                <w:szCs w:val="20"/>
                <w:lang w:val="en-CA"/>
              </w:rPr>
            </w:pPr>
            <w:r w:rsidRPr="00C20600">
              <w:rPr>
                <w:rFonts w:cs="Times New Roman"/>
                <w:b/>
                <w:color w:val="000000" w:themeColor="text1"/>
                <w:sz w:val="20"/>
                <w:szCs w:val="20"/>
                <w:lang w:val="en-CA"/>
              </w:rPr>
              <w:t>370</w:t>
            </w:r>
          </w:p>
        </w:tc>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73" w:type="dxa"/>
            </w:tcMar>
          </w:tcPr>
          <w:p w14:paraId="2AEBD972" w14:textId="77777777" w:rsidR="00720BA7" w:rsidRPr="00C20600" w:rsidRDefault="00720BA7" w:rsidP="00720BA7">
            <w:pPr>
              <w:pStyle w:val="NoSpacing"/>
              <w:jc w:val="right"/>
              <w:rPr>
                <w:rFonts w:cs="Times New Roman"/>
                <w:b/>
                <w:color w:val="000000" w:themeColor="text1"/>
                <w:sz w:val="20"/>
                <w:szCs w:val="20"/>
                <w:lang w:val="en-CA"/>
              </w:rPr>
            </w:pPr>
            <w:r w:rsidRPr="00C20600">
              <w:rPr>
                <w:rFonts w:cs="Times New Roman"/>
                <w:b/>
                <w:color w:val="000000" w:themeColor="text1"/>
                <w:sz w:val="20"/>
                <w:szCs w:val="20"/>
                <w:lang w:val="en-CA"/>
              </w:rPr>
              <w:t>1,980</w:t>
            </w:r>
          </w:p>
        </w:tc>
      </w:tr>
    </w:tbl>
    <w:p w14:paraId="202EBF26" w14:textId="77777777" w:rsidR="00720BA7" w:rsidRPr="00720BA7" w:rsidRDefault="00720BA7" w:rsidP="00720BA7">
      <w:pPr>
        <w:pStyle w:val="PlainText"/>
        <w:rPr>
          <w:rFonts w:ascii="Times New Roman" w:hAnsi="Times New Roman" w:cs="Times New Roman"/>
          <w:color w:val="000000" w:themeColor="text1"/>
          <w:sz w:val="19"/>
          <w:szCs w:val="19"/>
          <w:lang w:val="fr-CA"/>
        </w:rPr>
      </w:pPr>
      <w:r w:rsidRPr="00D0684D">
        <w:rPr>
          <w:rFonts w:ascii="Times New Roman" w:hAnsi="Times New Roman" w:cs="Times New Roman"/>
          <w:color w:val="000000" w:themeColor="text1"/>
          <w:sz w:val="19"/>
          <w:szCs w:val="19"/>
          <w:lang w:val="fr-FR"/>
        </w:rPr>
        <w:t>* HFO et ses mélanges, y compris HFO-1234yf, HFO-1234ze(E), HFO-1234ze(Z), HCFO-1233zd(E), et HFO-1336mzz(Z), ainsi que</w:t>
      </w:r>
      <w:r>
        <w:rPr>
          <w:rFonts w:ascii="Times New Roman" w:hAnsi="Times New Roman" w:cs="Times New Roman"/>
          <w:color w:val="000000" w:themeColor="text1"/>
          <w:sz w:val="19"/>
          <w:szCs w:val="19"/>
          <w:lang w:val="fr-FR"/>
        </w:rPr>
        <w:t xml:space="preserve"> </w:t>
      </w:r>
      <w:r w:rsidRPr="00D0684D">
        <w:rPr>
          <w:rFonts w:ascii="Times New Roman" w:hAnsi="Times New Roman" w:cs="Times New Roman"/>
          <w:color w:val="000000" w:themeColor="text1"/>
          <w:sz w:val="19"/>
          <w:szCs w:val="19"/>
          <w:lang w:val="fr-FR"/>
        </w:rPr>
        <w:t>R-513A, R-515A etc., contenant ces</w:t>
      </w:r>
      <w:r>
        <w:rPr>
          <w:rFonts w:ascii="Times New Roman" w:hAnsi="Times New Roman" w:cs="Times New Roman"/>
          <w:color w:val="000000" w:themeColor="text1"/>
          <w:sz w:val="19"/>
          <w:szCs w:val="19"/>
          <w:lang w:val="fr-FR"/>
        </w:rPr>
        <w:t xml:space="preserve"> </w:t>
      </w:r>
      <w:r w:rsidRPr="00D0684D">
        <w:rPr>
          <w:rFonts w:ascii="Times New Roman" w:hAnsi="Times New Roman" w:cs="Times New Roman"/>
          <w:color w:val="000000" w:themeColor="text1"/>
          <w:sz w:val="19"/>
          <w:szCs w:val="19"/>
          <w:lang w:val="fr-FR"/>
        </w:rPr>
        <w:t>substances.</w:t>
      </w:r>
      <w:r w:rsidRPr="00720BA7">
        <w:rPr>
          <w:rFonts w:ascii="Times New Roman" w:hAnsi="Times New Roman" w:cs="Times New Roman"/>
          <w:color w:val="000000" w:themeColor="text1"/>
          <w:sz w:val="19"/>
          <w:szCs w:val="19"/>
          <w:lang w:val="fr-CA"/>
        </w:rPr>
        <w:t xml:space="preserve"> </w:t>
      </w:r>
    </w:p>
    <w:p w14:paraId="3C67DD69" w14:textId="77777777" w:rsidR="00720BA7" w:rsidRPr="00720BA7" w:rsidRDefault="00720BA7" w:rsidP="00720BA7">
      <w:pPr>
        <w:pStyle w:val="PlainText"/>
        <w:rPr>
          <w:rFonts w:ascii="Times New Roman" w:hAnsi="Times New Roman" w:cs="Times New Roman"/>
          <w:color w:val="000000" w:themeColor="text1"/>
          <w:sz w:val="22"/>
          <w:lang w:val="fr-CA"/>
        </w:rPr>
      </w:pPr>
    </w:p>
    <w:p w14:paraId="77A5DF5B" w14:textId="77777777" w:rsidR="00720BA7" w:rsidRPr="00720BA7" w:rsidRDefault="00720BA7" w:rsidP="00720BA7">
      <w:pPr>
        <w:pStyle w:val="Heading1"/>
        <w:rPr>
          <w:lang w:val="fr-CA"/>
        </w:rPr>
      </w:pPr>
      <w:r w:rsidRPr="00D0684D">
        <w:rPr>
          <w:rStyle w:val="tlid-translation"/>
          <w:lang w:val="fr-FR"/>
        </w:rPr>
        <w:t>Les reconversions de</w:t>
      </w:r>
      <w:r>
        <w:rPr>
          <w:rStyle w:val="tlid-translation"/>
          <w:lang w:val="fr-FR"/>
        </w:rPr>
        <w:t>s</w:t>
      </w:r>
      <w:r w:rsidRPr="00D0684D">
        <w:rPr>
          <w:rStyle w:val="tlid-translation"/>
          <w:lang w:val="fr-FR"/>
        </w:rPr>
        <w:t xml:space="preserve"> chaînes de fabrication et les technologies de remplacement sont présentées au tableau 4. De plus, deux </w:t>
      </w:r>
      <w:r>
        <w:rPr>
          <w:rStyle w:val="tlid-translation"/>
          <w:lang w:val="fr-FR"/>
        </w:rPr>
        <w:t>chaînes</w:t>
      </w:r>
      <w:r w:rsidRPr="00D0684D">
        <w:rPr>
          <w:rStyle w:val="tlid-translation"/>
          <w:lang w:val="fr-FR"/>
        </w:rPr>
        <w:t xml:space="preserve"> de compresseurs seront reconverties au R 513A au cours de la période 2021-2023</w:t>
      </w:r>
      <w:r w:rsidRPr="00D0684D">
        <w:rPr>
          <w:lang w:val="fr-FR"/>
        </w:rPr>
        <w:t>.</w:t>
      </w:r>
    </w:p>
    <w:p w14:paraId="31769A93" w14:textId="77777777" w:rsidR="00720BA7" w:rsidRPr="00720BA7" w:rsidRDefault="00720BA7" w:rsidP="00D75337">
      <w:pPr>
        <w:pStyle w:val="PlainText"/>
        <w:keepNext/>
        <w:keepLines/>
        <w:spacing w:before="240"/>
        <w:contextualSpacing/>
        <w:rPr>
          <w:rFonts w:ascii="Times New Roman" w:hAnsi="Times New Roman" w:cs="Times New Roman"/>
          <w:b/>
          <w:color w:val="000000" w:themeColor="text1"/>
          <w:sz w:val="22"/>
          <w:lang w:val="fr-CA"/>
        </w:rPr>
      </w:pPr>
      <w:r w:rsidRPr="00D0684D">
        <w:rPr>
          <w:rFonts w:ascii="Times New Roman" w:hAnsi="Times New Roman" w:cs="Times New Roman"/>
          <w:b/>
          <w:color w:val="000000" w:themeColor="text1"/>
          <w:sz w:val="22"/>
          <w:lang w:val="fr-FR"/>
        </w:rPr>
        <w:lastRenderedPageBreak/>
        <w:t>Tableau 4</w:t>
      </w:r>
      <w:r>
        <w:rPr>
          <w:rFonts w:ascii="Times New Roman" w:hAnsi="Times New Roman" w:cs="Times New Roman"/>
          <w:b/>
          <w:color w:val="000000" w:themeColor="text1"/>
          <w:sz w:val="22"/>
          <w:lang w:val="fr-FR"/>
        </w:rPr>
        <w:t>.</w:t>
      </w:r>
      <w:r w:rsidRPr="00D0684D">
        <w:rPr>
          <w:rFonts w:ascii="Times New Roman" w:hAnsi="Times New Roman" w:cs="Times New Roman"/>
          <w:b/>
          <w:color w:val="000000" w:themeColor="text1"/>
          <w:sz w:val="22"/>
          <w:lang w:val="fr-FR"/>
        </w:rPr>
        <w:t xml:space="preserve"> Reconversion des chaînes de fabrication et technologies de remplacement dans les sous-secteurs</w:t>
      </w:r>
    </w:p>
    <w:tbl>
      <w:tblPr>
        <w:tblStyle w:val="TableGrid"/>
        <w:tblW w:w="5000" w:type="pct"/>
        <w:tblLayout w:type="fixed"/>
        <w:tblLook w:val="04A0" w:firstRow="1" w:lastRow="0" w:firstColumn="1" w:lastColumn="0" w:noHBand="0" w:noVBand="1"/>
      </w:tblPr>
      <w:tblGrid>
        <w:gridCol w:w="2334"/>
        <w:gridCol w:w="1169"/>
        <w:gridCol w:w="813"/>
        <w:gridCol w:w="1260"/>
        <w:gridCol w:w="1079"/>
        <w:gridCol w:w="1526"/>
        <w:gridCol w:w="1169"/>
      </w:tblGrid>
      <w:tr w:rsidR="00720BA7" w:rsidRPr="00C20600" w14:paraId="09515865" w14:textId="77777777" w:rsidTr="00720BA7">
        <w:trPr>
          <w:trHeight w:val="39"/>
          <w:tblHeader/>
        </w:trPr>
        <w:tc>
          <w:tcPr>
            <w:tcW w:w="1248" w:type="pct"/>
            <w:shd w:val="clear" w:color="auto" w:fill="auto"/>
            <w:vAlign w:val="center"/>
          </w:tcPr>
          <w:p w14:paraId="2E14BE43" w14:textId="77777777" w:rsidR="00720BA7" w:rsidRPr="00D0684D" w:rsidRDefault="00720BA7" w:rsidP="00720BA7">
            <w:pPr>
              <w:pStyle w:val="NoSpacing"/>
              <w:jc w:val="left"/>
              <w:rPr>
                <w:b/>
                <w:color w:val="000000" w:themeColor="text1"/>
                <w:sz w:val="20"/>
                <w:lang w:val="en-CA"/>
              </w:rPr>
            </w:pPr>
            <w:r w:rsidRPr="00D0684D">
              <w:rPr>
                <w:b/>
                <w:color w:val="000000" w:themeColor="text1"/>
                <w:sz w:val="20"/>
                <w:lang w:val="fr-FR" w:eastAsia="ja-JP"/>
              </w:rPr>
              <w:t>Sous-secteur</w:t>
            </w:r>
          </w:p>
        </w:tc>
        <w:tc>
          <w:tcPr>
            <w:tcW w:w="625" w:type="pct"/>
            <w:shd w:val="clear" w:color="auto" w:fill="auto"/>
            <w:tcMar>
              <w:left w:w="0" w:type="dxa"/>
              <w:right w:w="0" w:type="dxa"/>
            </w:tcMar>
            <w:vAlign w:val="center"/>
          </w:tcPr>
          <w:p w14:paraId="6CD3E767" w14:textId="77777777" w:rsidR="00720BA7" w:rsidRPr="00D0684D" w:rsidRDefault="00720BA7" w:rsidP="00720BA7">
            <w:pPr>
              <w:pStyle w:val="NoSpacing"/>
              <w:jc w:val="center"/>
              <w:rPr>
                <w:b/>
                <w:color w:val="000000" w:themeColor="text1"/>
                <w:sz w:val="20"/>
                <w:lang w:val="en-CA"/>
              </w:rPr>
            </w:pPr>
            <w:r w:rsidRPr="00D0684D">
              <w:rPr>
                <w:b/>
                <w:color w:val="000000" w:themeColor="text1"/>
                <w:kern w:val="0"/>
                <w:sz w:val="20"/>
                <w:lang w:val="fr-FR"/>
              </w:rPr>
              <w:t>HFC-32</w:t>
            </w:r>
          </w:p>
        </w:tc>
        <w:tc>
          <w:tcPr>
            <w:tcW w:w="435" w:type="pct"/>
            <w:shd w:val="clear" w:color="auto" w:fill="auto"/>
            <w:tcMar>
              <w:left w:w="0" w:type="dxa"/>
              <w:right w:w="0" w:type="dxa"/>
            </w:tcMar>
            <w:vAlign w:val="center"/>
          </w:tcPr>
          <w:p w14:paraId="18615D2C" w14:textId="77777777" w:rsidR="00720BA7" w:rsidRPr="00D0684D" w:rsidRDefault="00720BA7" w:rsidP="00720BA7">
            <w:pPr>
              <w:pStyle w:val="NoSpacing"/>
              <w:jc w:val="center"/>
              <w:rPr>
                <w:b/>
                <w:color w:val="000000" w:themeColor="text1"/>
                <w:sz w:val="20"/>
                <w:lang w:val="en-CA"/>
              </w:rPr>
            </w:pPr>
            <w:r w:rsidRPr="00D0684D">
              <w:rPr>
                <w:b/>
                <w:color w:val="000000" w:themeColor="text1"/>
                <w:kern w:val="0"/>
                <w:sz w:val="20"/>
                <w:lang w:val="fr-FR"/>
              </w:rPr>
              <w:t>NH3</w:t>
            </w:r>
          </w:p>
        </w:tc>
        <w:tc>
          <w:tcPr>
            <w:tcW w:w="674" w:type="pct"/>
            <w:shd w:val="clear" w:color="auto" w:fill="auto"/>
            <w:tcMar>
              <w:left w:w="0" w:type="dxa"/>
              <w:right w:w="0" w:type="dxa"/>
            </w:tcMar>
            <w:vAlign w:val="center"/>
          </w:tcPr>
          <w:p w14:paraId="6A40131C" w14:textId="77777777" w:rsidR="00720BA7" w:rsidRPr="00720BA7" w:rsidRDefault="00720BA7" w:rsidP="00720BA7">
            <w:pPr>
              <w:pStyle w:val="NoSpacing"/>
              <w:jc w:val="center"/>
              <w:rPr>
                <w:b/>
                <w:color w:val="000000" w:themeColor="text1"/>
                <w:sz w:val="20"/>
                <w:lang w:val="fr-CA"/>
              </w:rPr>
            </w:pPr>
            <w:r w:rsidRPr="00D0684D">
              <w:rPr>
                <w:b/>
                <w:color w:val="000000" w:themeColor="text1"/>
                <w:kern w:val="0"/>
                <w:sz w:val="20"/>
                <w:lang w:val="fr-FR"/>
              </w:rPr>
              <w:t>NH</w:t>
            </w:r>
            <w:r w:rsidRPr="00D0684D">
              <w:rPr>
                <w:b/>
                <w:color w:val="000000" w:themeColor="text1"/>
                <w:kern w:val="0"/>
                <w:sz w:val="20"/>
                <w:vertAlign w:val="subscript"/>
                <w:lang w:val="fr-FR"/>
              </w:rPr>
              <w:t>3</w:t>
            </w:r>
            <w:r w:rsidRPr="00D0684D">
              <w:rPr>
                <w:b/>
                <w:color w:val="000000" w:themeColor="text1"/>
                <w:kern w:val="0"/>
                <w:sz w:val="20"/>
                <w:lang w:val="fr-FR"/>
              </w:rPr>
              <w:t>/CO2, HFO et mélanges</w:t>
            </w:r>
          </w:p>
        </w:tc>
        <w:tc>
          <w:tcPr>
            <w:tcW w:w="577" w:type="pct"/>
            <w:shd w:val="clear" w:color="auto" w:fill="auto"/>
            <w:tcMar>
              <w:left w:w="0" w:type="dxa"/>
              <w:right w:w="0" w:type="dxa"/>
            </w:tcMar>
            <w:vAlign w:val="center"/>
          </w:tcPr>
          <w:p w14:paraId="372A06DE" w14:textId="77777777" w:rsidR="00720BA7" w:rsidRPr="00D0684D" w:rsidRDefault="00720BA7" w:rsidP="00720BA7">
            <w:pPr>
              <w:pStyle w:val="NoSpacing"/>
              <w:jc w:val="center"/>
              <w:rPr>
                <w:b/>
                <w:color w:val="000000" w:themeColor="text1"/>
                <w:sz w:val="20"/>
                <w:lang w:val="en-CA"/>
              </w:rPr>
            </w:pPr>
            <w:r w:rsidRPr="00D0684D">
              <w:rPr>
                <w:b/>
                <w:color w:val="000000" w:themeColor="text1"/>
                <w:kern w:val="0"/>
                <w:sz w:val="20"/>
                <w:lang w:val="fr-FR"/>
              </w:rPr>
              <w:t>CO</w:t>
            </w:r>
            <w:r w:rsidRPr="00D0684D">
              <w:rPr>
                <w:b/>
                <w:color w:val="000000" w:themeColor="text1"/>
                <w:kern w:val="0"/>
                <w:sz w:val="20"/>
                <w:vertAlign w:val="subscript"/>
                <w:lang w:val="fr-FR"/>
              </w:rPr>
              <w:t xml:space="preserve">2 </w:t>
            </w:r>
            <w:r w:rsidRPr="00D0684D">
              <w:rPr>
                <w:b/>
                <w:color w:val="000000" w:themeColor="text1"/>
                <w:kern w:val="0"/>
                <w:sz w:val="20"/>
                <w:lang w:val="fr-FR"/>
              </w:rPr>
              <w:t>et R</w:t>
            </w:r>
            <w:r w:rsidRPr="00D0684D">
              <w:rPr>
                <w:b/>
                <w:color w:val="000000" w:themeColor="text1"/>
                <w:kern w:val="0"/>
                <w:sz w:val="20"/>
                <w:lang w:val="fr-FR"/>
              </w:rPr>
              <w:noBreakHyphen/>
              <w:t>290</w:t>
            </w:r>
          </w:p>
        </w:tc>
        <w:tc>
          <w:tcPr>
            <w:tcW w:w="816" w:type="pct"/>
            <w:shd w:val="clear" w:color="auto" w:fill="auto"/>
            <w:tcMar>
              <w:left w:w="0" w:type="dxa"/>
              <w:right w:w="0" w:type="dxa"/>
            </w:tcMar>
            <w:vAlign w:val="center"/>
          </w:tcPr>
          <w:p w14:paraId="6256497D" w14:textId="77777777" w:rsidR="00720BA7" w:rsidRPr="00D0684D" w:rsidRDefault="00720BA7" w:rsidP="00720BA7">
            <w:pPr>
              <w:pStyle w:val="NoSpacing"/>
              <w:jc w:val="center"/>
              <w:rPr>
                <w:b/>
                <w:color w:val="000000" w:themeColor="text1"/>
                <w:sz w:val="20"/>
                <w:lang w:val="en-CA"/>
              </w:rPr>
            </w:pPr>
            <w:r w:rsidRPr="00720BA7">
              <w:rPr>
                <w:b/>
                <w:color w:val="000000" w:themeColor="text1"/>
                <w:kern w:val="0"/>
                <w:sz w:val="20"/>
              </w:rPr>
              <w:t>CO2/HFC-134a et CO2/HFC-32</w:t>
            </w:r>
          </w:p>
        </w:tc>
        <w:tc>
          <w:tcPr>
            <w:tcW w:w="625" w:type="pct"/>
            <w:shd w:val="clear" w:color="auto" w:fill="auto"/>
            <w:tcMar>
              <w:left w:w="0" w:type="dxa"/>
              <w:right w:w="0" w:type="dxa"/>
            </w:tcMar>
            <w:vAlign w:val="center"/>
          </w:tcPr>
          <w:p w14:paraId="234E2E42" w14:textId="77777777" w:rsidR="00720BA7" w:rsidRPr="00D0684D" w:rsidRDefault="00720BA7" w:rsidP="00720BA7">
            <w:pPr>
              <w:pStyle w:val="NoSpacing"/>
              <w:jc w:val="center"/>
              <w:rPr>
                <w:b/>
                <w:color w:val="000000" w:themeColor="text1"/>
                <w:sz w:val="20"/>
                <w:lang w:val="en-CA"/>
              </w:rPr>
            </w:pPr>
            <w:r w:rsidRPr="00D0684D">
              <w:rPr>
                <w:b/>
                <w:color w:val="000000" w:themeColor="text1"/>
                <w:sz w:val="20"/>
                <w:lang w:val="fr-FR"/>
              </w:rPr>
              <w:t>Total</w:t>
            </w:r>
          </w:p>
        </w:tc>
      </w:tr>
      <w:tr w:rsidR="00720BA7" w:rsidRPr="00C20600" w14:paraId="4547E129" w14:textId="77777777" w:rsidTr="00720BA7">
        <w:trPr>
          <w:trHeight w:val="215"/>
        </w:trPr>
        <w:tc>
          <w:tcPr>
            <w:tcW w:w="1248" w:type="pct"/>
          </w:tcPr>
          <w:p w14:paraId="10B8D9EF" w14:textId="77777777" w:rsidR="00720BA7" w:rsidRPr="00720BA7" w:rsidRDefault="00720BA7" w:rsidP="00720BA7">
            <w:pPr>
              <w:pStyle w:val="NoSpacing"/>
              <w:jc w:val="left"/>
              <w:rPr>
                <w:color w:val="000000" w:themeColor="text1"/>
                <w:sz w:val="20"/>
                <w:lang w:val="fr-CA"/>
              </w:rPr>
            </w:pPr>
            <w:r w:rsidRPr="00D0684D">
              <w:rPr>
                <w:color w:val="000000" w:themeColor="text1"/>
                <w:sz w:val="20"/>
                <w:lang w:val="fr-FR" w:eastAsia="ja-JP"/>
              </w:rPr>
              <w:t>Congélateurs et unités de</w:t>
            </w:r>
            <w:r>
              <w:rPr>
                <w:color w:val="000000" w:themeColor="text1"/>
                <w:sz w:val="20"/>
                <w:lang w:val="fr-FR" w:eastAsia="ja-JP"/>
              </w:rPr>
              <w:t xml:space="preserve"> </w:t>
            </w:r>
            <w:r w:rsidRPr="00D0684D">
              <w:rPr>
                <w:color w:val="000000" w:themeColor="text1"/>
                <w:sz w:val="20"/>
                <w:lang w:val="fr-FR" w:eastAsia="ja-JP"/>
              </w:rPr>
              <w:t>réfrigération et de condensation</w:t>
            </w:r>
          </w:p>
        </w:tc>
        <w:tc>
          <w:tcPr>
            <w:tcW w:w="625" w:type="pct"/>
            <w:tcMar>
              <w:left w:w="115" w:type="dxa"/>
              <w:right w:w="216" w:type="dxa"/>
            </w:tcMar>
          </w:tcPr>
          <w:p w14:paraId="1E8D64FE" w14:textId="77777777" w:rsidR="00720BA7" w:rsidRPr="00720BA7" w:rsidRDefault="00720BA7" w:rsidP="00720BA7">
            <w:pPr>
              <w:pStyle w:val="NoSpacing"/>
              <w:jc w:val="right"/>
              <w:rPr>
                <w:color w:val="000000" w:themeColor="text1"/>
                <w:sz w:val="20"/>
                <w:lang w:val="fr-CA"/>
              </w:rPr>
            </w:pPr>
          </w:p>
        </w:tc>
        <w:tc>
          <w:tcPr>
            <w:tcW w:w="435" w:type="pct"/>
            <w:tcMar>
              <w:left w:w="115" w:type="dxa"/>
              <w:right w:w="216" w:type="dxa"/>
            </w:tcMar>
          </w:tcPr>
          <w:p w14:paraId="31681C79"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w:t>
            </w:r>
          </w:p>
        </w:tc>
        <w:tc>
          <w:tcPr>
            <w:tcW w:w="674" w:type="pct"/>
            <w:tcMar>
              <w:left w:w="115" w:type="dxa"/>
              <w:right w:w="216" w:type="dxa"/>
            </w:tcMar>
          </w:tcPr>
          <w:p w14:paraId="02190A47"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5</w:t>
            </w:r>
          </w:p>
        </w:tc>
        <w:tc>
          <w:tcPr>
            <w:tcW w:w="577" w:type="pct"/>
            <w:tcMar>
              <w:left w:w="115" w:type="dxa"/>
              <w:right w:w="216" w:type="dxa"/>
            </w:tcMar>
          </w:tcPr>
          <w:p w14:paraId="15AC01BD" w14:textId="77777777" w:rsidR="00720BA7" w:rsidRPr="00C20600" w:rsidRDefault="00720BA7" w:rsidP="00720BA7">
            <w:pPr>
              <w:pStyle w:val="NoSpacing"/>
              <w:jc w:val="right"/>
              <w:rPr>
                <w:color w:val="000000" w:themeColor="text1"/>
                <w:sz w:val="20"/>
                <w:lang w:val="en-CA"/>
              </w:rPr>
            </w:pPr>
          </w:p>
        </w:tc>
        <w:tc>
          <w:tcPr>
            <w:tcW w:w="816" w:type="pct"/>
            <w:tcMar>
              <w:left w:w="115" w:type="dxa"/>
              <w:right w:w="216" w:type="dxa"/>
            </w:tcMar>
          </w:tcPr>
          <w:p w14:paraId="02CB6F21"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9</w:t>
            </w:r>
          </w:p>
        </w:tc>
        <w:tc>
          <w:tcPr>
            <w:tcW w:w="625" w:type="pct"/>
            <w:tcMar>
              <w:left w:w="115" w:type="dxa"/>
              <w:right w:w="216" w:type="dxa"/>
            </w:tcMar>
          </w:tcPr>
          <w:p w14:paraId="517309B2"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15</w:t>
            </w:r>
          </w:p>
        </w:tc>
      </w:tr>
      <w:tr w:rsidR="00720BA7" w:rsidRPr="00C20600" w14:paraId="3FD1A66D" w14:textId="77777777" w:rsidTr="00720BA7">
        <w:trPr>
          <w:trHeight w:val="44"/>
        </w:trPr>
        <w:tc>
          <w:tcPr>
            <w:tcW w:w="1248" w:type="pct"/>
          </w:tcPr>
          <w:p w14:paraId="7195B729" w14:textId="77777777" w:rsidR="00720BA7" w:rsidRPr="00720BA7" w:rsidRDefault="00720BA7" w:rsidP="00720BA7">
            <w:pPr>
              <w:pStyle w:val="NoSpacing"/>
              <w:jc w:val="left"/>
              <w:rPr>
                <w:color w:val="000000" w:themeColor="text1"/>
                <w:sz w:val="20"/>
                <w:lang w:val="fr-CA"/>
              </w:rPr>
            </w:pPr>
            <w:r w:rsidRPr="00D0684D">
              <w:rPr>
                <w:color w:val="000000" w:themeColor="text1"/>
                <w:sz w:val="20"/>
                <w:lang w:val="fr-FR" w:eastAsia="ja-JP"/>
              </w:rPr>
              <w:t>Refroidisseur d</w:t>
            </w:r>
            <w:r>
              <w:rPr>
                <w:color w:val="000000" w:themeColor="text1"/>
                <w:sz w:val="20"/>
                <w:lang w:val="fr-FR" w:eastAsia="ja-JP"/>
              </w:rPr>
              <w:t>’</w:t>
            </w:r>
            <w:r w:rsidRPr="00D0684D">
              <w:rPr>
                <w:color w:val="000000" w:themeColor="text1"/>
                <w:sz w:val="20"/>
                <w:lang w:val="fr-FR" w:eastAsia="ja-JP"/>
              </w:rPr>
              <w:t>eau (pompe à chaleur)</w:t>
            </w:r>
          </w:p>
        </w:tc>
        <w:tc>
          <w:tcPr>
            <w:tcW w:w="625" w:type="pct"/>
            <w:tcMar>
              <w:left w:w="115" w:type="dxa"/>
              <w:right w:w="216" w:type="dxa"/>
            </w:tcMar>
          </w:tcPr>
          <w:p w14:paraId="17A094DC"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3</w:t>
            </w:r>
          </w:p>
        </w:tc>
        <w:tc>
          <w:tcPr>
            <w:tcW w:w="435" w:type="pct"/>
            <w:tcMar>
              <w:left w:w="115" w:type="dxa"/>
              <w:right w:w="216" w:type="dxa"/>
            </w:tcMar>
          </w:tcPr>
          <w:p w14:paraId="067B843B" w14:textId="77777777" w:rsidR="00720BA7" w:rsidRPr="00C20600" w:rsidRDefault="00720BA7" w:rsidP="00720BA7">
            <w:pPr>
              <w:pStyle w:val="NoSpacing"/>
              <w:jc w:val="right"/>
              <w:rPr>
                <w:color w:val="000000" w:themeColor="text1"/>
                <w:sz w:val="20"/>
                <w:lang w:val="en-CA"/>
              </w:rPr>
            </w:pPr>
          </w:p>
        </w:tc>
        <w:tc>
          <w:tcPr>
            <w:tcW w:w="674" w:type="pct"/>
            <w:tcMar>
              <w:left w:w="115" w:type="dxa"/>
              <w:right w:w="216" w:type="dxa"/>
            </w:tcMar>
          </w:tcPr>
          <w:p w14:paraId="4B8C89C6"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5</w:t>
            </w:r>
          </w:p>
        </w:tc>
        <w:tc>
          <w:tcPr>
            <w:tcW w:w="577" w:type="pct"/>
            <w:tcMar>
              <w:left w:w="115" w:type="dxa"/>
              <w:right w:w="216" w:type="dxa"/>
            </w:tcMar>
          </w:tcPr>
          <w:p w14:paraId="698E4F90" w14:textId="77777777" w:rsidR="00720BA7" w:rsidRPr="00C20600" w:rsidRDefault="00720BA7" w:rsidP="00720BA7">
            <w:pPr>
              <w:pStyle w:val="NoSpacing"/>
              <w:jc w:val="right"/>
              <w:rPr>
                <w:color w:val="000000" w:themeColor="text1"/>
                <w:sz w:val="20"/>
                <w:lang w:val="en-CA"/>
              </w:rPr>
            </w:pPr>
          </w:p>
        </w:tc>
        <w:tc>
          <w:tcPr>
            <w:tcW w:w="816" w:type="pct"/>
            <w:tcMar>
              <w:left w:w="115" w:type="dxa"/>
              <w:right w:w="216" w:type="dxa"/>
            </w:tcMar>
          </w:tcPr>
          <w:p w14:paraId="138F30F7" w14:textId="77777777" w:rsidR="00720BA7" w:rsidRPr="00C20600" w:rsidRDefault="00720BA7" w:rsidP="00720BA7">
            <w:pPr>
              <w:pStyle w:val="NoSpacing"/>
              <w:jc w:val="right"/>
              <w:rPr>
                <w:color w:val="000000" w:themeColor="text1"/>
                <w:sz w:val="20"/>
                <w:lang w:val="en-CA"/>
              </w:rPr>
            </w:pPr>
          </w:p>
        </w:tc>
        <w:tc>
          <w:tcPr>
            <w:tcW w:w="625" w:type="pct"/>
            <w:tcMar>
              <w:left w:w="115" w:type="dxa"/>
              <w:right w:w="216" w:type="dxa"/>
            </w:tcMar>
          </w:tcPr>
          <w:p w14:paraId="77562B8D"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8</w:t>
            </w:r>
          </w:p>
        </w:tc>
      </w:tr>
      <w:tr w:rsidR="00720BA7" w:rsidRPr="00C20600" w14:paraId="1E4A4522" w14:textId="77777777" w:rsidTr="00720BA7">
        <w:trPr>
          <w:trHeight w:val="161"/>
        </w:trPr>
        <w:tc>
          <w:tcPr>
            <w:tcW w:w="1248" w:type="pct"/>
          </w:tcPr>
          <w:p w14:paraId="68EA7425" w14:textId="77777777" w:rsidR="00720BA7" w:rsidRPr="00720BA7" w:rsidRDefault="00720BA7" w:rsidP="00720BA7">
            <w:pPr>
              <w:pStyle w:val="NoSpacing"/>
              <w:jc w:val="left"/>
              <w:rPr>
                <w:color w:val="000000" w:themeColor="text1"/>
                <w:sz w:val="20"/>
                <w:lang w:val="fr-CA"/>
              </w:rPr>
            </w:pPr>
            <w:r w:rsidRPr="00D0684D">
              <w:rPr>
                <w:color w:val="000000" w:themeColor="text1"/>
                <w:sz w:val="20"/>
                <w:lang w:val="fr-FR"/>
              </w:rPr>
              <w:t>Chauffe-eau à pompe à chaleur</w:t>
            </w:r>
          </w:p>
        </w:tc>
        <w:tc>
          <w:tcPr>
            <w:tcW w:w="625" w:type="pct"/>
            <w:tcMar>
              <w:left w:w="115" w:type="dxa"/>
              <w:right w:w="216" w:type="dxa"/>
            </w:tcMar>
          </w:tcPr>
          <w:p w14:paraId="05769366"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w:t>
            </w:r>
          </w:p>
        </w:tc>
        <w:tc>
          <w:tcPr>
            <w:tcW w:w="435" w:type="pct"/>
            <w:tcMar>
              <w:left w:w="115" w:type="dxa"/>
              <w:right w:w="216" w:type="dxa"/>
            </w:tcMar>
          </w:tcPr>
          <w:p w14:paraId="31016F5F" w14:textId="77777777" w:rsidR="00720BA7" w:rsidRPr="00C20600" w:rsidRDefault="00720BA7" w:rsidP="00720BA7">
            <w:pPr>
              <w:pStyle w:val="NoSpacing"/>
              <w:jc w:val="right"/>
              <w:rPr>
                <w:color w:val="000000" w:themeColor="text1"/>
                <w:sz w:val="20"/>
                <w:lang w:val="en-CA"/>
              </w:rPr>
            </w:pPr>
          </w:p>
        </w:tc>
        <w:tc>
          <w:tcPr>
            <w:tcW w:w="674" w:type="pct"/>
            <w:tcMar>
              <w:left w:w="115" w:type="dxa"/>
              <w:right w:w="216" w:type="dxa"/>
            </w:tcMar>
          </w:tcPr>
          <w:p w14:paraId="1F1A55A6" w14:textId="77777777" w:rsidR="00720BA7" w:rsidRPr="00C20600" w:rsidRDefault="00720BA7" w:rsidP="00720BA7">
            <w:pPr>
              <w:pStyle w:val="NoSpacing"/>
              <w:jc w:val="right"/>
              <w:rPr>
                <w:color w:val="000000" w:themeColor="text1"/>
                <w:sz w:val="20"/>
                <w:lang w:val="en-CA"/>
              </w:rPr>
            </w:pPr>
          </w:p>
        </w:tc>
        <w:tc>
          <w:tcPr>
            <w:tcW w:w="577" w:type="pct"/>
            <w:tcMar>
              <w:left w:w="115" w:type="dxa"/>
              <w:right w:w="216" w:type="dxa"/>
            </w:tcMar>
          </w:tcPr>
          <w:p w14:paraId="50547561"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w:t>
            </w:r>
          </w:p>
        </w:tc>
        <w:tc>
          <w:tcPr>
            <w:tcW w:w="816" w:type="pct"/>
            <w:tcMar>
              <w:left w:w="115" w:type="dxa"/>
              <w:right w:w="216" w:type="dxa"/>
            </w:tcMar>
          </w:tcPr>
          <w:p w14:paraId="5327ED4B" w14:textId="77777777" w:rsidR="00720BA7" w:rsidRPr="00C20600" w:rsidRDefault="00720BA7" w:rsidP="00720BA7">
            <w:pPr>
              <w:pStyle w:val="NoSpacing"/>
              <w:jc w:val="right"/>
              <w:rPr>
                <w:color w:val="000000" w:themeColor="text1"/>
                <w:sz w:val="20"/>
                <w:lang w:val="en-CA"/>
              </w:rPr>
            </w:pPr>
          </w:p>
        </w:tc>
        <w:tc>
          <w:tcPr>
            <w:tcW w:w="625" w:type="pct"/>
            <w:tcMar>
              <w:left w:w="115" w:type="dxa"/>
              <w:right w:w="216" w:type="dxa"/>
            </w:tcMar>
          </w:tcPr>
          <w:p w14:paraId="3DC73508"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2</w:t>
            </w:r>
          </w:p>
        </w:tc>
      </w:tr>
      <w:tr w:rsidR="00720BA7" w:rsidRPr="00C20600" w14:paraId="630A96CB" w14:textId="77777777" w:rsidTr="00720BA7">
        <w:trPr>
          <w:trHeight w:val="39"/>
        </w:trPr>
        <w:tc>
          <w:tcPr>
            <w:tcW w:w="1248" w:type="pct"/>
          </w:tcPr>
          <w:p w14:paraId="224AD8EF" w14:textId="77777777" w:rsidR="00720BA7" w:rsidRPr="00D0684D" w:rsidRDefault="00720BA7" w:rsidP="00720BA7">
            <w:pPr>
              <w:pStyle w:val="NoSpacing"/>
              <w:jc w:val="left"/>
              <w:rPr>
                <w:color w:val="000000" w:themeColor="text1"/>
                <w:sz w:val="20"/>
                <w:lang w:val="en-CA"/>
              </w:rPr>
            </w:pPr>
            <w:r w:rsidRPr="00D0684D">
              <w:rPr>
                <w:color w:val="000000" w:themeColor="text1"/>
                <w:sz w:val="20"/>
                <w:lang w:val="fr-FR" w:eastAsia="ja-JP"/>
              </w:rPr>
              <w:t>Climatisation individuelle</w:t>
            </w:r>
          </w:p>
        </w:tc>
        <w:tc>
          <w:tcPr>
            <w:tcW w:w="625" w:type="pct"/>
            <w:tcMar>
              <w:left w:w="115" w:type="dxa"/>
              <w:right w:w="216" w:type="dxa"/>
            </w:tcMar>
          </w:tcPr>
          <w:p w14:paraId="2C71096A"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6</w:t>
            </w:r>
          </w:p>
        </w:tc>
        <w:tc>
          <w:tcPr>
            <w:tcW w:w="435" w:type="pct"/>
            <w:tcMar>
              <w:left w:w="115" w:type="dxa"/>
              <w:right w:w="216" w:type="dxa"/>
            </w:tcMar>
          </w:tcPr>
          <w:p w14:paraId="0782F104" w14:textId="77777777" w:rsidR="00720BA7" w:rsidRPr="00C20600" w:rsidRDefault="00720BA7" w:rsidP="00720BA7">
            <w:pPr>
              <w:pStyle w:val="NoSpacing"/>
              <w:jc w:val="right"/>
              <w:rPr>
                <w:color w:val="000000" w:themeColor="text1"/>
                <w:sz w:val="20"/>
                <w:lang w:val="en-CA"/>
              </w:rPr>
            </w:pPr>
          </w:p>
        </w:tc>
        <w:tc>
          <w:tcPr>
            <w:tcW w:w="674" w:type="pct"/>
            <w:tcMar>
              <w:left w:w="115" w:type="dxa"/>
              <w:right w:w="216" w:type="dxa"/>
            </w:tcMar>
          </w:tcPr>
          <w:p w14:paraId="4564E132" w14:textId="77777777" w:rsidR="00720BA7" w:rsidRPr="00C20600" w:rsidRDefault="00720BA7" w:rsidP="00720BA7">
            <w:pPr>
              <w:pStyle w:val="NoSpacing"/>
              <w:jc w:val="right"/>
              <w:rPr>
                <w:color w:val="000000" w:themeColor="text1"/>
                <w:sz w:val="20"/>
                <w:lang w:val="en-CA"/>
              </w:rPr>
            </w:pPr>
          </w:p>
        </w:tc>
        <w:tc>
          <w:tcPr>
            <w:tcW w:w="577" w:type="pct"/>
            <w:tcMar>
              <w:left w:w="115" w:type="dxa"/>
              <w:right w:w="216" w:type="dxa"/>
            </w:tcMar>
          </w:tcPr>
          <w:p w14:paraId="4A202496" w14:textId="77777777" w:rsidR="00720BA7" w:rsidRPr="00C20600" w:rsidRDefault="00720BA7" w:rsidP="00720BA7">
            <w:pPr>
              <w:pStyle w:val="NoSpacing"/>
              <w:jc w:val="right"/>
              <w:rPr>
                <w:color w:val="000000" w:themeColor="text1"/>
                <w:sz w:val="20"/>
                <w:lang w:val="en-CA"/>
              </w:rPr>
            </w:pPr>
          </w:p>
        </w:tc>
        <w:tc>
          <w:tcPr>
            <w:tcW w:w="816" w:type="pct"/>
            <w:tcMar>
              <w:left w:w="115" w:type="dxa"/>
              <w:right w:w="216" w:type="dxa"/>
            </w:tcMar>
          </w:tcPr>
          <w:p w14:paraId="4E287E23" w14:textId="77777777" w:rsidR="00720BA7" w:rsidRPr="00C20600" w:rsidRDefault="00720BA7" w:rsidP="00720BA7">
            <w:pPr>
              <w:pStyle w:val="NoSpacing"/>
              <w:jc w:val="right"/>
              <w:rPr>
                <w:color w:val="000000" w:themeColor="text1"/>
                <w:sz w:val="20"/>
                <w:lang w:val="en-CA"/>
              </w:rPr>
            </w:pPr>
          </w:p>
        </w:tc>
        <w:tc>
          <w:tcPr>
            <w:tcW w:w="625" w:type="pct"/>
            <w:tcMar>
              <w:left w:w="115" w:type="dxa"/>
              <w:right w:w="216" w:type="dxa"/>
            </w:tcMar>
          </w:tcPr>
          <w:p w14:paraId="027BD0EC"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6</w:t>
            </w:r>
          </w:p>
        </w:tc>
      </w:tr>
      <w:tr w:rsidR="00720BA7" w:rsidRPr="00C20600" w14:paraId="24F760E8" w14:textId="77777777" w:rsidTr="00720BA7">
        <w:trPr>
          <w:trHeight w:val="39"/>
        </w:trPr>
        <w:tc>
          <w:tcPr>
            <w:tcW w:w="1248" w:type="pct"/>
          </w:tcPr>
          <w:p w14:paraId="2847D845" w14:textId="77777777" w:rsidR="00720BA7" w:rsidRPr="00D0684D" w:rsidRDefault="00720BA7" w:rsidP="00720BA7">
            <w:pPr>
              <w:pStyle w:val="NoSpacing"/>
              <w:jc w:val="left"/>
              <w:rPr>
                <w:b/>
                <w:color w:val="000000" w:themeColor="text1"/>
                <w:sz w:val="20"/>
                <w:lang w:val="en-CA"/>
              </w:rPr>
            </w:pPr>
            <w:r w:rsidRPr="00D0684D">
              <w:rPr>
                <w:b/>
                <w:color w:val="000000" w:themeColor="text1"/>
                <w:sz w:val="20"/>
                <w:lang w:val="fr-FR"/>
              </w:rPr>
              <w:t>Total</w:t>
            </w:r>
          </w:p>
        </w:tc>
        <w:tc>
          <w:tcPr>
            <w:tcW w:w="625" w:type="pct"/>
            <w:tcMar>
              <w:left w:w="115" w:type="dxa"/>
              <w:right w:w="216" w:type="dxa"/>
            </w:tcMar>
          </w:tcPr>
          <w:p w14:paraId="67409679" w14:textId="77777777" w:rsidR="00720BA7" w:rsidRPr="00C20600" w:rsidRDefault="00720BA7" w:rsidP="00720BA7">
            <w:pPr>
              <w:pStyle w:val="NoSpacing"/>
              <w:jc w:val="right"/>
              <w:rPr>
                <w:b/>
                <w:color w:val="000000" w:themeColor="text1"/>
                <w:sz w:val="20"/>
                <w:lang w:val="en-CA"/>
              </w:rPr>
            </w:pPr>
            <w:r w:rsidRPr="00C20600">
              <w:rPr>
                <w:b/>
                <w:color w:val="000000" w:themeColor="text1"/>
                <w:sz w:val="20"/>
                <w:lang w:val="en-CA"/>
              </w:rPr>
              <w:t>10</w:t>
            </w:r>
          </w:p>
        </w:tc>
        <w:tc>
          <w:tcPr>
            <w:tcW w:w="435" w:type="pct"/>
            <w:tcMar>
              <w:left w:w="115" w:type="dxa"/>
              <w:right w:w="216" w:type="dxa"/>
            </w:tcMar>
          </w:tcPr>
          <w:p w14:paraId="33D97DC5" w14:textId="77777777" w:rsidR="00720BA7" w:rsidRPr="00C20600" w:rsidRDefault="00720BA7" w:rsidP="00720BA7">
            <w:pPr>
              <w:pStyle w:val="NoSpacing"/>
              <w:jc w:val="right"/>
              <w:rPr>
                <w:b/>
                <w:color w:val="000000" w:themeColor="text1"/>
                <w:sz w:val="20"/>
                <w:lang w:val="en-CA"/>
              </w:rPr>
            </w:pPr>
            <w:r w:rsidRPr="00C20600">
              <w:rPr>
                <w:b/>
                <w:color w:val="000000" w:themeColor="text1"/>
                <w:sz w:val="20"/>
                <w:lang w:val="en-CA"/>
              </w:rPr>
              <w:t>1</w:t>
            </w:r>
          </w:p>
        </w:tc>
        <w:tc>
          <w:tcPr>
            <w:tcW w:w="674" w:type="pct"/>
            <w:tcMar>
              <w:left w:w="115" w:type="dxa"/>
              <w:right w:w="216" w:type="dxa"/>
            </w:tcMar>
          </w:tcPr>
          <w:p w14:paraId="39BAB1ED" w14:textId="77777777" w:rsidR="00720BA7" w:rsidRPr="00C20600" w:rsidRDefault="00720BA7" w:rsidP="00720BA7">
            <w:pPr>
              <w:pStyle w:val="NoSpacing"/>
              <w:jc w:val="right"/>
              <w:rPr>
                <w:b/>
                <w:color w:val="000000" w:themeColor="text1"/>
                <w:sz w:val="20"/>
                <w:lang w:val="en-CA"/>
              </w:rPr>
            </w:pPr>
            <w:r w:rsidRPr="00C20600">
              <w:rPr>
                <w:b/>
                <w:color w:val="000000" w:themeColor="text1"/>
                <w:sz w:val="20"/>
                <w:lang w:val="en-CA"/>
              </w:rPr>
              <w:t>10</w:t>
            </w:r>
          </w:p>
        </w:tc>
        <w:tc>
          <w:tcPr>
            <w:tcW w:w="577" w:type="pct"/>
            <w:tcMar>
              <w:left w:w="115" w:type="dxa"/>
              <w:right w:w="216" w:type="dxa"/>
            </w:tcMar>
          </w:tcPr>
          <w:p w14:paraId="4A48B640" w14:textId="77777777" w:rsidR="00720BA7" w:rsidRPr="00C20600" w:rsidRDefault="00720BA7" w:rsidP="00720BA7">
            <w:pPr>
              <w:pStyle w:val="NoSpacing"/>
              <w:jc w:val="right"/>
              <w:rPr>
                <w:b/>
                <w:color w:val="000000" w:themeColor="text1"/>
                <w:sz w:val="20"/>
                <w:lang w:val="en-CA"/>
              </w:rPr>
            </w:pPr>
            <w:r w:rsidRPr="00C20600">
              <w:rPr>
                <w:b/>
                <w:color w:val="000000" w:themeColor="text1"/>
                <w:sz w:val="20"/>
                <w:lang w:val="en-CA"/>
              </w:rPr>
              <w:t>1</w:t>
            </w:r>
          </w:p>
        </w:tc>
        <w:tc>
          <w:tcPr>
            <w:tcW w:w="816" w:type="pct"/>
            <w:tcMar>
              <w:left w:w="115" w:type="dxa"/>
              <w:right w:w="216" w:type="dxa"/>
            </w:tcMar>
          </w:tcPr>
          <w:p w14:paraId="62849754" w14:textId="77777777" w:rsidR="00720BA7" w:rsidRPr="00C20600" w:rsidRDefault="00720BA7" w:rsidP="00720BA7">
            <w:pPr>
              <w:pStyle w:val="NoSpacing"/>
              <w:jc w:val="right"/>
              <w:rPr>
                <w:b/>
                <w:color w:val="000000" w:themeColor="text1"/>
                <w:sz w:val="20"/>
                <w:lang w:val="en-CA"/>
              </w:rPr>
            </w:pPr>
            <w:r w:rsidRPr="00C20600">
              <w:rPr>
                <w:b/>
                <w:color w:val="000000" w:themeColor="text1"/>
                <w:sz w:val="20"/>
                <w:lang w:val="en-CA"/>
              </w:rPr>
              <w:t>9</w:t>
            </w:r>
          </w:p>
        </w:tc>
        <w:tc>
          <w:tcPr>
            <w:tcW w:w="625" w:type="pct"/>
            <w:tcMar>
              <w:left w:w="115" w:type="dxa"/>
              <w:right w:w="216" w:type="dxa"/>
            </w:tcMar>
          </w:tcPr>
          <w:p w14:paraId="13AE68CE" w14:textId="77777777" w:rsidR="00720BA7" w:rsidRPr="00C20600" w:rsidRDefault="00720BA7" w:rsidP="00720BA7">
            <w:pPr>
              <w:pStyle w:val="NoSpacing"/>
              <w:jc w:val="right"/>
              <w:rPr>
                <w:b/>
                <w:color w:val="000000" w:themeColor="text1"/>
                <w:sz w:val="20"/>
                <w:lang w:val="en-CA"/>
              </w:rPr>
            </w:pPr>
            <w:r w:rsidRPr="00C20600">
              <w:rPr>
                <w:b/>
                <w:color w:val="000000" w:themeColor="text1"/>
                <w:sz w:val="20"/>
                <w:lang w:val="en-CA"/>
              </w:rPr>
              <w:t>31</w:t>
            </w:r>
          </w:p>
        </w:tc>
      </w:tr>
    </w:tbl>
    <w:p w14:paraId="414D755B" w14:textId="77777777" w:rsidR="00720BA7" w:rsidRPr="00C20600" w:rsidRDefault="00720BA7" w:rsidP="00720BA7">
      <w:pPr>
        <w:pStyle w:val="ListParagraph"/>
        <w:ind w:left="0"/>
        <w:rPr>
          <w:rFonts w:eastAsia="Calibri"/>
          <w:color w:val="000000" w:themeColor="text1"/>
          <w:u w:val="single"/>
          <w:lang w:val="en-CA"/>
        </w:rPr>
      </w:pPr>
    </w:p>
    <w:p w14:paraId="539BEC10" w14:textId="77777777" w:rsidR="00720BA7" w:rsidRPr="00D0684D" w:rsidRDefault="00720BA7" w:rsidP="00720BA7">
      <w:pPr>
        <w:pStyle w:val="ListParagraph"/>
        <w:ind w:left="0"/>
        <w:rPr>
          <w:rFonts w:eastAsia="Calibri"/>
          <w:i/>
          <w:color w:val="000000" w:themeColor="text1"/>
          <w:lang w:val="en-CA"/>
        </w:rPr>
      </w:pPr>
      <w:r w:rsidRPr="00D0684D">
        <w:rPr>
          <w:rFonts w:eastAsia="Calibri"/>
          <w:i/>
          <w:color w:val="000000" w:themeColor="text1"/>
          <w:lang w:val="fr-FR"/>
        </w:rPr>
        <w:t>Activités d</w:t>
      </w:r>
      <w:r>
        <w:rPr>
          <w:rFonts w:eastAsia="Calibri"/>
          <w:i/>
          <w:color w:val="000000" w:themeColor="text1"/>
          <w:lang w:val="fr-FR"/>
        </w:rPr>
        <w:t>’</w:t>
      </w:r>
      <w:r w:rsidRPr="00D0684D">
        <w:rPr>
          <w:rFonts w:eastAsia="Calibri"/>
          <w:i/>
          <w:color w:val="000000" w:themeColor="text1"/>
          <w:lang w:val="fr-FR"/>
        </w:rPr>
        <w:t>assistance technique</w:t>
      </w:r>
    </w:p>
    <w:p w14:paraId="1FBC1102" w14:textId="77777777" w:rsidR="00720BA7" w:rsidRPr="00C20600" w:rsidRDefault="00720BA7" w:rsidP="00720BA7">
      <w:pPr>
        <w:rPr>
          <w:lang w:val="en-CA"/>
        </w:rPr>
      </w:pPr>
    </w:p>
    <w:p w14:paraId="0CE5427C" w14:textId="77777777" w:rsidR="00720BA7" w:rsidRPr="00720BA7" w:rsidRDefault="00720BA7" w:rsidP="00720BA7">
      <w:pPr>
        <w:pStyle w:val="Heading1"/>
        <w:rPr>
          <w:lang w:val="fr-CA"/>
        </w:rPr>
      </w:pPr>
      <w:r w:rsidRPr="00D0684D">
        <w:rPr>
          <w:lang w:val="fr-FR"/>
        </w:rPr>
        <w:t>Les activités de recherche, d</w:t>
      </w:r>
      <w:r>
        <w:rPr>
          <w:lang w:val="fr-FR"/>
        </w:rPr>
        <w:t>’</w:t>
      </w:r>
      <w:r w:rsidRPr="00D0684D">
        <w:rPr>
          <w:lang w:val="fr-FR"/>
        </w:rPr>
        <w:t>essais et d</w:t>
      </w:r>
      <w:r>
        <w:rPr>
          <w:lang w:val="fr-FR"/>
        </w:rPr>
        <w:t>’</w:t>
      </w:r>
      <w:r w:rsidRPr="00D0684D">
        <w:rPr>
          <w:lang w:val="fr-FR"/>
        </w:rPr>
        <w:t>évaluation suivantes seront mises en œuvre :</w:t>
      </w:r>
      <w:r w:rsidRPr="00720BA7">
        <w:rPr>
          <w:lang w:val="fr-CA"/>
        </w:rPr>
        <w:t xml:space="preserve"> </w:t>
      </w:r>
    </w:p>
    <w:p w14:paraId="523450D5" w14:textId="77777777" w:rsidR="00720BA7" w:rsidRPr="00720BA7" w:rsidRDefault="00720BA7" w:rsidP="00720BA7">
      <w:pPr>
        <w:pStyle w:val="Heading2"/>
        <w:numPr>
          <w:ilvl w:val="1"/>
          <w:numId w:val="1"/>
        </w:numPr>
        <w:rPr>
          <w:lang w:val="fr-CA"/>
        </w:rPr>
      </w:pPr>
      <w:r w:rsidRPr="00D0684D">
        <w:rPr>
          <w:rStyle w:val="tlid-translation"/>
          <w:lang w:val="fr-FR"/>
        </w:rPr>
        <w:t>Enquête et évaluation pour différents sous-secteurs et applications sur l</w:t>
      </w:r>
      <w:r>
        <w:rPr>
          <w:rStyle w:val="tlid-translation"/>
          <w:lang w:val="fr-FR"/>
        </w:rPr>
        <w:t>’</w:t>
      </w:r>
      <w:r w:rsidRPr="00D0684D">
        <w:rPr>
          <w:rStyle w:val="tlid-translation"/>
          <w:lang w:val="fr-FR"/>
        </w:rPr>
        <w:t>état d</w:t>
      </w:r>
      <w:r>
        <w:rPr>
          <w:rStyle w:val="tlid-translation"/>
          <w:lang w:val="fr-FR"/>
        </w:rPr>
        <w:t>’</w:t>
      </w:r>
      <w:r w:rsidRPr="00D0684D">
        <w:rPr>
          <w:rStyle w:val="tlid-translation"/>
          <w:lang w:val="fr-FR"/>
        </w:rPr>
        <w:t>avancement de la transition vers des solutions de remplacement sans SAO, et préparation des interdictions d</w:t>
      </w:r>
      <w:r>
        <w:rPr>
          <w:rStyle w:val="tlid-translation"/>
          <w:lang w:val="fr-FR"/>
        </w:rPr>
        <w:t>’</w:t>
      </w:r>
      <w:r w:rsidRPr="00D0684D">
        <w:rPr>
          <w:rStyle w:val="tlid-translation"/>
          <w:lang w:val="fr-FR"/>
        </w:rPr>
        <w:t>importation et de fabrication d</w:t>
      </w:r>
      <w:r>
        <w:rPr>
          <w:rStyle w:val="tlid-translation"/>
          <w:lang w:val="fr-FR"/>
        </w:rPr>
        <w:t>’</w:t>
      </w:r>
      <w:r w:rsidRPr="00D0684D">
        <w:rPr>
          <w:rStyle w:val="tlid-translation"/>
          <w:lang w:val="fr-FR"/>
        </w:rPr>
        <w:t>équipements et de composants à base de HCFC </w:t>
      </w:r>
      <w:r w:rsidRPr="00D0684D">
        <w:rPr>
          <w:lang w:val="fr-FR"/>
        </w:rPr>
        <w:t>;</w:t>
      </w:r>
      <w:r w:rsidRPr="00720BA7">
        <w:rPr>
          <w:lang w:val="fr-CA"/>
        </w:rPr>
        <w:t xml:space="preserve"> </w:t>
      </w:r>
    </w:p>
    <w:p w14:paraId="3C0DE7A7" w14:textId="6BE19147" w:rsidR="00720BA7" w:rsidRPr="00720BA7" w:rsidRDefault="00720BA7" w:rsidP="00720BA7">
      <w:pPr>
        <w:pStyle w:val="Heading2"/>
        <w:numPr>
          <w:ilvl w:val="1"/>
          <w:numId w:val="1"/>
        </w:numPr>
        <w:rPr>
          <w:lang w:val="fr-CA"/>
        </w:rPr>
      </w:pPr>
      <w:r w:rsidRPr="00D46D2D">
        <w:rPr>
          <w:lang w:val="fr-FR"/>
        </w:rPr>
        <w:t>Essais et évaluation de produits de remplacement potentie</w:t>
      </w:r>
      <w:r w:rsidR="00D75337">
        <w:rPr>
          <w:lang w:val="fr-FR"/>
        </w:rPr>
        <w:t>ls, notamment le HFO</w:t>
      </w:r>
      <w:r w:rsidR="00D75337">
        <w:rPr>
          <w:lang w:val="fr-FR"/>
        </w:rPr>
        <w:noBreakHyphen/>
      </w:r>
      <w:r w:rsidRPr="00D46D2D">
        <w:rPr>
          <w:lang w:val="fr-FR"/>
        </w:rPr>
        <w:t xml:space="preserve">1234ze(E), </w:t>
      </w:r>
      <w:r>
        <w:rPr>
          <w:lang w:val="fr-FR"/>
        </w:rPr>
        <w:t xml:space="preserve">le </w:t>
      </w:r>
      <w:r w:rsidRPr="00D46D2D">
        <w:rPr>
          <w:lang w:val="fr-FR"/>
        </w:rPr>
        <w:t xml:space="preserve">R-513A, </w:t>
      </w:r>
      <w:r>
        <w:rPr>
          <w:lang w:val="fr-FR"/>
        </w:rPr>
        <w:t xml:space="preserve">le </w:t>
      </w:r>
      <w:r w:rsidRPr="00D46D2D">
        <w:rPr>
          <w:lang w:val="fr-FR"/>
        </w:rPr>
        <w:t>R</w:t>
      </w:r>
      <w:r w:rsidRPr="00D46D2D">
        <w:rPr>
          <w:lang w:val="fr-FR"/>
        </w:rPr>
        <w:noBreakHyphen/>
        <w:t xml:space="preserve">515A et autres HFO et mélanges à base de HFO dans les dispositifs à vis, et </w:t>
      </w:r>
      <w:r>
        <w:rPr>
          <w:lang w:val="fr-FR"/>
        </w:rPr>
        <w:t>le</w:t>
      </w:r>
      <w:r w:rsidRPr="00D46D2D">
        <w:rPr>
          <w:lang w:val="fr-FR"/>
        </w:rPr>
        <w:t xml:space="preserve"> R-452B,</w:t>
      </w:r>
      <w:r>
        <w:rPr>
          <w:lang w:val="fr-FR"/>
        </w:rPr>
        <w:t xml:space="preserve"> le</w:t>
      </w:r>
      <w:r w:rsidRPr="00D46D2D">
        <w:rPr>
          <w:lang w:val="fr-FR"/>
        </w:rPr>
        <w:t xml:space="preserve"> R-454B et autres HFO et mélanges à base de HFO pour les dispositifs à spirale ;</w:t>
      </w:r>
    </w:p>
    <w:p w14:paraId="7C7CB733" w14:textId="77777777" w:rsidR="00720BA7" w:rsidRPr="00720BA7" w:rsidRDefault="00720BA7" w:rsidP="00720BA7">
      <w:pPr>
        <w:pStyle w:val="Heading2"/>
        <w:numPr>
          <w:ilvl w:val="1"/>
          <w:numId w:val="1"/>
        </w:numPr>
        <w:rPr>
          <w:lang w:val="fr-CA"/>
        </w:rPr>
      </w:pPr>
      <w:r w:rsidRPr="002B6B36">
        <w:rPr>
          <w:rStyle w:val="tlid-translation"/>
          <w:lang w:val="fr-FR"/>
        </w:rPr>
        <w:t xml:space="preserve">Recherche sur </w:t>
      </w:r>
      <w:r w:rsidRPr="002C27A8">
        <w:rPr>
          <w:rStyle w:val="tlid-translation"/>
          <w:lang w:val="fr-FR"/>
        </w:rPr>
        <w:t>l’optimisation du volume de la charge</w:t>
      </w:r>
      <w:r w:rsidRPr="002B6B36">
        <w:rPr>
          <w:rStyle w:val="tlid-translation"/>
          <w:lang w:val="fr-FR"/>
        </w:rPr>
        <w:t xml:space="preserve"> des installations à base de HFC-32 afin de surmonter les contraintes des normes de sécurité </w:t>
      </w:r>
      <w:r>
        <w:rPr>
          <w:rStyle w:val="tlid-translation"/>
          <w:lang w:val="fr-FR"/>
        </w:rPr>
        <w:t>liées à</w:t>
      </w:r>
      <w:r w:rsidRPr="002B6B36">
        <w:rPr>
          <w:rStyle w:val="tlid-translation"/>
          <w:lang w:val="fr-FR"/>
        </w:rPr>
        <w:t xml:space="preserve"> </w:t>
      </w:r>
      <w:r>
        <w:rPr>
          <w:rStyle w:val="tlid-translation"/>
          <w:lang w:val="fr-FR"/>
        </w:rPr>
        <w:t>ce volume, en vue de</w:t>
      </w:r>
      <w:r w:rsidRPr="002B6B36">
        <w:rPr>
          <w:rStyle w:val="tlid-translation"/>
          <w:lang w:val="fr-FR"/>
        </w:rPr>
        <w:t xml:space="preserve"> promouvoir une adoption plus large </w:t>
      </w:r>
      <w:r w:rsidRPr="002B6B36">
        <w:rPr>
          <w:lang w:val="fr-FR"/>
        </w:rPr>
        <w:t>;</w:t>
      </w:r>
      <w:r w:rsidRPr="00720BA7">
        <w:rPr>
          <w:lang w:val="fr-CA"/>
        </w:rPr>
        <w:t xml:space="preserve"> </w:t>
      </w:r>
    </w:p>
    <w:p w14:paraId="578D0EF2" w14:textId="77777777" w:rsidR="00720BA7" w:rsidRPr="00720BA7" w:rsidRDefault="00720BA7" w:rsidP="00720BA7">
      <w:pPr>
        <w:pStyle w:val="Heading2"/>
        <w:numPr>
          <w:ilvl w:val="1"/>
          <w:numId w:val="1"/>
        </w:numPr>
        <w:spacing w:before="240"/>
        <w:rPr>
          <w:lang w:val="fr-CA"/>
        </w:rPr>
      </w:pPr>
      <w:r w:rsidRPr="002B6B36">
        <w:rPr>
          <w:rStyle w:val="tlid-translation"/>
          <w:lang w:val="fr-FR"/>
        </w:rPr>
        <w:t>Recherche sur l</w:t>
      </w:r>
      <w:r>
        <w:rPr>
          <w:rStyle w:val="tlid-translation"/>
          <w:lang w:val="fr-FR"/>
        </w:rPr>
        <w:t>’</w:t>
      </w:r>
      <w:r w:rsidRPr="002B6B36">
        <w:rPr>
          <w:rStyle w:val="tlid-translation"/>
          <w:lang w:val="fr-FR"/>
        </w:rPr>
        <w:t>élaboration de réglementations de sécurité, les mesures de sécurité dans le processus de fabrication et sur les mesures de maîtrise des risques lors du transport, de l</w:t>
      </w:r>
      <w:r>
        <w:rPr>
          <w:rStyle w:val="tlid-translation"/>
          <w:lang w:val="fr-FR"/>
        </w:rPr>
        <w:t>’</w:t>
      </w:r>
      <w:r w:rsidRPr="002B6B36">
        <w:rPr>
          <w:rStyle w:val="tlid-translation"/>
          <w:lang w:val="fr-FR"/>
        </w:rPr>
        <w:t>installation et de l</w:t>
      </w:r>
      <w:r>
        <w:rPr>
          <w:rStyle w:val="tlid-translation"/>
          <w:lang w:val="fr-FR"/>
        </w:rPr>
        <w:t>’</w:t>
      </w:r>
      <w:r w:rsidRPr="002B6B36">
        <w:rPr>
          <w:rStyle w:val="tlid-translation"/>
          <w:lang w:val="fr-FR"/>
        </w:rPr>
        <w:t>utilisation d</w:t>
      </w:r>
      <w:r>
        <w:rPr>
          <w:rStyle w:val="tlid-translation"/>
          <w:lang w:val="fr-FR"/>
        </w:rPr>
        <w:t>’</w:t>
      </w:r>
      <w:r w:rsidRPr="002B6B36">
        <w:rPr>
          <w:rStyle w:val="tlid-translation"/>
          <w:lang w:val="fr-FR"/>
        </w:rPr>
        <w:t>équipements chargés de frigorigènes inflammables</w:t>
      </w:r>
      <w:r>
        <w:rPr>
          <w:rStyle w:val="tlid-translation"/>
          <w:lang w:val="fr-FR"/>
        </w:rPr>
        <w:t> </w:t>
      </w:r>
      <w:r w:rsidRPr="002B6B36">
        <w:rPr>
          <w:lang w:val="fr-FR"/>
        </w:rPr>
        <w:t>;</w:t>
      </w:r>
      <w:r w:rsidRPr="00720BA7">
        <w:rPr>
          <w:lang w:val="fr-CA"/>
        </w:rPr>
        <w:t xml:space="preserve"> </w:t>
      </w:r>
    </w:p>
    <w:p w14:paraId="598337A6" w14:textId="77777777" w:rsidR="00720BA7" w:rsidRPr="00720BA7" w:rsidRDefault="00720BA7" w:rsidP="00720BA7">
      <w:pPr>
        <w:pStyle w:val="Heading2"/>
        <w:keepNext/>
        <w:keepLines/>
        <w:numPr>
          <w:ilvl w:val="1"/>
          <w:numId w:val="1"/>
        </w:numPr>
        <w:spacing w:before="240"/>
        <w:rPr>
          <w:color w:val="000000" w:themeColor="text1"/>
          <w:lang w:val="fr-CA"/>
        </w:rPr>
      </w:pPr>
      <w:r w:rsidRPr="002B6B36">
        <w:rPr>
          <w:rStyle w:val="tlid-translation"/>
          <w:lang w:val="fr-FR"/>
        </w:rPr>
        <w:t>Recherche</w:t>
      </w:r>
      <w:r>
        <w:rPr>
          <w:rStyle w:val="tlid-translation"/>
          <w:lang w:val="fr-FR"/>
        </w:rPr>
        <w:t xml:space="preserve"> </w:t>
      </w:r>
      <w:r w:rsidRPr="002B6B36">
        <w:rPr>
          <w:rStyle w:val="tlid-translation"/>
          <w:lang w:val="fr-FR"/>
        </w:rPr>
        <w:t>sur l</w:t>
      </w:r>
      <w:r>
        <w:rPr>
          <w:rStyle w:val="tlid-translation"/>
          <w:lang w:val="fr-FR"/>
        </w:rPr>
        <w:t>’</w:t>
      </w:r>
      <w:r w:rsidRPr="002B6B36">
        <w:rPr>
          <w:rStyle w:val="tlid-translation"/>
          <w:lang w:val="fr-FR"/>
        </w:rPr>
        <w:t xml:space="preserve">amélioration des performances des </w:t>
      </w:r>
      <w:r w:rsidRPr="002B6B36">
        <w:rPr>
          <w:rStyle w:val="tlid-translation"/>
          <w:color w:val="000000" w:themeColor="text1"/>
          <w:lang w:val="fr-FR"/>
        </w:rPr>
        <w:t>technologies de remplacement (</w:t>
      </w:r>
      <w:r w:rsidRPr="002B6B36">
        <w:rPr>
          <w:rStyle w:val="tlid-translation"/>
          <w:lang w:val="fr-FR"/>
        </w:rPr>
        <w:t>y compris le R-513A et autres) pour répondre aux normes relatives aux produits, notamment l</w:t>
      </w:r>
      <w:r>
        <w:rPr>
          <w:rStyle w:val="tlid-translation"/>
          <w:lang w:val="fr-FR"/>
        </w:rPr>
        <w:t>’</w:t>
      </w:r>
      <w:r w:rsidRPr="002B6B36">
        <w:rPr>
          <w:rStyle w:val="tlid-translation"/>
          <w:lang w:val="fr-FR"/>
        </w:rPr>
        <w:t>efficacité énergétique, car actuellement ces produits ne sont pas en mesure de répondre aux normes </w:t>
      </w:r>
      <w:r w:rsidRPr="002B6B36">
        <w:rPr>
          <w:color w:val="000000" w:themeColor="text1"/>
          <w:lang w:val="fr-FR"/>
        </w:rPr>
        <w:t>;</w:t>
      </w:r>
    </w:p>
    <w:p w14:paraId="19FABE10" w14:textId="77777777" w:rsidR="00720BA7" w:rsidRPr="00720BA7" w:rsidRDefault="00720BA7" w:rsidP="00720BA7">
      <w:pPr>
        <w:pStyle w:val="Heading2"/>
        <w:numPr>
          <w:ilvl w:val="1"/>
          <w:numId w:val="1"/>
        </w:numPr>
        <w:rPr>
          <w:lang w:val="fr-CA"/>
        </w:rPr>
      </w:pPr>
      <w:r w:rsidRPr="002B6B36">
        <w:rPr>
          <w:rStyle w:val="tlid-translation"/>
          <w:lang w:val="fr-FR"/>
        </w:rPr>
        <w:t>Évaluation des risques des frigorigènes inflammables (R-290, HFC-32, HFO et mélanges de HFO), test</w:t>
      </w:r>
      <w:r>
        <w:rPr>
          <w:rStyle w:val="tlid-translation"/>
          <w:lang w:val="fr-FR"/>
        </w:rPr>
        <w:t>s</w:t>
      </w:r>
      <w:r w:rsidRPr="002B6B36">
        <w:rPr>
          <w:rStyle w:val="tlid-translation"/>
          <w:lang w:val="fr-FR"/>
        </w:rPr>
        <w:t xml:space="preserve"> des caractéristiques de combustion après fuite et évaluation du risque de l</w:t>
      </w:r>
      <w:r>
        <w:rPr>
          <w:rStyle w:val="tlid-translation"/>
          <w:lang w:val="fr-FR"/>
        </w:rPr>
        <w:t>’</w:t>
      </w:r>
      <w:r w:rsidRPr="002B6B36">
        <w:rPr>
          <w:rStyle w:val="tlid-translation"/>
          <w:lang w:val="fr-FR"/>
        </w:rPr>
        <w:t>utilisation du R-290 dans la climatisation individuelle, les climatiseurs multi-split (pompe à chaleur) et les refroidisseurs de petits et moyens formats ;</w:t>
      </w:r>
      <w:r>
        <w:rPr>
          <w:rStyle w:val="tlid-translation"/>
          <w:lang w:val="fr-FR"/>
        </w:rPr>
        <w:t xml:space="preserve"> </w:t>
      </w:r>
      <w:r w:rsidRPr="002B6B36">
        <w:rPr>
          <w:rStyle w:val="tlid-translation"/>
          <w:lang w:val="fr-FR"/>
        </w:rPr>
        <w:t>et optimisation de la conception structurelle et des mesures de sécurité </w:t>
      </w:r>
      <w:r w:rsidRPr="002B6B36">
        <w:rPr>
          <w:lang w:val="fr-FR"/>
        </w:rPr>
        <w:t>; et</w:t>
      </w:r>
    </w:p>
    <w:p w14:paraId="435A2EB9" w14:textId="77777777" w:rsidR="00720BA7" w:rsidRPr="00720BA7" w:rsidRDefault="00720BA7" w:rsidP="00720BA7">
      <w:pPr>
        <w:pStyle w:val="Heading2"/>
        <w:numPr>
          <w:ilvl w:val="1"/>
          <w:numId w:val="1"/>
        </w:numPr>
        <w:rPr>
          <w:lang w:val="fr-CA"/>
        </w:rPr>
      </w:pPr>
      <w:r w:rsidRPr="002B6B36">
        <w:rPr>
          <w:rStyle w:val="tlid-translation"/>
          <w:lang w:val="fr-FR"/>
        </w:rPr>
        <w:t>Recherche sur les obstacles techniques dans le processus d</w:t>
      </w:r>
      <w:r>
        <w:rPr>
          <w:rStyle w:val="tlid-translation"/>
          <w:lang w:val="fr-FR"/>
        </w:rPr>
        <w:t>’</w:t>
      </w:r>
      <w:r w:rsidRPr="002B6B36">
        <w:rPr>
          <w:rStyle w:val="tlid-translation"/>
          <w:lang w:val="fr-FR"/>
        </w:rPr>
        <w:t>adoption de solutions de remplacement à faible PRP dans les PME</w:t>
      </w:r>
      <w:r w:rsidRPr="002B6B36">
        <w:rPr>
          <w:lang w:val="fr-FR"/>
        </w:rPr>
        <w:t>.</w:t>
      </w:r>
    </w:p>
    <w:p w14:paraId="75BF50E9" w14:textId="77777777" w:rsidR="00720BA7" w:rsidRPr="00720BA7" w:rsidRDefault="00720BA7" w:rsidP="002807D2">
      <w:pPr>
        <w:pStyle w:val="Heading1"/>
        <w:rPr>
          <w:lang w:val="fr-CA"/>
        </w:rPr>
      </w:pPr>
      <w:r w:rsidRPr="002B6B36">
        <w:rPr>
          <w:rStyle w:val="tlid-translation"/>
          <w:lang w:val="fr-FR"/>
        </w:rPr>
        <w:t>La phase II révisera également six normes techniques et en développera quatre nouvelles pour soutenir l</w:t>
      </w:r>
      <w:r>
        <w:rPr>
          <w:rStyle w:val="tlid-translation"/>
          <w:lang w:val="fr-FR"/>
        </w:rPr>
        <w:t>’</w:t>
      </w:r>
      <w:r w:rsidRPr="002B6B36">
        <w:rPr>
          <w:rStyle w:val="tlid-translation"/>
          <w:lang w:val="fr-FR"/>
        </w:rPr>
        <w:t>adoption de solutions de remplacement à faible PRP, notamment des frigorigènes inflammables, toxiques et à haute pression, comme l</w:t>
      </w:r>
      <w:r>
        <w:rPr>
          <w:rStyle w:val="tlid-translation"/>
          <w:lang w:val="fr-FR"/>
        </w:rPr>
        <w:t>’</w:t>
      </w:r>
      <w:r w:rsidRPr="002B6B36">
        <w:rPr>
          <w:rStyle w:val="tlid-translation"/>
          <w:lang w:val="fr-FR"/>
        </w:rPr>
        <w:t>indique le tableau 5</w:t>
      </w:r>
      <w:r w:rsidRPr="002B6B36">
        <w:rPr>
          <w:lang w:val="fr-FR"/>
        </w:rPr>
        <w:t>.</w:t>
      </w:r>
    </w:p>
    <w:p w14:paraId="78C831E3" w14:textId="77777777" w:rsidR="00720BA7" w:rsidRPr="00720BA7" w:rsidRDefault="00720BA7" w:rsidP="00720BA7">
      <w:pPr>
        <w:pStyle w:val="PlainText"/>
        <w:spacing w:before="240"/>
        <w:rPr>
          <w:rFonts w:ascii="Times New Roman" w:hAnsi="Times New Roman" w:cs="Times New Roman"/>
          <w:b/>
          <w:color w:val="000000" w:themeColor="text1"/>
          <w:sz w:val="22"/>
          <w:lang w:val="fr-CA"/>
        </w:rPr>
      </w:pPr>
      <w:r w:rsidRPr="002B6B36">
        <w:rPr>
          <w:rFonts w:ascii="Times New Roman" w:hAnsi="Times New Roman" w:cs="Times New Roman"/>
          <w:b/>
          <w:color w:val="000000" w:themeColor="text1"/>
          <w:sz w:val="22"/>
          <w:lang w:val="fr-FR"/>
        </w:rPr>
        <w:lastRenderedPageBreak/>
        <w:t>Tableau 5</w:t>
      </w:r>
      <w:r>
        <w:rPr>
          <w:rFonts w:ascii="Times New Roman" w:hAnsi="Times New Roman" w:cs="Times New Roman"/>
          <w:b/>
          <w:color w:val="000000" w:themeColor="text1"/>
          <w:sz w:val="22"/>
          <w:lang w:val="fr-FR"/>
        </w:rPr>
        <w:t>.</w:t>
      </w:r>
      <w:r w:rsidRPr="002B6B36">
        <w:rPr>
          <w:rFonts w:ascii="Times New Roman" w:hAnsi="Times New Roman" w:cs="Times New Roman"/>
          <w:b/>
          <w:color w:val="000000" w:themeColor="text1"/>
          <w:sz w:val="22"/>
          <w:lang w:val="fr-FR"/>
        </w:rPr>
        <w:t xml:space="preserve"> Normes à développer</w:t>
      </w:r>
      <w:r>
        <w:rPr>
          <w:rFonts w:ascii="Times New Roman" w:hAnsi="Times New Roman" w:cs="Times New Roman"/>
          <w:b/>
          <w:color w:val="000000" w:themeColor="text1"/>
          <w:sz w:val="22"/>
          <w:lang w:val="fr-FR"/>
        </w:rPr>
        <w:t xml:space="preserve"> et à réviser</w:t>
      </w:r>
      <w:r w:rsidRPr="002B6B36">
        <w:rPr>
          <w:rFonts w:ascii="Times New Roman" w:hAnsi="Times New Roman" w:cs="Times New Roman"/>
          <w:b/>
          <w:color w:val="000000" w:themeColor="text1"/>
          <w:sz w:val="22"/>
          <w:lang w:val="fr-FR"/>
        </w:rPr>
        <w:t xml:space="preserve"> lors de la phase II du plan du secteur</w:t>
      </w:r>
      <w:r>
        <w:rPr>
          <w:rFonts w:ascii="Times New Roman" w:hAnsi="Times New Roman" w:cs="Times New Roman"/>
          <w:b/>
          <w:color w:val="000000" w:themeColor="text1"/>
          <w:sz w:val="22"/>
          <w:lang w:val="fr-FR"/>
        </w:rPr>
        <w:t xml:space="preserve"> ICR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6"/>
        <w:gridCol w:w="2064"/>
      </w:tblGrid>
      <w:tr w:rsidR="00720BA7" w:rsidRPr="00C20600" w14:paraId="4082E63C" w14:textId="77777777" w:rsidTr="00720BA7">
        <w:trPr>
          <w:trHeight w:val="35"/>
          <w:tblHeader/>
        </w:trPr>
        <w:tc>
          <w:tcPr>
            <w:tcW w:w="3896" w:type="pct"/>
            <w:shd w:val="clear" w:color="auto" w:fill="auto"/>
            <w:hideMark/>
          </w:tcPr>
          <w:p w14:paraId="332ECDFF" w14:textId="77777777" w:rsidR="00720BA7" w:rsidRPr="002B6B36" w:rsidRDefault="00720BA7" w:rsidP="00720BA7">
            <w:pPr>
              <w:jc w:val="left"/>
              <w:rPr>
                <w:b/>
                <w:bCs/>
                <w:color w:val="000000" w:themeColor="text1"/>
                <w:sz w:val="21"/>
                <w:szCs w:val="21"/>
                <w:lang w:val="en-CA" w:eastAsia="zh-CN"/>
              </w:rPr>
            </w:pPr>
            <w:r w:rsidRPr="002B6B36">
              <w:rPr>
                <w:b/>
                <w:bCs/>
                <w:color w:val="000000" w:themeColor="text1"/>
                <w:sz w:val="21"/>
                <w:szCs w:val="21"/>
                <w:lang w:val="fr-FR" w:eastAsia="zh-CN"/>
              </w:rPr>
              <w:t>Norme</w:t>
            </w:r>
          </w:p>
        </w:tc>
        <w:tc>
          <w:tcPr>
            <w:tcW w:w="1104" w:type="pct"/>
            <w:shd w:val="clear" w:color="auto" w:fill="auto"/>
            <w:hideMark/>
          </w:tcPr>
          <w:p w14:paraId="25A18548" w14:textId="77777777" w:rsidR="00720BA7" w:rsidRPr="002B6B36" w:rsidRDefault="00720BA7" w:rsidP="00720BA7">
            <w:pPr>
              <w:jc w:val="center"/>
              <w:rPr>
                <w:b/>
                <w:bCs/>
                <w:color w:val="000000" w:themeColor="text1"/>
                <w:sz w:val="21"/>
                <w:szCs w:val="21"/>
                <w:lang w:val="en-CA" w:eastAsia="zh-CN"/>
              </w:rPr>
            </w:pPr>
            <w:r w:rsidRPr="002B6B36">
              <w:rPr>
                <w:b/>
                <w:bCs/>
                <w:color w:val="000000" w:themeColor="text1"/>
                <w:sz w:val="21"/>
                <w:szCs w:val="21"/>
                <w:lang w:val="fr-FR" w:eastAsia="zh-CN"/>
              </w:rPr>
              <w:t>No de norme</w:t>
            </w:r>
          </w:p>
        </w:tc>
      </w:tr>
      <w:tr w:rsidR="00720BA7" w:rsidRPr="00C20600" w14:paraId="409684A3" w14:textId="77777777" w:rsidTr="00720BA7">
        <w:trPr>
          <w:trHeight w:val="35"/>
        </w:trPr>
        <w:tc>
          <w:tcPr>
            <w:tcW w:w="3896" w:type="pct"/>
            <w:shd w:val="clear" w:color="auto" w:fill="auto"/>
            <w:hideMark/>
          </w:tcPr>
          <w:p w14:paraId="78C765C8" w14:textId="77777777" w:rsidR="00720BA7" w:rsidRPr="00720BA7" w:rsidRDefault="00720BA7" w:rsidP="00720BA7">
            <w:pPr>
              <w:jc w:val="left"/>
              <w:rPr>
                <w:color w:val="000000" w:themeColor="text1"/>
                <w:sz w:val="21"/>
                <w:szCs w:val="21"/>
                <w:lang w:val="fr-CA" w:eastAsia="zh-CN"/>
              </w:rPr>
            </w:pPr>
            <w:r w:rsidRPr="0046795E">
              <w:rPr>
                <w:color w:val="000000" w:themeColor="text1"/>
                <w:sz w:val="21"/>
                <w:szCs w:val="21"/>
                <w:lang w:val="fr-FR" w:eastAsia="zh-CN"/>
              </w:rPr>
              <w:t>Caractéristiques techniques de sécurité des équipements de réfrigération et climatisation</w:t>
            </w:r>
          </w:p>
        </w:tc>
        <w:tc>
          <w:tcPr>
            <w:tcW w:w="1104" w:type="pct"/>
            <w:shd w:val="clear" w:color="auto" w:fill="auto"/>
            <w:hideMark/>
          </w:tcPr>
          <w:p w14:paraId="1498AFA2"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Nouvelle norme</w:t>
            </w:r>
          </w:p>
        </w:tc>
      </w:tr>
      <w:tr w:rsidR="00720BA7" w:rsidRPr="00C20600" w14:paraId="252F46B9" w14:textId="77777777" w:rsidTr="00720BA7">
        <w:trPr>
          <w:trHeight w:val="35"/>
        </w:trPr>
        <w:tc>
          <w:tcPr>
            <w:tcW w:w="3896" w:type="pct"/>
            <w:shd w:val="clear" w:color="auto" w:fill="auto"/>
            <w:hideMark/>
          </w:tcPr>
          <w:p w14:paraId="696B3030" w14:textId="77777777" w:rsidR="00720BA7" w:rsidRPr="00720BA7" w:rsidRDefault="00720BA7" w:rsidP="00720BA7">
            <w:pPr>
              <w:jc w:val="left"/>
              <w:rPr>
                <w:color w:val="000000"/>
                <w:sz w:val="21"/>
                <w:szCs w:val="21"/>
                <w:lang w:val="fr-CA" w:eastAsia="zh-CN"/>
              </w:rPr>
            </w:pPr>
            <w:r w:rsidRPr="0046795E">
              <w:rPr>
                <w:color w:val="000000" w:themeColor="text1"/>
                <w:sz w:val="21"/>
                <w:szCs w:val="21"/>
                <w:lang w:val="fr-FR" w:eastAsia="zh-CN"/>
              </w:rPr>
              <w:t>Conditions de sécurité des unités de traitement d</w:t>
            </w:r>
            <w:r>
              <w:rPr>
                <w:color w:val="000000" w:themeColor="text1"/>
                <w:sz w:val="21"/>
                <w:szCs w:val="21"/>
                <w:lang w:val="fr-FR" w:eastAsia="zh-CN"/>
              </w:rPr>
              <w:t>’</w:t>
            </w:r>
            <w:r w:rsidRPr="0046795E">
              <w:rPr>
                <w:color w:val="000000" w:themeColor="text1"/>
                <w:sz w:val="21"/>
                <w:szCs w:val="21"/>
                <w:lang w:val="fr-FR" w:eastAsia="zh-CN"/>
              </w:rPr>
              <w:t>air</w:t>
            </w:r>
            <w:r w:rsidRPr="00720BA7">
              <w:rPr>
                <w:color w:val="000000" w:themeColor="text1"/>
                <w:sz w:val="21"/>
                <w:szCs w:val="21"/>
                <w:lang w:val="fr-CA" w:eastAsia="zh-CN"/>
              </w:rPr>
              <w:t xml:space="preserve"> </w:t>
            </w:r>
          </w:p>
        </w:tc>
        <w:tc>
          <w:tcPr>
            <w:tcW w:w="1104" w:type="pct"/>
            <w:shd w:val="clear" w:color="auto" w:fill="auto"/>
            <w:hideMark/>
          </w:tcPr>
          <w:p w14:paraId="50248C82"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GB/T 10891-1989</w:t>
            </w:r>
          </w:p>
        </w:tc>
      </w:tr>
      <w:tr w:rsidR="00720BA7" w:rsidRPr="00C20600" w14:paraId="64980388" w14:textId="77777777" w:rsidTr="00720BA7">
        <w:trPr>
          <w:trHeight w:val="35"/>
        </w:trPr>
        <w:tc>
          <w:tcPr>
            <w:tcW w:w="3896" w:type="pct"/>
            <w:shd w:val="clear" w:color="auto" w:fill="auto"/>
            <w:hideMark/>
          </w:tcPr>
          <w:p w14:paraId="21B8E57A" w14:textId="77777777" w:rsidR="00720BA7" w:rsidRPr="00720BA7" w:rsidRDefault="00720BA7" w:rsidP="00720BA7">
            <w:pPr>
              <w:jc w:val="left"/>
              <w:rPr>
                <w:color w:val="000000" w:themeColor="text1"/>
                <w:sz w:val="21"/>
                <w:szCs w:val="21"/>
                <w:lang w:val="fr-CA" w:eastAsia="zh-CN"/>
              </w:rPr>
            </w:pPr>
            <w:r w:rsidRPr="0046795E">
              <w:rPr>
                <w:color w:val="000000" w:themeColor="text1"/>
                <w:sz w:val="21"/>
                <w:szCs w:val="21"/>
                <w:lang w:val="fr-FR" w:eastAsia="zh-CN"/>
              </w:rPr>
              <w:t>Compresseurs de frigorigène</w:t>
            </w:r>
            <w:r>
              <w:rPr>
                <w:color w:val="000000" w:themeColor="text1"/>
                <w:sz w:val="21"/>
                <w:szCs w:val="21"/>
                <w:lang w:val="fr-FR" w:eastAsia="zh-CN"/>
              </w:rPr>
              <w:t xml:space="preserve"> </w:t>
            </w:r>
            <w:r w:rsidRPr="0046795E">
              <w:rPr>
                <w:color w:val="000000" w:themeColor="text1"/>
                <w:sz w:val="21"/>
                <w:szCs w:val="21"/>
                <w:lang w:val="fr-FR" w:eastAsia="zh-CN"/>
              </w:rPr>
              <w:t xml:space="preserve">à vis </w:t>
            </w:r>
          </w:p>
        </w:tc>
        <w:tc>
          <w:tcPr>
            <w:tcW w:w="1104" w:type="pct"/>
            <w:shd w:val="clear" w:color="auto" w:fill="auto"/>
            <w:hideMark/>
          </w:tcPr>
          <w:p w14:paraId="4D482A9F"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GB/T 19410-2008</w:t>
            </w:r>
          </w:p>
        </w:tc>
      </w:tr>
      <w:tr w:rsidR="00720BA7" w:rsidRPr="00C20600" w14:paraId="218E8F8C" w14:textId="77777777" w:rsidTr="00720BA7">
        <w:trPr>
          <w:trHeight w:val="35"/>
        </w:trPr>
        <w:tc>
          <w:tcPr>
            <w:tcW w:w="3896" w:type="pct"/>
            <w:shd w:val="clear" w:color="auto" w:fill="auto"/>
            <w:hideMark/>
          </w:tcPr>
          <w:p w14:paraId="36CC5638" w14:textId="77777777" w:rsidR="00720BA7" w:rsidRPr="00720BA7" w:rsidRDefault="00720BA7" w:rsidP="00720BA7">
            <w:pPr>
              <w:jc w:val="left"/>
              <w:rPr>
                <w:color w:val="000000" w:themeColor="text1"/>
                <w:sz w:val="21"/>
                <w:szCs w:val="21"/>
                <w:lang w:val="fr-CA" w:eastAsia="zh-CN"/>
              </w:rPr>
            </w:pPr>
            <w:r w:rsidRPr="0046795E">
              <w:rPr>
                <w:color w:val="000000" w:themeColor="text1"/>
                <w:sz w:val="21"/>
                <w:szCs w:val="21"/>
                <w:lang w:val="fr-FR" w:eastAsia="zh-CN"/>
              </w:rPr>
              <w:t>Compresseur de frigorigène hermétique pour pompe à chaleur aérothermique</w:t>
            </w:r>
            <w:r w:rsidRPr="0046795E">
              <w:rPr>
                <w:rStyle w:val="tlid-translation"/>
                <w:lang w:val="fr-FR"/>
              </w:rPr>
              <w:t xml:space="preserve"> </w:t>
            </w:r>
            <w:r>
              <w:rPr>
                <w:rStyle w:val="tlid-translation"/>
                <w:lang w:val="fr-FR"/>
              </w:rPr>
              <w:t>en</w:t>
            </w:r>
            <w:r w:rsidRPr="0046795E">
              <w:rPr>
                <w:color w:val="000000" w:themeColor="text1"/>
                <w:sz w:val="21"/>
                <w:szCs w:val="21"/>
                <w:lang w:val="fr-FR" w:eastAsia="zh-CN"/>
              </w:rPr>
              <w:t xml:space="preserve"> température ambiante basse</w:t>
            </w:r>
          </w:p>
        </w:tc>
        <w:tc>
          <w:tcPr>
            <w:tcW w:w="1104" w:type="pct"/>
            <w:shd w:val="clear" w:color="auto" w:fill="auto"/>
            <w:hideMark/>
          </w:tcPr>
          <w:p w14:paraId="581465B4" w14:textId="77777777" w:rsidR="00720BA7" w:rsidRPr="0046795E" w:rsidRDefault="00720BA7" w:rsidP="00720BA7">
            <w:pPr>
              <w:jc w:val="left"/>
              <w:rPr>
                <w:color w:val="000000" w:themeColor="text1"/>
                <w:sz w:val="21"/>
                <w:szCs w:val="21"/>
                <w:lang w:val="en-CA" w:eastAsia="zh-CN"/>
              </w:rPr>
            </w:pPr>
            <w:r w:rsidRPr="00720BA7">
              <w:rPr>
                <w:color w:val="000000" w:themeColor="text1"/>
                <w:sz w:val="21"/>
                <w:szCs w:val="21"/>
                <w:lang w:val="fr-CA" w:eastAsia="zh-CN"/>
              </w:rPr>
              <w:t> </w:t>
            </w:r>
            <w:r w:rsidRPr="0046795E">
              <w:rPr>
                <w:color w:val="000000" w:themeColor="text1"/>
                <w:sz w:val="21"/>
                <w:szCs w:val="21"/>
                <w:lang w:val="fr-FR" w:eastAsia="zh-CN"/>
              </w:rPr>
              <w:t>Nouvelle norme</w:t>
            </w:r>
          </w:p>
        </w:tc>
      </w:tr>
      <w:tr w:rsidR="00720BA7" w:rsidRPr="00C20600" w14:paraId="07E83760" w14:textId="77777777" w:rsidTr="00720BA7">
        <w:trPr>
          <w:trHeight w:val="296"/>
        </w:trPr>
        <w:tc>
          <w:tcPr>
            <w:tcW w:w="3896" w:type="pct"/>
            <w:shd w:val="clear" w:color="auto" w:fill="auto"/>
            <w:hideMark/>
          </w:tcPr>
          <w:p w14:paraId="7525A993" w14:textId="77777777" w:rsidR="00720BA7" w:rsidRPr="00720BA7" w:rsidRDefault="00720BA7" w:rsidP="00720BA7">
            <w:pPr>
              <w:jc w:val="left"/>
              <w:rPr>
                <w:color w:val="000000" w:themeColor="text1"/>
                <w:sz w:val="21"/>
                <w:szCs w:val="21"/>
                <w:lang w:val="fr-CA" w:eastAsia="zh-CN"/>
              </w:rPr>
            </w:pPr>
            <w:r w:rsidRPr="00F81CB5">
              <w:rPr>
                <w:rStyle w:val="tlid-translation"/>
                <w:sz w:val="21"/>
                <w:szCs w:val="21"/>
                <w:lang w:val="fr-FR"/>
              </w:rPr>
              <w:t>Ensembles de refroidisseurs d</w:t>
            </w:r>
            <w:r>
              <w:rPr>
                <w:rStyle w:val="tlid-translation"/>
                <w:sz w:val="21"/>
                <w:szCs w:val="21"/>
                <w:lang w:val="fr-FR"/>
              </w:rPr>
              <w:t>’</w:t>
            </w:r>
            <w:r w:rsidRPr="00F81CB5">
              <w:rPr>
                <w:rStyle w:val="tlid-translation"/>
                <w:sz w:val="21"/>
                <w:szCs w:val="21"/>
                <w:lang w:val="fr-FR"/>
              </w:rPr>
              <w:t>eau (pompe à chaleur) utilisant le cycle de compression de vapeur - Partie 1: Ensembles de refroidisseurs d</w:t>
            </w:r>
            <w:r>
              <w:rPr>
                <w:rStyle w:val="tlid-translation"/>
                <w:sz w:val="21"/>
                <w:szCs w:val="21"/>
                <w:lang w:val="fr-FR"/>
              </w:rPr>
              <w:t>’</w:t>
            </w:r>
            <w:r w:rsidRPr="00F81CB5">
              <w:rPr>
                <w:rStyle w:val="tlid-translation"/>
                <w:sz w:val="21"/>
                <w:szCs w:val="21"/>
                <w:lang w:val="fr-FR"/>
              </w:rPr>
              <w:t>eau (pompe à chaleur) pour applications industrielles et commerciales et similaires</w:t>
            </w:r>
            <w:r w:rsidRPr="00720BA7">
              <w:rPr>
                <w:rStyle w:val="tw4winMark"/>
                <w:lang w:val="fr-CA"/>
              </w:rPr>
              <w:t>&lt;0}</w:t>
            </w:r>
          </w:p>
        </w:tc>
        <w:tc>
          <w:tcPr>
            <w:tcW w:w="1104" w:type="pct"/>
            <w:shd w:val="clear" w:color="auto" w:fill="auto"/>
            <w:hideMark/>
          </w:tcPr>
          <w:p w14:paraId="40E763B0"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GB/T 18430.1-2007</w:t>
            </w:r>
          </w:p>
        </w:tc>
      </w:tr>
      <w:tr w:rsidR="00720BA7" w:rsidRPr="00C20600" w14:paraId="0E123969" w14:textId="77777777" w:rsidTr="00720BA7">
        <w:trPr>
          <w:trHeight w:val="35"/>
        </w:trPr>
        <w:tc>
          <w:tcPr>
            <w:tcW w:w="3896" w:type="pct"/>
            <w:shd w:val="clear" w:color="auto" w:fill="auto"/>
            <w:hideMark/>
          </w:tcPr>
          <w:p w14:paraId="72A10895" w14:textId="77777777" w:rsidR="00720BA7" w:rsidRPr="00720BA7" w:rsidRDefault="00720BA7" w:rsidP="00720BA7">
            <w:pPr>
              <w:jc w:val="left"/>
              <w:rPr>
                <w:color w:val="000000" w:themeColor="text1"/>
                <w:sz w:val="21"/>
                <w:szCs w:val="21"/>
                <w:lang w:val="fr-CA" w:eastAsia="zh-CN"/>
              </w:rPr>
            </w:pPr>
            <w:r w:rsidRPr="0046795E">
              <w:rPr>
                <w:color w:val="000000" w:themeColor="text1"/>
                <w:sz w:val="21"/>
                <w:szCs w:val="21"/>
                <w:lang w:val="fr-FR" w:eastAsia="zh-CN"/>
              </w:rPr>
              <w:t>Pompes à chaleur à eau (géothermique)</w:t>
            </w:r>
          </w:p>
        </w:tc>
        <w:tc>
          <w:tcPr>
            <w:tcW w:w="1104" w:type="pct"/>
            <w:shd w:val="clear" w:color="auto" w:fill="auto"/>
            <w:hideMark/>
          </w:tcPr>
          <w:p w14:paraId="26D32A80"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GB/T 19409-2013</w:t>
            </w:r>
          </w:p>
        </w:tc>
      </w:tr>
      <w:tr w:rsidR="00720BA7" w:rsidRPr="00C20600" w14:paraId="56F2D98C" w14:textId="77777777" w:rsidTr="00720BA7">
        <w:trPr>
          <w:trHeight w:val="125"/>
        </w:trPr>
        <w:tc>
          <w:tcPr>
            <w:tcW w:w="3896" w:type="pct"/>
            <w:shd w:val="clear" w:color="auto" w:fill="auto"/>
            <w:hideMark/>
          </w:tcPr>
          <w:p w14:paraId="6C311A81" w14:textId="77777777" w:rsidR="00720BA7" w:rsidRPr="00720BA7" w:rsidRDefault="00720BA7" w:rsidP="00720BA7">
            <w:pPr>
              <w:jc w:val="left"/>
              <w:rPr>
                <w:color w:val="000000" w:themeColor="text1"/>
                <w:sz w:val="21"/>
                <w:szCs w:val="21"/>
                <w:lang w:val="fr-CA" w:eastAsia="zh-CN"/>
              </w:rPr>
            </w:pPr>
            <w:r w:rsidRPr="0046795E">
              <w:rPr>
                <w:color w:val="000000" w:themeColor="text1"/>
                <w:sz w:val="21"/>
                <w:szCs w:val="21"/>
                <w:lang w:val="fr-FR" w:eastAsia="zh-CN"/>
              </w:rPr>
              <w:t>Chauffe-eau à pompe à chaleur pour</w:t>
            </w:r>
            <w:r>
              <w:rPr>
                <w:color w:val="000000" w:themeColor="text1"/>
                <w:sz w:val="21"/>
                <w:szCs w:val="21"/>
                <w:lang w:val="fr-FR" w:eastAsia="zh-CN"/>
              </w:rPr>
              <w:t xml:space="preserve"> </w:t>
            </w:r>
            <w:r w:rsidRPr="0046795E">
              <w:rPr>
                <w:color w:val="000000" w:themeColor="text1"/>
                <w:sz w:val="21"/>
                <w:szCs w:val="21"/>
                <w:lang w:val="fr-FR" w:eastAsia="zh-CN"/>
              </w:rPr>
              <w:t>applications industrielles et commerciales et applications similaires</w:t>
            </w:r>
          </w:p>
        </w:tc>
        <w:tc>
          <w:tcPr>
            <w:tcW w:w="1104" w:type="pct"/>
            <w:shd w:val="clear" w:color="auto" w:fill="auto"/>
            <w:hideMark/>
          </w:tcPr>
          <w:p w14:paraId="32D2AAE5"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GB/T 21362-2008</w:t>
            </w:r>
          </w:p>
        </w:tc>
      </w:tr>
      <w:tr w:rsidR="00720BA7" w:rsidRPr="00C20600" w14:paraId="3630A80A" w14:textId="77777777" w:rsidTr="00720BA7">
        <w:trPr>
          <w:trHeight w:val="35"/>
        </w:trPr>
        <w:tc>
          <w:tcPr>
            <w:tcW w:w="3896" w:type="pct"/>
            <w:shd w:val="clear" w:color="auto" w:fill="auto"/>
            <w:hideMark/>
          </w:tcPr>
          <w:p w14:paraId="3D90BF34" w14:textId="77777777" w:rsidR="00720BA7" w:rsidRPr="00720BA7" w:rsidRDefault="00720BA7" w:rsidP="00720BA7">
            <w:pPr>
              <w:jc w:val="left"/>
              <w:rPr>
                <w:color w:val="000000"/>
                <w:sz w:val="21"/>
                <w:szCs w:val="21"/>
                <w:lang w:val="fr-CA" w:eastAsia="zh-CN"/>
              </w:rPr>
            </w:pPr>
            <w:r w:rsidRPr="0046795E">
              <w:rPr>
                <w:color w:val="000000"/>
                <w:sz w:val="21"/>
                <w:szCs w:val="21"/>
                <w:lang w:val="fr-FR" w:eastAsia="zh-CN"/>
              </w:rPr>
              <w:t>Réchauffeur d</w:t>
            </w:r>
            <w:r>
              <w:rPr>
                <w:color w:val="000000"/>
                <w:sz w:val="21"/>
                <w:szCs w:val="21"/>
                <w:lang w:val="fr-FR" w:eastAsia="zh-CN"/>
              </w:rPr>
              <w:t>’</w:t>
            </w:r>
            <w:r w:rsidRPr="0046795E">
              <w:rPr>
                <w:color w:val="000000"/>
                <w:sz w:val="21"/>
                <w:szCs w:val="21"/>
                <w:lang w:val="fr-FR" w:eastAsia="zh-CN"/>
              </w:rPr>
              <w:t>air à pompe à chaleur aérothermique</w:t>
            </w:r>
          </w:p>
        </w:tc>
        <w:tc>
          <w:tcPr>
            <w:tcW w:w="1104" w:type="pct"/>
            <w:shd w:val="clear" w:color="auto" w:fill="auto"/>
            <w:hideMark/>
          </w:tcPr>
          <w:p w14:paraId="75040494"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Nouvelle norme</w:t>
            </w:r>
          </w:p>
        </w:tc>
      </w:tr>
      <w:tr w:rsidR="00720BA7" w:rsidRPr="00C20600" w14:paraId="0E3785DF" w14:textId="77777777" w:rsidTr="00720BA7">
        <w:trPr>
          <w:trHeight w:val="35"/>
        </w:trPr>
        <w:tc>
          <w:tcPr>
            <w:tcW w:w="3896" w:type="pct"/>
            <w:shd w:val="clear" w:color="auto" w:fill="auto"/>
            <w:hideMark/>
          </w:tcPr>
          <w:p w14:paraId="03AB4E4B" w14:textId="77777777" w:rsidR="00720BA7" w:rsidRPr="00720BA7" w:rsidRDefault="00720BA7" w:rsidP="00720BA7">
            <w:pPr>
              <w:jc w:val="left"/>
              <w:rPr>
                <w:color w:val="000000" w:themeColor="text1"/>
                <w:sz w:val="21"/>
                <w:szCs w:val="21"/>
                <w:lang w:val="fr-CA" w:eastAsia="zh-CN"/>
              </w:rPr>
            </w:pPr>
            <w:r w:rsidRPr="002C27A8">
              <w:rPr>
                <w:color w:val="000000" w:themeColor="text1"/>
                <w:sz w:val="21"/>
                <w:szCs w:val="21"/>
                <w:lang w:val="fr-FR" w:eastAsia="zh-CN"/>
              </w:rPr>
              <w:t>Dispositifs de chauffage et de climatisation et de chauffe-eau de petits formats et types approchants</w:t>
            </w:r>
          </w:p>
        </w:tc>
        <w:tc>
          <w:tcPr>
            <w:tcW w:w="1104" w:type="pct"/>
            <w:shd w:val="clear" w:color="auto" w:fill="auto"/>
            <w:hideMark/>
          </w:tcPr>
          <w:p w14:paraId="5DE751BC" w14:textId="77777777" w:rsidR="00720BA7" w:rsidRPr="0046795E" w:rsidRDefault="00720BA7" w:rsidP="00720BA7">
            <w:pPr>
              <w:jc w:val="left"/>
              <w:rPr>
                <w:color w:val="000000" w:themeColor="text1"/>
                <w:sz w:val="21"/>
                <w:szCs w:val="21"/>
                <w:lang w:val="en-CA" w:eastAsia="zh-CN"/>
              </w:rPr>
            </w:pPr>
            <w:r w:rsidRPr="0046795E">
              <w:rPr>
                <w:color w:val="000000" w:themeColor="text1"/>
                <w:sz w:val="21"/>
                <w:szCs w:val="21"/>
                <w:lang w:val="fr-FR" w:eastAsia="zh-CN"/>
              </w:rPr>
              <w:t>JB/T 10916-2008</w:t>
            </w:r>
          </w:p>
        </w:tc>
      </w:tr>
      <w:tr w:rsidR="00720BA7" w:rsidRPr="00C20600" w14:paraId="319525FB" w14:textId="77777777" w:rsidTr="00720BA7">
        <w:trPr>
          <w:trHeight w:val="35"/>
        </w:trPr>
        <w:tc>
          <w:tcPr>
            <w:tcW w:w="3896" w:type="pct"/>
            <w:shd w:val="clear" w:color="auto" w:fill="auto"/>
            <w:hideMark/>
          </w:tcPr>
          <w:p w14:paraId="0317770F" w14:textId="77777777" w:rsidR="00720BA7" w:rsidRPr="00720BA7" w:rsidRDefault="00720BA7" w:rsidP="00720BA7">
            <w:pPr>
              <w:jc w:val="left"/>
              <w:rPr>
                <w:color w:val="000000" w:themeColor="text1"/>
                <w:sz w:val="21"/>
                <w:szCs w:val="21"/>
                <w:lang w:val="fr-CA" w:eastAsia="zh-CN"/>
              </w:rPr>
            </w:pPr>
            <w:r w:rsidRPr="0046795E">
              <w:rPr>
                <w:color w:val="000000" w:themeColor="text1"/>
                <w:sz w:val="21"/>
                <w:szCs w:val="21"/>
                <w:lang w:val="fr-FR" w:eastAsia="zh-CN"/>
              </w:rPr>
              <w:t>Système de réfrigération pour chambre froide de petit</w:t>
            </w:r>
            <w:r>
              <w:rPr>
                <w:color w:val="000000" w:themeColor="text1"/>
                <w:sz w:val="21"/>
                <w:szCs w:val="21"/>
                <w:lang w:val="fr-FR" w:eastAsia="zh-CN"/>
              </w:rPr>
              <w:t>s</w:t>
            </w:r>
            <w:r w:rsidRPr="0046795E">
              <w:rPr>
                <w:color w:val="000000" w:themeColor="text1"/>
                <w:sz w:val="21"/>
                <w:szCs w:val="21"/>
                <w:lang w:val="fr-FR" w:eastAsia="zh-CN"/>
              </w:rPr>
              <w:t xml:space="preserve"> et moyen</w:t>
            </w:r>
            <w:r>
              <w:rPr>
                <w:color w:val="000000" w:themeColor="text1"/>
                <w:sz w:val="21"/>
                <w:szCs w:val="21"/>
                <w:lang w:val="fr-FR" w:eastAsia="zh-CN"/>
              </w:rPr>
              <w:t>s formats</w:t>
            </w:r>
            <w:r w:rsidRPr="00720BA7">
              <w:rPr>
                <w:rStyle w:val="tw4winMark"/>
                <w:lang w:val="fr-CA"/>
              </w:rPr>
              <w:t>&lt;0}</w:t>
            </w:r>
          </w:p>
        </w:tc>
        <w:tc>
          <w:tcPr>
            <w:tcW w:w="1104" w:type="pct"/>
            <w:shd w:val="clear" w:color="auto" w:fill="auto"/>
            <w:hideMark/>
          </w:tcPr>
          <w:p w14:paraId="363F3305" w14:textId="77777777" w:rsidR="00720BA7" w:rsidRPr="00342A1D" w:rsidRDefault="00720BA7" w:rsidP="00720BA7">
            <w:pPr>
              <w:jc w:val="left"/>
              <w:rPr>
                <w:color w:val="000000" w:themeColor="text1"/>
                <w:sz w:val="21"/>
                <w:szCs w:val="21"/>
                <w:lang w:val="en-CA" w:eastAsia="zh-CN"/>
              </w:rPr>
            </w:pPr>
            <w:r w:rsidRPr="00342A1D">
              <w:rPr>
                <w:color w:val="000000" w:themeColor="text1"/>
                <w:sz w:val="21"/>
                <w:szCs w:val="21"/>
                <w:lang w:val="fr-FR" w:eastAsia="zh-CN"/>
              </w:rPr>
              <w:t>Nouvelle norme</w:t>
            </w:r>
          </w:p>
        </w:tc>
      </w:tr>
    </w:tbl>
    <w:p w14:paraId="41DECC86" w14:textId="77777777" w:rsidR="00720BA7" w:rsidRPr="00C20600" w:rsidRDefault="00720BA7" w:rsidP="00720BA7">
      <w:pPr>
        <w:pStyle w:val="Heading2"/>
        <w:numPr>
          <w:ilvl w:val="0"/>
          <w:numId w:val="0"/>
        </w:numPr>
        <w:spacing w:after="0"/>
        <w:rPr>
          <w:lang w:val="en-CA"/>
        </w:rPr>
      </w:pPr>
      <w:bookmarkStart w:id="8" w:name="_Toc40039328"/>
    </w:p>
    <w:p w14:paraId="1B590F51" w14:textId="77777777" w:rsidR="00720BA7" w:rsidRPr="00720BA7" w:rsidRDefault="00720BA7" w:rsidP="00720BA7">
      <w:pPr>
        <w:pStyle w:val="Heading1"/>
        <w:rPr>
          <w:lang w:val="fr-CA"/>
        </w:rPr>
      </w:pPr>
      <w:r w:rsidRPr="00342A1D">
        <w:rPr>
          <w:lang w:val="fr-FR"/>
        </w:rPr>
        <w:t>Des formations, des échanges d</w:t>
      </w:r>
      <w:r>
        <w:rPr>
          <w:lang w:val="fr-FR"/>
        </w:rPr>
        <w:t>’</w:t>
      </w:r>
      <w:r w:rsidRPr="00342A1D">
        <w:rPr>
          <w:lang w:val="fr-FR"/>
        </w:rPr>
        <w:t>informations et des séminaires seront organisés pour soutenir la reconversion et diffuser des informations sur les développements les plus récents en matière de technologies de remplacement et de normes, notamment :</w:t>
      </w:r>
    </w:p>
    <w:p w14:paraId="42AD59B6" w14:textId="77777777" w:rsidR="00720BA7" w:rsidRPr="00720BA7" w:rsidRDefault="00720BA7" w:rsidP="00720BA7">
      <w:pPr>
        <w:pStyle w:val="Heading2"/>
        <w:numPr>
          <w:ilvl w:val="1"/>
          <w:numId w:val="1"/>
        </w:numPr>
        <w:rPr>
          <w:rStyle w:val="tw4winMark"/>
          <w:vanish w:val="0"/>
          <w:lang w:val="fr-CA"/>
        </w:rPr>
      </w:pPr>
      <w:r w:rsidRPr="00342A1D">
        <w:rPr>
          <w:lang w:val="fr-FR"/>
        </w:rPr>
        <w:t>Formation destinée aux fabricants sur les questions techniques au cours de la reconversion des chaînes de fabrication ; et conception de matériel de formation prenant en compte l</w:t>
      </w:r>
      <w:r>
        <w:rPr>
          <w:lang w:val="fr-FR"/>
        </w:rPr>
        <w:t>’</w:t>
      </w:r>
      <w:r w:rsidRPr="00342A1D">
        <w:rPr>
          <w:lang w:val="fr-FR"/>
        </w:rPr>
        <w:t>expérience acquise et les résultats de l</w:t>
      </w:r>
      <w:r>
        <w:rPr>
          <w:lang w:val="fr-FR"/>
        </w:rPr>
        <w:t>’</w:t>
      </w:r>
      <w:r w:rsidRPr="00342A1D">
        <w:rPr>
          <w:lang w:val="fr-FR"/>
        </w:rPr>
        <w:t>évaluation des projets de reconversion déjà mis en œuvre dans le secteur ;</w:t>
      </w:r>
      <w:r w:rsidRPr="00720BA7">
        <w:rPr>
          <w:lang w:val="fr-CA"/>
        </w:rPr>
        <w:t xml:space="preserve"> </w:t>
      </w:r>
    </w:p>
    <w:p w14:paraId="0F57794E" w14:textId="77777777" w:rsidR="00720BA7" w:rsidRPr="00720BA7" w:rsidRDefault="00720BA7" w:rsidP="00720BA7">
      <w:pPr>
        <w:pStyle w:val="Heading2"/>
        <w:numPr>
          <w:ilvl w:val="1"/>
          <w:numId w:val="1"/>
        </w:numPr>
        <w:rPr>
          <w:color w:val="000000" w:themeColor="text1"/>
          <w:lang w:val="fr-CA"/>
        </w:rPr>
      </w:pPr>
      <w:r w:rsidRPr="00342A1D">
        <w:rPr>
          <w:color w:val="000000" w:themeColor="text1"/>
          <w:lang w:val="fr-FR"/>
        </w:rPr>
        <w:t>Apport de soutien et de formations pour les PME :</w:t>
      </w:r>
      <w:r w:rsidRPr="00720BA7">
        <w:rPr>
          <w:color w:val="000000" w:themeColor="text1"/>
          <w:lang w:val="fr-CA"/>
        </w:rPr>
        <w:t xml:space="preserve"> </w:t>
      </w:r>
    </w:p>
    <w:p w14:paraId="29D5652D" w14:textId="77777777" w:rsidR="00720BA7" w:rsidRPr="00720BA7" w:rsidRDefault="00720BA7" w:rsidP="00720BA7">
      <w:pPr>
        <w:pStyle w:val="Heading3"/>
        <w:numPr>
          <w:ilvl w:val="2"/>
          <w:numId w:val="1"/>
        </w:numPr>
        <w:rPr>
          <w:rStyle w:val="tw4winMark"/>
          <w:vanish w:val="0"/>
          <w:color w:val="000000" w:themeColor="text1"/>
          <w:lang w:val="fr-CA"/>
        </w:rPr>
      </w:pPr>
      <w:r w:rsidRPr="00342A1D">
        <w:rPr>
          <w:color w:val="000000" w:themeColor="text1"/>
          <w:lang w:val="fr-FR"/>
        </w:rPr>
        <w:t xml:space="preserve">Deux sessions de formation chaque année sur la </w:t>
      </w:r>
      <w:r w:rsidRPr="00342A1D">
        <w:rPr>
          <w:lang w:val="fr-FR"/>
        </w:rPr>
        <w:t>reconversion des chaînes de fabrication</w:t>
      </w:r>
      <w:r w:rsidRPr="00342A1D">
        <w:rPr>
          <w:color w:val="000000" w:themeColor="text1"/>
          <w:lang w:val="fr-FR"/>
        </w:rPr>
        <w:t>, y compris le développement de produit, la sélection des composants, les processus de reconversion et les mesures de sécurité ;</w:t>
      </w:r>
      <w:r w:rsidRPr="00720BA7">
        <w:rPr>
          <w:color w:val="000000" w:themeColor="text1"/>
          <w:lang w:val="fr-CA"/>
        </w:rPr>
        <w:t xml:space="preserve"> </w:t>
      </w:r>
    </w:p>
    <w:p w14:paraId="7A973FE4" w14:textId="77777777" w:rsidR="00720BA7" w:rsidRPr="00720BA7" w:rsidRDefault="00720BA7" w:rsidP="00720BA7">
      <w:pPr>
        <w:pStyle w:val="Heading3"/>
        <w:numPr>
          <w:ilvl w:val="2"/>
          <w:numId w:val="1"/>
        </w:numPr>
        <w:rPr>
          <w:lang w:val="fr-CA"/>
        </w:rPr>
      </w:pPr>
      <w:r w:rsidRPr="00342A1D">
        <w:rPr>
          <w:lang w:val="fr-FR"/>
        </w:rPr>
        <w:t>Préparation de lignes directrices techniques relatives à la reconversion à des solutions de remplacement pour aider à la transition vers des technologies sans HCFC ;</w:t>
      </w:r>
    </w:p>
    <w:p w14:paraId="177B1826" w14:textId="77777777" w:rsidR="00720BA7" w:rsidRPr="00720BA7" w:rsidRDefault="00720BA7" w:rsidP="00720BA7">
      <w:pPr>
        <w:pStyle w:val="Heading3"/>
        <w:numPr>
          <w:ilvl w:val="2"/>
          <w:numId w:val="1"/>
        </w:numPr>
        <w:rPr>
          <w:lang w:val="fr-CA"/>
        </w:rPr>
      </w:pPr>
      <w:r w:rsidRPr="00342A1D">
        <w:rPr>
          <w:lang w:val="fr-FR"/>
        </w:rPr>
        <w:t>Mise en place d</w:t>
      </w:r>
      <w:r>
        <w:rPr>
          <w:lang w:val="fr-FR"/>
        </w:rPr>
        <w:t>’</w:t>
      </w:r>
      <w:r w:rsidRPr="00342A1D">
        <w:rPr>
          <w:lang w:val="fr-FR"/>
        </w:rPr>
        <w:t>une équipe d</w:t>
      </w:r>
      <w:r>
        <w:rPr>
          <w:lang w:val="fr-FR"/>
        </w:rPr>
        <w:t>’</w:t>
      </w:r>
      <w:r w:rsidRPr="00342A1D">
        <w:rPr>
          <w:lang w:val="fr-FR"/>
        </w:rPr>
        <w:t xml:space="preserve">experts </w:t>
      </w:r>
      <w:r w:rsidRPr="00342A1D">
        <w:rPr>
          <w:rStyle w:val="tlid-translation"/>
          <w:lang w:val="fr-FR"/>
        </w:rPr>
        <w:t>pour fournir des conseils techniques personnalisés, notamment l</w:t>
      </w:r>
      <w:r>
        <w:rPr>
          <w:rStyle w:val="tlid-translation"/>
          <w:lang w:val="fr-FR"/>
        </w:rPr>
        <w:t>’</w:t>
      </w:r>
      <w:r w:rsidRPr="00342A1D">
        <w:rPr>
          <w:rStyle w:val="tlid-translation"/>
          <w:lang w:val="fr-FR"/>
        </w:rPr>
        <w:t>élaboration de plans de reconversion pour répondre aux conditions spécifiques de l</w:t>
      </w:r>
      <w:r>
        <w:rPr>
          <w:rStyle w:val="tlid-translation"/>
          <w:lang w:val="fr-FR"/>
        </w:rPr>
        <w:t>’</w:t>
      </w:r>
      <w:r w:rsidRPr="00342A1D">
        <w:rPr>
          <w:rStyle w:val="tlid-translation"/>
          <w:lang w:val="fr-FR"/>
        </w:rPr>
        <w:t>entreprise ; et fournir un soutien technique, des consultations et des conseils sur place pendant le processus de reconversion </w:t>
      </w:r>
      <w:r w:rsidRPr="00342A1D">
        <w:rPr>
          <w:color w:val="000000" w:themeColor="text1"/>
          <w:lang w:val="fr-FR"/>
        </w:rPr>
        <w:t>;</w:t>
      </w:r>
    </w:p>
    <w:p w14:paraId="685A2944" w14:textId="77777777" w:rsidR="00720BA7" w:rsidRPr="00720BA7" w:rsidRDefault="00720BA7" w:rsidP="00720BA7">
      <w:pPr>
        <w:pStyle w:val="Heading2"/>
        <w:keepNext/>
        <w:keepLines/>
        <w:numPr>
          <w:ilvl w:val="1"/>
          <w:numId w:val="1"/>
        </w:numPr>
        <w:rPr>
          <w:lang w:val="fr-CA"/>
        </w:rPr>
      </w:pPr>
      <w:r w:rsidRPr="00342A1D">
        <w:rPr>
          <w:rStyle w:val="tlid-translation"/>
          <w:lang w:val="fr-FR"/>
        </w:rPr>
        <w:t xml:space="preserve">Compilation des normes industrielles en place pour les technologies de remplacement et </w:t>
      </w:r>
      <w:r>
        <w:rPr>
          <w:rStyle w:val="tlid-translation"/>
          <w:lang w:val="fr-FR"/>
        </w:rPr>
        <w:t>élaborat</w:t>
      </w:r>
      <w:r w:rsidRPr="00342A1D">
        <w:rPr>
          <w:rStyle w:val="tlid-translation"/>
          <w:lang w:val="fr-FR"/>
        </w:rPr>
        <w:t>ion d</w:t>
      </w:r>
      <w:r>
        <w:rPr>
          <w:rStyle w:val="tlid-translation"/>
          <w:lang w:val="fr-FR"/>
        </w:rPr>
        <w:t>’</w:t>
      </w:r>
      <w:r w:rsidRPr="00342A1D">
        <w:rPr>
          <w:rStyle w:val="tlid-translation"/>
          <w:lang w:val="fr-FR"/>
        </w:rPr>
        <w:t>un manuel de formation pour l</w:t>
      </w:r>
      <w:r>
        <w:rPr>
          <w:rStyle w:val="tlid-translation"/>
          <w:lang w:val="fr-FR"/>
        </w:rPr>
        <w:t>’</w:t>
      </w:r>
      <w:r w:rsidRPr="00342A1D">
        <w:rPr>
          <w:rStyle w:val="tlid-translation"/>
          <w:lang w:val="fr-FR"/>
        </w:rPr>
        <w:t>application de ces normes ; organisation de deux séminaires de formation par an sur les normes industrielles</w:t>
      </w:r>
      <w:r>
        <w:rPr>
          <w:rStyle w:val="tlid-translation"/>
          <w:lang w:val="fr-FR"/>
        </w:rPr>
        <w:t xml:space="preserve"> </w:t>
      </w:r>
      <w:r w:rsidRPr="00342A1D">
        <w:rPr>
          <w:rStyle w:val="tlid-translation"/>
          <w:lang w:val="fr-FR"/>
        </w:rPr>
        <w:t>destinés aux fabricants </w:t>
      </w:r>
      <w:r w:rsidRPr="00342A1D">
        <w:rPr>
          <w:lang w:val="fr-FR"/>
        </w:rPr>
        <w:t>;</w:t>
      </w:r>
    </w:p>
    <w:p w14:paraId="65EE1022" w14:textId="77777777" w:rsidR="00720BA7" w:rsidRPr="00720BA7" w:rsidRDefault="00720BA7" w:rsidP="00720BA7">
      <w:pPr>
        <w:pStyle w:val="Heading2"/>
        <w:numPr>
          <w:ilvl w:val="1"/>
          <w:numId w:val="1"/>
        </w:numPr>
        <w:rPr>
          <w:lang w:val="fr-CA"/>
        </w:rPr>
      </w:pPr>
      <w:r w:rsidRPr="00342A1D">
        <w:rPr>
          <w:rStyle w:val="tlid-translation"/>
          <w:lang w:val="fr-FR"/>
        </w:rPr>
        <w:t>Organisation de séminaires internationaux deux fois par an pour dispenser une formation, assurer l</w:t>
      </w:r>
      <w:r>
        <w:rPr>
          <w:rStyle w:val="tlid-translation"/>
          <w:lang w:val="fr-FR"/>
        </w:rPr>
        <w:t>’</w:t>
      </w:r>
      <w:r w:rsidRPr="00342A1D">
        <w:rPr>
          <w:rStyle w:val="tlid-translation"/>
          <w:lang w:val="fr-FR"/>
        </w:rPr>
        <w:t>échange d</w:t>
      </w:r>
      <w:r>
        <w:rPr>
          <w:rStyle w:val="tlid-translation"/>
          <w:lang w:val="fr-FR"/>
        </w:rPr>
        <w:t>’</w:t>
      </w:r>
      <w:r w:rsidRPr="00342A1D">
        <w:rPr>
          <w:rStyle w:val="tlid-translation"/>
          <w:lang w:val="fr-FR"/>
        </w:rPr>
        <w:t>informations et le partage de l</w:t>
      </w:r>
      <w:r>
        <w:rPr>
          <w:rStyle w:val="tlid-translation"/>
          <w:lang w:val="fr-FR"/>
        </w:rPr>
        <w:t>’</w:t>
      </w:r>
      <w:r w:rsidRPr="00342A1D">
        <w:rPr>
          <w:rStyle w:val="tlid-translation"/>
          <w:lang w:val="fr-FR"/>
        </w:rPr>
        <w:t>expérience acquise</w:t>
      </w:r>
      <w:r>
        <w:rPr>
          <w:rStyle w:val="tlid-translation"/>
          <w:lang w:val="fr-FR"/>
        </w:rPr>
        <w:t xml:space="preserve"> </w:t>
      </w:r>
      <w:r w:rsidRPr="00342A1D">
        <w:rPr>
          <w:rStyle w:val="tlid-translation"/>
          <w:lang w:val="fr-FR"/>
        </w:rPr>
        <w:t>sur la reconversion de chaînes de fabrication, les politiques gouvernementales et les résultats de la recherche sur les frigorigènes de remplacement conjointement avec les activités organisées par</w:t>
      </w:r>
      <w:r>
        <w:rPr>
          <w:rStyle w:val="tlid-translation"/>
          <w:lang w:val="fr-FR"/>
        </w:rPr>
        <w:t xml:space="preserve"> </w:t>
      </w:r>
      <w:r w:rsidRPr="00342A1D">
        <w:rPr>
          <w:rStyle w:val="tlid-translation"/>
          <w:lang w:val="fr-FR"/>
        </w:rPr>
        <w:t>l</w:t>
      </w:r>
      <w:r>
        <w:rPr>
          <w:rStyle w:val="tlid-translation"/>
          <w:lang w:val="fr-FR"/>
        </w:rPr>
        <w:t>’</w:t>
      </w:r>
      <w:r w:rsidRPr="00342A1D">
        <w:rPr>
          <w:rStyle w:val="tlid-translation"/>
          <w:lang w:val="fr-FR"/>
        </w:rPr>
        <w:t>Association</w:t>
      </w:r>
      <w:r>
        <w:rPr>
          <w:rStyle w:val="tlid-translation"/>
          <w:lang w:val="fr-FR"/>
        </w:rPr>
        <w:t xml:space="preserve"> </w:t>
      </w:r>
      <w:r w:rsidRPr="00342A1D">
        <w:rPr>
          <w:rStyle w:val="tlid-translation"/>
          <w:lang w:val="fr-FR"/>
        </w:rPr>
        <w:t>chinoise de l</w:t>
      </w:r>
      <w:r>
        <w:rPr>
          <w:rStyle w:val="tlid-translation"/>
          <w:lang w:val="fr-FR"/>
        </w:rPr>
        <w:t>’industrie de l</w:t>
      </w:r>
      <w:r w:rsidRPr="00342A1D">
        <w:rPr>
          <w:rStyle w:val="tlid-translation"/>
          <w:lang w:val="fr-FR"/>
        </w:rPr>
        <w:t>a réfrigération et de la climatisation</w:t>
      </w:r>
      <w:r>
        <w:rPr>
          <w:rStyle w:val="tlid-translation"/>
          <w:lang w:val="fr-FR"/>
        </w:rPr>
        <w:t xml:space="preserve"> </w:t>
      </w:r>
      <w:r w:rsidRPr="00342A1D">
        <w:rPr>
          <w:rStyle w:val="tlid-translation"/>
          <w:lang w:val="fr-FR"/>
        </w:rPr>
        <w:t>industrielle</w:t>
      </w:r>
      <w:r w:rsidRPr="00342A1D">
        <w:rPr>
          <w:lang w:val="fr-FR"/>
        </w:rPr>
        <w:t xml:space="preserve"> (CRAA)</w:t>
      </w:r>
      <w:r>
        <w:rPr>
          <w:lang w:val="fr-FR"/>
        </w:rPr>
        <w:t> </w:t>
      </w:r>
      <w:r w:rsidRPr="00342A1D">
        <w:rPr>
          <w:lang w:val="fr-FR"/>
        </w:rPr>
        <w:t xml:space="preserve">; </w:t>
      </w:r>
      <w:r>
        <w:rPr>
          <w:lang w:val="fr-FR"/>
        </w:rPr>
        <w:t>et</w:t>
      </w:r>
    </w:p>
    <w:p w14:paraId="78EDE0E8" w14:textId="77777777" w:rsidR="00720BA7" w:rsidRPr="00720BA7" w:rsidRDefault="00720BA7" w:rsidP="00720BA7">
      <w:pPr>
        <w:pStyle w:val="Heading2"/>
        <w:numPr>
          <w:ilvl w:val="1"/>
          <w:numId w:val="1"/>
        </w:numPr>
        <w:rPr>
          <w:lang w:val="fr-CA"/>
        </w:rPr>
      </w:pPr>
      <w:r w:rsidRPr="00342A1D">
        <w:rPr>
          <w:rStyle w:val="tlid-translation"/>
          <w:lang w:val="fr-FR"/>
        </w:rPr>
        <w:lastRenderedPageBreak/>
        <w:t>Participation à des séminaires internationaux sur les développements les plus récents en matière de technologies de remplacement pour l</w:t>
      </w:r>
      <w:r>
        <w:rPr>
          <w:rStyle w:val="tlid-translation"/>
          <w:lang w:val="fr-FR"/>
        </w:rPr>
        <w:t>’</w:t>
      </w:r>
      <w:r w:rsidRPr="00342A1D">
        <w:rPr>
          <w:rStyle w:val="tlid-translation"/>
          <w:lang w:val="fr-FR"/>
        </w:rPr>
        <w:t>industrie de la réfrigération industrielle et commerciale</w:t>
      </w:r>
      <w:r w:rsidRPr="00342A1D">
        <w:rPr>
          <w:lang w:val="fr-FR"/>
        </w:rPr>
        <w:t>.</w:t>
      </w:r>
      <w:r w:rsidRPr="00720BA7">
        <w:rPr>
          <w:lang w:val="fr-CA"/>
        </w:rPr>
        <w:t xml:space="preserve"> </w:t>
      </w:r>
    </w:p>
    <w:bookmarkEnd w:id="8"/>
    <w:p w14:paraId="58DA2E73" w14:textId="77777777" w:rsidR="00720BA7" w:rsidRPr="00720BA7" w:rsidRDefault="00720BA7" w:rsidP="00720BA7">
      <w:pPr>
        <w:pStyle w:val="Heading1"/>
        <w:rPr>
          <w:rStyle w:val="tw4winMark"/>
          <w:vanish w:val="0"/>
          <w:color w:val="000000" w:themeColor="text1"/>
          <w:lang w:val="fr-CA" w:eastAsia="zh-CN"/>
        </w:rPr>
      </w:pPr>
      <w:r w:rsidRPr="00342A1D">
        <w:rPr>
          <w:color w:val="000000" w:themeColor="text1"/>
          <w:lang w:val="fr-FR" w:eastAsia="zh-CN"/>
        </w:rPr>
        <w:t>Les activités suivantes de sensibilisation et d</w:t>
      </w:r>
      <w:r>
        <w:rPr>
          <w:color w:val="000000" w:themeColor="text1"/>
          <w:lang w:val="fr-FR" w:eastAsia="zh-CN"/>
        </w:rPr>
        <w:t>’</w:t>
      </w:r>
      <w:r w:rsidRPr="00342A1D">
        <w:rPr>
          <w:color w:val="000000" w:themeColor="text1"/>
          <w:lang w:val="fr-FR" w:eastAsia="zh-CN"/>
        </w:rPr>
        <w:t>échange et de diffusion d</w:t>
      </w:r>
      <w:r>
        <w:rPr>
          <w:color w:val="000000" w:themeColor="text1"/>
          <w:lang w:val="fr-FR" w:eastAsia="zh-CN"/>
        </w:rPr>
        <w:t>’</w:t>
      </w:r>
      <w:r w:rsidRPr="00342A1D">
        <w:rPr>
          <w:color w:val="000000" w:themeColor="text1"/>
          <w:lang w:val="fr-FR" w:eastAsia="zh-CN"/>
        </w:rPr>
        <w:t>informations seront réalisées afin de promouvoir l</w:t>
      </w:r>
      <w:r>
        <w:rPr>
          <w:color w:val="000000" w:themeColor="text1"/>
          <w:lang w:val="fr-FR" w:eastAsia="zh-CN"/>
        </w:rPr>
        <w:t>’</w:t>
      </w:r>
      <w:r w:rsidRPr="00342A1D">
        <w:rPr>
          <w:color w:val="000000" w:themeColor="text1"/>
          <w:lang w:val="fr-FR" w:eastAsia="zh-CN"/>
        </w:rPr>
        <w:t>utilisation et la pénétration du marché des technologies de remplacement :</w:t>
      </w:r>
      <w:r w:rsidRPr="00720BA7">
        <w:rPr>
          <w:color w:val="000000" w:themeColor="text1"/>
          <w:lang w:val="fr-CA" w:eastAsia="zh-CN"/>
        </w:rPr>
        <w:t xml:space="preserve"> </w:t>
      </w:r>
    </w:p>
    <w:p w14:paraId="4534C985" w14:textId="23AE8E18" w:rsidR="00720BA7" w:rsidRPr="00720BA7" w:rsidRDefault="00720BA7" w:rsidP="00720BA7">
      <w:pPr>
        <w:pStyle w:val="Heading2"/>
        <w:numPr>
          <w:ilvl w:val="1"/>
          <w:numId w:val="1"/>
        </w:numPr>
        <w:rPr>
          <w:lang w:val="fr-CA"/>
        </w:rPr>
      </w:pPr>
      <w:r w:rsidRPr="002C27A8">
        <w:rPr>
          <w:rStyle w:val="tlid-translation"/>
          <w:lang w:val="fr-FR"/>
        </w:rPr>
        <w:t xml:space="preserve">Un roadshow annuel autour du thème </w:t>
      </w:r>
      <w:r w:rsidRPr="002C27A8">
        <w:rPr>
          <w:rStyle w:val="tlid-translation"/>
          <w:i/>
          <w:lang w:val="fr-FR"/>
        </w:rPr>
        <w:t>Ozone to Climate technology</w:t>
      </w:r>
      <w:r w:rsidRPr="002C27A8">
        <w:rPr>
          <w:rStyle w:val="tlid-translation"/>
          <w:lang w:val="fr-FR"/>
        </w:rPr>
        <w:t> et un colloque table</w:t>
      </w:r>
      <w:r w:rsidR="002807D2">
        <w:rPr>
          <w:rStyle w:val="tlid-translation"/>
          <w:lang w:val="fr-FR"/>
        </w:rPr>
        <w:noBreakHyphen/>
      </w:r>
      <w:r w:rsidRPr="002C27A8">
        <w:rPr>
          <w:rStyle w:val="tlid-translation"/>
          <w:lang w:val="fr-FR"/>
        </w:rPr>
        <w:t>ronde de l’industrie afin d’offrir une plate-forme et la possibilité de présenter</w:t>
      </w:r>
      <w:r w:rsidRPr="00FB5420">
        <w:rPr>
          <w:rStyle w:val="tlid-translation"/>
          <w:lang w:val="fr-FR"/>
        </w:rPr>
        <w:t xml:space="preserve"> des technologies de remplacement respectueuses de l</w:t>
      </w:r>
      <w:r>
        <w:rPr>
          <w:rStyle w:val="tlid-translation"/>
          <w:lang w:val="fr-FR"/>
        </w:rPr>
        <w:t>’</w:t>
      </w:r>
      <w:r w:rsidRPr="00FB5420">
        <w:rPr>
          <w:rStyle w:val="tlid-translation"/>
          <w:lang w:val="fr-FR"/>
        </w:rPr>
        <w:t>environnement avec un PAO nul et un plus faible PRP, et diffuser les information</w:t>
      </w:r>
      <w:r>
        <w:rPr>
          <w:rStyle w:val="tlid-translation"/>
          <w:lang w:val="fr-FR"/>
        </w:rPr>
        <w:t>s</w:t>
      </w:r>
      <w:r w:rsidRPr="00FB5420">
        <w:rPr>
          <w:rStyle w:val="tlid-translation"/>
          <w:lang w:val="fr-FR"/>
        </w:rPr>
        <w:t xml:space="preserve"> les plus récentes sur les mesures politiques, les processus de reconversion, les technologies de remplacement, les résultats de la recherche et les mises à jour sur les solutions de remplacement </w:t>
      </w:r>
      <w:r w:rsidRPr="00FB5420">
        <w:rPr>
          <w:lang w:val="fr-FR"/>
        </w:rPr>
        <w:t>;</w:t>
      </w:r>
    </w:p>
    <w:p w14:paraId="1523C1B2" w14:textId="77777777" w:rsidR="00720BA7" w:rsidRPr="00720BA7" w:rsidRDefault="00720BA7" w:rsidP="00720BA7">
      <w:pPr>
        <w:pStyle w:val="Heading2"/>
        <w:numPr>
          <w:ilvl w:val="1"/>
          <w:numId w:val="1"/>
        </w:numPr>
        <w:rPr>
          <w:lang w:val="fr-CA"/>
        </w:rPr>
      </w:pPr>
      <w:r w:rsidRPr="00FB5420">
        <w:rPr>
          <w:rStyle w:val="tlid-translation"/>
          <w:lang w:val="fr-FR"/>
        </w:rPr>
        <w:t>Diffusion des informations par le biais de divers médias et des sites Web d</w:t>
      </w:r>
      <w:r>
        <w:rPr>
          <w:rStyle w:val="tlid-translation"/>
          <w:lang w:val="fr-FR"/>
        </w:rPr>
        <w:t>’</w:t>
      </w:r>
      <w:r w:rsidRPr="00FB5420">
        <w:rPr>
          <w:rStyle w:val="tlid-translation"/>
          <w:lang w:val="fr-FR"/>
        </w:rPr>
        <w:t>associations industrielles pour sensibiliser le public aux politiques nationales, aux tendances internationales et aux avantages des produits de remplacement, et pour</w:t>
      </w:r>
      <w:r>
        <w:rPr>
          <w:rStyle w:val="tlid-translation"/>
          <w:lang w:val="fr-FR"/>
        </w:rPr>
        <w:t xml:space="preserve"> apaiser </w:t>
      </w:r>
      <w:r w:rsidRPr="00FB5420">
        <w:rPr>
          <w:rStyle w:val="tlid-translation"/>
          <w:lang w:val="fr-FR"/>
        </w:rPr>
        <w:t>les inquiétudes</w:t>
      </w:r>
      <w:r>
        <w:rPr>
          <w:rStyle w:val="tlid-translation"/>
          <w:lang w:val="fr-FR"/>
        </w:rPr>
        <w:t xml:space="preserve"> </w:t>
      </w:r>
      <w:r w:rsidRPr="00FB5420">
        <w:rPr>
          <w:rStyle w:val="tlid-translation"/>
          <w:lang w:val="fr-FR"/>
        </w:rPr>
        <w:t xml:space="preserve">des utilisateurs finaux concernant </w:t>
      </w:r>
      <w:r>
        <w:rPr>
          <w:rStyle w:val="tlid-translation"/>
          <w:lang w:val="fr-FR"/>
        </w:rPr>
        <w:t>la sécurité au sujet des</w:t>
      </w:r>
      <w:r w:rsidRPr="00FB5420">
        <w:rPr>
          <w:rStyle w:val="tlid-translation"/>
          <w:lang w:val="fr-FR"/>
        </w:rPr>
        <w:t xml:space="preserve"> produits utilisant des substances de remplacement inflammables</w:t>
      </w:r>
      <w:r>
        <w:rPr>
          <w:rStyle w:val="tlid-translation"/>
          <w:lang w:val="fr-FR"/>
        </w:rPr>
        <w:t> </w:t>
      </w:r>
      <w:r w:rsidRPr="00FB5420">
        <w:rPr>
          <w:lang w:val="fr-FR"/>
        </w:rPr>
        <w:t>;</w:t>
      </w:r>
      <w:r w:rsidRPr="00720BA7">
        <w:rPr>
          <w:lang w:val="fr-CA"/>
        </w:rPr>
        <w:t xml:space="preserve"> </w:t>
      </w:r>
    </w:p>
    <w:p w14:paraId="17CA7CFE" w14:textId="77777777" w:rsidR="00720BA7" w:rsidRPr="00720BA7" w:rsidRDefault="00720BA7" w:rsidP="00720BA7">
      <w:pPr>
        <w:pStyle w:val="Heading2"/>
        <w:numPr>
          <w:ilvl w:val="1"/>
          <w:numId w:val="1"/>
        </w:numPr>
        <w:rPr>
          <w:lang w:val="fr-CA"/>
        </w:rPr>
      </w:pPr>
      <w:r w:rsidRPr="00FB5420">
        <w:rPr>
          <w:rStyle w:val="tlid-translation"/>
          <w:lang w:val="fr-FR"/>
        </w:rPr>
        <w:t>Étude de marché sur les produits de remplacement en vue d</w:t>
      </w:r>
      <w:r>
        <w:rPr>
          <w:rStyle w:val="tlid-translation"/>
          <w:lang w:val="fr-FR"/>
        </w:rPr>
        <w:t>’</w:t>
      </w:r>
      <w:r w:rsidRPr="00FB5420">
        <w:rPr>
          <w:rStyle w:val="tlid-translation"/>
          <w:lang w:val="fr-FR"/>
        </w:rPr>
        <w:t>éliminer les obstacles à l</w:t>
      </w:r>
      <w:r>
        <w:rPr>
          <w:rStyle w:val="tlid-translation"/>
          <w:lang w:val="fr-FR"/>
        </w:rPr>
        <w:t>’</w:t>
      </w:r>
      <w:r w:rsidRPr="00FB5420">
        <w:rPr>
          <w:rStyle w:val="tlid-translation"/>
          <w:lang w:val="fr-FR"/>
        </w:rPr>
        <w:t>adoption sur le marché de produits utilisant des solutions de remplacement ; et organisation d</w:t>
      </w:r>
      <w:r>
        <w:rPr>
          <w:rStyle w:val="tlid-translation"/>
          <w:lang w:val="fr-FR"/>
        </w:rPr>
        <w:t>’</w:t>
      </w:r>
      <w:r w:rsidRPr="00FB5420">
        <w:rPr>
          <w:rStyle w:val="tlid-translation"/>
          <w:lang w:val="fr-FR"/>
        </w:rPr>
        <w:t>activités de formation et de marketing ciblées pour soutenir la pénétration du marché des technologies de remplacement </w:t>
      </w:r>
      <w:r w:rsidRPr="00FB5420">
        <w:rPr>
          <w:lang w:val="fr-FR"/>
        </w:rPr>
        <w:t>;</w:t>
      </w:r>
      <w:r w:rsidRPr="00720BA7">
        <w:rPr>
          <w:lang w:val="fr-CA"/>
        </w:rPr>
        <w:t xml:space="preserve"> </w:t>
      </w:r>
    </w:p>
    <w:p w14:paraId="4E29E002" w14:textId="77777777" w:rsidR="00720BA7" w:rsidRPr="00720BA7" w:rsidRDefault="00720BA7" w:rsidP="00720BA7">
      <w:pPr>
        <w:pStyle w:val="Heading2"/>
        <w:numPr>
          <w:ilvl w:val="1"/>
          <w:numId w:val="1"/>
        </w:numPr>
        <w:rPr>
          <w:lang w:val="fr-CA"/>
        </w:rPr>
      </w:pPr>
      <w:r w:rsidRPr="00FB5420">
        <w:rPr>
          <w:rStyle w:val="tlid-translation"/>
          <w:lang w:val="fr-FR"/>
        </w:rPr>
        <w:t>Promotion des technologies de remplacement écologiques et respectueuses de l</w:t>
      </w:r>
      <w:r>
        <w:rPr>
          <w:rStyle w:val="tlid-translation"/>
          <w:lang w:val="fr-FR"/>
        </w:rPr>
        <w:t>’</w:t>
      </w:r>
      <w:r w:rsidRPr="00FB5420">
        <w:rPr>
          <w:rStyle w:val="tlid-translation"/>
          <w:lang w:val="fr-FR"/>
        </w:rPr>
        <w:t>environnement en apportant soutien et approbation lors des lancements de produits, des expositions en ligne et sur place</w:t>
      </w:r>
      <w:r>
        <w:rPr>
          <w:rStyle w:val="tlid-translation"/>
          <w:lang w:val="fr-FR"/>
        </w:rPr>
        <w:t>,</w:t>
      </w:r>
      <w:r w:rsidRPr="00FB5420">
        <w:rPr>
          <w:rStyle w:val="tlid-translation"/>
          <w:lang w:val="fr-FR"/>
        </w:rPr>
        <w:t xml:space="preserve"> et autres activités de marketing ; et guider les utilisateurs finaux dans la sélection de produits respectueux de l</w:t>
      </w:r>
      <w:r>
        <w:rPr>
          <w:rStyle w:val="tlid-translation"/>
          <w:lang w:val="fr-FR"/>
        </w:rPr>
        <w:t>’</w:t>
      </w:r>
      <w:r w:rsidRPr="00FB5420">
        <w:rPr>
          <w:rStyle w:val="tlid-translation"/>
          <w:lang w:val="fr-FR"/>
        </w:rPr>
        <w:t>environnement</w:t>
      </w:r>
      <w:r>
        <w:rPr>
          <w:rStyle w:val="tlid-translation"/>
          <w:lang w:val="fr-FR"/>
        </w:rPr>
        <w:t> </w:t>
      </w:r>
      <w:r w:rsidRPr="00FB5420">
        <w:rPr>
          <w:lang w:val="fr-FR"/>
        </w:rPr>
        <w:t>;</w:t>
      </w:r>
    </w:p>
    <w:p w14:paraId="37838E5C" w14:textId="77777777" w:rsidR="00720BA7" w:rsidRPr="00720BA7" w:rsidRDefault="00720BA7" w:rsidP="00720BA7">
      <w:pPr>
        <w:pStyle w:val="Heading2"/>
        <w:numPr>
          <w:ilvl w:val="1"/>
          <w:numId w:val="1"/>
        </w:numPr>
        <w:rPr>
          <w:lang w:val="fr-CA"/>
        </w:rPr>
      </w:pPr>
      <w:r w:rsidRPr="00FB5420">
        <w:rPr>
          <w:rStyle w:val="tlid-translation"/>
          <w:lang w:val="fr-FR"/>
        </w:rPr>
        <w:t>Promotion de technologies de remplacement écologiques parmi les architectes et les guider dans le choix de technologies alternatives vertes</w:t>
      </w:r>
      <w:r>
        <w:rPr>
          <w:rStyle w:val="tlid-translation"/>
          <w:lang w:val="fr-FR"/>
        </w:rPr>
        <w:t> </w:t>
      </w:r>
      <w:r w:rsidRPr="00FB5420">
        <w:rPr>
          <w:lang w:val="fr-FR"/>
        </w:rPr>
        <w:t>;</w:t>
      </w:r>
      <w:r w:rsidRPr="00720BA7">
        <w:rPr>
          <w:lang w:val="fr-CA"/>
        </w:rPr>
        <w:t xml:space="preserve"> </w:t>
      </w:r>
    </w:p>
    <w:p w14:paraId="4CF92CE6" w14:textId="77777777" w:rsidR="00720BA7" w:rsidRPr="00720BA7" w:rsidRDefault="00720BA7" w:rsidP="00720BA7">
      <w:pPr>
        <w:pStyle w:val="Heading2"/>
        <w:numPr>
          <w:ilvl w:val="1"/>
          <w:numId w:val="1"/>
        </w:numPr>
        <w:rPr>
          <w:color w:val="000000" w:themeColor="text1"/>
          <w:lang w:val="fr-CA"/>
        </w:rPr>
      </w:pPr>
      <w:r w:rsidRPr="00FB5420">
        <w:rPr>
          <w:rStyle w:val="tlid-translation"/>
          <w:lang w:val="fr-FR"/>
        </w:rPr>
        <w:t>Activités de publicité pour les fabricants de composants ; promotion et accélération de la recherche et du développement ainsi que de la production de masse de composants pour parvenir à</w:t>
      </w:r>
      <w:r>
        <w:rPr>
          <w:rStyle w:val="tlid-translation"/>
          <w:lang w:val="fr-FR"/>
        </w:rPr>
        <w:t xml:space="preserve"> </w:t>
      </w:r>
      <w:r w:rsidRPr="00FB5420">
        <w:rPr>
          <w:rStyle w:val="tlid-translation"/>
          <w:lang w:val="fr-FR"/>
        </w:rPr>
        <w:t>réduire progressivement les coûts ; synchroniser la production de composants et d</w:t>
      </w:r>
      <w:r>
        <w:rPr>
          <w:rStyle w:val="tlid-translation"/>
          <w:lang w:val="fr-FR"/>
        </w:rPr>
        <w:t>’</w:t>
      </w:r>
      <w:r w:rsidRPr="00FB5420">
        <w:rPr>
          <w:rStyle w:val="tlid-translation"/>
          <w:lang w:val="fr-FR"/>
        </w:rPr>
        <w:t>équipements ; et améliorer la compétitivité des produits de remplacement sur le marché </w:t>
      </w:r>
      <w:r w:rsidRPr="00FB5420">
        <w:rPr>
          <w:color w:val="000000" w:themeColor="text1"/>
          <w:lang w:val="fr-FR"/>
        </w:rPr>
        <w:t>; et</w:t>
      </w:r>
    </w:p>
    <w:p w14:paraId="0E3C465B" w14:textId="77777777" w:rsidR="00720BA7" w:rsidRPr="00720BA7" w:rsidRDefault="00720BA7" w:rsidP="00720BA7">
      <w:pPr>
        <w:pStyle w:val="Heading2"/>
        <w:numPr>
          <w:ilvl w:val="1"/>
          <w:numId w:val="1"/>
        </w:numPr>
        <w:rPr>
          <w:color w:val="000000" w:themeColor="text1"/>
          <w:lang w:val="fr-CA"/>
        </w:rPr>
      </w:pPr>
      <w:r w:rsidRPr="00FB5420">
        <w:rPr>
          <w:rStyle w:val="tlid-translation"/>
          <w:lang w:val="fr-FR"/>
        </w:rPr>
        <w:t xml:space="preserve">Aider les entreprises à exporter des produits de </w:t>
      </w:r>
      <w:r w:rsidRPr="00FB5420">
        <w:rPr>
          <w:rStyle w:val="tlid-translation"/>
          <w:color w:val="000000" w:themeColor="text1"/>
          <w:lang w:val="fr-FR"/>
        </w:rPr>
        <w:t xml:space="preserve">réfrigération industrielle et commerciale </w:t>
      </w:r>
      <w:r w:rsidRPr="00FB5420">
        <w:rPr>
          <w:rStyle w:val="tlid-translation"/>
          <w:lang w:val="fr-FR"/>
        </w:rPr>
        <w:t>utilisant des technologies de remplacement à faible PRP vers les marchés étrangers</w:t>
      </w:r>
      <w:r w:rsidRPr="00FB5420">
        <w:rPr>
          <w:color w:val="000000" w:themeColor="text1"/>
          <w:lang w:val="fr-FR"/>
        </w:rPr>
        <w:t>.</w:t>
      </w:r>
    </w:p>
    <w:p w14:paraId="3963B985" w14:textId="77777777" w:rsidR="00720BA7" w:rsidRPr="00A63F8F" w:rsidRDefault="00720BA7" w:rsidP="00720BA7">
      <w:pPr>
        <w:pStyle w:val="Heading1"/>
        <w:numPr>
          <w:ilvl w:val="0"/>
          <w:numId w:val="0"/>
        </w:numPr>
        <w:rPr>
          <w:i/>
          <w:color w:val="000000" w:themeColor="text1"/>
          <w:lang w:val="en-CA" w:eastAsia="zh-CN"/>
        </w:rPr>
      </w:pPr>
      <w:r w:rsidRPr="00A63F8F">
        <w:rPr>
          <w:i/>
          <w:color w:val="000000" w:themeColor="text1"/>
          <w:szCs w:val="24"/>
          <w:lang w:val="fr-FR"/>
        </w:rPr>
        <w:t>Gestion et suivi de projet</w:t>
      </w:r>
    </w:p>
    <w:p w14:paraId="41D10074" w14:textId="77777777" w:rsidR="00720BA7" w:rsidRPr="00720BA7" w:rsidRDefault="00720BA7" w:rsidP="00720BA7">
      <w:pPr>
        <w:pStyle w:val="Heading1"/>
        <w:rPr>
          <w:lang w:val="fr-CA"/>
        </w:rPr>
      </w:pPr>
      <w:r w:rsidRPr="002B5FC4">
        <w:rPr>
          <w:lang w:val="fr-FR"/>
        </w:rPr>
        <w:t>L</w:t>
      </w:r>
      <w:r>
        <w:rPr>
          <w:lang w:val="fr-FR"/>
        </w:rPr>
        <w:t>’u</w:t>
      </w:r>
      <w:r w:rsidRPr="002B5FC4">
        <w:rPr>
          <w:lang w:val="fr-FR"/>
        </w:rPr>
        <w:t xml:space="preserve">nité de </w:t>
      </w:r>
      <w:r>
        <w:rPr>
          <w:lang w:val="fr-FR"/>
        </w:rPr>
        <w:t>gestion de</w:t>
      </w:r>
      <w:r w:rsidRPr="002B5FC4">
        <w:rPr>
          <w:lang w:val="fr-FR"/>
        </w:rPr>
        <w:t xml:space="preserve"> projet (PMU) mise en place lors de la phase II poursuivra ses efforts de mise en œuvre, de coordination</w:t>
      </w:r>
      <w:r>
        <w:rPr>
          <w:lang w:val="fr-FR"/>
        </w:rPr>
        <w:t>,</w:t>
      </w:r>
      <w:r w:rsidRPr="002B5FC4">
        <w:rPr>
          <w:lang w:val="fr-FR"/>
        </w:rPr>
        <w:t xml:space="preserve"> de suivi et de notification de projet.</w:t>
      </w:r>
      <w:r w:rsidRPr="00720BA7">
        <w:rPr>
          <w:lang w:val="fr-CA"/>
        </w:rPr>
        <w:t xml:space="preserve"> </w:t>
      </w:r>
      <w:r w:rsidRPr="002B5FC4">
        <w:rPr>
          <w:lang w:val="fr-FR"/>
        </w:rPr>
        <w:t>En raison du financement réduit, l</w:t>
      </w:r>
      <w:r>
        <w:rPr>
          <w:lang w:val="fr-FR"/>
        </w:rPr>
        <w:t>’</w:t>
      </w:r>
      <w:r w:rsidRPr="002B5FC4">
        <w:rPr>
          <w:lang w:val="fr-FR"/>
        </w:rPr>
        <w:t>unité de gestion de projet concentrera davantage ses efforts sur l</w:t>
      </w:r>
      <w:r>
        <w:rPr>
          <w:lang w:val="fr-FR"/>
        </w:rPr>
        <w:t>’</w:t>
      </w:r>
      <w:r w:rsidRPr="002B5FC4">
        <w:rPr>
          <w:lang w:val="fr-FR"/>
        </w:rPr>
        <w:t>élaboration et l</w:t>
      </w:r>
      <w:r>
        <w:rPr>
          <w:lang w:val="fr-FR"/>
        </w:rPr>
        <w:t>’</w:t>
      </w:r>
      <w:r w:rsidRPr="002B5FC4">
        <w:rPr>
          <w:lang w:val="fr-FR"/>
        </w:rPr>
        <w:t>application de mesures réglementaires afin d</w:t>
      </w:r>
      <w:r>
        <w:rPr>
          <w:lang w:val="fr-FR"/>
        </w:rPr>
        <w:t>’</w:t>
      </w:r>
      <w:r w:rsidRPr="002B5FC4">
        <w:rPr>
          <w:lang w:val="fr-FR"/>
        </w:rPr>
        <w:t>assurer la conformité avec les objectifs de consommation.</w:t>
      </w:r>
      <w:r w:rsidRPr="00720BA7">
        <w:rPr>
          <w:lang w:val="fr-CA"/>
        </w:rPr>
        <w:t xml:space="preserve"> </w:t>
      </w:r>
    </w:p>
    <w:p w14:paraId="0A0B3384" w14:textId="77777777" w:rsidR="00720BA7" w:rsidRPr="00720BA7" w:rsidRDefault="00720BA7" w:rsidP="00720BA7">
      <w:pPr>
        <w:pStyle w:val="Heading1"/>
        <w:keepNext/>
        <w:keepLines/>
        <w:rPr>
          <w:lang w:val="fr-CA"/>
        </w:rPr>
      </w:pPr>
      <w:r w:rsidRPr="002B5FC4">
        <w:rPr>
          <w:lang w:val="fr-FR"/>
        </w:rPr>
        <w:lastRenderedPageBreak/>
        <w:t>La</w:t>
      </w:r>
      <w:r w:rsidRPr="002B5FC4">
        <w:rPr>
          <w:rStyle w:val="tlid-translation"/>
          <w:lang w:val="fr-FR"/>
        </w:rPr>
        <w:t xml:space="preserve"> CRAA continuera de fournir un soutien technique à l</w:t>
      </w:r>
      <w:r>
        <w:rPr>
          <w:rStyle w:val="tlid-translation"/>
          <w:lang w:val="fr-FR"/>
        </w:rPr>
        <w:t>’</w:t>
      </w:r>
      <w:r w:rsidRPr="002B5FC4">
        <w:rPr>
          <w:rStyle w:val="tlid-translation"/>
          <w:lang w:val="fr-FR"/>
        </w:rPr>
        <w:t>unité de gestion de projet dans les activités d</w:t>
      </w:r>
      <w:r>
        <w:rPr>
          <w:rStyle w:val="tlid-translation"/>
          <w:lang w:val="fr-FR"/>
        </w:rPr>
        <w:t>’</w:t>
      </w:r>
      <w:r w:rsidRPr="002B5FC4">
        <w:rPr>
          <w:rStyle w:val="tlid-translation"/>
          <w:lang w:val="fr-FR"/>
        </w:rPr>
        <w:t>élimination globales et la reconversion dans le secteur de la réfrigération industrielle et commerciale ; elle fournira notamment une assistance dans les projets de reconversion, suivra les progrès, vérifiera l</w:t>
      </w:r>
      <w:r>
        <w:rPr>
          <w:rStyle w:val="tlid-translation"/>
          <w:lang w:val="fr-FR"/>
        </w:rPr>
        <w:t>’</w:t>
      </w:r>
      <w:r w:rsidRPr="002B5FC4">
        <w:rPr>
          <w:rStyle w:val="tlid-translation"/>
          <w:lang w:val="fr-FR"/>
        </w:rPr>
        <w:t>avancement de la mise en œuvre au niveau de l</w:t>
      </w:r>
      <w:r>
        <w:rPr>
          <w:rStyle w:val="tlid-translation"/>
          <w:lang w:val="fr-FR"/>
        </w:rPr>
        <w:t>’</w:t>
      </w:r>
      <w:r w:rsidRPr="002B5FC4">
        <w:rPr>
          <w:rStyle w:val="tlid-translation"/>
          <w:lang w:val="fr-FR"/>
        </w:rPr>
        <w:t>entreprise, coordonnera les activités d</w:t>
      </w:r>
      <w:r>
        <w:rPr>
          <w:rStyle w:val="tlid-translation"/>
          <w:lang w:val="fr-FR"/>
        </w:rPr>
        <w:t>’</w:t>
      </w:r>
      <w:r w:rsidRPr="002B5FC4">
        <w:rPr>
          <w:rStyle w:val="tlid-translation"/>
          <w:lang w:val="fr-FR"/>
        </w:rPr>
        <w:t>assistance technique, aidera à suivre la disponibilité et à sélectionner la technologie de remplacement, trouvera des experts nationaux pour évaluer la viabilité des technologies alternatives, fournira des conseils aux entreprises dans le choix des solutions de remplacement, et collectera et compilera les données de consommation de HCFC</w:t>
      </w:r>
      <w:r w:rsidRPr="002B5FC4">
        <w:rPr>
          <w:lang w:val="fr-FR"/>
        </w:rPr>
        <w:t>.</w:t>
      </w:r>
      <w:r w:rsidRPr="00720BA7">
        <w:rPr>
          <w:lang w:val="fr-CA"/>
        </w:rPr>
        <w:t xml:space="preserve"> </w:t>
      </w:r>
    </w:p>
    <w:p w14:paraId="6AC40C78" w14:textId="77777777" w:rsidR="00720BA7" w:rsidRPr="00720BA7" w:rsidRDefault="00720BA7" w:rsidP="00720BA7">
      <w:pPr>
        <w:keepNext/>
        <w:spacing w:after="240"/>
        <w:outlineLvl w:val="0"/>
        <w:rPr>
          <w:u w:val="single"/>
          <w:lang w:val="fr-CA"/>
        </w:rPr>
      </w:pPr>
      <w:r w:rsidRPr="002B5FC4">
        <w:rPr>
          <w:u w:val="single"/>
          <w:lang w:val="fr-FR"/>
        </w:rPr>
        <w:t>Coûts de la phase II révisée du plan du secteur de la réfrigération industrielle et commerciale</w:t>
      </w:r>
      <w:r w:rsidRPr="00720BA7">
        <w:rPr>
          <w:u w:val="single"/>
          <w:lang w:val="fr-CA"/>
        </w:rPr>
        <w:t xml:space="preserve"> </w:t>
      </w:r>
    </w:p>
    <w:p w14:paraId="7E1F364D" w14:textId="77777777" w:rsidR="00720BA7" w:rsidRPr="00720BA7" w:rsidRDefault="00720BA7" w:rsidP="00720BA7">
      <w:pPr>
        <w:pStyle w:val="Heading1"/>
        <w:tabs>
          <w:tab w:val="clear" w:pos="0"/>
        </w:tabs>
        <w:rPr>
          <w:lang w:val="fr-CA"/>
        </w:rPr>
      </w:pPr>
      <w:r w:rsidRPr="002B5FC4">
        <w:rPr>
          <w:lang w:val="fr-FR"/>
        </w:rPr>
        <w:t>La phase II révisée du plan du secteur de la réfrigération industrielle et commerciale comprend des activités d</w:t>
      </w:r>
      <w:r>
        <w:rPr>
          <w:lang w:val="fr-FR"/>
        </w:rPr>
        <w:t>’</w:t>
      </w:r>
      <w:r w:rsidRPr="002B5FC4">
        <w:rPr>
          <w:lang w:val="fr-FR"/>
        </w:rPr>
        <w:t>investissement et des activités ne portant pas sur des investissements.</w:t>
      </w:r>
      <w:r w:rsidRPr="00720BA7">
        <w:rPr>
          <w:lang w:val="fr-CA"/>
        </w:rPr>
        <w:t xml:space="preserve"> </w:t>
      </w:r>
      <w:r w:rsidRPr="002B5FC4">
        <w:rPr>
          <w:lang w:val="fr-FR"/>
        </w:rPr>
        <w:t>Le coût des activités d</w:t>
      </w:r>
      <w:r>
        <w:rPr>
          <w:lang w:val="fr-FR"/>
        </w:rPr>
        <w:t>’</w:t>
      </w:r>
      <w:r w:rsidRPr="002B5FC4">
        <w:rPr>
          <w:lang w:val="fr-FR"/>
        </w:rPr>
        <w:t>investissement inclut les</w:t>
      </w:r>
      <w:r>
        <w:rPr>
          <w:lang w:val="fr-FR"/>
        </w:rPr>
        <w:t xml:space="preserve"> </w:t>
      </w:r>
      <w:r w:rsidRPr="002B5FC4">
        <w:rPr>
          <w:lang w:val="fr-FR"/>
        </w:rPr>
        <w:t>coûts différentiels d</w:t>
      </w:r>
      <w:r>
        <w:rPr>
          <w:lang w:val="fr-FR"/>
        </w:rPr>
        <w:t>’</w:t>
      </w:r>
      <w:r w:rsidRPr="002B5FC4">
        <w:rPr>
          <w:lang w:val="fr-FR"/>
        </w:rPr>
        <w:t>investissement et les coûts différentiels d</w:t>
      </w:r>
      <w:r>
        <w:rPr>
          <w:lang w:val="fr-FR"/>
        </w:rPr>
        <w:t>’</w:t>
      </w:r>
      <w:r w:rsidRPr="002B5FC4">
        <w:rPr>
          <w:lang w:val="fr-FR"/>
        </w:rPr>
        <w:t>exploitation.</w:t>
      </w:r>
      <w:r w:rsidRPr="00720BA7">
        <w:rPr>
          <w:lang w:val="fr-CA"/>
        </w:rPr>
        <w:t xml:space="preserve"> </w:t>
      </w:r>
      <w:r w:rsidRPr="002B5FC4">
        <w:rPr>
          <w:lang w:val="fr-FR"/>
        </w:rPr>
        <w:t>Le coût des activités ne portant pas sur des investissements comprend la gestion de projet, l</w:t>
      </w:r>
      <w:r>
        <w:rPr>
          <w:lang w:val="fr-FR"/>
        </w:rPr>
        <w:t>’</w:t>
      </w:r>
      <w:r w:rsidRPr="002B5FC4">
        <w:rPr>
          <w:lang w:val="fr-FR"/>
        </w:rPr>
        <w:t>assistance technique, la promotion commerciale et les activités de sensibilisation.</w:t>
      </w:r>
    </w:p>
    <w:p w14:paraId="0E731898" w14:textId="77777777" w:rsidR="00720BA7" w:rsidRPr="00720BA7" w:rsidRDefault="00720BA7" w:rsidP="00720BA7">
      <w:pPr>
        <w:pStyle w:val="3a"/>
        <w:rPr>
          <w:b w:val="0"/>
          <w:i/>
          <w:color w:val="000000" w:themeColor="text1"/>
          <w:sz w:val="22"/>
          <w:szCs w:val="22"/>
          <w:lang w:val="fr-CA"/>
        </w:rPr>
      </w:pPr>
      <w:r w:rsidRPr="002B5FC4">
        <w:rPr>
          <w:b w:val="0"/>
          <w:i/>
          <w:color w:val="000000" w:themeColor="text1"/>
          <w:sz w:val="22"/>
          <w:szCs w:val="22"/>
          <w:lang w:val="fr-FR"/>
        </w:rPr>
        <w:t>Coût de la reconversion des chaînes de fabrication de compresseurs</w:t>
      </w:r>
    </w:p>
    <w:p w14:paraId="708332FE" w14:textId="77777777" w:rsidR="00720BA7" w:rsidRPr="00720BA7" w:rsidRDefault="00720BA7" w:rsidP="00720BA7">
      <w:pPr>
        <w:pStyle w:val="Heading1"/>
        <w:rPr>
          <w:rStyle w:val="tw4winMark"/>
          <w:vanish w:val="0"/>
          <w:lang w:val="fr-CA"/>
        </w:rPr>
      </w:pPr>
      <w:r w:rsidRPr="00437C37">
        <w:rPr>
          <w:lang w:val="fr-FR"/>
        </w:rPr>
        <w:t xml:space="preserve">Les coûts différentiels de la </w:t>
      </w:r>
      <w:r w:rsidRPr="00437C37">
        <w:rPr>
          <w:color w:val="000000" w:themeColor="text1"/>
          <w:lang w:val="fr-FR"/>
        </w:rPr>
        <w:t xml:space="preserve">reconversion des chaînes de fabrication de compresseurs </w:t>
      </w:r>
      <w:r w:rsidRPr="00437C37">
        <w:rPr>
          <w:lang w:val="fr-FR"/>
        </w:rPr>
        <w:t xml:space="preserve">comprennent </w:t>
      </w:r>
      <w:r w:rsidRPr="00830782">
        <w:rPr>
          <w:lang w:val="fr-FR"/>
        </w:rPr>
        <w:t>des moules de coulée pour la production de pièces et de coques, des accessoires d</w:t>
      </w:r>
      <w:r>
        <w:rPr>
          <w:lang w:val="fr-FR"/>
        </w:rPr>
        <w:t>’</w:t>
      </w:r>
      <w:r w:rsidRPr="00830782">
        <w:rPr>
          <w:lang w:val="fr-FR"/>
        </w:rPr>
        <w:t>outillage, des découpeuses, des roues dentées, ainsi que des équipements de convoyage pour l</w:t>
      </w:r>
      <w:r>
        <w:rPr>
          <w:lang w:val="fr-FR"/>
        </w:rPr>
        <w:t>’</w:t>
      </w:r>
      <w:r w:rsidRPr="00830782">
        <w:rPr>
          <w:lang w:val="fr-FR"/>
        </w:rPr>
        <w:t>assemblage de compresseurs et des dispositifs de détection de fuites.</w:t>
      </w:r>
      <w:r w:rsidRPr="00720BA7">
        <w:rPr>
          <w:lang w:val="fr-CA"/>
        </w:rPr>
        <w:t xml:space="preserve"> </w:t>
      </w:r>
    </w:p>
    <w:p w14:paraId="744827D1" w14:textId="77777777" w:rsidR="00720BA7" w:rsidRPr="00720BA7" w:rsidRDefault="00720BA7" w:rsidP="00720BA7">
      <w:pPr>
        <w:pStyle w:val="Heading1"/>
        <w:rPr>
          <w:color w:val="000000" w:themeColor="text1"/>
          <w:szCs w:val="21"/>
          <w:lang w:val="fr-CA"/>
        </w:rPr>
      </w:pPr>
      <w:r w:rsidRPr="00437C37">
        <w:rPr>
          <w:lang w:val="fr-FR"/>
        </w:rPr>
        <w:t xml:space="preserve">Les coûts réels de la reconversion de chaînes de compresseurs à vis étaient de 2 millions $US par chaîne dans la phase I. </w:t>
      </w:r>
      <w:r w:rsidRPr="00437C37">
        <w:rPr>
          <w:color w:val="000000" w:themeColor="text1"/>
          <w:szCs w:val="21"/>
          <w:lang w:val="fr-FR"/>
        </w:rPr>
        <w:t xml:space="preserve">Compte tenu du financement réduit, un montant de </w:t>
      </w:r>
      <w:r w:rsidRPr="00437C37">
        <w:rPr>
          <w:lang w:val="fr-FR"/>
        </w:rPr>
        <w:t>1,2 million $US a été demandé pour une chaine de fabrication de compresseurs, ce qui porte le total pour deux chaînes à 2,4 millions $US.</w:t>
      </w:r>
      <w:r w:rsidRPr="00720BA7">
        <w:rPr>
          <w:color w:val="000000" w:themeColor="text1"/>
          <w:lang w:val="fr-CA"/>
        </w:rPr>
        <w:t xml:space="preserve"> </w:t>
      </w:r>
    </w:p>
    <w:p w14:paraId="0F2C6C59" w14:textId="77777777" w:rsidR="00720BA7" w:rsidRPr="00720BA7" w:rsidRDefault="00720BA7" w:rsidP="00720BA7">
      <w:pPr>
        <w:spacing w:after="240"/>
        <w:outlineLvl w:val="0"/>
        <w:rPr>
          <w:i/>
          <w:lang w:val="fr-CA" w:eastAsia="zh-CN"/>
        </w:rPr>
      </w:pPr>
      <w:r w:rsidRPr="00437C37">
        <w:rPr>
          <w:i/>
          <w:lang w:val="fr-FR" w:eastAsia="zh-CN"/>
        </w:rPr>
        <w:t>Coût de la reconversion des chaînes de fabrication des équipements de réfrigération et de climatisation</w:t>
      </w:r>
    </w:p>
    <w:p w14:paraId="364549B4" w14:textId="77777777" w:rsidR="00720BA7" w:rsidRPr="00720BA7" w:rsidRDefault="00720BA7" w:rsidP="00720BA7">
      <w:pPr>
        <w:pStyle w:val="Heading1"/>
        <w:rPr>
          <w:lang w:val="fr-CA" w:eastAsia="zh-CN"/>
        </w:rPr>
      </w:pPr>
      <w:r w:rsidRPr="00960033">
        <w:rPr>
          <w:lang w:val="fr-FR"/>
        </w:rPr>
        <w:t>Les coûts différentiels d</w:t>
      </w:r>
      <w:r>
        <w:rPr>
          <w:lang w:val="fr-FR"/>
        </w:rPr>
        <w:t>’</w:t>
      </w:r>
      <w:r w:rsidRPr="00960033">
        <w:rPr>
          <w:lang w:val="fr-FR"/>
        </w:rPr>
        <w:t xml:space="preserve">investissement de la reconversion de la fabrication des équipements comprennent : la conception adaptative du produit ; le prototypage; la reconversion de </w:t>
      </w:r>
      <w:r>
        <w:rPr>
          <w:lang w:val="fr-FR"/>
        </w:rPr>
        <w:t>chaînes</w:t>
      </w:r>
      <w:r w:rsidRPr="00960033">
        <w:rPr>
          <w:lang w:val="fr-FR"/>
        </w:rPr>
        <w:t xml:space="preserve"> de production (matrices d</w:t>
      </w:r>
      <w:r>
        <w:rPr>
          <w:lang w:val="fr-FR"/>
        </w:rPr>
        <w:t>’</w:t>
      </w:r>
      <w:r w:rsidRPr="00960033">
        <w:rPr>
          <w:lang w:val="fr-FR"/>
        </w:rPr>
        <w:t>échangeur de chaleur, machine de chargement, détecteurs de fuites, pompes à vide, mesures de sécurité pour la chaîne de montage, etc.) ; adaptation du centre d</w:t>
      </w:r>
      <w:r>
        <w:rPr>
          <w:lang w:val="fr-FR"/>
        </w:rPr>
        <w:t>’</w:t>
      </w:r>
      <w:r w:rsidRPr="00960033">
        <w:rPr>
          <w:lang w:val="fr-FR"/>
        </w:rPr>
        <w:t>essais des performances ; mise en service et production d</w:t>
      </w:r>
      <w:r>
        <w:rPr>
          <w:lang w:val="fr-FR"/>
        </w:rPr>
        <w:t>’</w:t>
      </w:r>
      <w:r w:rsidRPr="00960033">
        <w:rPr>
          <w:lang w:val="fr-FR"/>
        </w:rPr>
        <w:t xml:space="preserve">essai de la </w:t>
      </w:r>
      <w:r>
        <w:rPr>
          <w:lang w:val="fr-FR"/>
        </w:rPr>
        <w:t>chaîne</w:t>
      </w:r>
      <w:r w:rsidRPr="00960033">
        <w:rPr>
          <w:lang w:val="fr-FR"/>
        </w:rPr>
        <w:t xml:space="preserve"> de production ; et formation à l</w:t>
      </w:r>
      <w:r>
        <w:rPr>
          <w:lang w:val="fr-FR"/>
        </w:rPr>
        <w:t>’</w:t>
      </w:r>
      <w:r w:rsidRPr="00960033">
        <w:rPr>
          <w:lang w:val="fr-FR"/>
        </w:rPr>
        <w:t>exploitation, à la sécurité et au service après-vente</w:t>
      </w:r>
      <w:r w:rsidRPr="00960033">
        <w:rPr>
          <w:lang w:val="fr-FR" w:eastAsia="zh-CN"/>
        </w:rPr>
        <w:t>.</w:t>
      </w:r>
      <w:r w:rsidRPr="00720BA7" w:rsidDel="00A5524D">
        <w:rPr>
          <w:lang w:val="fr-CA" w:eastAsia="zh-CN"/>
        </w:rPr>
        <w:t xml:space="preserve"> </w:t>
      </w:r>
      <w:r w:rsidRPr="00960033">
        <w:rPr>
          <w:lang w:val="fr-FR"/>
        </w:rPr>
        <w:t>Les coûts différentiels d</w:t>
      </w:r>
      <w:r>
        <w:rPr>
          <w:lang w:val="fr-FR"/>
        </w:rPr>
        <w:t>’</w:t>
      </w:r>
      <w:r w:rsidRPr="00960033">
        <w:rPr>
          <w:lang w:val="fr-FR"/>
        </w:rPr>
        <w:t>exploitation de la reconversion comprennent : le coût différentiel des matières premières, des composants et accessoires, des compresseurs, des conduites et des dispositifs de sécurité électriques après l</w:t>
      </w:r>
      <w:r>
        <w:rPr>
          <w:lang w:val="fr-FR"/>
        </w:rPr>
        <w:t>’</w:t>
      </w:r>
      <w:r w:rsidRPr="00960033">
        <w:rPr>
          <w:lang w:val="fr-FR"/>
        </w:rPr>
        <w:t>adoption de la technologie de remplacement.</w:t>
      </w:r>
    </w:p>
    <w:p w14:paraId="1B296126" w14:textId="77777777" w:rsidR="00720BA7" w:rsidRPr="00720BA7" w:rsidRDefault="00720BA7" w:rsidP="00720BA7">
      <w:pPr>
        <w:pStyle w:val="Heading1"/>
        <w:spacing w:before="240"/>
        <w:rPr>
          <w:lang w:val="fr-CA"/>
        </w:rPr>
      </w:pPr>
      <w:r w:rsidRPr="00960033">
        <w:rPr>
          <w:lang w:val="fr-FR"/>
        </w:rPr>
        <w:t>Les coûts différentiels ont été calculé</w:t>
      </w:r>
      <w:r>
        <w:rPr>
          <w:lang w:val="fr-FR"/>
        </w:rPr>
        <w:t>s</w:t>
      </w:r>
      <w:r w:rsidRPr="00960033">
        <w:rPr>
          <w:lang w:val="fr-FR"/>
        </w:rPr>
        <w:t xml:space="preserve"> en supposant qu</w:t>
      </w:r>
      <w:r>
        <w:rPr>
          <w:lang w:val="fr-FR"/>
        </w:rPr>
        <w:t>’</w:t>
      </w:r>
      <w:r w:rsidRPr="00960033">
        <w:rPr>
          <w:lang w:val="fr-FR"/>
        </w:rPr>
        <w:t>il n</w:t>
      </w:r>
      <w:r>
        <w:rPr>
          <w:lang w:val="fr-FR"/>
        </w:rPr>
        <w:t>’</w:t>
      </w:r>
      <w:r w:rsidRPr="00960033">
        <w:rPr>
          <w:lang w:val="fr-FR"/>
        </w:rPr>
        <w:t>y aura pas de mise à niveau technologique ou d</w:t>
      </w:r>
      <w:r>
        <w:rPr>
          <w:lang w:val="fr-FR"/>
        </w:rPr>
        <w:t>’</w:t>
      </w:r>
      <w:r w:rsidRPr="00960033">
        <w:rPr>
          <w:lang w:val="fr-FR"/>
        </w:rPr>
        <w:t>augmentation de capacité, et sur la base des prix en vigueur en 2020. Le coût de reconversion réel de la phase I a été utilisé comme seuil de coût</w:t>
      </w:r>
      <w:r>
        <w:rPr>
          <w:lang w:val="fr-FR"/>
        </w:rPr>
        <w:t>s</w:t>
      </w:r>
      <w:r w:rsidRPr="00960033">
        <w:rPr>
          <w:lang w:val="fr-FR"/>
        </w:rPr>
        <w:t xml:space="preserve"> pour les PME </w:t>
      </w:r>
      <w:r>
        <w:rPr>
          <w:lang w:val="fr-FR"/>
        </w:rPr>
        <w:t>au-dessous</w:t>
      </w:r>
      <w:r w:rsidRPr="00960033">
        <w:rPr>
          <w:lang w:val="fr-FR"/>
        </w:rPr>
        <w:t xml:space="preserve"> de 20 tm, tandis que le seuil des </w:t>
      </w:r>
      <w:r>
        <w:rPr>
          <w:lang w:val="fr-FR"/>
        </w:rPr>
        <w:t>chaîn</w:t>
      </w:r>
      <w:r w:rsidRPr="00960033">
        <w:rPr>
          <w:lang w:val="fr-FR"/>
        </w:rPr>
        <w:t>es consommant plus de 20 mt a été réduit</w:t>
      </w:r>
      <w:r w:rsidRPr="00960033">
        <w:rPr>
          <w:color w:val="000000" w:themeColor="text1"/>
          <w:lang w:val="fr-FR"/>
        </w:rPr>
        <w:t>, comme l</w:t>
      </w:r>
      <w:r>
        <w:rPr>
          <w:color w:val="000000" w:themeColor="text1"/>
          <w:lang w:val="fr-FR"/>
        </w:rPr>
        <w:t>’</w:t>
      </w:r>
      <w:r w:rsidRPr="00960033">
        <w:rPr>
          <w:color w:val="000000" w:themeColor="text1"/>
          <w:lang w:val="fr-FR"/>
        </w:rPr>
        <w:t>indique le tableau</w:t>
      </w:r>
      <w:r w:rsidRPr="00960033">
        <w:rPr>
          <w:lang w:val="fr-FR"/>
        </w:rPr>
        <w:t> 6 :</w:t>
      </w:r>
      <w:r w:rsidRPr="00720BA7">
        <w:rPr>
          <w:lang w:val="fr-CA"/>
        </w:rPr>
        <w:t xml:space="preserve"> </w:t>
      </w:r>
    </w:p>
    <w:p w14:paraId="1D80B1B8" w14:textId="77777777" w:rsidR="00720BA7" w:rsidRPr="00720BA7" w:rsidRDefault="00720BA7" w:rsidP="00720BA7">
      <w:pPr>
        <w:pStyle w:val="Heading1"/>
        <w:numPr>
          <w:ilvl w:val="0"/>
          <w:numId w:val="0"/>
        </w:numPr>
        <w:spacing w:before="240" w:after="0"/>
        <w:rPr>
          <w:b/>
          <w:color w:val="000000" w:themeColor="text1"/>
          <w:lang w:val="fr-CA"/>
        </w:rPr>
      </w:pPr>
      <w:r w:rsidRPr="00960033">
        <w:rPr>
          <w:b/>
          <w:color w:val="000000" w:themeColor="text1"/>
          <w:lang w:val="fr-FR"/>
        </w:rPr>
        <w:t>Tableau 6. Seuils des coûts</w:t>
      </w:r>
      <w:r>
        <w:rPr>
          <w:b/>
          <w:color w:val="000000" w:themeColor="text1"/>
          <w:lang w:val="fr-FR"/>
        </w:rPr>
        <w:t xml:space="preserve"> de</w:t>
      </w:r>
      <w:r w:rsidRPr="00960033">
        <w:rPr>
          <w:b/>
          <w:color w:val="000000" w:themeColor="text1"/>
          <w:lang w:val="fr-FR"/>
        </w:rPr>
        <w:t xml:space="preserve"> reconversion dans </w:t>
      </w:r>
      <w:r>
        <w:rPr>
          <w:b/>
          <w:color w:val="000000" w:themeColor="text1"/>
          <w:lang w:val="fr-FR"/>
        </w:rPr>
        <w:t xml:space="preserve">la </w:t>
      </w:r>
      <w:r w:rsidRPr="00960033">
        <w:rPr>
          <w:b/>
          <w:color w:val="000000" w:themeColor="text1"/>
          <w:lang w:val="fr-FR"/>
        </w:rPr>
        <w:t>phase II révisée du plan du secteur de la réfrigération industrielle et commerciale ($US/kg)</w:t>
      </w:r>
    </w:p>
    <w:tbl>
      <w:tblPr>
        <w:tblStyle w:val="TableGrid"/>
        <w:tblW w:w="5000" w:type="pct"/>
        <w:jc w:val="center"/>
        <w:tblLayout w:type="fixed"/>
        <w:tblLook w:val="04A0" w:firstRow="1" w:lastRow="0" w:firstColumn="1" w:lastColumn="0" w:noHBand="0" w:noVBand="1"/>
      </w:tblPr>
      <w:tblGrid>
        <w:gridCol w:w="2667"/>
        <w:gridCol w:w="1335"/>
        <w:gridCol w:w="1337"/>
        <w:gridCol w:w="1337"/>
        <w:gridCol w:w="1337"/>
        <w:gridCol w:w="1337"/>
      </w:tblGrid>
      <w:tr w:rsidR="00720BA7" w:rsidRPr="00C20600" w14:paraId="10D292B7" w14:textId="77777777" w:rsidTr="002807D2">
        <w:trPr>
          <w:tblHeader/>
          <w:jc w:val="center"/>
        </w:trPr>
        <w:tc>
          <w:tcPr>
            <w:tcW w:w="1426" w:type="pct"/>
            <w:vAlign w:val="center"/>
          </w:tcPr>
          <w:p w14:paraId="6D2E9B2F" w14:textId="77777777" w:rsidR="00720BA7" w:rsidRPr="00960033" w:rsidRDefault="00720BA7" w:rsidP="00720BA7">
            <w:pPr>
              <w:pStyle w:val="NoSpacing"/>
              <w:jc w:val="center"/>
              <w:rPr>
                <w:b/>
                <w:color w:val="000000" w:themeColor="text1"/>
                <w:sz w:val="20"/>
                <w:lang w:val="en-CA"/>
              </w:rPr>
            </w:pPr>
            <w:r w:rsidRPr="00960033">
              <w:rPr>
                <w:b/>
                <w:color w:val="000000" w:themeColor="text1"/>
                <w:sz w:val="20"/>
                <w:lang w:val="fr-FR"/>
              </w:rPr>
              <w:t>Taille des entreprises</w:t>
            </w:r>
          </w:p>
        </w:tc>
        <w:tc>
          <w:tcPr>
            <w:tcW w:w="714" w:type="pct"/>
            <w:vAlign w:val="center"/>
          </w:tcPr>
          <w:p w14:paraId="300454E2" w14:textId="77777777" w:rsidR="00720BA7" w:rsidRPr="00960033" w:rsidRDefault="00720BA7" w:rsidP="00720BA7">
            <w:pPr>
              <w:pStyle w:val="NoSpacing"/>
              <w:jc w:val="center"/>
              <w:rPr>
                <w:b/>
                <w:color w:val="000000" w:themeColor="text1"/>
                <w:sz w:val="20"/>
                <w:lang w:val="en-CA"/>
              </w:rPr>
            </w:pPr>
            <w:r w:rsidRPr="00960033">
              <w:rPr>
                <w:b/>
                <w:color w:val="000000" w:themeColor="text1"/>
                <w:sz w:val="20"/>
                <w:lang w:val="fr-FR"/>
              </w:rPr>
              <w:t>HFC-32</w:t>
            </w:r>
          </w:p>
        </w:tc>
        <w:tc>
          <w:tcPr>
            <w:tcW w:w="715" w:type="pct"/>
            <w:vAlign w:val="center"/>
          </w:tcPr>
          <w:p w14:paraId="313930DA" w14:textId="77777777" w:rsidR="00720BA7" w:rsidRPr="00960033" w:rsidRDefault="00720BA7" w:rsidP="00720BA7">
            <w:pPr>
              <w:pStyle w:val="NoSpacing"/>
              <w:jc w:val="center"/>
              <w:rPr>
                <w:b/>
                <w:color w:val="000000" w:themeColor="text1"/>
                <w:sz w:val="20"/>
                <w:lang w:val="en-CA"/>
              </w:rPr>
            </w:pPr>
            <w:r w:rsidRPr="00960033">
              <w:rPr>
                <w:b/>
                <w:color w:val="000000" w:themeColor="text1"/>
                <w:sz w:val="20"/>
                <w:lang w:val="fr-FR"/>
              </w:rPr>
              <w:t>NH3</w:t>
            </w:r>
          </w:p>
        </w:tc>
        <w:tc>
          <w:tcPr>
            <w:tcW w:w="715" w:type="pct"/>
            <w:vAlign w:val="center"/>
          </w:tcPr>
          <w:p w14:paraId="7A13F15C" w14:textId="77777777" w:rsidR="00720BA7" w:rsidRPr="00720BA7" w:rsidRDefault="00720BA7" w:rsidP="00720BA7">
            <w:pPr>
              <w:pStyle w:val="NoSpacing"/>
              <w:jc w:val="center"/>
              <w:rPr>
                <w:b/>
                <w:color w:val="000000" w:themeColor="text1"/>
                <w:sz w:val="20"/>
                <w:lang w:val="fr-CA"/>
              </w:rPr>
            </w:pPr>
            <w:r w:rsidRPr="00960033">
              <w:rPr>
                <w:b/>
                <w:color w:val="000000" w:themeColor="text1"/>
                <w:sz w:val="20"/>
                <w:lang w:val="fr-FR"/>
              </w:rPr>
              <w:t>NH</w:t>
            </w:r>
            <w:r w:rsidRPr="00960033">
              <w:rPr>
                <w:b/>
                <w:color w:val="000000" w:themeColor="text1"/>
                <w:sz w:val="20"/>
                <w:vertAlign w:val="subscript"/>
                <w:lang w:val="fr-FR"/>
              </w:rPr>
              <w:t>3</w:t>
            </w:r>
            <w:r w:rsidRPr="00960033">
              <w:rPr>
                <w:b/>
                <w:color w:val="000000" w:themeColor="text1"/>
                <w:sz w:val="20"/>
                <w:lang w:val="fr-FR"/>
              </w:rPr>
              <w:t>/CO</w:t>
            </w:r>
            <w:r w:rsidRPr="00960033">
              <w:rPr>
                <w:b/>
                <w:color w:val="000000" w:themeColor="text1"/>
                <w:sz w:val="20"/>
                <w:vertAlign w:val="subscript"/>
                <w:lang w:val="fr-FR"/>
              </w:rPr>
              <w:t>2</w:t>
            </w:r>
            <w:r w:rsidRPr="00960033">
              <w:rPr>
                <w:b/>
                <w:color w:val="000000" w:themeColor="text1"/>
                <w:sz w:val="20"/>
                <w:lang w:val="fr-FR"/>
              </w:rPr>
              <w:t>, HFO et mélanges</w:t>
            </w:r>
          </w:p>
        </w:tc>
        <w:tc>
          <w:tcPr>
            <w:tcW w:w="715" w:type="pct"/>
            <w:vAlign w:val="center"/>
          </w:tcPr>
          <w:p w14:paraId="6A1F5247" w14:textId="77777777" w:rsidR="00720BA7" w:rsidRPr="00960033" w:rsidRDefault="00720BA7" w:rsidP="00720BA7">
            <w:pPr>
              <w:pStyle w:val="NoSpacing"/>
              <w:jc w:val="center"/>
              <w:rPr>
                <w:b/>
                <w:color w:val="000000" w:themeColor="text1"/>
                <w:sz w:val="20"/>
                <w:lang w:val="en-CA"/>
              </w:rPr>
            </w:pPr>
            <w:r w:rsidRPr="00960033">
              <w:rPr>
                <w:b/>
                <w:color w:val="000000" w:themeColor="text1"/>
                <w:sz w:val="20"/>
                <w:lang w:val="fr-FR"/>
              </w:rPr>
              <w:t>CO2 et R-290</w:t>
            </w:r>
          </w:p>
        </w:tc>
        <w:tc>
          <w:tcPr>
            <w:tcW w:w="715" w:type="pct"/>
            <w:vAlign w:val="center"/>
          </w:tcPr>
          <w:p w14:paraId="4EA4515F" w14:textId="77777777" w:rsidR="00720BA7" w:rsidRPr="00960033" w:rsidRDefault="00720BA7" w:rsidP="00720BA7">
            <w:pPr>
              <w:pStyle w:val="NoSpacing"/>
              <w:jc w:val="center"/>
              <w:rPr>
                <w:b/>
                <w:color w:val="000000" w:themeColor="text1"/>
                <w:sz w:val="20"/>
                <w:lang w:val="en-CA"/>
              </w:rPr>
            </w:pPr>
            <w:r w:rsidRPr="00720BA7">
              <w:rPr>
                <w:b/>
                <w:color w:val="000000" w:themeColor="text1"/>
                <w:sz w:val="20"/>
              </w:rPr>
              <w:t>CO2/HFC-134a et CO2/HFC-32</w:t>
            </w:r>
          </w:p>
        </w:tc>
      </w:tr>
      <w:tr w:rsidR="00720BA7" w:rsidRPr="00C20600" w14:paraId="718CE1C3" w14:textId="77777777" w:rsidTr="002807D2">
        <w:trPr>
          <w:jc w:val="center"/>
        </w:trPr>
        <w:tc>
          <w:tcPr>
            <w:tcW w:w="1426" w:type="pct"/>
          </w:tcPr>
          <w:p w14:paraId="79532ADA" w14:textId="77777777" w:rsidR="00720BA7" w:rsidRPr="00720BA7" w:rsidRDefault="00720BA7" w:rsidP="00720BA7">
            <w:pPr>
              <w:pStyle w:val="NoSpacing"/>
              <w:jc w:val="left"/>
              <w:rPr>
                <w:color w:val="000000" w:themeColor="text1"/>
                <w:sz w:val="20"/>
                <w:lang w:val="fr-CA"/>
              </w:rPr>
            </w:pPr>
            <w:r w:rsidRPr="00960033">
              <w:rPr>
                <w:color w:val="000000" w:themeColor="text1"/>
                <w:sz w:val="20"/>
                <w:lang w:val="fr-FR"/>
              </w:rPr>
              <w:t xml:space="preserve">Entreprises ayant une consommation supérieure à 50 tm par an </w:t>
            </w:r>
          </w:p>
        </w:tc>
        <w:tc>
          <w:tcPr>
            <w:tcW w:w="714" w:type="pct"/>
            <w:tcMar>
              <w:left w:w="115" w:type="dxa"/>
              <w:right w:w="173" w:type="dxa"/>
            </w:tcMar>
            <w:vAlign w:val="center"/>
          </w:tcPr>
          <w:p w14:paraId="069FEC21"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6</w:t>
            </w:r>
            <w:r>
              <w:rPr>
                <w:color w:val="000000" w:themeColor="text1"/>
                <w:sz w:val="20"/>
                <w:lang w:val="en-CA"/>
              </w:rPr>
              <w:t>,</w:t>
            </w:r>
            <w:r w:rsidRPr="00C20600">
              <w:rPr>
                <w:color w:val="000000" w:themeColor="text1"/>
                <w:sz w:val="20"/>
                <w:lang w:val="en-CA"/>
              </w:rPr>
              <w:t>30</w:t>
            </w:r>
          </w:p>
        </w:tc>
        <w:tc>
          <w:tcPr>
            <w:tcW w:w="715" w:type="pct"/>
            <w:tcMar>
              <w:left w:w="115" w:type="dxa"/>
              <w:right w:w="173" w:type="dxa"/>
            </w:tcMar>
            <w:vAlign w:val="center"/>
          </w:tcPr>
          <w:p w14:paraId="40325613"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6</w:t>
            </w:r>
            <w:r>
              <w:rPr>
                <w:color w:val="000000" w:themeColor="text1"/>
                <w:sz w:val="20"/>
                <w:lang w:val="en-CA"/>
              </w:rPr>
              <w:t>,</w:t>
            </w:r>
            <w:r w:rsidRPr="00C20600">
              <w:rPr>
                <w:color w:val="000000" w:themeColor="text1"/>
                <w:sz w:val="20"/>
                <w:lang w:val="en-CA"/>
              </w:rPr>
              <w:t>90</w:t>
            </w:r>
          </w:p>
        </w:tc>
        <w:tc>
          <w:tcPr>
            <w:tcW w:w="715" w:type="pct"/>
            <w:tcMar>
              <w:left w:w="115" w:type="dxa"/>
              <w:right w:w="173" w:type="dxa"/>
            </w:tcMar>
            <w:vAlign w:val="center"/>
          </w:tcPr>
          <w:p w14:paraId="661CF78F"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9</w:t>
            </w:r>
            <w:r>
              <w:rPr>
                <w:color w:val="000000" w:themeColor="text1"/>
                <w:sz w:val="20"/>
                <w:lang w:val="en-CA"/>
              </w:rPr>
              <w:t>,</w:t>
            </w:r>
            <w:r w:rsidRPr="00C20600">
              <w:rPr>
                <w:color w:val="000000" w:themeColor="text1"/>
                <w:sz w:val="20"/>
                <w:lang w:val="en-CA"/>
              </w:rPr>
              <w:t>40</w:t>
            </w:r>
          </w:p>
        </w:tc>
        <w:tc>
          <w:tcPr>
            <w:tcW w:w="715" w:type="pct"/>
            <w:tcMar>
              <w:left w:w="115" w:type="dxa"/>
              <w:right w:w="173" w:type="dxa"/>
            </w:tcMar>
            <w:vAlign w:val="center"/>
          </w:tcPr>
          <w:p w14:paraId="00520EEE"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12</w:t>
            </w:r>
            <w:r>
              <w:rPr>
                <w:color w:val="000000" w:themeColor="text1"/>
                <w:sz w:val="20"/>
                <w:lang w:val="en-CA"/>
              </w:rPr>
              <w:t>,</w:t>
            </w:r>
            <w:r w:rsidRPr="00C20600">
              <w:rPr>
                <w:color w:val="000000" w:themeColor="text1"/>
                <w:sz w:val="20"/>
                <w:lang w:val="en-CA"/>
              </w:rPr>
              <w:t>00</w:t>
            </w:r>
          </w:p>
        </w:tc>
        <w:tc>
          <w:tcPr>
            <w:tcW w:w="715" w:type="pct"/>
            <w:tcMar>
              <w:left w:w="115" w:type="dxa"/>
              <w:right w:w="173" w:type="dxa"/>
            </w:tcMar>
            <w:vAlign w:val="center"/>
          </w:tcPr>
          <w:p w14:paraId="67137C1A"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8</w:t>
            </w:r>
            <w:r>
              <w:rPr>
                <w:color w:val="000000" w:themeColor="text1"/>
                <w:sz w:val="20"/>
                <w:lang w:val="en-CA"/>
              </w:rPr>
              <w:t>,</w:t>
            </w:r>
            <w:r w:rsidRPr="00C20600">
              <w:rPr>
                <w:color w:val="000000" w:themeColor="text1"/>
                <w:sz w:val="20"/>
                <w:lang w:val="en-CA"/>
              </w:rPr>
              <w:t>00</w:t>
            </w:r>
          </w:p>
        </w:tc>
      </w:tr>
      <w:tr w:rsidR="00720BA7" w:rsidRPr="00C20600" w14:paraId="4973A9DE" w14:textId="77777777" w:rsidTr="002807D2">
        <w:trPr>
          <w:jc w:val="center"/>
        </w:trPr>
        <w:tc>
          <w:tcPr>
            <w:tcW w:w="1426" w:type="pct"/>
          </w:tcPr>
          <w:p w14:paraId="44BDE8C8" w14:textId="77777777" w:rsidR="00720BA7" w:rsidRPr="00720BA7" w:rsidRDefault="00720BA7" w:rsidP="00720BA7">
            <w:pPr>
              <w:pStyle w:val="NoSpacing"/>
              <w:jc w:val="left"/>
              <w:rPr>
                <w:color w:val="000000" w:themeColor="text1"/>
                <w:sz w:val="20"/>
                <w:lang w:val="fr-CA"/>
              </w:rPr>
            </w:pPr>
            <w:r w:rsidRPr="00960033">
              <w:rPr>
                <w:color w:val="000000" w:themeColor="text1"/>
                <w:sz w:val="20"/>
                <w:lang w:val="fr-FR"/>
              </w:rPr>
              <w:t xml:space="preserve">Entreprises ayant une </w:t>
            </w:r>
            <w:r w:rsidRPr="00960033">
              <w:rPr>
                <w:color w:val="000000" w:themeColor="text1"/>
                <w:sz w:val="20"/>
                <w:lang w:val="fr-FR"/>
              </w:rPr>
              <w:lastRenderedPageBreak/>
              <w:t>consommation comprise entre 20 et</w:t>
            </w:r>
            <w:r>
              <w:rPr>
                <w:color w:val="000000" w:themeColor="text1"/>
                <w:sz w:val="20"/>
                <w:lang w:val="fr-FR"/>
              </w:rPr>
              <w:t xml:space="preserve"> </w:t>
            </w:r>
            <w:r w:rsidRPr="00960033">
              <w:rPr>
                <w:color w:val="000000" w:themeColor="text1"/>
                <w:sz w:val="20"/>
                <w:lang w:val="fr-FR"/>
              </w:rPr>
              <w:t xml:space="preserve">50 tm par an </w:t>
            </w:r>
          </w:p>
        </w:tc>
        <w:tc>
          <w:tcPr>
            <w:tcW w:w="714" w:type="pct"/>
            <w:tcMar>
              <w:left w:w="115" w:type="dxa"/>
              <w:right w:w="173" w:type="dxa"/>
            </w:tcMar>
            <w:vAlign w:val="center"/>
          </w:tcPr>
          <w:p w14:paraId="44980CB5"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lastRenderedPageBreak/>
              <w:t>9</w:t>
            </w:r>
            <w:r>
              <w:rPr>
                <w:color w:val="000000" w:themeColor="text1"/>
                <w:sz w:val="20"/>
                <w:lang w:val="en-CA"/>
              </w:rPr>
              <w:t>,</w:t>
            </w:r>
            <w:r w:rsidRPr="00C20600">
              <w:rPr>
                <w:color w:val="000000" w:themeColor="text1"/>
                <w:sz w:val="20"/>
                <w:lang w:val="en-CA"/>
              </w:rPr>
              <w:t>10</w:t>
            </w:r>
          </w:p>
        </w:tc>
        <w:tc>
          <w:tcPr>
            <w:tcW w:w="715" w:type="pct"/>
            <w:tcMar>
              <w:left w:w="115" w:type="dxa"/>
              <w:right w:w="173" w:type="dxa"/>
            </w:tcMar>
            <w:vAlign w:val="center"/>
          </w:tcPr>
          <w:p w14:paraId="182C639B"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9</w:t>
            </w:r>
            <w:r>
              <w:rPr>
                <w:color w:val="000000" w:themeColor="text1"/>
                <w:sz w:val="20"/>
                <w:lang w:val="en-CA"/>
              </w:rPr>
              <w:t>,</w:t>
            </w:r>
            <w:r w:rsidRPr="00C20600">
              <w:rPr>
                <w:color w:val="000000" w:themeColor="text1"/>
                <w:sz w:val="20"/>
                <w:lang w:val="en-CA"/>
              </w:rPr>
              <w:t>97</w:t>
            </w:r>
          </w:p>
        </w:tc>
        <w:tc>
          <w:tcPr>
            <w:tcW w:w="715" w:type="pct"/>
            <w:tcMar>
              <w:left w:w="115" w:type="dxa"/>
              <w:right w:w="173" w:type="dxa"/>
            </w:tcMar>
            <w:vAlign w:val="center"/>
          </w:tcPr>
          <w:p w14:paraId="79F601B4"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13</w:t>
            </w:r>
            <w:r>
              <w:rPr>
                <w:color w:val="000000" w:themeColor="text1"/>
                <w:sz w:val="20"/>
                <w:lang w:val="en-CA"/>
              </w:rPr>
              <w:t>,</w:t>
            </w:r>
            <w:r w:rsidRPr="00C20600">
              <w:rPr>
                <w:color w:val="000000" w:themeColor="text1"/>
                <w:sz w:val="20"/>
                <w:lang w:val="en-CA"/>
              </w:rPr>
              <w:t>58</w:t>
            </w:r>
          </w:p>
        </w:tc>
        <w:tc>
          <w:tcPr>
            <w:tcW w:w="715" w:type="pct"/>
            <w:tcMar>
              <w:left w:w="115" w:type="dxa"/>
              <w:right w:w="173" w:type="dxa"/>
            </w:tcMar>
            <w:vAlign w:val="center"/>
          </w:tcPr>
          <w:p w14:paraId="6DAC52C5"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17</w:t>
            </w:r>
            <w:r>
              <w:rPr>
                <w:color w:val="000000" w:themeColor="text1"/>
                <w:sz w:val="20"/>
                <w:lang w:val="en-CA"/>
              </w:rPr>
              <w:t>,</w:t>
            </w:r>
            <w:r w:rsidRPr="00C20600">
              <w:rPr>
                <w:color w:val="000000" w:themeColor="text1"/>
                <w:sz w:val="20"/>
                <w:lang w:val="en-CA"/>
              </w:rPr>
              <w:t>33</w:t>
            </w:r>
          </w:p>
        </w:tc>
        <w:tc>
          <w:tcPr>
            <w:tcW w:w="715" w:type="pct"/>
            <w:tcMar>
              <w:left w:w="115" w:type="dxa"/>
              <w:right w:w="173" w:type="dxa"/>
            </w:tcMar>
            <w:vAlign w:val="center"/>
          </w:tcPr>
          <w:p w14:paraId="06F03D7D"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11</w:t>
            </w:r>
            <w:r>
              <w:rPr>
                <w:color w:val="000000" w:themeColor="text1"/>
                <w:sz w:val="20"/>
                <w:lang w:val="en-CA"/>
              </w:rPr>
              <w:t>,</w:t>
            </w:r>
            <w:r w:rsidRPr="00C20600">
              <w:rPr>
                <w:color w:val="000000" w:themeColor="text1"/>
                <w:sz w:val="20"/>
                <w:lang w:val="en-CA"/>
              </w:rPr>
              <w:t>56</w:t>
            </w:r>
          </w:p>
        </w:tc>
      </w:tr>
      <w:tr w:rsidR="00720BA7" w:rsidRPr="00C20600" w14:paraId="2FB05F09" w14:textId="77777777" w:rsidTr="002807D2">
        <w:trPr>
          <w:jc w:val="center"/>
        </w:trPr>
        <w:tc>
          <w:tcPr>
            <w:tcW w:w="1426" w:type="pct"/>
          </w:tcPr>
          <w:p w14:paraId="75489218" w14:textId="77777777" w:rsidR="00720BA7" w:rsidRPr="00720BA7" w:rsidRDefault="00720BA7" w:rsidP="00720BA7">
            <w:pPr>
              <w:pStyle w:val="NoSpacing"/>
              <w:jc w:val="left"/>
              <w:rPr>
                <w:color w:val="000000" w:themeColor="text1"/>
                <w:sz w:val="20"/>
                <w:lang w:val="fr-CA"/>
              </w:rPr>
            </w:pPr>
            <w:r w:rsidRPr="00960033">
              <w:rPr>
                <w:color w:val="000000" w:themeColor="text1"/>
                <w:sz w:val="20"/>
                <w:lang w:val="fr-FR"/>
              </w:rPr>
              <w:lastRenderedPageBreak/>
              <w:t>PME ayant une consommation inférieure à 20 tm par an</w:t>
            </w:r>
          </w:p>
        </w:tc>
        <w:tc>
          <w:tcPr>
            <w:tcW w:w="714" w:type="pct"/>
            <w:tcMar>
              <w:left w:w="115" w:type="dxa"/>
              <w:right w:w="173" w:type="dxa"/>
            </w:tcMar>
            <w:vAlign w:val="center"/>
          </w:tcPr>
          <w:p w14:paraId="7C19AADC"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14</w:t>
            </w:r>
            <w:r>
              <w:rPr>
                <w:color w:val="000000" w:themeColor="text1"/>
                <w:sz w:val="20"/>
                <w:lang w:val="en-CA"/>
              </w:rPr>
              <w:t>,</w:t>
            </w:r>
            <w:r w:rsidRPr="00C20600">
              <w:rPr>
                <w:color w:val="000000" w:themeColor="text1"/>
                <w:sz w:val="20"/>
                <w:lang w:val="en-CA"/>
              </w:rPr>
              <w:t>00</w:t>
            </w:r>
          </w:p>
        </w:tc>
        <w:tc>
          <w:tcPr>
            <w:tcW w:w="715" w:type="pct"/>
            <w:tcMar>
              <w:left w:w="115" w:type="dxa"/>
              <w:right w:w="173" w:type="dxa"/>
            </w:tcMar>
            <w:vAlign w:val="center"/>
          </w:tcPr>
          <w:p w14:paraId="7FBCBBC5"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15</w:t>
            </w:r>
            <w:r>
              <w:rPr>
                <w:color w:val="000000" w:themeColor="text1"/>
                <w:sz w:val="20"/>
                <w:lang w:val="en-CA"/>
              </w:rPr>
              <w:t>,</w:t>
            </w:r>
            <w:r w:rsidRPr="00C20600">
              <w:rPr>
                <w:color w:val="000000" w:themeColor="text1"/>
                <w:sz w:val="20"/>
                <w:lang w:val="en-CA"/>
              </w:rPr>
              <w:t>33</w:t>
            </w:r>
          </w:p>
        </w:tc>
        <w:tc>
          <w:tcPr>
            <w:tcW w:w="715" w:type="pct"/>
            <w:tcMar>
              <w:left w:w="115" w:type="dxa"/>
              <w:right w:w="173" w:type="dxa"/>
            </w:tcMar>
            <w:vAlign w:val="center"/>
          </w:tcPr>
          <w:p w14:paraId="067C6C88"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20</w:t>
            </w:r>
            <w:r>
              <w:rPr>
                <w:color w:val="000000" w:themeColor="text1"/>
                <w:sz w:val="20"/>
                <w:lang w:val="en-CA"/>
              </w:rPr>
              <w:t>,</w:t>
            </w:r>
            <w:r w:rsidRPr="00C20600">
              <w:rPr>
                <w:color w:val="000000" w:themeColor="text1"/>
                <w:sz w:val="20"/>
                <w:lang w:val="en-CA"/>
              </w:rPr>
              <w:t>89</w:t>
            </w:r>
          </w:p>
        </w:tc>
        <w:tc>
          <w:tcPr>
            <w:tcW w:w="715" w:type="pct"/>
            <w:tcMar>
              <w:left w:w="115" w:type="dxa"/>
              <w:right w:w="173" w:type="dxa"/>
            </w:tcMar>
            <w:vAlign w:val="center"/>
          </w:tcPr>
          <w:p w14:paraId="6E5C4989"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26</w:t>
            </w:r>
            <w:r>
              <w:rPr>
                <w:color w:val="000000" w:themeColor="text1"/>
                <w:sz w:val="20"/>
                <w:lang w:val="en-CA"/>
              </w:rPr>
              <w:t>,</w:t>
            </w:r>
            <w:r w:rsidRPr="00C20600">
              <w:rPr>
                <w:color w:val="000000" w:themeColor="text1"/>
                <w:sz w:val="20"/>
                <w:lang w:val="en-CA"/>
              </w:rPr>
              <w:t>67</w:t>
            </w:r>
          </w:p>
        </w:tc>
        <w:tc>
          <w:tcPr>
            <w:tcW w:w="715" w:type="pct"/>
            <w:tcMar>
              <w:left w:w="115" w:type="dxa"/>
              <w:right w:w="173" w:type="dxa"/>
            </w:tcMar>
            <w:vAlign w:val="center"/>
          </w:tcPr>
          <w:p w14:paraId="657E0C72" w14:textId="77777777" w:rsidR="00720BA7" w:rsidRPr="00C20600" w:rsidRDefault="00720BA7" w:rsidP="002807D2">
            <w:pPr>
              <w:pStyle w:val="NoSpacing"/>
              <w:jc w:val="right"/>
              <w:rPr>
                <w:color w:val="000000" w:themeColor="text1"/>
                <w:sz w:val="20"/>
                <w:lang w:val="en-CA"/>
              </w:rPr>
            </w:pPr>
            <w:r w:rsidRPr="00C20600">
              <w:rPr>
                <w:color w:val="000000" w:themeColor="text1"/>
                <w:sz w:val="20"/>
                <w:lang w:val="en-CA"/>
              </w:rPr>
              <w:t>17</w:t>
            </w:r>
            <w:r>
              <w:rPr>
                <w:color w:val="000000" w:themeColor="text1"/>
                <w:sz w:val="20"/>
                <w:lang w:val="en-CA"/>
              </w:rPr>
              <w:t>,</w:t>
            </w:r>
            <w:r w:rsidRPr="00C20600">
              <w:rPr>
                <w:color w:val="000000" w:themeColor="text1"/>
                <w:sz w:val="20"/>
                <w:lang w:val="en-CA"/>
              </w:rPr>
              <w:t>78</w:t>
            </w:r>
          </w:p>
        </w:tc>
      </w:tr>
    </w:tbl>
    <w:p w14:paraId="1C3AAC25" w14:textId="77777777" w:rsidR="00720BA7" w:rsidRPr="00C20600" w:rsidRDefault="00720BA7" w:rsidP="00720BA7">
      <w:pPr>
        <w:pStyle w:val="NoSpacing"/>
        <w:rPr>
          <w:color w:val="000000" w:themeColor="text1"/>
          <w:lang w:val="en-CA"/>
        </w:rPr>
      </w:pPr>
    </w:p>
    <w:p w14:paraId="11EAD30C" w14:textId="77777777" w:rsidR="00720BA7" w:rsidRPr="00720BA7" w:rsidRDefault="00720BA7" w:rsidP="00720BA7">
      <w:pPr>
        <w:pStyle w:val="Heading1"/>
        <w:rPr>
          <w:lang w:val="fr-CA"/>
        </w:rPr>
      </w:pPr>
      <w:r w:rsidRPr="00960033">
        <w:rPr>
          <w:lang w:val="fr-FR"/>
        </w:rPr>
        <w:t>Selon les seuils ci-dessus et les tonnages éliminés présentés dans les tableaux 3 et 4, les coûts de reconversion ont été calculés pour chaque sous-secteur et la technologie de remplacement, comme l</w:t>
      </w:r>
      <w:r>
        <w:rPr>
          <w:lang w:val="fr-FR"/>
        </w:rPr>
        <w:t>’</w:t>
      </w:r>
      <w:r w:rsidRPr="00960033">
        <w:rPr>
          <w:lang w:val="fr-FR"/>
        </w:rPr>
        <w:t>indique le tableau 7.</w:t>
      </w:r>
    </w:p>
    <w:p w14:paraId="78AF3166" w14:textId="77777777" w:rsidR="00720BA7" w:rsidRPr="00720BA7" w:rsidRDefault="00720BA7" w:rsidP="00720BA7">
      <w:pPr>
        <w:pStyle w:val="PlainText"/>
        <w:keepNext/>
        <w:keepLines/>
        <w:spacing w:before="240"/>
        <w:rPr>
          <w:rFonts w:ascii="Times New Roman" w:hAnsi="Times New Roman" w:cs="Times New Roman"/>
          <w:b/>
          <w:color w:val="000000" w:themeColor="text1"/>
          <w:sz w:val="22"/>
          <w:lang w:val="fr-CA"/>
        </w:rPr>
      </w:pPr>
      <w:r w:rsidRPr="00960033">
        <w:rPr>
          <w:rFonts w:ascii="Times New Roman" w:hAnsi="Times New Roman" w:cs="Times New Roman"/>
          <w:b/>
          <w:color w:val="000000" w:themeColor="text1"/>
          <w:sz w:val="22"/>
          <w:lang w:val="fr-FR"/>
        </w:rPr>
        <w:t>Tableau 7. Coûts de reconversion des chaînes de fabrication dans les sous-secteurs (1 000 $US)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184"/>
        <w:gridCol w:w="804"/>
        <w:gridCol w:w="1260"/>
        <w:gridCol w:w="1259"/>
        <w:gridCol w:w="1421"/>
        <w:gridCol w:w="1184"/>
      </w:tblGrid>
      <w:tr w:rsidR="00720BA7" w:rsidRPr="00C20600" w14:paraId="36025591" w14:textId="77777777" w:rsidTr="00720BA7">
        <w:trPr>
          <w:trHeight w:val="20"/>
        </w:trPr>
        <w:tc>
          <w:tcPr>
            <w:tcW w:w="1197" w:type="pct"/>
            <w:tcBorders>
              <w:top w:val="single" w:sz="4" w:space="0" w:color="auto"/>
              <w:left w:val="single" w:sz="4" w:space="0" w:color="auto"/>
              <w:bottom w:val="single" w:sz="4" w:space="0" w:color="auto"/>
              <w:right w:val="single" w:sz="4" w:space="0" w:color="auto"/>
            </w:tcBorders>
            <w:vAlign w:val="center"/>
          </w:tcPr>
          <w:p w14:paraId="7406FF2D" w14:textId="77777777" w:rsidR="00720BA7" w:rsidRPr="00960033" w:rsidRDefault="00720BA7" w:rsidP="00720BA7">
            <w:pPr>
              <w:pStyle w:val="NoSpacing"/>
              <w:keepNext/>
              <w:keepLines/>
              <w:jc w:val="left"/>
              <w:rPr>
                <w:rFonts w:cs="Times New Roman"/>
                <w:b/>
                <w:color w:val="000000" w:themeColor="text1"/>
                <w:sz w:val="20"/>
                <w:szCs w:val="20"/>
                <w:lang w:val="en-CA"/>
              </w:rPr>
            </w:pPr>
            <w:r w:rsidRPr="00960033">
              <w:rPr>
                <w:rFonts w:cs="Times New Roman"/>
                <w:b/>
                <w:color w:val="000000" w:themeColor="text1"/>
                <w:sz w:val="20"/>
                <w:szCs w:val="20"/>
                <w:lang w:val="fr-FR"/>
              </w:rPr>
              <w:t>Sous-secteur</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785B8E" w14:textId="77777777" w:rsidR="00720BA7" w:rsidRPr="00960033" w:rsidRDefault="00720BA7" w:rsidP="00720BA7">
            <w:pPr>
              <w:pStyle w:val="NoSpacing"/>
              <w:keepNext/>
              <w:keepLines/>
              <w:jc w:val="center"/>
              <w:rPr>
                <w:rFonts w:cs="Times New Roman"/>
                <w:b/>
                <w:color w:val="000000" w:themeColor="text1"/>
                <w:kern w:val="0"/>
                <w:sz w:val="20"/>
                <w:szCs w:val="20"/>
                <w:lang w:val="en-CA"/>
              </w:rPr>
            </w:pPr>
            <w:r w:rsidRPr="00960033">
              <w:rPr>
                <w:rFonts w:cs="Times New Roman"/>
                <w:b/>
                <w:color w:val="000000" w:themeColor="text1"/>
                <w:kern w:val="0"/>
                <w:sz w:val="20"/>
                <w:szCs w:val="20"/>
                <w:lang w:val="fr-FR"/>
              </w:rPr>
              <w:t>HFC-32</w:t>
            </w:r>
          </w:p>
        </w:tc>
        <w:tc>
          <w:tcPr>
            <w:tcW w:w="43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5D3A50" w14:textId="77777777" w:rsidR="00720BA7" w:rsidRPr="00960033" w:rsidRDefault="00720BA7" w:rsidP="00720BA7">
            <w:pPr>
              <w:pStyle w:val="NoSpacing"/>
              <w:keepNext/>
              <w:keepLines/>
              <w:jc w:val="center"/>
              <w:rPr>
                <w:rFonts w:cs="Times New Roman"/>
                <w:b/>
                <w:color w:val="000000" w:themeColor="text1"/>
                <w:kern w:val="0"/>
                <w:sz w:val="20"/>
                <w:szCs w:val="20"/>
                <w:lang w:val="en-CA"/>
              </w:rPr>
            </w:pPr>
            <w:r w:rsidRPr="00960033">
              <w:rPr>
                <w:rFonts w:cs="Times New Roman"/>
                <w:b/>
                <w:color w:val="000000" w:themeColor="text1"/>
                <w:kern w:val="0"/>
                <w:sz w:val="20"/>
                <w:szCs w:val="20"/>
                <w:lang w:val="fr-FR"/>
              </w:rPr>
              <w:t>NH3</w:t>
            </w:r>
          </w:p>
        </w:tc>
        <w:tc>
          <w:tcPr>
            <w:tcW w:w="67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930634" w14:textId="77777777" w:rsidR="00720BA7" w:rsidRPr="00720BA7" w:rsidRDefault="00720BA7" w:rsidP="00720BA7">
            <w:pPr>
              <w:pStyle w:val="NoSpacing"/>
              <w:keepNext/>
              <w:keepLines/>
              <w:jc w:val="center"/>
              <w:rPr>
                <w:rFonts w:cs="Times New Roman"/>
                <w:b/>
                <w:color w:val="000000" w:themeColor="text1"/>
                <w:kern w:val="0"/>
                <w:sz w:val="20"/>
                <w:szCs w:val="20"/>
                <w:lang w:val="fr-CA"/>
              </w:rPr>
            </w:pPr>
            <w:r w:rsidRPr="00960033">
              <w:rPr>
                <w:b/>
                <w:color w:val="000000" w:themeColor="text1"/>
                <w:sz w:val="20"/>
                <w:lang w:val="fr-FR"/>
              </w:rPr>
              <w:t>NH</w:t>
            </w:r>
            <w:r w:rsidRPr="00960033">
              <w:rPr>
                <w:b/>
                <w:color w:val="000000" w:themeColor="text1"/>
                <w:sz w:val="20"/>
                <w:vertAlign w:val="subscript"/>
                <w:lang w:val="fr-FR"/>
              </w:rPr>
              <w:t>3</w:t>
            </w:r>
            <w:r w:rsidRPr="00960033">
              <w:rPr>
                <w:b/>
                <w:color w:val="000000" w:themeColor="text1"/>
                <w:sz w:val="20"/>
                <w:lang w:val="fr-FR"/>
              </w:rPr>
              <w:t>/CO</w:t>
            </w:r>
            <w:r w:rsidRPr="00960033">
              <w:rPr>
                <w:b/>
                <w:color w:val="000000" w:themeColor="text1"/>
                <w:sz w:val="20"/>
                <w:vertAlign w:val="subscript"/>
                <w:lang w:val="fr-FR"/>
              </w:rPr>
              <w:t>2</w:t>
            </w:r>
            <w:r w:rsidRPr="00960033">
              <w:rPr>
                <w:b/>
                <w:color w:val="000000" w:themeColor="text1"/>
                <w:sz w:val="20"/>
                <w:lang w:val="fr-FR"/>
              </w:rPr>
              <w:t>, HFO et mélanges HFO</w:t>
            </w:r>
          </w:p>
        </w:tc>
        <w:tc>
          <w:tcPr>
            <w:tcW w:w="6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61A506" w14:textId="77777777" w:rsidR="00720BA7" w:rsidRPr="00960033" w:rsidRDefault="00720BA7" w:rsidP="00720BA7">
            <w:pPr>
              <w:pStyle w:val="NoSpacing"/>
              <w:keepNext/>
              <w:keepLines/>
              <w:jc w:val="center"/>
              <w:rPr>
                <w:rFonts w:cs="Times New Roman"/>
                <w:b/>
                <w:color w:val="000000" w:themeColor="text1"/>
                <w:kern w:val="0"/>
                <w:sz w:val="20"/>
                <w:szCs w:val="20"/>
                <w:lang w:val="en-CA"/>
              </w:rPr>
            </w:pPr>
            <w:r w:rsidRPr="00960033">
              <w:rPr>
                <w:rFonts w:cs="Times New Roman"/>
                <w:b/>
                <w:color w:val="000000" w:themeColor="text1"/>
                <w:kern w:val="0"/>
                <w:sz w:val="20"/>
                <w:szCs w:val="20"/>
                <w:lang w:val="fr-FR"/>
              </w:rPr>
              <w:t>CO</w:t>
            </w:r>
            <w:r w:rsidRPr="00960033">
              <w:rPr>
                <w:rFonts w:cs="Times New Roman"/>
                <w:b/>
                <w:color w:val="000000" w:themeColor="text1"/>
                <w:kern w:val="0"/>
                <w:sz w:val="20"/>
                <w:szCs w:val="20"/>
                <w:vertAlign w:val="subscript"/>
                <w:lang w:val="fr-FR"/>
              </w:rPr>
              <w:t xml:space="preserve">2, </w:t>
            </w:r>
            <w:r w:rsidRPr="00960033">
              <w:rPr>
                <w:rFonts w:cs="Times New Roman"/>
                <w:b/>
                <w:color w:val="000000" w:themeColor="text1"/>
                <w:kern w:val="0"/>
                <w:sz w:val="20"/>
                <w:szCs w:val="20"/>
                <w:lang w:val="fr-FR"/>
              </w:rPr>
              <w:t>R-290</w:t>
            </w:r>
          </w:p>
        </w:tc>
        <w:tc>
          <w:tcPr>
            <w:tcW w:w="76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04B07E" w14:textId="77777777" w:rsidR="00720BA7" w:rsidRPr="00960033" w:rsidRDefault="00720BA7" w:rsidP="00720BA7">
            <w:pPr>
              <w:pStyle w:val="NoSpacing"/>
              <w:keepNext/>
              <w:keepLines/>
              <w:jc w:val="center"/>
              <w:rPr>
                <w:rFonts w:cs="Times New Roman"/>
                <w:b/>
                <w:color w:val="000000" w:themeColor="text1"/>
                <w:sz w:val="20"/>
                <w:szCs w:val="20"/>
                <w:lang w:val="en-CA" w:eastAsia="ja-JP"/>
              </w:rPr>
            </w:pPr>
            <w:r w:rsidRPr="00720BA7">
              <w:rPr>
                <w:rFonts w:cs="Times New Roman"/>
                <w:b/>
                <w:color w:val="000000" w:themeColor="text1"/>
                <w:kern w:val="0"/>
                <w:sz w:val="20"/>
                <w:szCs w:val="20"/>
              </w:rPr>
              <w:t>CO2/HFC-134a CO2/HFC-32</w:t>
            </w:r>
          </w:p>
        </w:tc>
        <w:tc>
          <w:tcPr>
            <w:tcW w:w="6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F3BF65" w14:textId="77777777" w:rsidR="00720BA7" w:rsidRPr="00960033" w:rsidRDefault="00720BA7" w:rsidP="00720BA7">
            <w:pPr>
              <w:pStyle w:val="NoSpacing"/>
              <w:keepNext/>
              <w:keepLines/>
              <w:jc w:val="center"/>
              <w:rPr>
                <w:rFonts w:cs="Times New Roman"/>
                <w:b/>
                <w:color w:val="000000" w:themeColor="text1"/>
                <w:sz w:val="20"/>
                <w:szCs w:val="20"/>
                <w:lang w:val="en-CA"/>
              </w:rPr>
            </w:pPr>
            <w:r w:rsidRPr="00960033">
              <w:rPr>
                <w:rFonts w:cs="Times New Roman"/>
                <w:b/>
                <w:color w:val="000000" w:themeColor="text1"/>
                <w:sz w:val="20"/>
                <w:szCs w:val="20"/>
                <w:lang w:val="fr-FR"/>
              </w:rPr>
              <w:t>Total</w:t>
            </w:r>
          </w:p>
        </w:tc>
      </w:tr>
      <w:tr w:rsidR="00720BA7" w:rsidRPr="00C20600" w14:paraId="6C2835EB" w14:textId="77777777" w:rsidTr="002807D2">
        <w:trPr>
          <w:trHeight w:val="20"/>
        </w:trPr>
        <w:tc>
          <w:tcPr>
            <w:tcW w:w="1197" w:type="pct"/>
            <w:tcBorders>
              <w:top w:val="single" w:sz="4" w:space="0" w:color="auto"/>
              <w:left w:val="single" w:sz="4" w:space="0" w:color="auto"/>
              <w:bottom w:val="single" w:sz="4" w:space="0" w:color="auto"/>
              <w:right w:val="single" w:sz="4" w:space="0" w:color="auto"/>
            </w:tcBorders>
          </w:tcPr>
          <w:p w14:paraId="12996748" w14:textId="77777777" w:rsidR="00720BA7" w:rsidRPr="00720BA7" w:rsidRDefault="00720BA7" w:rsidP="00720BA7">
            <w:pPr>
              <w:pStyle w:val="NoSpacing"/>
              <w:keepNext/>
              <w:keepLines/>
              <w:jc w:val="left"/>
              <w:rPr>
                <w:rFonts w:eastAsia="MS Mincho" w:cs="Times New Roman"/>
                <w:color w:val="000000" w:themeColor="text1"/>
                <w:sz w:val="20"/>
                <w:szCs w:val="20"/>
                <w:lang w:val="fr-CA" w:eastAsia="ja-JP"/>
              </w:rPr>
            </w:pPr>
            <w:r w:rsidRPr="00960033">
              <w:rPr>
                <w:rFonts w:cs="Times New Roman"/>
                <w:color w:val="000000" w:themeColor="text1"/>
                <w:sz w:val="20"/>
                <w:szCs w:val="20"/>
                <w:lang w:val="fr-FR" w:eastAsia="ja-JP"/>
              </w:rPr>
              <w:t>Congélateurs et unités de</w:t>
            </w:r>
            <w:r>
              <w:rPr>
                <w:rFonts w:cs="Times New Roman"/>
                <w:color w:val="000000" w:themeColor="text1"/>
                <w:sz w:val="20"/>
                <w:szCs w:val="20"/>
                <w:lang w:val="fr-FR" w:eastAsia="ja-JP"/>
              </w:rPr>
              <w:t xml:space="preserve"> </w:t>
            </w:r>
            <w:r w:rsidRPr="00960033">
              <w:rPr>
                <w:rFonts w:cs="Times New Roman"/>
                <w:color w:val="000000" w:themeColor="text1"/>
                <w:sz w:val="20"/>
                <w:szCs w:val="20"/>
                <w:lang w:val="fr-FR" w:eastAsia="ja-JP"/>
              </w:rPr>
              <w:t>réfrigération et de condensation</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221BF333"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254DAE4A"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812</w:t>
            </w:r>
            <w:r>
              <w:rPr>
                <w:rFonts w:cs="Times New Roman"/>
                <w:color w:val="000000"/>
                <w:sz w:val="20"/>
                <w:szCs w:val="20"/>
                <w:lang w:val="en-CA"/>
              </w:rPr>
              <w:t>,</w:t>
            </w:r>
            <w:r w:rsidRPr="00C20600">
              <w:rPr>
                <w:rFonts w:cs="Times New Roman"/>
                <w:color w:val="000000"/>
                <w:sz w:val="20"/>
                <w:szCs w:val="20"/>
                <w:lang w:val="en-CA"/>
              </w:rPr>
              <w:t>7</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302420A7"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7</w:t>
            </w:r>
            <w:r>
              <w:rPr>
                <w:rFonts w:cs="Times New Roman"/>
                <w:color w:val="000000"/>
                <w:sz w:val="20"/>
                <w:szCs w:val="20"/>
                <w:lang w:val="en-CA"/>
              </w:rPr>
              <w:t> </w:t>
            </w:r>
            <w:r w:rsidRPr="00C20600">
              <w:rPr>
                <w:rFonts w:cs="Times New Roman"/>
                <w:color w:val="000000"/>
                <w:sz w:val="20"/>
                <w:szCs w:val="20"/>
                <w:lang w:val="en-CA"/>
              </w:rPr>
              <w:t>322</w:t>
            </w:r>
            <w:r>
              <w:rPr>
                <w:rFonts w:cs="Times New Roman"/>
                <w:color w:val="000000"/>
                <w:sz w:val="20"/>
                <w:szCs w:val="20"/>
                <w:lang w:val="en-CA"/>
              </w:rPr>
              <w:t>,</w:t>
            </w:r>
            <w:r w:rsidRPr="00C20600">
              <w:rPr>
                <w:rFonts w:cs="Times New Roman"/>
                <w:color w:val="000000"/>
                <w:sz w:val="20"/>
                <w:szCs w:val="20"/>
                <w:lang w:val="en-CA"/>
              </w:rPr>
              <w:t>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505835A"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6F8D07FB"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5</w:t>
            </w:r>
            <w:r>
              <w:rPr>
                <w:rFonts w:cs="Times New Roman"/>
                <w:color w:val="000000"/>
                <w:sz w:val="20"/>
                <w:szCs w:val="20"/>
                <w:lang w:val="en-CA"/>
              </w:rPr>
              <w:t> </w:t>
            </w:r>
            <w:r w:rsidRPr="00C20600">
              <w:rPr>
                <w:rFonts w:cs="Times New Roman"/>
                <w:color w:val="000000"/>
                <w:sz w:val="20"/>
                <w:szCs w:val="20"/>
                <w:lang w:val="en-CA"/>
              </w:rPr>
              <w:t>396</w:t>
            </w:r>
            <w:r>
              <w:rPr>
                <w:rFonts w:cs="Times New Roman"/>
                <w:color w:val="000000"/>
                <w:sz w:val="20"/>
                <w:szCs w:val="20"/>
                <w:lang w:val="en-CA"/>
              </w:rPr>
              <w:t>,</w:t>
            </w:r>
            <w:r w:rsidRPr="00C20600">
              <w:rPr>
                <w:rFonts w:cs="Times New Roman"/>
                <w:color w:val="000000"/>
                <w:sz w:val="20"/>
                <w:szCs w:val="20"/>
                <w:lang w:val="en-CA"/>
              </w:rPr>
              <w:t>8</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107824CB"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13</w:t>
            </w:r>
            <w:r>
              <w:rPr>
                <w:rFonts w:cs="Times New Roman"/>
                <w:color w:val="000000"/>
                <w:sz w:val="20"/>
                <w:szCs w:val="20"/>
                <w:lang w:val="en-CA"/>
              </w:rPr>
              <w:t> </w:t>
            </w:r>
            <w:r w:rsidRPr="00C20600">
              <w:rPr>
                <w:rFonts w:cs="Times New Roman"/>
                <w:color w:val="000000"/>
                <w:sz w:val="20"/>
                <w:szCs w:val="20"/>
                <w:lang w:val="en-CA"/>
              </w:rPr>
              <w:t>531</w:t>
            </w:r>
            <w:r>
              <w:rPr>
                <w:rFonts w:cs="Times New Roman"/>
                <w:color w:val="000000"/>
                <w:sz w:val="20"/>
                <w:szCs w:val="20"/>
                <w:lang w:val="en-CA"/>
              </w:rPr>
              <w:t>,</w:t>
            </w:r>
            <w:r w:rsidRPr="00C20600">
              <w:rPr>
                <w:rFonts w:cs="Times New Roman"/>
                <w:color w:val="000000"/>
                <w:sz w:val="20"/>
                <w:szCs w:val="20"/>
                <w:lang w:val="en-CA"/>
              </w:rPr>
              <w:t>5</w:t>
            </w:r>
          </w:p>
        </w:tc>
      </w:tr>
      <w:tr w:rsidR="00720BA7" w:rsidRPr="00C20600" w14:paraId="7795FB4D" w14:textId="77777777" w:rsidTr="002807D2">
        <w:trPr>
          <w:trHeight w:val="20"/>
        </w:trPr>
        <w:tc>
          <w:tcPr>
            <w:tcW w:w="1197" w:type="pct"/>
            <w:tcBorders>
              <w:top w:val="single" w:sz="4" w:space="0" w:color="auto"/>
              <w:left w:val="single" w:sz="4" w:space="0" w:color="auto"/>
              <w:bottom w:val="single" w:sz="4" w:space="0" w:color="auto"/>
              <w:right w:val="single" w:sz="4" w:space="0" w:color="auto"/>
            </w:tcBorders>
          </w:tcPr>
          <w:p w14:paraId="5DA95EB9" w14:textId="77777777" w:rsidR="00720BA7" w:rsidRPr="00960033" w:rsidRDefault="00720BA7" w:rsidP="00720BA7">
            <w:pPr>
              <w:pStyle w:val="NoSpacing"/>
              <w:keepNext/>
              <w:keepLines/>
              <w:jc w:val="left"/>
              <w:rPr>
                <w:rFonts w:cs="Times New Roman"/>
                <w:color w:val="000000" w:themeColor="text1"/>
                <w:sz w:val="20"/>
                <w:szCs w:val="20"/>
                <w:lang w:val="en-CA" w:eastAsia="ja-JP"/>
              </w:rPr>
            </w:pPr>
            <w:r w:rsidRPr="00960033">
              <w:rPr>
                <w:rFonts w:cs="Times New Roman"/>
                <w:color w:val="000000" w:themeColor="text1"/>
                <w:sz w:val="20"/>
                <w:szCs w:val="20"/>
                <w:lang w:val="fr-FR" w:eastAsia="ja-JP"/>
              </w:rPr>
              <w:t>Refroidisseurs d</w:t>
            </w:r>
            <w:r>
              <w:rPr>
                <w:rFonts w:cs="Times New Roman"/>
                <w:color w:val="000000" w:themeColor="text1"/>
                <w:sz w:val="20"/>
                <w:szCs w:val="20"/>
                <w:lang w:val="fr-FR" w:eastAsia="ja-JP"/>
              </w:rPr>
              <w:t>’</w:t>
            </w:r>
            <w:r w:rsidRPr="00960033">
              <w:rPr>
                <w:rFonts w:cs="Times New Roman"/>
                <w:color w:val="000000" w:themeColor="text1"/>
                <w:sz w:val="20"/>
                <w:szCs w:val="20"/>
                <w:lang w:val="fr-FR" w:eastAsia="ja-JP"/>
              </w:rPr>
              <w:t>eau</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45A3BDD7"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1</w:t>
            </w:r>
            <w:r>
              <w:rPr>
                <w:rFonts w:cs="Times New Roman"/>
                <w:color w:val="000000"/>
                <w:sz w:val="20"/>
                <w:szCs w:val="20"/>
                <w:lang w:val="en-CA"/>
              </w:rPr>
              <w:t> </w:t>
            </w:r>
            <w:r w:rsidRPr="00C20600">
              <w:rPr>
                <w:rFonts w:cs="Times New Roman"/>
                <w:color w:val="000000"/>
                <w:sz w:val="20"/>
                <w:szCs w:val="20"/>
                <w:lang w:val="en-CA"/>
              </w:rPr>
              <w:t>295</w:t>
            </w:r>
            <w:r>
              <w:rPr>
                <w:rFonts w:cs="Times New Roman"/>
                <w:color w:val="000000"/>
                <w:sz w:val="20"/>
                <w:szCs w:val="20"/>
                <w:lang w:val="en-CA"/>
              </w:rPr>
              <w:t>,</w:t>
            </w:r>
            <w:r w:rsidRPr="00C20600">
              <w:rPr>
                <w:rFonts w:cs="Times New Roman"/>
                <w:color w:val="000000"/>
                <w:sz w:val="20"/>
                <w:szCs w:val="20"/>
                <w:lang w:val="en-CA"/>
              </w:rPr>
              <w:t>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35B6CAC1"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408D2C4C"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4</w:t>
            </w:r>
            <w:r>
              <w:rPr>
                <w:rFonts w:cs="Times New Roman"/>
                <w:color w:val="000000"/>
                <w:sz w:val="20"/>
                <w:szCs w:val="20"/>
                <w:lang w:val="en-CA"/>
              </w:rPr>
              <w:t> </w:t>
            </w:r>
            <w:r w:rsidRPr="00C20600">
              <w:rPr>
                <w:rFonts w:cs="Times New Roman"/>
                <w:color w:val="000000"/>
                <w:sz w:val="20"/>
                <w:szCs w:val="20"/>
                <w:lang w:val="en-CA"/>
              </w:rPr>
              <w:t>878</w:t>
            </w:r>
            <w:r>
              <w:rPr>
                <w:rFonts w:cs="Times New Roman"/>
                <w:color w:val="000000"/>
                <w:sz w:val="20"/>
                <w:szCs w:val="20"/>
                <w:lang w:val="en-CA"/>
              </w:rPr>
              <w:t>,</w:t>
            </w:r>
            <w:r w:rsidRPr="00C20600">
              <w:rPr>
                <w:rFonts w:cs="Times New Roman"/>
                <w:color w:val="000000"/>
                <w:sz w:val="20"/>
                <w:szCs w:val="20"/>
                <w:lang w:val="en-CA"/>
              </w:rPr>
              <w:t>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02E945D1"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4A280D1C"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D8BCF20" w14:textId="77777777" w:rsidR="00720BA7" w:rsidRPr="00C20600" w:rsidRDefault="00720BA7" w:rsidP="002807D2">
            <w:pPr>
              <w:pStyle w:val="NoSpacing"/>
              <w:keepNext/>
              <w:keepLines/>
              <w:jc w:val="right"/>
              <w:rPr>
                <w:rFonts w:cs="Times New Roman"/>
                <w:color w:val="000000" w:themeColor="text1"/>
                <w:sz w:val="20"/>
                <w:szCs w:val="20"/>
                <w:lang w:val="en-CA"/>
              </w:rPr>
            </w:pPr>
            <w:r w:rsidRPr="00C20600">
              <w:rPr>
                <w:rFonts w:cs="Times New Roman"/>
                <w:color w:val="000000"/>
                <w:sz w:val="20"/>
                <w:szCs w:val="20"/>
                <w:lang w:val="en-CA"/>
              </w:rPr>
              <w:t>6</w:t>
            </w:r>
            <w:r>
              <w:rPr>
                <w:rFonts w:cs="Times New Roman"/>
                <w:color w:val="000000"/>
                <w:sz w:val="20"/>
                <w:szCs w:val="20"/>
                <w:lang w:val="en-CA"/>
              </w:rPr>
              <w:t> </w:t>
            </w:r>
            <w:r w:rsidRPr="00C20600">
              <w:rPr>
                <w:rFonts w:cs="Times New Roman"/>
                <w:color w:val="000000"/>
                <w:sz w:val="20"/>
                <w:szCs w:val="20"/>
                <w:lang w:val="en-CA"/>
              </w:rPr>
              <w:t>173</w:t>
            </w:r>
            <w:r>
              <w:rPr>
                <w:rFonts w:cs="Times New Roman"/>
                <w:color w:val="000000"/>
                <w:sz w:val="20"/>
                <w:szCs w:val="20"/>
                <w:lang w:val="en-CA"/>
              </w:rPr>
              <w:t>,</w:t>
            </w:r>
            <w:r w:rsidRPr="00C20600">
              <w:rPr>
                <w:rFonts w:cs="Times New Roman"/>
                <w:color w:val="000000"/>
                <w:sz w:val="20"/>
                <w:szCs w:val="20"/>
                <w:lang w:val="en-CA"/>
              </w:rPr>
              <w:t>0</w:t>
            </w:r>
          </w:p>
        </w:tc>
      </w:tr>
      <w:tr w:rsidR="00720BA7" w:rsidRPr="00C20600" w14:paraId="61EED9CC" w14:textId="77777777" w:rsidTr="002807D2">
        <w:trPr>
          <w:trHeight w:val="20"/>
        </w:trPr>
        <w:tc>
          <w:tcPr>
            <w:tcW w:w="1197" w:type="pct"/>
            <w:tcBorders>
              <w:top w:val="single" w:sz="4" w:space="0" w:color="auto"/>
              <w:left w:val="single" w:sz="4" w:space="0" w:color="auto"/>
              <w:bottom w:val="single" w:sz="4" w:space="0" w:color="auto"/>
              <w:right w:val="single" w:sz="4" w:space="0" w:color="auto"/>
            </w:tcBorders>
          </w:tcPr>
          <w:p w14:paraId="4FD6C2C4" w14:textId="77777777" w:rsidR="00720BA7" w:rsidRPr="00720BA7" w:rsidRDefault="00720BA7" w:rsidP="00720BA7">
            <w:pPr>
              <w:pStyle w:val="NoSpacing"/>
              <w:jc w:val="left"/>
              <w:rPr>
                <w:rFonts w:cs="Times New Roman"/>
                <w:color w:val="000000" w:themeColor="text1"/>
                <w:sz w:val="20"/>
                <w:szCs w:val="20"/>
                <w:lang w:val="fr-CA"/>
              </w:rPr>
            </w:pPr>
            <w:r w:rsidRPr="00960033">
              <w:rPr>
                <w:rFonts w:cs="Times New Roman"/>
                <w:color w:val="000000" w:themeColor="text1"/>
                <w:sz w:val="20"/>
                <w:szCs w:val="20"/>
                <w:lang w:val="fr-FR" w:eastAsia="ja-JP"/>
              </w:rPr>
              <w:t>Chauffe-eau à pompe à chaleur</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CFAB48A"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553</w:t>
            </w:r>
            <w:r>
              <w:rPr>
                <w:rFonts w:cs="Times New Roman"/>
                <w:color w:val="000000"/>
                <w:sz w:val="20"/>
                <w:szCs w:val="20"/>
                <w:lang w:val="en-CA"/>
              </w:rPr>
              <w:t>,</w:t>
            </w:r>
            <w:r w:rsidRPr="00C20600">
              <w:rPr>
                <w:rFonts w:cs="Times New Roman"/>
                <w:color w:val="000000"/>
                <w:sz w:val="20"/>
                <w:szCs w:val="20"/>
                <w:lang w:val="en-CA"/>
              </w:rPr>
              <w:t>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38ECFC15"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68F8578"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B00569C"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706</w:t>
            </w:r>
            <w:r>
              <w:rPr>
                <w:rFonts w:cs="Times New Roman"/>
                <w:color w:val="000000"/>
                <w:sz w:val="20"/>
                <w:szCs w:val="20"/>
                <w:lang w:val="en-CA"/>
              </w:rPr>
              <w:t>,</w:t>
            </w:r>
            <w:r w:rsidRPr="00C20600">
              <w:rPr>
                <w:rFonts w:cs="Times New Roman"/>
                <w:color w:val="000000"/>
                <w:sz w:val="20"/>
                <w:szCs w:val="20"/>
                <w:lang w:val="en-CA"/>
              </w:rPr>
              <w:t>7</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7078EFD"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805648A"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1</w:t>
            </w:r>
            <w:r>
              <w:rPr>
                <w:rFonts w:cs="Times New Roman"/>
                <w:color w:val="000000"/>
                <w:sz w:val="20"/>
                <w:szCs w:val="20"/>
                <w:lang w:val="en-CA"/>
              </w:rPr>
              <w:t> </w:t>
            </w:r>
            <w:r w:rsidRPr="00C20600">
              <w:rPr>
                <w:rFonts w:cs="Times New Roman"/>
                <w:color w:val="000000"/>
                <w:sz w:val="20"/>
                <w:szCs w:val="20"/>
                <w:lang w:val="en-CA"/>
              </w:rPr>
              <w:t>259</w:t>
            </w:r>
            <w:r>
              <w:rPr>
                <w:rFonts w:cs="Times New Roman"/>
                <w:color w:val="000000"/>
                <w:sz w:val="20"/>
                <w:szCs w:val="20"/>
                <w:lang w:val="en-CA"/>
              </w:rPr>
              <w:t>,</w:t>
            </w:r>
            <w:r w:rsidRPr="00C20600">
              <w:rPr>
                <w:rFonts w:cs="Times New Roman"/>
                <w:color w:val="000000"/>
                <w:sz w:val="20"/>
                <w:szCs w:val="20"/>
                <w:lang w:val="en-CA"/>
              </w:rPr>
              <w:t>7</w:t>
            </w:r>
          </w:p>
        </w:tc>
      </w:tr>
      <w:tr w:rsidR="00720BA7" w:rsidRPr="00C20600" w14:paraId="73868C07" w14:textId="77777777" w:rsidTr="002807D2">
        <w:trPr>
          <w:trHeight w:val="20"/>
        </w:trPr>
        <w:tc>
          <w:tcPr>
            <w:tcW w:w="1197" w:type="pct"/>
            <w:tcBorders>
              <w:top w:val="single" w:sz="4" w:space="0" w:color="auto"/>
              <w:left w:val="single" w:sz="4" w:space="0" w:color="auto"/>
              <w:bottom w:val="single" w:sz="4" w:space="0" w:color="auto"/>
              <w:right w:val="single" w:sz="4" w:space="0" w:color="auto"/>
            </w:tcBorders>
          </w:tcPr>
          <w:p w14:paraId="232654E2" w14:textId="77777777" w:rsidR="00720BA7" w:rsidRPr="00960033" w:rsidRDefault="00720BA7" w:rsidP="00720BA7">
            <w:pPr>
              <w:pStyle w:val="NoSpacing"/>
              <w:jc w:val="left"/>
              <w:rPr>
                <w:rFonts w:cs="Times New Roman"/>
                <w:color w:val="000000" w:themeColor="text1"/>
                <w:sz w:val="20"/>
                <w:szCs w:val="20"/>
                <w:lang w:val="en-CA"/>
              </w:rPr>
            </w:pPr>
            <w:r w:rsidRPr="00960033">
              <w:rPr>
                <w:rFonts w:cs="Times New Roman"/>
                <w:color w:val="000000" w:themeColor="text1"/>
                <w:sz w:val="20"/>
                <w:szCs w:val="20"/>
                <w:lang w:val="fr-FR" w:eastAsia="ja-JP"/>
              </w:rPr>
              <w:t>Climatiseurs individuels</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1093198D"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3</w:t>
            </w:r>
            <w:r>
              <w:rPr>
                <w:rFonts w:cs="Times New Roman"/>
                <w:color w:val="000000"/>
                <w:sz w:val="20"/>
                <w:szCs w:val="20"/>
                <w:lang w:val="en-CA"/>
              </w:rPr>
              <w:t> </w:t>
            </w:r>
            <w:r w:rsidRPr="00C20600">
              <w:rPr>
                <w:rFonts w:cs="Times New Roman"/>
                <w:color w:val="000000"/>
                <w:sz w:val="20"/>
                <w:szCs w:val="20"/>
                <w:lang w:val="en-CA"/>
              </w:rPr>
              <w:t>934</w:t>
            </w:r>
            <w:r>
              <w:rPr>
                <w:rFonts w:cs="Times New Roman"/>
                <w:color w:val="000000"/>
                <w:sz w:val="20"/>
                <w:szCs w:val="20"/>
                <w:lang w:val="en-CA"/>
              </w:rPr>
              <w:t>,</w:t>
            </w:r>
            <w:r w:rsidRPr="00C20600">
              <w:rPr>
                <w:rFonts w:cs="Times New Roman"/>
                <w:color w:val="000000"/>
                <w:sz w:val="20"/>
                <w:szCs w:val="20"/>
                <w:lang w:val="en-CA"/>
              </w:rPr>
              <w:t>0</w:t>
            </w:r>
          </w:p>
        </w:tc>
        <w:tc>
          <w:tcPr>
            <w:tcW w:w="43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647F995"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74"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423EAE48"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9B0E262"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760"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11E9CED4"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0</w:t>
            </w:r>
            <w:r>
              <w:rPr>
                <w:rFonts w:cs="Times New Roman"/>
                <w:color w:val="000000"/>
                <w:sz w:val="20"/>
                <w:szCs w:val="20"/>
                <w:lang w:val="en-CA"/>
              </w:rPr>
              <w:t>,</w:t>
            </w:r>
            <w:r w:rsidRPr="00C20600">
              <w:rPr>
                <w:rFonts w:cs="Times New Roman"/>
                <w:color w:val="000000"/>
                <w:sz w:val="20"/>
                <w:szCs w:val="20"/>
                <w:lang w:val="en-CA"/>
              </w:rPr>
              <w:t>0</w:t>
            </w:r>
          </w:p>
        </w:tc>
        <w:tc>
          <w:tcPr>
            <w:tcW w:w="633" w:type="pct"/>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1B04CFE" w14:textId="77777777" w:rsidR="00720BA7" w:rsidRPr="00C20600" w:rsidRDefault="00720BA7" w:rsidP="002807D2">
            <w:pPr>
              <w:pStyle w:val="NoSpacing"/>
              <w:jc w:val="right"/>
              <w:rPr>
                <w:rFonts w:cs="Times New Roman"/>
                <w:color w:val="000000" w:themeColor="text1"/>
                <w:sz w:val="20"/>
                <w:szCs w:val="20"/>
                <w:lang w:val="en-CA"/>
              </w:rPr>
            </w:pPr>
            <w:r w:rsidRPr="00C20600">
              <w:rPr>
                <w:rFonts w:cs="Times New Roman"/>
                <w:color w:val="000000"/>
                <w:sz w:val="20"/>
                <w:szCs w:val="20"/>
                <w:lang w:val="en-CA"/>
              </w:rPr>
              <w:t>3</w:t>
            </w:r>
            <w:r>
              <w:rPr>
                <w:rFonts w:cs="Times New Roman"/>
                <w:color w:val="000000"/>
                <w:sz w:val="20"/>
                <w:szCs w:val="20"/>
                <w:lang w:val="en-CA"/>
              </w:rPr>
              <w:t> </w:t>
            </w:r>
            <w:r w:rsidRPr="00C20600">
              <w:rPr>
                <w:rFonts w:cs="Times New Roman"/>
                <w:color w:val="000000"/>
                <w:sz w:val="20"/>
                <w:szCs w:val="20"/>
                <w:lang w:val="en-CA"/>
              </w:rPr>
              <w:t>934</w:t>
            </w:r>
            <w:r>
              <w:rPr>
                <w:rFonts w:cs="Times New Roman"/>
                <w:color w:val="000000"/>
                <w:sz w:val="20"/>
                <w:szCs w:val="20"/>
                <w:lang w:val="en-CA"/>
              </w:rPr>
              <w:t>,</w:t>
            </w:r>
            <w:r w:rsidRPr="00C20600">
              <w:rPr>
                <w:rFonts w:cs="Times New Roman"/>
                <w:color w:val="000000"/>
                <w:sz w:val="20"/>
                <w:szCs w:val="20"/>
                <w:lang w:val="en-CA"/>
              </w:rPr>
              <w:t>0</w:t>
            </w:r>
          </w:p>
        </w:tc>
      </w:tr>
      <w:tr w:rsidR="00720BA7" w:rsidRPr="00C20600" w14:paraId="39A51EB8" w14:textId="77777777" w:rsidTr="002807D2">
        <w:trPr>
          <w:trHeight w:val="44"/>
        </w:trPr>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0BB6EDFE" w14:textId="77777777" w:rsidR="00720BA7" w:rsidRPr="00960033" w:rsidRDefault="00720BA7" w:rsidP="00720BA7">
            <w:pPr>
              <w:pStyle w:val="NoSpacing"/>
              <w:jc w:val="left"/>
              <w:rPr>
                <w:rFonts w:cs="Times New Roman"/>
                <w:b/>
                <w:color w:val="000000" w:themeColor="text1"/>
                <w:sz w:val="20"/>
                <w:szCs w:val="20"/>
                <w:lang w:val="en-CA"/>
              </w:rPr>
            </w:pPr>
            <w:r w:rsidRPr="00960033">
              <w:rPr>
                <w:rFonts w:cs="Times New Roman"/>
                <w:b/>
                <w:color w:val="000000" w:themeColor="text1"/>
                <w:sz w:val="20"/>
                <w:szCs w:val="20"/>
                <w:lang w:val="fr-FR"/>
              </w:rPr>
              <w:t>Total</w:t>
            </w:r>
          </w:p>
        </w:tc>
        <w:tc>
          <w:tcPr>
            <w:tcW w:w="633"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03D4F016" w14:textId="77777777" w:rsidR="00720BA7" w:rsidRPr="00C20600" w:rsidRDefault="00720BA7" w:rsidP="002807D2">
            <w:pPr>
              <w:pStyle w:val="NoSpacing"/>
              <w:jc w:val="right"/>
              <w:rPr>
                <w:rFonts w:cs="Times New Roman"/>
                <w:b/>
                <w:color w:val="000000" w:themeColor="text1"/>
                <w:sz w:val="20"/>
                <w:szCs w:val="20"/>
                <w:lang w:val="en-CA"/>
              </w:rPr>
            </w:pPr>
            <w:r w:rsidRPr="00C20600">
              <w:rPr>
                <w:rFonts w:cs="Times New Roman"/>
                <w:b/>
                <w:color w:val="000000"/>
                <w:sz w:val="20"/>
                <w:szCs w:val="20"/>
                <w:lang w:val="en-CA"/>
              </w:rPr>
              <w:t>5</w:t>
            </w:r>
            <w:r>
              <w:rPr>
                <w:rFonts w:cs="Times New Roman"/>
                <w:b/>
                <w:color w:val="000000"/>
                <w:sz w:val="20"/>
                <w:szCs w:val="20"/>
                <w:lang w:val="en-CA"/>
              </w:rPr>
              <w:t> </w:t>
            </w:r>
            <w:r w:rsidRPr="00C20600">
              <w:rPr>
                <w:rFonts w:cs="Times New Roman"/>
                <w:b/>
                <w:color w:val="000000"/>
                <w:sz w:val="20"/>
                <w:szCs w:val="20"/>
                <w:lang w:val="en-CA"/>
              </w:rPr>
              <w:t>782</w:t>
            </w:r>
            <w:r>
              <w:rPr>
                <w:rFonts w:cs="Times New Roman"/>
                <w:b/>
                <w:color w:val="000000"/>
                <w:sz w:val="20"/>
                <w:szCs w:val="20"/>
                <w:lang w:val="en-CA"/>
              </w:rPr>
              <w:t>,</w:t>
            </w:r>
            <w:r w:rsidRPr="00C20600">
              <w:rPr>
                <w:rFonts w:cs="Times New Roman"/>
                <w:b/>
                <w:color w:val="000000"/>
                <w:sz w:val="20"/>
                <w:szCs w:val="20"/>
                <w:lang w:val="en-CA"/>
              </w:rPr>
              <w:t>0</w:t>
            </w:r>
          </w:p>
        </w:tc>
        <w:tc>
          <w:tcPr>
            <w:tcW w:w="430"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1B0B220F" w14:textId="77777777" w:rsidR="00720BA7" w:rsidRPr="00C20600" w:rsidRDefault="00720BA7" w:rsidP="002807D2">
            <w:pPr>
              <w:pStyle w:val="NoSpacing"/>
              <w:jc w:val="right"/>
              <w:rPr>
                <w:rFonts w:cs="Times New Roman"/>
                <w:b/>
                <w:color w:val="000000" w:themeColor="text1"/>
                <w:sz w:val="20"/>
                <w:szCs w:val="20"/>
                <w:lang w:val="en-CA"/>
              </w:rPr>
            </w:pPr>
            <w:r w:rsidRPr="00C20600">
              <w:rPr>
                <w:rFonts w:cs="Times New Roman"/>
                <w:b/>
                <w:color w:val="000000"/>
                <w:sz w:val="20"/>
                <w:szCs w:val="20"/>
                <w:lang w:val="en-CA"/>
              </w:rPr>
              <w:t>812</w:t>
            </w:r>
            <w:r>
              <w:rPr>
                <w:rFonts w:cs="Times New Roman"/>
                <w:b/>
                <w:color w:val="000000"/>
                <w:sz w:val="20"/>
                <w:szCs w:val="20"/>
                <w:lang w:val="en-CA"/>
              </w:rPr>
              <w:t>,</w:t>
            </w:r>
            <w:r w:rsidRPr="00C20600">
              <w:rPr>
                <w:rFonts w:cs="Times New Roman"/>
                <w:b/>
                <w:color w:val="000000"/>
                <w:sz w:val="20"/>
                <w:szCs w:val="20"/>
                <w:lang w:val="en-CA"/>
              </w:rPr>
              <w:t>7</w:t>
            </w:r>
          </w:p>
        </w:tc>
        <w:tc>
          <w:tcPr>
            <w:tcW w:w="674"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1526576B" w14:textId="77777777" w:rsidR="00720BA7" w:rsidRPr="00C20600" w:rsidRDefault="00720BA7" w:rsidP="002807D2">
            <w:pPr>
              <w:pStyle w:val="NoSpacing"/>
              <w:jc w:val="right"/>
              <w:rPr>
                <w:rFonts w:cs="Times New Roman"/>
                <w:b/>
                <w:color w:val="000000" w:themeColor="text1"/>
                <w:sz w:val="20"/>
                <w:szCs w:val="20"/>
                <w:lang w:val="en-CA"/>
              </w:rPr>
            </w:pPr>
            <w:r w:rsidRPr="00C20600">
              <w:rPr>
                <w:rFonts w:cs="Times New Roman"/>
                <w:b/>
                <w:color w:val="000000"/>
                <w:sz w:val="20"/>
                <w:szCs w:val="20"/>
                <w:lang w:val="en-CA"/>
              </w:rPr>
              <w:t>12</w:t>
            </w:r>
            <w:r>
              <w:rPr>
                <w:rFonts w:cs="Times New Roman"/>
                <w:b/>
                <w:color w:val="000000"/>
                <w:sz w:val="20"/>
                <w:szCs w:val="20"/>
                <w:lang w:val="en-CA"/>
              </w:rPr>
              <w:t> </w:t>
            </w:r>
            <w:r w:rsidRPr="00C20600">
              <w:rPr>
                <w:rFonts w:cs="Times New Roman"/>
                <w:b/>
                <w:color w:val="000000"/>
                <w:sz w:val="20"/>
                <w:szCs w:val="20"/>
                <w:lang w:val="en-CA"/>
              </w:rPr>
              <w:t>200</w:t>
            </w:r>
            <w:r>
              <w:rPr>
                <w:rFonts w:cs="Times New Roman"/>
                <w:b/>
                <w:color w:val="000000"/>
                <w:sz w:val="20"/>
                <w:szCs w:val="20"/>
                <w:lang w:val="en-CA"/>
              </w:rPr>
              <w:t>,</w:t>
            </w:r>
            <w:r w:rsidRPr="00C20600">
              <w:rPr>
                <w:rFonts w:cs="Times New Roman"/>
                <w:b/>
                <w:color w:val="000000"/>
                <w:sz w:val="20"/>
                <w:szCs w:val="20"/>
                <w:lang w:val="en-C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7AF45FA9" w14:textId="77777777" w:rsidR="00720BA7" w:rsidRPr="00C20600" w:rsidRDefault="00720BA7" w:rsidP="002807D2">
            <w:pPr>
              <w:pStyle w:val="NoSpacing"/>
              <w:jc w:val="right"/>
              <w:rPr>
                <w:rFonts w:cs="Times New Roman"/>
                <w:b/>
                <w:color w:val="000000" w:themeColor="text1"/>
                <w:sz w:val="20"/>
                <w:szCs w:val="20"/>
                <w:lang w:val="en-CA"/>
              </w:rPr>
            </w:pPr>
            <w:r w:rsidRPr="00C20600">
              <w:rPr>
                <w:rFonts w:cs="Times New Roman"/>
                <w:b/>
                <w:color w:val="000000"/>
                <w:sz w:val="20"/>
                <w:szCs w:val="20"/>
                <w:lang w:val="en-CA"/>
              </w:rPr>
              <w:t>706</w:t>
            </w:r>
            <w:r>
              <w:rPr>
                <w:rFonts w:cs="Times New Roman"/>
                <w:b/>
                <w:color w:val="000000"/>
                <w:sz w:val="20"/>
                <w:szCs w:val="20"/>
                <w:lang w:val="en-CA"/>
              </w:rPr>
              <w:t>,</w:t>
            </w:r>
            <w:r w:rsidRPr="00C20600">
              <w:rPr>
                <w:rFonts w:cs="Times New Roman"/>
                <w:b/>
                <w:color w:val="000000"/>
                <w:sz w:val="20"/>
                <w:szCs w:val="20"/>
                <w:lang w:val="en-CA"/>
              </w:rPr>
              <w:t>7</w:t>
            </w:r>
          </w:p>
        </w:tc>
        <w:tc>
          <w:tcPr>
            <w:tcW w:w="760"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0C06D4A7" w14:textId="77777777" w:rsidR="00720BA7" w:rsidRPr="00C20600" w:rsidRDefault="00720BA7" w:rsidP="002807D2">
            <w:pPr>
              <w:pStyle w:val="NoSpacing"/>
              <w:jc w:val="right"/>
              <w:rPr>
                <w:rFonts w:cs="Times New Roman"/>
                <w:b/>
                <w:color w:val="000000" w:themeColor="text1"/>
                <w:sz w:val="20"/>
                <w:szCs w:val="20"/>
                <w:lang w:val="en-CA"/>
              </w:rPr>
            </w:pPr>
            <w:r w:rsidRPr="00C20600">
              <w:rPr>
                <w:rFonts w:cs="Times New Roman"/>
                <w:b/>
                <w:color w:val="000000"/>
                <w:sz w:val="20"/>
                <w:szCs w:val="20"/>
                <w:lang w:val="en-CA"/>
              </w:rPr>
              <w:t>5</w:t>
            </w:r>
            <w:r>
              <w:rPr>
                <w:rFonts w:cs="Times New Roman"/>
                <w:b/>
                <w:color w:val="000000"/>
                <w:sz w:val="20"/>
                <w:szCs w:val="20"/>
                <w:lang w:val="en-CA"/>
              </w:rPr>
              <w:t> </w:t>
            </w:r>
            <w:r w:rsidRPr="00C20600">
              <w:rPr>
                <w:rFonts w:cs="Times New Roman"/>
                <w:b/>
                <w:color w:val="000000"/>
                <w:sz w:val="20"/>
                <w:szCs w:val="20"/>
                <w:lang w:val="en-CA"/>
              </w:rPr>
              <w:t>396</w:t>
            </w:r>
            <w:r>
              <w:rPr>
                <w:rFonts w:cs="Times New Roman"/>
                <w:b/>
                <w:color w:val="000000"/>
                <w:sz w:val="20"/>
                <w:szCs w:val="20"/>
                <w:lang w:val="en-CA"/>
              </w:rPr>
              <w:t>,</w:t>
            </w:r>
            <w:r w:rsidRPr="00C20600">
              <w:rPr>
                <w:rFonts w:cs="Times New Roman"/>
                <w:b/>
                <w:color w:val="000000"/>
                <w:sz w:val="20"/>
                <w:szCs w:val="20"/>
                <w:lang w:val="en-CA"/>
              </w:rPr>
              <w:t>8</w:t>
            </w:r>
          </w:p>
        </w:tc>
        <w:tc>
          <w:tcPr>
            <w:tcW w:w="633" w:type="pct"/>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center"/>
          </w:tcPr>
          <w:p w14:paraId="7D18C0B0" w14:textId="77777777" w:rsidR="00720BA7" w:rsidRPr="00C20600" w:rsidRDefault="00720BA7" w:rsidP="002807D2">
            <w:pPr>
              <w:pStyle w:val="NoSpacing"/>
              <w:jc w:val="right"/>
              <w:rPr>
                <w:rFonts w:cs="Times New Roman"/>
                <w:b/>
                <w:color w:val="000000" w:themeColor="text1"/>
                <w:sz w:val="20"/>
                <w:szCs w:val="20"/>
                <w:lang w:val="en-CA"/>
              </w:rPr>
            </w:pPr>
            <w:r w:rsidRPr="00C20600">
              <w:rPr>
                <w:rFonts w:cs="Times New Roman"/>
                <w:b/>
                <w:color w:val="000000"/>
                <w:sz w:val="20"/>
                <w:szCs w:val="20"/>
                <w:lang w:val="en-CA"/>
              </w:rPr>
              <w:t>24</w:t>
            </w:r>
            <w:r>
              <w:rPr>
                <w:rFonts w:cs="Times New Roman"/>
                <w:b/>
                <w:color w:val="000000"/>
                <w:sz w:val="20"/>
                <w:szCs w:val="20"/>
                <w:lang w:val="en-CA"/>
              </w:rPr>
              <w:t> </w:t>
            </w:r>
            <w:r w:rsidRPr="00C20600">
              <w:rPr>
                <w:rFonts w:cs="Times New Roman"/>
                <w:b/>
                <w:color w:val="000000"/>
                <w:sz w:val="20"/>
                <w:szCs w:val="20"/>
                <w:lang w:val="en-CA"/>
              </w:rPr>
              <w:t>898</w:t>
            </w:r>
            <w:r>
              <w:rPr>
                <w:rFonts w:cs="Times New Roman"/>
                <w:b/>
                <w:color w:val="000000"/>
                <w:sz w:val="20"/>
                <w:szCs w:val="20"/>
                <w:lang w:val="en-CA"/>
              </w:rPr>
              <w:t>,</w:t>
            </w:r>
            <w:r w:rsidRPr="00C20600">
              <w:rPr>
                <w:rFonts w:cs="Times New Roman"/>
                <w:b/>
                <w:color w:val="000000"/>
                <w:sz w:val="20"/>
                <w:szCs w:val="20"/>
                <w:lang w:val="en-CA"/>
              </w:rPr>
              <w:t>2</w:t>
            </w:r>
          </w:p>
        </w:tc>
      </w:tr>
    </w:tbl>
    <w:p w14:paraId="0E983936" w14:textId="77777777" w:rsidR="00720BA7" w:rsidRPr="00C20600" w:rsidRDefault="00720BA7" w:rsidP="00720BA7">
      <w:pPr>
        <w:rPr>
          <w:lang w:val="en-CA"/>
        </w:rPr>
      </w:pPr>
    </w:p>
    <w:p w14:paraId="00D78139" w14:textId="77777777" w:rsidR="00720BA7" w:rsidRPr="00720BA7" w:rsidRDefault="00720BA7" w:rsidP="00720BA7">
      <w:pPr>
        <w:rPr>
          <w:u w:val="single"/>
          <w:lang w:val="fr-CA"/>
        </w:rPr>
      </w:pPr>
      <w:r w:rsidRPr="00960033">
        <w:rPr>
          <w:u w:val="single"/>
          <w:lang w:val="fr-FR"/>
        </w:rPr>
        <w:t xml:space="preserve">Total des coûts requis pour la phase II révisée et prolongée du plan du secteur </w:t>
      </w:r>
      <w:r>
        <w:rPr>
          <w:u w:val="single"/>
          <w:lang w:val="fr-FR"/>
        </w:rPr>
        <w:t>ICR</w:t>
      </w:r>
      <w:r w:rsidRPr="00960033">
        <w:rPr>
          <w:u w:val="single"/>
          <w:lang w:val="fr-FR"/>
        </w:rPr>
        <w:t xml:space="preserve"> </w:t>
      </w:r>
    </w:p>
    <w:p w14:paraId="66850873" w14:textId="77777777" w:rsidR="00720BA7" w:rsidRPr="00720BA7" w:rsidRDefault="00720BA7" w:rsidP="00720BA7">
      <w:pPr>
        <w:rPr>
          <w:u w:val="single"/>
          <w:lang w:val="fr-CA"/>
        </w:rPr>
      </w:pPr>
    </w:p>
    <w:p w14:paraId="18A20C15" w14:textId="77777777" w:rsidR="00720BA7" w:rsidRPr="00720BA7" w:rsidRDefault="00720BA7" w:rsidP="00720BA7">
      <w:pPr>
        <w:pStyle w:val="Heading1"/>
        <w:rPr>
          <w:lang w:val="fr-CA"/>
        </w:rPr>
      </w:pPr>
      <w:r w:rsidRPr="00960033">
        <w:rPr>
          <w:lang w:val="fr-FR"/>
        </w:rPr>
        <w:t>Un récapitulatif des activités et de la répartition des coûts de la phase II révisée du plan du secteur de la réfrigération industrielle et commerciale est présenté au tableau 8.</w:t>
      </w:r>
    </w:p>
    <w:p w14:paraId="1BB63A94" w14:textId="77777777" w:rsidR="00720BA7" w:rsidRPr="00720BA7" w:rsidRDefault="00720BA7" w:rsidP="00720BA7">
      <w:pPr>
        <w:pStyle w:val="NoSpacing"/>
        <w:jc w:val="left"/>
        <w:rPr>
          <w:b/>
          <w:color w:val="000000" w:themeColor="text1"/>
          <w:sz w:val="22"/>
          <w:lang w:val="fr-CA"/>
        </w:rPr>
      </w:pPr>
      <w:r w:rsidRPr="00F971DC">
        <w:rPr>
          <w:b/>
          <w:color w:val="000000" w:themeColor="text1"/>
          <w:sz w:val="22"/>
          <w:lang w:val="fr-FR"/>
        </w:rPr>
        <w:t xml:space="preserve">Tableau 8. Activités et répartition des coûts de la phase II révisée du plan du secteur ICR </w:t>
      </w:r>
    </w:p>
    <w:tbl>
      <w:tblPr>
        <w:tblStyle w:val="TableGrid"/>
        <w:tblW w:w="5000" w:type="pct"/>
        <w:tblLayout w:type="fixed"/>
        <w:tblLook w:val="04A0" w:firstRow="1" w:lastRow="0" w:firstColumn="1" w:lastColumn="0" w:noHBand="0" w:noVBand="1"/>
      </w:tblPr>
      <w:tblGrid>
        <w:gridCol w:w="7011"/>
        <w:gridCol w:w="2339"/>
      </w:tblGrid>
      <w:tr w:rsidR="00720BA7" w:rsidRPr="00C20600" w14:paraId="343D3BEE" w14:textId="77777777" w:rsidTr="00720BA7">
        <w:trPr>
          <w:trHeight w:val="200"/>
          <w:tblHeader/>
        </w:trPr>
        <w:tc>
          <w:tcPr>
            <w:tcW w:w="3749" w:type="pct"/>
            <w:vAlign w:val="center"/>
          </w:tcPr>
          <w:p w14:paraId="38F1F50A" w14:textId="77777777" w:rsidR="00720BA7" w:rsidRPr="00473604" w:rsidRDefault="00720BA7" w:rsidP="00720BA7">
            <w:pPr>
              <w:pStyle w:val="NoSpacing"/>
              <w:jc w:val="left"/>
              <w:rPr>
                <w:b/>
                <w:color w:val="000000" w:themeColor="text1"/>
                <w:sz w:val="20"/>
                <w:lang w:val="en-CA"/>
              </w:rPr>
            </w:pPr>
            <w:r w:rsidRPr="00473604">
              <w:rPr>
                <w:b/>
                <w:color w:val="000000" w:themeColor="text1"/>
                <w:sz w:val="20"/>
                <w:lang w:val="fr-FR"/>
              </w:rPr>
              <w:t>Description</w:t>
            </w:r>
          </w:p>
        </w:tc>
        <w:tc>
          <w:tcPr>
            <w:tcW w:w="1251" w:type="pct"/>
            <w:vAlign w:val="center"/>
          </w:tcPr>
          <w:p w14:paraId="35526018" w14:textId="77777777" w:rsidR="00720BA7" w:rsidRPr="00473604" w:rsidRDefault="00720BA7" w:rsidP="00720BA7">
            <w:pPr>
              <w:pStyle w:val="NoSpacing"/>
              <w:jc w:val="center"/>
              <w:rPr>
                <w:color w:val="000000" w:themeColor="text1"/>
                <w:sz w:val="20"/>
                <w:lang w:val="en-CA"/>
              </w:rPr>
            </w:pPr>
            <w:r w:rsidRPr="00473604">
              <w:rPr>
                <w:b/>
                <w:color w:val="000000" w:themeColor="text1"/>
                <w:sz w:val="20"/>
                <w:lang w:val="fr-FR"/>
              </w:rPr>
              <w:t>Financement ($US)</w:t>
            </w:r>
          </w:p>
        </w:tc>
      </w:tr>
      <w:tr w:rsidR="00720BA7" w:rsidRPr="00C20600" w14:paraId="1FB5F329" w14:textId="77777777" w:rsidTr="00720BA7">
        <w:trPr>
          <w:trHeight w:val="200"/>
        </w:trPr>
        <w:tc>
          <w:tcPr>
            <w:tcW w:w="3749" w:type="pct"/>
            <w:vAlign w:val="center"/>
          </w:tcPr>
          <w:p w14:paraId="2C30F0AE" w14:textId="77777777" w:rsidR="00720BA7" w:rsidRPr="00473604" w:rsidRDefault="00720BA7" w:rsidP="00720BA7">
            <w:pPr>
              <w:pStyle w:val="NoSpacing"/>
              <w:jc w:val="left"/>
              <w:rPr>
                <w:b/>
                <w:color w:val="000000" w:themeColor="text1"/>
                <w:sz w:val="20"/>
                <w:lang w:val="en-CA"/>
              </w:rPr>
            </w:pPr>
            <w:r w:rsidRPr="00473604">
              <w:rPr>
                <w:b/>
                <w:color w:val="000000" w:themeColor="text1"/>
                <w:sz w:val="20"/>
                <w:lang w:val="fr-FR"/>
              </w:rPr>
              <w:t>Projet</w:t>
            </w:r>
            <w:r>
              <w:rPr>
                <w:b/>
                <w:color w:val="000000" w:themeColor="text1"/>
                <w:sz w:val="20"/>
                <w:lang w:val="fr-FR"/>
              </w:rPr>
              <w:t>s</w:t>
            </w:r>
            <w:r w:rsidRPr="00473604">
              <w:rPr>
                <w:b/>
                <w:color w:val="000000" w:themeColor="text1"/>
                <w:sz w:val="20"/>
                <w:lang w:val="fr-FR"/>
              </w:rPr>
              <w:t xml:space="preserve"> de reconversion</w:t>
            </w:r>
          </w:p>
        </w:tc>
        <w:tc>
          <w:tcPr>
            <w:tcW w:w="1251" w:type="pct"/>
            <w:vAlign w:val="center"/>
          </w:tcPr>
          <w:p w14:paraId="6C8E072B" w14:textId="77777777" w:rsidR="00720BA7" w:rsidRPr="00C20600" w:rsidRDefault="00720BA7" w:rsidP="00720BA7">
            <w:pPr>
              <w:pStyle w:val="NoSpacing"/>
              <w:jc w:val="right"/>
              <w:rPr>
                <w:color w:val="000000" w:themeColor="text1"/>
                <w:sz w:val="20"/>
                <w:lang w:val="en-CA"/>
              </w:rPr>
            </w:pPr>
          </w:p>
        </w:tc>
      </w:tr>
      <w:tr w:rsidR="00720BA7" w:rsidRPr="00C20600" w14:paraId="1B416D59" w14:textId="77777777" w:rsidTr="00720BA7">
        <w:trPr>
          <w:trHeight w:val="200"/>
        </w:trPr>
        <w:tc>
          <w:tcPr>
            <w:tcW w:w="3749" w:type="pct"/>
            <w:vAlign w:val="center"/>
          </w:tcPr>
          <w:p w14:paraId="223E2D29" w14:textId="77777777" w:rsidR="00720BA7" w:rsidRPr="00720BA7" w:rsidRDefault="00720BA7" w:rsidP="00720BA7">
            <w:pPr>
              <w:pStyle w:val="NoSpacing"/>
              <w:jc w:val="left"/>
              <w:rPr>
                <w:color w:val="000000" w:themeColor="text1"/>
                <w:sz w:val="20"/>
                <w:lang w:val="fr-CA"/>
              </w:rPr>
            </w:pPr>
            <w:r w:rsidRPr="00473604">
              <w:rPr>
                <w:color w:val="000000" w:themeColor="text1"/>
                <w:sz w:val="20"/>
                <w:lang w:val="fr-FR"/>
              </w:rPr>
              <w:t xml:space="preserve">Coût de la reconversion </w:t>
            </w:r>
            <w:r w:rsidRPr="009C3DF1">
              <w:rPr>
                <w:color w:val="000000" w:themeColor="text1"/>
                <w:sz w:val="20"/>
                <w:lang w:val="fr-FR"/>
              </w:rPr>
              <w:t>de deux chaînes de</w:t>
            </w:r>
            <w:r w:rsidRPr="00473604">
              <w:rPr>
                <w:color w:val="000000" w:themeColor="text1"/>
                <w:sz w:val="20"/>
                <w:lang w:val="fr-FR"/>
              </w:rPr>
              <w:t xml:space="preserve"> fabrication de compresseurs</w:t>
            </w:r>
          </w:p>
        </w:tc>
        <w:tc>
          <w:tcPr>
            <w:tcW w:w="1251" w:type="pct"/>
            <w:tcMar>
              <w:left w:w="115" w:type="dxa"/>
              <w:right w:w="216" w:type="dxa"/>
            </w:tcMar>
            <w:vAlign w:val="center"/>
          </w:tcPr>
          <w:p w14:paraId="46573963"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2</w:t>
            </w:r>
            <w:r>
              <w:rPr>
                <w:color w:val="000000" w:themeColor="text1"/>
                <w:sz w:val="20"/>
                <w:lang w:val="en-CA"/>
              </w:rPr>
              <w:t> </w:t>
            </w:r>
            <w:r w:rsidRPr="00C20600">
              <w:rPr>
                <w:color w:val="000000" w:themeColor="text1"/>
                <w:sz w:val="20"/>
                <w:lang w:val="en-CA"/>
              </w:rPr>
              <w:t>400</w:t>
            </w:r>
            <w:r>
              <w:rPr>
                <w:color w:val="000000" w:themeColor="text1"/>
                <w:sz w:val="20"/>
                <w:lang w:val="en-CA"/>
              </w:rPr>
              <w:t> </w:t>
            </w:r>
            <w:r w:rsidRPr="00C20600">
              <w:rPr>
                <w:color w:val="000000" w:themeColor="text1"/>
                <w:sz w:val="20"/>
                <w:lang w:val="en-CA"/>
              </w:rPr>
              <w:t>000</w:t>
            </w:r>
          </w:p>
        </w:tc>
      </w:tr>
      <w:tr w:rsidR="00720BA7" w:rsidRPr="00C20600" w14:paraId="2AFADABE" w14:textId="77777777" w:rsidTr="00720BA7">
        <w:trPr>
          <w:trHeight w:val="200"/>
        </w:trPr>
        <w:tc>
          <w:tcPr>
            <w:tcW w:w="3749" w:type="pct"/>
            <w:vAlign w:val="center"/>
          </w:tcPr>
          <w:p w14:paraId="380CB5C4" w14:textId="77777777" w:rsidR="00720BA7" w:rsidRPr="00720BA7" w:rsidRDefault="00720BA7" w:rsidP="00720BA7">
            <w:pPr>
              <w:pStyle w:val="NoSpacing"/>
              <w:jc w:val="left"/>
              <w:rPr>
                <w:color w:val="000000" w:themeColor="text1"/>
                <w:sz w:val="20"/>
                <w:lang w:val="fr-CA"/>
              </w:rPr>
            </w:pPr>
            <w:r w:rsidRPr="00473604">
              <w:rPr>
                <w:color w:val="000000" w:themeColor="text1"/>
                <w:sz w:val="20"/>
                <w:lang w:val="fr-FR"/>
              </w:rPr>
              <w:t>Reconversion de 31chaînes de fabrication d</w:t>
            </w:r>
            <w:r>
              <w:rPr>
                <w:color w:val="000000" w:themeColor="text1"/>
                <w:sz w:val="20"/>
                <w:lang w:val="fr-FR"/>
              </w:rPr>
              <w:t>’</w:t>
            </w:r>
            <w:r w:rsidRPr="00473604">
              <w:rPr>
                <w:color w:val="000000" w:themeColor="text1"/>
                <w:sz w:val="20"/>
                <w:lang w:val="fr-FR"/>
              </w:rPr>
              <w:t>équipements</w:t>
            </w:r>
            <w:r w:rsidRPr="00720BA7">
              <w:rPr>
                <w:color w:val="000000" w:themeColor="text1"/>
                <w:sz w:val="20"/>
                <w:lang w:val="fr-CA"/>
              </w:rPr>
              <w:t xml:space="preserve"> </w:t>
            </w:r>
          </w:p>
        </w:tc>
        <w:tc>
          <w:tcPr>
            <w:tcW w:w="1251" w:type="pct"/>
            <w:tcMar>
              <w:left w:w="115" w:type="dxa"/>
              <w:right w:w="216" w:type="dxa"/>
            </w:tcMar>
            <w:vAlign w:val="center"/>
          </w:tcPr>
          <w:p w14:paraId="5AA5F026"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24</w:t>
            </w:r>
            <w:r>
              <w:rPr>
                <w:color w:val="000000" w:themeColor="text1"/>
                <w:sz w:val="20"/>
                <w:lang w:val="en-CA"/>
              </w:rPr>
              <w:t> </w:t>
            </w:r>
            <w:r w:rsidRPr="00C20600">
              <w:rPr>
                <w:color w:val="000000" w:themeColor="text1"/>
                <w:sz w:val="20"/>
                <w:lang w:val="en-CA"/>
              </w:rPr>
              <w:t>898</w:t>
            </w:r>
            <w:r>
              <w:rPr>
                <w:color w:val="000000" w:themeColor="text1"/>
                <w:sz w:val="20"/>
                <w:lang w:val="en-CA"/>
              </w:rPr>
              <w:t> </w:t>
            </w:r>
            <w:r w:rsidRPr="00C20600">
              <w:rPr>
                <w:color w:val="000000" w:themeColor="text1"/>
                <w:sz w:val="20"/>
                <w:lang w:val="en-CA"/>
              </w:rPr>
              <w:t>200</w:t>
            </w:r>
          </w:p>
        </w:tc>
      </w:tr>
      <w:tr w:rsidR="00720BA7" w:rsidRPr="00C20600" w14:paraId="4D60D1F8" w14:textId="77777777" w:rsidTr="00720BA7">
        <w:trPr>
          <w:trHeight w:val="116"/>
        </w:trPr>
        <w:tc>
          <w:tcPr>
            <w:tcW w:w="3749" w:type="pct"/>
            <w:vAlign w:val="center"/>
          </w:tcPr>
          <w:p w14:paraId="74A664F1" w14:textId="77777777" w:rsidR="00720BA7" w:rsidRPr="00473604" w:rsidRDefault="00720BA7" w:rsidP="00720BA7">
            <w:pPr>
              <w:pStyle w:val="NoSpacing"/>
              <w:jc w:val="left"/>
              <w:rPr>
                <w:b/>
                <w:color w:val="000000" w:themeColor="text1"/>
                <w:sz w:val="20"/>
                <w:lang w:val="en-CA"/>
              </w:rPr>
            </w:pPr>
            <w:r w:rsidRPr="00473604">
              <w:rPr>
                <w:b/>
                <w:color w:val="000000" w:themeColor="text1"/>
                <w:sz w:val="20"/>
                <w:lang w:val="fr-FR"/>
              </w:rPr>
              <w:t>Sous-total des reconversions</w:t>
            </w:r>
          </w:p>
        </w:tc>
        <w:tc>
          <w:tcPr>
            <w:tcW w:w="1251" w:type="pct"/>
            <w:tcMar>
              <w:left w:w="115" w:type="dxa"/>
              <w:right w:w="216" w:type="dxa"/>
            </w:tcMar>
            <w:vAlign w:val="center"/>
          </w:tcPr>
          <w:p w14:paraId="2E7B5B0D"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27</w:t>
            </w:r>
            <w:r>
              <w:rPr>
                <w:color w:val="000000" w:themeColor="text1"/>
                <w:sz w:val="20"/>
                <w:lang w:val="en-CA"/>
              </w:rPr>
              <w:t> </w:t>
            </w:r>
            <w:r w:rsidRPr="00C20600">
              <w:rPr>
                <w:color w:val="000000" w:themeColor="text1"/>
                <w:sz w:val="20"/>
                <w:lang w:val="en-CA"/>
              </w:rPr>
              <w:t>298</w:t>
            </w:r>
            <w:r>
              <w:rPr>
                <w:color w:val="000000" w:themeColor="text1"/>
                <w:sz w:val="20"/>
                <w:lang w:val="en-CA"/>
              </w:rPr>
              <w:t> </w:t>
            </w:r>
            <w:r w:rsidRPr="00C20600">
              <w:rPr>
                <w:color w:val="000000" w:themeColor="text1"/>
                <w:sz w:val="20"/>
                <w:lang w:val="en-CA"/>
              </w:rPr>
              <w:t>200</w:t>
            </w:r>
          </w:p>
        </w:tc>
      </w:tr>
      <w:tr w:rsidR="00720BA7" w:rsidRPr="00C20600" w14:paraId="1621EB76" w14:textId="77777777" w:rsidTr="00720BA7">
        <w:trPr>
          <w:trHeight w:val="116"/>
        </w:trPr>
        <w:tc>
          <w:tcPr>
            <w:tcW w:w="3749" w:type="pct"/>
            <w:vAlign w:val="center"/>
          </w:tcPr>
          <w:p w14:paraId="1664058A" w14:textId="77777777" w:rsidR="00720BA7" w:rsidRPr="00473604" w:rsidRDefault="00720BA7" w:rsidP="00720BA7">
            <w:pPr>
              <w:pStyle w:val="NoSpacing"/>
              <w:rPr>
                <w:color w:val="000000" w:themeColor="text1"/>
                <w:sz w:val="20"/>
                <w:lang w:val="en-CA"/>
              </w:rPr>
            </w:pPr>
            <w:r w:rsidRPr="00473604">
              <w:rPr>
                <w:b/>
                <w:color w:val="000000" w:themeColor="text1"/>
                <w:sz w:val="20"/>
                <w:lang w:val="fr-FR"/>
              </w:rPr>
              <w:t>Assistance technique</w:t>
            </w:r>
          </w:p>
        </w:tc>
        <w:tc>
          <w:tcPr>
            <w:tcW w:w="1251" w:type="pct"/>
            <w:tcMar>
              <w:left w:w="115" w:type="dxa"/>
              <w:right w:w="216" w:type="dxa"/>
            </w:tcMar>
            <w:vAlign w:val="center"/>
          </w:tcPr>
          <w:p w14:paraId="16354EEF" w14:textId="77777777" w:rsidR="00720BA7" w:rsidRPr="00C20600" w:rsidRDefault="00720BA7" w:rsidP="00720BA7">
            <w:pPr>
              <w:pStyle w:val="NoSpacing"/>
              <w:jc w:val="right"/>
              <w:rPr>
                <w:color w:val="000000" w:themeColor="text1"/>
                <w:sz w:val="20"/>
                <w:lang w:val="en-CA"/>
              </w:rPr>
            </w:pPr>
          </w:p>
        </w:tc>
      </w:tr>
      <w:tr w:rsidR="00720BA7" w:rsidRPr="00C20600" w14:paraId="341D658A" w14:textId="77777777" w:rsidTr="00720BA7">
        <w:trPr>
          <w:trHeight w:val="116"/>
        </w:trPr>
        <w:tc>
          <w:tcPr>
            <w:tcW w:w="3749" w:type="pct"/>
            <w:vAlign w:val="center"/>
          </w:tcPr>
          <w:p w14:paraId="2E52D008" w14:textId="77777777" w:rsidR="00720BA7" w:rsidRPr="00720BA7" w:rsidRDefault="00720BA7" w:rsidP="00720BA7">
            <w:pPr>
              <w:pStyle w:val="NoSpacing"/>
              <w:rPr>
                <w:color w:val="000000" w:themeColor="text1"/>
                <w:sz w:val="20"/>
                <w:lang w:val="fr-CA"/>
              </w:rPr>
            </w:pPr>
            <w:r w:rsidRPr="00473604">
              <w:rPr>
                <w:color w:val="000000" w:themeColor="text1"/>
                <w:sz w:val="20"/>
                <w:lang w:val="fr-FR"/>
              </w:rPr>
              <w:t>Activités de recherche sur les technologies de remplacement</w:t>
            </w:r>
          </w:p>
        </w:tc>
        <w:tc>
          <w:tcPr>
            <w:tcW w:w="1251" w:type="pct"/>
            <w:tcMar>
              <w:left w:w="115" w:type="dxa"/>
              <w:right w:w="216" w:type="dxa"/>
            </w:tcMar>
            <w:vAlign w:val="center"/>
          </w:tcPr>
          <w:p w14:paraId="3A03854B"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w:t>
            </w:r>
            <w:r>
              <w:rPr>
                <w:color w:val="000000" w:themeColor="text1"/>
                <w:sz w:val="20"/>
                <w:lang w:val="en-CA"/>
              </w:rPr>
              <w:t> </w:t>
            </w:r>
            <w:r w:rsidRPr="00C20600">
              <w:rPr>
                <w:color w:val="000000" w:themeColor="text1"/>
                <w:sz w:val="20"/>
                <w:lang w:val="en-CA"/>
              </w:rPr>
              <w:t>093</w:t>
            </w:r>
            <w:r>
              <w:rPr>
                <w:color w:val="000000" w:themeColor="text1"/>
                <w:sz w:val="20"/>
                <w:lang w:val="en-CA"/>
              </w:rPr>
              <w:t> </w:t>
            </w:r>
            <w:r w:rsidRPr="00C20600">
              <w:rPr>
                <w:color w:val="000000" w:themeColor="text1"/>
                <w:sz w:val="20"/>
                <w:lang w:val="en-CA"/>
              </w:rPr>
              <w:t>482</w:t>
            </w:r>
          </w:p>
        </w:tc>
      </w:tr>
      <w:tr w:rsidR="00720BA7" w:rsidRPr="00C20600" w14:paraId="3610CD23" w14:textId="77777777" w:rsidTr="00720BA7">
        <w:trPr>
          <w:trHeight w:val="39"/>
        </w:trPr>
        <w:tc>
          <w:tcPr>
            <w:tcW w:w="3749" w:type="pct"/>
            <w:vAlign w:val="center"/>
          </w:tcPr>
          <w:p w14:paraId="66CD2A0F" w14:textId="77777777" w:rsidR="00720BA7" w:rsidRPr="00720BA7" w:rsidRDefault="00720BA7" w:rsidP="00720BA7">
            <w:pPr>
              <w:pStyle w:val="NoSpacing"/>
              <w:rPr>
                <w:color w:val="000000" w:themeColor="text1"/>
                <w:sz w:val="20"/>
                <w:lang w:val="fr-CA"/>
              </w:rPr>
            </w:pPr>
            <w:r w:rsidRPr="00473604">
              <w:rPr>
                <w:color w:val="000000" w:themeColor="text1"/>
                <w:sz w:val="20"/>
                <w:lang w:val="fr-FR"/>
              </w:rPr>
              <w:t>Élaboration de quatre nouvelles normes et révision de six normes existantes</w:t>
            </w:r>
          </w:p>
        </w:tc>
        <w:tc>
          <w:tcPr>
            <w:tcW w:w="1251" w:type="pct"/>
            <w:tcMar>
              <w:left w:w="115" w:type="dxa"/>
              <w:right w:w="216" w:type="dxa"/>
            </w:tcMar>
            <w:vAlign w:val="center"/>
          </w:tcPr>
          <w:p w14:paraId="67D373DD"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500</w:t>
            </w:r>
            <w:r>
              <w:rPr>
                <w:color w:val="000000" w:themeColor="text1"/>
                <w:sz w:val="20"/>
                <w:lang w:val="en-CA"/>
              </w:rPr>
              <w:t> </w:t>
            </w:r>
            <w:r w:rsidRPr="00C20600">
              <w:rPr>
                <w:color w:val="000000" w:themeColor="text1"/>
                <w:sz w:val="20"/>
                <w:lang w:val="en-CA"/>
              </w:rPr>
              <w:t>000</w:t>
            </w:r>
          </w:p>
        </w:tc>
      </w:tr>
      <w:tr w:rsidR="00720BA7" w:rsidRPr="00C20600" w14:paraId="69F08D24" w14:textId="77777777" w:rsidTr="00720BA7">
        <w:trPr>
          <w:trHeight w:val="188"/>
        </w:trPr>
        <w:tc>
          <w:tcPr>
            <w:tcW w:w="3749" w:type="pct"/>
            <w:vAlign w:val="center"/>
          </w:tcPr>
          <w:p w14:paraId="3D9A881D" w14:textId="77777777" w:rsidR="00720BA7" w:rsidRPr="00720BA7" w:rsidRDefault="00720BA7" w:rsidP="00720BA7">
            <w:pPr>
              <w:pStyle w:val="NoSpacing"/>
              <w:rPr>
                <w:color w:val="000000" w:themeColor="text1"/>
                <w:sz w:val="20"/>
                <w:lang w:val="fr-CA"/>
              </w:rPr>
            </w:pPr>
            <w:r>
              <w:rPr>
                <w:color w:val="000000" w:themeColor="text1"/>
                <w:sz w:val="20"/>
                <w:lang w:val="fr-FR"/>
              </w:rPr>
              <w:t>É</w:t>
            </w:r>
            <w:r w:rsidRPr="00473604">
              <w:rPr>
                <w:color w:val="000000" w:themeColor="text1"/>
                <w:sz w:val="20"/>
                <w:lang w:val="fr-FR"/>
              </w:rPr>
              <w:t>valuation de l</w:t>
            </w:r>
            <w:r>
              <w:rPr>
                <w:color w:val="000000" w:themeColor="text1"/>
                <w:sz w:val="20"/>
                <w:lang w:val="fr-FR"/>
              </w:rPr>
              <w:t>’</w:t>
            </w:r>
            <w:r w:rsidRPr="00473604">
              <w:rPr>
                <w:color w:val="000000" w:themeColor="text1"/>
                <w:sz w:val="20"/>
                <w:lang w:val="fr-FR"/>
              </w:rPr>
              <w:t>impact des politiques sur les interdictions</w:t>
            </w:r>
          </w:p>
        </w:tc>
        <w:tc>
          <w:tcPr>
            <w:tcW w:w="1251" w:type="pct"/>
            <w:tcMar>
              <w:left w:w="115" w:type="dxa"/>
              <w:right w:w="216" w:type="dxa"/>
            </w:tcMar>
            <w:vAlign w:val="center"/>
          </w:tcPr>
          <w:p w14:paraId="6C64968D"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300</w:t>
            </w:r>
            <w:r>
              <w:rPr>
                <w:color w:val="000000" w:themeColor="text1"/>
                <w:sz w:val="20"/>
                <w:lang w:val="en-CA"/>
              </w:rPr>
              <w:t> </w:t>
            </w:r>
            <w:r w:rsidRPr="00C20600">
              <w:rPr>
                <w:color w:val="000000" w:themeColor="text1"/>
                <w:sz w:val="20"/>
                <w:lang w:val="en-CA"/>
              </w:rPr>
              <w:t>000</w:t>
            </w:r>
          </w:p>
        </w:tc>
      </w:tr>
      <w:tr w:rsidR="00720BA7" w:rsidRPr="00C20600" w14:paraId="30CE7925" w14:textId="77777777" w:rsidTr="00720BA7">
        <w:trPr>
          <w:trHeight w:val="39"/>
        </w:trPr>
        <w:tc>
          <w:tcPr>
            <w:tcW w:w="3749" w:type="pct"/>
            <w:vAlign w:val="center"/>
          </w:tcPr>
          <w:p w14:paraId="4C6389E6" w14:textId="77777777" w:rsidR="00720BA7" w:rsidRPr="00720BA7" w:rsidRDefault="00720BA7" w:rsidP="00720BA7">
            <w:pPr>
              <w:pStyle w:val="NoSpacing"/>
              <w:rPr>
                <w:color w:val="000000" w:themeColor="text1"/>
                <w:sz w:val="20"/>
                <w:lang w:val="fr-CA"/>
              </w:rPr>
            </w:pPr>
            <w:r w:rsidRPr="00473604">
              <w:rPr>
                <w:color w:val="000000" w:themeColor="text1"/>
                <w:sz w:val="20"/>
                <w:lang w:val="fr-FR"/>
              </w:rPr>
              <w:t>Ateliers et séminaires de formation technique</w:t>
            </w:r>
          </w:p>
        </w:tc>
        <w:tc>
          <w:tcPr>
            <w:tcW w:w="1251" w:type="pct"/>
            <w:tcMar>
              <w:left w:w="115" w:type="dxa"/>
              <w:right w:w="216" w:type="dxa"/>
            </w:tcMar>
            <w:vAlign w:val="center"/>
          </w:tcPr>
          <w:p w14:paraId="21AE2502"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400</w:t>
            </w:r>
            <w:r>
              <w:rPr>
                <w:color w:val="000000" w:themeColor="text1"/>
                <w:sz w:val="20"/>
                <w:lang w:val="en-CA"/>
              </w:rPr>
              <w:t> </w:t>
            </w:r>
            <w:r w:rsidRPr="00C20600">
              <w:rPr>
                <w:color w:val="000000" w:themeColor="text1"/>
                <w:sz w:val="20"/>
                <w:lang w:val="en-CA"/>
              </w:rPr>
              <w:t>000</w:t>
            </w:r>
          </w:p>
        </w:tc>
      </w:tr>
      <w:tr w:rsidR="00720BA7" w:rsidRPr="00C20600" w14:paraId="2E1B472F" w14:textId="77777777" w:rsidTr="00720BA7">
        <w:trPr>
          <w:trHeight w:val="53"/>
        </w:trPr>
        <w:tc>
          <w:tcPr>
            <w:tcW w:w="3749" w:type="pct"/>
            <w:vAlign w:val="center"/>
          </w:tcPr>
          <w:p w14:paraId="7C0A5BDA" w14:textId="77777777" w:rsidR="00720BA7" w:rsidRPr="00720BA7" w:rsidRDefault="00720BA7" w:rsidP="00720BA7">
            <w:pPr>
              <w:pStyle w:val="NoSpacing"/>
              <w:rPr>
                <w:color w:val="000000" w:themeColor="text1"/>
                <w:sz w:val="20"/>
                <w:lang w:val="fr-CA"/>
              </w:rPr>
            </w:pPr>
            <w:r w:rsidRPr="00473604">
              <w:rPr>
                <w:color w:val="000000" w:themeColor="text1"/>
                <w:sz w:val="20"/>
                <w:lang w:val="fr-FR"/>
              </w:rPr>
              <w:t>Sensibilisation</w:t>
            </w:r>
            <w:r>
              <w:rPr>
                <w:color w:val="000000" w:themeColor="text1"/>
                <w:sz w:val="20"/>
                <w:lang w:val="fr-FR"/>
              </w:rPr>
              <w:t xml:space="preserve"> </w:t>
            </w:r>
            <w:r w:rsidRPr="00473604">
              <w:rPr>
                <w:color w:val="000000" w:themeColor="text1"/>
                <w:sz w:val="20"/>
                <w:lang w:val="fr-FR"/>
              </w:rPr>
              <w:t>du public et activités de promotion</w:t>
            </w:r>
          </w:p>
        </w:tc>
        <w:tc>
          <w:tcPr>
            <w:tcW w:w="1251" w:type="pct"/>
            <w:tcMar>
              <w:left w:w="115" w:type="dxa"/>
              <w:right w:w="216" w:type="dxa"/>
            </w:tcMar>
            <w:vAlign w:val="center"/>
          </w:tcPr>
          <w:p w14:paraId="3472AB1D"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400</w:t>
            </w:r>
            <w:r>
              <w:rPr>
                <w:color w:val="000000" w:themeColor="text1"/>
                <w:sz w:val="20"/>
                <w:lang w:val="en-CA"/>
              </w:rPr>
              <w:t> </w:t>
            </w:r>
            <w:r w:rsidRPr="00C20600">
              <w:rPr>
                <w:color w:val="000000" w:themeColor="text1"/>
                <w:sz w:val="20"/>
                <w:lang w:val="en-CA"/>
              </w:rPr>
              <w:t>000</w:t>
            </w:r>
          </w:p>
        </w:tc>
      </w:tr>
      <w:tr w:rsidR="00720BA7" w:rsidRPr="00C20600" w14:paraId="65DE36E6" w14:textId="77777777" w:rsidTr="00720BA7">
        <w:trPr>
          <w:trHeight w:val="39"/>
        </w:trPr>
        <w:tc>
          <w:tcPr>
            <w:tcW w:w="3749" w:type="pct"/>
            <w:vAlign w:val="center"/>
          </w:tcPr>
          <w:p w14:paraId="6786B322" w14:textId="77777777" w:rsidR="00720BA7" w:rsidRPr="00720BA7" w:rsidRDefault="00720BA7" w:rsidP="00720BA7">
            <w:pPr>
              <w:pStyle w:val="NoSpacing"/>
              <w:rPr>
                <w:color w:val="000000" w:themeColor="text1"/>
                <w:sz w:val="20"/>
                <w:lang w:val="fr-CA"/>
              </w:rPr>
            </w:pPr>
            <w:r w:rsidRPr="00473604">
              <w:rPr>
                <w:color w:val="000000" w:themeColor="text1"/>
                <w:sz w:val="20"/>
                <w:lang w:val="fr-FR"/>
              </w:rPr>
              <w:t>Soutien</w:t>
            </w:r>
            <w:r>
              <w:rPr>
                <w:color w:val="000000" w:themeColor="text1"/>
                <w:sz w:val="20"/>
                <w:lang w:val="fr-FR"/>
              </w:rPr>
              <w:t xml:space="preserve"> </w:t>
            </w:r>
            <w:r w:rsidRPr="00473604">
              <w:rPr>
                <w:color w:val="000000" w:themeColor="text1"/>
                <w:sz w:val="20"/>
                <w:lang w:val="fr-FR"/>
              </w:rPr>
              <w:t xml:space="preserve">technique </w:t>
            </w:r>
            <w:r>
              <w:rPr>
                <w:color w:val="000000" w:themeColor="text1"/>
                <w:sz w:val="20"/>
                <w:lang w:val="fr-FR"/>
              </w:rPr>
              <w:t>de la</w:t>
            </w:r>
            <w:r w:rsidRPr="00473604">
              <w:rPr>
                <w:color w:val="000000" w:themeColor="text1"/>
                <w:sz w:val="20"/>
                <w:lang w:val="fr-FR"/>
              </w:rPr>
              <w:t xml:space="preserve"> CRAA</w:t>
            </w:r>
          </w:p>
        </w:tc>
        <w:tc>
          <w:tcPr>
            <w:tcW w:w="1251" w:type="pct"/>
            <w:tcMar>
              <w:left w:w="115" w:type="dxa"/>
              <w:right w:w="216" w:type="dxa"/>
            </w:tcMar>
            <w:vAlign w:val="center"/>
          </w:tcPr>
          <w:p w14:paraId="3593101F"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653</w:t>
            </w:r>
            <w:r>
              <w:rPr>
                <w:color w:val="000000" w:themeColor="text1"/>
                <w:sz w:val="20"/>
                <w:lang w:val="en-CA"/>
              </w:rPr>
              <w:t> </w:t>
            </w:r>
            <w:r w:rsidRPr="00C20600">
              <w:rPr>
                <w:color w:val="000000" w:themeColor="text1"/>
                <w:sz w:val="20"/>
                <w:lang w:val="en-CA"/>
              </w:rPr>
              <w:t>874</w:t>
            </w:r>
          </w:p>
        </w:tc>
      </w:tr>
      <w:tr w:rsidR="00720BA7" w:rsidRPr="00C20600" w14:paraId="4275E59D" w14:textId="77777777" w:rsidTr="00720BA7">
        <w:trPr>
          <w:trHeight w:val="192"/>
        </w:trPr>
        <w:tc>
          <w:tcPr>
            <w:tcW w:w="3749" w:type="pct"/>
            <w:vAlign w:val="center"/>
          </w:tcPr>
          <w:p w14:paraId="18ECF3E4" w14:textId="77777777" w:rsidR="00720BA7" w:rsidRPr="00720BA7" w:rsidRDefault="00720BA7" w:rsidP="00720BA7">
            <w:pPr>
              <w:pStyle w:val="NoSpacing"/>
              <w:rPr>
                <w:color w:val="000000" w:themeColor="text1"/>
                <w:sz w:val="20"/>
                <w:lang w:val="fr-CA"/>
              </w:rPr>
            </w:pPr>
            <w:r w:rsidRPr="00526FA5">
              <w:rPr>
                <w:color w:val="000000" w:themeColor="text1"/>
                <w:sz w:val="20"/>
                <w:lang w:val="fr-FR"/>
              </w:rPr>
              <w:t>Vérification des étapes d</w:t>
            </w:r>
            <w:r>
              <w:rPr>
                <w:color w:val="000000" w:themeColor="text1"/>
                <w:sz w:val="20"/>
                <w:lang w:val="fr-FR"/>
              </w:rPr>
              <w:t>’</w:t>
            </w:r>
            <w:r w:rsidRPr="00526FA5">
              <w:rPr>
                <w:color w:val="000000" w:themeColor="text1"/>
                <w:sz w:val="20"/>
                <w:lang w:val="fr-FR"/>
              </w:rPr>
              <w:t>avancement et des réalisations</w:t>
            </w:r>
          </w:p>
        </w:tc>
        <w:tc>
          <w:tcPr>
            <w:tcW w:w="1251" w:type="pct"/>
            <w:tcMar>
              <w:left w:w="115" w:type="dxa"/>
              <w:right w:w="216" w:type="dxa"/>
            </w:tcMar>
            <w:vAlign w:val="center"/>
          </w:tcPr>
          <w:p w14:paraId="55553F9A"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180</w:t>
            </w:r>
            <w:r>
              <w:rPr>
                <w:color w:val="000000" w:themeColor="text1"/>
                <w:sz w:val="20"/>
                <w:lang w:val="en-CA"/>
              </w:rPr>
              <w:t> </w:t>
            </w:r>
            <w:r w:rsidRPr="00C20600">
              <w:rPr>
                <w:color w:val="000000" w:themeColor="text1"/>
                <w:sz w:val="20"/>
                <w:lang w:val="en-CA"/>
              </w:rPr>
              <w:t>000</w:t>
            </w:r>
          </w:p>
        </w:tc>
      </w:tr>
      <w:tr w:rsidR="00720BA7" w:rsidRPr="00C20600" w14:paraId="44216FE5" w14:textId="77777777" w:rsidTr="00720BA7">
        <w:trPr>
          <w:trHeight w:val="39"/>
        </w:trPr>
        <w:tc>
          <w:tcPr>
            <w:tcW w:w="3749" w:type="pct"/>
            <w:vAlign w:val="center"/>
          </w:tcPr>
          <w:p w14:paraId="3FF69CBD" w14:textId="77777777" w:rsidR="00720BA7" w:rsidRPr="00526FA5" w:rsidRDefault="00720BA7" w:rsidP="00720BA7">
            <w:pPr>
              <w:pStyle w:val="NoSpacing"/>
              <w:rPr>
                <w:color w:val="000000" w:themeColor="text1"/>
                <w:sz w:val="20"/>
                <w:lang w:val="en-CA"/>
              </w:rPr>
            </w:pPr>
            <w:r w:rsidRPr="00526FA5">
              <w:rPr>
                <w:color w:val="000000" w:themeColor="text1"/>
                <w:sz w:val="20"/>
                <w:lang w:val="fr-FR"/>
              </w:rPr>
              <w:t>Experts consultants</w:t>
            </w:r>
          </w:p>
        </w:tc>
        <w:tc>
          <w:tcPr>
            <w:tcW w:w="1251" w:type="pct"/>
            <w:tcMar>
              <w:left w:w="115" w:type="dxa"/>
              <w:right w:w="216" w:type="dxa"/>
            </w:tcMar>
            <w:vAlign w:val="center"/>
          </w:tcPr>
          <w:p w14:paraId="72E7DD4B"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40</w:t>
            </w:r>
            <w:r>
              <w:rPr>
                <w:color w:val="000000" w:themeColor="text1"/>
                <w:sz w:val="20"/>
                <w:lang w:val="en-CA"/>
              </w:rPr>
              <w:t> </w:t>
            </w:r>
            <w:r w:rsidRPr="00C20600">
              <w:rPr>
                <w:color w:val="000000" w:themeColor="text1"/>
                <w:sz w:val="20"/>
                <w:lang w:val="en-CA"/>
              </w:rPr>
              <w:t>000</w:t>
            </w:r>
          </w:p>
        </w:tc>
      </w:tr>
      <w:tr w:rsidR="00720BA7" w:rsidRPr="00C20600" w14:paraId="0C7A3A99" w14:textId="77777777" w:rsidTr="00720BA7">
        <w:trPr>
          <w:trHeight w:val="39"/>
        </w:trPr>
        <w:tc>
          <w:tcPr>
            <w:tcW w:w="3749" w:type="pct"/>
            <w:vAlign w:val="center"/>
          </w:tcPr>
          <w:p w14:paraId="51CE8286" w14:textId="77777777" w:rsidR="00720BA7" w:rsidRPr="00526FA5" w:rsidRDefault="00720BA7" w:rsidP="00720BA7">
            <w:pPr>
              <w:pStyle w:val="NoSpacing"/>
              <w:rPr>
                <w:color w:val="000000" w:themeColor="text1"/>
                <w:sz w:val="20"/>
                <w:lang w:val="en-CA"/>
              </w:rPr>
            </w:pPr>
            <w:r w:rsidRPr="00526FA5">
              <w:rPr>
                <w:color w:val="000000" w:themeColor="text1"/>
                <w:sz w:val="20"/>
                <w:lang w:val="fr-FR"/>
              </w:rPr>
              <w:t>Réunions et ateliers</w:t>
            </w:r>
          </w:p>
        </w:tc>
        <w:tc>
          <w:tcPr>
            <w:tcW w:w="1251" w:type="pct"/>
            <w:tcMar>
              <w:left w:w="115" w:type="dxa"/>
              <w:right w:w="216" w:type="dxa"/>
            </w:tcMar>
            <w:vAlign w:val="center"/>
          </w:tcPr>
          <w:p w14:paraId="7A7242D1"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30</w:t>
            </w:r>
            <w:r>
              <w:rPr>
                <w:color w:val="000000" w:themeColor="text1"/>
                <w:sz w:val="20"/>
                <w:lang w:val="en-CA"/>
              </w:rPr>
              <w:t> </w:t>
            </w:r>
            <w:r w:rsidRPr="00C20600">
              <w:rPr>
                <w:color w:val="000000" w:themeColor="text1"/>
                <w:sz w:val="20"/>
                <w:lang w:val="en-CA"/>
              </w:rPr>
              <w:t>000</w:t>
            </w:r>
          </w:p>
        </w:tc>
      </w:tr>
      <w:tr w:rsidR="00720BA7" w:rsidRPr="00C20600" w14:paraId="55C29AB0" w14:textId="77777777" w:rsidTr="00720BA7">
        <w:trPr>
          <w:trHeight w:val="39"/>
        </w:trPr>
        <w:tc>
          <w:tcPr>
            <w:tcW w:w="3749" w:type="pct"/>
            <w:vAlign w:val="center"/>
          </w:tcPr>
          <w:p w14:paraId="4826BDFF" w14:textId="77777777" w:rsidR="00720BA7" w:rsidRPr="00720BA7" w:rsidRDefault="00720BA7" w:rsidP="00720BA7">
            <w:pPr>
              <w:pStyle w:val="NoSpacing"/>
              <w:jc w:val="left"/>
              <w:rPr>
                <w:b/>
                <w:color w:val="000000" w:themeColor="text1"/>
                <w:sz w:val="20"/>
                <w:lang w:val="fr-CA"/>
              </w:rPr>
            </w:pPr>
            <w:r w:rsidRPr="00526FA5">
              <w:rPr>
                <w:b/>
                <w:color w:val="000000" w:themeColor="text1"/>
                <w:sz w:val="20"/>
                <w:lang w:val="fr-FR"/>
              </w:rPr>
              <w:t>Sous-total de l</w:t>
            </w:r>
            <w:r>
              <w:rPr>
                <w:b/>
                <w:color w:val="000000" w:themeColor="text1"/>
                <w:sz w:val="20"/>
                <w:lang w:val="fr-FR"/>
              </w:rPr>
              <w:t>’</w:t>
            </w:r>
            <w:r w:rsidRPr="00526FA5">
              <w:rPr>
                <w:b/>
                <w:color w:val="000000" w:themeColor="text1"/>
                <w:sz w:val="20"/>
                <w:lang w:val="fr-FR"/>
              </w:rPr>
              <w:t xml:space="preserve">assistance technique </w:t>
            </w:r>
          </w:p>
        </w:tc>
        <w:tc>
          <w:tcPr>
            <w:tcW w:w="1251" w:type="pct"/>
            <w:tcMar>
              <w:left w:w="115" w:type="dxa"/>
              <w:right w:w="216" w:type="dxa"/>
            </w:tcMar>
            <w:vAlign w:val="center"/>
          </w:tcPr>
          <w:p w14:paraId="1153C53E"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3</w:t>
            </w:r>
            <w:r>
              <w:rPr>
                <w:color w:val="000000" w:themeColor="text1"/>
                <w:sz w:val="20"/>
                <w:lang w:val="en-CA"/>
              </w:rPr>
              <w:t> </w:t>
            </w:r>
            <w:r w:rsidRPr="00C20600">
              <w:rPr>
                <w:color w:val="000000" w:themeColor="text1"/>
                <w:sz w:val="20"/>
                <w:lang w:val="en-CA"/>
              </w:rPr>
              <w:t>597</w:t>
            </w:r>
            <w:r>
              <w:rPr>
                <w:color w:val="000000" w:themeColor="text1"/>
                <w:sz w:val="20"/>
                <w:lang w:val="en-CA"/>
              </w:rPr>
              <w:t> </w:t>
            </w:r>
            <w:r w:rsidRPr="00C20600">
              <w:rPr>
                <w:color w:val="000000" w:themeColor="text1"/>
                <w:sz w:val="20"/>
                <w:lang w:val="en-CA"/>
              </w:rPr>
              <w:t>356</w:t>
            </w:r>
          </w:p>
        </w:tc>
      </w:tr>
      <w:tr w:rsidR="00720BA7" w:rsidRPr="00C20600" w14:paraId="6232E63B" w14:textId="77777777" w:rsidTr="00720BA7">
        <w:trPr>
          <w:trHeight w:val="39"/>
        </w:trPr>
        <w:tc>
          <w:tcPr>
            <w:tcW w:w="3749" w:type="pct"/>
          </w:tcPr>
          <w:p w14:paraId="25B53080" w14:textId="77777777" w:rsidR="00720BA7" w:rsidRPr="00720BA7" w:rsidRDefault="00720BA7" w:rsidP="00720BA7">
            <w:pPr>
              <w:pStyle w:val="NoSpacing"/>
              <w:rPr>
                <w:b/>
                <w:color w:val="000000" w:themeColor="text1"/>
                <w:sz w:val="20"/>
                <w:lang w:val="fr-CA"/>
              </w:rPr>
            </w:pPr>
            <w:r w:rsidRPr="00526FA5">
              <w:rPr>
                <w:b/>
                <w:color w:val="000000" w:themeColor="text1"/>
                <w:sz w:val="20"/>
                <w:lang w:val="fr-FR"/>
              </w:rPr>
              <w:t>Gestion</w:t>
            </w:r>
            <w:r>
              <w:rPr>
                <w:b/>
                <w:color w:val="000000" w:themeColor="text1"/>
                <w:sz w:val="20"/>
                <w:lang w:val="fr-FR"/>
              </w:rPr>
              <w:t>, suivi</w:t>
            </w:r>
            <w:r w:rsidRPr="00526FA5">
              <w:rPr>
                <w:b/>
                <w:color w:val="000000" w:themeColor="text1"/>
                <w:sz w:val="20"/>
                <w:lang w:val="fr-FR"/>
              </w:rPr>
              <w:t>, coordination et rapports du projet</w:t>
            </w:r>
          </w:p>
        </w:tc>
        <w:tc>
          <w:tcPr>
            <w:tcW w:w="1251" w:type="pct"/>
            <w:tcMar>
              <w:left w:w="115" w:type="dxa"/>
              <w:right w:w="216" w:type="dxa"/>
            </w:tcMar>
            <w:vAlign w:val="center"/>
          </w:tcPr>
          <w:p w14:paraId="33125AD2" w14:textId="77777777" w:rsidR="00720BA7" w:rsidRPr="00C20600" w:rsidRDefault="00720BA7" w:rsidP="00720BA7">
            <w:pPr>
              <w:pStyle w:val="NoSpacing"/>
              <w:jc w:val="right"/>
              <w:rPr>
                <w:color w:val="000000" w:themeColor="text1"/>
                <w:sz w:val="20"/>
                <w:lang w:val="en-CA"/>
              </w:rPr>
            </w:pPr>
            <w:r w:rsidRPr="00C20600">
              <w:rPr>
                <w:color w:val="000000" w:themeColor="text1"/>
                <w:sz w:val="20"/>
                <w:lang w:val="en-CA"/>
              </w:rPr>
              <w:t>1</w:t>
            </w:r>
            <w:r>
              <w:rPr>
                <w:color w:val="000000" w:themeColor="text1"/>
                <w:sz w:val="20"/>
                <w:lang w:val="en-CA"/>
              </w:rPr>
              <w:t> </w:t>
            </w:r>
            <w:r w:rsidRPr="00C20600">
              <w:rPr>
                <w:color w:val="000000" w:themeColor="text1"/>
                <w:sz w:val="20"/>
                <w:lang w:val="en-CA"/>
              </w:rPr>
              <w:t>798</w:t>
            </w:r>
            <w:r>
              <w:rPr>
                <w:color w:val="000000" w:themeColor="text1"/>
                <w:sz w:val="20"/>
                <w:lang w:val="en-CA"/>
              </w:rPr>
              <w:t> </w:t>
            </w:r>
            <w:r w:rsidRPr="00C20600">
              <w:rPr>
                <w:color w:val="000000" w:themeColor="text1"/>
                <w:sz w:val="20"/>
                <w:lang w:val="en-CA"/>
              </w:rPr>
              <w:t>154</w:t>
            </w:r>
          </w:p>
        </w:tc>
      </w:tr>
      <w:tr w:rsidR="00720BA7" w:rsidRPr="00C20600" w14:paraId="6BA81757" w14:textId="77777777" w:rsidTr="00720BA7">
        <w:trPr>
          <w:trHeight w:val="39"/>
        </w:trPr>
        <w:tc>
          <w:tcPr>
            <w:tcW w:w="3749" w:type="pct"/>
            <w:vAlign w:val="center"/>
          </w:tcPr>
          <w:p w14:paraId="55B74B43" w14:textId="77777777" w:rsidR="00720BA7" w:rsidRPr="00526FA5" w:rsidRDefault="00720BA7" w:rsidP="00720BA7">
            <w:pPr>
              <w:pStyle w:val="NoSpacing"/>
              <w:jc w:val="left"/>
              <w:rPr>
                <w:color w:val="000000" w:themeColor="text1"/>
                <w:sz w:val="20"/>
                <w:lang w:val="en-CA"/>
              </w:rPr>
            </w:pPr>
            <w:r w:rsidRPr="00526FA5">
              <w:rPr>
                <w:b/>
                <w:color w:val="000000" w:themeColor="text1"/>
                <w:sz w:val="20"/>
                <w:lang w:val="fr-FR"/>
              </w:rPr>
              <w:t>Total</w:t>
            </w:r>
          </w:p>
        </w:tc>
        <w:tc>
          <w:tcPr>
            <w:tcW w:w="1251" w:type="pct"/>
            <w:tcMar>
              <w:left w:w="115" w:type="dxa"/>
              <w:right w:w="216" w:type="dxa"/>
            </w:tcMar>
            <w:vAlign w:val="center"/>
          </w:tcPr>
          <w:p w14:paraId="73CF1D68" w14:textId="77777777" w:rsidR="00720BA7" w:rsidRPr="00C20600" w:rsidRDefault="00720BA7" w:rsidP="00720BA7">
            <w:pPr>
              <w:pStyle w:val="NoSpacing"/>
              <w:jc w:val="right"/>
              <w:rPr>
                <w:color w:val="000000" w:themeColor="text1"/>
                <w:sz w:val="20"/>
                <w:lang w:val="en-CA"/>
              </w:rPr>
            </w:pPr>
            <w:r w:rsidRPr="00C20600">
              <w:rPr>
                <w:b/>
                <w:color w:val="000000" w:themeColor="text1"/>
                <w:sz w:val="20"/>
                <w:lang w:val="en-CA"/>
              </w:rPr>
              <w:fldChar w:fldCharType="begin"/>
            </w:r>
            <w:r w:rsidRPr="00C20600">
              <w:rPr>
                <w:b/>
                <w:color w:val="000000" w:themeColor="text1"/>
                <w:sz w:val="20"/>
                <w:lang w:val="en-CA"/>
              </w:rPr>
              <w:instrText xml:space="preserve"> =SUM(ABOVE) </w:instrText>
            </w:r>
            <w:r w:rsidRPr="00C20600">
              <w:rPr>
                <w:b/>
                <w:color w:val="000000" w:themeColor="text1"/>
                <w:sz w:val="20"/>
                <w:lang w:val="en-CA"/>
              </w:rPr>
              <w:fldChar w:fldCharType="separate"/>
            </w:r>
            <w:r w:rsidRPr="00C20600">
              <w:rPr>
                <w:b/>
                <w:color w:val="000000" w:themeColor="text1"/>
                <w:sz w:val="20"/>
                <w:lang w:val="en-CA"/>
              </w:rPr>
              <w:t>32</w:t>
            </w:r>
            <w:r>
              <w:rPr>
                <w:b/>
                <w:color w:val="000000" w:themeColor="text1"/>
                <w:sz w:val="20"/>
                <w:lang w:val="en-CA"/>
              </w:rPr>
              <w:t> </w:t>
            </w:r>
            <w:r w:rsidRPr="00C20600">
              <w:rPr>
                <w:b/>
                <w:color w:val="000000" w:themeColor="text1"/>
                <w:sz w:val="20"/>
                <w:lang w:val="en-CA"/>
              </w:rPr>
              <w:t>693</w:t>
            </w:r>
            <w:r>
              <w:rPr>
                <w:b/>
                <w:color w:val="000000" w:themeColor="text1"/>
                <w:sz w:val="20"/>
                <w:lang w:val="en-CA"/>
              </w:rPr>
              <w:t> </w:t>
            </w:r>
            <w:r w:rsidRPr="00C20600">
              <w:rPr>
                <w:b/>
                <w:color w:val="000000" w:themeColor="text1"/>
                <w:sz w:val="20"/>
                <w:lang w:val="en-CA"/>
              </w:rPr>
              <w:t>71</w:t>
            </w:r>
            <w:r w:rsidRPr="00C20600">
              <w:rPr>
                <w:b/>
                <w:color w:val="000000" w:themeColor="text1"/>
                <w:sz w:val="20"/>
                <w:lang w:val="en-CA"/>
              </w:rPr>
              <w:fldChar w:fldCharType="end"/>
            </w:r>
            <w:r w:rsidRPr="00C20600">
              <w:rPr>
                <w:b/>
                <w:color w:val="000000" w:themeColor="text1"/>
                <w:sz w:val="20"/>
                <w:lang w:val="en-CA"/>
              </w:rPr>
              <w:t>0</w:t>
            </w:r>
          </w:p>
        </w:tc>
      </w:tr>
    </w:tbl>
    <w:p w14:paraId="2A94487D" w14:textId="77777777" w:rsidR="00720BA7" w:rsidRPr="00C20600" w:rsidRDefault="00720BA7" w:rsidP="00720BA7">
      <w:pPr>
        <w:widowControl w:val="0"/>
        <w:rPr>
          <w:lang w:val="en-CA"/>
        </w:rPr>
      </w:pPr>
      <w:bookmarkStart w:id="9" w:name="_Toc50989559"/>
    </w:p>
    <w:p w14:paraId="15AD9BD6" w14:textId="77777777" w:rsidR="00720BA7" w:rsidRPr="00720BA7" w:rsidRDefault="00720BA7" w:rsidP="00E3303D">
      <w:pPr>
        <w:pStyle w:val="Heading1"/>
        <w:keepNext/>
        <w:keepLines/>
        <w:widowControl w:val="0"/>
        <w:rPr>
          <w:lang w:val="fr-CA"/>
        </w:rPr>
      </w:pPr>
      <w:r w:rsidRPr="00526FA5">
        <w:rPr>
          <w:lang w:val="fr-FR"/>
        </w:rPr>
        <w:lastRenderedPageBreak/>
        <w:t>Conformément à la décision 83/61 qui demande que les plans d</w:t>
      </w:r>
      <w:r>
        <w:rPr>
          <w:lang w:val="fr-FR"/>
        </w:rPr>
        <w:t>’</w:t>
      </w:r>
      <w:r w:rsidRPr="00526FA5">
        <w:rPr>
          <w:lang w:val="fr-FR"/>
        </w:rPr>
        <w:t>élimination incluent les activités spécifiques que l</w:t>
      </w:r>
      <w:r>
        <w:rPr>
          <w:lang w:val="fr-FR"/>
        </w:rPr>
        <w:t>’</w:t>
      </w:r>
      <w:r w:rsidRPr="00526FA5">
        <w:rPr>
          <w:lang w:val="fr-FR"/>
        </w:rPr>
        <w:t>unité de gestion de projet doit mettre en œuvre et le financement correspondant, la répartition du budget d</w:t>
      </w:r>
      <w:r>
        <w:rPr>
          <w:lang w:val="fr-FR"/>
        </w:rPr>
        <w:t>’</w:t>
      </w:r>
      <w:r w:rsidRPr="00526FA5">
        <w:rPr>
          <w:lang w:val="fr-FR"/>
        </w:rPr>
        <w:t>un montant de 1 798 154 $US de l</w:t>
      </w:r>
      <w:r>
        <w:rPr>
          <w:lang w:val="fr-FR"/>
        </w:rPr>
        <w:t>’</w:t>
      </w:r>
      <w:r w:rsidRPr="00526FA5">
        <w:rPr>
          <w:lang w:val="fr-FR"/>
        </w:rPr>
        <w:t>unité de gestion est présentée au tableau 9.</w:t>
      </w:r>
    </w:p>
    <w:p w14:paraId="40400B9A" w14:textId="77777777" w:rsidR="00720BA7" w:rsidRDefault="00720BA7" w:rsidP="00720BA7">
      <w:pPr>
        <w:widowControl w:val="0"/>
        <w:rPr>
          <w:b/>
          <w:lang w:val="fr-FR"/>
        </w:rPr>
      </w:pPr>
    </w:p>
    <w:p w14:paraId="7409E8E3" w14:textId="77777777" w:rsidR="00720BA7" w:rsidRPr="00720BA7" w:rsidRDefault="00720BA7" w:rsidP="00720BA7">
      <w:pPr>
        <w:widowControl w:val="0"/>
        <w:rPr>
          <w:b/>
          <w:lang w:val="fr-CA"/>
        </w:rPr>
      </w:pPr>
      <w:r w:rsidRPr="00526FA5">
        <w:rPr>
          <w:b/>
          <w:lang w:val="fr-FR"/>
        </w:rPr>
        <w:t>Tableau 9. Répartition des coûts pour l</w:t>
      </w:r>
      <w:r>
        <w:rPr>
          <w:b/>
          <w:lang w:val="fr-FR"/>
        </w:rPr>
        <w:t>’</w:t>
      </w:r>
      <w:r w:rsidRPr="00526FA5">
        <w:rPr>
          <w:b/>
          <w:lang w:val="fr-FR"/>
        </w:rPr>
        <w:t>unité de gestion de projet</w:t>
      </w:r>
    </w:p>
    <w:tbl>
      <w:tblPr>
        <w:tblStyle w:val="TableGrid"/>
        <w:tblW w:w="5000" w:type="pct"/>
        <w:tblLayout w:type="fixed"/>
        <w:tblLook w:val="04A0" w:firstRow="1" w:lastRow="0" w:firstColumn="1" w:lastColumn="0" w:noHBand="0" w:noVBand="1"/>
      </w:tblPr>
      <w:tblGrid>
        <w:gridCol w:w="6562"/>
        <w:gridCol w:w="2788"/>
      </w:tblGrid>
      <w:tr w:rsidR="00720BA7" w:rsidRPr="00C20600" w14:paraId="458C58B9" w14:textId="77777777" w:rsidTr="00720BA7">
        <w:trPr>
          <w:trHeight w:val="162"/>
        </w:trPr>
        <w:tc>
          <w:tcPr>
            <w:tcW w:w="3509" w:type="pct"/>
            <w:shd w:val="clear" w:color="auto" w:fill="auto"/>
          </w:tcPr>
          <w:p w14:paraId="3B38336B" w14:textId="77777777" w:rsidR="00720BA7" w:rsidRPr="00526FA5" w:rsidRDefault="00720BA7" w:rsidP="00720BA7">
            <w:pPr>
              <w:pStyle w:val="StyleHeader4Para4Left0Firstline0"/>
              <w:numPr>
                <w:ilvl w:val="0"/>
                <w:numId w:val="0"/>
              </w:numPr>
              <w:tabs>
                <w:tab w:val="clear" w:pos="2880"/>
                <w:tab w:val="left" w:pos="0"/>
              </w:tabs>
              <w:spacing w:after="0"/>
              <w:jc w:val="left"/>
              <w:rPr>
                <w:b/>
                <w:lang w:val="en-CA"/>
              </w:rPr>
            </w:pPr>
            <w:bookmarkStart w:id="10" w:name="tblHere"/>
            <w:r>
              <w:rPr>
                <w:b/>
                <w:lang w:val="fr-FR"/>
              </w:rPr>
              <w:t>Rubriques</w:t>
            </w:r>
          </w:p>
        </w:tc>
        <w:tc>
          <w:tcPr>
            <w:tcW w:w="1491" w:type="pct"/>
            <w:shd w:val="clear" w:color="auto" w:fill="auto"/>
          </w:tcPr>
          <w:p w14:paraId="76195986" w14:textId="77777777" w:rsidR="00720BA7" w:rsidRPr="00526FA5" w:rsidRDefault="00720BA7" w:rsidP="00720BA7">
            <w:pPr>
              <w:pStyle w:val="StyleHeader4Para4Left0Firstline0"/>
              <w:numPr>
                <w:ilvl w:val="0"/>
                <w:numId w:val="0"/>
              </w:numPr>
              <w:spacing w:after="0"/>
              <w:jc w:val="center"/>
              <w:rPr>
                <w:b/>
                <w:lang w:val="en-CA"/>
              </w:rPr>
            </w:pPr>
            <w:r w:rsidRPr="00526FA5">
              <w:rPr>
                <w:b/>
                <w:lang w:val="fr-FR"/>
              </w:rPr>
              <w:t>Coûts ($US)</w:t>
            </w:r>
          </w:p>
        </w:tc>
      </w:tr>
      <w:tr w:rsidR="00720BA7" w:rsidRPr="00C20600" w14:paraId="2B32F25D" w14:textId="77777777" w:rsidTr="00720BA7">
        <w:tc>
          <w:tcPr>
            <w:tcW w:w="3509" w:type="pct"/>
          </w:tcPr>
          <w:p w14:paraId="3434928A" w14:textId="77777777" w:rsidR="00720BA7" w:rsidRPr="00526FA5" w:rsidRDefault="00720BA7" w:rsidP="00720BA7">
            <w:pPr>
              <w:pStyle w:val="StyleHeader4Para4Left0Firstline0"/>
              <w:numPr>
                <w:ilvl w:val="0"/>
                <w:numId w:val="0"/>
              </w:numPr>
              <w:tabs>
                <w:tab w:val="clear" w:pos="2880"/>
                <w:tab w:val="left" w:pos="0"/>
              </w:tabs>
              <w:spacing w:after="0"/>
              <w:rPr>
                <w:lang w:val="en-CA"/>
              </w:rPr>
            </w:pPr>
            <w:r w:rsidRPr="00526FA5">
              <w:rPr>
                <w:lang w:val="fr-FR"/>
              </w:rPr>
              <w:t>Personnel du projet</w:t>
            </w:r>
          </w:p>
        </w:tc>
        <w:tc>
          <w:tcPr>
            <w:tcW w:w="1491" w:type="pct"/>
            <w:tcMar>
              <w:left w:w="115" w:type="dxa"/>
              <w:right w:w="216" w:type="dxa"/>
            </w:tcMar>
          </w:tcPr>
          <w:p w14:paraId="5FE69019" w14:textId="77777777" w:rsidR="00720BA7" w:rsidRPr="00C20600" w:rsidRDefault="00720BA7" w:rsidP="00720BA7">
            <w:pPr>
              <w:pStyle w:val="StyleHeader4Para4Left0Firstline0"/>
              <w:numPr>
                <w:ilvl w:val="0"/>
                <w:numId w:val="0"/>
              </w:numPr>
              <w:spacing w:after="0"/>
              <w:jc w:val="right"/>
              <w:rPr>
                <w:rFonts w:eastAsiaTheme="minorEastAsia"/>
                <w:color w:val="000000" w:themeColor="text1"/>
                <w:lang w:val="en-CA" w:eastAsia="zh-CN"/>
              </w:rPr>
            </w:pPr>
            <w:r w:rsidRPr="00C20600">
              <w:rPr>
                <w:rFonts w:eastAsiaTheme="minorEastAsia"/>
                <w:color w:val="000000" w:themeColor="text1"/>
                <w:lang w:val="en-CA" w:eastAsia="zh-CN"/>
              </w:rPr>
              <w:t>623</w:t>
            </w:r>
            <w:r>
              <w:rPr>
                <w:rFonts w:eastAsiaTheme="minorEastAsia"/>
                <w:color w:val="000000" w:themeColor="text1"/>
                <w:lang w:val="en-CA" w:eastAsia="zh-CN"/>
              </w:rPr>
              <w:t> </w:t>
            </w:r>
            <w:r w:rsidRPr="00C20600">
              <w:rPr>
                <w:rFonts w:eastAsiaTheme="minorEastAsia"/>
                <w:color w:val="000000" w:themeColor="text1"/>
                <w:lang w:val="en-CA" w:eastAsia="zh-CN"/>
              </w:rPr>
              <w:t>960</w:t>
            </w:r>
          </w:p>
        </w:tc>
      </w:tr>
      <w:tr w:rsidR="00720BA7" w:rsidRPr="00C20600" w14:paraId="1E37A1C3" w14:textId="77777777" w:rsidTr="00720BA7">
        <w:tc>
          <w:tcPr>
            <w:tcW w:w="3509" w:type="pct"/>
          </w:tcPr>
          <w:p w14:paraId="5C88A71C" w14:textId="77777777" w:rsidR="00720BA7" w:rsidRPr="00720BA7" w:rsidRDefault="00720BA7" w:rsidP="00720BA7">
            <w:pPr>
              <w:pStyle w:val="StyleHeader4Para4Left0Firstline0"/>
              <w:numPr>
                <w:ilvl w:val="0"/>
                <w:numId w:val="0"/>
              </w:numPr>
              <w:tabs>
                <w:tab w:val="clear" w:pos="2880"/>
                <w:tab w:val="left" w:pos="0"/>
              </w:tabs>
              <w:spacing w:after="0"/>
              <w:rPr>
                <w:lang w:val="fr-CA"/>
              </w:rPr>
            </w:pPr>
            <w:r w:rsidRPr="00526FA5">
              <w:rPr>
                <w:lang w:val="fr-FR"/>
              </w:rPr>
              <w:t>Voyages à l</w:t>
            </w:r>
            <w:r>
              <w:rPr>
                <w:lang w:val="fr-FR"/>
              </w:rPr>
              <w:t>’</w:t>
            </w:r>
            <w:r w:rsidRPr="00526FA5">
              <w:rPr>
                <w:lang w:val="fr-FR"/>
              </w:rPr>
              <w:t>intérieur des pays</w:t>
            </w:r>
          </w:p>
        </w:tc>
        <w:tc>
          <w:tcPr>
            <w:tcW w:w="1491" w:type="pct"/>
            <w:tcMar>
              <w:left w:w="115" w:type="dxa"/>
              <w:right w:w="216" w:type="dxa"/>
            </w:tcMar>
          </w:tcPr>
          <w:p w14:paraId="017FC866" w14:textId="77777777" w:rsidR="00720BA7" w:rsidRPr="00C20600" w:rsidRDefault="00720BA7" w:rsidP="00720BA7">
            <w:pPr>
              <w:pStyle w:val="StyleHeader4Para4Left0Firstline0"/>
              <w:numPr>
                <w:ilvl w:val="0"/>
                <w:numId w:val="0"/>
              </w:numPr>
              <w:spacing w:after="0"/>
              <w:jc w:val="right"/>
              <w:rPr>
                <w:rFonts w:eastAsiaTheme="minorEastAsia"/>
                <w:color w:val="000000" w:themeColor="text1"/>
                <w:lang w:val="en-CA" w:eastAsia="zh-CN"/>
              </w:rPr>
            </w:pPr>
            <w:r w:rsidRPr="00C20600">
              <w:rPr>
                <w:rFonts w:eastAsiaTheme="minorEastAsia"/>
                <w:color w:val="000000" w:themeColor="text1"/>
                <w:lang w:val="en-CA" w:eastAsia="zh-CN"/>
              </w:rPr>
              <w:t>75</w:t>
            </w:r>
            <w:r>
              <w:rPr>
                <w:rFonts w:eastAsiaTheme="minorEastAsia"/>
                <w:color w:val="000000" w:themeColor="text1"/>
                <w:lang w:val="en-CA" w:eastAsia="zh-CN"/>
              </w:rPr>
              <w:t> </w:t>
            </w:r>
            <w:r w:rsidRPr="00C20600">
              <w:rPr>
                <w:rFonts w:eastAsiaTheme="minorEastAsia"/>
                <w:color w:val="000000" w:themeColor="text1"/>
                <w:lang w:val="en-CA" w:eastAsia="zh-CN"/>
              </w:rPr>
              <w:t>522</w:t>
            </w:r>
          </w:p>
        </w:tc>
      </w:tr>
      <w:tr w:rsidR="00720BA7" w:rsidRPr="00C20600" w14:paraId="699756DD" w14:textId="77777777" w:rsidTr="00720BA7">
        <w:tc>
          <w:tcPr>
            <w:tcW w:w="3509" w:type="pct"/>
          </w:tcPr>
          <w:p w14:paraId="57456BDD" w14:textId="77777777" w:rsidR="00720BA7" w:rsidRPr="00526FA5" w:rsidRDefault="00720BA7" w:rsidP="00720BA7">
            <w:pPr>
              <w:pStyle w:val="StyleHeader4Para4Left0Firstline0"/>
              <w:numPr>
                <w:ilvl w:val="0"/>
                <w:numId w:val="0"/>
              </w:numPr>
              <w:tabs>
                <w:tab w:val="clear" w:pos="2880"/>
                <w:tab w:val="left" w:pos="0"/>
              </w:tabs>
              <w:spacing w:after="0"/>
              <w:rPr>
                <w:lang w:val="en-CA"/>
              </w:rPr>
            </w:pPr>
            <w:r w:rsidRPr="00526FA5">
              <w:rPr>
                <w:lang w:val="fr-FR"/>
              </w:rPr>
              <w:t>Voyages internationaux</w:t>
            </w:r>
          </w:p>
        </w:tc>
        <w:tc>
          <w:tcPr>
            <w:tcW w:w="1491" w:type="pct"/>
            <w:tcMar>
              <w:left w:w="115" w:type="dxa"/>
              <w:right w:w="216" w:type="dxa"/>
            </w:tcMar>
          </w:tcPr>
          <w:p w14:paraId="1D47E134" w14:textId="77777777" w:rsidR="00720BA7" w:rsidRPr="00C20600" w:rsidRDefault="00720BA7" w:rsidP="00720BA7">
            <w:pPr>
              <w:pStyle w:val="StyleHeader4Para4Left0Firstline0"/>
              <w:numPr>
                <w:ilvl w:val="0"/>
                <w:numId w:val="0"/>
              </w:numPr>
              <w:spacing w:after="0"/>
              <w:jc w:val="right"/>
              <w:rPr>
                <w:rFonts w:eastAsiaTheme="minorEastAsia"/>
                <w:color w:val="000000" w:themeColor="text1"/>
                <w:lang w:val="en-CA" w:eastAsia="zh-CN"/>
              </w:rPr>
            </w:pPr>
            <w:r w:rsidRPr="00C20600">
              <w:rPr>
                <w:rFonts w:eastAsiaTheme="minorEastAsia"/>
                <w:color w:val="000000" w:themeColor="text1"/>
                <w:lang w:val="en-CA" w:eastAsia="zh-CN"/>
              </w:rPr>
              <w:t>8</w:t>
            </w:r>
            <w:r>
              <w:rPr>
                <w:rFonts w:eastAsiaTheme="minorEastAsia"/>
                <w:color w:val="000000" w:themeColor="text1"/>
                <w:lang w:val="en-CA" w:eastAsia="zh-CN"/>
              </w:rPr>
              <w:t> </w:t>
            </w:r>
            <w:r w:rsidRPr="00C20600">
              <w:rPr>
                <w:rFonts w:eastAsiaTheme="minorEastAsia"/>
                <w:color w:val="000000" w:themeColor="text1"/>
                <w:lang w:val="en-CA" w:eastAsia="zh-CN"/>
              </w:rPr>
              <w:t>990</w:t>
            </w:r>
          </w:p>
        </w:tc>
      </w:tr>
      <w:tr w:rsidR="00720BA7" w:rsidRPr="00C20600" w14:paraId="1D63CEDB" w14:textId="77777777" w:rsidTr="00720BA7">
        <w:tc>
          <w:tcPr>
            <w:tcW w:w="3509" w:type="pct"/>
          </w:tcPr>
          <w:p w14:paraId="6DEC475B" w14:textId="77777777" w:rsidR="00720BA7" w:rsidRPr="00526FA5" w:rsidRDefault="00720BA7" w:rsidP="00720BA7">
            <w:pPr>
              <w:pStyle w:val="StyleHeader4Para4Left0Firstline0"/>
              <w:numPr>
                <w:ilvl w:val="0"/>
                <w:numId w:val="0"/>
              </w:numPr>
              <w:tabs>
                <w:tab w:val="clear" w:pos="2880"/>
                <w:tab w:val="left" w:pos="0"/>
              </w:tabs>
              <w:spacing w:after="0"/>
              <w:rPr>
                <w:lang w:val="en-CA"/>
              </w:rPr>
            </w:pPr>
            <w:r w:rsidRPr="00526FA5">
              <w:rPr>
                <w:lang w:val="fr-FR"/>
              </w:rPr>
              <w:t>Réunions nationales</w:t>
            </w:r>
          </w:p>
        </w:tc>
        <w:tc>
          <w:tcPr>
            <w:tcW w:w="1491" w:type="pct"/>
            <w:tcMar>
              <w:left w:w="115" w:type="dxa"/>
              <w:right w:w="216" w:type="dxa"/>
            </w:tcMar>
          </w:tcPr>
          <w:p w14:paraId="1C7A5D8E" w14:textId="77777777" w:rsidR="00720BA7" w:rsidRPr="00C20600" w:rsidRDefault="00720BA7" w:rsidP="00720BA7">
            <w:pPr>
              <w:pStyle w:val="StyleHeader4Para4Left0Firstline0"/>
              <w:numPr>
                <w:ilvl w:val="0"/>
                <w:numId w:val="0"/>
              </w:numPr>
              <w:spacing w:after="0"/>
              <w:jc w:val="right"/>
              <w:rPr>
                <w:rFonts w:eastAsiaTheme="minorEastAsia"/>
                <w:color w:val="000000" w:themeColor="text1"/>
                <w:lang w:val="en-CA" w:eastAsia="zh-CN"/>
              </w:rPr>
            </w:pPr>
            <w:r w:rsidRPr="00C20600">
              <w:rPr>
                <w:rFonts w:eastAsiaTheme="minorEastAsia"/>
                <w:color w:val="000000" w:themeColor="text1"/>
                <w:lang w:val="en-CA" w:eastAsia="zh-CN"/>
              </w:rPr>
              <w:t>66</w:t>
            </w:r>
            <w:r>
              <w:rPr>
                <w:rFonts w:eastAsiaTheme="minorEastAsia"/>
                <w:color w:val="000000" w:themeColor="text1"/>
                <w:lang w:val="en-CA" w:eastAsia="zh-CN"/>
              </w:rPr>
              <w:t> </w:t>
            </w:r>
            <w:r w:rsidRPr="00C20600">
              <w:rPr>
                <w:rFonts w:eastAsiaTheme="minorEastAsia"/>
                <w:color w:val="000000" w:themeColor="text1"/>
                <w:lang w:val="en-CA" w:eastAsia="zh-CN"/>
              </w:rPr>
              <w:t>532</w:t>
            </w:r>
          </w:p>
        </w:tc>
      </w:tr>
      <w:tr w:rsidR="00720BA7" w:rsidRPr="00C20600" w14:paraId="0E69AD1D" w14:textId="77777777" w:rsidTr="00720BA7">
        <w:tc>
          <w:tcPr>
            <w:tcW w:w="3509" w:type="pct"/>
          </w:tcPr>
          <w:p w14:paraId="190358DD" w14:textId="77777777" w:rsidR="00720BA7" w:rsidRPr="00526FA5" w:rsidRDefault="00720BA7" w:rsidP="00720BA7">
            <w:pPr>
              <w:pStyle w:val="StyleHeader4Para4Left0Firstline0"/>
              <w:numPr>
                <w:ilvl w:val="0"/>
                <w:numId w:val="0"/>
              </w:numPr>
              <w:tabs>
                <w:tab w:val="clear" w:pos="2880"/>
                <w:tab w:val="left" w:pos="0"/>
              </w:tabs>
              <w:spacing w:after="0"/>
              <w:rPr>
                <w:lang w:val="en-CA"/>
              </w:rPr>
            </w:pPr>
            <w:r w:rsidRPr="00526FA5">
              <w:rPr>
                <w:lang w:val="fr-FR"/>
              </w:rPr>
              <w:t>Service de consultance</w:t>
            </w:r>
          </w:p>
        </w:tc>
        <w:tc>
          <w:tcPr>
            <w:tcW w:w="1491" w:type="pct"/>
            <w:tcMar>
              <w:left w:w="115" w:type="dxa"/>
              <w:right w:w="216" w:type="dxa"/>
            </w:tcMar>
          </w:tcPr>
          <w:p w14:paraId="3074DDB1" w14:textId="77777777" w:rsidR="00720BA7" w:rsidRPr="00C20600" w:rsidRDefault="00720BA7" w:rsidP="00720BA7">
            <w:pPr>
              <w:pStyle w:val="StyleHeader4Para4Left0Firstline0"/>
              <w:numPr>
                <w:ilvl w:val="0"/>
                <w:numId w:val="0"/>
              </w:numPr>
              <w:spacing w:after="0"/>
              <w:jc w:val="right"/>
              <w:rPr>
                <w:color w:val="000000" w:themeColor="text1"/>
                <w:lang w:val="en-CA"/>
              </w:rPr>
            </w:pPr>
            <w:r w:rsidRPr="00C20600">
              <w:rPr>
                <w:color w:val="000000" w:themeColor="text1"/>
                <w:lang w:val="en-CA"/>
              </w:rPr>
              <w:t>59</w:t>
            </w:r>
            <w:r>
              <w:rPr>
                <w:color w:val="000000" w:themeColor="text1"/>
                <w:lang w:val="en-CA"/>
              </w:rPr>
              <w:t> </w:t>
            </w:r>
            <w:r w:rsidRPr="00C20600">
              <w:rPr>
                <w:color w:val="000000" w:themeColor="text1"/>
                <w:lang w:val="en-CA"/>
              </w:rPr>
              <w:t>339</w:t>
            </w:r>
          </w:p>
        </w:tc>
      </w:tr>
      <w:tr w:rsidR="00720BA7" w:rsidRPr="00C20600" w14:paraId="71DA440C" w14:textId="77777777" w:rsidTr="00720BA7">
        <w:tc>
          <w:tcPr>
            <w:tcW w:w="3509" w:type="pct"/>
          </w:tcPr>
          <w:p w14:paraId="0722F4E6" w14:textId="77777777" w:rsidR="00720BA7" w:rsidRPr="00526FA5" w:rsidRDefault="00720BA7" w:rsidP="00720BA7">
            <w:pPr>
              <w:pStyle w:val="StyleHeader4Para4Left0Firstline0"/>
              <w:numPr>
                <w:ilvl w:val="0"/>
                <w:numId w:val="0"/>
              </w:numPr>
              <w:tabs>
                <w:tab w:val="clear" w:pos="2880"/>
                <w:tab w:val="left" w:pos="0"/>
              </w:tabs>
              <w:spacing w:after="0"/>
              <w:rPr>
                <w:lang w:val="en-CA"/>
              </w:rPr>
            </w:pPr>
            <w:r w:rsidRPr="00526FA5">
              <w:rPr>
                <w:lang w:val="fr-FR"/>
              </w:rPr>
              <w:t>Personnel de soutien</w:t>
            </w:r>
          </w:p>
        </w:tc>
        <w:tc>
          <w:tcPr>
            <w:tcW w:w="1491" w:type="pct"/>
            <w:tcMar>
              <w:left w:w="115" w:type="dxa"/>
              <w:right w:w="216" w:type="dxa"/>
            </w:tcMar>
          </w:tcPr>
          <w:p w14:paraId="6319DA58" w14:textId="77777777" w:rsidR="00720BA7" w:rsidRPr="00C20600" w:rsidRDefault="00720BA7" w:rsidP="00720BA7">
            <w:pPr>
              <w:pStyle w:val="StyleHeader4Para4Left0Firstline0"/>
              <w:numPr>
                <w:ilvl w:val="0"/>
                <w:numId w:val="0"/>
              </w:numPr>
              <w:spacing w:after="0"/>
              <w:jc w:val="right"/>
              <w:rPr>
                <w:color w:val="000000" w:themeColor="text1"/>
                <w:lang w:val="en-CA"/>
              </w:rPr>
            </w:pPr>
            <w:r w:rsidRPr="00C20600">
              <w:rPr>
                <w:color w:val="000000" w:themeColor="text1"/>
                <w:lang w:val="en-CA"/>
              </w:rPr>
              <w:t>499</w:t>
            </w:r>
            <w:r>
              <w:rPr>
                <w:color w:val="000000" w:themeColor="text1"/>
                <w:lang w:val="en-CA"/>
              </w:rPr>
              <w:t> </w:t>
            </w:r>
            <w:r w:rsidRPr="00C20600">
              <w:rPr>
                <w:color w:val="000000" w:themeColor="text1"/>
                <w:lang w:val="en-CA"/>
              </w:rPr>
              <w:t>887</w:t>
            </w:r>
          </w:p>
        </w:tc>
      </w:tr>
      <w:tr w:rsidR="00720BA7" w:rsidRPr="00C20600" w14:paraId="789194F2" w14:textId="77777777" w:rsidTr="00720BA7">
        <w:tc>
          <w:tcPr>
            <w:tcW w:w="3509" w:type="pct"/>
          </w:tcPr>
          <w:p w14:paraId="5D7177A5" w14:textId="77777777" w:rsidR="00720BA7" w:rsidRPr="00720BA7" w:rsidRDefault="00720BA7" w:rsidP="00720BA7">
            <w:pPr>
              <w:pStyle w:val="StyleHeader4Para4Left0Firstline0"/>
              <w:numPr>
                <w:ilvl w:val="0"/>
                <w:numId w:val="0"/>
              </w:numPr>
              <w:tabs>
                <w:tab w:val="clear" w:pos="2880"/>
                <w:tab w:val="left" w:pos="0"/>
              </w:tabs>
              <w:spacing w:after="0"/>
              <w:rPr>
                <w:lang w:val="fr-CA"/>
              </w:rPr>
            </w:pPr>
            <w:r w:rsidRPr="00526FA5">
              <w:rPr>
                <w:lang w:val="fr-FR"/>
              </w:rPr>
              <w:t>Ordinateurs</w:t>
            </w:r>
            <w:r>
              <w:rPr>
                <w:lang w:val="fr-FR"/>
              </w:rPr>
              <w:t xml:space="preserve"> </w:t>
            </w:r>
            <w:r w:rsidRPr="00526FA5">
              <w:rPr>
                <w:lang w:val="fr-FR"/>
              </w:rPr>
              <w:t>internet, courrier, téléphone, impression</w:t>
            </w:r>
            <w:r w:rsidRPr="00720BA7">
              <w:rPr>
                <w:lang w:val="fr-CA"/>
              </w:rPr>
              <w:t xml:space="preserve"> </w:t>
            </w:r>
          </w:p>
        </w:tc>
        <w:tc>
          <w:tcPr>
            <w:tcW w:w="1491" w:type="pct"/>
            <w:tcMar>
              <w:left w:w="115" w:type="dxa"/>
              <w:right w:w="216" w:type="dxa"/>
            </w:tcMar>
          </w:tcPr>
          <w:p w14:paraId="6507D55F" w14:textId="77777777" w:rsidR="00720BA7" w:rsidRPr="00C20600" w:rsidRDefault="00720BA7" w:rsidP="00720BA7">
            <w:pPr>
              <w:pStyle w:val="StyleHeader4Para4Left0Firstline0"/>
              <w:numPr>
                <w:ilvl w:val="0"/>
                <w:numId w:val="0"/>
              </w:numPr>
              <w:spacing w:after="0"/>
              <w:jc w:val="right"/>
              <w:rPr>
                <w:color w:val="000000" w:themeColor="text1"/>
                <w:lang w:val="en-CA"/>
              </w:rPr>
            </w:pPr>
            <w:r w:rsidRPr="00C20600">
              <w:rPr>
                <w:color w:val="000000" w:themeColor="text1"/>
                <w:lang w:val="en-CA"/>
              </w:rPr>
              <w:t>124</w:t>
            </w:r>
            <w:r>
              <w:rPr>
                <w:color w:val="000000" w:themeColor="text1"/>
                <w:lang w:val="en-CA"/>
              </w:rPr>
              <w:t> </w:t>
            </w:r>
            <w:r w:rsidRPr="00C20600">
              <w:rPr>
                <w:color w:val="000000" w:themeColor="text1"/>
                <w:lang w:val="en-CA"/>
              </w:rPr>
              <w:t>073</w:t>
            </w:r>
          </w:p>
        </w:tc>
      </w:tr>
      <w:tr w:rsidR="00720BA7" w:rsidRPr="00C20600" w14:paraId="04338053" w14:textId="77777777" w:rsidTr="00720BA7">
        <w:trPr>
          <w:trHeight w:val="89"/>
        </w:trPr>
        <w:tc>
          <w:tcPr>
            <w:tcW w:w="3509" w:type="pct"/>
          </w:tcPr>
          <w:p w14:paraId="040BF64A" w14:textId="77777777" w:rsidR="00720BA7" w:rsidRPr="00720BA7" w:rsidRDefault="00720BA7" w:rsidP="00720BA7">
            <w:pPr>
              <w:pStyle w:val="StyleHeader4Para4Left0Firstline0"/>
              <w:numPr>
                <w:ilvl w:val="0"/>
                <w:numId w:val="0"/>
              </w:numPr>
              <w:tabs>
                <w:tab w:val="clear" w:pos="2880"/>
                <w:tab w:val="left" w:pos="0"/>
              </w:tabs>
              <w:spacing w:after="0"/>
              <w:rPr>
                <w:lang w:val="fr-CA"/>
              </w:rPr>
            </w:pPr>
            <w:r w:rsidRPr="00E8761A">
              <w:rPr>
                <w:lang w:val="fr-FR"/>
              </w:rPr>
              <w:t>Service d</w:t>
            </w:r>
            <w:r>
              <w:rPr>
                <w:lang w:val="fr-FR"/>
              </w:rPr>
              <w:t>’</w:t>
            </w:r>
            <w:r w:rsidRPr="00E8761A">
              <w:rPr>
                <w:lang w:val="fr-FR"/>
              </w:rPr>
              <w:t>exploitation et de maintenance du bureau</w:t>
            </w:r>
            <w:r>
              <w:rPr>
                <w:lang w:val="fr-FR"/>
              </w:rPr>
              <w:t xml:space="preserve"> </w:t>
            </w:r>
            <w:r w:rsidRPr="00E8761A">
              <w:rPr>
                <w:lang w:val="fr-FR"/>
              </w:rPr>
              <w:t>services collectifs</w:t>
            </w:r>
          </w:p>
        </w:tc>
        <w:tc>
          <w:tcPr>
            <w:tcW w:w="1491" w:type="pct"/>
            <w:tcMar>
              <w:left w:w="115" w:type="dxa"/>
              <w:right w:w="216" w:type="dxa"/>
            </w:tcMar>
          </w:tcPr>
          <w:p w14:paraId="59F4176C" w14:textId="77777777" w:rsidR="00720BA7" w:rsidRPr="00C20600" w:rsidRDefault="00720BA7" w:rsidP="00720BA7">
            <w:pPr>
              <w:pStyle w:val="StyleHeader4Para4Left0Firstline0"/>
              <w:numPr>
                <w:ilvl w:val="0"/>
                <w:numId w:val="0"/>
              </w:numPr>
              <w:spacing w:after="0"/>
              <w:jc w:val="right"/>
              <w:rPr>
                <w:color w:val="000000" w:themeColor="text1"/>
                <w:lang w:val="en-CA"/>
              </w:rPr>
            </w:pPr>
            <w:r w:rsidRPr="00C20600">
              <w:rPr>
                <w:color w:val="000000" w:themeColor="text1"/>
                <w:lang w:val="en-CA"/>
              </w:rPr>
              <w:t>339</w:t>
            </w:r>
            <w:r>
              <w:rPr>
                <w:color w:val="000000" w:themeColor="text1"/>
                <w:lang w:val="en-CA"/>
              </w:rPr>
              <w:t> </w:t>
            </w:r>
            <w:r w:rsidRPr="00C20600">
              <w:rPr>
                <w:color w:val="000000" w:themeColor="text1"/>
                <w:lang w:val="en-CA"/>
              </w:rPr>
              <w:t>851</w:t>
            </w:r>
          </w:p>
        </w:tc>
      </w:tr>
      <w:tr w:rsidR="00720BA7" w:rsidRPr="00C20600" w14:paraId="4C68246A" w14:textId="77777777" w:rsidTr="00720BA7">
        <w:trPr>
          <w:trHeight w:val="35"/>
        </w:trPr>
        <w:tc>
          <w:tcPr>
            <w:tcW w:w="3509" w:type="pct"/>
          </w:tcPr>
          <w:p w14:paraId="46CEADD1" w14:textId="77777777" w:rsidR="00720BA7" w:rsidRPr="00E8761A" w:rsidRDefault="00720BA7" w:rsidP="00720BA7">
            <w:pPr>
              <w:pStyle w:val="StyleHeader4Para4Left0Firstline0"/>
              <w:numPr>
                <w:ilvl w:val="0"/>
                <w:numId w:val="0"/>
              </w:numPr>
              <w:tabs>
                <w:tab w:val="clear" w:pos="2880"/>
                <w:tab w:val="left" w:pos="0"/>
              </w:tabs>
              <w:spacing w:after="0"/>
              <w:rPr>
                <w:b/>
                <w:lang w:val="en-CA"/>
              </w:rPr>
            </w:pPr>
            <w:r w:rsidRPr="00E8761A">
              <w:rPr>
                <w:b/>
                <w:lang w:val="fr-FR"/>
              </w:rPr>
              <w:t>Total</w:t>
            </w:r>
          </w:p>
        </w:tc>
        <w:tc>
          <w:tcPr>
            <w:tcW w:w="1491" w:type="pct"/>
            <w:tcMar>
              <w:left w:w="115" w:type="dxa"/>
              <w:right w:w="216" w:type="dxa"/>
            </w:tcMar>
          </w:tcPr>
          <w:p w14:paraId="01EF1793" w14:textId="77777777" w:rsidR="00720BA7" w:rsidRPr="00C20600" w:rsidRDefault="00720BA7" w:rsidP="00720BA7">
            <w:pPr>
              <w:pStyle w:val="StyleHeader4Para4Left0Firstline0"/>
              <w:numPr>
                <w:ilvl w:val="0"/>
                <w:numId w:val="0"/>
              </w:numPr>
              <w:spacing w:after="0"/>
              <w:jc w:val="right"/>
              <w:rPr>
                <w:b/>
                <w:lang w:val="en-CA"/>
              </w:rPr>
            </w:pPr>
            <w:r w:rsidRPr="00C20600">
              <w:rPr>
                <w:b/>
                <w:lang w:val="en-CA"/>
              </w:rPr>
              <w:t>1</w:t>
            </w:r>
            <w:r>
              <w:rPr>
                <w:b/>
                <w:lang w:val="en-CA"/>
              </w:rPr>
              <w:t> </w:t>
            </w:r>
            <w:r w:rsidRPr="00C20600">
              <w:rPr>
                <w:b/>
                <w:lang w:val="en-CA"/>
              </w:rPr>
              <w:t>798</w:t>
            </w:r>
            <w:r>
              <w:rPr>
                <w:b/>
                <w:lang w:val="en-CA"/>
              </w:rPr>
              <w:t> </w:t>
            </w:r>
            <w:r w:rsidRPr="00C20600">
              <w:rPr>
                <w:b/>
                <w:lang w:val="en-CA"/>
              </w:rPr>
              <w:t>154</w:t>
            </w:r>
          </w:p>
        </w:tc>
      </w:tr>
    </w:tbl>
    <w:bookmarkEnd w:id="9"/>
    <w:bookmarkEnd w:id="10"/>
    <w:p w14:paraId="5249D153" w14:textId="77777777" w:rsidR="00720BA7" w:rsidRPr="00E8761A" w:rsidRDefault="00720BA7" w:rsidP="002807D2">
      <w:pPr>
        <w:pStyle w:val="2a"/>
        <w:spacing w:before="240"/>
        <w:rPr>
          <w:color w:val="000000" w:themeColor="text1"/>
          <w:sz w:val="22"/>
          <w:szCs w:val="22"/>
          <w:lang w:val="en-CA"/>
        </w:rPr>
      </w:pPr>
      <w:r w:rsidRPr="00E8761A">
        <w:rPr>
          <w:color w:val="000000" w:themeColor="text1"/>
          <w:sz w:val="22"/>
          <w:szCs w:val="22"/>
          <w:lang w:val="fr-FR"/>
        </w:rPr>
        <w:t>Cofinancement</w:t>
      </w:r>
    </w:p>
    <w:p w14:paraId="74F02D53" w14:textId="77777777" w:rsidR="00720BA7" w:rsidRPr="00720BA7" w:rsidRDefault="00720BA7" w:rsidP="00720BA7">
      <w:pPr>
        <w:pStyle w:val="Heading1"/>
        <w:keepNext/>
        <w:keepLines/>
        <w:widowControl w:val="0"/>
        <w:rPr>
          <w:rStyle w:val="tw4winMark"/>
          <w:vanish w:val="0"/>
          <w:lang w:val="fr-CA"/>
        </w:rPr>
      </w:pPr>
      <w:r w:rsidRPr="00E8761A">
        <w:rPr>
          <w:lang w:val="fr-FR"/>
        </w:rPr>
        <w:t>Les coûts du plan de la phase II révisée et prolongée du secteur ICR ont été estimés sur le rapport coût-efficacité des projets mis en œuvre et du financement disponible.</w:t>
      </w:r>
      <w:r w:rsidRPr="00720BA7">
        <w:rPr>
          <w:lang w:val="fr-CA"/>
        </w:rPr>
        <w:t xml:space="preserve"> </w:t>
      </w:r>
      <w:r w:rsidRPr="00E8761A">
        <w:rPr>
          <w:lang w:val="fr-FR"/>
        </w:rPr>
        <w:t>Les coûts réels seront plus élevés que le financement demandé.</w:t>
      </w:r>
      <w:r w:rsidRPr="00720BA7">
        <w:rPr>
          <w:lang w:val="fr-CA"/>
        </w:rPr>
        <w:t xml:space="preserve"> </w:t>
      </w:r>
      <w:r w:rsidRPr="00E8761A">
        <w:rPr>
          <w:lang w:val="fr-FR"/>
        </w:rPr>
        <w:t>Pour assurer une mise en œuvre sans problème, efficace et réussie du plan de secteur, les entreprises doivent lever des fonds supplémentaires par leurs propres moyens.</w:t>
      </w:r>
      <w:r w:rsidRPr="00720BA7">
        <w:rPr>
          <w:lang w:val="fr-CA"/>
        </w:rPr>
        <w:t xml:space="preserve"> </w:t>
      </w:r>
    </w:p>
    <w:p w14:paraId="6B0FE47B" w14:textId="77777777" w:rsidR="00720BA7" w:rsidRPr="00E3303D" w:rsidRDefault="00720BA7" w:rsidP="00720BA7">
      <w:pPr>
        <w:widowControl w:val="0"/>
        <w:rPr>
          <w:b/>
          <w:szCs w:val="32"/>
          <w:lang w:val="fr-CA"/>
        </w:rPr>
      </w:pPr>
      <w:r w:rsidRPr="00E8761A">
        <w:rPr>
          <w:b/>
          <w:szCs w:val="32"/>
          <w:lang w:val="fr-FR"/>
        </w:rPr>
        <w:t>Observations du Secrétariat</w:t>
      </w:r>
    </w:p>
    <w:p w14:paraId="5BBD3446" w14:textId="77777777" w:rsidR="00720BA7" w:rsidRPr="00E3303D" w:rsidRDefault="00720BA7" w:rsidP="00720BA7">
      <w:pPr>
        <w:widowControl w:val="0"/>
        <w:rPr>
          <w:b/>
          <w:szCs w:val="32"/>
          <w:lang w:val="fr-CA"/>
        </w:rPr>
      </w:pPr>
    </w:p>
    <w:p w14:paraId="048B495C" w14:textId="77777777" w:rsidR="00720BA7" w:rsidRPr="00720BA7" w:rsidRDefault="00720BA7" w:rsidP="00720BA7">
      <w:pPr>
        <w:widowControl w:val="0"/>
        <w:rPr>
          <w:szCs w:val="32"/>
          <w:u w:val="single"/>
          <w:lang w:val="fr-CA"/>
        </w:rPr>
      </w:pPr>
      <w:r w:rsidRPr="00E8761A">
        <w:rPr>
          <w:szCs w:val="32"/>
          <w:u w:val="single"/>
          <w:lang w:val="fr-FR"/>
        </w:rPr>
        <w:t>L</w:t>
      </w:r>
      <w:r>
        <w:rPr>
          <w:szCs w:val="32"/>
          <w:u w:val="single"/>
          <w:lang w:val="fr-FR"/>
        </w:rPr>
        <w:t>’</w:t>
      </w:r>
      <w:r w:rsidRPr="00E8761A">
        <w:rPr>
          <w:szCs w:val="32"/>
          <w:u w:val="single"/>
          <w:lang w:val="fr-FR"/>
        </w:rPr>
        <w:t>engagement à atteindre les objectifs de conformité</w:t>
      </w:r>
    </w:p>
    <w:p w14:paraId="6E89FF6C" w14:textId="77777777" w:rsidR="00720BA7" w:rsidRPr="00720BA7" w:rsidRDefault="00720BA7" w:rsidP="00720BA7">
      <w:pPr>
        <w:widowControl w:val="0"/>
        <w:rPr>
          <w:szCs w:val="32"/>
          <w:u w:val="single"/>
          <w:lang w:val="fr-CA"/>
        </w:rPr>
      </w:pPr>
    </w:p>
    <w:p w14:paraId="3F18CA7F" w14:textId="2A2C95F0" w:rsidR="00720BA7" w:rsidRPr="00720BA7" w:rsidRDefault="00720BA7" w:rsidP="00720BA7">
      <w:pPr>
        <w:pStyle w:val="Heading1"/>
        <w:widowControl w:val="0"/>
        <w:rPr>
          <w:lang w:val="fr-CA"/>
        </w:rPr>
      </w:pPr>
      <w:r w:rsidRPr="00E8761A">
        <w:rPr>
          <w:lang w:val="fr-FR"/>
        </w:rPr>
        <w:t>Les objectifs de consommation proposés pour le secteur ICR sont conformes au calendrier d</w:t>
      </w:r>
      <w:r>
        <w:rPr>
          <w:lang w:val="fr-FR"/>
        </w:rPr>
        <w:t>’</w:t>
      </w:r>
      <w:r w:rsidRPr="00E8761A">
        <w:rPr>
          <w:lang w:val="fr-FR"/>
        </w:rPr>
        <w:t>élimination du Protocole de Montréal.</w:t>
      </w:r>
      <w:r w:rsidRPr="00720BA7">
        <w:rPr>
          <w:lang w:val="fr-CA"/>
        </w:rPr>
        <w:t xml:space="preserve"> </w:t>
      </w:r>
      <w:r w:rsidRPr="00E8761A">
        <w:rPr>
          <w:lang w:val="fr-FR"/>
        </w:rPr>
        <w:t>La demande soumise a souligné plusieurs défis, notamment : la complexité du secteur avec sa large gamme de produits non standard et les différences significatives dans la configuration des chaînes de fabrication ; le grand nombre de PME aux capacités techniques limitées ; le nombre restreint de technologies de remplacement viables à faible PRP</w:t>
      </w:r>
      <w:r w:rsidR="002807D2">
        <w:rPr>
          <w:lang w:val="fr-FR"/>
        </w:rPr>
        <w:t xml:space="preserve"> </w:t>
      </w:r>
      <w:r w:rsidRPr="00E8761A">
        <w:rPr>
          <w:lang w:val="fr-FR"/>
        </w:rPr>
        <w:t>;</w:t>
      </w:r>
      <w:r>
        <w:rPr>
          <w:lang w:val="fr-FR"/>
        </w:rPr>
        <w:t xml:space="preserve"> </w:t>
      </w:r>
      <w:r w:rsidRPr="00E8761A">
        <w:rPr>
          <w:lang w:val="fr-FR"/>
        </w:rPr>
        <w:t>et les ressources disponibles limitées.</w:t>
      </w:r>
      <w:r w:rsidRPr="00720BA7">
        <w:rPr>
          <w:lang w:val="fr-CA"/>
        </w:rPr>
        <w:t xml:space="preserve"> </w:t>
      </w:r>
      <w:r w:rsidRPr="00AD2630">
        <w:rPr>
          <w:lang w:val="fr-FR"/>
        </w:rPr>
        <w:t>Toutefois, le PNUD a confirmé que le gouvernement s</w:t>
      </w:r>
      <w:r>
        <w:rPr>
          <w:lang w:val="fr-FR"/>
        </w:rPr>
        <w:t>’</w:t>
      </w:r>
      <w:r w:rsidRPr="00AD2630">
        <w:rPr>
          <w:lang w:val="fr-FR"/>
        </w:rPr>
        <w:t>engage à atteindre les objectifs de conformité du Protocole de Montréal et ceux de l</w:t>
      </w:r>
      <w:r>
        <w:rPr>
          <w:lang w:val="fr-FR"/>
        </w:rPr>
        <w:t>’</w:t>
      </w:r>
      <w:r w:rsidRPr="00AD2630">
        <w:rPr>
          <w:lang w:val="fr-FR"/>
        </w:rPr>
        <w:t>accord conclu avec le Comité exécutif.</w:t>
      </w:r>
      <w:r w:rsidRPr="00720BA7">
        <w:rPr>
          <w:lang w:val="fr-CA"/>
        </w:rPr>
        <w:t xml:space="preserve"> </w:t>
      </w:r>
    </w:p>
    <w:p w14:paraId="351D3225" w14:textId="77777777" w:rsidR="00720BA7" w:rsidRPr="00720BA7" w:rsidRDefault="00720BA7" w:rsidP="00720BA7">
      <w:pPr>
        <w:pStyle w:val="Heading1"/>
        <w:widowControl w:val="0"/>
        <w:numPr>
          <w:ilvl w:val="0"/>
          <w:numId w:val="0"/>
        </w:numPr>
        <w:rPr>
          <w:u w:val="single"/>
          <w:lang w:val="fr-CA"/>
        </w:rPr>
      </w:pPr>
      <w:r w:rsidRPr="00AD2630">
        <w:rPr>
          <w:u w:val="single"/>
          <w:lang w:val="fr-FR"/>
        </w:rPr>
        <w:t xml:space="preserve">Achèvement de la phase I du plan du secteur </w:t>
      </w:r>
      <w:r>
        <w:rPr>
          <w:u w:val="single"/>
          <w:lang w:val="fr-FR"/>
        </w:rPr>
        <w:t>ICR</w:t>
      </w:r>
    </w:p>
    <w:p w14:paraId="3C197E46" w14:textId="77777777" w:rsidR="00720BA7" w:rsidRPr="00720BA7" w:rsidRDefault="00720BA7" w:rsidP="00720BA7">
      <w:pPr>
        <w:pStyle w:val="Heading1"/>
        <w:widowControl w:val="0"/>
        <w:rPr>
          <w:rFonts w:eastAsiaTheme="minorEastAsia"/>
          <w:lang w:val="fr-CA" w:eastAsia="zh-CN"/>
        </w:rPr>
      </w:pPr>
      <w:r w:rsidRPr="00AD2630">
        <w:rPr>
          <w:lang w:val="fr-FR"/>
        </w:rPr>
        <w:t>En réponse à une question sur le décaissement des coûts différentiels d</w:t>
      </w:r>
      <w:r>
        <w:rPr>
          <w:lang w:val="fr-FR"/>
        </w:rPr>
        <w:t>’</w:t>
      </w:r>
      <w:r w:rsidRPr="00AD2630">
        <w:rPr>
          <w:lang w:val="fr-FR"/>
        </w:rPr>
        <w:t>exploitation et sur la production à l</w:t>
      </w:r>
      <w:r>
        <w:rPr>
          <w:lang w:val="fr-FR"/>
        </w:rPr>
        <w:t>’</w:t>
      </w:r>
      <w:r w:rsidRPr="00AD2630">
        <w:rPr>
          <w:lang w:val="fr-FR"/>
        </w:rPr>
        <w:t>aide de technologies de remplacement sur les chaînes reconverties lors de la phase I, le PNUD a expliqué que tous les décaissements des coûts différentiels d</w:t>
      </w:r>
      <w:r>
        <w:rPr>
          <w:lang w:val="fr-FR"/>
        </w:rPr>
        <w:t>’</w:t>
      </w:r>
      <w:r w:rsidRPr="00AD2630">
        <w:rPr>
          <w:lang w:val="fr-FR"/>
        </w:rPr>
        <w:t>exploitation sont basés sur les produits fabriqués et vendus ; tous les fonds ont été engagés et une partie des coûts différentiels d</w:t>
      </w:r>
      <w:r>
        <w:rPr>
          <w:lang w:val="fr-FR"/>
        </w:rPr>
        <w:t>’</w:t>
      </w:r>
      <w:r w:rsidRPr="00AD2630">
        <w:rPr>
          <w:lang w:val="fr-FR"/>
        </w:rPr>
        <w:t>exploitation ont été décaissés pour les 15 chaînes de fabrication restantes reconverties au HFC-32. Les ventes de produits à base de HFC-32 sont limitées, mais les entreprises s</w:t>
      </w:r>
      <w:r>
        <w:rPr>
          <w:lang w:val="fr-FR"/>
        </w:rPr>
        <w:t>’</w:t>
      </w:r>
      <w:r w:rsidRPr="00AD2630">
        <w:rPr>
          <w:lang w:val="fr-FR"/>
        </w:rPr>
        <w:t>occupent activement à en promouvoir la commercialisation</w:t>
      </w:r>
      <w:r w:rsidRPr="00AD2630">
        <w:rPr>
          <w:rFonts w:eastAsiaTheme="minorEastAsia"/>
          <w:lang w:val="fr-FR" w:eastAsia="zh-CN"/>
        </w:rPr>
        <w:t>.</w:t>
      </w:r>
      <w:r w:rsidRPr="00720BA7">
        <w:rPr>
          <w:rFonts w:eastAsiaTheme="minorEastAsia"/>
          <w:lang w:val="fr-CA" w:eastAsia="zh-CN"/>
        </w:rPr>
        <w:t xml:space="preserve"> </w:t>
      </w:r>
      <w:r w:rsidRPr="00AD2630">
        <w:rPr>
          <w:rFonts w:eastAsiaTheme="minorEastAsia"/>
          <w:lang w:val="fr-FR" w:eastAsia="zh-CN"/>
        </w:rPr>
        <w:t>Il n</w:t>
      </w:r>
      <w:r>
        <w:rPr>
          <w:rFonts w:eastAsiaTheme="minorEastAsia"/>
          <w:lang w:val="fr-FR" w:eastAsia="zh-CN"/>
        </w:rPr>
        <w:t>’</w:t>
      </w:r>
      <w:r w:rsidRPr="00AD2630">
        <w:rPr>
          <w:rFonts w:eastAsiaTheme="minorEastAsia"/>
          <w:lang w:val="fr-FR" w:eastAsia="zh-CN"/>
        </w:rPr>
        <w:t>y a pas de problème d</w:t>
      </w:r>
      <w:r>
        <w:rPr>
          <w:rFonts w:eastAsiaTheme="minorEastAsia"/>
          <w:lang w:val="fr-FR" w:eastAsia="zh-CN"/>
        </w:rPr>
        <w:t>’</w:t>
      </w:r>
      <w:r w:rsidRPr="00AD2630">
        <w:rPr>
          <w:rFonts w:eastAsiaTheme="minorEastAsia"/>
          <w:lang w:val="fr-FR" w:eastAsia="zh-CN"/>
        </w:rPr>
        <w:t>adoption sur le marché des produits reconvertis à d</w:t>
      </w:r>
      <w:r>
        <w:rPr>
          <w:rFonts w:eastAsiaTheme="minorEastAsia"/>
          <w:lang w:val="fr-FR" w:eastAsia="zh-CN"/>
        </w:rPr>
        <w:t>’</w:t>
      </w:r>
      <w:r w:rsidRPr="00AD2630">
        <w:rPr>
          <w:rFonts w:eastAsiaTheme="minorEastAsia"/>
          <w:lang w:val="fr-FR" w:eastAsia="zh-CN"/>
        </w:rPr>
        <w:t>autres technologies de remplacement lors de la phase I.</w:t>
      </w:r>
      <w:r w:rsidRPr="00720BA7">
        <w:rPr>
          <w:rFonts w:eastAsiaTheme="minorEastAsia"/>
          <w:lang w:val="fr-CA" w:eastAsia="zh-CN"/>
        </w:rPr>
        <w:t xml:space="preserve"> </w:t>
      </w:r>
    </w:p>
    <w:p w14:paraId="390E0C30" w14:textId="77777777" w:rsidR="00720BA7" w:rsidRPr="00720BA7" w:rsidRDefault="00720BA7" w:rsidP="00720BA7">
      <w:pPr>
        <w:pStyle w:val="Heading1"/>
        <w:widowControl w:val="0"/>
        <w:rPr>
          <w:lang w:val="fr-CA"/>
        </w:rPr>
      </w:pPr>
      <w:r w:rsidRPr="00AD2630">
        <w:rPr>
          <w:lang w:val="fr-FR" w:eastAsia="zh-CN"/>
        </w:rPr>
        <w:t>Le Secrétariat a noté qu</w:t>
      </w:r>
      <w:r>
        <w:rPr>
          <w:lang w:val="fr-FR" w:eastAsia="zh-CN"/>
        </w:rPr>
        <w:t>’</w:t>
      </w:r>
      <w:r w:rsidRPr="00AD2630">
        <w:rPr>
          <w:lang w:val="fr-FR" w:eastAsia="zh-CN"/>
        </w:rPr>
        <w:t>un rapport d</w:t>
      </w:r>
      <w:r>
        <w:rPr>
          <w:lang w:val="fr-FR" w:eastAsia="zh-CN"/>
        </w:rPr>
        <w:t>’</w:t>
      </w:r>
      <w:r w:rsidRPr="00AD2630">
        <w:rPr>
          <w:lang w:val="fr-FR" w:eastAsia="zh-CN"/>
        </w:rPr>
        <w:t>achèvement de projet a été soumis à la 85</w:t>
      </w:r>
      <w:r w:rsidRPr="00AD2630">
        <w:rPr>
          <w:vertAlign w:val="superscript"/>
          <w:lang w:val="fr-FR" w:eastAsia="zh-CN"/>
        </w:rPr>
        <w:t>e</w:t>
      </w:r>
      <w:r w:rsidRPr="00AD2630">
        <w:rPr>
          <w:lang w:val="fr-FR" w:eastAsia="zh-CN"/>
        </w:rPr>
        <w:t xml:space="preserve"> réunion et s</w:t>
      </w:r>
      <w:r>
        <w:rPr>
          <w:lang w:val="fr-FR" w:eastAsia="zh-CN"/>
        </w:rPr>
        <w:t>’</w:t>
      </w:r>
      <w:r w:rsidRPr="00AD2630">
        <w:rPr>
          <w:lang w:val="fr-FR" w:eastAsia="zh-CN"/>
        </w:rPr>
        <w:t>est enquis du niveau estimatif de financement à restituer à l</w:t>
      </w:r>
      <w:r>
        <w:rPr>
          <w:lang w:val="fr-FR" w:eastAsia="zh-CN"/>
        </w:rPr>
        <w:t>’</w:t>
      </w:r>
      <w:r w:rsidRPr="00AD2630">
        <w:rPr>
          <w:lang w:val="fr-FR" w:eastAsia="zh-CN"/>
        </w:rPr>
        <w:t>issue de la clôture financière.</w:t>
      </w:r>
      <w:r w:rsidRPr="00720BA7">
        <w:rPr>
          <w:lang w:val="fr-CA" w:eastAsia="zh-CN"/>
        </w:rPr>
        <w:t xml:space="preserve"> </w:t>
      </w:r>
      <w:r w:rsidRPr="00AD2630">
        <w:rPr>
          <w:lang w:val="fr-FR" w:eastAsia="zh-CN"/>
        </w:rPr>
        <w:t>Le PNUD a fait savoir qu</w:t>
      </w:r>
      <w:r>
        <w:rPr>
          <w:lang w:val="fr-FR" w:eastAsia="zh-CN"/>
        </w:rPr>
        <w:t>’</w:t>
      </w:r>
      <w:r w:rsidRPr="00AD2630">
        <w:rPr>
          <w:lang w:val="fr-FR" w:eastAsia="zh-CN"/>
        </w:rPr>
        <w:t>en date du 1</w:t>
      </w:r>
      <w:r w:rsidRPr="00AD2630">
        <w:rPr>
          <w:vertAlign w:val="superscript"/>
          <w:lang w:val="fr-FR" w:eastAsia="zh-CN"/>
        </w:rPr>
        <w:t>er</w:t>
      </w:r>
      <w:r w:rsidRPr="00AD2630">
        <w:rPr>
          <w:lang w:val="fr-FR" w:eastAsia="zh-CN"/>
        </w:rPr>
        <w:t xml:space="preserve"> octobre</w:t>
      </w:r>
      <w:r>
        <w:rPr>
          <w:lang w:val="fr-FR" w:eastAsia="zh-CN"/>
        </w:rPr>
        <w:t xml:space="preserve"> </w:t>
      </w:r>
      <w:r w:rsidRPr="00AD2630">
        <w:rPr>
          <w:lang w:val="fr-FR"/>
        </w:rPr>
        <w:t>2020, tous les fonds ont été décaissés</w:t>
      </w:r>
      <w:r>
        <w:rPr>
          <w:lang w:val="fr-FR"/>
        </w:rPr>
        <w:t xml:space="preserve"> </w:t>
      </w:r>
      <w:r w:rsidRPr="00AD2630">
        <w:rPr>
          <w:lang w:val="fr-FR" w:eastAsia="zh-CN"/>
        </w:rPr>
        <w:t>à l</w:t>
      </w:r>
      <w:r>
        <w:rPr>
          <w:lang w:val="fr-FR" w:eastAsia="zh-CN"/>
        </w:rPr>
        <w:t>’</w:t>
      </w:r>
      <w:r w:rsidRPr="00AD2630">
        <w:rPr>
          <w:lang w:val="fr-FR" w:eastAsia="zh-CN"/>
        </w:rPr>
        <w:t>exception des coûts différentiels d</w:t>
      </w:r>
      <w:r>
        <w:rPr>
          <w:lang w:val="fr-FR" w:eastAsia="zh-CN"/>
        </w:rPr>
        <w:t>’</w:t>
      </w:r>
      <w:r w:rsidRPr="00AD2630">
        <w:rPr>
          <w:lang w:val="fr-FR" w:eastAsia="zh-CN"/>
        </w:rPr>
        <w:t>exploitation engagés</w:t>
      </w:r>
      <w:r w:rsidRPr="00AD2630">
        <w:rPr>
          <w:lang w:val="fr-FR"/>
        </w:rPr>
        <w:t>.</w:t>
      </w:r>
      <w:r w:rsidRPr="00720BA7">
        <w:rPr>
          <w:lang w:val="fr-CA"/>
        </w:rPr>
        <w:t xml:space="preserve"> </w:t>
      </w:r>
      <w:r w:rsidRPr="00AD2630">
        <w:rPr>
          <w:rStyle w:val="tlid-translation"/>
          <w:lang w:val="fr-FR"/>
        </w:rPr>
        <w:t>L</w:t>
      </w:r>
      <w:r>
        <w:rPr>
          <w:rStyle w:val="tlid-translation"/>
          <w:lang w:val="fr-FR"/>
        </w:rPr>
        <w:t>’irruption de l</w:t>
      </w:r>
      <w:r w:rsidRPr="00AD2630">
        <w:rPr>
          <w:rStyle w:val="tlid-translation"/>
          <w:lang w:val="fr-FR"/>
        </w:rPr>
        <w:t>a pandémie de Covid-19 a eu un impact sur la production et les ventes dans les lignes reconverties</w:t>
      </w:r>
      <w:r>
        <w:rPr>
          <w:rStyle w:val="tlid-translation"/>
          <w:lang w:val="fr-FR"/>
        </w:rPr>
        <w:t>,</w:t>
      </w:r>
      <w:r w:rsidRPr="00AD2630">
        <w:rPr>
          <w:rStyle w:val="tlid-translation"/>
          <w:lang w:val="fr-FR"/>
        </w:rPr>
        <w:t xml:space="preserve"> et la reprise de la production et des ventes est lente</w:t>
      </w:r>
      <w:r w:rsidRPr="00AD2630">
        <w:rPr>
          <w:lang w:val="fr-FR"/>
        </w:rPr>
        <w:t>.</w:t>
      </w:r>
      <w:r w:rsidRPr="00720BA7">
        <w:rPr>
          <w:lang w:val="fr-CA"/>
        </w:rPr>
        <w:t xml:space="preserve"> </w:t>
      </w:r>
      <w:r w:rsidRPr="00AD2630">
        <w:rPr>
          <w:lang w:val="fr-FR"/>
        </w:rPr>
        <w:t>Le solde non décaissé s</w:t>
      </w:r>
      <w:r>
        <w:rPr>
          <w:lang w:val="fr-FR"/>
        </w:rPr>
        <w:t>’</w:t>
      </w:r>
      <w:r w:rsidRPr="00AD2630">
        <w:rPr>
          <w:lang w:val="fr-FR"/>
        </w:rPr>
        <w:t>élève à 3</w:t>
      </w:r>
      <w:r>
        <w:rPr>
          <w:lang w:val="fr-FR"/>
        </w:rPr>
        <w:t> </w:t>
      </w:r>
      <w:r w:rsidRPr="00AD2630">
        <w:rPr>
          <w:lang w:val="fr-FR"/>
        </w:rPr>
        <w:t>731</w:t>
      </w:r>
      <w:r>
        <w:rPr>
          <w:lang w:val="fr-FR"/>
        </w:rPr>
        <w:t> </w:t>
      </w:r>
      <w:r w:rsidRPr="00AD2630">
        <w:rPr>
          <w:lang w:val="fr-FR"/>
        </w:rPr>
        <w:t>830</w:t>
      </w:r>
      <w:r>
        <w:rPr>
          <w:lang w:val="fr-FR"/>
        </w:rPr>
        <w:t xml:space="preserve"> </w:t>
      </w:r>
      <w:r w:rsidRPr="00AD2630">
        <w:rPr>
          <w:lang w:val="fr-FR"/>
        </w:rPr>
        <w:t>$US. En fonction de la reprise du marché et de la demande des ventes, le décaissement des coûts différentiels d</w:t>
      </w:r>
      <w:r>
        <w:rPr>
          <w:lang w:val="fr-FR"/>
        </w:rPr>
        <w:t>’</w:t>
      </w:r>
      <w:r w:rsidRPr="00AD2630">
        <w:rPr>
          <w:lang w:val="fr-FR"/>
        </w:rPr>
        <w:t>exploitation devrait être achevé d</w:t>
      </w:r>
      <w:r>
        <w:rPr>
          <w:lang w:val="fr-FR"/>
        </w:rPr>
        <w:t>’</w:t>
      </w:r>
      <w:r w:rsidRPr="00AD2630">
        <w:rPr>
          <w:lang w:val="fr-FR"/>
        </w:rPr>
        <w:t>ici le 31 décembre 2021.</w:t>
      </w:r>
      <w:r w:rsidRPr="00720BA7">
        <w:rPr>
          <w:lang w:val="fr-CA"/>
        </w:rPr>
        <w:t xml:space="preserve"> </w:t>
      </w:r>
    </w:p>
    <w:p w14:paraId="533F1620" w14:textId="77777777" w:rsidR="00E3303D" w:rsidRDefault="00E3303D" w:rsidP="002807D2">
      <w:pPr>
        <w:pStyle w:val="Heading1"/>
        <w:keepNext/>
        <w:keepLines/>
        <w:numPr>
          <w:ilvl w:val="0"/>
          <w:numId w:val="0"/>
        </w:numPr>
        <w:rPr>
          <w:szCs w:val="32"/>
          <w:u w:val="single"/>
          <w:lang w:val="fr-FR"/>
        </w:rPr>
      </w:pPr>
    </w:p>
    <w:p w14:paraId="6AF64F39" w14:textId="43273C3F" w:rsidR="00720BA7" w:rsidRPr="00AD2630" w:rsidRDefault="00720BA7" w:rsidP="002807D2">
      <w:pPr>
        <w:pStyle w:val="Heading1"/>
        <w:keepNext/>
        <w:keepLines/>
        <w:numPr>
          <w:ilvl w:val="0"/>
          <w:numId w:val="0"/>
        </w:numPr>
        <w:rPr>
          <w:szCs w:val="32"/>
          <w:u w:val="single"/>
          <w:lang w:val="en-CA"/>
        </w:rPr>
      </w:pPr>
      <w:r w:rsidRPr="00AD2630">
        <w:rPr>
          <w:szCs w:val="32"/>
          <w:u w:val="single"/>
          <w:lang w:val="fr-FR"/>
        </w:rPr>
        <w:t>Stratégie d</w:t>
      </w:r>
      <w:r>
        <w:rPr>
          <w:szCs w:val="32"/>
          <w:u w:val="single"/>
          <w:lang w:val="fr-FR"/>
        </w:rPr>
        <w:t>’</w:t>
      </w:r>
      <w:r w:rsidRPr="00AD2630">
        <w:rPr>
          <w:szCs w:val="32"/>
          <w:u w:val="single"/>
          <w:lang w:val="fr-FR"/>
        </w:rPr>
        <w:t>ensemble et durabilité</w:t>
      </w:r>
    </w:p>
    <w:p w14:paraId="064A29FB" w14:textId="77777777" w:rsidR="00720BA7" w:rsidRPr="00720BA7" w:rsidRDefault="00720BA7" w:rsidP="00720BA7">
      <w:pPr>
        <w:pStyle w:val="Heading1"/>
        <w:widowControl w:val="0"/>
        <w:rPr>
          <w:lang w:val="fr-CA"/>
        </w:rPr>
      </w:pPr>
      <w:r w:rsidRPr="00AD2630">
        <w:rPr>
          <w:lang w:val="fr-FR"/>
        </w:rPr>
        <w:t>Le Secrétariat note en outre que la phase II révisée du plan du secteur de la réfrigération industrielle et commerciale couvre une période allant de 2021 à 2026, et a demandé comment la phase II révisée serait liée aux activités déjà mises en œuvre dans la phase II approuvée initialement.</w:t>
      </w:r>
      <w:r w:rsidRPr="00720BA7">
        <w:rPr>
          <w:lang w:val="fr-CA"/>
        </w:rPr>
        <w:t xml:space="preserve"> </w:t>
      </w:r>
      <w:r w:rsidRPr="0097675D">
        <w:rPr>
          <w:lang w:val="fr-FR"/>
        </w:rPr>
        <w:t>Le PNUD a expliqué que la phase II initiale du plan de secteur ICR visait à réduire 480,5 tonnes PAO de HCFC d</w:t>
      </w:r>
      <w:r>
        <w:rPr>
          <w:lang w:val="fr-FR"/>
        </w:rPr>
        <w:t>’</w:t>
      </w:r>
      <w:r w:rsidRPr="0097675D">
        <w:rPr>
          <w:lang w:val="fr-FR"/>
        </w:rPr>
        <w:t>ici 2021 ; jusqu</w:t>
      </w:r>
      <w:r>
        <w:rPr>
          <w:lang w:val="fr-FR"/>
        </w:rPr>
        <w:t>’</w:t>
      </w:r>
      <w:r w:rsidRPr="0097675D">
        <w:rPr>
          <w:lang w:val="fr-FR"/>
        </w:rPr>
        <w:t xml:space="preserve">à présent, 18 chaînes de fabrication ont entrepris des reconversions, ce qui entraînera une réduction de 140,66 tonnes PAO (2 557,42 tm) de HCFC-22. </w:t>
      </w:r>
      <w:r>
        <w:rPr>
          <w:lang w:val="fr-FR"/>
        </w:rPr>
        <w:t xml:space="preserve">Comme </w:t>
      </w:r>
      <w:r w:rsidRPr="0097675D">
        <w:rPr>
          <w:lang w:val="fr-FR"/>
        </w:rPr>
        <w:t>aucun nouveau financement n</w:t>
      </w:r>
      <w:r>
        <w:rPr>
          <w:lang w:val="fr-FR"/>
        </w:rPr>
        <w:t>’</w:t>
      </w:r>
      <w:r w:rsidRPr="0097675D">
        <w:rPr>
          <w:lang w:val="fr-FR"/>
        </w:rPr>
        <w:t>a été débloqué pour la période 2018- 2020, le tonnage restant de 339,83 tonnes PAO a été éliminé au moyen de mesures politiques.</w:t>
      </w:r>
      <w:r w:rsidRPr="00720BA7">
        <w:rPr>
          <w:lang w:val="fr-CA"/>
        </w:rPr>
        <w:t xml:space="preserve"> </w:t>
      </w:r>
      <w:r w:rsidRPr="0097675D">
        <w:rPr>
          <w:lang w:val="fr-FR"/>
        </w:rPr>
        <w:t>Le gouvernement a émis des quotas de production et de consommation pour 2020 afin d</w:t>
      </w:r>
      <w:r>
        <w:rPr>
          <w:lang w:val="fr-FR"/>
        </w:rPr>
        <w:t>’</w:t>
      </w:r>
      <w:r w:rsidRPr="0097675D">
        <w:rPr>
          <w:lang w:val="fr-FR"/>
        </w:rPr>
        <w:t>atteindre l</w:t>
      </w:r>
      <w:r>
        <w:rPr>
          <w:lang w:val="fr-FR"/>
        </w:rPr>
        <w:t>’</w:t>
      </w:r>
      <w:r w:rsidRPr="0097675D">
        <w:rPr>
          <w:lang w:val="fr-FR"/>
        </w:rPr>
        <w:t>objectif de réglementation.</w:t>
      </w:r>
      <w:r w:rsidRPr="00720BA7">
        <w:rPr>
          <w:lang w:val="fr-CA"/>
        </w:rPr>
        <w:t xml:space="preserve"> </w:t>
      </w:r>
    </w:p>
    <w:p w14:paraId="663947CA" w14:textId="77777777" w:rsidR="00720BA7" w:rsidRPr="00720BA7" w:rsidRDefault="00720BA7" w:rsidP="00720BA7">
      <w:pPr>
        <w:pStyle w:val="Heading1"/>
        <w:widowControl w:val="0"/>
        <w:rPr>
          <w:lang w:val="fr-CA"/>
        </w:rPr>
      </w:pPr>
      <w:r>
        <w:rPr>
          <w:lang w:val="fr-FR"/>
        </w:rPr>
        <w:t>C</w:t>
      </w:r>
      <w:r w:rsidRPr="00936DEB">
        <w:rPr>
          <w:lang w:val="fr-FR"/>
        </w:rPr>
        <w:t>ompar</w:t>
      </w:r>
      <w:r>
        <w:rPr>
          <w:lang w:val="fr-FR"/>
        </w:rPr>
        <w:t>ativement</w:t>
      </w:r>
      <w:r w:rsidRPr="00936DEB">
        <w:rPr>
          <w:lang w:val="fr-FR"/>
        </w:rPr>
        <w:t xml:space="preserve"> au montant prévu dans la phase II initiale</w:t>
      </w:r>
      <w:r>
        <w:rPr>
          <w:lang w:val="fr-FR"/>
        </w:rPr>
        <w:t xml:space="preserve"> </w:t>
      </w:r>
      <w:r w:rsidRPr="00936DEB">
        <w:rPr>
          <w:lang w:val="fr-FR"/>
        </w:rPr>
        <w:t>(7 pour cent</w:t>
      </w:r>
      <w:r>
        <w:rPr>
          <w:lang w:val="fr-FR"/>
        </w:rPr>
        <w:t xml:space="preserve">), </w:t>
      </w:r>
      <w:r w:rsidRPr="00936DEB">
        <w:rPr>
          <w:lang w:val="fr-FR"/>
        </w:rPr>
        <w:t xml:space="preserve">davantage de fonds ont été alloués </w:t>
      </w:r>
      <w:r>
        <w:rPr>
          <w:lang w:val="fr-FR"/>
        </w:rPr>
        <w:t>d</w:t>
      </w:r>
      <w:r w:rsidRPr="00936DEB">
        <w:rPr>
          <w:lang w:val="fr-FR"/>
        </w:rPr>
        <w:t>ans la phase II révisée et prolongée aux activités d</w:t>
      </w:r>
      <w:r>
        <w:rPr>
          <w:lang w:val="fr-FR"/>
        </w:rPr>
        <w:t>’</w:t>
      </w:r>
      <w:r w:rsidRPr="00936DEB">
        <w:rPr>
          <w:lang w:val="fr-FR"/>
        </w:rPr>
        <w:t>assistance technique (11 pour cent).</w:t>
      </w:r>
      <w:r w:rsidRPr="00720BA7">
        <w:rPr>
          <w:lang w:val="fr-CA"/>
        </w:rPr>
        <w:t xml:space="preserve"> </w:t>
      </w:r>
      <w:r w:rsidRPr="00936DEB">
        <w:rPr>
          <w:lang w:val="fr-FR"/>
        </w:rPr>
        <w:t>Les activités d</w:t>
      </w:r>
      <w:r>
        <w:rPr>
          <w:lang w:val="fr-FR"/>
        </w:rPr>
        <w:t>’</w:t>
      </w:r>
      <w:r w:rsidRPr="00936DEB">
        <w:rPr>
          <w:lang w:val="fr-FR"/>
        </w:rPr>
        <w:t xml:space="preserve">assistance technique et de sensibilisation devraient diffuser les résultats des reconversions et soutenir </w:t>
      </w:r>
      <w:r>
        <w:rPr>
          <w:lang w:val="fr-FR"/>
        </w:rPr>
        <w:t>l’expansion</w:t>
      </w:r>
      <w:r w:rsidRPr="00936DEB">
        <w:rPr>
          <w:lang w:val="fr-FR"/>
        </w:rPr>
        <w:t xml:space="preserve"> et la pénétration du marché des technologies de reconversion afin qu</w:t>
      </w:r>
      <w:r>
        <w:rPr>
          <w:lang w:val="fr-FR"/>
        </w:rPr>
        <w:t>’</w:t>
      </w:r>
      <w:r w:rsidRPr="00936DEB">
        <w:rPr>
          <w:lang w:val="fr-FR"/>
        </w:rPr>
        <w:t>un plus grand nombre d</w:t>
      </w:r>
      <w:r>
        <w:rPr>
          <w:lang w:val="fr-FR"/>
        </w:rPr>
        <w:t>’</w:t>
      </w:r>
      <w:r w:rsidRPr="00936DEB">
        <w:rPr>
          <w:lang w:val="fr-FR"/>
        </w:rPr>
        <w:t>entreprises reconvertissent leurs chaînes de fabrication en utilisant leurs propres fonds au moyen du soutien technique.</w:t>
      </w:r>
      <w:r w:rsidRPr="00720BA7">
        <w:rPr>
          <w:lang w:val="fr-CA"/>
        </w:rPr>
        <w:t xml:space="preserve"> </w:t>
      </w:r>
      <w:r w:rsidRPr="00936DEB">
        <w:rPr>
          <w:lang w:val="fr-FR"/>
        </w:rPr>
        <w:t>Étant donné les défis se posant à la mise en œuvre, le Secrétariat estime ce changement justifié.</w:t>
      </w:r>
      <w:r w:rsidRPr="00720BA7">
        <w:rPr>
          <w:lang w:val="fr-CA"/>
        </w:rPr>
        <w:t xml:space="preserve"> </w:t>
      </w:r>
    </w:p>
    <w:p w14:paraId="3E8406C5" w14:textId="77777777" w:rsidR="00720BA7" w:rsidRPr="00720BA7" w:rsidRDefault="00720BA7" w:rsidP="00720BA7">
      <w:pPr>
        <w:pStyle w:val="Heading1"/>
        <w:widowControl w:val="0"/>
        <w:rPr>
          <w:lang w:val="fr-CA"/>
        </w:rPr>
      </w:pPr>
      <w:r w:rsidRPr="00936DEB">
        <w:rPr>
          <w:lang w:val="fr-FR"/>
        </w:rPr>
        <w:t>Notant que dans la phase II révisée et prolongée, 13 245,28 tm de consommation seront éliminées grâce à l</w:t>
      </w:r>
      <w:r>
        <w:rPr>
          <w:lang w:val="fr-FR"/>
        </w:rPr>
        <w:t>’</w:t>
      </w:r>
      <w:r w:rsidRPr="00936DEB">
        <w:rPr>
          <w:lang w:val="fr-FR"/>
        </w:rPr>
        <w:t>assistance technique et aux mesures politiques, le Secrétariat a demandé quelle proportion de cette quantité sera reconvertie à des solutions de remplacement à faible PRP et comment l</w:t>
      </w:r>
      <w:r>
        <w:rPr>
          <w:lang w:val="fr-FR"/>
        </w:rPr>
        <w:t>’</w:t>
      </w:r>
      <w:r w:rsidRPr="00936DEB">
        <w:rPr>
          <w:lang w:val="fr-FR"/>
        </w:rPr>
        <w:t>élimination sera gérée et suivie.</w:t>
      </w:r>
      <w:r w:rsidRPr="00720BA7">
        <w:rPr>
          <w:lang w:val="fr-CA"/>
        </w:rPr>
        <w:t xml:space="preserve"> </w:t>
      </w:r>
      <w:r w:rsidRPr="00936DEB">
        <w:rPr>
          <w:lang w:val="fr-FR"/>
        </w:rPr>
        <w:t>Le PNUD a répondu que le choix des technologies de remplacement pour les chaînes de fabrication ne bénéficiant pas d</w:t>
      </w:r>
      <w:r>
        <w:rPr>
          <w:lang w:val="fr-FR"/>
        </w:rPr>
        <w:t>’</w:t>
      </w:r>
      <w:r w:rsidRPr="00936DEB">
        <w:rPr>
          <w:lang w:val="fr-FR"/>
        </w:rPr>
        <w:t>un financement</w:t>
      </w:r>
      <w:r>
        <w:rPr>
          <w:lang w:val="fr-FR"/>
        </w:rPr>
        <w:t xml:space="preserve"> </w:t>
      </w:r>
      <w:r w:rsidRPr="00936DEB">
        <w:rPr>
          <w:lang w:val="fr-FR"/>
        </w:rPr>
        <w:t>est déterminé par la demande sur le marché, ce qui rend difficile à l</w:t>
      </w:r>
      <w:r>
        <w:rPr>
          <w:lang w:val="fr-FR"/>
        </w:rPr>
        <w:t>’</w:t>
      </w:r>
      <w:r w:rsidRPr="00936DEB">
        <w:rPr>
          <w:lang w:val="fr-FR"/>
        </w:rPr>
        <w:t>heure actuelle d</w:t>
      </w:r>
      <w:r>
        <w:rPr>
          <w:lang w:val="fr-FR"/>
        </w:rPr>
        <w:t>’</w:t>
      </w:r>
      <w:r w:rsidRPr="00936DEB">
        <w:rPr>
          <w:lang w:val="fr-FR"/>
        </w:rPr>
        <w:t>indiquer une proportion quelconque.</w:t>
      </w:r>
      <w:r w:rsidRPr="00720BA7">
        <w:rPr>
          <w:lang w:val="fr-CA"/>
        </w:rPr>
        <w:t xml:space="preserve"> </w:t>
      </w:r>
      <w:r w:rsidRPr="00936DEB">
        <w:rPr>
          <w:lang w:val="fr-FR"/>
        </w:rPr>
        <w:t>Au cours de la mise en œuvre, le gouvernement continuera à encourager les entreprises à adopter des technologies de remplacement à faible PRP au moyen d</w:t>
      </w:r>
      <w:r>
        <w:rPr>
          <w:lang w:val="fr-FR"/>
        </w:rPr>
        <w:t>’</w:t>
      </w:r>
      <w:r w:rsidRPr="00936DEB">
        <w:rPr>
          <w:lang w:val="fr-FR"/>
        </w:rPr>
        <w:t>activités d</w:t>
      </w:r>
      <w:r>
        <w:rPr>
          <w:lang w:val="fr-FR"/>
        </w:rPr>
        <w:t>’</w:t>
      </w:r>
      <w:r w:rsidRPr="00936DEB">
        <w:rPr>
          <w:lang w:val="fr-FR"/>
        </w:rPr>
        <w:t>assistance technique et de mesures politiques.</w:t>
      </w:r>
      <w:r w:rsidRPr="00720BA7">
        <w:rPr>
          <w:lang w:val="fr-CA"/>
        </w:rPr>
        <w:t xml:space="preserve"> </w:t>
      </w:r>
      <w:r w:rsidRPr="00994116">
        <w:rPr>
          <w:lang w:val="fr-FR"/>
        </w:rPr>
        <w:t>Le PNUD a également expliqué que la stratégie globale repose sur trois stratégies complémentaires et qui ne devraient pas être dissociées : l</w:t>
      </w:r>
      <w:r>
        <w:rPr>
          <w:lang w:val="fr-FR"/>
        </w:rPr>
        <w:t>’</w:t>
      </w:r>
      <w:r w:rsidRPr="00994116">
        <w:rPr>
          <w:lang w:val="fr-FR"/>
        </w:rPr>
        <w:t>application des politiques de quotas de consommation et autres mesures politiques nécessaires pour soutenir l</w:t>
      </w:r>
      <w:r>
        <w:rPr>
          <w:lang w:val="fr-FR"/>
        </w:rPr>
        <w:t>’</w:t>
      </w:r>
      <w:r w:rsidRPr="00994116">
        <w:rPr>
          <w:lang w:val="fr-FR"/>
        </w:rPr>
        <w:t>élimination ; les activités d</w:t>
      </w:r>
      <w:r>
        <w:rPr>
          <w:lang w:val="fr-FR"/>
        </w:rPr>
        <w:t>’</w:t>
      </w:r>
      <w:r w:rsidRPr="00994116">
        <w:rPr>
          <w:lang w:val="fr-FR"/>
        </w:rPr>
        <w:t>assistance technique axées sur l</w:t>
      </w:r>
      <w:r>
        <w:rPr>
          <w:lang w:val="fr-FR"/>
        </w:rPr>
        <w:t>’</w:t>
      </w:r>
      <w:r w:rsidRPr="00994116">
        <w:rPr>
          <w:lang w:val="fr-FR"/>
        </w:rPr>
        <w:t>application de la technologie, la démonstration technique et financière et l</w:t>
      </w:r>
      <w:r>
        <w:rPr>
          <w:lang w:val="fr-FR"/>
        </w:rPr>
        <w:t>’</w:t>
      </w:r>
      <w:r w:rsidRPr="00994116">
        <w:rPr>
          <w:lang w:val="fr-FR"/>
        </w:rPr>
        <w:t xml:space="preserve">élimination des obstacles pour une transposition à plus grande échelle au moyen du cofinancement des entreprises ; et la gestion et la surveillance, y compris le renforcement de la capacité de </w:t>
      </w:r>
      <w:r w:rsidRPr="000C2DE3">
        <w:rPr>
          <w:lang w:val="fr-FR"/>
        </w:rPr>
        <w:t>gestion d</w:t>
      </w:r>
      <w:r>
        <w:rPr>
          <w:lang w:val="fr-FR"/>
        </w:rPr>
        <w:t>’</w:t>
      </w:r>
      <w:r w:rsidRPr="000C2DE3">
        <w:rPr>
          <w:lang w:val="fr-FR"/>
        </w:rPr>
        <w:t>EEB locaux</w:t>
      </w:r>
      <w:r w:rsidRPr="00994116">
        <w:rPr>
          <w:lang w:val="fr-FR"/>
        </w:rPr>
        <w:t xml:space="preserve">, la publication de normes pertinentes, la publication de </w:t>
      </w:r>
      <w:r>
        <w:rPr>
          <w:lang w:val="fr-FR"/>
        </w:rPr>
        <w:t>L</w:t>
      </w:r>
      <w:r w:rsidRPr="00994116">
        <w:rPr>
          <w:lang w:val="fr-FR"/>
        </w:rPr>
        <w:t>ignes directrices sur la surveillance des substances appauvrissant la couche d</w:t>
      </w:r>
      <w:r>
        <w:rPr>
          <w:lang w:val="fr-FR"/>
        </w:rPr>
        <w:t>’</w:t>
      </w:r>
      <w:r w:rsidRPr="00994116">
        <w:rPr>
          <w:lang w:val="fr-FR"/>
        </w:rPr>
        <w:t>ozone (base d</w:t>
      </w:r>
      <w:r>
        <w:rPr>
          <w:lang w:val="fr-FR"/>
        </w:rPr>
        <w:t>’</w:t>
      </w:r>
      <w:r w:rsidRPr="00994116">
        <w:rPr>
          <w:lang w:val="fr-FR"/>
        </w:rPr>
        <w:t xml:space="preserve">essai), la révision de la liste recommandée des solutions de remplacement clés </w:t>
      </w:r>
      <w:r>
        <w:rPr>
          <w:lang w:val="fr-FR"/>
        </w:rPr>
        <w:t>des</w:t>
      </w:r>
      <w:r w:rsidRPr="00994116">
        <w:rPr>
          <w:lang w:val="fr-FR"/>
        </w:rPr>
        <w:t xml:space="preserve"> HCFC, l</w:t>
      </w:r>
      <w:r>
        <w:rPr>
          <w:lang w:val="fr-FR"/>
        </w:rPr>
        <w:t>’</w:t>
      </w:r>
      <w:r w:rsidRPr="00994116">
        <w:rPr>
          <w:lang w:val="fr-FR"/>
        </w:rPr>
        <w:t>élaboration et la révision des labels verts environnementaux pertinents, des produits respectueux de l</w:t>
      </w:r>
      <w:r>
        <w:rPr>
          <w:lang w:val="fr-FR"/>
        </w:rPr>
        <w:t>’</w:t>
      </w:r>
      <w:r w:rsidRPr="00994116">
        <w:rPr>
          <w:lang w:val="fr-FR"/>
        </w:rPr>
        <w:t>environnement et des catalogues des marchés publics, et l</w:t>
      </w:r>
      <w:r>
        <w:rPr>
          <w:lang w:val="fr-FR"/>
        </w:rPr>
        <w:t>’</w:t>
      </w:r>
      <w:r w:rsidRPr="00994116">
        <w:rPr>
          <w:lang w:val="fr-FR"/>
        </w:rPr>
        <w:t>élaboration de recommandations politiques ainsi que la préparation</w:t>
      </w:r>
      <w:r>
        <w:rPr>
          <w:lang w:val="fr-FR"/>
        </w:rPr>
        <w:t xml:space="preserve"> de</w:t>
      </w:r>
      <w:r w:rsidRPr="00994116">
        <w:rPr>
          <w:lang w:val="fr-FR"/>
        </w:rPr>
        <w:t xml:space="preserve"> lignes directrices relatives à la reconversion </w:t>
      </w:r>
      <w:r>
        <w:rPr>
          <w:lang w:val="fr-FR"/>
        </w:rPr>
        <w:t>pour les</w:t>
      </w:r>
      <w:r w:rsidRPr="00994116">
        <w:rPr>
          <w:lang w:val="fr-FR"/>
        </w:rPr>
        <w:t xml:space="preserve"> PME.</w:t>
      </w:r>
      <w:r w:rsidRPr="00720BA7">
        <w:rPr>
          <w:lang w:val="fr-CA"/>
        </w:rPr>
        <w:t xml:space="preserve"> </w:t>
      </w:r>
    </w:p>
    <w:p w14:paraId="6A048D1A" w14:textId="77777777" w:rsidR="00720BA7" w:rsidRPr="00720BA7" w:rsidRDefault="00720BA7" w:rsidP="00720BA7">
      <w:pPr>
        <w:keepNext/>
        <w:rPr>
          <w:u w:val="single"/>
          <w:lang w:val="fr-CA"/>
        </w:rPr>
      </w:pPr>
      <w:r w:rsidRPr="00994116">
        <w:rPr>
          <w:u w:val="single"/>
          <w:lang w:val="fr-FR"/>
        </w:rPr>
        <w:t>Sélection de la technologie de remplacement</w:t>
      </w:r>
    </w:p>
    <w:p w14:paraId="4BA620F8" w14:textId="77777777" w:rsidR="00720BA7" w:rsidRPr="00720BA7" w:rsidRDefault="00720BA7" w:rsidP="00720BA7">
      <w:pPr>
        <w:widowControl w:val="0"/>
        <w:rPr>
          <w:u w:val="single"/>
          <w:lang w:val="fr-CA"/>
        </w:rPr>
      </w:pPr>
    </w:p>
    <w:p w14:paraId="3F4BB3F8" w14:textId="77777777" w:rsidR="00720BA7" w:rsidRPr="00720BA7" w:rsidRDefault="00720BA7" w:rsidP="00720BA7">
      <w:pPr>
        <w:pStyle w:val="Heading1"/>
        <w:widowControl w:val="0"/>
        <w:rPr>
          <w:rStyle w:val="tw4winMark"/>
          <w:vanish w:val="0"/>
          <w:color w:val="000000" w:themeColor="text1"/>
          <w:lang w:val="fr-CA"/>
        </w:rPr>
      </w:pPr>
      <w:r w:rsidRPr="003F2785">
        <w:rPr>
          <w:lang w:val="fr-FR"/>
        </w:rPr>
        <w:t>Les technologies de remplacement à faible PRP sélectionnées pour les reconversions bénéficiant d</w:t>
      </w:r>
      <w:r>
        <w:rPr>
          <w:lang w:val="fr-FR"/>
        </w:rPr>
        <w:t>’</w:t>
      </w:r>
      <w:r w:rsidRPr="003F2785">
        <w:rPr>
          <w:lang w:val="fr-FR"/>
        </w:rPr>
        <w:t>un financement lors de la phase II révisée ont été modifiées afin d</w:t>
      </w:r>
      <w:r>
        <w:rPr>
          <w:lang w:val="fr-FR"/>
        </w:rPr>
        <w:t>’</w:t>
      </w:r>
      <w:r w:rsidRPr="003F2785">
        <w:rPr>
          <w:lang w:val="fr-FR"/>
        </w:rPr>
        <w:t>inclure le R-513A et le CO</w:t>
      </w:r>
      <w:r w:rsidRPr="003F2785">
        <w:rPr>
          <w:vertAlign w:val="subscript"/>
          <w:lang w:val="fr-FR"/>
        </w:rPr>
        <w:t>2</w:t>
      </w:r>
      <w:r w:rsidRPr="003F2785">
        <w:rPr>
          <w:lang w:val="fr-FR"/>
        </w:rPr>
        <w:t>/R-134a.</w:t>
      </w:r>
      <w:r w:rsidRPr="00720BA7">
        <w:rPr>
          <w:lang w:val="fr-CA"/>
        </w:rPr>
        <w:t xml:space="preserve"> </w:t>
      </w:r>
      <w:r w:rsidRPr="003F2785">
        <w:rPr>
          <w:lang w:val="fr-FR"/>
        </w:rPr>
        <w:t>Le Secrétariat a noté que ces deux technologies avaient été utilisées pour la reconversion de chaînes de fabrication lors de la phase I ou de la phase</w:t>
      </w:r>
      <w:r>
        <w:rPr>
          <w:lang w:val="fr-FR"/>
        </w:rPr>
        <w:t xml:space="preserve"> </w:t>
      </w:r>
      <w:r w:rsidRPr="003F2785">
        <w:rPr>
          <w:lang w:val="fr-FR"/>
        </w:rPr>
        <w:t>II, faisant qu</w:t>
      </w:r>
      <w:r>
        <w:rPr>
          <w:lang w:val="fr-FR"/>
        </w:rPr>
        <w:t>’</w:t>
      </w:r>
      <w:r w:rsidRPr="003F2785">
        <w:rPr>
          <w:lang w:val="fr-FR"/>
        </w:rPr>
        <w:t>une certaine expérience avait</w:t>
      </w:r>
      <w:r>
        <w:rPr>
          <w:lang w:val="fr-FR"/>
        </w:rPr>
        <w:t xml:space="preserve"> </w:t>
      </w:r>
      <w:r w:rsidRPr="003F2785">
        <w:rPr>
          <w:lang w:val="fr-FR"/>
        </w:rPr>
        <w:t>été acquise.</w:t>
      </w:r>
      <w:r w:rsidRPr="00720BA7">
        <w:rPr>
          <w:lang w:val="fr-CA"/>
        </w:rPr>
        <w:t xml:space="preserve"> </w:t>
      </w:r>
      <w:r w:rsidRPr="003F2785">
        <w:rPr>
          <w:lang w:val="fr-FR"/>
        </w:rPr>
        <w:t>Comme cela a été précédemment indiqué</w:t>
      </w:r>
      <w:r w:rsidRPr="003F2785">
        <w:rPr>
          <w:rStyle w:val="FootnoteReference"/>
          <w:lang w:val="fr-FR"/>
        </w:rPr>
        <w:footnoteReference w:id="12"/>
      </w:r>
      <w:r w:rsidRPr="003F2785">
        <w:rPr>
          <w:lang w:val="fr-FR"/>
        </w:rPr>
        <w:t>, la sélection de CO</w:t>
      </w:r>
      <w:r w:rsidRPr="003F2785">
        <w:rPr>
          <w:vertAlign w:val="subscript"/>
          <w:lang w:val="fr-FR"/>
        </w:rPr>
        <w:t>2</w:t>
      </w:r>
      <w:r w:rsidRPr="003F2785">
        <w:rPr>
          <w:lang w:val="fr-FR"/>
        </w:rPr>
        <w:t xml:space="preserve">/HFC-134a était due au fait que de nombreuses PME ne disposaient pas de la capacité technique </w:t>
      </w:r>
      <w:r>
        <w:rPr>
          <w:lang w:val="fr-FR"/>
        </w:rPr>
        <w:t xml:space="preserve">nécessaire </w:t>
      </w:r>
      <w:r w:rsidRPr="003F2785">
        <w:rPr>
          <w:lang w:val="fr-FR"/>
        </w:rPr>
        <w:t xml:space="preserve">pour </w:t>
      </w:r>
      <w:r>
        <w:rPr>
          <w:lang w:val="fr-FR"/>
        </w:rPr>
        <w:t xml:space="preserve">la </w:t>
      </w:r>
      <w:r w:rsidRPr="003F2785">
        <w:rPr>
          <w:lang w:val="fr-FR"/>
        </w:rPr>
        <w:t>manipul</w:t>
      </w:r>
      <w:r>
        <w:rPr>
          <w:lang w:val="fr-FR"/>
        </w:rPr>
        <w:t>ation du</w:t>
      </w:r>
      <w:r w:rsidRPr="003F2785">
        <w:rPr>
          <w:lang w:val="fr-FR"/>
        </w:rPr>
        <w:t xml:space="preserve"> </w:t>
      </w:r>
      <w:r w:rsidRPr="003F2785">
        <w:rPr>
          <w:color w:val="000000" w:themeColor="text1"/>
          <w:lang w:val="fr-FR"/>
        </w:rPr>
        <w:t>NH3 ; le CO</w:t>
      </w:r>
      <w:r w:rsidRPr="003F2785">
        <w:rPr>
          <w:color w:val="000000" w:themeColor="text1"/>
          <w:vertAlign w:val="subscript"/>
          <w:lang w:val="fr-FR"/>
        </w:rPr>
        <w:t>2</w:t>
      </w:r>
      <w:r w:rsidRPr="003F2785">
        <w:rPr>
          <w:color w:val="000000" w:themeColor="text1"/>
          <w:lang w:val="fr-FR"/>
        </w:rPr>
        <w:t>/HFC-32 sera</w:t>
      </w:r>
      <w:r>
        <w:rPr>
          <w:color w:val="000000" w:themeColor="text1"/>
          <w:lang w:val="fr-FR"/>
        </w:rPr>
        <w:t xml:space="preserve"> </w:t>
      </w:r>
      <w:r>
        <w:rPr>
          <w:color w:val="000000" w:themeColor="text1"/>
          <w:lang w:val="fr-FR"/>
        </w:rPr>
        <w:lastRenderedPageBreak/>
        <w:t>également</w:t>
      </w:r>
      <w:r w:rsidRPr="003F2785">
        <w:rPr>
          <w:color w:val="000000" w:themeColor="text1"/>
          <w:lang w:val="fr-FR"/>
        </w:rPr>
        <w:t xml:space="preserve"> étudié pour minimiser l</w:t>
      </w:r>
      <w:r>
        <w:rPr>
          <w:color w:val="000000" w:themeColor="text1"/>
          <w:lang w:val="fr-FR"/>
        </w:rPr>
        <w:t>’</w:t>
      </w:r>
      <w:r w:rsidRPr="003F2785">
        <w:rPr>
          <w:color w:val="000000" w:themeColor="text1"/>
          <w:lang w:val="fr-FR"/>
        </w:rPr>
        <w:t>impact climatique de cette</w:t>
      </w:r>
      <w:r>
        <w:rPr>
          <w:color w:val="000000" w:themeColor="text1"/>
          <w:lang w:val="fr-FR"/>
        </w:rPr>
        <w:t xml:space="preserve"> </w:t>
      </w:r>
      <w:r w:rsidRPr="003F2785">
        <w:rPr>
          <w:color w:val="000000" w:themeColor="text1"/>
          <w:lang w:val="fr-FR"/>
        </w:rPr>
        <w:t>option.</w:t>
      </w:r>
      <w:r w:rsidRPr="00720BA7">
        <w:rPr>
          <w:lang w:val="fr-CA"/>
        </w:rPr>
        <w:t xml:space="preserve"> </w:t>
      </w:r>
      <w:r w:rsidRPr="003F2785">
        <w:rPr>
          <w:color w:val="000000" w:themeColor="text1"/>
          <w:lang w:val="fr-FR"/>
        </w:rPr>
        <w:t>L</w:t>
      </w:r>
      <w:r>
        <w:rPr>
          <w:color w:val="000000" w:themeColor="text1"/>
          <w:lang w:val="fr-FR"/>
        </w:rPr>
        <w:t>’</w:t>
      </w:r>
      <w:r w:rsidRPr="003F2785">
        <w:rPr>
          <w:color w:val="000000" w:themeColor="text1"/>
          <w:lang w:val="fr-FR"/>
        </w:rPr>
        <w:t>utilisation d</w:t>
      </w:r>
      <w:r>
        <w:rPr>
          <w:color w:val="000000" w:themeColor="text1"/>
          <w:lang w:val="fr-FR"/>
        </w:rPr>
        <w:t>u</w:t>
      </w:r>
      <w:r w:rsidRPr="003F2785">
        <w:rPr>
          <w:color w:val="000000" w:themeColor="text1"/>
          <w:lang w:val="fr-FR"/>
        </w:rPr>
        <w:t xml:space="preserve"> R-513A était liée à la sécurité et à la viabilité de la technologie, étant donné que le HFO</w:t>
      </w:r>
      <w:r w:rsidRPr="003F2785">
        <w:rPr>
          <w:color w:val="000000" w:themeColor="text1"/>
          <w:lang w:val="fr-FR"/>
        </w:rPr>
        <w:noBreakHyphen/>
        <w:t>1234yf a une inflammabilité modérée et n</w:t>
      </w:r>
      <w:r>
        <w:rPr>
          <w:color w:val="000000" w:themeColor="text1"/>
          <w:lang w:val="fr-FR"/>
        </w:rPr>
        <w:t>’</w:t>
      </w:r>
      <w:r w:rsidRPr="003F2785">
        <w:rPr>
          <w:color w:val="000000" w:themeColor="text1"/>
          <w:lang w:val="fr-FR"/>
        </w:rPr>
        <w:t>est pas disponible sur le marché.</w:t>
      </w:r>
      <w:r w:rsidRPr="00720BA7">
        <w:rPr>
          <w:color w:val="000000" w:themeColor="text1"/>
          <w:lang w:val="fr-CA"/>
        </w:rPr>
        <w:t xml:space="preserve"> </w:t>
      </w:r>
    </w:p>
    <w:p w14:paraId="5643FDD2" w14:textId="77777777" w:rsidR="00720BA7" w:rsidRPr="00720BA7" w:rsidRDefault="00720BA7" w:rsidP="00720BA7">
      <w:pPr>
        <w:pStyle w:val="Heading1"/>
        <w:keepNext/>
        <w:keepLines/>
        <w:numPr>
          <w:ilvl w:val="0"/>
          <w:numId w:val="0"/>
        </w:numPr>
        <w:rPr>
          <w:color w:val="000000" w:themeColor="text1"/>
          <w:u w:val="single"/>
          <w:lang w:val="fr-CA"/>
        </w:rPr>
      </w:pPr>
      <w:r w:rsidRPr="003F2785">
        <w:rPr>
          <w:color w:val="000000" w:themeColor="text1"/>
          <w:u w:val="single"/>
          <w:lang w:val="fr-FR"/>
        </w:rPr>
        <w:t>Questions techniques et relatives aux coûts</w:t>
      </w:r>
      <w:r w:rsidRPr="00720BA7">
        <w:rPr>
          <w:color w:val="000000" w:themeColor="text1"/>
          <w:u w:val="single"/>
          <w:lang w:val="fr-CA"/>
        </w:rPr>
        <w:t xml:space="preserve"> </w:t>
      </w:r>
    </w:p>
    <w:p w14:paraId="096D3B22" w14:textId="77777777" w:rsidR="00720BA7" w:rsidRPr="00720BA7" w:rsidRDefault="00720BA7" w:rsidP="00720BA7">
      <w:pPr>
        <w:pStyle w:val="Heading1"/>
        <w:keepNext/>
        <w:keepLines/>
        <w:rPr>
          <w:rFonts w:eastAsiaTheme="minorEastAsia"/>
          <w:color w:val="000000" w:themeColor="text1"/>
          <w:lang w:val="fr-CA" w:eastAsia="zh-CN"/>
        </w:rPr>
      </w:pPr>
      <w:r w:rsidRPr="003F2785">
        <w:rPr>
          <w:color w:val="000000" w:themeColor="text1"/>
          <w:lang w:val="fr-FR"/>
        </w:rPr>
        <w:t>Pour la phase II révisée et prolongée du plan du secteur de la réfrigération industrielle et commerciale, les coûts différentiels d</w:t>
      </w:r>
      <w:r>
        <w:rPr>
          <w:color w:val="000000" w:themeColor="text1"/>
          <w:lang w:val="fr-FR"/>
        </w:rPr>
        <w:t>’</w:t>
      </w:r>
      <w:r w:rsidRPr="003F2785">
        <w:rPr>
          <w:color w:val="000000" w:themeColor="text1"/>
          <w:lang w:val="fr-FR"/>
        </w:rPr>
        <w:t>investissement représenteront 85 pour cent des coûts de reconversion et les coûts différentiels d</w:t>
      </w:r>
      <w:r>
        <w:rPr>
          <w:color w:val="000000" w:themeColor="text1"/>
          <w:lang w:val="fr-FR"/>
        </w:rPr>
        <w:t>’</w:t>
      </w:r>
      <w:r w:rsidRPr="003F2785">
        <w:rPr>
          <w:color w:val="000000" w:themeColor="text1"/>
          <w:lang w:val="fr-FR"/>
        </w:rPr>
        <w:t>exploitation 15 pour cent, tandis que ce ratio était de 70 et 30 pour cent dans la phase II initiale.</w:t>
      </w:r>
      <w:r w:rsidRPr="00720BA7">
        <w:rPr>
          <w:color w:val="000000" w:themeColor="text1"/>
          <w:lang w:val="fr-CA"/>
        </w:rPr>
        <w:t xml:space="preserve"> </w:t>
      </w:r>
      <w:r w:rsidRPr="003F2785">
        <w:rPr>
          <w:color w:val="000000" w:themeColor="text1"/>
          <w:lang w:val="fr-FR"/>
        </w:rPr>
        <w:t>Le PNUD a expliqué que cette stratégie d</w:t>
      </w:r>
      <w:r>
        <w:rPr>
          <w:color w:val="000000" w:themeColor="text1"/>
          <w:lang w:val="fr-FR"/>
        </w:rPr>
        <w:t>’</w:t>
      </w:r>
      <w:r w:rsidRPr="003F2785">
        <w:rPr>
          <w:color w:val="000000" w:themeColor="text1"/>
          <w:lang w:val="fr-FR"/>
        </w:rPr>
        <w:t>allocation de financement est basée sur la considération que le secteur ICR a plusieurs types de produits et des processus de reconversion complexes, et que les ressources limitées devraient être utilisées pour soutenir la reconversion dans les PME afin que l</w:t>
      </w:r>
      <w:r>
        <w:rPr>
          <w:color w:val="000000" w:themeColor="text1"/>
          <w:lang w:val="fr-FR"/>
        </w:rPr>
        <w:t>’</w:t>
      </w:r>
      <w:r w:rsidRPr="003F2785">
        <w:rPr>
          <w:color w:val="000000" w:themeColor="text1"/>
          <w:lang w:val="fr-FR"/>
        </w:rPr>
        <w:t>industrie de la réfrigération industrielle et commerciale puisse éliminer sans encombre les HCFC</w:t>
      </w:r>
      <w:r w:rsidRPr="003F2785">
        <w:rPr>
          <w:rFonts w:eastAsiaTheme="minorEastAsia"/>
          <w:color w:val="000000" w:themeColor="text1"/>
          <w:lang w:val="fr-FR" w:eastAsia="zh-CN"/>
        </w:rPr>
        <w:t>.</w:t>
      </w:r>
      <w:r w:rsidRPr="00720BA7">
        <w:rPr>
          <w:rFonts w:eastAsiaTheme="minorEastAsia"/>
          <w:color w:val="000000" w:themeColor="text1"/>
          <w:lang w:val="fr-CA" w:eastAsia="zh-CN"/>
        </w:rPr>
        <w:t xml:space="preserve"> </w:t>
      </w:r>
      <w:r w:rsidRPr="003F2785">
        <w:rPr>
          <w:rFonts w:eastAsiaTheme="minorEastAsia"/>
          <w:color w:val="000000" w:themeColor="text1"/>
          <w:lang w:val="fr-FR" w:eastAsia="zh-CN"/>
        </w:rPr>
        <w:t>Tout en reconnaissant que les coûts différentiels d</w:t>
      </w:r>
      <w:r>
        <w:rPr>
          <w:rFonts w:eastAsiaTheme="minorEastAsia"/>
          <w:color w:val="000000" w:themeColor="text1"/>
          <w:lang w:val="fr-FR" w:eastAsia="zh-CN"/>
        </w:rPr>
        <w:t>’</w:t>
      </w:r>
      <w:r w:rsidRPr="003F2785">
        <w:rPr>
          <w:rFonts w:eastAsiaTheme="minorEastAsia"/>
          <w:color w:val="000000" w:themeColor="text1"/>
          <w:lang w:val="fr-FR" w:eastAsia="zh-CN"/>
        </w:rPr>
        <w:t xml:space="preserve">exploitation peuvent encourager dans une certaine mesure la production et les ventes, cet incitatif a également des limites, car ces coûts ne sont payés que durant une année </w:t>
      </w:r>
      <w:r>
        <w:rPr>
          <w:rFonts w:eastAsiaTheme="minorEastAsia"/>
          <w:color w:val="000000" w:themeColor="text1"/>
          <w:lang w:val="fr-FR" w:eastAsia="zh-CN"/>
        </w:rPr>
        <w:t xml:space="preserve">et </w:t>
      </w:r>
      <w:r w:rsidRPr="003F2785">
        <w:rPr>
          <w:rFonts w:eastAsiaTheme="minorEastAsia"/>
          <w:color w:val="000000" w:themeColor="text1"/>
          <w:lang w:val="fr-FR" w:eastAsia="zh-CN"/>
        </w:rPr>
        <w:t>sur la base de la production de l</w:t>
      </w:r>
      <w:r>
        <w:rPr>
          <w:rFonts w:eastAsiaTheme="minorEastAsia"/>
          <w:color w:val="000000" w:themeColor="text1"/>
          <w:lang w:val="fr-FR" w:eastAsia="zh-CN"/>
        </w:rPr>
        <w:t>’</w:t>
      </w:r>
      <w:r w:rsidRPr="003F2785">
        <w:rPr>
          <w:rFonts w:eastAsiaTheme="minorEastAsia"/>
          <w:color w:val="000000" w:themeColor="text1"/>
          <w:lang w:val="fr-FR" w:eastAsia="zh-CN"/>
        </w:rPr>
        <w:t>année précédente, sans tenir compte de l</w:t>
      </w:r>
      <w:r>
        <w:rPr>
          <w:rFonts w:eastAsiaTheme="minorEastAsia"/>
          <w:color w:val="000000" w:themeColor="text1"/>
          <w:lang w:val="fr-FR" w:eastAsia="zh-CN"/>
        </w:rPr>
        <w:t>’</w:t>
      </w:r>
      <w:r w:rsidRPr="003F2785">
        <w:rPr>
          <w:rFonts w:eastAsiaTheme="minorEastAsia"/>
          <w:color w:val="000000" w:themeColor="text1"/>
          <w:lang w:val="fr-FR" w:eastAsia="zh-CN"/>
        </w:rPr>
        <w:t>augmentation de la demande des produits au fil du temps.</w:t>
      </w:r>
      <w:r w:rsidRPr="00720BA7">
        <w:rPr>
          <w:rFonts w:eastAsiaTheme="minorEastAsia"/>
          <w:color w:val="000000" w:themeColor="text1"/>
          <w:lang w:val="fr-CA" w:eastAsia="zh-CN"/>
        </w:rPr>
        <w:t xml:space="preserve"> </w:t>
      </w:r>
      <w:r w:rsidRPr="003F2785">
        <w:rPr>
          <w:rFonts w:eastAsiaTheme="minorEastAsia"/>
          <w:color w:val="000000" w:themeColor="text1"/>
          <w:lang w:val="fr-FR" w:eastAsia="zh-CN"/>
        </w:rPr>
        <w:t>La promotion commerciale de la technologie de remplacement est</w:t>
      </w:r>
      <w:r>
        <w:rPr>
          <w:rFonts w:eastAsiaTheme="minorEastAsia"/>
          <w:color w:val="000000" w:themeColor="text1"/>
          <w:lang w:val="fr-FR" w:eastAsia="zh-CN"/>
        </w:rPr>
        <w:t xml:space="preserve"> </w:t>
      </w:r>
      <w:r w:rsidRPr="003F2785">
        <w:rPr>
          <w:rFonts w:eastAsiaTheme="minorEastAsia"/>
          <w:color w:val="000000" w:themeColor="text1"/>
          <w:lang w:val="fr-FR" w:eastAsia="zh-CN"/>
        </w:rPr>
        <w:t>un processus à long terme ; la production et la vente d</w:t>
      </w:r>
      <w:r>
        <w:rPr>
          <w:rFonts w:eastAsiaTheme="minorEastAsia"/>
          <w:color w:val="000000" w:themeColor="text1"/>
          <w:lang w:val="fr-FR" w:eastAsia="zh-CN"/>
        </w:rPr>
        <w:t>’</w:t>
      </w:r>
      <w:r w:rsidRPr="003F2785">
        <w:rPr>
          <w:rFonts w:eastAsiaTheme="minorEastAsia"/>
          <w:color w:val="000000" w:themeColor="text1"/>
          <w:lang w:val="fr-FR" w:eastAsia="zh-CN"/>
        </w:rPr>
        <w:t>équipements dotés d</w:t>
      </w:r>
      <w:r>
        <w:rPr>
          <w:rFonts w:eastAsiaTheme="minorEastAsia"/>
          <w:color w:val="000000" w:themeColor="text1"/>
          <w:lang w:val="fr-FR" w:eastAsia="zh-CN"/>
        </w:rPr>
        <w:t>’</w:t>
      </w:r>
      <w:r w:rsidRPr="003F2785">
        <w:rPr>
          <w:rFonts w:eastAsiaTheme="minorEastAsia"/>
          <w:color w:val="000000" w:themeColor="text1"/>
          <w:lang w:val="fr-FR" w:eastAsia="zh-CN"/>
        </w:rPr>
        <w:t>une</w:t>
      </w:r>
      <w:r>
        <w:rPr>
          <w:rFonts w:eastAsiaTheme="minorEastAsia"/>
          <w:color w:val="000000" w:themeColor="text1"/>
          <w:lang w:val="fr-FR" w:eastAsia="zh-CN"/>
        </w:rPr>
        <w:t xml:space="preserve"> </w:t>
      </w:r>
      <w:r w:rsidRPr="003F2785">
        <w:rPr>
          <w:rFonts w:eastAsiaTheme="minorEastAsia"/>
          <w:color w:val="000000" w:themeColor="text1"/>
          <w:lang w:val="fr-FR" w:eastAsia="zh-CN"/>
        </w:rPr>
        <w:t>technologie alternative dépendent davantage de l</w:t>
      </w:r>
      <w:r>
        <w:rPr>
          <w:rFonts w:eastAsiaTheme="minorEastAsia"/>
          <w:color w:val="000000" w:themeColor="text1"/>
          <w:lang w:val="fr-FR" w:eastAsia="zh-CN"/>
        </w:rPr>
        <w:t>’</w:t>
      </w:r>
      <w:r w:rsidRPr="003F2785">
        <w:rPr>
          <w:rFonts w:eastAsiaTheme="minorEastAsia"/>
          <w:color w:val="000000" w:themeColor="text1"/>
          <w:lang w:val="fr-FR" w:eastAsia="zh-CN"/>
        </w:rPr>
        <w:t>acceptation de la technologie par l</w:t>
      </w:r>
      <w:r>
        <w:rPr>
          <w:rFonts w:eastAsiaTheme="minorEastAsia"/>
          <w:color w:val="000000" w:themeColor="text1"/>
          <w:lang w:val="fr-FR" w:eastAsia="zh-CN"/>
        </w:rPr>
        <w:t>’</w:t>
      </w:r>
      <w:r w:rsidRPr="003F2785">
        <w:rPr>
          <w:rFonts w:eastAsiaTheme="minorEastAsia"/>
          <w:color w:val="000000" w:themeColor="text1"/>
          <w:lang w:val="fr-FR" w:eastAsia="zh-CN"/>
        </w:rPr>
        <w:t>utilisateur final, ce qui explique pourquoi une assistance technique et des mesures politiques renforcées ont été prévues pour promouvoir la pénétration du marché.</w:t>
      </w:r>
      <w:r w:rsidRPr="00720BA7">
        <w:rPr>
          <w:rFonts w:eastAsiaTheme="minorEastAsia"/>
          <w:color w:val="000000" w:themeColor="text1"/>
          <w:lang w:val="fr-CA" w:eastAsia="zh-CN"/>
        </w:rPr>
        <w:t xml:space="preserve"> </w:t>
      </w:r>
    </w:p>
    <w:p w14:paraId="3E8232A9" w14:textId="77777777" w:rsidR="00720BA7" w:rsidRPr="00720BA7" w:rsidRDefault="00720BA7" w:rsidP="00720BA7">
      <w:pPr>
        <w:pStyle w:val="Heading1"/>
        <w:widowControl w:val="0"/>
        <w:rPr>
          <w:rFonts w:eastAsiaTheme="minorEastAsia"/>
          <w:color w:val="000000" w:themeColor="text1"/>
          <w:lang w:val="fr-CA" w:eastAsia="zh-CN"/>
        </w:rPr>
      </w:pPr>
      <w:r w:rsidRPr="003F2785">
        <w:rPr>
          <w:color w:val="000000" w:themeColor="text1"/>
          <w:lang w:val="fr-FR"/>
        </w:rPr>
        <w:t xml:space="preserve">Le rapport coût-efficacité global de la phase II révisée et prolongée est de 2,15$US/kg </w:t>
      </w:r>
      <w:r>
        <w:rPr>
          <w:color w:val="000000" w:themeColor="text1"/>
          <w:lang w:val="fr-FR"/>
        </w:rPr>
        <w:t>alors qu’il était de</w:t>
      </w:r>
      <w:r w:rsidRPr="003F2785">
        <w:rPr>
          <w:color w:val="000000" w:themeColor="text1"/>
          <w:lang w:val="fr-FR"/>
        </w:rPr>
        <w:t xml:space="preserve"> </w:t>
      </w:r>
      <w:r w:rsidRPr="003F2785">
        <w:rPr>
          <w:lang w:val="fr-FR"/>
        </w:rPr>
        <w:t>10,10 $US/kg d</w:t>
      </w:r>
      <w:r>
        <w:rPr>
          <w:lang w:val="fr-FR"/>
        </w:rPr>
        <w:t>ans</w:t>
      </w:r>
      <w:r w:rsidRPr="003F2785">
        <w:rPr>
          <w:lang w:val="fr-FR"/>
        </w:rPr>
        <w:t xml:space="preserve"> la phase II initiale ; </w:t>
      </w:r>
      <w:r>
        <w:rPr>
          <w:lang w:val="fr-FR"/>
        </w:rPr>
        <w:t>ce</w:t>
      </w:r>
      <w:r w:rsidRPr="003F2785">
        <w:rPr>
          <w:lang w:val="fr-FR"/>
        </w:rPr>
        <w:t xml:space="preserve"> rapport </w:t>
      </w:r>
      <w:r>
        <w:rPr>
          <w:lang w:val="fr-FR"/>
        </w:rPr>
        <w:t xml:space="preserve">pour </w:t>
      </w:r>
      <w:r w:rsidRPr="003F2785">
        <w:rPr>
          <w:lang w:val="fr-FR"/>
        </w:rPr>
        <w:t xml:space="preserve">des reconversions à des technologies à faible PRP est de 12,57 $US/kg comparativement </w:t>
      </w:r>
      <w:r>
        <w:rPr>
          <w:lang w:val="fr-FR"/>
        </w:rPr>
        <w:t>à</w:t>
      </w:r>
      <w:r w:rsidRPr="003F2785">
        <w:rPr>
          <w:lang w:val="fr-FR"/>
        </w:rPr>
        <w:t xml:space="preserve"> </w:t>
      </w:r>
      <w:r w:rsidRPr="003F2785">
        <w:rPr>
          <w:color w:val="000000" w:themeColor="text1"/>
          <w:lang w:val="fr-FR"/>
        </w:rPr>
        <w:t>11,52 $US/kg.</w:t>
      </w:r>
      <w:r w:rsidRPr="00720BA7">
        <w:rPr>
          <w:color w:val="000000" w:themeColor="text1"/>
          <w:lang w:val="fr-CA"/>
        </w:rPr>
        <w:t xml:space="preserve"> </w:t>
      </w:r>
      <w:r w:rsidRPr="003F2785">
        <w:rPr>
          <w:color w:val="000000" w:themeColor="text1"/>
          <w:lang w:val="fr-FR"/>
        </w:rPr>
        <w:t>Le PNUD a expliqué que la phase II révisée maintenait le même rapport coût-efficacité pour les PME ayant une consommation</w:t>
      </w:r>
      <w:r>
        <w:rPr>
          <w:color w:val="000000" w:themeColor="text1"/>
          <w:lang w:val="fr-FR"/>
        </w:rPr>
        <w:t xml:space="preserve"> </w:t>
      </w:r>
      <w:r w:rsidRPr="003F2785">
        <w:rPr>
          <w:color w:val="000000" w:themeColor="text1"/>
          <w:lang w:val="fr-FR"/>
        </w:rPr>
        <w:t>inférieure à 20 tm et diminuait ce rapport pour les entreprises dont la consommation était supérieure à 20 tm</w:t>
      </w:r>
      <w:r w:rsidRPr="003F2785">
        <w:rPr>
          <w:rFonts w:eastAsiaTheme="minorEastAsia"/>
          <w:color w:val="000000" w:themeColor="text1"/>
          <w:lang w:val="fr-FR" w:eastAsia="zh-CN"/>
        </w:rPr>
        <w:t>.</w:t>
      </w:r>
      <w:r w:rsidRPr="00720BA7">
        <w:rPr>
          <w:rFonts w:eastAsiaTheme="minorEastAsia"/>
          <w:color w:val="000000" w:themeColor="text1"/>
          <w:lang w:val="fr-CA" w:eastAsia="zh-CN"/>
        </w:rPr>
        <w:t xml:space="preserve"> </w:t>
      </w:r>
      <w:r w:rsidRPr="003F2785">
        <w:rPr>
          <w:rFonts w:eastAsiaTheme="minorEastAsia"/>
          <w:color w:val="000000" w:themeColor="text1"/>
          <w:lang w:val="fr-FR" w:eastAsia="zh-CN"/>
        </w:rPr>
        <w:t>Le rapport coût-efficacité pour les projets de reconversion de la phase II révisée est légèrement supérieur au rapport de la phase II initialement approuvée du fait qu</w:t>
      </w:r>
      <w:r>
        <w:rPr>
          <w:rFonts w:eastAsiaTheme="minorEastAsia"/>
          <w:color w:val="000000" w:themeColor="text1"/>
          <w:lang w:val="fr-FR" w:eastAsia="zh-CN"/>
        </w:rPr>
        <w:t>’</w:t>
      </w:r>
      <w:r w:rsidRPr="003F2785">
        <w:rPr>
          <w:rFonts w:eastAsiaTheme="minorEastAsia"/>
          <w:color w:val="000000" w:themeColor="text1"/>
          <w:lang w:val="fr-FR" w:eastAsia="zh-CN"/>
        </w:rPr>
        <w:t>une consommation plus importante sera éliminée par les PME.</w:t>
      </w:r>
      <w:r w:rsidRPr="00720BA7">
        <w:rPr>
          <w:rFonts w:eastAsiaTheme="minorEastAsia"/>
          <w:color w:val="000000" w:themeColor="text1"/>
          <w:lang w:val="fr-CA" w:eastAsia="zh-CN"/>
        </w:rPr>
        <w:t xml:space="preserve"> </w:t>
      </w:r>
    </w:p>
    <w:p w14:paraId="23B42B3F" w14:textId="77777777" w:rsidR="00720BA7" w:rsidRPr="00720BA7" w:rsidRDefault="00720BA7" w:rsidP="00720BA7">
      <w:pPr>
        <w:pStyle w:val="Heading1"/>
        <w:keepNext/>
        <w:keepLines/>
        <w:numPr>
          <w:ilvl w:val="0"/>
          <w:numId w:val="0"/>
        </w:numPr>
        <w:rPr>
          <w:u w:val="single"/>
          <w:lang w:val="fr-CA"/>
        </w:rPr>
      </w:pPr>
      <w:r w:rsidRPr="003F2785">
        <w:rPr>
          <w:u w:val="single"/>
          <w:lang w:val="fr-FR"/>
        </w:rPr>
        <w:t>État de l</w:t>
      </w:r>
      <w:r>
        <w:rPr>
          <w:u w:val="single"/>
          <w:lang w:val="fr-FR"/>
        </w:rPr>
        <w:t>’</w:t>
      </w:r>
      <w:r w:rsidRPr="003F2785">
        <w:rPr>
          <w:u w:val="single"/>
          <w:lang w:val="fr-FR"/>
        </w:rPr>
        <w:t xml:space="preserve">avancement de la mise en œuvre de la phase II du plan du secteur </w:t>
      </w:r>
      <w:r>
        <w:rPr>
          <w:u w:val="single"/>
          <w:lang w:val="fr-FR"/>
        </w:rPr>
        <w:t>ICR</w:t>
      </w:r>
    </w:p>
    <w:p w14:paraId="51EBDBA3" w14:textId="77777777" w:rsidR="00720BA7" w:rsidRPr="00720BA7" w:rsidRDefault="00720BA7" w:rsidP="00720BA7">
      <w:pPr>
        <w:pStyle w:val="Heading1"/>
        <w:keepNext/>
        <w:keepLines/>
        <w:rPr>
          <w:rStyle w:val="tw4winMark"/>
          <w:vanish w:val="0"/>
          <w:lang w:val="fr-CA"/>
        </w:rPr>
      </w:pPr>
      <w:r w:rsidRPr="003F2785">
        <w:rPr>
          <w:lang w:val="fr-FR"/>
        </w:rPr>
        <w:t>En réponse à une question sur l</w:t>
      </w:r>
      <w:r>
        <w:rPr>
          <w:lang w:val="fr-FR"/>
        </w:rPr>
        <w:t>’</w:t>
      </w:r>
      <w:r w:rsidRPr="003F2785">
        <w:rPr>
          <w:lang w:val="fr-FR"/>
        </w:rPr>
        <w:t>état d</w:t>
      </w:r>
      <w:r>
        <w:rPr>
          <w:lang w:val="fr-FR"/>
        </w:rPr>
        <w:t>’</w:t>
      </w:r>
      <w:r w:rsidRPr="003F2785">
        <w:rPr>
          <w:lang w:val="fr-FR"/>
        </w:rPr>
        <w:t>avancement opérationnel des quatre chaînes achevées, le PNUD a signalé qu</w:t>
      </w:r>
      <w:r>
        <w:rPr>
          <w:lang w:val="fr-FR"/>
        </w:rPr>
        <w:t>’</w:t>
      </w:r>
      <w:r w:rsidRPr="003F2785">
        <w:rPr>
          <w:lang w:val="fr-FR"/>
        </w:rPr>
        <w:t>une chaîne de fabrication avait commencé à produire des refroidisseurs d</w:t>
      </w:r>
      <w:r>
        <w:rPr>
          <w:lang w:val="fr-FR"/>
        </w:rPr>
        <w:t>’</w:t>
      </w:r>
      <w:r w:rsidRPr="003F2785">
        <w:rPr>
          <w:lang w:val="fr-FR"/>
        </w:rPr>
        <w:t>eau à base de R-290 (avec une capacité variant entre 275 kW et 3 895 kW) ; les trois autres chaînes n</w:t>
      </w:r>
      <w:r>
        <w:rPr>
          <w:lang w:val="fr-FR"/>
        </w:rPr>
        <w:t>’</w:t>
      </w:r>
      <w:r w:rsidRPr="003F2785">
        <w:rPr>
          <w:lang w:val="fr-FR"/>
        </w:rPr>
        <w:t>ont été achevées qu</w:t>
      </w:r>
      <w:r>
        <w:rPr>
          <w:lang w:val="fr-FR"/>
        </w:rPr>
        <w:t>’</w:t>
      </w:r>
      <w:r w:rsidRPr="003F2785">
        <w:rPr>
          <w:lang w:val="fr-FR"/>
        </w:rPr>
        <w:t xml:space="preserve">à la fin de 2019. Les quantités exactes produites par </w:t>
      </w:r>
      <w:r>
        <w:rPr>
          <w:lang w:val="fr-FR"/>
        </w:rPr>
        <w:t>ces dernières</w:t>
      </w:r>
      <w:r w:rsidRPr="003F2785">
        <w:rPr>
          <w:lang w:val="fr-FR"/>
        </w:rPr>
        <w:t xml:space="preserve"> doivent être vérifiées.</w:t>
      </w:r>
      <w:r w:rsidRPr="00720BA7">
        <w:rPr>
          <w:lang w:val="fr-CA"/>
        </w:rPr>
        <w:t xml:space="preserve"> </w:t>
      </w:r>
      <w:r w:rsidRPr="003F2785">
        <w:rPr>
          <w:lang w:val="fr-FR"/>
        </w:rPr>
        <w:t>Un total de 670 tm de HCFC</w:t>
      </w:r>
      <w:r>
        <w:rPr>
          <w:lang w:val="fr-FR"/>
        </w:rPr>
        <w:t>-</w:t>
      </w:r>
      <w:r w:rsidRPr="003F2785">
        <w:rPr>
          <w:lang w:val="fr-FR"/>
        </w:rPr>
        <w:t xml:space="preserve">22 </w:t>
      </w:r>
      <w:r>
        <w:rPr>
          <w:lang w:val="fr-FR"/>
        </w:rPr>
        <w:t>a</w:t>
      </w:r>
      <w:r w:rsidRPr="003F2785">
        <w:rPr>
          <w:lang w:val="fr-FR"/>
        </w:rPr>
        <w:t xml:space="preserve"> été éliminé grâce à la reconversion des quatre chaînes (590 tm reconverties à l</w:t>
      </w:r>
      <w:r>
        <w:rPr>
          <w:lang w:val="fr-FR"/>
        </w:rPr>
        <w:t>’</w:t>
      </w:r>
      <w:r w:rsidRPr="003F2785">
        <w:rPr>
          <w:lang w:val="fr-FR"/>
        </w:rPr>
        <w:t>utilisation du R-290 et 83,73 tonnes au HFC</w:t>
      </w:r>
      <w:r>
        <w:rPr>
          <w:lang w:val="fr-FR"/>
        </w:rPr>
        <w:t>-</w:t>
      </w:r>
      <w:r w:rsidRPr="003F2785">
        <w:rPr>
          <w:lang w:val="fr-FR"/>
        </w:rPr>
        <w:t xml:space="preserve"> 32). Le PNUD a en outre indiqué qu</w:t>
      </w:r>
      <w:r>
        <w:rPr>
          <w:lang w:val="fr-FR"/>
        </w:rPr>
        <w:t>’</w:t>
      </w:r>
      <w:r w:rsidRPr="003F2785">
        <w:rPr>
          <w:lang w:val="fr-FR"/>
        </w:rPr>
        <w:t>après l</w:t>
      </w:r>
      <w:r>
        <w:rPr>
          <w:lang w:val="fr-FR"/>
        </w:rPr>
        <w:t>’</w:t>
      </w:r>
      <w:r w:rsidRPr="003F2785">
        <w:rPr>
          <w:lang w:val="fr-FR"/>
        </w:rPr>
        <w:t>achèvement du projet de démonstration à Snowman, une chaîne de fabrication avait été reconvertie et 25 compresseurs à ammoniac avaient été produits et vendus aux utilisateurs en aval.</w:t>
      </w:r>
      <w:r w:rsidRPr="00720BA7">
        <w:rPr>
          <w:lang w:val="fr-CA"/>
        </w:rPr>
        <w:t xml:space="preserve"> </w:t>
      </w:r>
    </w:p>
    <w:p w14:paraId="6055EE8E" w14:textId="77777777" w:rsidR="00720BA7" w:rsidRPr="00C20600" w:rsidRDefault="00720BA7" w:rsidP="00720BA7">
      <w:pPr>
        <w:spacing w:after="240"/>
        <w:rPr>
          <w:u w:val="single"/>
          <w:lang w:val="en-CA"/>
        </w:rPr>
      </w:pPr>
      <w:r w:rsidRPr="003F2785">
        <w:rPr>
          <w:u w:val="single"/>
          <w:lang w:val="fr-FR"/>
        </w:rPr>
        <w:t>Révision de l</w:t>
      </w:r>
      <w:r>
        <w:rPr>
          <w:u w:val="single"/>
          <w:lang w:val="fr-FR"/>
        </w:rPr>
        <w:t>’</w:t>
      </w:r>
      <w:r w:rsidRPr="003F2785">
        <w:rPr>
          <w:u w:val="single"/>
          <w:lang w:val="fr-FR"/>
        </w:rPr>
        <w:t>accord</w:t>
      </w:r>
      <w:r w:rsidRPr="003F2785">
        <w:rPr>
          <w:u w:val="single"/>
          <w:lang w:val="en-CA"/>
        </w:rPr>
        <w:t xml:space="preserve"> </w:t>
      </w:r>
    </w:p>
    <w:p w14:paraId="5BAD9E78" w14:textId="77777777" w:rsidR="00720BA7" w:rsidRPr="00720BA7" w:rsidRDefault="00720BA7" w:rsidP="00720BA7">
      <w:pPr>
        <w:pStyle w:val="Heading1"/>
        <w:rPr>
          <w:iCs/>
          <w:lang w:val="fr-CA"/>
        </w:rPr>
      </w:pPr>
      <w:r w:rsidRPr="003F2785">
        <w:rPr>
          <w:lang w:val="fr-FR"/>
        </w:rPr>
        <w:t>Le Secrétariat a noté que la condition relative aux technologies de remplacement dans le secteur ICR au paragraphe 2 de l</w:t>
      </w:r>
      <w:r>
        <w:rPr>
          <w:lang w:val="fr-FR"/>
        </w:rPr>
        <w:t>’</w:t>
      </w:r>
      <w:r w:rsidRPr="003F2785">
        <w:rPr>
          <w:lang w:val="fr-FR"/>
        </w:rPr>
        <w:t>appendice 8-A de l</w:t>
      </w:r>
      <w:r>
        <w:rPr>
          <w:lang w:val="fr-FR"/>
        </w:rPr>
        <w:t>’</w:t>
      </w:r>
      <w:r w:rsidRPr="003F2785">
        <w:rPr>
          <w:lang w:val="fr-FR"/>
        </w:rPr>
        <w:t>accord entre le gouvernement de la Chine et Comité exécutif a été modifiée.</w:t>
      </w:r>
      <w:r w:rsidRPr="00720BA7">
        <w:rPr>
          <w:lang w:val="fr-CA"/>
        </w:rPr>
        <w:t xml:space="preserve"> </w:t>
      </w:r>
      <w:r w:rsidRPr="003F2785">
        <w:rPr>
          <w:lang w:val="fr-FR"/>
        </w:rPr>
        <w:t>Le PNUD a expliqué que cela était conforme à la décision 84/69 car le Comité avait demandé, entre autres, la soumission d</w:t>
      </w:r>
      <w:r>
        <w:rPr>
          <w:lang w:val="fr-FR"/>
        </w:rPr>
        <w:t>’</w:t>
      </w:r>
      <w:r w:rsidRPr="003F2785">
        <w:rPr>
          <w:lang w:val="fr-FR"/>
        </w:rPr>
        <w:t>un plan d</w:t>
      </w:r>
      <w:r>
        <w:rPr>
          <w:lang w:val="fr-FR"/>
        </w:rPr>
        <w:t>’</w:t>
      </w:r>
      <w:r w:rsidRPr="003F2785">
        <w:rPr>
          <w:lang w:val="fr-FR"/>
        </w:rPr>
        <w:t xml:space="preserve">action révisé comprenant des activités connexes et des informations sur la technologie sélectionnée, et les tranches de financement correspondantes afin de prolonger la phase II du </w:t>
      </w:r>
      <w:r w:rsidRPr="003F2785">
        <w:rPr>
          <w:iCs/>
          <w:lang w:val="fr-FR"/>
        </w:rPr>
        <w:t xml:space="preserve">secteur de la réfrigération industrielle et commerciale </w:t>
      </w:r>
      <w:r w:rsidRPr="003F2785">
        <w:rPr>
          <w:lang w:val="fr-FR"/>
        </w:rPr>
        <w:t>jusqu</w:t>
      </w:r>
      <w:r>
        <w:rPr>
          <w:lang w:val="fr-FR"/>
        </w:rPr>
        <w:t>’</w:t>
      </w:r>
      <w:r w:rsidRPr="003F2785">
        <w:rPr>
          <w:lang w:val="fr-FR"/>
        </w:rPr>
        <w:t>en 2026.</w:t>
      </w:r>
      <w:r w:rsidRPr="00720BA7">
        <w:rPr>
          <w:iCs/>
          <w:lang w:val="fr-CA"/>
        </w:rPr>
        <w:t xml:space="preserve"> </w:t>
      </w:r>
      <w:r w:rsidRPr="003F2785">
        <w:rPr>
          <w:iCs/>
          <w:lang w:val="fr-FR"/>
        </w:rPr>
        <w:t xml:space="preserve">La </w:t>
      </w:r>
      <w:r w:rsidRPr="003F2785">
        <w:rPr>
          <w:lang w:val="fr-FR"/>
        </w:rPr>
        <w:t>modification de l</w:t>
      </w:r>
      <w:r>
        <w:rPr>
          <w:lang w:val="fr-FR"/>
        </w:rPr>
        <w:t>’</w:t>
      </w:r>
      <w:r w:rsidRPr="003F2785">
        <w:rPr>
          <w:lang w:val="fr-FR"/>
        </w:rPr>
        <w:t>Appendice 8-A est nécessaire en raison de la réduction importante du niveau de financement du plan de secteur</w:t>
      </w:r>
      <w:r>
        <w:rPr>
          <w:lang w:val="fr-FR"/>
        </w:rPr>
        <w:t xml:space="preserve"> et</w:t>
      </w:r>
      <w:r w:rsidRPr="003F2785">
        <w:rPr>
          <w:lang w:val="fr-FR"/>
        </w:rPr>
        <w:t xml:space="preserve"> les tonnages supplémentaires d</w:t>
      </w:r>
      <w:r>
        <w:rPr>
          <w:lang w:val="fr-FR"/>
        </w:rPr>
        <w:t>’</w:t>
      </w:r>
      <w:r w:rsidRPr="003F2785">
        <w:rPr>
          <w:lang w:val="fr-FR"/>
        </w:rPr>
        <w:t>élimination à réaliser au cours de la période 2021-2026.</w:t>
      </w:r>
    </w:p>
    <w:p w14:paraId="2EA5361D" w14:textId="77777777" w:rsidR="00720BA7" w:rsidRPr="003F2785" w:rsidRDefault="00720BA7" w:rsidP="00720BA7">
      <w:pPr>
        <w:keepNext/>
        <w:spacing w:after="240"/>
        <w:rPr>
          <w:u w:val="single"/>
          <w:lang w:val="en-CA"/>
        </w:rPr>
      </w:pPr>
      <w:r w:rsidRPr="003F2785">
        <w:rPr>
          <w:u w:val="single"/>
          <w:lang w:val="fr-FR"/>
        </w:rPr>
        <w:lastRenderedPageBreak/>
        <w:t>Incidence sur le climat</w:t>
      </w:r>
    </w:p>
    <w:p w14:paraId="1319CC2E" w14:textId="77777777" w:rsidR="00720BA7" w:rsidRPr="00720BA7" w:rsidRDefault="00720BA7" w:rsidP="00720BA7">
      <w:pPr>
        <w:pStyle w:val="Heading1"/>
        <w:rPr>
          <w:lang w:val="fr-CA"/>
        </w:rPr>
      </w:pPr>
      <w:r w:rsidRPr="003F2785">
        <w:rPr>
          <w:lang w:val="fr-FR"/>
        </w:rPr>
        <w:t>La reconversion de 31 chaînes de fabrication à l</w:t>
      </w:r>
      <w:r>
        <w:rPr>
          <w:lang w:val="fr-FR"/>
        </w:rPr>
        <w:t>’</w:t>
      </w:r>
      <w:r w:rsidRPr="003F2785">
        <w:rPr>
          <w:lang w:val="fr-FR"/>
        </w:rPr>
        <w:t>utilisation de diverses technologies à faible PRP évitera l</w:t>
      </w:r>
      <w:r>
        <w:rPr>
          <w:lang w:val="fr-FR"/>
        </w:rPr>
        <w:t>’</w:t>
      </w:r>
      <w:r w:rsidRPr="003F2785">
        <w:rPr>
          <w:lang w:val="fr-FR"/>
        </w:rPr>
        <w:t>émission dans</w:t>
      </w:r>
      <w:r>
        <w:rPr>
          <w:lang w:val="fr-FR"/>
        </w:rPr>
        <w:t xml:space="preserve"> </w:t>
      </w:r>
      <w:r w:rsidRPr="003F2785">
        <w:rPr>
          <w:lang w:val="fr-FR"/>
        </w:rPr>
        <w:t>l</w:t>
      </w:r>
      <w:r>
        <w:rPr>
          <w:lang w:val="fr-FR"/>
        </w:rPr>
        <w:t>’</w:t>
      </w:r>
      <w:r w:rsidRPr="003F2785">
        <w:rPr>
          <w:lang w:val="fr-FR"/>
        </w:rPr>
        <w:t>atmosphère d</w:t>
      </w:r>
      <w:r>
        <w:rPr>
          <w:lang w:val="fr-FR"/>
        </w:rPr>
        <w:t>’</w:t>
      </w:r>
      <w:r w:rsidRPr="003F2785">
        <w:rPr>
          <w:lang w:val="fr-FR"/>
        </w:rPr>
        <w:t>environ 2, 86 millions de tonnes d</w:t>
      </w:r>
      <w:r>
        <w:rPr>
          <w:lang w:val="fr-FR"/>
        </w:rPr>
        <w:t>’</w:t>
      </w:r>
      <w:r w:rsidRPr="003F2785">
        <w:rPr>
          <w:lang w:val="fr-FR"/>
        </w:rPr>
        <w:t>équivalent CO</w:t>
      </w:r>
      <w:r w:rsidRPr="003F2785">
        <w:rPr>
          <w:vertAlign w:val="subscript"/>
          <w:lang w:val="fr-FR"/>
        </w:rPr>
        <w:t>2</w:t>
      </w:r>
      <w:r w:rsidRPr="003F2785">
        <w:rPr>
          <w:lang w:val="fr-FR"/>
        </w:rPr>
        <w:t xml:space="preserve"> par an.</w:t>
      </w:r>
      <w:r w:rsidRPr="00720BA7">
        <w:rPr>
          <w:lang w:val="fr-CA"/>
        </w:rPr>
        <w:t xml:space="preserve"> </w:t>
      </w:r>
      <w:r w:rsidRPr="003F2785">
        <w:rPr>
          <w:lang w:val="fr-FR"/>
        </w:rPr>
        <w:t>En outre, la phase II révisée propose d</w:t>
      </w:r>
      <w:r>
        <w:rPr>
          <w:lang w:val="fr-FR"/>
        </w:rPr>
        <w:t>’</w:t>
      </w:r>
      <w:r w:rsidRPr="003F2785">
        <w:rPr>
          <w:lang w:val="fr-FR"/>
        </w:rPr>
        <w:t>éliminer 13 245,28 tm dans les entreprises de réfrigération industrielle et commerciale sans l</w:t>
      </w:r>
      <w:r>
        <w:rPr>
          <w:lang w:val="fr-FR"/>
        </w:rPr>
        <w:t>’</w:t>
      </w:r>
      <w:r w:rsidRPr="003F2785">
        <w:rPr>
          <w:lang w:val="fr-FR"/>
        </w:rPr>
        <w:t xml:space="preserve">aide du </w:t>
      </w:r>
      <w:r>
        <w:rPr>
          <w:lang w:val="fr-FR"/>
        </w:rPr>
        <w:t>F</w:t>
      </w:r>
      <w:r w:rsidRPr="003F2785">
        <w:rPr>
          <w:lang w:val="fr-FR"/>
        </w:rPr>
        <w:t>onds.</w:t>
      </w:r>
      <w:r w:rsidRPr="00720BA7">
        <w:rPr>
          <w:lang w:val="fr-CA"/>
        </w:rPr>
        <w:t xml:space="preserve"> </w:t>
      </w:r>
      <w:r w:rsidRPr="003F2785">
        <w:rPr>
          <w:lang w:val="fr-FR"/>
        </w:rPr>
        <w:t>Bien que les technologies sélectionnées pour l</w:t>
      </w:r>
      <w:r>
        <w:rPr>
          <w:lang w:val="fr-FR"/>
        </w:rPr>
        <w:t>’</w:t>
      </w:r>
      <w:r w:rsidRPr="003F2785">
        <w:rPr>
          <w:lang w:val="fr-FR"/>
        </w:rPr>
        <w:t>élimination par les entreprises ne recevant pas de</w:t>
      </w:r>
      <w:r>
        <w:rPr>
          <w:lang w:val="fr-FR"/>
        </w:rPr>
        <w:t xml:space="preserve"> </w:t>
      </w:r>
      <w:r w:rsidRPr="003F2785">
        <w:rPr>
          <w:lang w:val="fr-FR"/>
        </w:rPr>
        <w:t>financement ne soient pas connues pour le moment, des activités d</w:t>
      </w:r>
      <w:r>
        <w:rPr>
          <w:lang w:val="fr-FR"/>
        </w:rPr>
        <w:t>’</w:t>
      </w:r>
      <w:r w:rsidRPr="003F2785">
        <w:rPr>
          <w:lang w:val="fr-FR"/>
        </w:rPr>
        <w:t>assistance technique et de sensibilisation ont été planifiées pour promouvoir les technologies à faible PRP dans ces reconversions et devraient réduire l</w:t>
      </w:r>
      <w:r>
        <w:rPr>
          <w:lang w:val="fr-FR"/>
        </w:rPr>
        <w:t>’</w:t>
      </w:r>
      <w:r w:rsidRPr="003F2785">
        <w:rPr>
          <w:lang w:val="fr-FR"/>
        </w:rPr>
        <w:t>impact climatique dans la mesure du possible.</w:t>
      </w:r>
      <w:r w:rsidRPr="00720BA7">
        <w:rPr>
          <w:lang w:val="fr-CA"/>
        </w:rPr>
        <w:t xml:space="preserve"> </w:t>
      </w:r>
    </w:p>
    <w:p w14:paraId="5FBACBCA" w14:textId="77777777" w:rsidR="00720BA7" w:rsidRPr="003F2785" w:rsidRDefault="00720BA7" w:rsidP="00720BA7">
      <w:pPr>
        <w:keepNext/>
        <w:keepLines/>
        <w:contextualSpacing/>
        <w:rPr>
          <w:b/>
          <w:bCs/>
          <w:color w:val="000000" w:themeColor="text1"/>
          <w:szCs w:val="32"/>
          <w:lang w:val="en-CA"/>
        </w:rPr>
      </w:pPr>
      <w:r w:rsidRPr="003F2785">
        <w:rPr>
          <w:b/>
          <w:bCs/>
          <w:color w:val="000000" w:themeColor="text1"/>
          <w:szCs w:val="32"/>
          <w:lang w:val="fr-FR"/>
        </w:rPr>
        <w:t>Recommandation</w:t>
      </w:r>
    </w:p>
    <w:p w14:paraId="1C28DE60" w14:textId="77777777" w:rsidR="00720BA7" w:rsidRPr="00C20600" w:rsidRDefault="00720BA7" w:rsidP="00720BA7">
      <w:pPr>
        <w:keepNext/>
        <w:keepLines/>
        <w:contextualSpacing/>
        <w:rPr>
          <w:color w:val="000000" w:themeColor="text1"/>
          <w:szCs w:val="32"/>
          <w:u w:val="single"/>
          <w:lang w:val="en-CA"/>
        </w:rPr>
      </w:pPr>
    </w:p>
    <w:p w14:paraId="66E7C21E" w14:textId="77777777" w:rsidR="00720BA7" w:rsidRPr="00720BA7" w:rsidRDefault="00720BA7" w:rsidP="00720BA7">
      <w:pPr>
        <w:pStyle w:val="Heading1"/>
        <w:keepNext/>
        <w:keepLines/>
        <w:rPr>
          <w:lang w:val="fr-CA"/>
        </w:rPr>
      </w:pPr>
      <w:r w:rsidRPr="003F2785">
        <w:rPr>
          <w:lang w:val="fr-FR"/>
        </w:rPr>
        <w:t>Le Comité exécutif pourrait envisager de :</w:t>
      </w:r>
    </w:p>
    <w:p w14:paraId="640EF068" w14:textId="77777777" w:rsidR="00720BA7" w:rsidRPr="00720BA7" w:rsidRDefault="00720BA7" w:rsidP="00720BA7">
      <w:pPr>
        <w:pStyle w:val="Heading2"/>
        <w:numPr>
          <w:ilvl w:val="1"/>
          <w:numId w:val="1"/>
        </w:numPr>
        <w:rPr>
          <w:lang w:val="fr-CA"/>
        </w:rPr>
      </w:pPr>
      <w:r w:rsidRPr="003F2785">
        <w:rPr>
          <w:lang w:val="fr-FR"/>
        </w:rPr>
        <w:t xml:space="preserve">Approuver que </w:t>
      </w:r>
      <w:r>
        <w:rPr>
          <w:lang w:val="fr-FR"/>
        </w:rPr>
        <w:t xml:space="preserve">le </w:t>
      </w:r>
      <w:r w:rsidRPr="003F2785">
        <w:rPr>
          <w:lang w:val="fr-FR"/>
        </w:rPr>
        <w:t>plan d</w:t>
      </w:r>
      <w:r>
        <w:rPr>
          <w:lang w:val="fr-FR"/>
        </w:rPr>
        <w:t>’</w:t>
      </w:r>
      <w:r w:rsidRPr="003F2785">
        <w:rPr>
          <w:lang w:val="fr-FR"/>
        </w:rPr>
        <w:t xml:space="preserve">action révisé </w:t>
      </w:r>
      <w:r>
        <w:rPr>
          <w:lang w:val="fr-FR"/>
        </w:rPr>
        <w:t>prolonge</w:t>
      </w:r>
      <w:r w:rsidRPr="003F2785">
        <w:rPr>
          <w:lang w:val="fr-FR"/>
        </w:rPr>
        <w:t xml:space="preserve"> jusqu</w:t>
      </w:r>
      <w:r>
        <w:rPr>
          <w:lang w:val="fr-FR"/>
        </w:rPr>
        <w:t>’</w:t>
      </w:r>
      <w:r w:rsidRPr="003F2785">
        <w:rPr>
          <w:lang w:val="fr-FR"/>
        </w:rPr>
        <w:t>en 2026 le plan d</w:t>
      </w:r>
      <w:r>
        <w:rPr>
          <w:lang w:val="fr-FR"/>
        </w:rPr>
        <w:t xml:space="preserve">u </w:t>
      </w:r>
      <w:r w:rsidRPr="003F2785">
        <w:rPr>
          <w:lang w:val="fr-FR"/>
        </w:rPr>
        <w:t>secteur de la réfrigération et de la climatisation industrielles et commerciales</w:t>
      </w:r>
      <w:r>
        <w:rPr>
          <w:lang w:val="fr-FR"/>
        </w:rPr>
        <w:t>,</w:t>
      </w:r>
      <w:r w:rsidRPr="003F2785">
        <w:rPr>
          <w:lang w:val="fr-FR"/>
        </w:rPr>
        <w:t xml:space="preserve"> ainsi que les niveaux de consommation maximale autorisée de</w:t>
      </w:r>
      <w:r>
        <w:rPr>
          <w:lang w:val="fr-FR"/>
        </w:rPr>
        <w:t xml:space="preserve"> </w:t>
      </w:r>
      <w:r w:rsidRPr="003F2785">
        <w:rPr>
          <w:lang w:val="fr-FR"/>
        </w:rPr>
        <w:t>HCFC décrits dans le document UNEP/OzL.Pro/ExCom/86/21/Add.1 ; et</w:t>
      </w:r>
      <w:r w:rsidRPr="00720BA7">
        <w:rPr>
          <w:lang w:val="fr-CA"/>
        </w:rPr>
        <w:t xml:space="preserve"> </w:t>
      </w:r>
    </w:p>
    <w:p w14:paraId="2C29BB1F" w14:textId="77777777" w:rsidR="00720BA7" w:rsidRPr="00720BA7" w:rsidRDefault="00720BA7" w:rsidP="00720BA7">
      <w:pPr>
        <w:pStyle w:val="Heading2"/>
        <w:numPr>
          <w:ilvl w:val="1"/>
          <w:numId w:val="1"/>
        </w:numPr>
        <w:rPr>
          <w:lang w:val="fr-CA"/>
        </w:rPr>
      </w:pPr>
      <w:r w:rsidRPr="003F2785">
        <w:rPr>
          <w:lang w:val="fr-FR"/>
        </w:rPr>
        <w:t>Noter que dans le cadre de la phase II du plan du secteur de la réfrigération industrielle et commerciale, le gouvernement de la Chine a accepté</w:t>
      </w:r>
      <w:r>
        <w:rPr>
          <w:lang w:val="fr-FR"/>
        </w:rPr>
        <w:t xml:space="preserve"> </w:t>
      </w:r>
      <w:r w:rsidRPr="003F2785">
        <w:rPr>
          <w:lang w:val="fr-FR"/>
        </w:rPr>
        <w:t>:</w:t>
      </w:r>
      <w:r w:rsidRPr="00720BA7">
        <w:rPr>
          <w:lang w:val="fr-CA"/>
        </w:rPr>
        <w:t xml:space="preserve"> </w:t>
      </w:r>
    </w:p>
    <w:p w14:paraId="57FC58F8" w14:textId="77777777" w:rsidR="00720BA7" w:rsidRPr="00720BA7" w:rsidRDefault="00720BA7" w:rsidP="00720BA7">
      <w:pPr>
        <w:pStyle w:val="Heading3"/>
        <w:numPr>
          <w:ilvl w:val="2"/>
          <w:numId w:val="1"/>
        </w:numPr>
        <w:rPr>
          <w:lang w:val="fr-CA"/>
        </w:rPr>
      </w:pPr>
      <w:r w:rsidRPr="003F2785">
        <w:rPr>
          <w:lang w:val="fr-FR"/>
        </w:rPr>
        <w:t>Qu</w:t>
      </w:r>
      <w:r>
        <w:rPr>
          <w:lang w:val="fr-FR"/>
        </w:rPr>
        <w:t>’</w:t>
      </w:r>
      <w:r w:rsidRPr="003F2785">
        <w:rPr>
          <w:lang w:val="fr-FR"/>
        </w:rPr>
        <w:t>une quantité maximum de 1 463 tonnes métriques (tm) dans le sous-secteur de la climatisation individuelle s</w:t>
      </w:r>
      <w:r>
        <w:rPr>
          <w:lang w:val="fr-FR"/>
        </w:rPr>
        <w:t>era</w:t>
      </w:r>
      <w:r w:rsidRPr="003F2785">
        <w:rPr>
          <w:lang w:val="fr-FR"/>
        </w:rPr>
        <w:t xml:space="preserve"> reconvertie au</w:t>
      </w:r>
      <w:r>
        <w:rPr>
          <w:lang w:val="fr-FR"/>
        </w:rPr>
        <w:t xml:space="preserve"> </w:t>
      </w:r>
      <w:r w:rsidRPr="003F2785">
        <w:rPr>
          <w:lang w:val="fr-FR"/>
        </w:rPr>
        <w:t>HFC-32 ;</w:t>
      </w:r>
    </w:p>
    <w:p w14:paraId="06EE1197" w14:textId="77777777" w:rsidR="00720BA7" w:rsidRPr="00720BA7" w:rsidRDefault="00720BA7" w:rsidP="00720BA7">
      <w:pPr>
        <w:pStyle w:val="Heading3"/>
        <w:numPr>
          <w:ilvl w:val="2"/>
          <w:numId w:val="1"/>
        </w:numPr>
        <w:rPr>
          <w:lang w:val="fr-CA"/>
        </w:rPr>
      </w:pPr>
      <w:r w:rsidRPr="003F2785">
        <w:rPr>
          <w:lang w:val="fr-FR"/>
        </w:rPr>
        <w:t>Que la Chine disposerait d</w:t>
      </w:r>
      <w:r>
        <w:rPr>
          <w:lang w:val="fr-FR"/>
        </w:rPr>
        <w:t>’</w:t>
      </w:r>
      <w:r w:rsidRPr="003F2785">
        <w:rPr>
          <w:lang w:val="fr-FR"/>
        </w:rPr>
        <w:t xml:space="preserve">une certaine flexibilité dans le sous-secteur de la climatisation individuelle </w:t>
      </w:r>
      <w:r>
        <w:rPr>
          <w:lang w:val="fr-FR"/>
        </w:rPr>
        <w:t>pour</w:t>
      </w:r>
      <w:r w:rsidRPr="003F2785">
        <w:rPr>
          <w:lang w:val="fr-FR"/>
        </w:rPr>
        <w:t xml:space="preserve"> se reconvertir à des solutions de remplacement ayant un potentiel de réchauffement de la planète (PRP) moins élevé que celui du HFC</w:t>
      </w:r>
      <w:r w:rsidRPr="003F2785">
        <w:rPr>
          <w:lang w:val="fr-FR"/>
        </w:rPr>
        <w:noBreakHyphen/>
        <w:t xml:space="preserve">32 tant que les coûts et le tonnage à éliminer restent </w:t>
      </w:r>
      <w:r>
        <w:rPr>
          <w:lang w:val="fr-FR"/>
        </w:rPr>
        <w:t>inchangés</w:t>
      </w:r>
      <w:r w:rsidRPr="003F2785">
        <w:rPr>
          <w:lang w:val="fr-FR"/>
        </w:rPr>
        <w:t> ;</w:t>
      </w:r>
    </w:p>
    <w:p w14:paraId="76258C1E" w14:textId="77777777" w:rsidR="00720BA7" w:rsidRPr="00720BA7" w:rsidRDefault="00720BA7" w:rsidP="00720BA7">
      <w:pPr>
        <w:pStyle w:val="Heading3"/>
        <w:numPr>
          <w:ilvl w:val="2"/>
          <w:numId w:val="1"/>
        </w:numPr>
        <w:rPr>
          <w:lang w:val="fr-CA"/>
        </w:rPr>
      </w:pPr>
      <w:r w:rsidRPr="005924CF">
        <w:rPr>
          <w:lang w:val="fr-FR"/>
        </w:rPr>
        <w:t>Que la Chine disposerait d</w:t>
      </w:r>
      <w:r>
        <w:rPr>
          <w:lang w:val="fr-FR"/>
        </w:rPr>
        <w:t>’</w:t>
      </w:r>
      <w:r w:rsidRPr="005924CF">
        <w:rPr>
          <w:lang w:val="fr-FR"/>
        </w:rPr>
        <w:t>une certaine flexibilité pour reconvertir les chaînes de chauffe-eau à pompe à chaleur (HPWH)</w:t>
      </w:r>
      <w:r>
        <w:rPr>
          <w:lang w:val="fr-FR"/>
        </w:rPr>
        <w:t xml:space="preserve"> </w:t>
      </w:r>
      <w:r w:rsidRPr="005924CF">
        <w:rPr>
          <w:lang w:val="fr-FR"/>
        </w:rPr>
        <w:t>industriels et commerciaux au HFC-32 étant entendu que les reconversions</w:t>
      </w:r>
      <w:r>
        <w:rPr>
          <w:lang w:val="fr-FR"/>
        </w:rPr>
        <w:t xml:space="preserve"> </w:t>
      </w:r>
      <w:r w:rsidRPr="005924CF">
        <w:rPr>
          <w:lang w:val="fr-FR"/>
        </w:rPr>
        <w:t>au HFC-32</w:t>
      </w:r>
      <w:r>
        <w:rPr>
          <w:lang w:val="fr-FR"/>
        </w:rPr>
        <w:t xml:space="preserve"> </w:t>
      </w:r>
      <w:r w:rsidRPr="005924CF">
        <w:rPr>
          <w:lang w:val="fr-FR"/>
        </w:rPr>
        <w:t>additionnées</w:t>
      </w:r>
      <w:r>
        <w:rPr>
          <w:lang w:val="fr-FR"/>
        </w:rPr>
        <w:t xml:space="preserve"> </w:t>
      </w:r>
      <w:r w:rsidRPr="005924CF">
        <w:rPr>
          <w:lang w:val="fr-FR"/>
        </w:rPr>
        <w:t>des climatiseurs individuels, des refroidisseurs d</w:t>
      </w:r>
      <w:r>
        <w:rPr>
          <w:lang w:val="fr-FR"/>
        </w:rPr>
        <w:t>’</w:t>
      </w:r>
      <w:r w:rsidRPr="005924CF">
        <w:rPr>
          <w:lang w:val="fr-FR"/>
        </w:rPr>
        <w:t>eau (</w:t>
      </w:r>
      <w:r>
        <w:rPr>
          <w:lang w:val="fr-FR"/>
        </w:rPr>
        <w:t xml:space="preserve">à </w:t>
      </w:r>
      <w:r w:rsidRPr="005924CF">
        <w:rPr>
          <w:lang w:val="fr-FR"/>
        </w:rPr>
        <w:t>pompe à chaleur) et des chauffe-eau à pompe à chaleur (HPWH)</w:t>
      </w:r>
      <w:r>
        <w:rPr>
          <w:lang w:val="fr-FR"/>
        </w:rPr>
        <w:t xml:space="preserve"> </w:t>
      </w:r>
      <w:r w:rsidRPr="005924CF">
        <w:rPr>
          <w:lang w:val="fr-FR"/>
        </w:rPr>
        <w:t>industriels et commerciaux ne dépasseront pas 1 463</w:t>
      </w:r>
      <w:r w:rsidRPr="005924CF">
        <w:rPr>
          <w:spacing w:val="-4"/>
          <w:lang w:val="fr-FR"/>
        </w:rPr>
        <w:t xml:space="preserve"> tm </w:t>
      </w:r>
      <w:r w:rsidRPr="005924CF">
        <w:rPr>
          <w:lang w:val="fr-FR"/>
        </w:rPr>
        <w:t>;</w:t>
      </w:r>
    </w:p>
    <w:p w14:paraId="197D58EE" w14:textId="77777777" w:rsidR="00720BA7" w:rsidRPr="00720BA7" w:rsidRDefault="00720BA7" w:rsidP="00720BA7">
      <w:pPr>
        <w:pStyle w:val="Heading3"/>
        <w:keepNext/>
        <w:keepLines/>
        <w:numPr>
          <w:ilvl w:val="2"/>
          <w:numId w:val="1"/>
        </w:numPr>
        <w:rPr>
          <w:lang w:val="fr-CA"/>
        </w:rPr>
      </w:pPr>
      <w:r w:rsidRPr="005924CF">
        <w:rPr>
          <w:lang w:val="fr-FR"/>
        </w:rPr>
        <w:t>Qu</w:t>
      </w:r>
      <w:r>
        <w:rPr>
          <w:lang w:val="fr-FR"/>
        </w:rPr>
        <w:t>’</w:t>
      </w:r>
      <w:r w:rsidRPr="005924CF">
        <w:rPr>
          <w:lang w:val="fr-FR"/>
        </w:rPr>
        <w:t>au moins 30 pour cent de l</w:t>
      </w:r>
      <w:r>
        <w:rPr>
          <w:lang w:val="fr-FR"/>
        </w:rPr>
        <w:t>’</w:t>
      </w:r>
      <w:r w:rsidRPr="005924CF">
        <w:rPr>
          <w:lang w:val="fr-FR"/>
        </w:rPr>
        <w:t xml:space="preserve">élimination totale de HCFC-22 de la période 2021-2026 financée par le Fonds Multilatéral dans le secteur de la réfrigération industrielle et commerciale </w:t>
      </w:r>
      <w:r w:rsidRPr="00F971DC">
        <w:rPr>
          <w:lang w:val="fr-FR"/>
        </w:rPr>
        <w:t>proviendra de la reconversion des petites et moyennes entreprises (PME) (soit celles consommant au plus 50 tm) ; et</w:t>
      </w:r>
    </w:p>
    <w:p w14:paraId="31484AA2" w14:textId="52AF68BE" w:rsidR="002807D2" w:rsidRPr="004C201B" w:rsidRDefault="00720BA7" w:rsidP="004C201B">
      <w:pPr>
        <w:pStyle w:val="Heading3"/>
        <w:numPr>
          <w:ilvl w:val="2"/>
          <w:numId w:val="1"/>
        </w:numPr>
        <w:rPr>
          <w:lang w:val="fr-CA"/>
        </w:rPr>
      </w:pPr>
      <w:r w:rsidRPr="005924CF">
        <w:rPr>
          <w:lang w:val="fr-FR"/>
        </w:rPr>
        <w:t xml:space="preserve">Que dans les secteurs autres que le sous-secteur de la climatisation individuelle, la Chine </w:t>
      </w:r>
      <w:r>
        <w:rPr>
          <w:lang w:val="fr-FR"/>
        </w:rPr>
        <w:t>disposera d’</w:t>
      </w:r>
      <w:r w:rsidRPr="005924CF">
        <w:rPr>
          <w:lang w:val="fr-FR"/>
        </w:rPr>
        <w:t>une certaine flexibilité pour choisir parmi les</w:t>
      </w:r>
      <w:r>
        <w:rPr>
          <w:lang w:val="fr-FR"/>
        </w:rPr>
        <w:t xml:space="preserve"> </w:t>
      </w:r>
      <w:r w:rsidRPr="005924CF">
        <w:rPr>
          <w:lang w:val="fr-FR"/>
        </w:rPr>
        <w:t>technologies à faible PRP recensées au tableau 3 du paragraphe 71 du document UNEP/OzL.Pro/ExCom/86/21/Add.1, à l</w:t>
      </w:r>
      <w:r>
        <w:rPr>
          <w:lang w:val="fr-FR"/>
        </w:rPr>
        <w:t>’</w:t>
      </w:r>
      <w:r w:rsidRPr="005924CF">
        <w:rPr>
          <w:lang w:val="fr-FR"/>
        </w:rPr>
        <w:t>exclusion du HFC-32, et qu</w:t>
      </w:r>
      <w:r>
        <w:rPr>
          <w:lang w:val="fr-FR"/>
        </w:rPr>
        <w:t>’</w:t>
      </w:r>
      <w:r w:rsidRPr="005924CF">
        <w:rPr>
          <w:lang w:val="fr-FR"/>
        </w:rPr>
        <w:t>elle fera tout son possible pour assurer que le tonnage demeure dans la limite des 30 pour cent de la quantité spécifiée pour chaque technologie indiquée dans ce tableau, sans frais supplémentaire pour le Fonds Multilatéral, et que tout écart par rapport à cette</w:t>
      </w:r>
      <w:r>
        <w:rPr>
          <w:lang w:val="fr-FR"/>
        </w:rPr>
        <w:t xml:space="preserve"> </w:t>
      </w:r>
      <w:r w:rsidRPr="005924CF">
        <w:rPr>
          <w:lang w:val="fr-FR"/>
        </w:rPr>
        <w:t>fourchette sera communiqué au Comité exécutif aux fins d</w:t>
      </w:r>
      <w:r>
        <w:rPr>
          <w:lang w:val="fr-FR"/>
        </w:rPr>
        <w:t>’</w:t>
      </w:r>
      <w:r w:rsidRPr="005924CF">
        <w:rPr>
          <w:lang w:val="fr-FR"/>
        </w:rPr>
        <w:t>examen.</w:t>
      </w:r>
    </w:p>
    <w:p w14:paraId="639FBDE4" w14:textId="77777777" w:rsidR="00045AA9" w:rsidRPr="00A12348" w:rsidRDefault="00045AA9" w:rsidP="00045AA9">
      <w:pPr>
        <w:keepNext/>
        <w:rPr>
          <w:b/>
          <w:lang w:val="fr-FR"/>
        </w:rPr>
      </w:pPr>
      <w:r w:rsidRPr="00A12348">
        <w:rPr>
          <w:b/>
          <w:lang w:val="fr-FR"/>
        </w:rPr>
        <w:lastRenderedPageBreak/>
        <w:t xml:space="preserve">PLAN RÉVISÉ </w:t>
      </w:r>
      <w:r>
        <w:rPr>
          <w:b/>
          <w:lang w:val="fr-FR"/>
        </w:rPr>
        <w:t>PROLONGÉ</w:t>
      </w:r>
      <w:r w:rsidRPr="00A12348">
        <w:rPr>
          <w:b/>
          <w:lang w:val="fr-FR"/>
        </w:rPr>
        <w:t xml:space="preserve"> </w:t>
      </w:r>
      <w:r>
        <w:rPr>
          <w:b/>
          <w:lang w:val="fr-FR"/>
        </w:rPr>
        <w:t xml:space="preserve">POUR LE SECTEUR DE LA </w:t>
      </w:r>
      <w:r w:rsidRPr="00A12348">
        <w:rPr>
          <w:b/>
          <w:lang w:val="fr-FR"/>
        </w:rPr>
        <w:t xml:space="preserve">FABRICATION DES CLIMATISEURS </w:t>
      </w:r>
      <w:r>
        <w:rPr>
          <w:b/>
          <w:lang w:val="fr-FR"/>
        </w:rPr>
        <w:t xml:space="preserve">INDIVIDUELS </w:t>
      </w:r>
      <w:r w:rsidRPr="00A12348">
        <w:rPr>
          <w:b/>
          <w:lang w:val="fr-FR"/>
        </w:rPr>
        <w:t xml:space="preserve">ET DES </w:t>
      </w:r>
      <w:r>
        <w:rPr>
          <w:b/>
          <w:lang w:val="fr-FR"/>
        </w:rPr>
        <w:t>RÉ</w:t>
      </w:r>
      <w:r w:rsidRPr="00A12348">
        <w:rPr>
          <w:b/>
          <w:lang w:val="fr-FR"/>
        </w:rPr>
        <w:t>CHAUFFE</w:t>
      </w:r>
      <w:r>
        <w:rPr>
          <w:b/>
          <w:lang w:val="fr-FR"/>
        </w:rPr>
        <w:t>URS D’</w:t>
      </w:r>
      <w:r w:rsidRPr="00A12348">
        <w:rPr>
          <w:b/>
          <w:lang w:val="fr-FR"/>
        </w:rPr>
        <w:t>EAU AVEC POMPE</w:t>
      </w:r>
      <w:r>
        <w:rPr>
          <w:b/>
          <w:lang w:val="fr-FR"/>
        </w:rPr>
        <w:t xml:space="preserve"> THERMIQUE </w:t>
      </w:r>
      <w:r w:rsidRPr="00A12348">
        <w:rPr>
          <w:b/>
          <w:lang w:val="fr-FR"/>
        </w:rPr>
        <w:t xml:space="preserve">(ONUDI, Autriche, Italie) </w:t>
      </w:r>
    </w:p>
    <w:p w14:paraId="0244C8CC" w14:textId="77777777" w:rsidR="00045AA9" w:rsidRPr="00A12348" w:rsidRDefault="00045AA9" w:rsidP="00045AA9">
      <w:pPr>
        <w:keepNext/>
        <w:rPr>
          <w:b/>
          <w:lang w:val="fr-FR"/>
        </w:rPr>
      </w:pPr>
    </w:p>
    <w:p w14:paraId="23D7DBFB" w14:textId="77777777" w:rsidR="00045AA9" w:rsidRPr="00A12348" w:rsidRDefault="00045AA9" w:rsidP="00045AA9">
      <w:pPr>
        <w:keepNext/>
        <w:rPr>
          <w:b/>
          <w:lang w:val="fr-FR"/>
        </w:rPr>
      </w:pPr>
      <w:r w:rsidRPr="00A12348">
        <w:rPr>
          <w:b/>
          <w:lang w:val="fr-FR"/>
        </w:rPr>
        <w:t>Description du plan sectoriel</w:t>
      </w:r>
    </w:p>
    <w:p w14:paraId="2B1EE38F" w14:textId="77777777" w:rsidR="00045AA9" w:rsidRPr="00A12348" w:rsidRDefault="00045AA9" w:rsidP="00045AA9">
      <w:pPr>
        <w:rPr>
          <w:b/>
          <w:lang w:val="fr-FR"/>
        </w:rPr>
      </w:pPr>
    </w:p>
    <w:p w14:paraId="5B0CB858" w14:textId="77777777" w:rsidR="00045AA9" w:rsidRPr="00A12348" w:rsidRDefault="00045AA9" w:rsidP="00045AA9">
      <w:pPr>
        <w:tabs>
          <w:tab w:val="left" w:pos="1458"/>
        </w:tabs>
        <w:rPr>
          <w:b/>
          <w:lang w:val="fr-FR"/>
        </w:rPr>
      </w:pPr>
      <w:r w:rsidRPr="00A12348">
        <w:rPr>
          <w:b/>
          <w:lang w:val="fr-FR"/>
        </w:rPr>
        <w:t>Historique</w:t>
      </w:r>
    </w:p>
    <w:p w14:paraId="1208E82E" w14:textId="77777777" w:rsidR="00045AA9" w:rsidRPr="00A12348" w:rsidRDefault="00045AA9" w:rsidP="00045AA9">
      <w:pPr>
        <w:tabs>
          <w:tab w:val="left" w:pos="567"/>
        </w:tabs>
        <w:rPr>
          <w:lang w:val="fr-FR"/>
        </w:rPr>
      </w:pPr>
    </w:p>
    <w:p w14:paraId="7ABFE8E0" w14:textId="77777777" w:rsidR="00045AA9" w:rsidRPr="00A12348" w:rsidRDefault="00045AA9" w:rsidP="00045AA9">
      <w:pPr>
        <w:pStyle w:val="Heading1"/>
        <w:keepNext/>
        <w:keepLines/>
        <w:rPr>
          <w:lang w:val="fr-FR"/>
        </w:rPr>
      </w:pPr>
      <w:r w:rsidRPr="00A12348">
        <w:rPr>
          <w:lang w:val="fr-FR"/>
        </w:rPr>
        <w:t>À sa 7</w:t>
      </w:r>
      <w:r>
        <w:rPr>
          <w:lang w:val="fr-FR"/>
        </w:rPr>
        <w:t>7</w:t>
      </w:r>
      <w:r w:rsidRPr="003A75F0">
        <w:rPr>
          <w:vertAlign w:val="superscript"/>
          <w:lang w:val="fr-FR"/>
        </w:rPr>
        <w:t>e</w:t>
      </w:r>
      <w:r w:rsidRPr="00A12348">
        <w:rPr>
          <w:lang w:val="fr-FR"/>
        </w:rPr>
        <w:t xml:space="preserve"> réunion, le Comité exécutif a approuvé le plan </w:t>
      </w:r>
      <w:r>
        <w:rPr>
          <w:lang w:val="fr-FR"/>
        </w:rPr>
        <w:t xml:space="preserve">pour le secteur de la fabrication des </w:t>
      </w:r>
      <w:r w:rsidRPr="00A12348">
        <w:rPr>
          <w:lang w:val="fr-FR"/>
        </w:rPr>
        <w:t xml:space="preserve">climatiseurs </w:t>
      </w:r>
      <w:r>
        <w:rPr>
          <w:lang w:val="fr-FR"/>
        </w:rPr>
        <w:t>individuels</w:t>
      </w:r>
      <w:r w:rsidRPr="00A12348">
        <w:rPr>
          <w:lang w:val="fr-FR"/>
        </w:rPr>
        <w:t xml:space="preserve"> (RAC) et des </w:t>
      </w:r>
      <w:r w:rsidRPr="00E3718E">
        <w:rPr>
          <w:lang w:val="fr-FR"/>
        </w:rPr>
        <w:t>réchauffeurs d’eau avec pompe thermique (HPWH)</w:t>
      </w:r>
      <w:r w:rsidRPr="00A12348">
        <w:rPr>
          <w:lang w:val="fr-FR"/>
        </w:rPr>
        <w:t xml:space="preserve"> (plan </w:t>
      </w:r>
      <w:r>
        <w:rPr>
          <w:lang w:val="fr-FR"/>
        </w:rPr>
        <w:t>du secteur</w:t>
      </w:r>
      <w:r w:rsidRPr="00A12348">
        <w:rPr>
          <w:lang w:val="fr-FR"/>
        </w:rPr>
        <w:t xml:space="preserve"> RAC) de la phase II du plan de gestion de l’élimination des HCFC (PGEH) </w:t>
      </w:r>
      <w:r>
        <w:rPr>
          <w:lang w:val="fr-FR"/>
        </w:rPr>
        <w:t>pour la Chine en vue de parvenir, d’ici 2020, à une ré</w:t>
      </w:r>
      <w:r w:rsidRPr="00A12348">
        <w:rPr>
          <w:lang w:val="fr-FR"/>
        </w:rPr>
        <w:t xml:space="preserve">duction de 45 pour cent </w:t>
      </w:r>
      <w:r>
        <w:rPr>
          <w:lang w:val="fr-FR"/>
        </w:rPr>
        <w:t xml:space="preserve">par rapport à </w:t>
      </w:r>
      <w:r w:rsidRPr="00A12348">
        <w:rPr>
          <w:lang w:val="fr-FR"/>
        </w:rPr>
        <w:t>la consommation m</w:t>
      </w:r>
      <w:r>
        <w:rPr>
          <w:lang w:val="fr-FR"/>
        </w:rPr>
        <w:t>aximale autorisée de 2013 pour c</w:t>
      </w:r>
      <w:r w:rsidRPr="00A12348">
        <w:rPr>
          <w:lang w:val="fr-FR"/>
        </w:rPr>
        <w:t xml:space="preserve">e secteur, au montant de 89 144 797 $US </w:t>
      </w:r>
      <w:r>
        <w:rPr>
          <w:lang w:val="fr-FR"/>
        </w:rPr>
        <w:t xml:space="preserve">provenant du </w:t>
      </w:r>
      <w:r w:rsidRPr="00A12348">
        <w:rPr>
          <w:lang w:val="fr-FR"/>
        </w:rPr>
        <w:t>montant total approuvé en principe pour la phase II du PGEH, plus les coûts d’appui d’agence pour l’ONUDI et le gouvernement de l’Italie, étant entendu que le gouver</w:t>
      </w:r>
      <w:r>
        <w:rPr>
          <w:lang w:val="fr-FR"/>
        </w:rPr>
        <w:t>ne</w:t>
      </w:r>
      <w:r w:rsidRPr="00A12348">
        <w:rPr>
          <w:lang w:val="fr-FR"/>
        </w:rPr>
        <w:t>ment de la Chine acceptait de reconvertir</w:t>
      </w:r>
      <w:r>
        <w:rPr>
          <w:lang w:val="fr-FR"/>
        </w:rPr>
        <w:t>,</w:t>
      </w:r>
      <w:r w:rsidRPr="00A12348">
        <w:rPr>
          <w:lang w:val="fr-FR"/>
        </w:rPr>
        <w:t xml:space="preserve"> au moins : </w:t>
      </w:r>
    </w:p>
    <w:p w14:paraId="2F55D41C" w14:textId="18E89EFC" w:rsidR="00045AA9" w:rsidRPr="00A12348" w:rsidRDefault="00045AA9" w:rsidP="00045AA9">
      <w:pPr>
        <w:pStyle w:val="Heading2"/>
        <w:numPr>
          <w:ilvl w:val="0"/>
          <w:numId w:val="0"/>
        </w:numPr>
        <w:tabs>
          <w:tab w:val="left" w:pos="567"/>
          <w:tab w:val="left" w:pos="1134"/>
        </w:tabs>
        <w:ind w:left="1440" w:hanging="873"/>
        <w:rPr>
          <w:lang w:val="fr-FR"/>
        </w:rPr>
      </w:pPr>
      <w:r>
        <w:rPr>
          <w:lang w:val="fr-FR"/>
        </w:rPr>
        <w:t>(a)</w:t>
      </w:r>
      <w:r>
        <w:rPr>
          <w:lang w:val="fr-FR"/>
        </w:rPr>
        <w:tab/>
      </w:r>
      <w:r w:rsidRPr="00A12348">
        <w:rPr>
          <w:lang w:val="fr-FR"/>
        </w:rPr>
        <w:t>Vingt chaines de fabrication d</w:t>
      </w:r>
      <w:r>
        <w:rPr>
          <w:lang w:val="fr-FR"/>
        </w:rPr>
        <w:t>’équipements RAC,</w:t>
      </w:r>
      <w:r w:rsidRPr="00A12348">
        <w:rPr>
          <w:lang w:val="fr-FR"/>
        </w:rPr>
        <w:t xml:space="preserve"> au R-290</w:t>
      </w:r>
      <w:r>
        <w:rPr>
          <w:lang w:val="fr-FR"/>
        </w:rPr>
        <w:t xml:space="preserve"> </w:t>
      </w:r>
      <w:r w:rsidRPr="00A12348">
        <w:rPr>
          <w:lang w:val="fr-FR"/>
        </w:rPr>
        <w:t xml:space="preserve">; </w:t>
      </w:r>
    </w:p>
    <w:p w14:paraId="0AB6FE08" w14:textId="3BF0D682" w:rsidR="00045AA9" w:rsidRPr="00A12348" w:rsidRDefault="00045AA9" w:rsidP="00045AA9">
      <w:pPr>
        <w:pStyle w:val="Heading2"/>
        <w:numPr>
          <w:ilvl w:val="0"/>
          <w:numId w:val="17"/>
        </w:numPr>
        <w:ind w:left="1134" w:hanging="567"/>
        <w:rPr>
          <w:lang w:val="fr-FR"/>
        </w:rPr>
      </w:pPr>
      <w:r w:rsidRPr="00A12348">
        <w:rPr>
          <w:lang w:val="fr-FR"/>
        </w:rPr>
        <w:t>Trois chaines de fabrication de compresseurs</w:t>
      </w:r>
      <w:r>
        <w:rPr>
          <w:lang w:val="fr-FR"/>
        </w:rPr>
        <w:t>,</w:t>
      </w:r>
      <w:r w:rsidRPr="00A12348">
        <w:rPr>
          <w:lang w:val="fr-FR"/>
        </w:rPr>
        <w:t xml:space="preserve"> au R-290</w:t>
      </w:r>
      <w:r>
        <w:rPr>
          <w:lang w:val="fr-FR"/>
        </w:rPr>
        <w:t xml:space="preserve"> </w:t>
      </w:r>
      <w:r w:rsidRPr="00A12348">
        <w:rPr>
          <w:lang w:val="fr-FR"/>
        </w:rPr>
        <w:t xml:space="preserve">; </w:t>
      </w:r>
    </w:p>
    <w:p w14:paraId="293C33CD" w14:textId="798DF61D" w:rsidR="00045AA9" w:rsidRPr="00A12348" w:rsidRDefault="00045AA9" w:rsidP="00045AA9">
      <w:pPr>
        <w:pStyle w:val="Heading2"/>
        <w:numPr>
          <w:ilvl w:val="0"/>
          <w:numId w:val="17"/>
        </w:numPr>
        <w:ind w:left="1134" w:hanging="567"/>
        <w:rPr>
          <w:lang w:val="fr-FR"/>
        </w:rPr>
      </w:pPr>
      <w:r w:rsidRPr="00A12348">
        <w:rPr>
          <w:lang w:val="fr-FR"/>
        </w:rPr>
        <w:t xml:space="preserve">Trois chaines de fabrication de </w:t>
      </w:r>
      <w:r w:rsidRPr="00E3718E">
        <w:rPr>
          <w:lang w:val="fr-FR"/>
        </w:rPr>
        <w:t>HPWH,</w:t>
      </w:r>
      <w:r w:rsidRPr="00A12348">
        <w:rPr>
          <w:lang w:val="fr-FR"/>
        </w:rPr>
        <w:t xml:space="preserve"> au R-290</w:t>
      </w:r>
      <w:r>
        <w:rPr>
          <w:lang w:val="fr-FR"/>
        </w:rPr>
        <w:t xml:space="preserve"> </w:t>
      </w:r>
      <w:r w:rsidRPr="00A12348">
        <w:rPr>
          <w:lang w:val="fr-FR"/>
        </w:rPr>
        <w:t xml:space="preserve">; et </w:t>
      </w:r>
    </w:p>
    <w:p w14:paraId="059C1079" w14:textId="77777777" w:rsidR="00045AA9" w:rsidRPr="00A12348" w:rsidRDefault="00045AA9" w:rsidP="00045AA9">
      <w:pPr>
        <w:pStyle w:val="Heading2"/>
        <w:numPr>
          <w:ilvl w:val="0"/>
          <w:numId w:val="17"/>
        </w:numPr>
        <w:ind w:left="1134" w:hanging="567"/>
        <w:rPr>
          <w:lang w:val="fr-FR"/>
        </w:rPr>
      </w:pPr>
      <w:r w:rsidRPr="00A12348">
        <w:rPr>
          <w:lang w:val="fr-FR"/>
        </w:rPr>
        <w:t>Deux chaines de fabrication de HPWH</w:t>
      </w:r>
      <w:r>
        <w:rPr>
          <w:lang w:val="fr-FR"/>
        </w:rPr>
        <w:t>,</w:t>
      </w:r>
      <w:r w:rsidRPr="00A12348">
        <w:rPr>
          <w:lang w:val="fr-FR"/>
        </w:rPr>
        <w:t xml:space="preserve"> au R-744. </w:t>
      </w:r>
    </w:p>
    <w:p w14:paraId="4F30B2FF" w14:textId="77777777" w:rsidR="00045AA9" w:rsidRPr="00A12348" w:rsidRDefault="00045AA9" w:rsidP="00045AA9">
      <w:pPr>
        <w:pStyle w:val="Heading1"/>
        <w:numPr>
          <w:ilvl w:val="0"/>
          <w:numId w:val="15"/>
        </w:numPr>
        <w:tabs>
          <w:tab w:val="left" w:pos="567"/>
        </w:tabs>
        <w:rPr>
          <w:lang w:val="fr-FR"/>
        </w:rPr>
      </w:pPr>
      <w:r w:rsidRPr="00A12348">
        <w:rPr>
          <w:lang w:val="fr-FR"/>
        </w:rPr>
        <w:t xml:space="preserve">La consommation totale de HCFC-22 qui serait éliminée </w:t>
      </w:r>
      <w:r>
        <w:rPr>
          <w:lang w:val="fr-FR"/>
        </w:rPr>
        <w:t xml:space="preserve">par </w:t>
      </w:r>
      <w:r w:rsidRPr="00A12348">
        <w:rPr>
          <w:lang w:val="fr-FR"/>
        </w:rPr>
        <w:t>la mise en oeuvre de la phas</w:t>
      </w:r>
      <w:r>
        <w:rPr>
          <w:lang w:val="fr-FR"/>
        </w:rPr>
        <w:t>e II du plan du secteur RAC s’élèverait</w:t>
      </w:r>
      <w:r w:rsidRPr="00A12348">
        <w:rPr>
          <w:lang w:val="fr-FR"/>
        </w:rPr>
        <w:t xml:space="preserve"> à 18 675 tonnes métriques (tm) dont 8 170 </w:t>
      </w:r>
      <w:r>
        <w:rPr>
          <w:lang w:val="fr-FR"/>
        </w:rPr>
        <w:t xml:space="preserve">tm </w:t>
      </w:r>
      <w:r w:rsidRPr="00A12348">
        <w:rPr>
          <w:lang w:val="fr-FR"/>
        </w:rPr>
        <w:t>seraient reconverties à des frigorigènes à faible potentiel de réchauffement de la planète (PRG) (à savoir, 8 122 tm</w:t>
      </w:r>
      <w:r>
        <w:rPr>
          <w:lang w:val="fr-FR"/>
        </w:rPr>
        <w:t>,</w:t>
      </w:r>
      <w:r w:rsidRPr="00A12348">
        <w:rPr>
          <w:lang w:val="fr-FR"/>
        </w:rPr>
        <w:t xml:space="preserve"> au R-290 et 48 tm</w:t>
      </w:r>
      <w:r>
        <w:rPr>
          <w:lang w:val="fr-FR"/>
        </w:rPr>
        <w:t>,</w:t>
      </w:r>
      <w:r w:rsidRPr="00A12348">
        <w:rPr>
          <w:lang w:val="fr-FR"/>
        </w:rPr>
        <w:t xml:space="preserve"> au R</w:t>
      </w:r>
      <w:r w:rsidRPr="00A12348">
        <w:rPr>
          <w:lang w:val="fr-FR"/>
        </w:rPr>
        <w:noBreakHyphen/>
        <w:t>744); aucun financement n’a été demandé pour l’élimination des 10 505 t</w:t>
      </w:r>
      <w:r>
        <w:rPr>
          <w:lang w:val="fr-FR"/>
        </w:rPr>
        <w:t xml:space="preserve">onnes </w:t>
      </w:r>
      <w:r w:rsidRPr="00A12348">
        <w:rPr>
          <w:lang w:val="fr-FR"/>
        </w:rPr>
        <w:t>m</w:t>
      </w:r>
      <w:r>
        <w:rPr>
          <w:lang w:val="fr-FR"/>
        </w:rPr>
        <w:t>étriques</w:t>
      </w:r>
      <w:r w:rsidRPr="00A12348">
        <w:rPr>
          <w:lang w:val="fr-FR"/>
        </w:rPr>
        <w:t xml:space="preserve"> restantes qui pou</w:t>
      </w:r>
      <w:r>
        <w:rPr>
          <w:lang w:val="fr-FR"/>
        </w:rPr>
        <w:t xml:space="preserve">rraient être reconverties au </w:t>
      </w:r>
      <w:r w:rsidRPr="00A12348">
        <w:rPr>
          <w:lang w:val="fr-FR"/>
        </w:rPr>
        <w:t>R-410A ou à d’autres produits de remplacement.</w:t>
      </w:r>
    </w:p>
    <w:p w14:paraId="1A4FAD97" w14:textId="77777777" w:rsidR="00045AA9" w:rsidRPr="00A12348" w:rsidRDefault="00045AA9" w:rsidP="00045AA9">
      <w:pPr>
        <w:pStyle w:val="Heading1"/>
        <w:numPr>
          <w:ilvl w:val="0"/>
          <w:numId w:val="15"/>
        </w:numPr>
        <w:tabs>
          <w:tab w:val="left" w:pos="567"/>
        </w:tabs>
        <w:rPr>
          <w:lang w:val="fr-FR"/>
        </w:rPr>
      </w:pPr>
      <w:r w:rsidRPr="00A12348">
        <w:rPr>
          <w:lang w:val="fr-FR"/>
        </w:rPr>
        <w:t xml:space="preserve">La deuxième tranche du plan </w:t>
      </w:r>
      <w:r>
        <w:rPr>
          <w:lang w:val="fr-FR"/>
        </w:rPr>
        <w:t xml:space="preserve">du </w:t>
      </w:r>
      <w:r w:rsidRPr="00A12348">
        <w:rPr>
          <w:lang w:val="fr-FR"/>
        </w:rPr>
        <w:t>sect</w:t>
      </w:r>
      <w:r>
        <w:rPr>
          <w:lang w:val="fr-FR"/>
        </w:rPr>
        <w:t>eur RAC de la phase II du PGEH, avec</w:t>
      </w:r>
      <w:r w:rsidRPr="00A12348">
        <w:rPr>
          <w:lang w:val="fr-FR"/>
        </w:rPr>
        <w:t xml:space="preserve"> le plan </w:t>
      </w:r>
      <w:r>
        <w:rPr>
          <w:lang w:val="fr-FR"/>
        </w:rPr>
        <w:t>correspondant de mise en oeuvre</w:t>
      </w:r>
      <w:r w:rsidRPr="00A12348">
        <w:rPr>
          <w:lang w:val="fr-FR"/>
        </w:rPr>
        <w:t xml:space="preserve"> de la tranche pour 2018</w:t>
      </w:r>
      <w:r w:rsidRPr="00A12348">
        <w:rPr>
          <w:lang w:val="fr-FR"/>
        </w:rPr>
        <w:noBreakHyphen/>
        <w:t>2020</w:t>
      </w:r>
      <w:r>
        <w:rPr>
          <w:lang w:val="fr-FR"/>
        </w:rPr>
        <w:t>,</w:t>
      </w:r>
      <w:r w:rsidRPr="00A12348">
        <w:rPr>
          <w:lang w:val="fr-FR"/>
        </w:rPr>
        <w:t xml:space="preserve"> </w:t>
      </w:r>
      <w:r>
        <w:rPr>
          <w:lang w:val="fr-FR"/>
        </w:rPr>
        <w:t>a</w:t>
      </w:r>
      <w:r w:rsidRPr="00A12348">
        <w:rPr>
          <w:lang w:val="fr-FR"/>
        </w:rPr>
        <w:t xml:space="preserve"> été approuvé</w:t>
      </w:r>
      <w:r>
        <w:rPr>
          <w:lang w:val="fr-FR"/>
        </w:rPr>
        <w:t>e</w:t>
      </w:r>
      <w:r w:rsidRPr="00A12348">
        <w:rPr>
          <w:lang w:val="fr-FR"/>
        </w:rPr>
        <w:t xml:space="preserve"> à la 8</w:t>
      </w:r>
      <w:r>
        <w:rPr>
          <w:lang w:val="fr-FR"/>
        </w:rPr>
        <w:t>1</w:t>
      </w:r>
      <w:r w:rsidRPr="00A23BE9">
        <w:rPr>
          <w:vertAlign w:val="superscript"/>
          <w:lang w:val="fr-FR"/>
        </w:rPr>
        <w:t>e</w:t>
      </w:r>
      <w:r w:rsidRPr="00A12348">
        <w:rPr>
          <w:lang w:val="fr-FR"/>
        </w:rPr>
        <w:t xml:space="preserve"> réunion.</w:t>
      </w:r>
    </w:p>
    <w:p w14:paraId="7DC3423C" w14:textId="77777777" w:rsidR="00045AA9" w:rsidRPr="00A12348" w:rsidRDefault="00045AA9" w:rsidP="00045AA9">
      <w:pPr>
        <w:rPr>
          <w:u w:val="single"/>
          <w:lang w:val="fr-FR"/>
        </w:rPr>
      </w:pPr>
      <w:r w:rsidRPr="00A12348">
        <w:rPr>
          <w:u w:val="single"/>
          <w:lang w:val="fr-FR"/>
        </w:rPr>
        <w:t xml:space="preserve">Présentation </w:t>
      </w:r>
      <w:r>
        <w:rPr>
          <w:u w:val="single"/>
          <w:lang w:val="fr-FR"/>
        </w:rPr>
        <w:t>à</w:t>
      </w:r>
      <w:r w:rsidRPr="00A12348">
        <w:rPr>
          <w:u w:val="single"/>
          <w:lang w:val="fr-FR"/>
        </w:rPr>
        <w:t xml:space="preserve"> la 8</w:t>
      </w:r>
      <w:r>
        <w:rPr>
          <w:u w:val="single"/>
          <w:lang w:val="fr-FR"/>
        </w:rPr>
        <w:t>6</w:t>
      </w:r>
      <w:r w:rsidRPr="009552EF">
        <w:rPr>
          <w:u w:val="single"/>
          <w:vertAlign w:val="superscript"/>
          <w:lang w:val="fr-FR"/>
        </w:rPr>
        <w:t>e</w:t>
      </w:r>
      <w:r>
        <w:rPr>
          <w:u w:val="single"/>
          <w:lang w:val="fr-FR"/>
        </w:rPr>
        <w:t xml:space="preserve"> </w:t>
      </w:r>
      <w:r w:rsidRPr="00A12348">
        <w:rPr>
          <w:u w:val="single"/>
          <w:lang w:val="fr-FR"/>
        </w:rPr>
        <w:t>réunion</w:t>
      </w:r>
    </w:p>
    <w:p w14:paraId="46D0E378" w14:textId="77777777" w:rsidR="00045AA9" w:rsidRPr="00A12348" w:rsidRDefault="00045AA9" w:rsidP="00045AA9">
      <w:pPr>
        <w:rPr>
          <w:lang w:val="fr-FR"/>
        </w:rPr>
      </w:pPr>
    </w:p>
    <w:p w14:paraId="56B34D2E" w14:textId="77777777" w:rsidR="00045AA9" w:rsidRPr="00E3718E" w:rsidRDefault="00045AA9" w:rsidP="00045AA9">
      <w:pPr>
        <w:pStyle w:val="Heading1"/>
        <w:widowControl w:val="0"/>
        <w:numPr>
          <w:ilvl w:val="0"/>
          <w:numId w:val="15"/>
        </w:numPr>
        <w:tabs>
          <w:tab w:val="left" w:pos="567"/>
        </w:tabs>
        <w:rPr>
          <w:lang w:val="fr-FR"/>
        </w:rPr>
      </w:pPr>
      <w:r w:rsidRPr="00E3718E">
        <w:rPr>
          <w:lang w:val="fr-FR"/>
        </w:rPr>
        <w:t>Conformément à la décision 84/69(a)(iii), l’ONUDI, au nom du gouvernement de la Chine, a présenté un plan d’action révisé pour prolonger la phase II du plan du secteur RAC</w:t>
      </w:r>
      <w:r>
        <w:rPr>
          <w:rStyle w:val="FootnoteReference"/>
          <w:lang w:val="fr-FR"/>
        </w:rPr>
        <w:footnoteReference w:id="13"/>
      </w:r>
      <w:r w:rsidRPr="00E3718E">
        <w:rPr>
          <w:lang w:val="fr-FR"/>
        </w:rPr>
        <w:t xml:space="preserve"> jusqu’en 2026, au coût de 60 394 081 $US, plus des coûts d’appui d’agence de 4 091 653 $US pour l’ONUDI, de 108 108 $US pour le gouvernement de l’Italie et de 125 000 $US pour le gouvernement de l’Autriche</w:t>
      </w:r>
      <w:r w:rsidRPr="00A12348">
        <w:rPr>
          <w:rStyle w:val="FootnoteReference"/>
          <w:lang w:val="fr-FR"/>
        </w:rPr>
        <w:footnoteReference w:id="14"/>
      </w:r>
      <w:r w:rsidRPr="00E3718E">
        <w:rPr>
          <w:lang w:val="fr-FR"/>
        </w:rPr>
        <w:t>,</w:t>
      </w:r>
      <w:r>
        <w:rPr>
          <w:lang w:val="fr-FR"/>
        </w:rPr>
        <w:t xml:space="preserve"> tel que soumis initialement; avec</w:t>
      </w:r>
      <w:r w:rsidRPr="00E3718E">
        <w:rPr>
          <w:lang w:val="fr-FR"/>
        </w:rPr>
        <w:t xml:space="preserve"> les niveaux de consommation sectorielle </w:t>
      </w:r>
      <w:r>
        <w:rPr>
          <w:lang w:val="fr-FR"/>
        </w:rPr>
        <w:t>maximum autorisée</w:t>
      </w:r>
      <w:r w:rsidRPr="00E3718E">
        <w:rPr>
          <w:lang w:val="fr-FR"/>
        </w:rPr>
        <w:t xml:space="preserve"> de</w:t>
      </w:r>
      <w:r>
        <w:rPr>
          <w:lang w:val="fr-FR"/>
        </w:rPr>
        <w:t xml:space="preserve"> HCFC </w:t>
      </w:r>
      <w:r w:rsidRPr="00E3718E">
        <w:rPr>
          <w:lang w:val="fr-FR"/>
        </w:rPr>
        <w:t>indiqués à la ligne 1.3.4 de l’Appendice 2-A de l’Accord avec le Comité exécutif.  La mise en oeuvre de la phase II du plan du secteur RAC aidera la Chine à respecter les cibles de conformité du Protocole de Montréal, à savoir une réduction de 67,5 pour cent d’ici 2025.</w:t>
      </w:r>
    </w:p>
    <w:p w14:paraId="37A4CEB4" w14:textId="77777777" w:rsidR="00045AA9" w:rsidRPr="00A12348" w:rsidRDefault="00045AA9" w:rsidP="00045AA9">
      <w:pPr>
        <w:pStyle w:val="Heading1"/>
        <w:numPr>
          <w:ilvl w:val="0"/>
          <w:numId w:val="15"/>
        </w:numPr>
        <w:rPr>
          <w:lang w:val="fr-FR"/>
        </w:rPr>
      </w:pPr>
      <w:r w:rsidRPr="00A12348">
        <w:rPr>
          <w:lang w:val="fr-FR"/>
        </w:rPr>
        <w:t xml:space="preserve">Conformément au projet d’Accord révisé soumis par le PNUD à la présente réunion, aucune demande de financement n’a été soumise à la présente réunion.  La prochaine tranche de la phase II du plan </w:t>
      </w:r>
      <w:r>
        <w:rPr>
          <w:lang w:val="fr-FR"/>
        </w:rPr>
        <w:t xml:space="preserve">du </w:t>
      </w:r>
      <w:r w:rsidRPr="00A12348">
        <w:rPr>
          <w:lang w:val="fr-FR"/>
        </w:rPr>
        <w:t>sect</w:t>
      </w:r>
      <w:r>
        <w:rPr>
          <w:lang w:val="fr-FR"/>
        </w:rPr>
        <w:t>eur</w:t>
      </w:r>
      <w:r w:rsidRPr="00A12348">
        <w:rPr>
          <w:lang w:val="fr-FR"/>
        </w:rPr>
        <w:t xml:space="preserve"> RAC, au montant de 4 500 000 $US, plus des coûts d’appui d’agence de 290 500 $US pour </w:t>
      </w:r>
      <w:r w:rsidRPr="00A12348">
        <w:rPr>
          <w:lang w:val="fr-FR"/>
        </w:rPr>
        <w:lastRenderedPageBreak/>
        <w:t xml:space="preserve">l’ONUDI et </w:t>
      </w:r>
      <w:r>
        <w:rPr>
          <w:lang w:val="fr-FR"/>
        </w:rPr>
        <w:t xml:space="preserve">de </w:t>
      </w:r>
      <w:r w:rsidRPr="00A12348">
        <w:rPr>
          <w:lang w:val="fr-FR"/>
        </w:rPr>
        <w:t xml:space="preserve">41 833 $US pour le gouvernement de l’Autriche, sera </w:t>
      </w:r>
      <w:r>
        <w:rPr>
          <w:lang w:val="fr-FR"/>
        </w:rPr>
        <w:t>pré</w:t>
      </w:r>
      <w:r w:rsidRPr="00A12348">
        <w:rPr>
          <w:lang w:val="fr-FR"/>
        </w:rPr>
        <w:t>s</w:t>
      </w:r>
      <w:r>
        <w:rPr>
          <w:lang w:val="fr-FR"/>
        </w:rPr>
        <w:t>enté</w:t>
      </w:r>
      <w:r w:rsidRPr="00A12348">
        <w:rPr>
          <w:lang w:val="fr-FR"/>
        </w:rPr>
        <w:t xml:space="preserve">e à la deuxième réunion de 2021. </w:t>
      </w:r>
    </w:p>
    <w:p w14:paraId="489AA5EF" w14:textId="30FFDC25" w:rsidR="00045AA9" w:rsidRPr="00A12348" w:rsidRDefault="00045AA9" w:rsidP="00045AA9">
      <w:pPr>
        <w:pStyle w:val="Heading1"/>
        <w:numPr>
          <w:ilvl w:val="0"/>
          <w:numId w:val="15"/>
        </w:numPr>
        <w:rPr>
          <w:lang w:val="fr-FR"/>
        </w:rPr>
      </w:pPr>
      <w:r w:rsidRPr="00A12348">
        <w:rPr>
          <w:lang w:val="fr-FR"/>
        </w:rPr>
        <w:t xml:space="preserve">Dans le cadre du plan d’action révisé </w:t>
      </w:r>
      <w:r>
        <w:rPr>
          <w:lang w:val="fr-FR"/>
        </w:rPr>
        <w:t>prolongé</w:t>
      </w:r>
      <w:r w:rsidRPr="00A12348">
        <w:rPr>
          <w:lang w:val="fr-FR"/>
        </w:rPr>
        <w:t>, le nombre total de chaines de fabrication de RAC à reconvertir au R-290 dans le cadre de la phase II a été ramené de vingt à dix</w:t>
      </w:r>
      <w:r w:rsidR="0063050C">
        <w:rPr>
          <w:lang w:val="fr-FR"/>
        </w:rPr>
        <w:t xml:space="preserve"> </w:t>
      </w:r>
      <w:r w:rsidRPr="00A12348">
        <w:rPr>
          <w:lang w:val="fr-FR"/>
        </w:rPr>
        <w:t>; le nombre de chaines de fabrication de compresseurs à reconve</w:t>
      </w:r>
      <w:r>
        <w:rPr>
          <w:lang w:val="fr-FR"/>
        </w:rPr>
        <w:t>r</w:t>
      </w:r>
      <w:r w:rsidRPr="00A12348">
        <w:rPr>
          <w:lang w:val="fr-FR"/>
        </w:rPr>
        <w:t xml:space="preserve">tir </w:t>
      </w:r>
      <w:r>
        <w:rPr>
          <w:lang w:val="fr-FR"/>
        </w:rPr>
        <w:t>au</w:t>
      </w:r>
      <w:r w:rsidRPr="00A12348">
        <w:rPr>
          <w:lang w:val="fr-FR"/>
        </w:rPr>
        <w:t xml:space="preserve"> R-290 </w:t>
      </w:r>
      <w:r>
        <w:rPr>
          <w:lang w:val="fr-FR"/>
        </w:rPr>
        <w:t>a été augment</w:t>
      </w:r>
      <w:r w:rsidRPr="00A12348">
        <w:rPr>
          <w:lang w:val="fr-FR"/>
        </w:rPr>
        <w:t xml:space="preserve">é de trois à quatre; le nombre de chaines de fabrication de HPWH </w:t>
      </w:r>
      <w:r>
        <w:rPr>
          <w:lang w:val="fr-FR"/>
        </w:rPr>
        <w:t>ré</w:t>
      </w:r>
      <w:r w:rsidRPr="00A12348">
        <w:rPr>
          <w:lang w:val="fr-FR"/>
        </w:rPr>
        <w:t>sidenti</w:t>
      </w:r>
      <w:r>
        <w:rPr>
          <w:lang w:val="fr-FR"/>
        </w:rPr>
        <w:t>e</w:t>
      </w:r>
      <w:r w:rsidRPr="00A12348">
        <w:rPr>
          <w:lang w:val="fr-FR"/>
        </w:rPr>
        <w:t>l</w:t>
      </w:r>
      <w:r>
        <w:rPr>
          <w:lang w:val="fr-FR"/>
        </w:rPr>
        <w:t>s</w:t>
      </w:r>
      <w:r w:rsidRPr="00A12348">
        <w:rPr>
          <w:lang w:val="fr-FR"/>
        </w:rPr>
        <w:t xml:space="preserve"> à reconvertir au R-290 est resté inchangé; et aucune chaine de f</w:t>
      </w:r>
      <w:r>
        <w:rPr>
          <w:lang w:val="fr-FR"/>
        </w:rPr>
        <w:t>abrication de HPWH résidentie</w:t>
      </w:r>
      <w:r w:rsidRPr="00A12348">
        <w:rPr>
          <w:lang w:val="fr-FR"/>
        </w:rPr>
        <w:t>l sera</w:t>
      </w:r>
      <w:r>
        <w:rPr>
          <w:lang w:val="fr-FR"/>
        </w:rPr>
        <w:t>it</w:t>
      </w:r>
      <w:r w:rsidRPr="00A12348">
        <w:rPr>
          <w:lang w:val="fr-FR"/>
        </w:rPr>
        <w:t xml:space="preserve"> reconve</w:t>
      </w:r>
      <w:r>
        <w:rPr>
          <w:lang w:val="fr-FR"/>
        </w:rPr>
        <w:t>r</w:t>
      </w:r>
      <w:r w:rsidRPr="00A12348">
        <w:rPr>
          <w:lang w:val="fr-FR"/>
        </w:rPr>
        <w:t>tie au R-744. L’Appendice 8-A du</w:t>
      </w:r>
      <w:r>
        <w:rPr>
          <w:lang w:val="fr-FR"/>
        </w:rPr>
        <w:t xml:space="preserve"> projet d’Accord révisé, soumis</w:t>
      </w:r>
      <w:r w:rsidRPr="00A12348">
        <w:rPr>
          <w:lang w:val="fr-FR"/>
        </w:rPr>
        <w:t xml:space="preserve"> à la présente réunion</w:t>
      </w:r>
      <w:r>
        <w:rPr>
          <w:lang w:val="fr-FR"/>
        </w:rPr>
        <w:t>,</w:t>
      </w:r>
      <w:r w:rsidR="0063050C">
        <w:rPr>
          <w:lang w:val="fr-FR"/>
        </w:rPr>
        <w:t xml:space="preserve"> conformément à la d</w:t>
      </w:r>
      <w:r>
        <w:rPr>
          <w:lang w:val="fr-FR"/>
        </w:rPr>
        <w:t>é</w:t>
      </w:r>
      <w:r w:rsidRPr="00A12348">
        <w:rPr>
          <w:lang w:val="fr-FR"/>
        </w:rPr>
        <w:t>cision 84/69(a)(vii), reflète ces changements.</w:t>
      </w:r>
    </w:p>
    <w:p w14:paraId="6FDC93CB" w14:textId="77777777" w:rsidR="00045AA9" w:rsidRPr="00A12348" w:rsidRDefault="00045AA9" w:rsidP="00045AA9">
      <w:pPr>
        <w:pStyle w:val="Heading1"/>
        <w:numPr>
          <w:ilvl w:val="0"/>
          <w:numId w:val="0"/>
        </w:numPr>
        <w:rPr>
          <w:lang w:val="fr-FR"/>
        </w:rPr>
      </w:pPr>
      <w:r>
        <w:rPr>
          <w:u w:val="single"/>
          <w:lang w:val="fr-FR"/>
        </w:rPr>
        <w:t>Progrès dans</w:t>
      </w:r>
      <w:r w:rsidRPr="00A12348">
        <w:rPr>
          <w:u w:val="single"/>
          <w:lang w:val="fr-FR"/>
        </w:rPr>
        <w:t xml:space="preserve"> la mise en oeuvre de la phase II du secteur RAC </w:t>
      </w:r>
    </w:p>
    <w:p w14:paraId="7C1EC801" w14:textId="6CC4C2BF" w:rsidR="00045AA9" w:rsidRPr="00A12348" w:rsidRDefault="00045AA9" w:rsidP="00045AA9">
      <w:pPr>
        <w:pStyle w:val="Heading1"/>
        <w:numPr>
          <w:ilvl w:val="0"/>
          <w:numId w:val="15"/>
        </w:numPr>
        <w:rPr>
          <w:lang w:val="fr-FR"/>
        </w:rPr>
      </w:pPr>
      <w:r w:rsidRPr="00A12348">
        <w:rPr>
          <w:lang w:val="fr-FR"/>
        </w:rPr>
        <w:t xml:space="preserve">En date de septembre 2020, cinq entreprises de fabrication </w:t>
      </w:r>
      <w:r>
        <w:rPr>
          <w:lang w:val="fr-FR"/>
        </w:rPr>
        <w:t>de RAC</w:t>
      </w:r>
      <w:r w:rsidRPr="00A12348">
        <w:rPr>
          <w:lang w:val="fr-FR"/>
        </w:rPr>
        <w:t xml:space="preserve"> et quatre entreprises de fab</w:t>
      </w:r>
      <w:r>
        <w:rPr>
          <w:lang w:val="fr-FR"/>
        </w:rPr>
        <w:t>rication de compresseurs avaien</w:t>
      </w:r>
      <w:r w:rsidRPr="00A12348">
        <w:rPr>
          <w:lang w:val="fr-FR"/>
        </w:rPr>
        <w:t xml:space="preserve">t signé des </w:t>
      </w:r>
      <w:r>
        <w:rPr>
          <w:lang w:val="fr-FR"/>
        </w:rPr>
        <w:t>ententes</w:t>
      </w:r>
      <w:r w:rsidRPr="00A12348">
        <w:rPr>
          <w:lang w:val="fr-FR"/>
        </w:rPr>
        <w:t xml:space="preserve"> pour reconvertir leur</w:t>
      </w:r>
      <w:r>
        <w:rPr>
          <w:lang w:val="fr-FR"/>
        </w:rPr>
        <w:t>s</w:t>
      </w:r>
      <w:r w:rsidRPr="00A12348">
        <w:rPr>
          <w:lang w:val="fr-FR"/>
        </w:rPr>
        <w:t xml:space="preserve"> chaines de fabrication </w:t>
      </w:r>
      <w:r>
        <w:rPr>
          <w:lang w:val="fr-FR"/>
        </w:rPr>
        <w:t>de RAC</w:t>
      </w:r>
      <w:r w:rsidRPr="00A12348">
        <w:rPr>
          <w:lang w:val="fr-FR"/>
        </w:rPr>
        <w:t xml:space="preserve"> au R-290, </w:t>
      </w:r>
      <w:r>
        <w:rPr>
          <w:lang w:val="fr-FR"/>
        </w:rPr>
        <w:t xml:space="preserve">avec pour résultat l’élimination de </w:t>
      </w:r>
      <w:r w:rsidRPr="00A12348">
        <w:rPr>
          <w:lang w:val="fr-FR"/>
        </w:rPr>
        <w:t>2 221,12 t</w:t>
      </w:r>
      <w:r>
        <w:rPr>
          <w:lang w:val="fr-FR"/>
        </w:rPr>
        <w:t xml:space="preserve">onnes </w:t>
      </w:r>
      <w:r w:rsidRPr="00A12348">
        <w:rPr>
          <w:lang w:val="fr-FR"/>
        </w:rPr>
        <w:t>m</w:t>
      </w:r>
      <w:r>
        <w:rPr>
          <w:lang w:val="fr-FR"/>
        </w:rPr>
        <w:t>étriques</w:t>
      </w:r>
      <w:r w:rsidRPr="00A12348">
        <w:rPr>
          <w:lang w:val="fr-FR"/>
        </w:rPr>
        <w:t xml:space="preserve"> de HCFC-22 et la fabrication de plus de 5,4 millions de compresseurs au R-290</w:t>
      </w:r>
      <w:r>
        <w:rPr>
          <w:lang w:val="fr-FR"/>
        </w:rPr>
        <w:t>, tel qu’indiqué au tableau 1. D</w:t>
      </w:r>
      <w:r w:rsidRPr="00A12348">
        <w:rPr>
          <w:lang w:val="fr-FR"/>
        </w:rPr>
        <w:t>es surcoûts d’exploitation</w:t>
      </w:r>
      <w:r>
        <w:rPr>
          <w:lang w:val="fr-FR"/>
        </w:rPr>
        <w:t>,</w:t>
      </w:r>
      <w:r w:rsidRPr="00A12348">
        <w:rPr>
          <w:lang w:val="fr-FR"/>
        </w:rPr>
        <w:t xml:space="preserve"> </w:t>
      </w:r>
      <w:r>
        <w:rPr>
          <w:lang w:val="fr-FR"/>
        </w:rPr>
        <w:t>totalisa</w:t>
      </w:r>
      <w:r w:rsidRPr="00A12348">
        <w:rPr>
          <w:lang w:val="fr-FR"/>
        </w:rPr>
        <w:t>nt 13 992 300 $US</w:t>
      </w:r>
      <w:r>
        <w:rPr>
          <w:lang w:val="fr-FR"/>
        </w:rPr>
        <w:t>,</w:t>
      </w:r>
      <w:r w:rsidRPr="00A12348">
        <w:rPr>
          <w:lang w:val="fr-FR"/>
        </w:rPr>
        <w:t xml:space="preserve"> ont été alloués aux entreprises </w:t>
      </w:r>
      <w:r w:rsidR="0063050C" w:rsidRPr="00A12348">
        <w:rPr>
          <w:lang w:val="fr-FR"/>
        </w:rPr>
        <w:t>bénéficiaires ;</w:t>
      </w:r>
      <w:r w:rsidRPr="00A12348">
        <w:rPr>
          <w:lang w:val="fr-FR"/>
        </w:rPr>
        <w:t xml:space="preserve"> aucun décaissement n’a encore été effectué </w:t>
      </w:r>
      <w:r>
        <w:rPr>
          <w:lang w:val="fr-FR"/>
        </w:rPr>
        <w:t xml:space="preserve">pour ces surcoûts. </w:t>
      </w:r>
    </w:p>
    <w:p w14:paraId="43EBD8E8" w14:textId="77777777" w:rsidR="00045AA9" w:rsidRPr="00A12348" w:rsidRDefault="00045AA9" w:rsidP="00045AA9">
      <w:pPr>
        <w:keepNext/>
        <w:keepLines/>
        <w:rPr>
          <w:b/>
          <w:sz w:val="20"/>
          <w:szCs w:val="20"/>
          <w:lang w:val="fr-FR"/>
        </w:rPr>
      </w:pPr>
      <w:r w:rsidRPr="00A12348">
        <w:rPr>
          <w:b/>
          <w:sz w:val="20"/>
          <w:szCs w:val="20"/>
          <w:lang w:val="fr-FR"/>
        </w:rPr>
        <w:t xml:space="preserve">Tableau 1. Entreprises de </w:t>
      </w:r>
      <w:r>
        <w:rPr>
          <w:b/>
          <w:sz w:val="20"/>
          <w:szCs w:val="20"/>
          <w:lang w:val="fr-FR"/>
        </w:rPr>
        <w:t>fabrication de RAC</w:t>
      </w:r>
      <w:r w:rsidRPr="00A12348">
        <w:rPr>
          <w:b/>
          <w:sz w:val="20"/>
          <w:szCs w:val="20"/>
          <w:lang w:val="fr-FR"/>
        </w:rPr>
        <w:t xml:space="preserve"> et de compresseurs à reconvertir durant les deux premières tranches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556"/>
        <w:gridCol w:w="1846"/>
        <w:gridCol w:w="2147"/>
        <w:gridCol w:w="1554"/>
      </w:tblGrid>
      <w:tr w:rsidR="00045AA9" w:rsidRPr="00A12348" w14:paraId="240ED5D8" w14:textId="77777777" w:rsidTr="0063050C">
        <w:trPr>
          <w:cantSplit/>
          <w:tblHeader/>
        </w:trPr>
        <w:tc>
          <w:tcPr>
            <w:tcW w:w="1202" w:type="pct"/>
            <w:shd w:val="clear" w:color="000000" w:fill="FFFFFF"/>
            <w:vAlign w:val="center"/>
          </w:tcPr>
          <w:p w14:paraId="49ED1093" w14:textId="77777777" w:rsidR="00045AA9" w:rsidRPr="00A12348" w:rsidRDefault="00045AA9" w:rsidP="0063050C">
            <w:pPr>
              <w:keepNext/>
              <w:keepLines/>
              <w:jc w:val="left"/>
              <w:rPr>
                <w:b/>
                <w:sz w:val="20"/>
                <w:szCs w:val="20"/>
                <w:lang w:val="fr-FR"/>
              </w:rPr>
            </w:pPr>
            <w:r w:rsidRPr="00A12348">
              <w:rPr>
                <w:b/>
                <w:sz w:val="20"/>
                <w:szCs w:val="20"/>
                <w:lang w:val="fr-FR"/>
              </w:rPr>
              <w:t>Nom</w:t>
            </w:r>
          </w:p>
        </w:tc>
        <w:tc>
          <w:tcPr>
            <w:tcW w:w="832" w:type="pct"/>
            <w:shd w:val="clear" w:color="000000" w:fill="FFFFFF"/>
            <w:tcMar>
              <w:left w:w="0" w:type="dxa"/>
              <w:right w:w="0" w:type="dxa"/>
            </w:tcMar>
            <w:vAlign w:val="center"/>
          </w:tcPr>
          <w:p w14:paraId="26A1BE81" w14:textId="77777777" w:rsidR="00045AA9" w:rsidRPr="00A12348" w:rsidRDefault="00045AA9" w:rsidP="0063050C">
            <w:pPr>
              <w:keepNext/>
              <w:keepLines/>
              <w:jc w:val="center"/>
              <w:rPr>
                <w:b/>
                <w:sz w:val="20"/>
                <w:szCs w:val="20"/>
                <w:lang w:val="fr-FR"/>
              </w:rPr>
            </w:pPr>
            <w:r w:rsidRPr="00A12348">
              <w:rPr>
                <w:b/>
                <w:sz w:val="20"/>
                <w:szCs w:val="20"/>
                <w:lang w:val="fr-FR"/>
              </w:rPr>
              <w:t>Production (unités)</w:t>
            </w:r>
          </w:p>
        </w:tc>
        <w:tc>
          <w:tcPr>
            <w:tcW w:w="987" w:type="pct"/>
            <w:shd w:val="clear" w:color="000000" w:fill="FFFFFF"/>
            <w:noWrap/>
            <w:tcMar>
              <w:left w:w="0" w:type="dxa"/>
              <w:right w:w="0" w:type="dxa"/>
            </w:tcMar>
            <w:vAlign w:val="center"/>
          </w:tcPr>
          <w:p w14:paraId="2616324E" w14:textId="77777777" w:rsidR="00045AA9" w:rsidRPr="00A12348" w:rsidRDefault="00045AA9" w:rsidP="0063050C">
            <w:pPr>
              <w:keepNext/>
              <w:keepLines/>
              <w:jc w:val="center"/>
              <w:rPr>
                <w:b/>
                <w:sz w:val="20"/>
                <w:szCs w:val="20"/>
                <w:lang w:val="fr-FR"/>
              </w:rPr>
            </w:pPr>
            <w:r w:rsidRPr="00A12348">
              <w:rPr>
                <w:b/>
                <w:sz w:val="20"/>
                <w:szCs w:val="20"/>
                <w:lang w:val="fr-FR"/>
              </w:rPr>
              <w:t xml:space="preserve">Consommation (tm) </w:t>
            </w:r>
          </w:p>
        </w:tc>
        <w:tc>
          <w:tcPr>
            <w:tcW w:w="1148" w:type="pct"/>
            <w:shd w:val="clear" w:color="000000" w:fill="FFFFFF"/>
            <w:noWrap/>
            <w:tcMar>
              <w:left w:w="0" w:type="dxa"/>
              <w:right w:w="0" w:type="dxa"/>
            </w:tcMar>
            <w:vAlign w:val="center"/>
          </w:tcPr>
          <w:p w14:paraId="3C94B334" w14:textId="77777777" w:rsidR="00045AA9" w:rsidRDefault="00045AA9" w:rsidP="0063050C">
            <w:pPr>
              <w:keepNext/>
              <w:keepLines/>
              <w:jc w:val="center"/>
              <w:rPr>
                <w:b/>
                <w:sz w:val="20"/>
                <w:szCs w:val="20"/>
                <w:lang w:val="fr-FR"/>
              </w:rPr>
            </w:pPr>
            <w:r>
              <w:rPr>
                <w:b/>
                <w:sz w:val="20"/>
                <w:szCs w:val="20"/>
                <w:lang w:val="fr-FR"/>
              </w:rPr>
              <w:t xml:space="preserve">Surcoûts </w:t>
            </w:r>
          </w:p>
          <w:p w14:paraId="2FAB95B4" w14:textId="77777777" w:rsidR="00045AA9" w:rsidRPr="00A12348" w:rsidRDefault="00045AA9" w:rsidP="0063050C">
            <w:pPr>
              <w:keepNext/>
              <w:keepLines/>
              <w:jc w:val="center"/>
              <w:rPr>
                <w:b/>
                <w:sz w:val="20"/>
                <w:szCs w:val="20"/>
                <w:lang w:val="fr-FR"/>
              </w:rPr>
            </w:pPr>
            <w:r>
              <w:rPr>
                <w:b/>
                <w:sz w:val="20"/>
                <w:szCs w:val="20"/>
                <w:lang w:val="fr-FR"/>
              </w:rPr>
              <w:t>d’investissement</w:t>
            </w:r>
            <w:r w:rsidRPr="00A12348">
              <w:rPr>
                <w:b/>
                <w:sz w:val="20"/>
                <w:szCs w:val="20"/>
                <w:lang w:val="fr-FR"/>
              </w:rPr>
              <w:t xml:space="preserve"> (</w:t>
            </w:r>
            <w:r>
              <w:rPr>
                <w:b/>
                <w:sz w:val="20"/>
                <w:szCs w:val="20"/>
                <w:lang w:val="fr-FR"/>
              </w:rPr>
              <w:t>$ US</w:t>
            </w:r>
            <w:r w:rsidRPr="00A12348">
              <w:rPr>
                <w:b/>
                <w:sz w:val="20"/>
                <w:szCs w:val="20"/>
                <w:lang w:val="fr-FR"/>
              </w:rPr>
              <w:t>)</w:t>
            </w:r>
          </w:p>
        </w:tc>
        <w:tc>
          <w:tcPr>
            <w:tcW w:w="831" w:type="pct"/>
            <w:shd w:val="clear" w:color="000000" w:fill="FFFFFF"/>
            <w:tcMar>
              <w:left w:w="0" w:type="dxa"/>
              <w:right w:w="0" w:type="dxa"/>
            </w:tcMar>
            <w:vAlign w:val="center"/>
          </w:tcPr>
          <w:p w14:paraId="649ADCA0" w14:textId="77777777" w:rsidR="00045AA9" w:rsidRPr="00A12348" w:rsidRDefault="00045AA9" w:rsidP="0063050C">
            <w:pPr>
              <w:keepNext/>
              <w:keepLines/>
              <w:jc w:val="center"/>
              <w:rPr>
                <w:b/>
                <w:sz w:val="20"/>
                <w:szCs w:val="20"/>
                <w:lang w:val="fr-FR"/>
              </w:rPr>
            </w:pPr>
            <w:r w:rsidRPr="00A12348">
              <w:rPr>
                <w:b/>
                <w:sz w:val="20"/>
                <w:szCs w:val="20"/>
                <w:lang w:val="fr-FR" w:eastAsia="zh-CN"/>
              </w:rPr>
              <w:t>Décaissement ($US)</w:t>
            </w:r>
          </w:p>
        </w:tc>
      </w:tr>
      <w:tr w:rsidR="00045AA9" w:rsidRPr="00A12348" w14:paraId="5DBC68E1" w14:textId="77777777" w:rsidTr="0063050C">
        <w:trPr>
          <w:cantSplit/>
          <w:tblHeader/>
        </w:trPr>
        <w:tc>
          <w:tcPr>
            <w:tcW w:w="5000" w:type="pct"/>
            <w:gridSpan w:val="5"/>
            <w:shd w:val="clear" w:color="000000" w:fill="FFFFFF"/>
            <w:vAlign w:val="center"/>
          </w:tcPr>
          <w:p w14:paraId="682E92A3" w14:textId="77777777" w:rsidR="00045AA9" w:rsidRPr="00A12348" w:rsidRDefault="00045AA9" w:rsidP="0063050C">
            <w:pPr>
              <w:jc w:val="left"/>
              <w:rPr>
                <w:sz w:val="20"/>
                <w:szCs w:val="20"/>
                <w:lang w:val="fr-FR" w:eastAsia="zh-CN"/>
              </w:rPr>
            </w:pPr>
            <w:r w:rsidRPr="00A12348">
              <w:rPr>
                <w:b/>
                <w:sz w:val="20"/>
                <w:szCs w:val="20"/>
                <w:lang w:val="fr-FR"/>
              </w:rPr>
              <w:t xml:space="preserve">Entreprises RAC </w:t>
            </w:r>
          </w:p>
        </w:tc>
      </w:tr>
      <w:tr w:rsidR="00045AA9" w:rsidRPr="00A12348" w14:paraId="7D1F03BA" w14:textId="77777777" w:rsidTr="0063050C">
        <w:trPr>
          <w:cantSplit/>
          <w:tblHeader/>
        </w:trPr>
        <w:tc>
          <w:tcPr>
            <w:tcW w:w="1202" w:type="pct"/>
            <w:shd w:val="clear" w:color="000000" w:fill="FFFFFF"/>
            <w:vAlign w:val="center"/>
          </w:tcPr>
          <w:p w14:paraId="20106EA2" w14:textId="77777777" w:rsidR="00045AA9" w:rsidRPr="00A12348" w:rsidRDefault="00045AA9" w:rsidP="0063050C">
            <w:pPr>
              <w:rPr>
                <w:sz w:val="20"/>
                <w:szCs w:val="20"/>
                <w:lang w:val="fr-FR"/>
              </w:rPr>
            </w:pPr>
            <w:r w:rsidRPr="00A12348">
              <w:rPr>
                <w:sz w:val="20"/>
                <w:szCs w:val="20"/>
                <w:lang w:val="fr-FR"/>
              </w:rPr>
              <w:t>Changhong Zhongshan</w:t>
            </w:r>
          </w:p>
        </w:tc>
        <w:tc>
          <w:tcPr>
            <w:tcW w:w="832" w:type="pct"/>
            <w:shd w:val="clear" w:color="000000" w:fill="FFFFFF"/>
            <w:tcMar>
              <w:left w:w="115" w:type="dxa"/>
              <w:right w:w="216" w:type="dxa"/>
            </w:tcMar>
          </w:tcPr>
          <w:p w14:paraId="31711019" w14:textId="77777777" w:rsidR="00045AA9" w:rsidRPr="00A12348" w:rsidRDefault="00045AA9" w:rsidP="0063050C">
            <w:pPr>
              <w:jc w:val="right"/>
              <w:rPr>
                <w:sz w:val="20"/>
                <w:szCs w:val="20"/>
                <w:lang w:val="fr-FR"/>
              </w:rPr>
            </w:pPr>
            <w:r w:rsidRPr="00A12348">
              <w:rPr>
                <w:sz w:val="20"/>
                <w:szCs w:val="20"/>
                <w:lang w:val="fr-FR"/>
              </w:rPr>
              <w:t xml:space="preserve">82 536 </w:t>
            </w:r>
          </w:p>
        </w:tc>
        <w:tc>
          <w:tcPr>
            <w:tcW w:w="987" w:type="pct"/>
            <w:shd w:val="clear" w:color="000000" w:fill="FFFFFF"/>
            <w:noWrap/>
            <w:tcMar>
              <w:left w:w="115" w:type="dxa"/>
              <w:right w:w="216" w:type="dxa"/>
            </w:tcMar>
          </w:tcPr>
          <w:p w14:paraId="5983615A" w14:textId="77777777" w:rsidR="00045AA9" w:rsidRPr="00A12348" w:rsidRDefault="00045AA9" w:rsidP="0063050C">
            <w:pPr>
              <w:jc w:val="right"/>
              <w:rPr>
                <w:sz w:val="20"/>
                <w:szCs w:val="20"/>
                <w:lang w:val="fr-FR"/>
              </w:rPr>
            </w:pPr>
            <w:r w:rsidRPr="00A12348">
              <w:rPr>
                <w:sz w:val="20"/>
                <w:szCs w:val="20"/>
                <w:lang w:val="fr-FR"/>
              </w:rPr>
              <w:t>83,36</w:t>
            </w:r>
          </w:p>
        </w:tc>
        <w:tc>
          <w:tcPr>
            <w:tcW w:w="1148" w:type="pct"/>
            <w:shd w:val="clear" w:color="000000" w:fill="FFFFFF"/>
            <w:noWrap/>
            <w:tcMar>
              <w:left w:w="115" w:type="dxa"/>
              <w:right w:w="216" w:type="dxa"/>
            </w:tcMar>
          </w:tcPr>
          <w:p w14:paraId="203AA478" w14:textId="77777777" w:rsidR="00045AA9" w:rsidRPr="00A12348" w:rsidRDefault="00045AA9" w:rsidP="0063050C">
            <w:pPr>
              <w:jc w:val="right"/>
              <w:rPr>
                <w:sz w:val="20"/>
                <w:szCs w:val="20"/>
                <w:lang w:val="fr-FR"/>
              </w:rPr>
            </w:pPr>
            <w:r w:rsidRPr="00A12348">
              <w:rPr>
                <w:sz w:val="20"/>
                <w:szCs w:val="20"/>
                <w:lang w:val="fr-FR"/>
              </w:rPr>
              <w:t xml:space="preserve">1 352 355 </w:t>
            </w:r>
          </w:p>
        </w:tc>
        <w:tc>
          <w:tcPr>
            <w:tcW w:w="831" w:type="pct"/>
            <w:shd w:val="clear" w:color="000000" w:fill="FFFFFF"/>
            <w:tcMar>
              <w:left w:w="115" w:type="dxa"/>
              <w:right w:w="216" w:type="dxa"/>
            </w:tcMar>
          </w:tcPr>
          <w:p w14:paraId="04C46338" w14:textId="77777777" w:rsidR="00045AA9" w:rsidRPr="00A12348" w:rsidRDefault="00045AA9" w:rsidP="0063050C">
            <w:pPr>
              <w:jc w:val="right"/>
              <w:rPr>
                <w:sz w:val="20"/>
                <w:szCs w:val="20"/>
                <w:lang w:val="fr-FR" w:eastAsia="zh-CN"/>
              </w:rPr>
            </w:pPr>
            <w:r w:rsidRPr="00A12348">
              <w:rPr>
                <w:sz w:val="20"/>
                <w:szCs w:val="20"/>
                <w:lang w:val="fr-FR" w:eastAsia="zh-CN"/>
              </w:rPr>
              <w:t xml:space="preserve">405 707 </w:t>
            </w:r>
          </w:p>
        </w:tc>
      </w:tr>
      <w:tr w:rsidR="00045AA9" w:rsidRPr="00A12348" w14:paraId="1042B2A3" w14:textId="77777777" w:rsidTr="0063050C">
        <w:trPr>
          <w:cantSplit/>
        </w:trPr>
        <w:tc>
          <w:tcPr>
            <w:tcW w:w="1202" w:type="pct"/>
            <w:shd w:val="clear" w:color="000000" w:fill="FFFFFF"/>
          </w:tcPr>
          <w:p w14:paraId="29DEF31A" w14:textId="77777777" w:rsidR="00045AA9" w:rsidRPr="00A12348" w:rsidRDefault="00045AA9" w:rsidP="0063050C">
            <w:pPr>
              <w:jc w:val="left"/>
              <w:rPr>
                <w:sz w:val="20"/>
                <w:szCs w:val="20"/>
                <w:lang w:val="fr-FR" w:eastAsia="zh-CN"/>
              </w:rPr>
            </w:pPr>
            <w:r w:rsidRPr="00A12348">
              <w:rPr>
                <w:sz w:val="20"/>
                <w:szCs w:val="20"/>
                <w:lang w:val="fr-FR" w:eastAsia="zh-CN"/>
              </w:rPr>
              <w:t>Hisense Jiangmen</w:t>
            </w:r>
          </w:p>
        </w:tc>
        <w:tc>
          <w:tcPr>
            <w:tcW w:w="832" w:type="pct"/>
            <w:shd w:val="clear" w:color="000000" w:fill="FFFFFF"/>
            <w:tcMar>
              <w:left w:w="115" w:type="dxa"/>
              <w:right w:w="216" w:type="dxa"/>
            </w:tcMar>
          </w:tcPr>
          <w:p w14:paraId="69210216"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143 213 </w:t>
            </w:r>
          </w:p>
        </w:tc>
        <w:tc>
          <w:tcPr>
            <w:tcW w:w="987" w:type="pct"/>
            <w:shd w:val="clear" w:color="000000" w:fill="FFFFFF"/>
            <w:noWrap/>
            <w:tcMar>
              <w:left w:w="115" w:type="dxa"/>
              <w:right w:w="216" w:type="dxa"/>
            </w:tcMar>
          </w:tcPr>
          <w:p w14:paraId="3259F76F" w14:textId="77777777" w:rsidR="00045AA9" w:rsidRPr="00A12348" w:rsidRDefault="00045AA9" w:rsidP="0063050C">
            <w:pPr>
              <w:jc w:val="right"/>
              <w:rPr>
                <w:color w:val="000000"/>
                <w:sz w:val="20"/>
                <w:szCs w:val="20"/>
                <w:lang w:val="fr-FR"/>
              </w:rPr>
            </w:pPr>
            <w:r w:rsidRPr="00A12348">
              <w:rPr>
                <w:rFonts w:eastAsia="Arial Unicode MS"/>
                <w:color w:val="000000"/>
                <w:sz w:val="20"/>
                <w:szCs w:val="20"/>
                <w:lang w:val="fr-FR"/>
              </w:rPr>
              <w:t>110,19</w:t>
            </w:r>
          </w:p>
        </w:tc>
        <w:tc>
          <w:tcPr>
            <w:tcW w:w="1148" w:type="pct"/>
            <w:shd w:val="clear" w:color="000000" w:fill="FFFFFF"/>
            <w:noWrap/>
            <w:tcMar>
              <w:left w:w="115" w:type="dxa"/>
              <w:right w:w="216" w:type="dxa"/>
            </w:tcMar>
          </w:tcPr>
          <w:p w14:paraId="40763750" w14:textId="77777777" w:rsidR="00045AA9" w:rsidRPr="00A12348" w:rsidRDefault="00045AA9" w:rsidP="0063050C">
            <w:pPr>
              <w:jc w:val="right"/>
              <w:rPr>
                <w:sz w:val="20"/>
                <w:szCs w:val="20"/>
                <w:lang w:val="fr-FR" w:eastAsia="zh-CN"/>
              </w:rPr>
            </w:pPr>
            <w:r w:rsidRPr="00A12348">
              <w:rPr>
                <w:sz w:val="20"/>
                <w:szCs w:val="20"/>
                <w:lang w:val="fr-FR" w:eastAsia="zh-CN"/>
              </w:rPr>
              <w:t xml:space="preserve">1 147 920 </w:t>
            </w:r>
          </w:p>
        </w:tc>
        <w:tc>
          <w:tcPr>
            <w:tcW w:w="831" w:type="pct"/>
            <w:shd w:val="clear" w:color="000000" w:fill="FFFFFF"/>
            <w:tcMar>
              <w:left w:w="115" w:type="dxa"/>
              <w:right w:w="216" w:type="dxa"/>
            </w:tcMar>
          </w:tcPr>
          <w:p w14:paraId="1234D7AD" w14:textId="77777777" w:rsidR="00045AA9" w:rsidRPr="00A12348" w:rsidRDefault="00045AA9" w:rsidP="0063050C">
            <w:pPr>
              <w:jc w:val="right"/>
              <w:rPr>
                <w:sz w:val="20"/>
                <w:szCs w:val="20"/>
                <w:lang w:val="fr-FR" w:eastAsia="zh-CN"/>
              </w:rPr>
            </w:pPr>
            <w:r w:rsidRPr="00A12348">
              <w:rPr>
                <w:sz w:val="20"/>
                <w:szCs w:val="20"/>
                <w:lang w:val="fr-FR" w:eastAsia="zh-CN"/>
              </w:rPr>
              <w:t xml:space="preserve">344 376 </w:t>
            </w:r>
          </w:p>
        </w:tc>
      </w:tr>
      <w:tr w:rsidR="00045AA9" w:rsidRPr="00A12348" w14:paraId="2B42B170" w14:textId="77777777" w:rsidTr="0063050C">
        <w:trPr>
          <w:cantSplit/>
        </w:trPr>
        <w:tc>
          <w:tcPr>
            <w:tcW w:w="1202" w:type="pct"/>
            <w:shd w:val="clear" w:color="000000" w:fill="FFFFFF"/>
          </w:tcPr>
          <w:p w14:paraId="69CBBFD3" w14:textId="77777777" w:rsidR="00045AA9" w:rsidRPr="00A12348" w:rsidRDefault="00045AA9" w:rsidP="0063050C">
            <w:pPr>
              <w:jc w:val="left"/>
              <w:rPr>
                <w:sz w:val="20"/>
                <w:szCs w:val="20"/>
                <w:lang w:val="fr-FR" w:eastAsia="zh-CN"/>
              </w:rPr>
            </w:pPr>
            <w:r w:rsidRPr="00A12348">
              <w:rPr>
                <w:sz w:val="20"/>
                <w:szCs w:val="20"/>
                <w:lang w:val="fr-FR" w:eastAsia="zh-CN"/>
              </w:rPr>
              <w:t>TCL Wuhan</w:t>
            </w:r>
          </w:p>
        </w:tc>
        <w:tc>
          <w:tcPr>
            <w:tcW w:w="832" w:type="pct"/>
            <w:shd w:val="clear" w:color="000000" w:fill="FFFFFF"/>
            <w:tcMar>
              <w:left w:w="115" w:type="dxa"/>
              <w:right w:w="216" w:type="dxa"/>
            </w:tcMar>
          </w:tcPr>
          <w:p w14:paraId="488AECBA"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849 042 </w:t>
            </w:r>
          </w:p>
        </w:tc>
        <w:tc>
          <w:tcPr>
            <w:tcW w:w="987" w:type="pct"/>
            <w:shd w:val="clear" w:color="000000" w:fill="FFFFFF"/>
            <w:noWrap/>
            <w:tcMar>
              <w:left w:w="115" w:type="dxa"/>
              <w:right w:w="216" w:type="dxa"/>
            </w:tcMar>
          </w:tcPr>
          <w:p w14:paraId="14A864B4" w14:textId="77777777" w:rsidR="00045AA9" w:rsidRPr="00A12348" w:rsidRDefault="00045AA9" w:rsidP="0063050C">
            <w:pPr>
              <w:jc w:val="right"/>
              <w:rPr>
                <w:color w:val="000000"/>
                <w:sz w:val="20"/>
                <w:szCs w:val="20"/>
                <w:lang w:val="fr-FR"/>
              </w:rPr>
            </w:pPr>
            <w:r w:rsidRPr="00A12348">
              <w:rPr>
                <w:rFonts w:eastAsia="Arial Unicode MS"/>
                <w:color w:val="000000"/>
                <w:sz w:val="20"/>
                <w:szCs w:val="20"/>
                <w:lang w:val="fr-FR"/>
              </w:rPr>
              <w:t>829,59</w:t>
            </w:r>
          </w:p>
        </w:tc>
        <w:tc>
          <w:tcPr>
            <w:tcW w:w="1148" w:type="pct"/>
            <w:shd w:val="clear" w:color="000000" w:fill="FFFFFF"/>
            <w:noWrap/>
            <w:tcMar>
              <w:left w:w="115" w:type="dxa"/>
              <w:right w:w="216" w:type="dxa"/>
            </w:tcMar>
          </w:tcPr>
          <w:p w14:paraId="1B2C0BA9" w14:textId="77777777" w:rsidR="00045AA9" w:rsidRPr="00A12348" w:rsidRDefault="00045AA9" w:rsidP="0063050C">
            <w:pPr>
              <w:jc w:val="right"/>
              <w:rPr>
                <w:sz w:val="20"/>
                <w:szCs w:val="20"/>
                <w:lang w:val="fr-FR" w:eastAsia="zh-CN"/>
              </w:rPr>
            </w:pPr>
            <w:r w:rsidRPr="00A12348">
              <w:rPr>
                <w:sz w:val="20"/>
                <w:szCs w:val="20"/>
                <w:lang w:val="fr-FR" w:eastAsia="zh-CN"/>
              </w:rPr>
              <w:t xml:space="preserve">1 352 355 </w:t>
            </w:r>
          </w:p>
        </w:tc>
        <w:tc>
          <w:tcPr>
            <w:tcW w:w="831" w:type="pct"/>
            <w:shd w:val="clear" w:color="000000" w:fill="FFFFFF"/>
            <w:tcMar>
              <w:left w:w="115" w:type="dxa"/>
              <w:right w:w="216" w:type="dxa"/>
            </w:tcMar>
          </w:tcPr>
          <w:p w14:paraId="03C803B4" w14:textId="77777777" w:rsidR="00045AA9" w:rsidRPr="00A12348" w:rsidRDefault="00045AA9" w:rsidP="0063050C">
            <w:pPr>
              <w:jc w:val="right"/>
              <w:rPr>
                <w:sz w:val="20"/>
                <w:szCs w:val="20"/>
                <w:lang w:val="fr-FR" w:eastAsia="zh-CN"/>
              </w:rPr>
            </w:pPr>
            <w:r w:rsidRPr="00A12348">
              <w:rPr>
                <w:sz w:val="20"/>
                <w:szCs w:val="20"/>
                <w:lang w:val="fr-FR" w:eastAsia="zh-CN"/>
              </w:rPr>
              <w:t xml:space="preserve">405 707 </w:t>
            </w:r>
          </w:p>
        </w:tc>
      </w:tr>
      <w:tr w:rsidR="00045AA9" w:rsidRPr="00A12348" w14:paraId="08E1E2EF" w14:textId="77777777" w:rsidTr="0063050C">
        <w:trPr>
          <w:cantSplit/>
        </w:trPr>
        <w:tc>
          <w:tcPr>
            <w:tcW w:w="1202" w:type="pct"/>
            <w:shd w:val="clear" w:color="000000" w:fill="FFFFFF"/>
          </w:tcPr>
          <w:p w14:paraId="389DCD23" w14:textId="77777777" w:rsidR="00045AA9" w:rsidRPr="00A12348" w:rsidRDefault="00045AA9" w:rsidP="0063050C">
            <w:pPr>
              <w:jc w:val="left"/>
              <w:rPr>
                <w:sz w:val="20"/>
                <w:szCs w:val="20"/>
                <w:lang w:val="fr-FR" w:eastAsia="zh-CN"/>
              </w:rPr>
            </w:pPr>
            <w:r w:rsidRPr="00A12348">
              <w:rPr>
                <w:sz w:val="20"/>
                <w:szCs w:val="20"/>
                <w:lang w:val="fr-FR" w:eastAsia="zh-CN"/>
              </w:rPr>
              <w:t>TCL Zhongshan</w:t>
            </w:r>
          </w:p>
        </w:tc>
        <w:tc>
          <w:tcPr>
            <w:tcW w:w="832" w:type="pct"/>
            <w:shd w:val="clear" w:color="000000" w:fill="FFFFFF"/>
            <w:tcMar>
              <w:left w:w="115" w:type="dxa"/>
              <w:right w:w="216" w:type="dxa"/>
            </w:tcMar>
          </w:tcPr>
          <w:p w14:paraId="18D37B14"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925 867 </w:t>
            </w:r>
          </w:p>
        </w:tc>
        <w:tc>
          <w:tcPr>
            <w:tcW w:w="987" w:type="pct"/>
            <w:shd w:val="clear" w:color="000000" w:fill="FFFFFF"/>
            <w:noWrap/>
            <w:tcMar>
              <w:left w:w="115" w:type="dxa"/>
              <w:right w:w="216" w:type="dxa"/>
            </w:tcMar>
          </w:tcPr>
          <w:p w14:paraId="04256D0F" w14:textId="77777777" w:rsidR="00045AA9" w:rsidRPr="00A12348" w:rsidRDefault="00045AA9" w:rsidP="0063050C">
            <w:pPr>
              <w:jc w:val="right"/>
              <w:rPr>
                <w:rFonts w:eastAsia="Arial Unicode MS"/>
                <w:color w:val="000000"/>
                <w:sz w:val="20"/>
                <w:szCs w:val="20"/>
                <w:lang w:val="fr-FR"/>
              </w:rPr>
            </w:pPr>
            <w:r w:rsidRPr="00A12348">
              <w:rPr>
                <w:rFonts w:eastAsia="Arial Unicode MS"/>
                <w:color w:val="000000"/>
                <w:sz w:val="20"/>
                <w:szCs w:val="20"/>
                <w:lang w:val="fr-FR"/>
              </w:rPr>
              <w:t>875,87</w:t>
            </w:r>
          </w:p>
        </w:tc>
        <w:tc>
          <w:tcPr>
            <w:tcW w:w="1148" w:type="pct"/>
            <w:shd w:val="clear" w:color="000000" w:fill="FFFFFF"/>
            <w:noWrap/>
            <w:tcMar>
              <w:left w:w="115" w:type="dxa"/>
              <w:right w:w="216" w:type="dxa"/>
            </w:tcMar>
          </w:tcPr>
          <w:p w14:paraId="2AD5942B" w14:textId="77777777" w:rsidR="00045AA9" w:rsidRPr="00A12348" w:rsidRDefault="00045AA9" w:rsidP="0063050C">
            <w:pPr>
              <w:jc w:val="right"/>
              <w:rPr>
                <w:sz w:val="20"/>
                <w:szCs w:val="20"/>
                <w:lang w:val="fr-FR" w:eastAsia="zh-CN"/>
              </w:rPr>
            </w:pPr>
            <w:r w:rsidRPr="00A12348">
              <w:rPr>
                <w:sz w:val="20"/>
                <w:szCs w:val="20"/>
                <w:lang w:val="fr-FR" w:eastAsia="zh-CN"/>
              </w:rPr>
              <w:t xml:space="preserve">1 352 355 </w:t>
            </w:r>
          </w:p>
        </w:tc>
        <w:tc>
          <w:tcPr>
            <w:tcW w:w="831" w:type="pct"/>
            <w:shd w:val="clear" w:color="000000" w:fill="FFFFFF"/>
            <w:tcMar>
              <w:left w:w="115" w:type="dxa"/>
              <w:right w:w="216" w:type="dxa"/>
            </w:tcMar>
          </w:tcPr>
          <w:p w14:paraId="5EA2068B" w14:textId="77777777" w:rsidR="00045AA9" w:rsidRPr="00A12348" w:rsidRDefault="00045AA9" w:rsidP="0063050C">
            <w:pPr>
              <w:jc w:val="right"/>
              <w:rPr>
                <w:sz w:val="20"/>
                <w:szCs w:val="20"/>
                <w:lang w:val="fr-FR" w:eastAsia="zh-CN"/>
              </w:rPr>
            </w:pPr>
            <w:r w:rsidRPr="00A12348">
              <w:rPr>
                <w:sz w:val="20"/>
                <w:szCs w:val="20"/>
                <w:lang w:val="fr-FR" w:eastAsia="zh-CN"/>
              </w:rPr>
              <w:t xml:space="preserve">405 707 </w:t>
            </w:r>
          </w:p>
        </w:tc>
      </w:tr>
      <w:tr w:rsidR="00045AA9" w:rsidRPr="00A12348" w14:paraId="5CB77A3C" w14:textId="77777777" w:rsidTr="0063050C">
        <w:trPr>
          <w:cantSplit/>
        </w:trPr>
        <w:tc>
          <w:tcPr>
            <w:tcW w:w="1202" w:type="pct"/>
            <w:shd w:val="clear" w:color="000000" w:fill="FFFFFF"/>
          </w:tcPr>
          <w:p w14:paraId="5CCB9588" w14:textId="77777777" w:rsidR="00045AA9" w:rsidRPr="00A12348" w:rsidRDefault="00045AA9" w:rsidP="0063050C">
            <w:pPr>
              <w:jc w:val="left"/>
              <w:rPr>
                <w:sz w:val="20"/>
                <w:szCs w:val="20"/>
                <w:lang w:val="fr-FR" w:eastAsia="zh-CN"/>
              </w:rPr>
            </w:pPr>
            <w:r w:rsidRPr="00A12348">
              <w:rPr>
                <w:sz w:val="20"/>
                <w:szCs w:val="20"/>
                <w:lang w:val="fr-FR" w:eastAsia="zh-CN"/>
              </w:rPr>
              <w:t>Yangzi Chuzhou</w:t>
            </w:r>
          </w:p>
        </w:tc>
        <w:tc>
          <w:tcPr>
            <w:tcW w:w="832" w:type="pct"/>
            <w:shd w:val="clear" w:color="000000" w:fill="FFFFFF"/>
            <w:tcMar>
              <w:left w:w="115" w:type="dxa"/>
              <w:right w:w="216" w:type="dxa"/>
            </w:tcMar>
          </w:tcPr>
          <w:p w14:paraId="093470C7"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294 454 </w:t>
            </w:r>
          </w:p>
        </w:tc>
        <w:tc>
          <w:tcPr>
            <w:tcW w:w="987" w:type="pct"/>
            <w:shd w:val="clear" w:color="000000" w:fill="FFFFFF"/>
            <w:noWrap/>
            <w:tcMar>
              <w:left w:w="115" w:type="dxa"/>
              <w:right w:w="216" w:type="dxa"/>
            </w:tcMar>
          </w:tcPr>
          <w:p w14:paraId="3BD74B20" w14:textId="77777777" w:rsidR="00045AA9" w:rsidRPr="00A12348" w:rsidRDefault="00045AA9" w:rsidP="0063050C">
            <w:pPr>
              <w:jc w:val="right"/>
              <w:rPr>
                <w:rFonts w:eastAsia="Arial Unicode MS"/>
                <w:color w:val="000000"/>
                <w:sz w:val="20"/>
                <w:szCs w:val="20"/>
                <w:lang w:val="fr-FR"/>
              </w:rPr>
            </w:pPr>
            <w:r w:rsidRPr="00A12348">
              <w:rPr>
                <w:rFonts w:eastAsia="Arial Unicode MS"/>
                <w:color w:val="000000"/>
                <w:sz w:val="20"/>
                <w:szCs w:val="20"/>
                <w:lang w:val="fr-FR"/>
              </w:rPr>
              <w:t>322,11</w:t>
            </w:r>
          </w:p>
        </w:tc>
        <w:tc>
          <w:tcPr>
            <w:tcW w:w="1148" w:type="pct"/>
            <w:shd w:val="clear" w:color="000000" w:fill="FFFFFF"/>
            <w:noWrap/>
            <w:tcMar>
              <w:left w:w="115" w:type="dxa"/>
              <w:right w:w="216" w:type="dxa"/>
            </w:tcMar>
          </w:tcPr>
          <w:p w14:paraId="4D69D361" w14:textId="77777777" w:rsidR="00045AA9" w:rsidRPr="00A12348" w:rsidRDefault="00045AA9" w:rsidP="0063050C">
            <w:pPr>
              <w:jc w:val="right"/>
              <w:rPr>
                <w:sz w:val="20"/>
                <w:szCs w:val="20"/>
                <w:lang w:val="fr-FR" w:eastAsia="zh-CN"/>
              </w:rPr>
            </w:pPr>
            <w:r w:rsidRPr="00A12348">
              <w:rPr>
                <w:sz w:val="20"/>
                <w:szCs w:val="20"/>
                <w:lang w:val="fr-FR" w:eastAsia="zh-CN"/>
              </w:rPr>
              <w:t xml:space="preserve">1 340 805 </w:t>
            </w:r>
          </w:p>
        </w:tc>
        <w:tc>
          <w:tcPr>
            <w:tcW w:w="831" w:type="pct"/>
            <w:shd w:val="clear" w:color="000000" w:fill="FFFFFF"/>
            <w:tcMar>
              <w:left w:w="115" w:type="dxa"/>
              <w:right w:w="216" w:type="dxa"/>
            </w:tcMar>
          </w:tcPr>
          <w:p w14:paraId="6FDF1863" w14:textId="77777777" w:rsidR="00045AA9" w:rsidRPr="00A12348" w:rsidRDefault="00045AA9" w:rsidP="0063050C">
            <w:pPr>
              <w:jc w:val="right"/>
              <w:rPr>
                <w:sz w:val="20"/>
                <w:szCs w:val="20"/>
                <w:lang w:val="fr-FR" w:eastAsia="zh-CN"/>
              </w:rPr>
            </w:pPr>
            <w:r w:rsidRPr="00A12348">
              <w:rPr>
                <w:sz w:val="20"/>
                <w:szCs w:val="20"/>
                <w:lang w:val="fr-FR" w:eastAsia="zh-CN"/>
              </w:rPr>
              <w:t xml:space="preserve">402 242 </w:t>
            </w:r>
          </w:p>
        </w:tc>
      </w:tr>
      <w:tr w:rsidR="00045AA9" w:rsidRPr="00A12348" w14:paraId="50B6DE28" w14:textId="77777777" w:rsidTr="0063050C">
        <w:trPr>
          <w:cantSplit/>
        </w:trPr>
        <w:tc>
          <w:tcPr>
            <w:tcW w:w="1202" w:type="pct"/>
            <w:shd w:val="clear" w:color="000000" w:fill="FFFFFF"/>
          </w:tcPr>
          <w:p w14:paraId="05D93BC6" w14:textId="77777777" w:rsidR="00045AA9" w:rsidRPr="00A12348" w:rsidRDefault="00045AA9" w:rsidP="0063050C">
            <w:pPr>
              <w:jc w:val="left"/>
              <w:rPr>
                <w:b/>
                <w:color w:val="000000"/>
                <w:sz w:val="20"/>
                <w:szCs w:val="20"/>
                <w:lang w:val="fr-FR"/>
              </w:rPr>
            </w:pPr>
            <w:r w:rsidRPr="00A12348">
              <w:rPr>
                <w:b/>
                <w:color w:val="000000"/>
                <w:sz w:val="20"/>
                <w:szCs w:val="20"/>
                <w:lang w:val="fr-FR"/>
              </w:rPr>
              <w:t>Total</w:t>
            </w:r>
          </w:p>
        </w:tc>
        <w:tc>
          <w:tcPr>
            <w:tcW w:w="832" w:type="pct"/>
            <w:shd w:val="clear" w:color="000000" w:fill="FFFFFF"/>
            <w:tcMar>
              <w:left w:w="115" w:type="dxa"/>
              <w:right w:w="216" w:type="dxa"/>
            </w:tcMar>
          </w:tcPr>
          <w:p w14:paraId="79D6C496" w14:textId="77777777" w:rsidR="00045AA9" w:rsidRPr="00A12348" w:rsidRDefault="00045AA9" w:rsidP="0063050C">
            <w:pPr>
              <w:jc w:val="right"/>
              <w:rPr>
                <w:b/>
                <w:color w:val="000000"/>
                <w:sz w:val="20"/>
                <w:szCs w:val="20"/>
                <w:lang w:val="fr-FR"/>
              </w:rPr>
            </w:pPr>
            <w:r w:rsidRPr="00A12348">
              <w:rPr>
                <w:b/>
                <w:color w:val="000000"/>
                <w:sz w:val="20"/>
                <w:szCs w:val="20"/>
                <w:lang w:val="fr-FR"/>
              </w:rPr>
              <w:t>2 295 112</w:t>
            </w:r>
          </w:p>
        </w:tc>
        <w:tc>
          <w:tcPr>
            <w:tcW w:w="987" w:type="pct"/>
            <w:shd w:val="clear" w:color="000000" w:fill="FFFFFF"/>
            <w:noWrap/>
            <w:tcMar>
              <w:left w:w="115" w:type="dxa"/>
              <w:right w:w="216" w:type="dxa"/>
            </w:tcMar>
          </w:tcPr>
          <w:p w14:paraId="3F40AE65" w14:textId="77777777" w:rsidR="00045AA9" w:rsidRPr="00A12348" w:rsidRDefault="00045AA9" w:rsidP="0063050C">
            <w:pPr>
              <w:jc w:val="right"/>
              <w:rPr>
                <w:b/>
                <w:color w:val="000000"/>
                <w:sz w:val="20"/>
                <w:szCs w:val="20"/>
                <w:lang w:val="fr-FR"/>
              </w:rPr>
            </w:pPr>
            <w:r w:rsidRPr="00A12348">
              <w:rPr>
                <w:b/>
                <w:color w:val="000000"/>
                <w:sz w:val="20"/>
                <w:szCs w:val="20"/>
                <w:lang w:val="fr-FR"/>
              </w:rPr>
              <w:t>2 221,12</w:t>
            </w:r>
          </w:p>
        </w:tc>
        <w:tc>
          <w:tcPr>
            <w:tcW w:w="1148" w:type="pct"/>
            <w:shd w:val="clear" w:color="000000" w:fill="FFFFFF"/>
            <w:noWrap/>
            <w:tcMar>
              <w:left w:w="115" w:type="dxa"/>
              <w:right w:w="216" w:type="dxa"/>
            </w:tcMar>
          </w:tcPr>
          <w:p w14:paraId="2F6F34EE" w14:textId="77777777" w:rsidR="00045AA9" w:rsidRPr="00A12348" w:rsidRDefault="00045AA9" w:rsidP="0063050C">
            <w:pPr>
              <w:jc w:val="right"/>
              <w:rPr>
                <w:b/>
                <w:color w:val="000000"/>
                <w:sz w:val="20"/>
                <w:szCs w:val="20"/>
                <w:lang w:val="fr-FR"/>
              </w:rPr>
            </w:pPr>
            <w:r w:rsidRPr="00A12348">
              <w:rPr>
                <w:b/>
                <w:color w:val="000000"/>
                <w:sz w:val="20"/>
                <w:szCs w:val="20"/>
                <w:lang w:val="fr-FR"/>
              </w:rPr>
              <w:t>6 545 790</w:t>
            </w:r>
          </w:p>
        </w:tc>
        <w:tc>
          <w:tcPr>
            <w:tcW w:w="831" w:type="pct"/>
            <w:shd w:val="clear" w:color="000000" w:fill="FFFFFF"/>
            <w:tcMar>
              <w:left w:w="115" w:type="dxa"/>
              <w:right w:w="216" w:type="dxa"/>
            </w:tcMar>
          </w:tcPr>
          <w:p w14:paraId="584E58F0" w14:textId="77777777" w:rsidR="00045AA9" w:rsidRPr="00A12348" w:rsidRDefault="00045AA9" w:rsidP="0063050C">
            <w:pPr>
              <w:jc w:val="right"/>
              <w:rPr>
                <w:b/>
                <w:color w:val="000000"/>
                <w:sz w:val="20"/>
                <w:szCs w:val="20"/>
                <w:lang w:val="fr-FR"/>
              </w:rPr>
            </w:pPr>
            <w:r w:rsidRPr="00A12348">
              <w:rPr>
                <w:b/>
                <w:color w:val="000000"/>
                <w:sz w:val="20"/>
                <w:szCs w:val="20"/>
                <w:lang w:val="fr-FR"/>
              </w:rPr>
              <w:t>1 963 739</w:t>
            </w:r>
          </w:p>
        </w:tc>
      </w:tr>
      <w:tr w:rsidR="00045AA9" w:rsidRPr="00A12348" w14:paraId="408C338A" w14:textId="77777777" w:rsidTr="0063050C">
        <w:trPr>
          <w:cantSplit/>
        </w:trPr>
        <w:tc>
          <w:tcPr>
            <w:tcW w:w="5000" w:type="pct"/>
            <w:gridSpan w:val="5"/>
            <w:shd w:val="clear" w:color="000000" w:fill="FFFFFF"/>
            <w:vAlign w:val="center"/>
          </w:tcPr>
          <w:p w14:paraId="12757EBF" w14:textId="77777777" w:rsidR="00045AA9" w:rsidRPr="00A12348" w:rsidRDefault="00045AA9" w:rsidP="0063050C">
            <w:pPr>
              <w:jc w:val="left"/>
              <w:rPr>
                <w:b/>
                <w:sz w:val="20"/>
                <w:szCs w:val="20"/>
                <w:lang w:val="fr-FR"/>
              </w:rPr>
            </w:pPr>
            <w:r>
              <w:rPr>
                <w:b/>
                <w:sz w:val="20"/>
                <w:szCs w:val="20"/>
                <w:lang w:val="fr-FR"/>
              </w:rPr>
              <w:t>Entreprises de compresseurs</w:t>
            </w:r>
          </w:p>
        </w:tc>
      </w:tr>
      <w:tr w:rsidR="00045AA9" w:rsidRPr="00A12348" w14:paraId="7D641CAE" w14:textId="77777777" w:rsidTr="0063050C">
        <w:trPr>
          <w:cantSplit/>
        </w:trPr>
        <w:tc>
          <w:tcPr>
            <w:tcW w:w="1202" w:type="pct"/>
            <w:shd w:val="clear" w:color="000000" w:fill="FFFFFF"/>
          </w:tcPr>
          <w:p w14:paraId="5DA1F9EA" w14:textId="77777777" w:rsidR="00045AA9" w:rsidRPr="00A12348" w:rsidRDefault="00045AA9" w:rsidP="0063050C">
            <w:pPr>
              <w:jc w:val="left"/>
              <w:rPr>
                <w:sz w:val="20"/>
                <w:szCs w:val="20"/>
                <w:lang w:val="fr-FR" w:eastAsia="zh-CN"/>
              </w:rPr>
            </w:pPr>
            <w:r w:rsidRPr="00A12348">
              <w:rPr>
                <w:sz w:val="20"/>
                <w:szCs w:val="20"/>
                <w:lang w:val="fr-FR" w:eastAsia="zh-CN"/>
              </w:rPr>
              <w:t>GMCC*</w:t>
            </w:r>
          </w:p>
        </w:tc>
        <w:tc>
          <w:tcPr>
            <w:tcW w:w="832" w:type="pct"/>
            <w:shd w:val="clear" w:color="000000" w:fill="FFFFFF"/>
            <w:tcMar>
              <w:left w:w="115" w:type="dxa"/>
              <w:right w:w="216" w:type="dxa"/>
            </w:tcMar>
          </w:tcPr>
          <w:p w14:paraId="29FD7C79"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1 384 268 </w:t>
            </w:r>
          </w:p>
        </w:tc>
        <w:tc>
          <w:tcPr>
            <w:tcW w:w="987" w:type="pct"/>
            <w:shd w:val="clear" w:color="000000" w:fill="FFFFFF"/>
            <w:noWrap/>
            <w:tcMar>
              <w:left w:w="115" w:type="dxa"/>
              <w:right w:w="216" w:type="dxa"/>
            </w:tcMar>
          </w:tcPr>
          <w:p w14:paraId="7C9CE819" w14:textId="77777777" w:rsidR="00045AA9" w:rsidRPr="00A12348" w:rsidRDefault="00045AA9" w:rsidP="0063050C">
            <w:pPr>
              <w:jc w:val="right"/>
              <w:rPr>
                <w:sz w:val="20"/>
                <w:szCs w:val="20"/>
                <w:lang w:val="fr-FR" w:eastAsia="zh-CN"/>
              </w:rPr>
            </w:pPr>
          </w:p>
        </w:tc>
        <w:tc>
          <w:tcPr>
            <w:tcW w:w="1148" w:type="pct"/>
            <w:shd w:val="clear" w:color="000000" w:fill="FFFFFF"/>
            <w:tcMar>
              <w:left w:w="115" w:type="dxa"/>
              <w:right w:w="216" w:type="dxa"/>
            </w:tcMar>
          </w:tcPr>
          <w:p w14:paraId="2A81057D" w14:textId="77777777" w:rsidR="00045AA9" w:rsidRPr="00A12348" w:rsidRDefault="00045AA9" w:rsidP="0063050C">
            <w:pPr>
              <w:jc w:val="right"/>
              <w:rPr>
                <w:sz w:val="20"/>
                <w:szCs w:val="20"/>
                <w:lang w:val="fr-FR" w:eastAsia="zh-CN"/>
              </w:rPr>
            </w:pPr>
            <w:r w:rsidRPr="00A12348">
              <w:rPr>
                <w:sz w:val="20"/>
                <w:szCs w:val="20"/>
                <w:lang w:val="fr-FR" w:eastAsia="zh-CN"/>
              </w:rPr>
              <w:t xml:space="preserve">861 490* </w:t>
            </w:r>
          </w:p>
        </w:tc>
        <w:tc>
          <w:tcPr>
            <w:tcW w:w="831" w:type="pct"/>
            <w:shd w:val="clear" w:color="000000" w:fill="FFFFFF"/>
            <w:tcMar>
              <w:left w:w="115" w:type="dxa"/>
              <w:right w:w="216" w:type="dxa"/>
            </w:tcMar>
          </w:tcPr>
          <w:p w14:paraId="32BC505F" w14:textId="77777777" w:rsidR="00045AA9" w:rsidRPr="00A12348" w:rsidRDefault="00045AA9" w:rsidP="0063050C">
            <w:pPr>
              <w:jc w:val="right"/>
              <w:rPr>
                <w:sz w:val="20"/>
                <w:szCs w:val="20"/>
                <w:lang w:val="fr-FR" w:eastAsia="zh-CN"/>
              </w:rPr>
            </w:pPr>
            <w:r w:rsidRPr="00A12348">
              <w:rPr>
                <w:sz w:val="20"/>
                <w:szCs w:val="20"/>
                <w:lang w:val="fr-FR" w:eastAsia="zh-CN"/>
              </w:rPr>
              <w:t xml:space="preserve">258 447 </w:t>
            </w:r>
          </w:p>
        </w:tc>
      </w:tr>
      <w:tr w:rsidR="00045AA9" w:rsidRPr="00A12348" w14:paraId="6FB1EA7A" w14:textId="77777777" w:rsidTr="0063050C">
        <w:trPr>
          <w:cantSplit/>
        </w:trPr>
        <w:tc>
          <w:tcPr>
            <w:tcW w:w="1202" w:type="pct"/>
            <w:shd w:val="clear" w:color="000000" w:fill="FFFFFF"/>
          </w:tcPr>
          <w:p w14:paraId="04AD4D0E" w14:textId="77777777" w:rsidR="00045AA9" w:rsidRPr="00A12348" w:rsidRDefault="00045AA9" w:rsidP="0063050C">
            <w:pPr>
              <w:jc w:val="left"/>
              <w:rPr>
                <w:sz w:val="20"/>
                <w:szCs w:val="20"/>
                <w:lang w:val="fr-FR" w:eastAsia="zh-CN"/>
              </w:rPr>
            </w:pPr>
            <w:r w:rsidRPr="00A12348">
              <w:rPr>
                <w:sz w:val="20"/>
                <w:szCs w:val="20"/>
                <w:lang w:val="fr-FR" w:eastAsia="zh-CN"/>
              </w:rPr>
              <w:t>Highly</w:t>
            </w:r>
          </w:p>
        </w:tc>
        <w:tc>
          <w:tcPr>
            <w:tcW w:w="832" w:type="pct"/>
            <w:shd w:val="clear" w:color="000000" w:fill="FFFFFF"/>
            <w:tcMar>
              <w:left w:w="115" w:type="dxa"/>
              <w:right w:w="216" w:type="dxa"/>
            </w:tcMar>
          </w:tcPr>
          <w:p w14:paraId="0771BFB9"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891 288 </w:t>
            </w:r>
          </w:p>
        </w:tc>
        <w:tc>
          <w:tcPr>
            <w:tcW w:w="987" w:type="pct"/>
            <w:shd w:val="clear" w:color="000000" w:fill="FFFFFF"/>
            <w:noWrap/>
            <w:tcMar>
              <w:left w:w="115" w:type="dxa"/>
              <w:right w:w="216" w:type="dxa"/>
            </w:tcMar>
          </w:tcPr>
          <w:p w14:paraId="31D4C113" w14:textId="77777777" w:rsidR="00045AA9" w:rsidRPr="00A12348" w:rsidRDefault="00045AA9" w:rsidP="0063050C">
            <w:pPr>
              <w:jc w:val="right"/>
              <w:rPr>
                <w:sz w:val="20"/>
                <w:szCs w:val="20"/>
                <w:lang w:val="fr-FR" w:eastAsia="zh-CN"/>
              </w:rPr>
            </w:pPr>
          </w:p>
        </w:tc>
        <w:tc>
          <w:tcPr>
            <w:tcW w:w="1148" w:type="pct"/>
            <w:shd w:val="clear" w:color="000000" w:fill="FFFFFF"/>
            <w:tcMar>
              <w:left w:w="115" w:type="dxa"/>
              <w:right w:w="216" w:type="dxa"/>
            </w:tcMar>
          </w:tcPr>
          <w:p w14:paraId="49FFB777" w14:textId="77777777" w:rsidR="00045AA9" w:rsidRPr="00A12348" w:rsidRDefault="00045AA9" w:rsidP="0063050C">
            <w:pPr>
              <w:jc w:val="right"/>
              <w:rPr>
                <w:sz w:val="20"/>
                <w:szCs w:val="20"/>
                <w:lang w:val="fr-FR" w:eastAsia="zh-CN"/>
              </w:rPr>
            </w:pPr>
            <w:r w:rsidRPr="00A12348">
              <w:rPr>
                <w:sz w:val="20"/>
                <w:szCs w:val="20"/>
                <w:lang w:val="fr-FR" w:eastAsia="zh-CN"/>
              </w:rPr>
              <w:t xml:space="preserve">924 479 </w:t>
            </w:r>
          </w:p>
        </w:tc>
        <w:tc>
          <w:tcPr>
            <w:tcW w:w="831" w:type="pct"/>
            <w:shd w:val="clear" w:color="000000" w:fill="FFFFFF"/>
            <w:tcMar>
              <w:left w:w="115" w:type="dxa"/>
              <w:right w:w="216" w:type="dxa"/>
            </w:tcMar>
          </w:tcPr>
          <w:p w14:paraId="722E2798" w14:textId="77777777" w:rsidR="00045AA9" w:rsidRPr="00A12348" w:rsidRDefault="00045AA9" w:rsidP="0063050C">
            <w:pPr>
              <w:jc w:val="right"/>
              <w:rPr>
                <w:sz w:val="20"/>
                <w:szCs w:val="20"/>
                <w:lang w:val="fr-FR" w:eastAsia="zh-CN"/>
              </w:rPr>
            </w:pPr>
            <w:r w:rsidRPr="00A12348">
              <w:rPr>
                <w:sz w:val="20"/>
                <w:szCs w:val="20"/>
                <w:lang w:val="fr-FR" w:eastAsia="zh-CN"/>
              </w:rPr>
              <w:t xml:space="preserve">277 344 </w:t>
            </w:r>
          </w:p>
        </w:tc>
      </w:tr>
      <w:tr w:rsidR="00045AA9" w:rsidRPr="00A12348" w14:paraId="03B9DE92" w14:textId="77777777" w:rsidTr="0063050C">
        <w:trPr>
          <w:cantSplit/>
        </w:trPr>
        <w:tc>
          <w:tcPr>
            <w:tcW w:w="1202" w:type="pct"/>
            <w:shd w:val="clear" w:color="000000" w:fill="FFFFFF"/>
          </w:tcPr>
          <w:p w14:paraId="177D38B1" w14:textId="77777777" w:rsidR="00045AA9" w:rsidRPr="00A12348" w:rsidRDefault="00045AA9" w:rsidP="0063050C">
            <w:pPr>
              <w:jc w:val="left"/>
              <w:rPr>
                <w:sz w:val="20"/>
                <w:szCs w:val="20"/>
                <w:lang w:val="fr-FR" w:eastAsia="zh-CN"/>
              </w:rPr>
            </w:pPr>
            <w:r w:rsidRPr="00A12348">
              <w:rPr>
                <w:sz w:val="20"/>
                <w:szCs w:val="20"/>
                <w:lang w:val="fr-FR" w:eastAsia="zh-CN"/>
              </w:rPr>
              <w:t>Shenyang Sanyo**</w:t>
            </w:r>
          </w:p>
        </w:tc>
        <w:tc>
          <w:tcPr>
            <w:tcW w:w="832" w:type="pct"/>
            <w:shd w:val="clear" w:color="000000" w:fill="FFFFFF"/>
            <w:tcMar>
              <w:left w:w="115" w:type="dxa"/>
              <w:right w:w="216" w:type="dxa"/>
            </w:tcMar>
          </w:tcPr>
          <w:p w14:paraId="39F4A735"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1 465 635 </w:t>
            </w:r>
          </w:p>
        </w:tc>
        <w:tc>
          <w:tcPr>
            <w:tcW w:w="987" w:type="pct"/>
            <w:shd w:val="clear" w:color="000000" w:fill="FFFFFF"/>
            <w:noWrap/>
            <w:tcMar>
              <w:left w:w="115" w:type="dxa"/>
              <w:right w:w="216" w:type="dxa"/>
            </w:tcMar>
          </w:tcPr>
          <w:p w14:paraId="79BF6BF9" w14:textId="77777777" w:rsidR="00045AA9" w:rsidRPr="00A12348" w:rsidRDefault="00045AA9" w:rsidP="0063050C">
            <w:pPr>
              <w:jc w:val="right"/>
              <w:rPr>
                <w:sz w:val="20"/>
                <w:szCs w:val="20"/>
                <w:lang w:val="fr-FR" w:eastAsia="zh-CN"/>
              </w:rPr>
            </w:pPr>
          </w:p>
        </w:tc>
        <w:tc>
          <w:tcPr>
            <w:tcW w:w="1148" w:type="pct"/>
            <w:shd w:val="clear" w:color="000000" w:fill="FFFFFF"/>
            <w:tcMar>
              <w:left w:w="115" w:type="dxa"/>
              <w:right w:w="216" w:type="dxa"/>
            </w:tcMar>
          </w:tcPr>
          <w:p w14:paraId="3F9E39DA" w14:textId="77777777" w:rsidR="00045AA9" w:rsidRPr="00A12348" w:rsidRDefault="00045AA9" w:rsidP="0063050C">
            <w:pPr>
              <w:jc w:val="right"/>
              <w:rPr>
                <w:sz w:val="20"/>
                <w:szCs w:val="20"/>
                <w:lang w:val="fr-FR" w:eastAsia="zh-CN"/>
              </w:rPr>
            </w:pPr>
            <w:r w:rsidRPr="00A12348">
              <w:rPr>
                <w:sz w:val="20"/>
                <w:szCs w:val="20"/>
                <w:lang w:val="fr-FR" w:eastAsia="zh-CN"/>
              </w:rPr>
              <w:t xml:space="preserve">969 136** </w:t>
            </w:r>
          </w:p>
        </w:tc>
        <w:tc>
          <w:tcPr>
            <w:tcW w:w="831" w:type="pct"/>
            <w:shd w:val="clear" w:color="000000" w:fill="FFFFFF"/>
            <w:tcMar>
              <w:left w:w="115" w:type="dxa"/>
              <w:right w:w="216" w:type="dxa"/>
            </w:tcMar>
          </w:tcPr>
          <w:p w14:paraId="341E268E" w14:textId="77777777" w:rsidR="00045AA9" w:rsidRPr="00A12348" w:rsidRDefault="00045AA9" w:rsidP="0063050C">
            <w:pPr>
              <w:jc w:val="right"/>
              <w:rPr>
                <w:sz w:val="20"/>
                <w:szCs w:val="20"/>
                <w:lang w:val="fr-FR" w:eastAsia="zh-CN"/>
              </w:rPr>
            </w:pPr>
            <w:r w:rsidRPr="00A12348">
              <w:rPr>
                <w:sz w:val="20"/>
                <w:szCs w:val="20"/>
                <w:lang w:val="fr-FR" w:eastAsia="zh-CN"/>
              </w:rPr>
              <w:t xml:space="preserve">290 741 </w:t>
            </w:r>
          </w:p>
        </w:tc>
      </w:tr>
      <w:tr w:rsidR="00045AA9" w:rsidRPr="00A12348" w14:paraId="2DE81724" w14:textId="77777777" w:rsidTr="0063050C">
        <w:trPr>
          <w:cantSplit/>
        </w:trPr>
        <w:tc>
          <w:tcPr>
            <w:tcW w:w="1202" w:type="pct"/>
            <w:shd w:val="clear" w:color="000000" w:fill="FFFFFF"/>
          </w:tcPr>
          <w:p w14:paraId="0C9C375F" w14:textId="77777777" w:rsidR="00045AA9" w:rsidRPr="00A12348" w:rsidRDefault="00045AA9" w:rsidP="0063050C">
            <w:pPr>
              <w:jc w:val="left"/>
              <w:rPr>
                <w:sz w:val="20"/>
                <w:szCs w:val="20"/>
                <w:lang w:val="fr-FR" w:eastAsia="zh-CN"/>
              </w:rPr>
            </w:pPr>
            <w:r w:rsidRPr="00A12348">
              <w:rPr>
                <w:sz w:val="20"/>
                <w:szCs w:val="20"/>
                <w:lang w:val="fr-FR" w:eastAsia="zh-CN"/>
              </w:rPr>
              <w:t>Xi'an Qing'an</w:t>
            </w:r>
          </w:p>
        </w:tc>
        <w:tc>
          <w:tcPr>
            <w:tcW w:w="832" w:type="pct"/>
            <w:shd w:val="clear" w:color="000000" w:fill="FFFFFF"/>
            <w:tcMar>
              <w:left w:w="115" w:type="dxa"/>
              <w:right w:w="216" w:type="dxa"/>
            </w:tcMar>
          </w:tcPr>
          <w:p w14:paraId="6004F10E" w14:textId="77777777" w:rsidR="00045AA9" w:rsidRPr="00A12348" w:rsidRDefault="00045AA9" w:rsidP="0063050C">
            <w:pPr>
              <w:jc w:val="right"/>
              <w:rPr>
                <w:rFonts w:eastAsia="Arial Unicode MS"/>
                <w:sz w:val="20"/>
                <w:szCs w:val="20"/>
                <w:lang w:val="fr-FR"/>
              </w:rPr>
            </w:pPr>
            <w:r w:rsidRPr="00A12348">
              <w:rPr>
                <w:rFonts w:eastAsia="Arial Unicode MS"/>
                <w:sz w:val="20"/>
                <w:szCs w:val="20"/>
                <w:lang w:val="fr-FR"/>
              </w:rPr>
              <w:t xml:space="preserve">1 682 250 </w:t>
            </w:r>
          </w:p>
        </w:tc>
        <w:tc>
          <w:tcPr>
            <w:tcW w:w="987" w:type="pct"/>
            <w:shd w:val="clear" w:color="000000" w:fill="FFFFFF"/>
            <w:noWrap/>
            <w:tcMar>
              <w:left w:w="115" w:type="dxa"/>
              <w:right w:w="216" w:type="dxa"/>
            </w:tcMar>
          </w:tcPr>
          <w:p w14:paraId="38A0931B" w14:textId="77777777" w:rsidR="00045AA9" w:rsidRPr="00A12348" w:rsidRDefault="00045AA9" w:rsidP="0063050C">
            <w:pPr>
              <w:jc w:val="right"/>
              <w:rPr>
                <w:sz w:val="20"/>
                <w:szCs w:val="20"/>
                <w:lang w:val="fr-FR" w:eastAsia="zh-CN"/>
              </w:rPr>
            </w:pPr>
          </w:p>
        </w:tc>
        <w:tc>
          <w:tcPr>
            <w:tcW w:w="1148" w:type="pct"/>
            <w:shd w:val="clear" w:color="000000" w:fill="FFFFFF"/>
            <w:tcMar>
              <w:left w:w="115" w:type="dxa"/>
              <w:right w:w="216" w:type="dxa"/>
            </w:tcMar>
          </w:tcPr>
          <w:p w14:paraId="033857AB" w14:textId="77777777" w:rsidR="00045AA9" w:rsidRPr="00A12348" w:rsidRDefault="00045AA9" w:rsidP="0063050C">
            <w:pPr>
              <w:jc w:val="right"/>
              <w:rPr>
                <w:sz w:val="20"/>
                <w:szCs w:val="20"/>
                <w:lang w:val="fr-FR" w:eastAsia="zh-CN"/>
              </w:rPr>
            </w:pPr>
            <w:r w:rsidRPr="00A12348">
              <w:rPr>
                <w:sz w:val="20"/>
                <w:szCs w:val="20"/>
                <w:lang w:val="fr-FR" w:eastAsia="zh-CN"/>
              </w:rPr>
              <w:t xml:space="preserve">1 744 895 </w:t>
            </w:r>
          </w:p>
        </w:tc>
        <w:tc>
          <w:tcPr>
            <w:tcW w:w="831" w:type="pct"/>
            <w:shd w:val="clear" w:color="000000" w:fill="FFFFFF"/>
            <w:tcMar>
              <w:left w:w="115" w:type="dxa"/>
              <w:right w:w="216" w:type="dxa"/>
            </w:tcMar>
          </w:tcPr>
          <w:p w14:paraId="2387DAF8" w14:textId="77777777" w:rsidR="00045AA9" w:rsidRPr="00A12348" w:rsidRDefault="00045AA9" w:rsidP="0063050C">
            <w:pPr>
              <w:jc w:val="right"/>
              <w:rPr>
                <w:sz w:val="20"/>
                <w:szCs w:val="20"/>
                <w:lang w:val="fr-FR" w:eastAsia="zh-CN"/>
              </w:rPr>
            </w:pPr>
            <w:r w:rsidRPr="00A12348">
              <w:rPr>
                <w:sz w:val="20"/>
                <w:szCs w:val="20"/>
                <w:lang w:val="fr-FR" w:eastAsia="zh-CN"/>
              </w:rPr>
              <w:t xml:space="preserve">523 469 </w:t>
            </w:r>
          </w:p>
        </w:tc>
      </w:tr>
      <w:tr w:rsidR="00045AA9" w:rsidRPr="00A12348" w14:paraId="04CF3989" w14:textId="77777777" w:rsidTr="0063050C">
        <w:trPr>
          <w:cantSplit/>
        </w:trPr>
        <w:tc>
          <w:tcPr>
            <w:tcW w:w="1202" w:type="pct"/>
            <w:shd w:val="clear" w:color="000000" w:fill="FFFFFF"/>
          </w:tcPr>
          <w:p w14:paraId="3BCC8FA7" w14:textId="77777777" w:rsidR="00045AA9" w:rsidRPr="00A12348" w:rsidRDefault="00045AA9" w:rsidP="0063050C">
            <w:pPr>
              <w:jc w:val="left"/>
              <w:rPr>
                <w:b/>
                <w:sz w:val="20"/>
                <w:szCs w:val="20"/>
                <w:lang w:val="fr-FR" w:eastAsia="zh-CN"/>
              </w:rPr>
            </w:pPr>
            <w:r w:rsidRPr="00A12348">
              <w:rPr>
                <w:b/>
                <w:sz w:val="20"/>
                <w:szCs w:val="20"/>
                <w:lang w:val="fr-FR" w:eastAsia="zh-CN"/>
              </w:rPr>
              <w:t>Total</w:t>
            </w:r>
          </w:p>
        </w:tc>
        <w:tc>
          <w:tcPr>
            <w:tcW w:w="832" w:type="pct"/>
            <w:shd w:val="clear" w:color="000000" w:fill="FFFFFF"/>
            <w:tcMar>
              <w:left w:w="115" w:type="dxa"/>
              <w:right w:w="216" w:type="dxa"/>
            </w:tcMar>
          </w:tcPr>
          <w:p w14:paraId="31AFCFC3" w14:textId="77777777" w:rsidR="00045AA9" w:rsidRPr="00A12348" w:rsidRDefault="00045AA9" w:rsidP="0063050C">
            <w:pPr>
              <w:jc w:val="right"/>
              <w:rPr>
                <w:rFonts w:eastAsia="Arial Unicode MS"/>
                <w:b/>
                <w:sz w:val="20"/>
                <w:szCs w:val="20"/>
                <w:lang w:val="fr-FR"/>
              </w:rPr>
            </w:pPr>
            <w:r w:rsidRPr="00A12348">
              <w:rPr>
                <w:rFonts w:eastAsia="Arial Unicode MS"/>
                <w:b/>
                <w:sz w:val="20"/>
                <w:szCs w:val="20"/>
                <w:lang w:val="fr-FR"/>
              </w:rPr>
              <w:t xml:space="preserve">5 423 441 </w:t>
            </w:r>
          </w:p>
        </w:tc>
        <w:tc>
          <w:tcPr>
            <w:tcW w:w="987" w:type="pct"/>
            <w:shd w:val="clear" w:color="000000" w:fill="FFFFFF"/>
            <w:noWrap/>
            <w:tcMar>
              <w:left w:w="115" w:type="dxa"/>
              <w:right w:w="216" w:type="dxa"/>
            </w:tcMar>
          </w:tcPr>
          <w:p w14:paraId="40C23A5D" w14:textId="77777777" w:rsidR="00045AA9" w:rsidRPr="00A12348" w:rsidRDefault="00045AA9" w:rsidP="0063050C">
            <w:pPr>
              <w:jc w:val="right"/>
              <w:rPr>
                <w:rFonts w:eastAsia="Arial Unicode MS"/>
                <w:b/>
                <w:sz w:val="20"/>
                <w:szCs w:val="20"/>
                <w:lang w:val="fr-FR"/>
              </w:rPr>
            </w:pPr>
          </w:p>
        </w:tc>
        <w:tc>
          <w:tcPr>
            <w:tcW w:w="1148" w:type="pct"/>
            <w:shd w:val="clear" w:color="000000" w:fill="FFFFFF"/>
            <w:tcMar>
              <w:left w:w="115" w:type="dxa"/>
              <w:right w:w="216" w:type="dxa"/>
            </w:tcMar>
          </w:tcPr>
          <w:p w14:paraId="7645E968" w14:textId="77777777" w:rsidR="00045AA9" w:rsidRPr="00A12348" w:rsidRDefault="00045AA9" w:rsidP="0063050C">
            <w:pPr>
              <w:jc w:val="right"/>
              <w:rPr>
                <w:rFonts w:eastAsia="Arial Unicode MS"/>
                <w:b/>
                <w:sz w:val="20"/>
                <w:szCs w:val="20"/>
                <w:lang w:val="fr-FR"/>
              </w:rPr>
            </w:pPr>
            <w:r w:rsidRPr="00A12348">
              <w:rPr>
                <w:rFonts w:eastAsia="Arial Unicode MS"/>
                <w:b/>
                <w:sz w:val="20"/>
                <w:szCs w:val="20"/>
                <w:lang w:val="fr-FR"/>
              </w:rPr>
              <w:t xml:space="preserve">4 500 000 </w:t>
            </w:r>
          </w:p>
        </w:tc>
        <w:tc>
          <w:tcPr>
            <w:tcW w:w="831" w:type="pct"/>
            <w:shd w:val="clear" w:color="000000" w:fill="FFFFFF"/>
            <w:tcMar>
              <w:left w:w="115" w:type="dxa"/>
              <w:right w:w="216" w:type="dxa"/>
            </w:tcMar>
          </w:tcPr>
          <w:p w14:paraId="73184300" w14:textId="77777777" w:rsidR="00045AA9" w:rsidRPr="00A12348" w:rsidRDefault="00045AA9" w:rsidP="0063050C">
            <w:pPr>
              <w:jc w:val="right"/>
              <w:rPr>
                <w:b/>
                <w:sz w:val="20"/>
                <w:szCs w:val="20"/>
                <w:lang w:val="fr-FR" w:eastAsia="zh-CN"/>
              </w:rPr>
            </w:pPr>
            <w:r w:rsidRPr="00A12348">
              <w:rPr>
                <w:rFonts w:eastAsia="DengXian"/>
                <w:b/>
                <w:sz w:val="20"/>
                <w:szCs w:val="20"/>
                <w:lang w:val="fr-FR"/>
              </w:rPr>
              <w:t xml:space="preserve">1 350 001 </w:t>
            </w:r>
          </w:p>
        </w:tc>
      </w:tr>
    </w:tbl>
    <w:p w14:paraId="1CDEEADA" w14:textId="77777777" w:rsidR="00045AA9" w:rsidRPr="00A12348" w:rsidRDefault="00045AA9" w:rsidP="00045AA9">
      <w:pPr>
        <w:pStyle w:val="ListParagraph"/>
        <w:shd w:val="clear" w:color="auto" w:fill="FFFFFF" w:themeFill="background1"/>
        <w:ind w:left="0"/>
        <w:rPr>
          <w:rFonts w:eastAsia="Calibri"/>
          <w:color w:val="000000" w:themeColor="text1"/>
          <w:sz w:val="18"/>
          <w:szCs w:val="18"/>
          <w:lang w:val="fr-FR"/>
        </w:rPr>
      </w:pPr>
      <w:r w:rsidRPr="00A12348">
        <w:rPr>
          <w:rFonts w:eastAsia="Calibri"/>
          <w:color w:val="000000" w:themeColor="text1"/>
          <w:sz w:val="18"/>
          <w:szCs w:val="18"/>
          <w:lang w:val="fr-FR"/>
        </w:rPr>
        <w:t xml:space="preserve">* 40 pour cent </w:t>
      </w:r>
      <w:r>
        <w:rPr>
          <w:rFonts w:eastAsia="Calibri"/>
          <w:color w:val="000000" w:themeColor="text1"/>
          <w:sz w:val="18"/>
          <w:szCs w:val="18"/>
          <w:lang w:val="fr-FR"/>
        </w:rPr>
        <w:t>associés à des propriétaires non visés à l’a</w:t>
      </w:r>
      <w:r w:rsidRPr="00A12348">
        <w:rPr>
          <w:rFonts w:eastAsia="Calibri"/>
          <w:color w:val="000000" w:themeColor="text1"/>
          <w:sz w:val="18"/>
          <w:szCs w:val="18"/>
          <w:lang w:val="fr-FR"/>
        </w:rPr>
        <w:t>rticle 5</w:t>
      </w:r>
      <w:r>
        <w:rPr>
          <w:rFonts w:eastAsia="Calibri"/>
          <w:color w:val="000000" w:themeColor="text1"/>
          <w:sz w:val="18"/>
          <w:szCs w:val="18"/>
          <w:lang w:val="fr-FR"/>
        </w:rPr>
        <w:t>, reflétés dans les surcoûts d’</w:t>
      </w:r>
      <w:r w:rsidRPr="00A12348">
        <w:rPr>
          <w:rFonts w:eastAsia="Calibri"/>
          <w:color w:val="000000" w:themeColor="text1"/>
          <w:sz w:val="18"/>
          <w:szCs w:val="18"/>
          <w:lang w:val="fr-FR"/>
        </w:rPr>
        <w:t>i</w:t>
      </w:r>
      <w:r>
        <w:rPr>
          <w:rFonts w:eastAsia="Calibri"/>
          <w:color w:val="000000" w:themeColor="text1"/>
          <w:sz w:val="18"/>
          <w:szCs w:val="18"/>
          <w:lang w:val="fr-FR"/>
        </w:rPr>
        <w:t xml:space="preserve">nvestissement </w:t>
      </w:r>
    </w:p>
    <w:p w14:paraId="2EE47BDF" w14:textId="77777777" w:rsidR="00045AA9" w:rsidRPr="00A12348" w:rsidRDefault="00045AA9" w:rsidP="00045AA9">
      <w:pPr>
        <w:pStyle w:val="ListParagraph"/>
        <w:shd w:val="clear" w:color="auto" w:fill="FFFFFF" w:themeFill="background1"/>
        <w:ind w:left="0"/>
        <w:rPr>
          <w:rFonts w:eastAsia="Calibri"/>
          <w:color w:val="000000" w:themeColor="text1"/>
          <w:sz w:val="18"/>
          <w:szCs w:val="18"/>
          <w:lang w:val="fr-FR"/>
        </w:rPr>
      </w:pPr>
      <w:r w:rsidRPr="00A12348">
        <w:rPr>
          <w:rFonts w:eastAsia="Calibri"/>
          <w:color w:val="000000" w:themeColor="text1"/>
          <w:sz w:val="18"/>
          <w:szCs w:val="18"/>
          <w:lang w:val="fr-FR"/>
        </w:rPr>
        <w:t xml:space="preserve">** 36 pour cent </w:t>
      </w:r>
      <w:r>
        <w:rPr>
          <w:rFonts w:eastAsia="Calibri"/>
          <w:color w:val="000000" w:themeColor="text1"/>
          <w:sz w:val="18"/>
          <w:szCs w:val="18"/>
          <w:lang w:val="fr-FR"/>
        </w:rPr>
        <w:t xml:space="preserve">associés à des propriétaires </w:t>
      </w:r>
      <w:r w:rsidRPr="00A12348">
        <w:rPr>
          <w:rFonts w:eastAsia="Calibri"/>
          <w:color w:val="000000" w:themeColor="text1"/>
          <w:sz w:val="18"/>
          <w:szCs w:val="18"/>
          <w:lang w:val="fr-FR"/>
        </w:rPr>
        <w:t>non</w:t>
      </w:r>
      <w:r>
        <w:rPr>
          <w:rFonts w:eastAsia="Calibri"/>
          <w:color w:val="000000" w:themeColor="text1"/>
          <w:sz w:val="18"/>
          <w:szCs w:val="18"/>
          <w:lang w:val="fr-FR"/>
        </w:rPr>
        <w:t xml:space="preserve"> visés à l’a</w:t>
      </w:r>
      <w:r w:rsidRPr="00A12348">
        <w:rPr>
          <w:rFonts w:eastAsia="Calibri"/>
          <w:color w:val="000000" w:themeColor="text1"/>
          <w:sz w:val="18"/>
          <w:szCs w:val="18"/>
          <w:lang w:val="fr-FR"/>
        </w:rPr>
        <w:t>rticle 5</w:t>
      </w:r>
      <w:r>
        <w:rPr>
          <w:rFonts w:eastAsia="Calibri"/>
          <w:color w:val="000000" w:themeColor="text1"/>
          <w:sz w:val="18"/>
          <w:szCs w:val="18"/>
          <w:lang w:val="fr-FR"/>
        </w:rPr>
        <w:t xml:space="preserve">, reflétés dans les surcoûts d’investissement </w:t>
      </w:r>
    </w:p>
    <w:p w14:paraId="0E70E937" w14:textId="77777777" w:rsidR="00045AA9" w:rsidRPr="00A12348" w:rsidRDefault="00045AA9" w:rsidP="00045AA9">
      <w:pPr>
        <w:pStyle w:val="ListParagraph"/>
        <w:shd w:val="clear" w:color="auto" w:fill="FFFFFF" w:themeFill="background1"/>
        <w:ind w:left="0"/>
        <w:rPr>
          <w:rFonts w:eastAsia="Calibri"/>
          <w:color w:val="000000" w:themeColor="text1"/>
          <w:lang w:val="fr-FR"/>
        </w:rPr>
      </w:pPr>
    </w:p>
    <w:p w14:paraId="1CAF963C" w14:textId="51FF45AF" w:rsidR="00045AA9" w:rsidRPr="00A12348" w:rsidRDefault="00045AA9" w:rsidP="00045AA9">
      <w:pPr>
        <w:pStyle w:val="Heading1"/>
        <w:numPr>
          <w:ilvl w:val="0"/>
          <w:numId w:val="15"/>
        </w:numPr>
        <w:rPr>
          <w:rFonts w:eastAsia="Calibri"/>
          <w:color w:val="000000" w:themeColor="text1"/>
          <w:lang w:val="fr-FR"/>
        </w:rPr>
      </w:pPr>
      <w:r w:rsidRPr="00A12348">
        <w:rPr>
          <w:lang w:val="fr-FR"/>
        </w:rPr>
        <w:t>Sur les treize projets de recherche et développement (R&amp;</w:t>
      </w:r>
      <w:r>
        <w:rPr>
          <w:lang w:val="fr-FR"/>
        </w:rPr>
        <w:t>D) po</w:t>
      </w:r>
      <w:r w:rsidRPr="00A12348">
        <w:rPr>
          <w:lang w:val="fr-FR"/>
        </w:rPr>
        <w:t>ur l’introduction de la technologie à base de R-290, avec un budget associé de 3 393 142 $US, ci</w:t>
      </w:r>
      <w:r>
        <w:rPr>
          <w:lang w:val="fr-FR"/>
        </w:rPr>
        <w:t xml:space="preserve">nq contrats ont été signés, un </w:t>
      </w:r>
      <w:r w:rsidRPr="00A12348">
        <w:rPr>
          <w:lang w:val="fr-FR"/>
        </w:rPr>
        <w:t xml:space="preserve">appel d’offres a été </w:t>
      </w:r>
      <w:r>
        <w:rPr>
          <w:lang w:val="fr-FR"/>
        </w:rPr>
        <w:t>publié</w:t>
      </w:r>
      <w:r w:rsidRPr="00A12348">
        <w:rPr>
          <w:lang w:val="fr-FR"/>
        </w:rPr>
        <w:t xml:space="preserve"> pour deux contrats </w:t>
      </w:r>
      <w:r>
        <w:rPr>
          <w:lang w:val="fr-FR"/>
        </w:rPr>
        <w:t>et un appel d’offres devait être lancé pour six contrats</w:t>
      </w:r>
      <w:r w:rsidR="0063050C">
        <w:rPr>
          <w:lang w:val="fr-FR"/>
        </w:rPr>
        <w:t xml:space="preserve"> </w:t>
      </w:r>
      <w:r w:rsidRPr="00A12348">
        <w:rPr>
          <w:lang w:val="fr-FR"/>
        </w:rPr>
        <w:t xml:space="preserve">; au moment de la </w:t>
      </w:r>
      <w:r>
        <w:rPr>
          <w:lang w:val="fr-FR"/>
        </w:rPr>
        <w:t>finalisation</w:t>
      </w:r>
      <w:r w:rsidRPr="00A12348">
        <w:rPr>
          <w:lang w:val="fr-FR"/>
        </w:rPr>
        <w:t xml:space="preserve"> du présent document, des décaissements </w:t>
      </w:r>
      <w:r>
        <w:rPr>
          <w:lang w:val="fr-FR"/>
        </w:rPr>
        <w:t>étaient en cours pour l</w:t>
      </w:r>
      <w:r w:rsidRPr="00A12348">
        <w:rPr>
          <w:lang w:val="fr-FR"/>
        </w:rPr>
        <w:t xml:space="preserve">es </w:t>
      </w:r>
      <w:r>
        <w:rPr>
          <w:lang w:val="fr-FR"/>
        </w:rPr>
        <w:t xml:space="preserve">contrats signés. </w:t>
      </w:r>
      <w:r w:rsidRPr="00A12348">
        <w:rPr>
          <w:lang w:val="fr-FR"/>
        </w:rPr>
        <w:t>Un montant additionnel de 723 733 $US est alloué pour des activités d’assist</w:t>
      </w:r>
      <w:r>
        <w:rPr>
          <w:lang w:val="fr-FR"/>
        </w:rPr>
        <w:t>ance technique qui restent à dét</w:t>
      </w:r>
      <w:r w:rsidRPr="00A12348">
        <w:rPr>
          <w:lang w:val="fr-FR"/>
        </w:rPr>
        <w:t>erminer afin de faciliter</w:t>
      </w:r>
      <w:r>
        <w:rPr>
          <w:lang w:val="fr-FR"/>
        </w:rPr>
        <w:t xml:space="preserve"> l’adoption par le marché, </w:t>
      </w:r>
      <w:r w:rsidRPr="00A12348">
        <w:rPr>
          <w:lang w:val="fr-FR"/>
        </w:rPr>
        <w:t xml:space="preserve">des </w:t>
      </w:r>
      <w:r>
        <w:rPr>
          <w:lang w:val="fr-FR"/>
        </w:rPr>
        <w:t>RAC</w:t>
      </w:r>
      <w:r w:rsidRPr="00A12348">
        <w:rPr>
          <w:lang w:val="fr-FR"/>
        </w:rPr>
        <w:t xml:space="preserve"> à base de R-290.  Un contrat a ét</w:t>
      </w:r>
      <w:r>
        <w:rPr>
          <w:lang w:val="fr-FR"/>
        </w:rPr>
        <w:t>é signé pour effectuer la vé</w:t>
      </w:r>
      <w:r w:rsidRPr="00A12348">
        <w:rPr>
          <w:lang w:val="fr-FR"/>
        </w:rPr>
        <w:t>rification indépendante, au montant 132 171 $US</w:t>
      </w:r>
      <w:r w:rsidR="0063050C">
        <w:rPr>
          <w:lang w:val="fr-FR"/>
        </w:rPr>
        <w:t xml:space="preserve"> </w:t>
      </w:r>
      <w:r w:rsidRPr="00A12348">
        <w:rPr>
          <w:lang w:val="fr-FR"/>
        </w:rPr>
        <w:t xml:space="preserve">; le premier décaissement </w:t>
      </w:r>
      <w:r>
        <w:rPr>
          <w:lang w:val="fr-FR"/>
        </w:rPr>
        <w:t>pour ce</w:t>
      </w:r>
      <w:r w:rsidRPr="00A12348">
        <w:rPr>
          <w:lang w:val="fr-FR"/>
        </w:rPr>
        <w:t xml:space="preserve"> contrat signé est attend</w:t>
      </w:r>
      <w:r>
        <w:rPr>
          <w:lang w:val="fr-FR"/>
        </w:rPr>
        <w:t>u</w:t>
      </w:r>
      <w:r w:rsidRPr="00A12348">
        <w:rPr>
          <w:lang w:val="fr-FR"/>
        </w:rPr>
        <w:t xml:space="preserve"> d’ici le 31 décembre 2020. </w:t>
      </w:r>
    </w:p>
    <w:p w14:paraId="17233891" w14:textId="251681C6" w:rsidR="00045AA9" w:rsidRPr="00A12348" w:rsidRDefault="00045AA9" w:rsidP="00045AA9">
      <w:pPr>
        <w:pStyle w:val="Heading1"/>
        <w:numPr>
          <w:ilvl w:val="0"/>
          <w:numId w:val="15"/>
        </w:numPr>
        <w:rPr>
          <w:rFonts w:eastAsia="Calibri"/>
          <w:color w:val="000000" w:themeColor="text1"/>
          <w:lang w:val="fr-FR"/>
        </w:rPr>
      </w:pPr>
      <w:r w:rsidRPr="00A12348">
        <w:rPr>
          <w:lang w:val="fr-FR"/>
        </w:rPr>
        <w:t>L</w:t>
      </w:r>
      <w:r>
        <w:rPr>
          <w:lang w:val="fr-FR"/>
        </w:rPr>
        <w:t>’Association des fabricants d’</w:t>
      </w:r>
      <w:r w:rsidRPr="00A12348">
        <w:rPr>
          <w:lang w:val="fr-FR"/>
        </w:rPr>
        <w:t>a</w:t>
      </w:r>
      <w:r>
        <w:rPr>
          <w:lang w:val="fr-FR"/>
        </w:rPr>
        <w:t xml:space="preserve">ppareils électroménagers de Chine </w:t>
      </w:r>
      <w:r w:rsidRPr="00A12348">
        <w:rPr>
          <w:lang w:val="fr-FR"/>
        </w:rPr>
        <w:t>(CHEAA) a continué d</w:t>
      </w:r>
      <w:r>
        <w:rPr>
          <w:lang w:val="fr-FR"/>
        </w:rPr>
        <w:t>’apporter</w:t>
      </w:r>
      <w:r w:rsidRPr="00A12348">
        <w:rPr>
          <w:lang w:val="fr-FR"/>
        </w:rPr>
        <w:t xml:space="preserve"> son assistance </w:t>
      </w:r>
      <w:r>
        <w:rPr>
          <w:lang w:val="fr-FR"/>
        </w:rPr>
        <w:t>à</w:t>
      </w:r>
      <w:r w:rsidRPr="00A12348">
        <w:rPr>
          <w:lang w:val="fr-FR"/>
        </w:rPr>
        <w:t xml:space="preserve"> la mise en oeuvre du plan </w:t>
      </w:r>
      <w:r>
        <w:rPr>
          <w:lang w:val="fr-FR"/>
        </w:rPr>
        <w:t>du secteur</w:t>
      </w:r>
      <w:r w:rsidRPr="00A12348">
        <w:rPr>
          <w:lang w:val="fr-FR"/>
        </w:rPr>
        <w:t xml:space="preserve"> RAC</w:t>
      </w:r>
      <w:r w:rsidR="0063050C">
        <w:rPr>
          <w:lang w:val="fr-FR"/>
        </w:rPr>
        <w:t xml:space="preserve"> </w:t>
      </w:r>
      <w:r w:rsidRPr="00A12348">
        <w:rPr>
          <w:lang w:val="fr-FR"/>
        </w:rPr>
        <w:t>; 140 656 $US ont été décaissés au profit de CHEAA et du cabinet d’experts qui a vérifié la consommation de référence des cinq chaines de fabrication.  Du montant de 1 644 556 $US alloué à l’Unité de mise en oeuvre et de suivi du projet</w:t>
      </w:r>
      <w:r>
        <w:rPr>
          <w:lang w:val="fr-FR"/>
        </w:rPr>
        <w:t xml:space="preserve"> (UGP),</w:t>
      </w:r>
      <w:r w:rsidRPr="00A12348">
        <w:rPr>
          <w:lang w:val="fr-FR"/>
        </w:rPr>
        <w:t xml:space="preserve"> 493 367 $US ont été décaissés.</w:t>
      </w:r>
    </w:p>
    <w:p w14:paraId="3D3DD211" w14:textId="3AC8B9F0" w:rsidR="00045AA9" w:rsidRPr="00A12348" w:rsidRDefault="00045AA9" w:rsidP="00045AA9">
      <w:pPr>
        <w:pStyle w:val="Heading1"/>
        <w:numPr>
          <w:ilvl w:val="0"/>
          <w:numId w:val="15"/>
        </w:numPr>
        <w:rPr>
          <w:lang w:val="fr-FR"/>
        </w:rPr>
      </w:pPr>
      <w:r w:rsidRPr="00A12348">
        <w:rPr>
          <w:lang w:val="fr-FR"/>
        </w:rPr>
        <w:lastRenderedPageBreak/>
        <w:t>En date de septembre 2020, du montant de 31 562 981 $US approuvé jusqu’à présent,</w:t>
      </w:r>
      <w:r w:rsidR="0063050C">
        <w:rPr>
          <w:lang w:val="fr-FR"/>
        </w:rPr>
        <w:t xml:space="preserve"> 3 454 396 </w:t>
      </w:r>
      <w:r w:rsidRPr="00A12348">
        <w:rPr>
          <w:lang w:val="fr-FR"/>
        </w:rPr>
        <w:t>$US (11 pour cent) avaient été décaissés aux bénéficiaires finals, tel qu’indiqué au tableau 2.</w:t>
      </w:r>
    </w:p>
    <w:p w14:paraId="07B0A348" w14:textId="77777777" w:rsidR="00045AA9" w:rsidRPr="00A12348" w:rsidRDefault="00045AA9" w:rsidP="00045AA9">
      <w:pPr>
        <w:rPr>
          <w:b/>
          <w:lang w:val="fr-FR"/>
        </w:rPr>
      </w:pPr>
      <w:r w:rsidRPr="00A12348">
        <w:rPr>
          <w:b/>
          <w:lang w:val="fr-FR"/>
        </w:rPr>
        <w:t xml:space="preserve">Tableau 2. Niveau de décaissement dans les deux premières tranches </w:t>
      </w:r>
    </w:p>
    <w:tbl>
      <w:tblPr>
        <w:tblW w:w="9345" w:type="dxa"/>
        <w:jc w:val="right"/>
        <w:tblLook w:val="04A0" w:firstRow="1" w:lastRow="0" w:firstColumn="1" w:lastColumn="0" w:noHBand="0" w:noVBand="1"/>
      </w:tblPr>
      <w:tblGrid>
        <w:gridCol w:w="2854"/>
        <w:gridCol w:w="2380"/>
        <w:gridCol w:w="1276"/>
        <w:gridCol w:w="1417"/>
        <w:gridCol w:w="1418"/>
      </w:tblGrid>
      <w:tr w:rsidR="00045AA9" w:rsidRPr="00A12348" w14:paraId="50072A5B" w14:textId="77777777" w:rsidTr="0063050C">
        <w:trPr>
          <w:trHeight w:val="125"/>
          <w:jc w:val="right"/>
        </w:trPr>
        <w:tc>
          <w:tcPr>
            <w:tcW w:w="52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4B11D" w14:textId="77777777" w:rsidR="00045AA9" w:rsidRPr="00A12348" w:rsidRDefault="00045AA9" w:rsidP="0063050C">
            <w:pPr>
              <w:jc w:val="left"/>
              <w:rPr>
                <w:b/>
                <w:bCs/>
                <w:color w:val="000000"/>
                <w:sz w:val="20"/>
                <w:szCs w:val="20"/>
                <w:lang w:val="fr-FR" w:eastAsia="en-CA"/>
              </w:rPr>
            </w:pPr>
            <w:r w:rsidRPr="00A12348">
              <w:rPr>
                <w:b/>
                <w:bCs/>
                <w:color w:val="000000"/>
                <w:sz w:val="20"/>
                <w:szCs w:val="20"/>
                <w:lang w:val="fr-FR" w:eastAsia="en-CA"/>
              </w:rPr>
              <w:t>Détails</w:t>
            </w:r>
          </w:p>
        </w:tc>
        <w:tc>
          <w:tcPr>
            <w:tcW w:w="1276" w:type="dxa"/>
            <w:tcBorders>
              <w:top w:val="single" w:sz="4" w:space="0" w:color="auto"/>
              <w:left w:val="nil"/>
              <w:bottom w:val="single" w:sz="4" w:space="0" w:color="auto"/>
              <w:right w:val="single" w:sz="4" w:space="0" w:color="auto"/>
            </w:tcBorders>
            <w:shd w:val="clear" w:color="auto" w:fill="auto"/>
            <w:hideMark/>
          </w:tcPr>
          <w:p w14:paraId="7DBB6299" w14:textId="77777777" w:rsidR="00045AA9" w:rsidRPr="00A12348" w:rsidRDefault="00045AA9" w:rsidP="0063050C">
            <w:pPr>
              <w:jc w:val="center"/>
              <w:rPr>
                <w:b/>
                <w:bCs/>
                <w:color w:val="000000"/>
                <w:sz w:val="20"/>
                <w:szCs w:val="20"/>
                <w:lang w:val="fr-FR" w:eastAsia="en-CA"/>
              </w:rPr>
            </w:pPr>
            <w:r w:rsidRPr="00A12348">
              <w:rPr>
                <w:b/>
                <w:bCs/>
                <w:color w:val="000000"/>
                <w:sz w:val="20"/>
                <w:szCs w:val="20"/>
                <w:lang w:val="fr-FR" w:eastAsia="en-CA"/>
              </w:rPr>
              <w:t>Tranche 1</w:t>
            </w:r>
          </w:p>
        </w:tc>
        <w:tc>
          <w:tcPr>
            <w:tcW w:w="1417" w:type="dxa"/>
            <w:tcBorders>
              <w:top w:val="single" w:sz="4" w:space="0" w:color="auto"/>
              <w:left w:val="nil"/>
              <w:bottom w:val="single" w:sz="4" w:space="0" w:color="auto"/>
              <w:right w:val="single" w:sz="4" w:space="0" w:color="auto"/>
            </w:tcBorders>
            <w:shd w:val="clear" w:color="auto" w:fill="auto"/>
            <w:hideMark/>
          </w:tcPr>
          <w:p w14:paraId="18C28936" w14:textId="77777777" w:rsidR="00045AA9" w:rsidRPr="00A12348" w:rsidRDefault="00045AA9" w:rsidP="0063050C">
            <w:pPr>
              <w:jc w:val="center"/>
              <w:rPr>
                <w:b/>
                <w:bCs/>
                <w:color w:val="000000"/>
                <w:sz w:val="20"/>
                <w:szCs w:val="20"/>
                <w:lang w:val="fr-FR" w:eastAsia="en-CA"/>
              </w:rPr>
            </w:pPr>
            <w:r w:rsidRPr="00A12348">
              <w:rPr>
                <w:b/>
                <w:bCs/>
                <w:color w:val="000000"/>
                <w:sz w:val="20"/>
                <w:szCs w:val="20"/>
                <w:lang w:val="fr-FR" w:eastAsia="en-CA"/>
              </w:rPr>
              <w:t>Tranche 2</w:t>
            </w:r>
          </w:p>
        </w:tc>
        <w:tc>
          <w:tcPr>
            <w:tcW w:w="1418" w:type="dxa"/>
            <w:tcBorders>
              <w:top w:val="single" w:sz="4" w:space="0" w:color="auto"/>
              <w:left w:val="nil"/>
              <w:bottom w:val="single" w:sz="4" w:space="0" w:color="auto"/>
              <w:right w:val="single" w:sz="4" w:space="0" w:color="auto"/>
            </w:tcBorders>
            <w:shd w:val="clear" w:color="auto" w:fill="auto"/>
            <w:noWrap/>
            <w:hideMark/>
          </w:tcPr>
          <w:p w14:paraId="7A169961" w14:textId="77777777" w:rsidR="00045AA9" w:rsidRPr="00A12348" w:rsidRDefault="00045AA9" w:rsidP="0063050C">
            <w:pPr>
              <w:jc w:val="center"/>
              <w:rPr>
                <w:b/>
                <w:bCs/>
                <w:color w:val="000000"/>
                <w:sz w:val="20"/>
                <w:szCs w:val="20"/>
                <w:lang w:val="fr-FR" w:eastAsia="en-CA"/>
              </w:rPr>
            </w:pPr>
            <w:r w:rsidRPr="00A12348">
              <w:rPr>
                <w:b/>
                <w:bCs/>
                <w:color w:val="000000"/>
                <w:sz w:val="20"/>
                <w:szCs w:val="20"/>
                <w:lang w:val="fr-FR" w:eastAsia="en-CA"/>
              </w:rPr>
              <w:t>Total</w:t>
            </w:r>
          </w:p>
        </w:tc>
      </w:tr>
      <w:tr w:rsidR="00045AA9" w:rsidRPr="00A12348" w14:paraId="14E15C7C" w14:textId="77777777" w:rsidTr="0063050C">
        <w:trPr>
          <w:trHeight w:val="134"/>
          <w:jc w:val="right"/>
        </w:trPr>
        <w:tc>
          <w:tcPr>
            <w:tcW w:w="52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F0B24F"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Fonds approuvés</w:t>
            </w:r>
          </w:p>
        </w:tc>
        <w:tc>
          <w:tcPr>
            <w:tcW w:w="1276" w:type="dxa"/>
            <w:tcBorders>
              <w:top w:val="nil"/>
              <w:left w:val="nil"/>
              <w:bottom w:val="single" w:sz="4" w:space="0" w:color="auto"/>
              <w:right w:val="single" w:sz="4" w:space="0" w:color="auto"/>
            </w:tcBorders>
            <w:shd w:val="clear" w:color="auto" w:fill="auto"/>
            <w:hideMark/>
          </w:tcPr>
          <w:p w14:paraId="55F564F4" w14:textId="77777777" w:rsidR="00045AA9" w:rsidRPr="00A12348" w:rsidRDefault="00045AA9" w:rsidP="0063050C">
            <w:pPr>
              <w:jc w:val="right"/>
              <w:rPr>
                <w:color w:val="000000"/>
                <w:sz w:val="20"/>
                <w:szCs w:val="20"/>
                <w:lang w:val="fr-FR" w:eastAsia="en-CA"/>
              </w:rPr>
            </w:pPr>
            <w:r w:rsidRPr="00A12348">
              <w:rPr>
                <w:color w:val="000000"/>
                <w:sz w:val="20"/>
                <w:szCs w:val="20"/>
                <w:lang w:val="fr-FR" w:eastAsia="en-CA"/>
              </w:rPr>
              <w:t>15 562 981</w:t>
            </w:r>
          </w:p>
        </w:tc>
        <w:tc>
          <w:tcPr>
            <w:tcW w:w="1417" w:type="dxa"/>
            <w:tcBorders>
              <w:top w:val="nil"/>
              <w:left w:val="nil"/>
              <w:bottom w:val="single" w:sz="4" w:space="0" w:color="auto"/>
              <w:right w:val="single" w:sz="4" w:space="0" w:color="auto"/>
            </w:tcBorders>
            <w:shd w:val="clear" w:color="auto" w:fill="auto"/>
            <w:hideMark/>
          </w:tcPr>
          <w:p w14:paraId="422EBFD4" w14:textId="77777777" w:rsidR="00045AA9" w:rsidRPr="00A12348" w:rsidRDefault="00045AA9" w:rsidP="0063050C">
            <w:pPr>
              <w:jc w:val="right"/>
              <w:rPr>
                <w:color w:val="000000"/>
                <w:sz w:val="20"/>
                <w:szCs w:val="20"/>
                <w:lang w:val="fr-FR" w:eastAsia="en-CA"/>
              </w:rPr>
            </w:pPr>
            <w:r w:rsidRPr="00A12348">
              <w:rPr>
                <w:color w:val="000000"/>
                <w:sz w:val="20"/>
                <w:szCs w:val="20"/>
                <w:lang w:val="fr-FR" w:eastAsia="en-CA"/>
              </w:rPr>
              <w:t>16 000 000</w:t>
            </w:r>
          </w:p>
        </w:tc>
        <w:tc>
          <w:tcPr>
            <w:tcW w:w="1418" w:type="dxa"/>
            <w:tcBorders>
              <w:top w:val="nil"/>
              <w:left w:val="nil"/>
              <w:bottom w:val="single" w:sz="4" w:space="0" w:color="auto"/>
              <w:right w:val="single" w:sz="4" w:space="0" w:color="auto"/>
            </w:tcBorders>
            <w:shd w:val="clear" w:color="auto" w:fill="auto"/>
            <w:hideMark/>
          </w:tcPr>
          <w:p w14:paraId="16820408" w14:textId="77777777" w:rsidR="00045AA9" w:rsidRPr="00A12348" w:rsidRDefault="00045AA9" w:rsidP="0063050C">
            <w:pPr>
              <w:jc w:val="right"/>
              <w:rPr>
                <w:color w:val="000000"/>
                <w:sz w:val="20"/>
                <w:szCs w:val="20"/>
                <w:lang w:val="fr-FR" w:eastAsia="en-CA"/>
              </w:rPr>
            </w:pPr>
            <w:r w:rsidRPr="00A12348">
              <w:rPr>
                <w:color w:val="000000"/>
                <w:sz w:val="20"/>
                <w:szCs w:val="20"/>
                <w:lang w:val="fr-FR" w:eastAsia="en-CA"/>
              </w:rPr>
              <w:t>31 562 981</w:t>
            </w:r>
          </w:p>
        </w:tc>
      </w:tr>
      <w:tr w:rsidR="00045AA9" w:rsidRPr="00A12348" w14:paraId="55E5F870" w14:textId="77777777" w:rsidTr="0063050C">
        <w:trPr>
          <w:trHeight w:val="134"/>
          <w:jc w:val="right"/>
        </w:trPr>
        <w:tc>
          <w:tcPr>
            <w:tcW w:w="2854" w:type="dxa"/>
            <w:vMerge w:val="restart"/>
            <w:tcBorders>
              <w:top w:val="nil"/>
              <w:left w:val="single" w:sz="4" w:space="0" w:color="auto"/>
              <w:bottom w:val="single" w:sz="4" w:space="0" w:color="auto"/>
              <w:right w:val="single" w:sz="4" w:space="0" w:color="auto"/>
            </w:tcBorders>
            <w:shd w:val="clear" w:color="auto" w:fill="auto"/>
            <w:hideMark/>
          </w:tcPr>
          <w:p w14:paraId="24A5AFA7"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 xml:space="preserve">Décaissement de l’ONUDI à FECO </w:t>
            </w:r>
          </w:p>
        </w:tc>
        <w:tc>
          <w:tcPr>
            <w:tcW w:w="2380" w:type="dxa"/>
            <w:tcBorders>
              <w:top w:val="nil"/>
              <w:left w:val="nil"/>
              <w:bottom w:val="single" w:sz="4" w:space="0" w:color="auto"/>
              <w:right w:val="single" w:sz="4" w:space="0" w:color="auto"/>
            </w:tcBorders>
            <w:shd w:val="clear" w:color="auto" w:fill="auto"/>
            <w:noWrap/>
            <w:hideMark/>
          </w:tcPr>
          <w:p w14:paraId="035072C3"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Montant ($ US)</w:t>
            </w:r>
          </w:p>
        </w:tc>
        <w:tc>
          <w:tcPr>
            <w:tcW w:w="1276" w:type="dxa"/>
            <w:tcBorders>
              <w:top w:val="nil"/>
              <w:left w:val="nil"/>
              <w:bottom w:val="single" w:sz="4" w:space="0" w:color="auto"/>
              <w:right w:val="single" w:sz="4" w:space="0" w:color="auto"/>
            </w:tcBorders>
            <w:shd w:val="clear" w:color="auto" w:fill="auto"/>
            <w:hideMark/>
          </w:tcPr>
          <w:p w14:paraId="404F5531" w14:textId="77777777" w:rsidR="00045AA9" w:rsidRPr="00A12348" w:rsidRDefault="00045AA9" w:rsidP="0063050C">
            <w:pPr>
              <w:jc w:val="right"/>
              <w:rPr>
                <w:sz w:val="20"/>
                <w:szCs w:val="20"/>
                <w:lang w:val="fr-FR" w:eastAsia="en-CA"/>
              </w:rPr>
            </w:pPr>
            <w:r w:rsidRPr="00A12348">
              <w:rPr>
                <w:sz w:val="20"/>
                <w:szCs w:val="20"/>
                <w:lang w:val="fr-FR" w:eastAsia="en-CA"/>
              </w:rPr>
              <w:t>4 309 022</w:t>
            </w:r>
          </w:p>
        </w:tc>
        <w:tc>
          <w:tcPr>
            <w:tcW w:w="1417" w:type="dxa"/>
            <w:tcBorders>
              <w:top w:val="nil"/>
              <w:left w:val="nil"/>
              <w:bottom w:val="single" w:sz="4" w:space="0" w:color="auto"/>
              <w:right w:val="single" w:sz="4" w:space="0" w:color="auto"/>
            </w:tcBorders>
            <w:shd w:val="clear" w:color="auto" w:fill="auto"/>
            <w:hideMark/>
          </w:tcPr>
          <w:p w14:paraId="3E84150A" w14:textId="77777777" w:rsidR="00045AA9" w:rsidRPr="00A12348" w:rsidRDefault="00045AA9" w:rsidP="0063050C">
            <w:pPr>
              <w:jc w:val="right"/>
              <w:rPr>
                <w:sz w:val="20"/>
                <w:szCs w:val="20"/>
                <w:lang w:val="fr-FR" w:eastAsia="en-CA"/>
              </w:rPr>
            </w:pPr>
            <w:r w:rsidRPr="00A12348">
              <w:rPr>
                <w:sz w:val="20"/>
                <w:szCs w:val="20"/>
                <w:lang w:val="fr-FR" w:eastAsia="en-CA"/>
              </w:rPr>
              <w:t>4 624 436</w:t>
            </w:r>
          </w:p>
        </w:tc>
        <w:tc>
          <w:tcPr>
            <w:tcW w:w="1418" w:type="dxa"/>
            <w:tcBorders>
              <w:top w:val="nil"/>
              <w:left w:val="nil"/>
              <w:bottom w:val="single" w:sz="4" w:space="0" w:color="auto"/>
              <w:right w:val="single" w:sz="4" w:space="0" w:color="auto"/>
            </w:tcBorders>
            <w:shd w:val="clear" w:color="auto" w:fill="auto"/>
            <w:hideMark/>
          </w:tcPr>
          <w:p w14:paraId="6C28021D" w14:textId="77777777" w:rsidR="00045AA9" w:rsidRPr="00A12348" w:rsidRDefault="00045AA9" w:rsidP="0063050C">
            <w:pPr>
              <w:jc w:val="right"/>
              <w:rPr>
                <w:sz w:val="20"/>
                <w:szCs w:val="20"/>
                <w:lang w:val="fr-FR" w:eastAsia="en-CA"/>
              </w:rPr>
            </w:pPr>
            <w:r w:rsidRPr="00A12348">
              <w:rPr>
                <w:sz w:val="20"/>
                <w:szCs w:val="20"/>
                <w:lang w:val="fr-FR" w:eastAsia="en-CA"/>
              </w:rPr>
              <w:t>8 933 458</w:t>
            </w:r>
          </w:p>
        </w:tc>
      </w:tr>
      <w:tr w:rsidR="00045AA9" w:rsidRPr="00A12348" w14:paraId="1BDA96E5" w14:textId="77777777" w:rsidTr="0063050C">
        <w:trPr>
          <w:trHeight w:val="208"/>
          <w:jc w:val="right"/>
        </w:trPr>
        <w:tc>
          <w:tcPr>
            <w:tcW w:w="2854" w:type="dxa"/>
            <w:vMerge/>
            <w:tcBorders>
              <w:top w:val="nil"/>
              <w:left w:val="single" w:sz="4" w:space="0" w:color="auto"/>
              <w:bottom w:val="single" w:sz="4" w:space="0" w:color="auto"/>
              <w:right w:val="single" w:sz="4" w:space="0" w:color="auto"/>
            </w:tcBorders>
            <w:hideMark/>
          </w:tcPr>
          <w:p w14:paraId="7278BBB9" w14:textId="77777777" w:rsidR="00045AA9" w:rsidRPr="00A12348" w:rsidRDefault="00045AA9" w:rsidP="0063050C">
            <w:pPr>
              <w:jc w:val="left"/>
              <w:rPr>
                <w:color w:val="000000"/>
                <w:sz w:val="20"/>
                <w:szCs w:val="20"/>
                <w:lang w:val="fr-FR" w:eastAsia="en-CA"/>
              </w:rPr>
            </w:pPr>
          </w:p>
        </w:tc>
        <w:tc>
          <w:tcPr>
            <w:tcW w:w="2380" w:type="dxa"/>
            <w:tcBorders>
              <w:top w:val="nil"/>
              <w:left w:val="nil"/>
              <w:bottom w:val="single" w:sz="4" w:space="0" w:color="auto"/>
              <w:right w:val="single" w:sz="4" w:space="0" w:color="auto"/>
            </w:tcBorders>
            <w:shd w:val="clear" w:color="auto" w:fill="auto"/>
            <w:noWrap/>
            <w:hideMark/>
          </w:tcPr>
          <w:p w14:paraId="1CC69CA6"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Taux de décaissement (%)</w:t>
            </w:r>
          </w:p>
        </w:tc>
        <w:tc>
          <w:tcPr>
            <w:tcW w:w="1276" w:type="dxa"/>
            <w:tcBorders>
              <w:top w:val="nil"/>
              <w:left w:val="nil"/>
              <w:bottom w:val="single" w:sz="4" w:space="0" w:color="auto"/>
              <w:right w:val="single" w:sz="4" w:space="0" w:color="auto"/>
            </w:tcBorders>
            <w:shd w:val="clear" w:color="auto" w:fill="auto"/>
            <w:hideMark/>
          </w:tcPr>
          <w:p w14:paraId="0A744A46" w14:textId="77777777" w:rsidR="00045AA9" w:rsidRPr="00A12348" w:rsidRDefault="00045AA9" w:rsidP="0063050C">
            <w:pPr>
              <w:jc w:val="right"/>
              <w:rPr>
                <w:sz w:val="20"/>
                <w:szCs w:val="20"/>
                <w:lang w:val="fr-FR" w:eastAsia="en-CA"/>
              </w:rPr>
            </w:pPr>
            <w:r w:rsidRPr="00A12348">
              <w:rPr>
                <w:sz w:val="20"/>
                <w:szCs w:val="20"/>
                <w:lang w:val="fr-FR" w:eastAsia="en-CA"/>
              </w:rPr>
              <w:t>28</w:t>
            </w:r>
          </w:p>
        </w:tc>
        <w:tc>
          <w:tcPr>
            <w:tcW w:w="1417" w:type="dxa"/>
            <w:tcBorders>
              <w:top w:val="nil"/>
              <w:left w:val="nil"/>
              <w:bottom w:val="single" w:sz="4" w:space="0" w:color="auto"/>
              <w:right w:val="single" w:sz="4" w:space="0" w:color="auto"/>
            </w:tcBorders>
            <w:shd w:val="clear" w:color="auto" w:fill="auto"/>
            <w:hideMark/>
          </w:tcPr>
          <w:p w14:paraId="2A521B39" w14:textId="77777777" w:rsidR="00045AA9" w:rsidRPr="00A12348" w:rsidRDefault="00045AA9" w:rsidP="0063050C">
            <w:pPr>
              <w:jc w:val="right"/>
              <w:rPr>
                <w:sz w:val="20"/>
                <w:szCs w:val="20"/>
                <w:lang w:val="fr-FR" w:eastAsia="en-CA"/>
              </w:rPr>
            </w:pPr>
            <w:r w:rsidRPr="00A12348">
              <w:rPr>
                <w:sz w:val="20"/>
                <w:szCs w:val="20"/>
                <w:lang w:val="fr-FR" w:eastAsia="en-CA"/>
              </w:rPr>
              <w:t>29</w:t>
            </w:r>
          </w:p>
        </w:tc>
        <w:tc>
          <w:tcPr>
            <w:tcW w:w="1418" w:type="dxa"/>
            <w:tcBorders>
              <w:top w:val="nil"/>
              <w:left w:val="nil"/>
              <w:bottom w:val="single" w:sz="4" w:space="0" w:color="auto"/>
              <w:right w:val="single" w:sz="4" w:space="0" w:color="auto"/>
            </w:tcBorders>
            <w:shd w:val="clear" w:color="auto" w:fill="auto"/>
            <w:hideMark/>
          </w:tcPr>
          <w:p w14:paraId="2AEB3199" w14:textId="77777777" w:rsidR="00045AA9" w:rsidRPr="00A12348" w:rsidRDefault="00045AA9" w:rsidP="0063050C">
            <w:pPr>
              <w:jc w:val="right"/>
              <w:rPr>
                <w:sz w:val="20"/>
                <w:szCs w:val="20"/>
                <w:lang w:val="fr-FR" w:eastAsia="en-CA"/>
              </w:rPr>
            </w:pPr>
            <w:r w:rsidRPr="00A12348">
              <w:rPr>
                <w:sz w:val="20"/>
                <w:szCs w:val="20"/>
                <w:lang w:val="fr-FR" w:eastAsia="en-CA"/>
              </w:rPr>
              <w:t>28</w:t>
            </w:r>
          </w:p>
        </w:tc>
      </w:tr>
      <w:tr w:rsidR="00045AA9" w:rsidRPr="00A12348" w14:paraId="068C0BE5" w14:textId="77777777" w:rsidTr="0063050C">
        <w:trPr>
          <w:trHeight w:val="141"/>
          <w:jc w:val="right"/>
        </w:trPr>
        <w:tc>
          <w:tcPr>
            <w:tcW w:w="2854" w:type="dxa"/>
            <w:vMerge w:val="restart"/>
            <w:tcBorders>
              <w:top w:val="nil"/>
              <w:left w:val="single" w:sz="4" w:space="0" w:color="auto"/>
              <w:bottom w:val="single" w:sz="4" w:space="0" w:color="auto"/>
              <w:right w:val="single" w:sz="4" w:space="0" w:color="auto"/>
            </w:tcBorders>
            <w:shd w:val="clear" w:color="auto" w:fill="auto"/>
            <w:hideMark/>
          </w:tcPr>
          <w:p w14:paraId="2BDBA0A4"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Décaissement de FECO aux bénéficiaires*</w:t>
            </w:r>
          </w:p>
        </w:tc>
        <w:tc>
          <w:tcPr>
            <w:tcW w:w="2380" w:type="dxa"/>
            <w:tcBorders>
              <w:top w:val="nil"/>
              <w:left w:val="nil"/>
              <w:bottom w:val="single" w:sz="4" w:space="0" w:color="auto"/>
              <w:right w:val="single" w:sz="4" w:space="0" w:color="auto"/>
            </w:tcBorders>
            <w:shd w:val="clear" w:color="auto" w:fill="auto"/>
            <w:noWrap/>
            <w:hideMark/>
          </w:tcPr>
          <w:p w14:paraId="23AE7811"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Montant ($ US)</w:t>
            </w:r>
          </w:p>
        </w:tc>
        <w:tc>
          <w:tcPr>
            <w:tcW w:w="1276" w:type="dxa"/>
            <w:tcBorders>
              <w:top w:val="nil"/>
              <w:left w:val="nil"/>
              <w:bottom w:val="single" w:sz="4" w:space="0" w:color="auto"/>
              <w:right w:val="single" w:sz="4" w:space="0" w:color="auto"/>
            </w:tcBorders>
            <w:shd w:val="clear" w:color="auto" w:fill="auto"/>
            <w:hideMark/>
          </w:tcPr>
          <w:p w14:paraId="7740D866" w14:textId="77777777" w:rsidR="00045AA9" w:rsidRPr="00A12348" w:rsidRDefault="00045AA9" w:rsidP="0063050C">
            <w:pPr>
              <w:jc w:val="right"/>
              <w:rPr>
                <w:sz w:val="20"/>
                <w:szCs w:val="20"/>
                <w:lang w:val="fr-FR" w:eastAsia="en-CA"/>
              </w:rPr>
            </w:pPr>
            <w:r w:rsidRPr="00A12348">
              <w:rPr>
                <w:sz w:val="20"/>
                <w:szCs w:val="20"/>
                <w:lang w:val="fr-FR" w:eastAsia="en-CA"/>
              </w:rPr>
              <w:t>3 454 396</w:t>
            </w:r>
          </w:p>
        </w:tc>
        <w:tc>
          <w:tcPr>
            <w:tcW w:w="1417" w:type="dxa"/>
            <w:tcBorders>
              <w:top w:val="nil"/>
              <w:left w:val="nil"/>
              <w:bottom w:val="single" w:sz="4" w:space="0" w:color="auto"/>
              <w:right w:val="single" w:sz="4" w:space="0" w:color="auto"/>
            </w:tcBorders>
            <w:shd w:val="clear" w:color="auto" w:fill="auto"/>
            <w:hideMark/>
          </w:tcPr>
          <w:p w14:paraId="0DBAB20D" w14:textId="77777777" w:rsidR="00045AA9" w:rsidRPr="00A12348" w:rsidRDefault="00045AA9" w:rsidP="0063050C">
            <w:pPr>
              <w:jc w:val="right"/>
              <w:rPr>
                <w:sz w:val="20"/>
                <w:szCs w:val="20"/>
                <w:lang w:val="fr-FR" w:eastAsia="en-CA"/>
              </w:rPr>
            </w:pPr>
            <w:r w:rsidRPr="00A12348">
              <w:rPr>
                <w:sz w:val="20"/>
                <w:szCs w:val="20"/>
                <w:lang w:val="fr-FR" w:eastAsia="en-CA"/>
              </w:rPr>
              <w:t>0</w:t>
            </w:r>
          </w:p>
        </w:tc>
        <w:tc>
          <w:tcPr>
            <w:tcW w:w="1418" w:type="dxa"/>
            <w:tcBorders>
              <w:top w:val="nil"/>
              <w:left w:val="nil"/>
              <w:bottom w:val="single" w:sz="4" w:space="0" w:color="auto"/>
              <w:right w:val="single" w:sz="4" w:space="0" w:color="auto"/>
            </w:tcBorders>
            <w:shd w:val="clear" w:color="auto" w:fill="auto"/>
            <w:hideMark/>
          </w:tcPr>
          <w:p w14:paraId="4E4D4CE7" w14:textId="77777777" w:rsidR="00045AA9" w:rsidRPr="00A12348" w:rsidRDefault="00045AA9" w:rsidP="0063050C">
            <w:pPr>
              <w:jc w:val="right"/>
              <w:rPr>
                <w:sz w:val="20"/>
                <w:szCs w:val="20"/>
                <w:lang w:val="fr-FR" w:eastAsia="en-CA"/>
              </w:rPr>
            </w:pPr>
            <w:r w:rsidRPr="00A12348">
              <w:rPr>
                <w:sz w:val="20"/>
                <w:szCs w:val="20"/>
                <w:lang w:val="fr-FR" w:eastAsia="en-CA"/>
              </w:rPr>
              <w:t>3 454 396</w:t>
            </w:r>
          </w:p>
        </w:tc>
      </w:tr>
      <w:tr w:rsidR="00045AA9" w:rsidRPr="00A12348" w14:paraId="7FDB85B6" w14:textId="77777777" w:rsidTr="0063050C">
        <w:trPr>
          <w:trHeight w:val="58"/>
          <w:jc w:val="right"/>
        </w:trPr>
        <w:tc>
          <w:tcPr>
            <w:tcW w:w="2854" w:type="dxa"/>
            <w:vMerge/>
            <w:tcBorders>
              <w:top w:val="nil"/>
              <w:left w:val="single" w:sz="4" w:space="0" w:color="auto"/>
              <w:bottom w:val="single" w:sz="4" w:space="0" w:color="auto"/>
              <w:right w:val="single" w:sz="4" w:space="0" w:color="auto"/>
            </w:tcBorders>
            <w:hideMark/>
          </w:tcPr>
          <w:p w14:paraId="45B0F8BA" w14:textId="77777777" w:rsidR="00045AA9" w:rsidRPr="00A12348" w:rsidRDefault="00045AA9" w:rsidP="0063050C">
            <w:pPr>
              <w:jc w:val="left"/>
              <w:rPr>
                <w:color w:val="000000"/>
                <w:sz w:val="20"/>
                <w:szCs w:val="20"/>
                <w:lang w:val="fr-FR" w:eastAsia="en-CA"/>
              </w:rPr>
            </w:pPr>
          </w:p>
        </w:tc>
        <w:tc>
          <w:tcPr>
            <w:tcW w:w="2380" w:type="dxa"/>
            <w:tcBorders>
              <w:top w:val="nil"/>
              <w:left w:val="nil"/>
              <w:bottom w:val="single" w:sz="4" w:space="0" w:color="auto"/>
              <w:right w:val="single" w:sz="4" w:space="0" w:color="auto"/>
            </w:tcBorders>
            <w:shd w:val="clear" w:color="auto" w:fill="auto"/>
            <w:noWrap/>
            <w:hideMark/>
          </w:tcPr>
          <w:p w14:paraId="3142DBAD" w14:textId="77777777" w:rsidR="00045AA9" w:rsidRPr="00A12348" w:rsidRDefault="00045AA9" w:rsidP="0063050C">
            <w:pPr>
              <w:jc w:val="left"/>
              <w:rPr>
                <w:color w:val="000000"/>
                <w:sz w:val="20"/>
                <w:szCs w:val="20"/>
                <w:lang w:val="fr-FR" w:eastAsia="en-CA"/>
              </w:rPr>
            </w:pPr>
            <w:r w:rsidRPr="00A12348">
              <w:rPr>
                <w:color w:val="000000"/>
                <w:sz w:val="20"/>
                <w:szCs w:val="20"/>
                <w:lang w:val="fr-FR" w:eastAsia="en-CA"/>
              </w:rPr>
              <w:t>Taux de décaissement (%)</w:t>
            </w:r>
          </w:p>
        </w:tc>
        <w:tc>
          <w:tcPr>
            <w:tcW w:w="1276" w:type="dxa"/>
            <w:tcBorders>
              <w:top w:val="nil"/>
              <w:left w:val="nil"/>
              <w:bottom w:val="single" w:sz="4" w:space="0" w:color="auto"/>
              <w:right w:val="single" w:sz="4" w:space="0" w:color="auto"/>
            </w:tcBorders>
            <w:shd w:val="clear" w:color="auto" w:fill="auto"/>
            <w:hideMark/>
          </w:tcPr>
          <w:p w14:paraId="6CF24919" w14:textId="77777777" w:rsidR="00045AA9" w:rsidRPr="00A12348" w:rsidRDefault="00045AA9" w:rsidP="0063050C">
            <w:pPr>
              <w:jc w:val="right"/>
              <w:rPr>
                <w:sz w:val="20"/>
                <w:szCs w:val="20"/>
                <w:lang w:val="fr-FR" w:eastAsia="en-CA"/>
              </w:rPr>
            </w:pPr>
            <w:r w:rsidRPr="00A12348">
              <w:rPr>
                <w:sz w:val="20"/>
                <w:szCs w:val="20"/>
                <w:lang w:val="fr-FR" w:eastAsia="en-CA"/>
              </w:rPr>
              <w:t>22</w:t>
            </w:r>
          </w:p>
        </w:tc>
        <w:tc>
          <w:tcPr>
            <w:tcW w:w="1417" w:type="dxa"/>
            <w:tcBorders>
              <w:top w:val="nil"/>
              <w:left w:val="nil"/>
              <w:bottom w:val="single" w:sz="4" w:space="0" w:color="auto"/>
              <w:right w:val="single" w:sz="4" w:space="0" w:color="auto"/>
            </w:tcBorders>
            <w:shd w:val="clear" w:color="auto" w:fill="auto"/>
            <w:hideMark/>
          </w:tcPr>
          <w:p w14:paraId="25EB2857" w14:textId="77777777" w:rsidR="00045AA9" w:rsidRPr="00A12348" w:rsidRDefault="00045AA9" w:rsidP="0063050C">
            <w:pPr>
              <w:jc w:val="right"/>
              <w:rPr>
                <w:sz w:val="20"/>
                <w:szCs w:val="20"/>
                <w:lang w:val="fr-FR" w:eastAsia="en-CA"/>
              </w:rPr>
            </w:pPr>
            <w:r w:rsidRPr="00A12348">
              <w:rPr>
                <w:sz w:val="20"/>
                <w:szCs w:val="20"/>
                <w:lang w:val="fr-FR" w:eastAsia="en-CA"/>
              </w:rPr>
              <w:t>0</w:t>
            </w:r>
          </w:p>
        </w:tc>
        <w:tc>
          <w:tcPr>
            <w:tcW w:w="1418" w:type="dxa"/>
            <w:tcBorders>
              <w:top w:val="nil"/>
              <w:left w:val="nil"/>
              <w:bottom w:val="single" w:sz="4" w:space="0" w:color="auto"/>
              <w:right w:val="single" w:sz="4" w:space="0" w:color="auto"/>
            </w:tcBorders>
            <w:shd w:val="clear" w:color="auto" w:fill="auto"/>
            <w:hideMark/>
          </w:tcPr>
          <w:p w14:paraId="49774694" w14:textId="77777777" w:rsidR="00045AA9" w:rsidRPr="00A12348" w:rsidRDefault="00045AA9" w:rsidP="0063050C">
            <w:pPr>
              <w:jc w:val="right"/>
              <w:rPr>
                <w:sz w:val="20"/>
                <w:szCs w:val="20"/>
                <w:lang w:val="fr-FR" w:eastAsia="en-CA"/>
              </w:rPr>
            </w:pPr>
            <w:r w:rsidRPr="00A12348">
              <w:rPr>
                <w:sz w:val="20"/>
                <w:szCs w:val="20"/>
                <w:lang w:val="fr-FR" w:eastAsia="en-CA"/>
              </w:rPr>
              <w:t>11</w:t>
            </w:r>
          </w:p>
        </w:tc>
      </w:tr>
    </w:tbl>
    <w:p w14:paraId="23A5912D" w14:textId="77777777" w:rsidR="00045AA9" w:rsidRPr="00A12348" w:rsidRDefault="00045AA9" w:rsidP="00045AA9">
      <w:pPr>
        <w:pStyle w:val="ListParagraph"/>
        <w:shd w:val="clear" w:color="auto" w:fill="FFFFFF" w:themeFill="background1"/>
        <w:ind w:left="0"/>
        <w:rPr>
          <w:rFonts w:eastAsia="Calibri"/>
          <w:color w:val="000000" w:themeColor="text1"/>
          <w:sz w:val="18"/>
          <w:szCs w:val="18"/>
          <w:lang w:val="fr-FR"/>
        </w:rPr>
      </w:pPr>
      <w:r w:rsidRPr="00A12348">
        <w:rPr>
          <w:rFonts w:eastAsia="Calibri"/>
          <w:color w:val="000000" w:themeColor="text1"/>
          <w:sz w:val="18"/>
          <w:szCs w:val="18"/>
          <w:lang w:val="fr-FR"/>
        </w:rPr>
        <w:t xml:space="preserve">  * FECO n’inclut pas le décaissement relié à l</w:t>
      </w:r>
      <w:r>
        <w:rPr>
          <w:rFonts w:eastAsia="Calibri"/>
          <w:color w:val="000000" w:themeColor="text1"/>
          <w:sz w:val="18"/>
          <w:szCs w:val="18"/>
          <w:lang w:val="fr-FR"/>
        </w:rPr>
        <w:t>’UGP</w:t>
      </w:r>
      <w:r w:rsidRPr="00A12348">
        <w:rPr>
          <w:rFonts w:eastAsia="Calibri"/>
          <w:color w:val="000000" w:themeColor="text1"/>
          <w:sz w:val="18"/>
          <w:szCs w:val="18"/>
          <w:lang w:val="fr-FR"/>
        </w:rPr>
        <w:t xml:space="preserve"> dans son rapport sur les décais</w:t>
      </w:r>
      <w:r>
        <w:rPr>
          <w:rFonts w:eastAsia="Calibri"/>
          <w:color w:val="000000" w:themeColor="text1"/>
          <w:sz w:val="18"/>
          <w:szCs w:val="18"/>
          <w:lang w:val="fr-FR"/>
        </w:rPr>
        <w:t>sements aux bénéficiaires final</w:t>
      </w:r>
      <w:r w:rsidRPr="00A12348">
        <w:rPr>
          <w:rFonts w:eastAsia="Calibri"/>
          <w:color w:val="000000" w:themeColor="text1"/>
          <w:sz w:val="18"/>
          <w:szCs w:val="18"/>
          <w:lang w:val="fr-FR"/>
        </w:rPr>
        <w:t xml:space="preserve">s </w:t>
      </w:r>
    </w:p>
    <w:p w14:paraId="21BF4125" w14:textId="77777777" w:rsidR="00045AA9" w:rsidRPr="00A12348" w:rsidRDefault="00045AA9" w:rsidP="00045AA9">
      <w:pPr>
        <w:rPr>
          <w:lang w:val="fr-FR"/>
        </w:rPr>
      </w:pPr>
    </w:p>
    <w:p w14:paraId="4132DB18" w14:textId="77777777" w:rsidR="00045AA9" w:rsidRPr="00A12348" w:rsidRDefault="00045AA9" w:rsidP="00045AA9">
      <w:pPr>
        <w:pStyle w:val="ListParagraph"/>
        <w:shd w:val="clear" w:color="auto" w:fill="FFFFFF" w:themeFill="background1"/>
        <w:ind w:left="0"/>
        <w:rPr>
          <w:rFonts w:eastAsia="Calibri"/>
          <w:b/>
          <w:color w:val="000000" w:themeColor="text1"/>
          <w:lang w:val="fr-FR"/>
        </w:rPr>
      </w:pPr>
      <w:r>
        <w:rPr>
          <w:rFonts w:eastAsia="Calibri"/>
          <w:b/>
          <w:color w:val="000000" w:themeColor="text1"/>
          <w:lang w:val="fr-FR"/>
        </w:rPr>
        <w:t>Plan d’action révisé prolongé</w:t>
      </w:r>
    </w:p>
    <w:p w14:paraId="570BF977" w14:textId="77777777" w:rsidR="00045AA9" w:rsidRPr="00A12348" w:rsidRDefault="00045AA9" w:rsidP="00045AA9">
      <w:pPr>
        <w:pStyle w:val="ListParagraph"/>
        <w:shd w:val="clear" w:color="auto" w:fill="FFFFFF" w:themeFill="background1"/>
        <w:ind w:left="0"/>
        <w:rPr>
          <w:rFonts w:eastAsia="Calibri"/>
          <w:b/>
          <w:color w:val="000000" w:themeColor="text1"/>
          <w:lang w:val="fr-FR"/>
        </w:rPr>
      </w:pPr>
    </w:p>
    <w:p w14:paraId="016E2A98" w14:textId="77777777" w:rsidR="00045AA9" w:rsidRPr="00123D18" w:rsidRDefault="00045AA9" w:rsidP="00045AA9">
      <w:pPr>
        <w:pStyle w:val="Heading1"/>
        <w:numPr>
          <w:ilvl w:val="0"/>
          <w:numId w:val="15"/>
        </w:numPr>
        <w:shd w:val="clear" w:color="auto" w:fill="FFFFFF" w:themeFill="background1"/>
        <w:rPr>
          <w:lang w:val="fr-FR"/>
        </w:rPr>
      </w:pPr>
      <w:r w:rsidRPr="00123D18">
        <w:rPr>
          <w:rFonts w:eastAsia="Calibri"/>
          <w:lang w:val="fr-FR"/>
        </w:rPr>
        <w:t>La mise en œuvre de la phase II se poursuivra</w:t>
      </w:r>
      <w:r>
        <w:rPr>
          <w:rFonts w:eastAsia="Calibri"/>
          <w:lang w:val="fr-FR"/>
        </w:rPr>
        <w:t xml:space="preserve"> à travers </w:t>
      </w:r>
      <w:r w:rsidRPr="00123D18">
        <w:rPr>
          <w:rFonts w:eastAsia="Calibri"/>
          <w:lang w:val="fr-FR"/>
        </w:rPr>
        <w:t>la reconversion de chaines de fabrication, des mesures réglementaires, des activités d’assistance technique, la mise en œuvre et le suivi</w:t>
      </w:r>
      <w:r w:rsidRPr="00123D18">
        <w:rPr>
          <w:lang w:val="fr-FR"/>
        </w:rPr>
        <w:t>.</w:t>
      </w:r>
    </w:p>
    <w:p w14:paraId="7A64ACF5" w14:textId="77777777" w:rsidR="00045AA9" w:rsidRPr="00123D18" w:rsidRDefault="00045AA9" w:rsidP="00045AA9">
      <w:pPr>
        <w:pStyle w:val="Heading1"/>
        <w:numPr>
          <w:ilvl w:val="0"/>
          <w:numId w:val="0"/>
        </w:numPr>
        <w:shd w:val="clear" w:color="auto" w:fill="FFFFFF" w:themeFill="background1"/>
        <w:rPr>
          <w:u w:val="single"/>
          <w:lang w:val="fr-FR"/>
        </w:rPr>
      </w:pPr>
      <w:r w:rsidRPr="00123D18">
        <w:rPr>
          <w:u w:val="single"/>
          <w:lang w:val="fr-FR"/>
        </w:rPr>
        <w:t xml:space="preserve">Reconversion des chaines de fabrication </w:t>
      </w:r>
    </w:p>
    <w:p w14:paraId="034C2580" w14:textId="77777777" w:rsidR="00045AA9" w:rsidRPr="00123D18" w:rsidRDefault="00045AA9" w:rsidP="00045AA9">
      <w:pPr>
        <w:rPr>
          <w:lang w:val="fr-FR"/>
        </w:rPr>
      </w:pPr>
      <w:r w:rsidRPr="00123D18">
        <w:rPr>
          <w:lang w:val="fr-FR"/>
        </w:rPr>
        <w:t>112.</w:t>
      </w:r>
      <w:r w:rsidRPr="00123D18">
        <w:rPr>
          <w:lang w:val="fr-FR"/>
        </w:rPr>
        <w:tab/>
        <w:t>Dans le cadre des deux premières tranches de la phase II (2016-2021)</w:t>
      </w:r>
      <w:r w:rsidRPr="00123D18">
        <w:rPr>
          <w:rStyle w:val="FootnoteReference"/>
          <w:lang w:val="fr-FR"/>
        </w:rPr>
        <w:footnoteReference w:id="15"/>
      </w:r>
      <w:r w:rsidRPr="00123D18">
        <w:rPr>
          <w:lang w:val="fr-FR"/>
        </w:rPr>
        <w:t xml:space="preserve">, un total de cinq chaines de fabrication de </w:t>
      </w:r>
      <w:r>
        <w:rPr>
          <w:lang w:val="fr-FR"/>
        </w:rPr>
        <w:t>RAC</w:t>
      </w:r>
      <w:r w:rsidRPr="00123D18">
        <w:rPr>
          <w:lang w:val="fr-FR"/>
        </w:rPr>
        <w:t>, avec une consommat</w:t>
      </w:r>
      <w:r>
        <w:rPr>
          <w:lang w:val="fr-FR"/>
        </w:rPr>
        <w:t>ion associée de 2 221,12 tonnes métriques</w:t>
      </w:r>
      <w:r w:rsidRPr="00123D18">
        <w:rPr>
          <w:lang w:val="fr-FR"/>
        </w:rPr>
        <w:t xml:space="preserve"> (122,16 tonnes PAO) de HCFC-22 seront reconverties au R-290.  Un</w:t>
      </w:r>
      <w:r>
        <w:rPr>
          <w:lang w:val="fr-FR"/>
        </w:rPr>
        <w:t>e quantité</w:t>
      </w:r>
      <w:r w:rsidRPr="00123D18">
        <w:rPr>
          <w:lang w:val="fr-FR"/>
        </w:rPr>
        <w:t xml:space="preserve"> supplémentaire de 23 924 t</w:t>
      </w:r>
      <w:r>
        <w:rPr>
          <w:lang w:val="fr-FR"/>
        </w:rPr>
        <w:t xml:space="preserve">onnes </w:t>
      </w:r>
      <w:r w:rsidRPr="00123D18">
        <w:rPr>
          <w:lang w:val="fr-FR"/>
        </w:rPr>
        <w:t>m</w:t>
      </w:r>
      <w:r>
        <w:rPr>
          <w:lang w:val="fr-FR"/>
        </w:rPr>
        <w:t>étriques</w:t>
      </w:r>
      <w:r w:rsidRPr="00123D18">
        <w:rPr>
          <w:lang w:val="fr-FR"/>
        </w:rPr>
        <w:t xml:space="preserve"> (1 315,82 tonnes PAO) de HCFC-22 sera éliminé</w:t>
      </w:r>
      <w:r>
        <w:rPr>
          <w:lang w:val="fr-FR"/>
        </w:rPr>
        <w:t>e</w:t>
      </w:r>
      <w:r w:rsidRPr="00123D18">
        <w:rPr>
          <w:lang w:val="fr-FR"/>
        </w:rPr>
        <w:t xml:space="preserve"> sans </w:t>
      </w:r>
      <w:r>
        <w:rPr>
          <w:lang w:val="fr-FR"/>
        </w:rPr>
        <w:t xml:space="preserve">aucun </w:t>
      </w:r>
      <w:r w:rsidRPr="00123D18">
        <w:rPr>
          <w:lang w:val="fr-FR"/>
        </w:rPr>
        <w:t>financement du Fonds mul</w:t>
      </w:r>
      <w:r>
        <w:rPr>
          <w:lang w:val="fr-FR"/>
        </w:rPr>
        <w:t>tilaté</w:t>
      </w:r>
      <w:r w:rsidRPr="00123D18">
        <w:rPr>
          <w:lang w:val="fr-FR"/>
        </w:rPr>
        <w:t>ral entre 2016 et 2021</w:t>
      </w:r>
      <w:r>
        <w:rPr>
          <w:rStyle w:val="FootnoteReference"/>
          <w:lang w:val="fr-FR"/>
        </w:rPr>
        <w:footnoteReference w:id="16"/>
      </w:r>
      <w:r>
        <w:rPr>
          <w:lang w:val="fr-FR"/>
        </w:rPr>
        <w:t>.</w:t>
      </w:r>
    </w:p>
    <w:p w14:paraId="1B474D22" w14:textId="77777777" w:rsidR="00045AA9" w:rsidRPr="00123D18" w:rsidRDefault="00045AA9" w:rsidP="00045AA9">
      <w:pPr>
        <w:rPr>
          <w:lang w:val="fr-FR"/>
        </w:rPr>
      </w:pPr>
    </w:p>
    <w:p w14:paraId="1966DC96" w14:textId="77777777" w:rsidR="00045AA9" w:rsidRDefault="00045AA9" w:rsidP="00045AA9">
      <w:pPr>
        <w:pStyle w:val="Heading1"/>
        <w:keepNext/>
        <w:keepLines/>
        <w:numPr>
          <w:ilvl w:val="0"/>
          <w:numId w:val="16"/>
        </w:numPr>
        <w:shd w:val="clear" w:color="auto" w:fill="FFFFFF" w:themeFill="background1"/>
        <w:rPr>
          <w:lang w:val="fr-FR"/>
        </w:rPr>
      </w:pPr>
      <w:r>
        <w:rPr>
          <w:lang w:val="fr-FR"/>
        </w:rPr>
        <w:t>Entre 2022 et 2026, une quantité additionnelle de 2 085 tonnes métriques (114,68 tonnes PAO) de HCFC-22 serait éliminée par la reconversion au R-290 de 5 autres chaines de fabrication de RAC et de trois chaines de fabrication de HPWH.  Une quantité supplémentaire de 16 590 tonnes métriques (912,45 tonnes PAO) de HCFC-22 sera éliminée sans aucun financement du Fonds multilatéral, tel que résumé dans le tableau 3.</w:t>
      </w:r>
    </w:p>
    <w:p w14:paraId="1A2918B2" w14:textId="77777777" w:rsidR="00045AA9" w:rsidRPr="00123D18" w:rsidRDefault="00045AA9" w:rsidP="00045AA9">
      <w:pPr>
        <w:rPr>
          <w:b/>
          <w:sz w:val="21"/>
          <w:szCs w:val="21"/>
          <w:lang w:val="fr-FR"/>
        </w:rPr>
      </w:pPr>
      <w:r w:rsidRPr="00123D18">
        <w:rPr>
          <w:b/>
          <w:sz w:val="21"/>
          <w:szCs w:val="21"/>
          <w:lang w:val="fr-FR"/>
        </w:rPr>
        <w:t>Tableau 3. Reconversions de chaines de fabrication et élimination associée de HCFC-22 (t</w:t>
      </w:r>
      <w:r>
        <w:rPr>
          <w:b/>
          <w:sz w:val="21"/>
          <w:szCs w:val="21"/>
          <w:lang w:val="fr-FR"/>
        </w:rPr>
        <w:t xml:space="preserve">onnes </w:t>
      </w:r>
      <w:r w:rsidRPr="00123D18">
        <w:rPr>
          <w:b/>
          <w:sz w:val="21"/>
          <w:szCs w:val="21"/>
          <w:lang w:val="fr-FR"/>
        </w:rPr>
        <w:t>m</w:t>
      </w:r>
      <w:r>
        <w:rPr>
          <w:b/>
          <w:sz w:val="21"/>
          <w:szCs w:val="21"/>
          <w:lang w:val="fr-FR"/>
        </w:rPr>
        <w:t>étriques (tm)</w:t>
      </w:r>
      <w:r w:rsidRPr="00123D18">
        <w:rPr>
          <w:b/>
          <w:sz w:val="21"/>
          <w:szCs w:val="21"/>
          <w:lang w:val="fr-FR"/>
        </w:rPr>
        <w:t xml:space="preserve">) dans le cadre de la phase II </w:t>
      </w:r>
    </w:p>
    <w:tbl>
      <w:tblPr>
        <w:tblW w:w="5000" w:type="pct"/>
        <w:jc w:val="right"/>
        <w:tblLook w:val="04A0" w:firstRow="1" w:lastRow="0" w:firstColumn="1" w:lastColumn="0" w:noHBand="0" w:noVBand="1"/>
      </w:tblPr>
      <w:tblGrid>
        <w:gridCol w:w="4414"/>
        <w:gridCol w:w="1646"/>
        <w:gridCol w:w="1646"/>
        <w:gridCol w:w="1644"/>
      </w:tblGrid>
      <w:tr w:rsidR="00045AA9" w:rsidRPr="00123D18" w14:paraId="1440AE31" w14:textId="77777777" w:rsidTr="0063050C">
        <w:trPr>
          <w:trHeight w:val="107"/>
          <w:tblHeader/>
          <w:jc w:val="right"/>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532F7" w14:textId="77777777" w:rsidR="00045AA9" w:rsidRPr="00123D18" w:rsidRDefault="00045AA9" w:rsidP="0063050C">
            <w:pPr>
              <w:jc w:val="left"/>
              <w:rPr>
                <w:b/>
                <w:color w:val="000000"/>
                <w:sz w:val="20"/>
                <w:szCs w:val="20"/>
                <w:lang w:val="fr-FR" w:eastAsia="en-CA"/>
              </w:rPr>
            </w:pPr>
            <w:r w:rsidRPr="00123D18">
              <w:rPr>
                <w:b/>
                <w:color w:val="000000"/>
                <w:sz w:val="20"/>
                <w:szCs w:val="20"/>
                <w:lang w:val="fr-FR" w:eastAsia="en-CA"/>
              </w:rPr>
              <w:t>Détails</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14:paraId="1DA10074" w14:textId="77777777" w:rsidR="00045AA9" w:rsidRPr="00123D18" w:rsidRDefault="00045AA9" w:rsidP="0063050C">
            <w:pPr>
              <w:jc w:val="center"/>
              <w:rPr>
                <w:b/>
                <w:bCs/>
                <w:color w:val="000000"/>
                <w:sz w:val="20"/>
                <w:szCs w:val="20"/>
                <w:lang w:val="fr-FR" w:eastAsia="en-CA"/>
              </w:rPr>
            </w:pPr>
            <w:r w:rsidRPr="00123D18">
              <w:rPr>
                <w:b/>
                <w:bCs/>
                <w:color w:val="000000"/>
                <w:sz w:val="20"/>
                <w:szCs w:val="20"/>
                <w:lang w:val="fr-FR" w:eastAsia="en-CA"/>
              </w:rPr>
              <w:t>2016-2021</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14:paraId="449B29FF" w14:textId="77777777" w:rsidR="00045AA9" w:rsidRPr="00123D18" w:rsidRDefault="00045AA9" w:rsidP="0063050C">
            <w:pPr>
              <w:jc w:val="center"/>
              <w:rPr>
                <w:b/>
                <w:bCs/>
                <w:color w:val="000000"/>
                <w:sz w:val="20"/>
                <w:szCs w:val="20"/>
                <w:lang w:val="fr-FR" w:eastAsia="en-CA"/>
              </w:rPr>
            </w:pPr>
            <w:r w:rsidRPr="00123D18">
              <w:rPr>
                <w:b/>
                <w:bCs/>
                <w:color w:val="000000"/>
                <w:sz w:val="20"/>
                <w:szCs w:val="20"/>
                <w:lang w:val="fr-FR" w:eastAsia="en-CA"/>
              </w:rPr>
              <w:t>2022-2026</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14:paraId="0FA6FCE6" w14:textId="77777777" w:rsidR="00045AA9" w:rsidRPr="00123D18" w:rsidRDefault="00045AA9" w:rsidP="0063050C">
            <w:pPr>
              <w:jc w:val="center"/>
              <w:rPr>
                <w:b/>
                <w:bCs/>
                <w:color w:val="000000"/>
                <w:sz w:val="20"/>
                <w:szCs w:val="20"/>
                <w:lang w:val="fr-FR" w:eastAsia="en-CA"/>
              </w:rPr>
            </w:pPr>
            <w:r w:rsidRPr="00123D18">
              <w:rPr>
                <w:b/>
                <w:bCs/>
                <w:color w:val="000000"/>
                <w:sz w:val="20"/>
                <w:szCs w:val="20"/>
                <w:lang w:val="fr-FR" w:eastAsia="en-CA"/>
              </w:rPr>
              <w:t xml:space="preserve">Total </w:t>
            </w:r>
          </w:p>
        </w:tc>
      </w:tr>
      <w:tr w:rsidR="00045AA9" w:rsidRPr="00123D18" w14:paraId="66485B0E" w14:textId="77777777" w:rsidTr="0063050C">
        <w:trPr>
          <w:trHeight w:val="62"/>
          <w:jc w:val="right"/>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0674ED7" w14:textId="77777777" w:rsidR="00045AA9" w:rsidRPr="00123D18" w:rsidRDefault="00045AA9" w:rsidP="0063050C">
            <w:pPr>
              <w:jc w:val="left"/>
              <w:rPr>
                <w:color w:val="000000"/>
                <w:sz w:val="20"/>
                <w:szCs w:val="20"/>
                <w:lang w:val="fr-FR" w:eastAsia="en-CA"/>
              </w:rPr>
            </w:pPr>
            <w:r w:rsidRPr="00123D18">
              <w:rPr>
                <w:color w:val="000000"/>
                <w:sz w:val="20"/>
                <w:szCs w:val="20"/>
                <w:lang w:val="fr-FR" w:eastAsia="en-CA"/>
              </w:rPr>
              <w:t>Financée</w:t>
            </w:r>
          </w:p>
        </w:tc>
      </w:tr>
      <w:tr w:rsidR="00045AA9" w:rsidRPr="00123D18" w14:paraId="3038C05A" w14:textId="77777777" w:rsidTr="0063050C">
        <w:trPr>
          <w:trHeight w:val="206"/>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00DA16D6" w14:textId="77777777" w:rsidR="00045AA9" w:rsidRPr="00123D18" w:rsidRDefault="00045AA9" w:rsidP="0063050C">
            <w:pPr>
              <w:jc w:val="left"/>
              <w:rPr>
                <w:color w:val="000000"/>
                <w:sz w:val="20"/>
                <w:szCs w:val="20"/>
                <w:lang w:val="fr-FR" w:eastAsia="en-CA"/>
              </w:rPr>
            </w:pPr>
            <w:r w:rsidRPr="00123D18">
              <w:rPr>
                <w:color w:val="000000"/>
                <w:sz w:val="20"/>
                <w:szCs w:val="20"/>
                <w:lang w:val="fr-FR" w:eastAsia="en-CA"/>
              </w:rPr>
              <w:t xml:space="preserve">5 </w:t>
            </w:r>
            <w:r>
              <w:rPr>
                <w:color w:val="000000"/>
                <w:sz w:val="20"/>
                <w:szCs w:val="20"/>
                <w:lang w:val="fr-FR" w:eastAsia="en-CA"/>
              </w:rPr>
              <w:t xml:space="preserve">chaines de fabrication </w:t>
            </w:r>
            <w:r w:rsidRPr="00123D18">
              <w:rPr>
                <w:color w:val="000000"/>
                <w:sz w:val="20"/>
                <w:szCs w:val="20"/>
                <w:lang w:val="fr-FR" w:eastAsia="en-CA"/>
              </w:rPr>
              <w:t xml:space="preserve">RAC </w:t>
            </w:r>
            <w:r>
              <w:rPr>
                <w:color w:val="000000"/>
                <w:sz w:val="20"/>
                <w:szCs w:val="20"/>
                <w:lang w:val="fr-FR" w:eastAsia="en-CA"/>
              </w:rPr>
              <w:t xml:space="preserve">au </w:t>
            </w:r>
            <w:r w:rsidRPr="00123D18">
              <w:rPr>
                <w:color w:val="000000"/>
                <w:sz w:val="20"/>
                <w:szCs w:val="20"/>
                <w:lang w:val="fr-FR" w:eastAsia="en-CA"/>
              </w:rPr>
              <w:t>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49AAAEB0"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2 221</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33FC7074"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7672E143"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2 221</w:t>
            </w:r>
          </w:p>
        </w:tc>
      </w:tr>
      <w:tr w:rsidR="00045AA9" w:rsidRPr="00123D18" w14:paraId="0038850B" w14:textId="77777777" w:rsidTr="0063050C">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0C37FDA9" w14:textId="77777777" w:rsidR="00045AA9" w:rsidRPr="00123D18" w:rsidRDefault="00045AA9" w:rsidP="0063050C">
            <w:pPr>
              <w:jc w:val="left"/>
              <w:rPr>
                <w:color w:val="000000"/>
                <w:sz w:val="20"/>
                <w:szCs w:val="20"/>
                <w:lang w:val="fr-FR" w:eastAsia="en-CA"/>
              </w:rPr>
            </w:pPr>
            <w:r w:rsidRPr="00123D18">
              <w:rPr>
                <w:color w:val="000000"/>
                <w:sz w:val="20"/>
                <w:szCs w:val="20"/>
                <w:lang w:val="fr-FR" w:eastAsia="en-CA"/>
              </w:rPr>
              <w:t>5 a</w:t>
            </w:r>
            <w:r>
              <w:rPr>
                <w:color w:val="000000"/>
                <w:sz w:val="20"/>
                <w:szCs w:val="20"/>
                <w:lang w:val="fr-FR" w:eastAsia="en-CA"/>
              </w:rPr>
              <w:t>utres chaines de fabrication</w:t>
            </w:r>
            <w:r w:rsidRPr="00123D18">
              <w:rPr>
                <w:color w:val="000000"/>
                <w:sz w:val="20"/>
                <w:szCs w:val="20"/>
                <w:lang w:val="fr-FR" w:eastAsia="en-CA"/>
              </w:rPr>
              <w:t xml:space="preserve"> RAC </w:t>
            </w:r>
            <w:r>
              <w:rPr>
                <w:color w:val="000000"/>
                <w:sz w:val="20"/>
                <w:szCs w:val="20"/>
                <w:lang w:val="fr-FR" w:eastAsia="en-CA"/>
              </w:rPr>
              <w:t>au</w:t>
            </w:r>
            <w:r w:rsidRPr="00123D18">
              <w:rPr>
                <w:color w:val="000000"/>
                <w:sz w:val="20"/>
                <w:szCs w:val="20"/>
                <w:lang w:val="fr-FR" w:eastAsia="en-CA"/>
              </w:rPr>
              <w:t xml:space="preserve"> 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5B0B0260"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50670FBD"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2 013</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1CD3B0F6"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2 013</w:t>
            </w:r>
          </w:p>
        </w:tc>
      </w:tr>
      <w:tr w:rsidR="00045AA9" w:rsidRPr="00123D18" w14:paraId="6AB7083C" w14:textId="77777777" w:rsidTr="0063050C">
        <w:trPr>
          <w:trHeight w:val="161"/>
          <w:jc w:val="right"/>
        </w:trPr>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1354A8E7" w14:textId="77777777" w:rsidR="00045AA9" w:rsidRPr="00123D18" w:rsidRDefault="00045AA9" w:rsidP="0063050C">
            <w:pPr>
              <w:jc w:val="left"/>
              <w:rPr>
                <w:color w:val="000000"/>
                <w:sz w:val="20"/>
                <w:szCs w:val="20"/>
                <w:lang w:val="fr-FR" w:eastAsia="en-CA"/>
              </w:rPr>
            </w:pPr>
            <w:r w:rsidRPr="00123D18">
              <w:rPr>
                <w:color w:val="000000"/>
                <w:sz w:val="20"/>
                <w:szCs w:val="20"/>
                <w:lang w:val="fr-FR" w:eastAsia="en-CA"/>
              </w:rPr>
              <w:t xml:space="preserve">3 </w:t>
            </w:r>
            <w:r>
              <w:rPr>
                <w:color w:val="000000"/>
                <w:sz w:val="20"/>
                <w:szCs w:val="20"/>
                <w:lang w:val="fr-FR" w:eastAsia="en-CA"/>
              </w:rPr>
              <w:t xml:space="preserve">chaines de fabrication de </w:t>
            </w:r>
            <w:r w:rsidRPr="00123D18">
              <w:rPr>
                <w:color w:val="000000"/>
                <w:sz w:val="20"/>
                <w:szCs w:val="20"/>
                <w:lang w:val="fr-FR" w:eastAsia="en-CA"/>
              </w:rPr>
              <w:t xml:space="preserve">HPWH </w:t>
            </w:r>
            <w:r>
              <w:rPr>
                <w:color w:val="000000"/>
                <w:sz w:val="20"/>
                <w:szCs w:val="20"/>
                <w:lang w:val="fr-FR" w:eastAsia="en-CA"/>
              </w:rPr>
              <w:t>au</w:t>
            </w:r>
            <w:r w:rsidRPr="00123D18">
              <w:rPr>
                <w:color w:val="000000"/>
                <w:sz w:val="20"/>
                <w:szCs w:val="20"/>
                <w:lang w:val="fr-FR" w:eastAsia="en-CA"/>
              </w:rPr>
              <w:t xml:space="preserve"> R-290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31E05859"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06AA198C"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72</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46A2B2ED"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72</w:t>
            </w:r>
          </w:p>
        </w:tc>
      </w:tr>
      <w:tr w:rsidR="00045AA9" w:rsidRPr="00123D18" w14:paraId="095B99D2" w14:textId="77777777" w:rsidTr="0063050C">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hideMark/>
          </w:tcPr>
          <w:p w14:paraId="0AC3D358" w14:textId="77777777" w:rsidR="00045AA9" w:rsidRPr="00123D18" w:rsidRDefault="00045AA9" w:rsidP="0063050C">
            <w:pPr>
              <w:jc w:val="left"/>
              <w:rPr>
                <w:iCs/>
                <w:color w:val="000000"/>
                <w:sz w:val="20"/>
                <w:szCs w:val="20"/>
                <w:lang w:val="fr-FR" w:eastAsia="en-CA"/>
              </w:rPr>
            </w:pPr>
            <w:r w:rsidRPr="00123D18">
              <w:rPr>
                <w:iCs/>
                <w:color w:val="000000"/>
                <w:sz w:val="20"/>
                <w:szCs w:val="20"/>
                <w:lang w:val="fr-FR" w:eastAsia="en-CA"/>
              </w:rPr>
              <w:t>Total partiel (tm)</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158F9FE0" w14:textId="77777777" w:rsidR="00045AA9" w:rsidRPr="00123D18" w:rsidRDefault="00045AA9" w:rsidP="0063050C">
            <w:pPr>
              <w:jc w:val="right"/>
              <w:rPr>
                <w:iCs/>
                <w:color w:val="000000"/>
                <w:sz w:val="20"/>
                <w:szCs w:val="20"/>
                <w:lang w:val="fr-FR" w:eastAsia="en-CA"/>
              </w:rPr>
            </w:pPr>
            <w:r w:rsidRPr="00123D18">
              <w:rPr>
                <w:iCs/>
                <w:color w:val="000000"/>
                <w:sz w:val="20"/>
                <w:szCs w:val="20"/>
                <w:lang w:val="fr-FR" w:eastAsia="en-CA"/>
              </w:rPr>
              <w:t>2 221</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41F52419" w14:textId="77777777" w:rsidR="00045AA9" w:rsidRPr="00123D18" w:rsidRDefault="00045AA9" w:rsidP="0063050C">
            <w:pPr>
              <w:jc w:val="right"/>
              <w:rPr>
                <w:iCs/>
                <w:color w:val="000000"/>
                <w:sz w:val="20"/>
                <w:szCs w:val="20"/>
                <w:lang w:val="fr-FR" w:eastAsia="en-CA"/>
              </w:rPr>
            </w:pPr>
            <w:r w:rsidRPr="00123D18">
              <w:rPr>
                <w:iCs/>
                <w:color w:val="000000"/>
                <w:sz w:val="20"/>
                <w:szCs w:val="20"/>
                <w:lang w:val="fr-FR" w:eastAsia="en-CA"/>
              </w:rPr>
              <w:t>2 085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7476B71C" w14:textId="77777777" w:rsidR="00045AA9" w:rsidRPr="00123D18" w:rsidRDefault="00045AA9" w:rsidP="0063050C">
            <w:pPr>
              <w:jc w:val="right"/>
              <w:rPr>
                <w:iCs/>
                <w:color w:val="000000"/>
                <w:sz w:val="20"/>
                <w:szCs w:val="20"/>
                <w:lang w:val="fr-FR" w:eastAsia="en-CA"/>
              </w:rPr>
            </w:pPr>
            <w:r w:rsidRPr="00123D18">
              <w:rPr>
                <w:iCs/>
                <w:color w:val="000000"/>
                <w:sz w:val="20"/>
                <w:szCs w:val="20"/>
                <w:lang w:val="fr-FR" w:eastAsia="en-CA"/>
              </w:rPr>
              <w:t>4 306</w:t>
            </w:r>
          </w:p>
        </w:tc>
      </w:tr>
      <w:tr w:rsidR="00045AA9" w:rsidRPr="00123D18" w14:paraId="4ECD6F09" w14:textId="77777777" w:rsidTr="0063050C">
        <w:trPr>
          <w:trHeight w:val="43"/>
          <w:jc w:val="right"/>
        </w:trPr>
        <w:tc>
          <w:tcPr>
            <w:tcW w:w="2361" w:type="pct"/>
            <w:tcBorders>
              <w:top w:val="nil"/>
              <w:left w:val="single" w:sz="4" w:space="0" w:color="auto"/>
              <w:bottom w:val="single" w:sz="4" w:space="0" w:color="auto"/>
              <w:right w:val="single" w:sz="4" w:space="0" w:color="auto"/>
            </w:tcBorders>
            <w:shd w:val="clear" w:color="auto" w:fill="auto"/>
            <w:noWrap/>
            <w:hideMark/>
          </w:tcPr>
          <w:p w14:paraId="1A28CF74" w14:textId="77777777" w:rsidR="00045AA9" w:rsidRPr="00123D18" w:rsidRDefault="00045AA9" w:rsidP="0063050C">
            <w:pPr>
              <w:rPr>
                <w:color w:val="000000"/>
                <w:sz w:val="20"/>
                <w:szCs w:val="20"/>
                <w:lang w:val="fr-FR" w:eastAsia="en-CA"/>
              </w:rPr>
            </w:pPr>
            <w:r w:rsidRPr="00123D18">
              <w:rPr>
                <w:color w:val="000000"/>
                <w:sz w:val="20"/>
                <w:szCs w:val="20"/>
                <w:lang w:val="fr-FR" w:eastAsia="en-CA"/>
              </w:rPr>
              <w:t>Non financée</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2AAB5787"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23 924</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0A49AD57"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16 590</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478B872C" w14:textId="77777777" w:rsidR="00045AA9" w:rsidRPr="00123D18" w:rsidRDefault="00045AA9" w:rsidP="0063050C">
            <w:pPr>
              <w:jc w:val="right"/>
              <w:rPr>
                <w:color w:val="000000"/>
                <w:sz w:val="20"/>
                <w:szCs w:val="20"/>
                <w:lang w:val="fr-FR" w:eastAsia="en-CA"/>
              </w:rPr>
            </w:pPr>
            <w:r w:rsidRPr="00123D18">
              <w:rPr>
                <w:color w:val="000000"/>
                <w:sz w:val="20"/>
                <w:szCs w:val="20"/>
                <w:lang w:val="fr-FR" w:eastAsia="en-CA"/>
              </w:rPr>
              <w:t>33 044</w:t>
            </w:r>
          </w:p>
        </w:tc>
      </w:tr>
      <w:tr w:rsidR="00045AA9" w:rsidRPr="00123D18" w14:paraId="1A2D6190" w14:textId="77777777" w:rsidTr="0063050C">
        <w:trPr>
          <w:trHeight w:val="62"/>
          <w:jc w:val="right"/>
        </w:trPr>
        <w:tc>
          <w:tcPr>
            <w:tcW w:w="2361" w:type="pct"/>
            <w:tcBorders>
              <w:top w:val="nil"/>
              <w:left w:val="single" w:sz="4" w:space="0" w:color="auto"/>
              <w:bottom w:val="single" w:sz="4" w:space="0" w:color="auto"/>
              <w:right w:val="single" w:sz="4" w:space="0" w:color="auto"/>
            </w:tcBorders>
            <w:shd w:val="clear" w:color="auto" w:fill="auto"/>
            <w:noWrap/>
            <w:hideMark/>
          </w:tcPr>
          <w:p w14:paraId="3A29941F" w14:textId="77777777" w:rsidR="00045AA9" w:rsidRPr="00123D18" w:rsidRDefault="00045AA9" w:rsidP="0063050C">
            <w:pPr>
              <w:rPr>
                <w:b/>
                <w:bCs/>
                <w:color w:val="000000"/>
                <w:sz w:val="20"/>
                <w:szCs w:val="20"/>
                <w:lang w:val="fr-FR" w:eastAsia="en-CA"/>
              </w:rPr>
            </w:pPr>
            <w:r w:rsidRPr="00123D18">
              <w:rPr>
                <w:b/>
                <w:bCs/>
                <w:color w:val="000000"/>
                <w:sz w:val="20"/>
                <w:szCs w:val="20"/>
                <w:lang w:val="fr-FR" w:eastAsia="en-CA"/>
              </w:rPr>
              <w:t>Total (tm)</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682439A8" w14:textId="77777777" w:rsidR="00045AA9" w:rsidRPr="00123D18" w:rsidRDefault="00045AA9" w:rsidP="0063050C">
            <w:pPr>
              <w:jc w:val="right"/>
              <w:rPr>
                <w:b/>
                <w:bCs/>
                <w:color w:val="000000"/>
                <w:sz w:val="20"/>
                <w:szCs w:val="20"/>
                <w:lang w:val="fr-FR"/>
              </w:rPr>
            </w:pPr>
            <w:r w:rsidRPr="00123D18">
              <w:rPr>
                <w:b/>
                <w:bCs/>
                <w:color w:val="000000"/>
                <w:sz w:val="20"/>
                <w:szCs w:val="20"/>
                <w:lang w:val="fr-FR"/>
              </w:rPr>
              <w:t xml:space="preserve"> 26 145 </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50C4DE69" w14:textId="77777777" w:rsidR="00045AA9" w:rsidRPr="00123D18" w:rsidRDefault="00045AA9" w:rsidP="0063050C">
            <w:pPr>
              <w:jc w:val="right"/>
              <w:rPr>
                <w:b/>
                <w:bCs/>
                <w:color w:val="000000"/>
                <w:sz w:val="20"/>
                <w:szCs w:val="20"/>
                <w:lang w:val="fr-FR" w:eastAsia="en-CA"/>
              </w:rPr>
            </w:pPr>
            <w:r w:rsidRPr="00123D18">
              <w:rPr>
                <w:b/>
                <w:bCs/>
                <w:color w:val="000000"/>
                <w:sz w:val="20"/>
                <w:szCs w:val="20"/>
                <w:lang w:val="fr-FR" w:eastAsia="en-CA"/>
              </w:rPr>
              <w:t>18 675</w:t>
            </w:r>
          </w:p>
        </w:tc>
        <w:tc>
          <w:tcPr>
            <w:tcW w:w="880" w:type="pct"/>
            <w:tcBorders>
              <w:top w:val="nil"/>
              <w:left w:val="nil"/>
              <w:bottom w:val="single" w:sz="4" w:space="0" w:color="auto"/>
              <w:right w:val="single" w:sz="4" w:space="0" w:color="auto"/>
            </w:tcBorders>
            <w:shd w:val="clear" w:color="auto" w:fill="auto"/>
            <w:noWrap/>
            <w:tcMar>
              <w:left w:w="115" w:type="dxa"/>
              <w:right w:w="202" w:type="dxa"/>
            </w:tcMar>
            <w:hideMark/>
          </w:tcPr>
          <w:p w14:paraId="2B955011" w14:textId="77777777" w:rsidR="00045AA9" w:rsidRPr="00123D18" w:rsidRDefault="00045AA9" w:rsidP="0063050C">
            <w:pPr>
              <w:jc w:val="right"/>
              <w:rPr>
                <w:b/>
                <w:bCs/>
                <w:color w:val="000000"/>
                <w:sz w:val="20"/>
                <w:szCs w:val="20"/>
                <w:lang w:val="fr-FR" w:eastAsia="en-CA"/>
              </w:rPr>
            </w:pPr>
            <w:r w:rsidRPr="00123D18">
              <w:rPr>
                <w:b/>
                <w:bCs/>
                <w:color w:val="000000"/>
                <w:sz w:val="20"/>
                <w:szCs w:val="20"/>
                <w:lang w:val="fr-FR" w:eastAsia="en-CA"/>
              </w:rPr>
              <w:t>44 820</w:t>
            </w:r>
          </w:p>
        </w:tc>
      </w:tr>
    </w:tbl>
    <w:p w14:paraId="5A048C6E" w14:textId="77777777" w:rsidR="00045AA9" w:rsidRPr="00123D18" w:rsidRDefault="00045AA9" w:rsidP="00045AA9">
      <w:pPr>
        <w:rPr>
          <w:lang w:val="fr-FR"/>
        </w:rPr>
      </w:pPr>
    </w:p>
    <w:p w14:paraId="7B8C3DDC" w14:textId="7BF9D1FA" w:rsidR="00045AA9" w:rsidRPr="00123D18" w:rsidRDefault="00045AA9" w:rsidP="00045AA9">
      <w:pPr>
        <w:pStyle w:val="Heading1"/>
        <w:numPr>
          <w:ilvl w:val="0"/>
          <w:numId w:val="15"/>
        </w:numPr>
        <w:rPr>
          <w:lang w:val="fr-FR"/>
        </w:rPr>
      </w:pPr>
      <w:r w:rsidRPr="00123D18">
        <w:rPr>
          <w:lang w:val="fr-FR"/>
        </w:rPr>
        <w:t xml:space="preserve">Pour les reconversions </w:t>
      </w:r>
      <w:r>
        <w:rPr>
          <w:lang w:val="fr-FR"/>
        </w:rPr>
        <w:t>entre 2022 et</w:t>
      </w:r>
      <w:r w:rsidRPr="00123D18">
        <w:rPr>
          <w:lang w:val="fr-FR"/>
        </w:rPr>
        <w:t xml:space="preserve"> 2026, </w:t>
      </w:r>
      <w:r>
        <w:rPr>
          <w:lang w:val="fr-FR"/>
        </w:rPr>
        <w:t xml:space="preserve">les surcoûts d’investissement pour reconvertir au R-290 une chaine de fabrication de RAC d’une capacité de </w:t>
      </w:r>
      <w:r w:rsidRPr="00123D18">
        <w:rPr>
          <w:lang w:val="fr-FR"/>
        </w:rPr>
        <w:t>350</w:t>
      </w:r>
      <w:r>
        <w:rPr>
          <w:lang w:val="fr-FR"/>
        </w:rPr>
        <w:t xml:space="preserve"> 000 unités/an,</w:t>
      </w:r>
      <w:r w:rsidRPr="00123D18">
        <w:rPr>
          <w:lang w:val="fr-FR"/>
        </w:rPr>
        <w:t xml:space="preserve"> ont été estimés à </w:t>
      </w:r>
      <w:r>
        <w:rPr>
          <w:lang w:val="fr-FR"/>
        </w:rPr>
        <w:t xml:space="preserve">1 421 </w:t>
      </w:r>
      <w:r w:rsidRPr="00123D18">
        <w:rPr>
          <w:lang w:val="fr-FR"/>
        </w:rPr>
        <w:t>807</w:t>
      </w:r>
      <w:r>
        <w:rPr>
          <w:lang w:val="fr-FR"/>
        </w:rPr>
        <w:t xml:space="preserve"> $US et à 302 </w:t>
      </w:r>
      <w:r w:rsidRPr="00123D18">
        <w:rPr>
          <w:lang w:val="fr-FR"/>
        </w:rPr>
        <w:t>750</w:t>
      </w:r>
      <w:r>
        <w:rPr>
          <w:lang w:val="fr-FR"/>
        </w:rPr>
        <w:t xml:space="preserve"> $US pour la reconversion d’une chaine de fabrication de</w:t>
      </w:r>
      <w:r w:rsidRPr="00123D18">
        <w:rPr>
          <w:lang w:val="fr-FR"/>
        </w:rPr>
        <w:t xml:space="preserve"> HPWH</w:t>
      </w:r>
      <w:r>
        <w:rPr>
          <w:lang w:val="fr-FR"/>
        </w:rPr>
        <w:t xml:space="preserve"> d’</w:t>
      </w:r>
      <w:r w:rsidR="0063050C">
        <w:rPr>
          <w:lang w:val="fr-FR"/>
        </w:rPr>
        <w:t>une capacité de 20 </w:t>
      </w:r>
      <w:r>
        <w:rPr>
          <w:lang w:val="fr-FR"/>
        </w:rPr>
        <w:t>000 unités/</w:t>
      </w:r>
      <w:r w:rsidRPr="00123D18">
        <w:rPr>
          <w:lang w:val="fr-FR"/>
        </w:rPr>
        <w:t>a</w:t>
      </w:r>
      <w:r>
        <w:rPr>
          <w:lang w:val="fr-FR"/>
        </w:rPr>
        <w:t>n</w:t>
      </w:r>
      <w:r w:rsidRPr="00123D18">
        <w:rPr>
          <w:lang w:val="fr-FR"/>
        </w:rPr>
        <w:t xml:space="preserve">, </w:t>
      </w:r>
      <w:r>
        <w:rPr>
          <w:lang w:val="fr-FR"/>
        </w:rPr>
        <w:t xml:space="preserve">soit un total de 8 017 </w:t>
      </w:r>
      <w:r w:rsidRPr="00123D18">
        <w:rPr>
          <w:lang w:val="fr-FR"/>
        </w:rPr>
        <w:t xml:space="preserve">285 </w:t>
      </w:r>
      <w:r>
        <w:rPr>
          <w:lang w:val="fr-FR"/>
        </w:rPr>
        <w:t xml:space="preserve">$US pour les surcoûts d’investissement durant cette période. Des surcoûts d’exploitation pour la reconversion des chaines de fabrication de RAC et de HPWH, ont été </w:t>
      </w:r>
      <w:r>
        <w:rPr>
          <w:lang w:val="fr-FR"/>
        </w:rPr>
        <w:lastRenderedPageBreak/>
        <w:t>demandés au taux de 6,30 $US/kg, conformément à la décision 74/50(c)(viii), p</w:t>
      </w:r>
      <w:r w:rsidRPr="00123D18">
        <w:rPr>
          <w:lang w:val="fr-FR"/>
        </w:rPr>
        <w:t>o</w:t>
      </w:r>
      <w:r>
        <w:rPr>
          <w:lang w:val="fr-FR"/>
        </w:rPr>
        <w:t>u</w:t>
      </w:r>
      <w:r w:rsidRPr="00123D18">
        <w:rPr>
          <w:lang w:val="fr-FR"/>
        </w:rPr>
        <w:t xml:space="preserve">r </w:t>
      </w:r>
      <w:r>
        <w:rPr>
          <w:lang w:val="fr-FR"/>
        </w:rPr>
        <w:t xml:space="preserve">un montant </w:t>
      </w:r>
      <w:r w:rsidRPr="00123D18">
        <w:rPr>
          <w:lang w:val="fr-FR"/>
        </w:rPr>
        <w:t xml:space="preserve">total </w:t>
      </w:r>
      <w:r>
        <w:rPr>
          <w:lang w:val="fr-FR"/>
        </w:rPr>
        <w:t xml:space="preserve">de 13 135 </w:t>
      </w:r>
      <w:r w:rsidRPr="00123D18">
        <w:rPr>
          <w:lang w:val="fr-FR"/>
        </w:rPr>
        <w:t>500</w:t>
      </w:r>
      <w:r>
        <w:rPr>
          <w:lang w:val="fr-FR"/>
        </w:rPr>
        <w:t xml:space="preserve"> $US</w:t>
      </w:r>
      <w:r w:rsidRPr="00123D18">
        <w:rPr>
          <w:lang w:val="fr-FR"/>
        </w:rPr>
        <w:t xml:space="preserve">. </w:t>
      </w:r>
    </w:p>
    <w:p w14:paraId="4E2E2253" w14:textId="77777777" w:rsidR="00045AA9" w:rsidRPr="00123D18" w:rsidRDefault="00045AA9" w:rsidP="00045AA9">
      <w:pPr>
        <w:keepNext/>
        <w:keepLines/>
        <w:widowControl w:val="0"/>
        <w:autoSpaceDN w:val="0"/>
        <w:adjustRightInd w:val="0"/>
        <w:spacing w:after="240"/>
        <w:rPr>
          <w:color w:val="000000"/>
          <w:u w:val="single"/>
          <w:lang w:val="fr-FR"/>
        </w:rPr>
      </w:pPr>
      <w:r>
        <w:rPr>
          <w:color w:val="000000"/>
          <w:u w:val="single"/>
          <w:lang w:val="fr-FR"/>
        </w:rPr>
        <w:t>Mesures réglementaires durant la période</w:t>
      </w:r>
      <w:r w:rsidRPr="00123D18">
        <w:rPr>
          <w:color w:val="000000"/>
          <w:u w:val="single"/>
          <w:lang w:val="fr-FR"/>
        </w:rPr>
        <w:t xml:space="preserve"> 2022-2026 </w:t>
      </w:r>
    </w:p>
    <w:p w14:paraId="5AE7984D" w14:textId="4B3E1F89" w:rsidR="00045AA9" w:rsidRPr="00123D18" w:rsidRDefault="00045AA9" w:rsidP="00045AA9">
      <w:pPr>
        <w:pStyle w:val="Heading1"/>
        <w:keepNext/>
        <w:keepLines/>
        <w:numPr>
          <w:ilvl w:val="0"/>
          <w:numId w:val="15"/>
        </w:numPr>
        <w:rPr>
          <w:lang w:val="fr-FR"/>
        </w:rPr>
      </w:pPr>
      <w:r>
        <w:rPr>
          <w:lang w:val="fr-FR"/>
        </w:rPr>
        <w:t>L</w:t>
      </w:r>
      <w:r w:rsidRPr="00123D18">
        <w:rPr>
          <w:lang w:val="fr-FR"/>
        </w:rPr>
        <w:t xml:space="preserve">e </w:t>
      </w:r>
      <w:r>
        <w:rPr>
          <w:lang w:val="fr-FR"/>
        </w:rPr>
        <w:t xml:space="preserve">volet réglementaire soutiendra la reconversion des chaines de production de RAC et de </w:t>
      </w:r>
      <w:r w:rsidRPr="00123D18">
        <w:rPr>
          <w:lang w:val="fr-FR"/>
        </w:rPr>
        <w:t xml:space="preserve">HPWH </w:t>
      </w:r>
      <w:r>
        <w:rPr>
          <w:lang w:val="fr-FR"/>
        </w:rPr>
        <w:t>et inclura l’amélioration du système de gestion des quotas</w:t>
      </w:r>
      <w:r w:rsidR="0063050C">
        <w:rPr>
          <w:lang w:val="fr-FR"/>
        </w:rPr>
        <w:t xml:space="preserve"> </w:t>
      </w:r>
      <w:r>
        <w:rPr>
          <w:lang w:val="fr-FR"/>
        </w:rPr>
        <w:t xml:space="preserve">; la révision des normes d’efficacité énergétique et autres normes existantes concernant les RAC, et l’élaboration d’une nouvelle norme technique sur le </w:t>
      </w:r>
      <w:r w:rsidRPr="00123D18">
        <w:rPr>
          <w:lang w:val="fr-FR"/>
        </w:rPr>
        <w:t>CO</w:t>
      </w:r>
      <w:r w:rsidRPr="00123D18">
        <w:rPr>
          <w:vertAlign w:val="subscript"/>
          <w:lang w:val="fr-FR"/>
        </w:rPr>
        <w:t>2</w:t>
      </w:r>
      <w:r w:rsidRPr="00123D18">
        <w:rPr>
          <w:lang w:val="fr-FR"/>
        </w:rPr>
        <w:t xml:space="preserve">; </w:t>
      </w:r>
      <w:r>
        <w:rPr>
          <w:lang w:val="fr-FR"/>
        </w:rPr>
        <w:t xml:space="preserve">l’instauration d’incitatifs et de mécanismes financiers pour encourager l’application de solutions de remplacement écologiques et la mise en place de marchés publics écologiques. </w:t>
      </w:r>
      <w:r w:rsidRPr="00123D18">
        <w:rPr>
          <w:lang w:val="fr-FR"/>
        </w:rPr>
        <w:t xml:space="preserve"> </w:t>
      </w:r>
    </w:p>
    <w:p w14:paraId="01CAAD20" w14:textId="77777777" w:rsidR="00045AA9" w:rsidRPr="00123D18" w:rsidRDefault="00045AA9" w:rsidP="00045AA9">
      <w:pPr>
        <w:pStyle w:val="Heading1"/>
        <w:widowControl w:val="0"/>
        <w:numPr>
          <w:ilvl w:val="0"/>
          <w:numId w:val="0"/>
        </w:numPr>
        <w:rPr>
          <w:lang w:val="fr-FR"/>
        </w:rPr>
      </w:pPr>
      <w:r>
        <w:rPr>
          <w:u w:val="single"/>
          <w:lang w:val="fr-FR"/>
        </w:rPr>
        <w:t>Activités d’assistance technique durant la période</w:t>
      </w:r>
      <w:r w:rsidRPr="00123D18">
        <w:rPr>
          <w:u w:val="single"/>
          <w:lang w:val="fr-FR"/>
        </w:rPr>
        <w:t xml:space="preserve"> 2022-2026</w:t>
      </w:r>
    </w:p>
    <w:p w14:paraId="57604E5C" w14:textId="636F4041" w:rsidR="00045AA9" w:rsidRPr="00123D18" w:rsidRDefault="00045AA9" w:rsidP="00045AA9">
      <w:pPr>
        <w:pStyle w:val="Heading1"/>
        <w:widowControl w:val="0"/>
        <w:numPr>
          <w:ilvl w:val="0"/>
          <w:numId w:val="15"/>
        </w:numPr>
        <w:rPr>
          <w:lang w:val="fr-FR"/>
        </w:rPr>
      </w:pPr>
      <w:r>
        <w:rPr>
          <w:lang w:val="fr-FR"/>
        </w:rPr>
        <w:t xml:space="preserve">Les quatre activités d’assistance technique suivantes ont été proposées pour la période 2022-2026, en vue d’accroître la part de marché de la technologie à base de </w:t>
      </w:r>
      <w:r w:rsidRPr="00123D18">
        <w:rPr>
          <w:lang w:val="fr-FR"/>
        </w:rPr>
        <w:t>R-290</w:t>
      </w:r>
      <w:r>
        <w:rPr>
          <w:lang w:val="fr-FR"/>
        </w:rPr>
        <w:t xml:space="preserve"> dans le secteur RAC,</w:t>
      </w:r>
      <w:r w:rsidRPr="00123D18">
        <w:rPr>
          <w:lang w:val="fr-FR"/>
        </w:rPr>
        <w:t xml:space="preserve"> </w:t>
      </w:r>
      <w:r>
        <w:rPr>
          <w:lang w:val="fr-FR"/>
        </w:rPr>
        <w:t xml:space="preserve">au coût </w:t>
      </w:r>
      <w:r w:rsidRPr="00123D18">
        <w:rPr>
          <w:lang w:val="fr-FR"/>
        </w:rPr>
        <w:t xml:space="preserve">total </w:t>
      </w:r>
      <w:r>
        <w:rPr>
          <w:lang w:val="fr-FR"/>
        </w:rPr>
        <w:t xml:space="preserve">de 2 740 </w:t>
      </w:r>
      <w:r w:rsidRPr="00123D18">
        <w:rPr>
          <w:lang w:val="fr-FR"/>
        </w:rPr>
        <w:t>000</w:t>
      </w:r>
      <w:r>
        <w:rPr>
          <w:lang w:val="fr-FR"/>
        </w:rPr>
        <w:t xml:space="preserve"> $US </w:t>
      </w:r>
      <w:r w:rsidRPr="00123D18">
        <w:rPr>
          <w:lang w:val="fr-FR"/>
        </w:rPr>
        <w:t xml:space="preserve">: promotion </w:t>
      </w:r>
      <w:r>
        <w:rPr>
          <w:lang w:val="fr-FR"/>
        </w:rPr>
        <w:t>du label écol</w:t>
      </w:r>
      <w:r w:rsidRPr="00123D18">
        <w:rPr>
          <w:lang w:val="fr-FR"/>
        </w:rPr>
        <w:t>o</w:t>
      </w:r>
      <w:r>
        <w:rPr>
          <w:lang w:val="fr-FR"/>
        </w:rPr>
        <w:t xml:space="preserve">gique R-290 (100 </w:t>
      </w:r>
      <w:r w:rsidRPr="00123D18">
        <w:rPr>
          <w:lang w:val="fr-FR"/>
        </w:rPr>
        <w:t>000</w:t>
      </w:r>
      <w:r>
        <w:rPr>
          <w:lang w:val="fr-FR"/>
        </w:rPr>
        <w:t xml:space="preserve"> $US</w:t>
      </w:r>
      <w:r w:rsidRPr="00123D18">
        <w:rPr>
          <w:lang w:val="fr-FR"/>
        </w:rPr>
        <w:t xml:space="preserve">); </w:t>
      </w:r>
      <w:r>
        <w:rPr>
          <w:lang w:val="fr-FR"/>
        </w:rPr>
        <w:t xml:space="preserve">mise en place d’un mécanisme pour accroître les ventes d’équipements RAC à base de </w:t>
      </w:r>
      <w:r w:rsidRPr="00123D18">
        <w:rPr>
          <w:lang w:val="fr-FR"/>
        </w:rPr>
        <w:t>R-</w:t>
      </w:r>
      <w:r>
        <w:rPr>
          <w:lang w:val="fr-FR"/>
        </w:rPr>
        <w:t xml:space="preserve">290 (620 </w:t>
      </w:r>
      <w:r w:rsidRPr="00123D18">
        <w:rPr>
          <w:lang w:val="fr-FR"/>
        </w:rPr>
        <w:t>000</w:t>
      </w:r>
      <w:r>
        <w:rPr>
          <w:lang w:val="fr-FR"/>
        </w:rPr>
        <w:t xml:space="preserve"> $US</w:t>
      </w:r>
      <w:r w:rsidRPr="00123D18">
        <w:rPr>
          <w:lang w:val="fr-FR"/>
        </w:rPr>
        <w:t>); installation</w:t>
      </w:r>
      <w:r>
        <w:rPr>
          <w:lang w:val="fr-FR"/>
        </w:rPr>
        <w:t xml:space="preserve">-pilote de 10 </w:t>
      </w:r>
      <w:r w:rsidRPr="00123D18">
        <w:rPr>
          <w:lang w:val="fr-FR"/>
        </w:rPr>
        <w:t xml:space="preserve">000 </w:t>
      </w:r>
      <w:r>
        <w:rPr>
          <w:lang w:val="fr-FR"/>
        </w:rPr>
        <w:t xml:space="preserve">unités RAC à base de R-290 (650 </w:t>
      </w:r>
      <w:r w:rsidRPr="00123D18">
        <w:rPr>
          <w:lang w:val="fr-FR"/>
        </w:rPr>
        <w:t>000</w:t>
      </w:r>
      <w:r>
        <w:rPr>
          <w:lang w:val="fr-FR"/>
        </w:rPr>
        <w:t xml:space="preserve"> $US</w:t>
      </w:r>
      <w:r w:rsidRPr="00123D18">
        <w:rPr>
          <w:lang w:val="fr-FR"/>
        </w:rPr>
        <w:t>) a</w:t>
      </w:r>
      <w:r>
        <w:rPr>
          <w:lang w:val="fr-FR"/>
        </w:rPr>
        <w:t xml:space="preserve">vec collecte de données et analyse (120 </w:t>
      </w:r>
      <w:r w:rsidRPr="00123D18">
        <w:rPr>
          <w:lang w:val="fr-FR"/>
        </w:rPr>
        <w:t>000</w:t>
      </w:r>
      <w:r>
        <w:rPr>
          <w:lang w:val="fr-FR"/>
        </w:rPr>
        <w:t xml:space="preserve"> $US</w:t>
      </w:r>
      <w:r w:rsidRPr="00123D18">
        <w:rPr>
          <w:lang w:val="fr-FR"/>
        </w:rPr>
        <w:t>)</w:t>
      </w:r>
      <w:r w:rsidR="0063050C">
        <w:rPr>
          <w:lang w:val="fr-FR"/>
        </w:rPr>
        <w:t xml:space="preserve"> </w:t>
      </w:r>
      <w:r w:rsidRPr="00123D18">
        <w:rPr>
          <w:lang w:val="fr-FR"/>
        </w:rPr>
        <w:t xml:space="preserve">; </w:t>
      </w:r>
      <w:r>
        <w:rPr>
          <w:lang w:val="fr-FR"/>
        </w:rPr>
        <w:t xml:space="preserve">renforcement des capacités pour le certificat de sécurité concernant les équipements RAC à base de R-290 (200 </w:t>
      </w:r>
      <w:r w:rsidRPr="00123D18">
        <w:rPr>
          <w:lang w:val="fr-FR"/>
        </w:rPr>
        <w:t>000</w:t>
      </w:r>
      <w:r>
        <w:rPr>
          <w:lang w:val="fr-FR"/>
        </w:rPr>
        <w:t xml:space="preserve"> $US</w:t>
      </w:r>
      <w:r w:rsidRPr="00123D18">
        <w:rPr>
          <w:lang w:val="fr-FR"/>
        </w:rPr>
        <w:t xml:space="preserve">); </w:t>
      </w:r>
      <w:r>
        <w:rPr>
          <w:lang w:val="fr-FR"/>
        </w:rPr>
        <w:t xml:space="preserve">et promotion de l’adoption d’équipements RAC à base de </w:t>
      </w:r>
      <w:r w:rsidRPr="00123D18">
        <w:rPr>
          <w:lang w:val="fr-FR"/>
        </w:rPr>
        <w:t xml:space="preserve">R-290 </w:t>
      </w:r>
      <w:r>
        <w:rPr>
          <w:lang w:val="fr-FR"/>
        </w:rPr>
        <w:t xml:space="preserve">en dehors de la Chine (gouvernement de l’Autriche, 1 050 000 $US). </w:t>
      </w:r>
    </w:p>
    <w:p w14:paraId="24AAFFEF" w14:textId="186F3FA9" w:rsidR="00045AA9" w:rsidRPr="00123D18" w:rsidRDefault="00045AA9" w:rsidP="00045AA9">
      <w:pPr>
        <w:pStyle w:val="Heading1"/>
        <w:keepNext/>
        <w:keepLines/>
        <w:numPr>
          <w:ilvl w:val="0"/>
          <w:numId w:val="15"/>
        </w:numPr>
        <w:rPr>
          <w:lang w:val="fr-FR"/>
        </w:rPr>
      </w:pPr>
      <w:r>
        <w:rPr>
          <w:lang w:val="fr-FR"/>
        </w:rPr>
        <w:t xml:space="preserve">Des activités d’assistance technique additionnelles, au coût total de 2 862 </w:t>
      </w:r>
      <w:r w:rsidRPr="00123D18">
        <w:rPr>
          <w:lang w:val="fr-FR"/>
        </w:rPr>
        <w:t>476</w:t>
      </w:r>
      <w:r>
        <w:rPr>
          <w:lang w:val="fr-FR"/>
        </w:rPr>
        <w:t xml:space="preserve"> $US, inclu</w:t>
      </w:r>
      <w:r w:rsidRPr="00123D18">
        <w:rPr>
          <w:lang w:val="fr-FR"/>
        </w:rPr>
        <w:t>e</w:t>
      </w:r>
      <w:r>
        <w:rPr>
          <w:lang w:val="fr-FR"/>
        </w:rPr>
        <w:t xml:space="preserve">nt </w:t>
      </w:r>
      <w:r w:rsidRPr="00123D18">
        <w:rPr>
          <w:lang w:val="fr-FR"/>
        </w:rPr>
        <w:t xml:space="preserve">: R&amp;D </w:t>
      </w:r>
      <w:r>
        <w:rPr>
          <w:lang w:val="fr-FR"/>
        </w:rPr>
        <w:t xml:space="preserve">sur l’utilisation de la technologie à base de R-290 (1 310 </w:t>
      </w:r>
      <w:r w:rsidRPr="00123D18">
        <w:rPr>
          <w:lang w:val="fr-FR"/>
        </w:rPr>
        <w:t>000</w:t>
      </w:r>
      <w:r>
        <w:rPr>
          <w:lang w:val="fr-FR"/>
        </w:rPr>
        <w:t xml:space="preserve"> $US</w:t>
      </w:r>
      <w:r w:rsidRPr="00123D18">
        <w:rPr>
          <w:lang w:val="fr-FR"/>
        </w:rPr>
        <w:t xml:space="preserve">); </w:t>
      </w:r>
      <w:r>
        <w:rPr>
          <w:lang w:val="fr-FR"/>
        </w:rPr>
        <w:t xml:space="preserve">poursuite de l’élaboration de normes reliées à l’utilisation de la technologie à base de R-290 (596 </w:t>
      </w:r>
      <w:r w:rsidRPr="00123D18">
        <w:rPr>
          <w:lang w:val="fr-FR"/>
        </w:rPr>
        <w:t>000</w:t>
      </w:r>
      <w:r>
        <w:rPr>
          <w:lang w:val="fr-FR"/>
        </w:rPr>
        <w:t xml:space="preserve"> $US</w:t>
      </w:r>
      <w:r w:rsidRPr="00123D18">
        <w:rPr>
          <w:lang w:val="fr-FR"/>
        </w:rPr>
        <w:t xml:space="preserve">); </w:t>
      </w:r>
      <w:r>
        <w:rPr>
          <w:lang w:val="fr-FR"/>
        </w:rPr>
        <w:t xml:space="preserve">sensibilisation du public </w:t>
      </w:r>
      <w:r w:rsidR="0063050C">
        <w:rPr>
          <w:lang w:val="fr-FR"/>
        </w:rPr>
        <w:t>(447 </w:t>
      </w:r>
      <w:r w:rsidRPr="00123D18">
        <w:rPr>
          <w:lang w:val="fr-FR"/>
        </w:rPr>
        <w:t>476</w:t>
      </w:r>
      <w:r w:rsidR="0063050C">
        <w:rPr>
          <w:lang w:val="fr-FR"/>
        </w:rPr>
        <w:t> </w:t>
      </w:r>
      <w:r>
        <w:rPr>
          <w:lang w:val="fr-FR"/>
        </w:rPr>
        <w:t>$US), vé</w:t>
      </w:r>
      <w:r w:rsidRPr="00123D18">
        <w:rPr>
          <w:lang w:val="fr-FR"/>
        </w:rPr>
        <w:t xml:space="preserve">rification </w:t>
      </w:r>
      <w:r>
        <w:rPr>
          <w:lang w:val="fr-FR"/>
        </w:rPr>
        <w:t>des étapes des projets de reconversion</w:t>
      </w:r>
      <w:r w:rsidR="0063050C">
        <w:rPr>
          <w:lang w:val="fr-FR"/>
        </w:rPr>
        <w:t xml:space="preserve"> </w:t>
      </w:r>
      <w:r>
        <w:rPr>
          <w:lang w:val="fr-FR"/>
        </w:rPr>
        <w:t xml:space="preserve">(341 </w:t>
      </w:r>
      <w:r w:rsidRPr="00123D18">
        <w:rPr>
          <w:lang w:val="fr-FR"/>
        </w:rPr>
        <w:t>000</w:t>
      </w:r>
      <w:r>
        <w:rPr>
          <w:lang w:val="fr-FR"/>
        </w:rPr>
        <w:t xml:space="preserve"> $US</w:t>
      </w:r>
      <w:r w:rsidRPr="00123D18">
        <w:rPr>
          <w:lang w:val="fr-FR"/>
        </w:rPr>
        <w:t>)</w:t>
      </w:r>
      <w:r>
        <w:rPr>
          <w:lang w:val="fr-FR"/>
        </w:rPr>
        <w:t xml:space="preserve"> et suivi des progrès dans l’élimination du HCFC-22 (168 </w:t>
      </w:r>
      <w:r w:rsidRPr="00123D18">
        <w:rPr>
          <w:lang w:val="fr-FR"/>
        </w:rPr>
        <w:t>000</w:t>
      </w:r>
      <w:r>
        <w:rPr>
          <w:lang w:val="fr-FR"/>
        </w:rPr>
        <w:t xml:space="preserve"> $US</w:t>
      </w:r>
      <w:r w:rsidRPr="00123D18">
        <w:rPr>
          <w:lang w:val="fr-FR"/>
        </w:rPr>
        <w:t xml:space="preserve">). </w:t>
      </w:r>
    </w:p>
    <w:p w14:paraId="4F293C81" w14:textId="77777777" w:rsidR="00045AA9" w:rsidRPr="00123D18" w:rsidRDefault="00045AA9" w:rsidP="00045AA9">
      <w:pPr>
        <w:pStyle w:val="Heading1"/>
        <w:numPr>
          <w:ilvl w:val="0"/>
          <w:numId w:val="15"/>
        </w:numPr>
        <w:rPr>
          <w:lang w:val="fr-FR"/>
        </w:rPr>
      </w:pPr>
      <w:r>
        <w:rPr>
          <w:lang w:val="fr-FR"/>
        </w:rPr>
        <w:t xml:space="preserve">En outre, l’UGP mise en place dans le cadre de la phase II continuerait d’assurer le suivi et la mise en œuvre du projet (1 585 </w:t>
      </w:r>
      <w:r w:rsidRPr="00123D18">
        <w:rPr>
          <w:lang w:val="fr-FR"/>
        </w:rPr>
        <w:t>710</w:t>
      </w:r>
      <w:r>
        <w:rPr>
          <w:lang w:val="fr-FR"/>
        </w:rPr>
        <w:t xml:space="preserve"> $US</w:t>
      </w:r>
      <w:r w:rsidRPr="00123D18">
        <w:rPr>
          <w:lang w:val="fr-FR"/>
        </w:rPr>
        <w:t xml:space="preserve">). </w:t>
      </w:r>
      <w:r>
        <w:rPr>
          <w:lang w:val="fr-FR"/>
        </w:rPr>
        <w:t xml:space="preserve">Un montant </w:t>
      </w:r>
      <w:r w:rsidRPr="00123D18">
        <w:rPr>
          <w:lang w:val="fr-FR"/>
        </w:rPr>
        <w:t xml:space="preserve">total </w:t>
      </w:r>
      <w:r>
        <w:rPr>
          <w:lang w:val="fr-FR"/>
        </w:rPr>
        <w:t xml:space="preserve">de 490 </w:t>
      </w:r>
      <w:r w:rsidRPr="00123D18">
        <w:rPr>
          <w:lang w:val="fr-FR"/>
        </w:rPr>
        <w:t>129</w:t>
      </w:r>
      <w:r>
        <w:rPr>
          <w:lang w:val="fr-FR"/>
        </w:rPr>
        <w:t xml:space="preserve"> $US a été alloué à CHEAA pour continuer d’apporter son assistance sur les aspects techniques et financiers de la mise en œuvre du plan du secteur RAC</w:t>
      </w:r>
      <w:r w:rsidRPr="00123D18">
        <w:rPr>
          <w:lang w:val="fr-FR"/>
        </w:rPr>
        <w:t xml:space="preserve">. </w:t>
      </w:r>
    </w:p>
    <w:p w14:paraId="7C03020B" w14:textId="77777777" w:rsidR="00045AA9" w:rsidRPr="00123D18" w:rsidRDefault="00045AA9" w:rsidP="00045AA9">
      <w:pPr>
        <w:pStyle w:val="ListParagraph"/>
        <w:ind w:left="0"/>
        <w:rPr>
          <w:color w:val="000000" w:themeColor="text1"/>
          <w:szCs w:val="32"/>
          <w:lang w:val="fr-FR"/>
        </w:rPr>
      </w:pPr>
      <w:r>
        <w:rPr>
          <w:color w:val="000000" w:themeColor="text1"/>
          <w:szCs w:val="32"/>
          <w:u w:val="single"/>
          <w:lang w:val="fr-FR"/>
        </w:rPr>
        <w:t>Coût t</w:t>
      </w:r>
      <w:r w:rsidRPr="00123D18">
        <w:rPr>
          <w:color w:val="000000" w:themeColor="text1"/>
          <w:szCs w:val="32"/>
          <w:u w:val="single"/>
          <w:lang w:val="fr-FR"/>
        </w:rPr>
        <w:t xml:space="preserve">otal </w:t>
      </w:r>
      <w:r>
        <w:rPr>
          <w:color w:val="000000" w:themeColor="text1"/>
          <w:szCs w:val="32"/>
          <w:u w:val="single"/>
          <w:lang w:val="fr-FR"/>
        </w:rPr>
        <w:t xml:space="preserve">de la phase II du plan du secteur RAC du PGEH </w:t>
      </w:r>
    </w:p>
    <w:p w14:paraId="1A725064" w14:textId="77777777" w:rsidR="00045AA9" w:rsidRPr="00123D18" w:rsidRDefault="00045AA9" w:rsidP="00045AA9">
      <w:pPr>
        <w:rPr>
          <w:lang w:val="fr-FR"/>
        </w:rPr>
      </w:pPr>
    </w:p>
    <w:p w14:paraId="2E82D17D" w14:textId="28CB0331" w:rsidR="00045AA9" w:rsidRPr="00123D18" w:rsidRDefault="00045AA9" w:rsidP="00045AA9">
      <w:pPr>
        <w:pStyle w:val="Heading1"/>
        <w:numPr>
          <w:ilvl w:val="0"/>
          <w:numId w:val="15"/>
        </w:numPr>
        <w:rPr>
          <w:lang w:val="fr-FR"/>
        </w:rPr>
      </w:pPr>
      <w:r>
        <w:rPr>
          <w:lang w:val="fr-FR"/>
        </w:rPr>
        <w:t xml:space="preserve">Le coût </w:t>
      </w:r>
      <w:r w:rsidRPr="00123D18">
        <w:rPr>
          <w:lang w:val="fr-FR"/>
        </w:rPr>
        <w:t xml:space="preserve">total </w:t>
      </w:r>
      <w:r>
        <w:rPr>
          <w:lang w:val="fr-FR"/>
        </w:rPr>
        <w:t xml:space="preserve">de la phase II du plan du secteur RAC s’élève à 60 394 </w:t>
      </w:r>
      <w:r w:rsidRPr="00123D18">
        <w:rPr>
          <w:lang w:val="fr-FR"/>
        </w:rPr>
        <w:t>081</w:t>
      </w:r>
      <w:r>
        <w:rPr>
          <w:lang w:val="fr-FR"/>
        </w:rPr>
        <w:t xml:space="preserve"> $US, coûts d’appui d’</w:t>
      </w:r>
      <w:r w:rsidRPr="00123D18">
        <w:rPr>
          <w:lang w:val="fr-FR"/>
        </w:rPr>
        <w:t>agenc</w:t>
      </w:r>
      <w:r>
        <w:rPr>
          <w:lang w:val="fr-FR"/>
        </w:rPr>
        <w:t>e en sus</w:t>
      </w:r>
      <w:r w:rsidRPr="00123D18">
        <w:rPr>
          <w:lang w:val="fr-FR"/>
        </w:rPr>
        <w:t xml:space="preserve">, </w:t>
      </w:r>
      <w:r>
        <w:rPr>
          <w:lang w:val="fr-FR"/>
        </w:rPr>
        <w:t>incluant un montant de</w:t>
      </w:r>
      <w:r w:rsidRPr="00123D18">
        <w:rPr>
          <w:lang w:val="fr-FR"/>
        </w:rPr>
        <w:t xml:space="preserve"> </w:t>
      </w:r>
      <w:r>
        <w:rPr>
          <w:lang w:val="fr-FR"/>
        </w:rPr>
        <w:t xml:space="preserve">31 562 </w:t>
      </w:r>
      <w:r w:rsidRPr="00123D18">
        <w:rPr>
          <w:lang w:val="fr-FR"/>
        </w:rPr>
        <w:t>981</w:t>
      </w:r>
      <w:r>
        <w:rPr>
          <w:lang w:val="fr-FR"/>
        </w:rPr>
        <w:t xml:space="preserve"> $US</w:t>
      </w:r>
      <w:r w:rsidRPr="00123D18">
        <w:rPr>
          <w:lang w:val="fr-FR"/>
        </w:rPr>
        <w:t xml:space="preserve">, </w:t>
      </w:r>
      <w:r>
        <w:rPr>
          <w:lang w:val="fr-FR"/>
        </w:rPr>
        <w:t>coûts d’appui d’agence en sus, déjà approuvé aux 77</w:t>
      </w:r>
      <w:r w:rsidRPr="00DA4FC7">
        <w:rPr>
          <w:vertAlign w:val="superscript"/>
          <w:lang w:val="fr-FR"/>
        </w:rPr>
        <w:t>e</w:t>
      </w:r>
      <w:r>
        <w:rPr>
          <w:lang w:val="fr-FR"/>
        </w:rPr>
        <w:t xml:space="preserve"> et 81</w:t>
      </w:r>
      <w:r w:rsidRPr="00DA4FC7">
        <w:rPr>
          <w:vertAlign w:val="superscript"/>
          <w:lang w:val="fr-FR"/>
        </w:rPr>
        <w:t>e</w:t>
      </w:r>
      <w:r>
        <w:rPr>
          <w:lang w:val="fr-FR"/>
        </w:rPr>
        <w:t xml:space="preserve"> réunions. La phase II éliminera 44 802 </w:t>
      </w:r>
      <w:r w:rsidRPr="00123D18">
        <w:rPr>
          <w:lang w:val="fr-FR"/>
        </w:rPr>
        <w:t>t</w:t>
      </w:r>
      <w:r>
        <w:rPr>
          <w:lang w:val="fr-FR"/>
        </w:rPr>
        <w:t>onnes m</w:t>
      </w:r>
      <w:r w:rsidR="0063050C">
        <w:rPr>
          <w:lang w:val="fr-FR"/>
        </w:rPr>
        <w:t xml:space="preserve">étriques </w:t>
      </w:r>
      <w:r>
        <w:rPr>
          <w:lang w:val="fr-FR"/>
        </w:rPr>
        <w:t>(2 465,</w:t>
      </w:r>
      <w:r w:rsidRPr="00123D18">
        <w:rPr>
          <w:lang w:val="fr-FR"/>
        </w:rPr>
        <w:t>11 </w:t>
      </w:r>
      <w:r>
        <w:rPr>
          <w:lang w:val="fr-FR"/>
        </w:rPr>
        <w:t>tonnes PAO</w:t>
      </w:r>
      <w:r w:rsidRPr="00123D18">
        <w:rPr>
          <w:lang w:val="fr-FR"/>
        </w:rPr>
        <w:t xml:space="preserve">) </w:t>
      </w:r>
      <w:r>
        <w:rPr>
          <w:lang w:val="fr-FR"/>
        </w:rPr>
        <w:t>de</w:t>
      </w:r>
      <w:r w:rsidRPr="00123D18">
        <w:rPr>
          <w:lang w:val="fr-FR"/>
        </w:rPr>
        <w:t xml:space="preserve"> HCFC-22, </w:t>
      </w:r>
      <w:r>
        <w:rPr>
          <w:lang w:val="fr-FR"/>
        </w:rPr>
        <w:t>dont 40 514 </w:t>
      </w:r>
      <w:r w:rsidRPr="00123D18">
        <w:rPr>
          <w:lang w:val="fr-FR"/>
        </w:rPr>
        <w:t>t</w:t>
      </w:r>
      <w:r>
        <w:rPr>
          <w:lang w:val="fr-FR"/>
        </w:rPr>
        <w:t>onnes métriques (2 228,27 </w:t>
      </w:r>
      <w:r w:rsidRPr="00123D18">
        <w:rPr>
          <w:lang w:val="fr-FR"/>
        </w:rPr>
        <w:t>tonnes</w:t>
      </w:r>
      <w:r>
        <w:rPr>
          <w:lang w:val="fr-FR"/>
        </w:rPr>
        <w:t xml:space="preserve"> PAO</w:t>
      </w:r>
      <w:r w:rsidRPr="00123D18">
        <w:rPr>
          <w:lang w:val="fr-FR"/>
        </w:rPr>
        <w:t xml:space="preserve">) </w:t>
      </w:r>
      <w:r>
        <w:rPr>
          <w:lang w:val="fr-FR"/>
        </w:rPr>
        <w:t>seront reconverties sans l’assistance du Fonds multilatéral. Le ratio coût-efficacité (CE) global e</w:t>
      </w:r>
      <w:r w:rsidRPr="00123D18">
        <w:rPr>
          <w:lang w:val="fr-FR"/>
        </w:rPr>
        <w:t>s</w:t>
      </w:r>
      <w:r>
        <w:rPr>
          <w:lang w:val="fr-FR"/>
        </w:rPr>
        <w:t>t de 1,</w:t>
      </w:r>
      <w:r w:rsidRPr="00123D18">
        <w:rPr>
          <w:lang w:val="fr-FR"/>
        </w:rPr>
        <w:t>35</w:t>
      </w:r>
      <w:r>
        <w:rPr>
          <w:lang w:val="fr-FR"/>
        </w:rPr>
        <w:t xml:space="preserve"> $US/kg (ou 14,</w:t>
      </w:r>
      <w:r w:rsidRPr="00123D18">
        <w:rPr>
          <w:lang w:val="fr-FR"/>
        </w:rPr>
        <w:t>03</w:t>
      </w:r>
      <w:r>
        <w:rPr>
          <w:lang w:val="fr-FR"/>
        </w:rPr>
        <w:t xml:space="preserve"> $US</w:t>
      </w:r>
      <w:r w:rsidRPr="00123D18">
        <w:rPr>
          <w:lang w:val="fr-FR"/>
        </w:rPr>
        <w:t xml:space="preserve">/kg </w:t>
      </w:r>
      <w:r>
        <w:rPr>
          <w:lang w:val="fr-FR"/>
        </w:rPr>
        <w:t>s’il est calculé uniquement d’après l’élimination de 4 036 </w:t>
      </w:r>
      <w:r w:rsidRPr="00123D18">
        <w:rPr>
          <w:lang w:val="fr-FR"/>
        </w:rPr>
        <w:t>t</w:t>
      </w:r>
      <w:r>
        <w:rPr>
          <w:lang w:val="fr-FR"/>
        </w:rPr>
        <w:t>onnes métriques pour lesquelles un financement est demandé). Le tableau 4 présente un résumé des activités et des coûts associés de la phase II du plan du secteur RAC</w:t>
      </w:r>
      <w:r w:rsidRPr="00123D18">
        <w:rPr>
          <w:lang w:val="fr-FR"/>
        </w:rPr>
        <w:t>.</w:t>
      </w:r>
    </w:p>
    <w:p w14:paraId="6BAB74FC" w14:textId="77777777" w:rsidR="00045AA9" w:rsidRPr="00DA4FC7" w:rsidRDefault="00045AA9" w:rsidP="00045AA9">
      <w:pPr>
        <w:pStyle w:val="Heading1"/>
        <w:numPr>
          <w:ilvl w:val="0"/>
          <w:numId w:val="0"/>
        </w:numPr>
        <w:spacing w:after="0"/>
        <w:rPr>
          <w:b/>
          <w:sz w:val="20"/>
          <w:szCs w:val="20"/>
          <w:lang w:val="fr-FR"/>
        </w:rPr>
      </w:pPr>
      <w:r w:rsidRPr="00DA4FC7">
        <w:rPr>
          <w:b/>
          <w:sz w:val="20"/>
          <w:szCs w:val="20"/>
          <w:lang w:val="fr-FR"/>
        </w:rPr>
        <w:t>Tableau 4. Résumé des activités et des coûts de la phase II du plan du secteur RAC (2016-2026)</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1361"/>
        <w:gridCol w:w="1363"/>
        <w:gridCol w:w="1359"/>
      </w:tblGrid>
      <w:tr w:rsidR="00045AA9" w:rsidRPr="00123D18" w14:paraId="3AE29805" w14:textId="77777777" w:rsidTr="0063050C">
        <w:trPr>
          <w:tblHeader/>
          <w:jc w:val="right"/>
        </w:trPr>
        <w:tc>
          <w:tcPr>
            <w:tcW w:w="2816" w:type="pct"/>
            <w:shd w:val="clear" w:color="auto" w:fill="auto"/>
            <w:vAlign w:val="center"/>
          </w:tcPr>
          <w:p w14:paraId="2BB3D9D0" w14:textId="77777777" w:rsidR="00045AA9" w:rsidRPr="00123D18" w:rsidRDefault="00045AA9" w:rsidP="0063050C">
            <w:pPr>
              <w:jc w:val="left"/>
              <w:rPr>
                <w:sz w:val="20"/>
                <w:szCs w:val="20"/>
                <w:lang w:val="fr-FR"/>
              </w:rPr>
            </w:pPr>
            <w:r>
              <w:rPr>
                <w:b/>
                <w:bCs/>
                <w:color w:val="000000"/>
                <w:sz w:val="20"/>
                <w:szCs w:val="20"/>
                <w:lang w:val="fr-FR"/>
              </w:rPr>
              <w:t>Composante</w:t>
            </w:r>
          </w:p>
        </w:tc>
        <w:tc>
          <w:tcPr>
            <w:tcW w:w="728" w:type="pct"/>
            <w:shd w:val="clear" w:color="auto" w:fill="auto"/>
            <w:tcMar>
              <w:left w:w="0" w:type="dxa"/>
              <w:right w:w="0" w:type="dxa"/>
            </w:tcMar>
            <w:vAlign w:val="center"/>
          </w:tcPr>
          <w:p w14:paraId="2DB7DA8E" w14:textId="77777777" w:rsidR="00045AA9" w:rsidRPr="00123D18" w:rsidRDefault="00045AA9" w:rsidP="0063050C">
            <w:pPr>
              <w:jc w:val="center"/>
              <w:rPr>
                <w:color w:val="000000"/>
                <w:sz w:val="20"/>
                <w:szCs w:val="20"/>
                <w:lang w:val="fr-FR"/>
              </w:rPr>
            </w:pPr>
            <w:r>
              <w:rPr>
                <w:b/>
                <w:color w:val="000000"/>
                <w:sz w:val="20"/>
                <w:szCs w:val="20"/>
                <w:lang w:val="fr-FR"/>
              </w:rPr>
              <w:t>HCFC-22 (</w:t>
            </w:r>
            <w:r w:rsidRPr="00123D18">
              <w:rPr>
                <w:b/>
                <w:color w:val="000000"/>
                <w:sz w:val="20"/>
                <w:szCs w:val="20"/>
                <w:lang w:val="fr-FR"/>
              </w:rPr>
              <w:t>t</w:t>
            </w:r>
            <w:r>
              <w:rPr>
                <w:b/>
                <w:color w:val="000000"/>
                <w:sz w:val="20"/>
                <w:szCs w:val="20"/>
                <w:lang w:val="fr-FR"/>
              </w:rPr>
              <w:t>m</w:t>
            </w:r>
            <w:r w:rsidRPr="00123D18">
              <w:rPr>
                <w:color w:val="000000"/>
                <w:sz w:val="20"/>
                <w:szCs w:val="20"/>
                <w:lang w:val="fr-FR"/>
              </w:rPr>
              <w:t>)</w:t>
            </w:r>
          </w:p>
        </w:tc>
        <w:tc>
          <w:tcPr>
            <w:tcW w:w="729" w:type="pct"/>
            <w:shd w:val="clear" w:color="auto" w:fill="auto"/>
            <w:tcMar>
              <w:left w:w="0" w:type="dxa"/>
              <w:right w:w="0" w:type="dxa"/>
            </w:tcMar>
          </w:tcPr>
          <w:p w14:paraId="014832D6" w14:textId="77777777" w:rsidR="00045AA9" w:rsidRPr="00123D18" w:rsidRDefault="00045AA9" w:rsidP="0063050C">
            <w:pPr>
              <w:jc w:val="center"/>
              <w:rPr>
                <w:b/>
                <w:bCs/>
                <w:color w:val="000000"/>
                <w:sz w:val="20"/>
                <w:szCs w:val="20"/>
                <w:lang w:val="fr-FR"/>
              </w:rPr>
            </w:pPr>
            <w:r>
              <w:rPr>
                <w:b/>
                <w:bCs/>
                <w:color w:val="000000"/>
                <w:sz w:val="20"/>
                <w:szCs w:val="20"/>
                <w:lang w:val="fr-FR"/>
              </w:rPr>
              <w:t xml:space="preserve">CE  </w:t>
            </w:r>
            <w:r w:rsidRPr="00123D18">
              <w:rPr>
                <w:b/>
                <w:bCs/>
                <w:color w:val="000000"/>
                <w:sz w:val="20"/>
                <w:szCs w:val="20"/>
                <w:lang w:val="fr-FR"/>
              </w:rPr>
              <w:t>$</w:t>
            </w:r>
            <w:r>
              <w:rPr>
                <w:b/>
                <w:bCs/>
                <w:color w:val="000000"/>
                <w:sz w:val="20"/>
                <w:szCs w:val="20"/>
                <w:lang w:val="fr-FR"/>
              </w:rPr>
              <w:t>US</w:t>
            </w:r>
            <w:r w:rsidRPr="00123D18">
              <w:rPr>
                <w:b/>
                <w:bCs/>
                <w:color w:val="000000"/>
                <w:sz w:val="20"/>
                <w:szCs w:val="20"/>
                <w:lang w:val="fr-FR"/>
              </w:rPr>
              <w:t>/kg)</w:t>
            </w:r>
          </w:p>
        </w:tc>
        <w:tc>
          <w:tcPr>
            <w:tcW w:w="727" w:type="pct"/>
            <w:shd w:val="clear" w:color="auto" w:fill="auto"/>
            <w:tcMar>
              <w:left w:w="0" w:type="dxa"/>
              <w:right w:w="0" w:type="dxa"/>
            </w:tcMar>
          </w:tcPr>
          <w:p w14:paraId="49D2E687" w14:textId="77777777" w:rsidR="00045AA9" w:rsidRPr="00123D18" w:rsidRDefault="00045AA9" w:rsidP="0063050C">
            <w:pPr>
              <w:jc w:val="center"/>
              <w:rPr>
                <w:b/>
                <w:bCs/>
                <w:color w:val="000000"/>
                <w:sz w:val="20"/>
                <w:szCs w:val="20"/>
                <w:lang w:val="fr-FR"/>
              </w:rPr>
            </w:pPr>
            <w:r w:rsidRPr="00123D18">
              <w:rPr>
                <w:b/>
                <w:bCs/>
                <w:color w:val="000000"/>
                <w:sz w:val="20"/>
                <w:szCs w:val="20"/>
                <w:lang w:val="fr-FR"/>
              </w:rPr>
              <w:t>Co</w:t>
            </w:r>
            <w:r>
              <w:rPr>
                <w:b/>
                <w:bCs/>
                <w:color w:val="000000"/>
                <w:sz w:val="20"/>
                <w:szCs w:val="20"/>
                <w:lang w:val="fr-FR"/>
              </w:rPr>
              <w:t>û</w:t>
            </w:r>
            <w:r w:rsidRPr="00123D18">
              <w:rPr>
                <w:b/>
                <w:bCs/>
                <w:color w:val="000000"/>
                <w:sz w:val="20"/>
                <w:szCs w:val="20"/>
                <w:lang w:val="fr-FR"/>
              </w:rPr>
              <w:t>t (</w:t>
            </w:r>
            <w:r>
              <w:rPr>
                <w:b/>
                <w:bCs/>
                <w:color w:val="000000"/>
                <w:sz w:val="20"/>
                <w:szCs w:val="20"/>
                <w:lang w:val="fr-FR"/>
              </w:rPr>
              <w:t>$ US</w:t>
            </w:r>
            <w:r w:rsidRPr="00123D18">
              <w:rPr>
                <w:b/>
                <w:bCs/>
                <w:color w:val="000000"/>
                <w:sz w:val="20"/>
                <w:szCs w:val="20"/>
                <w:lang w:val="fr-FR"/>
              </w:rPr>
              <w:t>)</w:t>
            </w:r>
          </w:p>
        </w:tc>
      </w:tr>
      <w:tr w:rsidR="00045AA9" w:rsidRPr="00123D18" w14:paraId="607B1C62" w14:textId="77777777" w:rsidTr="0063050C">
        <w:trPr>
          <w:jc w:val="right"/>
        </w:trPr>
        <w:tc>
          <w:tcPr>
            <w:tcW w:w="5000" w:type="pct"/>
            <w:gridSpan w:val="4"/>
            <w:shd w:val="clear" w:color="auto" w:fill="auto"/>
            <w:vAlign w:val="center"/>
          </w:tcPr>
          <w:p w14:paraId="21EEC7FE" w14:textId="77777777" w:rsidR="00045AA9" w:rsidRPr="00123D18" w:rsidRDefault="00045AA9" w:rsidP="0063050C">
            <w:pPr>
              <w:jc w:val="center"/>
              <w:rPr>
                <w:b/>
                <w:bCs/>
                <w:color w:val="000000"/>
                <w:sz w:val="20"/>
                <w:szCs w:val="20"/>
                <w:lang w:val="fr-FR"/>
              </w:rPr>
            </w:pPr>
            <w:r w:rsidRPr="00123D18">
              <w:rPr>
                <w:b/>
                <w:bCs/>
                <w:color w:val="000000"/>
                <w:sz w:val="20"/>
                <w:szCs w:val="20"/>
                <w:lang w:val="fr-FR"/>
              </w:rPr>
              <w:t>2016 – 2021</w:t>
            </w:r>
          </w:p>
        </w:tc>
      </w:tr>
      <w:tr w:rsidR="00045AA9" w:rsidRPr="00123D18" w14:paraId="3B97979E" w14:textId="77777777" w:rsidTr="0063050C">
        <w:trPr>
          <w:jc w:val="right"/>
        </w:trPr>
        <w:tc>
          <w:tcPr>
            <w:tcW w:w="2816" w:type="pct"/>
            <w:shd w:val="clear" w:color="auto" w:fill="auto"/>
          </w:tcPr>
          <w:p w14:paraId="6DFCD5E2" w14:textId="77777777" w:rsidR="00045AA9" w:rsidRPr="00123D18" w:rsidRDefault="00045AA9" w:rsidP="0063050C">
            <w:pPr>
              <w:jc w:val="left"/>
              <w:rPr>
                <w:sz w:val="20"/>
                <w:szCs w:val="20"/>
                <w:lang w:val="fr-FR"/>
              </w:rPr>
            </w:pPr>
            <w:r>
              <w:rPr>
                <w:sz w:val="20"/>
                <w:szCs w:val="20"/>
                <w:lang w:val="fr-FR"/>
              </w:rPr>
              <w:t>Rec</w:t>
            </w:r>
            <w:r w:rsidRPr="00123D18">
              <w:rPr>
                <w:sz w:val="20"/>
                <w:szCs w:val="20"/>
                <w:lang w:val="fr-FR"/>
              </w:rPr>
              <w:t xml:space="preserve">onversion </w:t>
            </w:r>
            <w:r>
              <w:rPr>
                <w:sz w:val="20"/>
                <w:szCs w:val="20"/>
                <w:lang w:val="fr-FR"/>
              </w:rPr>
              <w:t>de</w:t>
            </w:r>
            <w:r w:rsidRPr="00123D18">
              <w:rPr>
                <w:sz w:val="20"/>
                <w:szCs w:val="20"/>
                <w:lang w:val="fr-FR"/>
              </w:rPr>
              <w:t xml:space="preserve"> </w:t>
            </w:r>
            <w:r>
              <w:rPr>
                <w:sz w:val="20"/>
                <w:szCs w:val="20"/>
                <w:lang w:val="fr-FR"/>
              </w:rPr>
              <w:t>5 chaines de fabrication de RAC</w:t>
            </w:r>
            <w:r w:rsidRPr="00123D18">
              <w:rPr>
                <w:sz w:val="20"/>
                <w:szCs w:val="20"/>
                <w:lang w:val="fr-FR"/>
              </w:rPr>
              <w:t xml:space="preserve"> </w:t>
            </w:r>
          </w:p>
        </w:tc>
        <w:tc>
          <w:tcPr>
            <w:tcW w:w="728" w:type="pct"/>
            <w:shd w:val="clear" w:color="auto" w:fill="auto"/>
            <w:vAlign w:val="center"/>
          </w:tcPr>
          <w:p w14:paraId="17A629BA" w14:textId="77777777" w:rsidR="00045AA9" w:rsidRPr="00123D18" w:rsidRDefault="00045AA9" w:rsidP="0063050C">
            <w:pPr>
              <w:jc w:val="right"/>
              <w:rPr>
                <w:color w:val="000000"/>
                <w:sz w:val="20"/>
                <w:szCs w:val="20"/>
                <w:lang w:val="fr-FR"/>
              </w:rPr>
            </w:pPr>
            <w:r>
              <w:rPr>
                <w:color w:val="000000"/>
                <w:sz w:val="20"/>
                <w:szCs w:val="20"/>
                <w:lang w:val="fr-FR"/>
              </w:rPr>
              <w:t xml:space="preserve">2 </w:t>
            </w:r>
            <w:r w:rsidRPr="00123D18">
              <w:rPr>
                <w:color w:val="000000"/>
                <w:sz w:val="20"/>
                <w:szCs w:val="20"/>
                <w:lang w:val="fr-FR"/>
              </w:rPr>
              <w:t>221</w:t>
            </w:r>
          </w:p>
        </w:tc>
        <w:tc>
          <w:tcPr>
            <w:tcW w:w="729" w:type="pct"/>
            <w:shd w:val="clear" w:color="auto" w:fill="auto"/>
            <w:vAlign w:val="center"/>
          </w:tcPr>
          <w:p w14:paraId="5C9B8A54" w14:textId="77777777" w:rsidR="00045AA9" w:rsidRPr="00123D18" w:rsidRDefault="00045AA9" w:rsidP="0063050C">
            <w:pPr>
              <w:jc w:val="right"/>
              <w:rPr>
                <w:b/>
                <w:bCs/>
                <w:color w:val="000000"/>
                <w:sz w:val="20"/>
                <w:szCs w:val="20"/>
                <w:lang w:val="fr-FR"/>
              </w:rPr>
            </w:pPr>
          </w:p>
        </w:tc>
        <w:tc>
          <w:tcPr>
            <w:tcW w:w="727" w:type="pct"/>
            <w:shd w:val="clear" w:color="auto" w:fill="auto"/>
            <w:vAlign w:val="center"/>
          </w:tcPr>
          <w:p w14:paraId="5616967A" w14:textId="77777777" w:rsidR="00045AA9" w:rsidRPr="00123D18" w:rsidRDefault="00045AA9" w:rsidP="0063050C">
            <w:pPr>
              <w:jc w:val="right"/>
              <w:rPr>
                <w:b/>
                <w:bCs/>
                <w:color w:val="000000"/>
                <w:sz w:val="20"/>
                <w:szCs w:val="20"/>
                <w:lang w:val="fr-FR"/>
              </w:rPr>
            </w:pPr>
          </w:p>
        </w:tc>
      </w:tr>
      <w:tr w:rsidR="00045AA9" w:rsidRPr="00123D18" w14:paraId="69AD8BB3" w14:textId="77777777" w:rsidTr="0063050C">
        <w:trPr>
          <w:jc w:val="right"/>
        </w:trPr>
        <w:tc>
          <w:tcPr>
            <w:tcW w:w="2816" w:type="pct"/>
            <w:shd w:val="clear" w:color="auto" w:fill="auto"/>
          </w:tcPr>
          <w:p w14:paraId="41A0654F" w14:textId="77777777" w:rsidR="00045AA9" w:rsidRPr="00123D18" w:rsidRDefault="00045AA9" w:rsidP="0063050C">
            <w:pPr>
              <w:jc w:val="right"/>
              <w:rPr>
                <w:sz w:val="20"/>
                <w:szCs w:val="20"/>
                <w:lang w:val="fr-FR"/>
              </w:rPr>
            </w:pPr>
            <w:r>
              <w:rPr>
                <w:sz w:val="20"/>
                <w:szCs w:val="20"/>
                <w:lang w:val="fr-FR"/>
              </w:rPr>
              <w:t>Surcoûts d’investissement</w:t>
            </w:r>
          </w:p>
        </w:tc>
        <w:tc>
          <w:tcPr>
            <w:tcW w:w="728" w:type="pct"/>
            <w:shd w:val="clear" w:color="auto" w:fill="auto"/>
            <w:vAlign w:val="center"/>
          </w:tcPr>
          <w:p w14:paraId="415B6A88" w14:textId="77777777" w:rsidR="00045AA9" w:rsidRPr="00123D18" w:rsidRDefault="00045AA9" w:rsidP="0063050C">
            <w:pPr>
              <w:jc w:val="right"/>
              <w:rPr>
                <w:color w:val="000000"/>
                <w:sz w:val="20"/>
                <w:szCs w:val="20"/>
                <w:lang w:val="fr-FR"/>
              </w:rPr>
            </w:pPr>
          </w:p>
        </w:tc>
        <w:tc>
          <w:tcPr>
            <w:tcW w:w="729" w:type="pct"/>
            <w:shd w:val="clear" w:color="auto" w:fill="auto"/>
            <w:vAlign w:val="center"/>
          </w:tcPr>
          <w:p w14:paraId="6B12AD49" w14:textId="77777777" w:rsidR="00045AA9" w:rsidRPr="00123D18" w:rsidRDefault="00045AA9" w:rsidP="0063050C">
            <w:pPr>
              <w:jc w:val="right"/>
              <w:rPr>
                <w:sz w:val="20"/>
                <w:szCs w:val="20"/>
                <w:lang w:val="fr-FR"/>
              </w:rPr>
            </w:pPr>
            <w:r>
              <w:rPr>
                <w:sz w:val="20"/>
                <w:szCs w:val="20"/>
                <w:lang w:val="fr-FR"/>
              </w:rPr>
              <w:t>2,</w:t>
            </w:r>
            <w:r w:rsidRPr="00123D18">
              <w:rPr>
                <w:sz w:val="20"/>
                <w:szCs w:val="20"/>
                <w:lang w:val="fr-FR"/>
              </w:rPr>
              <w:t>95</w:t>
            </w:r>
          </w:p>
        </w:tc>
        <w:tc>
          <w:tcPr>
            <w:tcW w:w="727" w:type="pct"/>
            <w:shd w:val="clear" w:color="auto" w:fill="auto"/>
            <w:vAlign w:val="center"/>
          </w:tcPr>
          <w:p w14:paraId="468EA71B" w14:textId="77777777" w:rsidR="00045AA9" w:rsidRPr="00123D18" w:rsidRDefault="00045AA9" w:rsidP="0063050C">
            <w:pPr>
              <w:jc w:val="right"/>
              <w:rPr>
                <w:sz w:val="20"/>
                <w:szCs w:val="20"/>
                <w:lang w:val="fr-FR"/>
              </w:rPr>
            </w:pPr>
            <w:r>
              <w:rPr>
                <w:sz w:val="20"/>
                <w:szCs w:val="20"/>
                <w:lang w:val="fr-FR"/>
              </w:rPr>
              <w:t xml:space="preserve">6 545 </w:t>
            </w:r>
            <w:r w:rsidRPr="00123D18">
              <w:rPr>
                <w:sz w:val="20"/>
                <w:szCs w:val="20"/>
                <w:lang w:val="fr-FR"/>
              </w:rPr>
              <w:t>790</w:t>
            </w:r>
          </w:p>
        </w:tc>
      </w:tr>
      <w:tr w:rsidR="00045AA9" w:rsidRPr="00123D18" w14:paraId="75BB86DB" w14:textId="77777777" w:rsidTr="0063050C">
        <w:trPr>
          <w:jc w:val="right"/>
        </w:trPr>
        <w:tc>
          <w:tcPr>
            <w:tcW w:w="2816" w:type="pct"/>
            <w:shd w:val="clear" w:color="auto" w:fill="auto"/>
          </w:tcPr>
          <w:p w14:paraId="41D54A83" w14:textId="77777777" w:rsidR="00045AA9" w:rsidRPr="00123D18" w:rsidRDefault="00045AA9" w:rsidP="0063050C">
            <w:pPr>
              <w:jc w:val="right"/>
              <w:rPr>
                <w:sz w:val="20"/>
                <w:szCs w:val="20"/>
                <w:lang w:val="fr-FR"/>
              </w:rPr>
            </w:pPr>
            <w:r>
              <w:rPr>
                <w:sz w:val="20"/>
                <w:szCs w:val="20"/>
                <w:lang w:val="fr-FR"/>
              </w:rPr>
              <w:t>Surcoûts d’exploitation</w:t>
            </w:r>
          </w:p>
        </w:tc>
        <w:tc>
          <w:tcPr>
            <w:tcW w:w="728" w:type="pct"/>
            <w:shd w:val="clear" w:color="auto" w:fill="auto"/>
            <w:vAlign w:val="center"/>
          </w:tcPr>
          <w:p w14:paraId="2E98606D" w14:textId="77777777" w:rsidR="00045AA9" w:rsidRPr="00123D18" w:rsidRDefault="00045AA9" w:rsidP="0063050C">
            <w:pPr>
              <w:jc w:val="right"/>
              <w:rPr>
                <w:color w:val="000000"/>
                <w:sz w:val="20"/>
                <w:szCs w:val="20"/>
                <w:lang w:val="fr-FR"/>
              </w:rPr>
            </w:pPr>
          </w:p>
        </w:tc>
        <w:tc>
          <w:tcPr>
            <w:tcW w:w="729" w:type="pct"/>
            <w:shd w:val="clear" w:color="auto" w:fill="auto"/>
            <w:vAlign w:val="center"/>
          </w:tcPr>
          <w:p w14:paraId="26B81176" w14:textId="77777777" w:rsidR="00045AA9" w:rsidRPr="00123D18" w:rsidRDefault="00045AA9" w:rsidP="0063050C">
            <w:pPr>
              <w:jc w:val="right"/>
              <w:rPr>
                <w:sz w:val="20"/>
                <w:szCs w:val="20"/>
                <w:lang w:val="fr-FR"/>
              </w:rPr>
            </w:pPr>
            <w:r>
              <w:rPr>
                <w:sz w:val="20"/>
                <w:szCs w:val="20"/>
                <w:lang w:val="fr-FR"/>
              </w:rPr>
              <w:t>6,</w:t>
            </w:r>
            <w:r w:rsidRPr="00123D18">
              <w:rPr>
                <w:sz w:val="20"/>
                <w:szCs w:val="20"/>
                <w:lang w:val="fr-FR"/>
              </w:rPr>
              <w:t>30</w:t>
            </w:r>
          </w:p>
        </w:tc>
        <w:tc>
          <w:tcPr>
            <w:tcW w:w="727" w:type="pct"/>
            <w:shd w:val="clear" w:color="auto" w:fill="auto"/>
            <w:vAlign w:val="center"/>
          </w:tcPr>
          <w:p w14:paraId="7E82A9DD" w14:textId="77777777" w:rsidR="00045AA9" w:rsidRPr="00123D18" w:rsidRDefault="00045AA9" w:rsidP="0063050C">
            <w:pPr>
              <w:jc w:val="right"/>
              <w:rPr>
                <w:sz w:val="20"/>
                <w:szCs w:val="20"/>
                <w:lang w:val="fr-FR"/>
              </w:rPr>
            </w:pPr>
            <w:r>
              <w:rPr>
                <w:sz w:val="20"/>
                <w:szCs w:val="20"/>
                <w:lang w:val="fr-FR"/>
              </w:rPr>
              <w:t xml:space="preserve">13 992 </w:t>
            </w:r>
            <w:r w:rsidRPr="00123D18">
              <w:rPr>
                <w:sz w:val="20"/>
                <w:szCs w:val="20"/>
                <w:lang w:val="fr-FR"/>
              </w:rPr>
              <w:t>300</w:t>
            </w:r>
          </w:p>
        </w:tc>
      </w:tr>
      <w:tr w:rsidR="00045AA9" w:rsidRPr="00123D18" w14:paraId="69C08ECB" w14:textId="77777777" w:rsidTr="0063050C">
        <w:trPr>
          <w:jc w:val="right"/>
        </w:trPr>
        <w:tc>
          <w:tcPr>
            <w:tcW w:w="2816" w:type="pct"/>
            <w:shd w:val="clear" w:color="auto" w:fill="auto"/>
          </w:tcPr>
          <w:p w14:paraId="36317E43" w14:textId="77777777" w:rsidR="00045AA9" w:rsidRPr="00123D18" w:rsidRDefault="00045AA9" w:rsidP="0063050C">
            <w:pPr>
              <w:jc w:val="left"/>
              <w:rPr>
                <w:sz w:val="20"/>
                <w:szCs w:val="20"/>
                <w:lang w:val="fr-FR"/>
              </w:rPr>
            </w:pPr>
            <w:r>
              <w:rPr>
                <w:sz w:val="20"/>
                <w:szCs w:val="20"/>
                <w:lang w:val="fr-FR"/>
              </w:rPr>
              <w:t>Rec</w:t>
            </w:r>
            <w:r w:rsidRPr="00123D18">
              <w:rPr>
                <w:sz w:val="20"/>
                <w:szCs w:val="20"/>
                <w:lang w:val="fr-FR"/>
              </w:rPr>
              <w:t xml:space="preserve">onversion </w:t>
            </w:r>
            <w:r>
              <w:rPr>
                <w:sz w:val="20"/>
                <w:szCs w:val="20"/>
                <w:lang w:val="fr-FR"/>
              </w:rPr>
              <w:t xml:space="preserve">de </w:t>
            </w:r>
            <w:r w:rsidRPr="00123D18">
              <w:rPr>
                <w:sz w:val="20"/>
                <w:szCs w:val="20"/>
                <w:lang w:val="fr-FR"/>
              </w:rPr>
              <w:t>4 c</w:t>
            </w:r>
            <w:r>
              <w:rPr>
                <w:sz w:val="20"/>
                <w:szCs w:val="20"/>
                <w:lang w:val="fr-FR"/>
              </w:rPr>
              <w:t xml:space="preserve">haines de fabrication de compresseurs au </w:t>
            </w:r>
            <w:r w:rsidRPr="00123D18">
              <w:rPr>
                <w:sz w:val="20"/>
                <w:szCs w:val="20"/>
                <w:lang w:val="fr-FR"/>
              </w:rPr>
              <w:t>R-290</w:t>
            </w:r>
          </w:p>
        </w:tc>
        <w:tc>
          <w:tcPr>
            <w:tcW w:w="728" w:type="pct"/>
            <w:shd w:val="clear" w:color="auto" w:fill="auto"/>
            <w:vAlign w:val="center"/>
          </w:tcPr>
          <w:p w14:paraId="23C5B02D" w14:textId="77777777" w:rsidR="00045AA9" w:rsidRPr="00123D18" w:rsidRDefault="00045AA9" w:rsidP="0063050C">
            <w:pPr>
              <w:jc w:val="right"/>
              <w:rPr>
                <w:color w:val="000000"/>
                <w:sz w:val="20"/>
                <w:szCs w:val="20"/>
                <w:lang w:val="fr-FR"/>
              </w:rPr>
            </w:pPr>
            <w:r w:rsidRPr="00123D18">
              <w:rPr>
                <w:color w:val="000000"/>
                <w:sz w:val="20"/>
                <w:szCs w:val="20"/>
                <w:lang w:val="fr-FR"/>
              </w:rPr>
              <w:t>0</w:t>
            </w:r>
          </w:p>
        </w:tc>
        <w:tc>
          <w:tcPr>
            <w:tcW w:w="729" w:type="pct"/>
            <w:shd w:val="clear" w:color="auto" w:fill="auto"/>
            <w:vAlign w:val="center"/>
          </w:tcPr>
          <w:p w14:paraId="72046E09"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2EFE383F" w14:textId="77777777" w:rsidR="00045AA9" w:rsidRPr="00123D18" w:rsidRDefault="00045AA9" w:rsidP="0063050C">
            <w:pPr>
              <w:jc w:val="right"/>
              <w:rPr>
                <w:sz w:val="20"/>
                <w:szCs w:val="20"/>
                <w:lang w:val="fr-FR"/>
              </w:rPr>
            </w:pPr>
            <w:r>
              <w:rPr>
                <w:sz w:val="20"/>
                <w:szCs w:val="20"/>
                <w:lang w:val="fr-FR"/>
              </w:rPr>
              <w:t xml:space="preserve">4 500 </w:t>
            </w:r>
            <w:r w:rsidRPr="00123D18">
              <w:rPr>
                <w:sz w:val="20"/>
                <w:szCs w:val="20"/>
                <w:lang w:val="fr-FR"/>
              </w:rPr>
              <w:t>000</w:t>
            </w:r>
          </w:p>
        </w:tc>
      </w:tr>
      <w:tr w:rsidR="00045AA9" w:rsidRPr="00123D18" w14:paraId="565DAE16" w14:textId="77777777" w:rsidTr="0063050C">
        <w:trPr>
          <w:jc w:val="right"/>
        </w:trPr>
        <w:tc>
          <w:tcPr>
            <w:tcW w:w="2816" w:type="pct"/>
            <w:shd w:val="clear" w:color="auto" w:fill="auto"/>
          </w:tcPr>
          <w:p w14:paraId="1B32EDA5" w14:textId="77777777" w:rsidR="00045AA9" w:rsidRPr="00123D18" w:rsidRDefault="00045AA9" w:rsidP="0063050C">
            <w:pPr>
              <w:rPr>
                <w:sz w:val="20"/>
                <w:szCs w:val="20"/>
                <w:lang w:val="fr-FR"/>
              </w:rPr>
            </w:pPr>
            <w:r w:rsidRPr="00123D18">
              <w:rPr>
                <w:sz w:val="20"/>
                <w:szCs w:val="20"/>
                <w:lang w:val="fr-FR"/>
              </w:rPr>
              <w:t>T</w:t>
            </w:r>
            <w:r>
              <w:rPr>
                <w:sz w:val="20"/>
                <w:szCs w:val="20"/>
                <w:lang w:val="fr-FR"/>
              </w:rPr>
              <w:t xml:space="preserve">reize projets de R&amp;D </w:t>
            </w:r>
          </w:p>
        </w:tc>
        <w:tc>
          <w:tcPr>
            <w:tcW w:w="728" w:type="pct"/>
            <w:shd w:val="clear" w:color="auto" w:fill="auto"/>
            <w:vAlign w:val="center"/>
          </w:tcPr>
          <w:p w14:paraId="0BD39C00"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5014634C"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39323666" w14:textId="77777777" w:rsidR="00045AA9" w:rsidRPr="00123D18" w:rsidRDefault="00045AA9" w:rsidP="0063050C">
            <w:pPr>
              <w:jc w:val="right"/>
              <w:rPr>
                <w:sz w:val="20"/>
                <w:szCs w:val="20"/>
                <w:lang w:val="fr-FR"/>
              </w:rPr>
            </w:pPr>
            <w:r>
              <w:rPr>
                <w:sz w:val="20"/>
                <w:szCs w:val="20"/>
                <w:lang w:val="fr-FR"/>
              </w:rPr>
              <w:t xml:space="preserve">3 393 </w:t>
            </w:r>
            <w:r w:rsidRPr="00123D18">
              <w:rPr>
                <w:sz w:val="20"/>
                <w:szCs w:val="20"/>
                <w:lang w:val="fr-FR"/>
              </w:rPr>
              <w:t>171</w:t>
            </w:r>
          </w:p>
        </w:tc>
      </w:tr>
      <w:tr w:rsidR="00045AA9" w:rsidRPr="00123D18" w14:paraId="70321B7D" w14:textId="77777777" w:rsidTr="0063050C">
        <w:trPr>
          <w:jc w:val="right"/>
        </w:trPr>
        <w:tc>
          <w:tcPr>
            <w:tcW w:w="2816" w:type="pct"/>
            <w:shd w:val="clear" w:color="auto" w:fill="auto"/>
          </w:tcPr>
          <w:p w14:paraId="62EC6352" w14:textId="77777777" w:rsidR="00045AA9" w:rsidRPr="00123D18" w:rsidRDefault="00045AA9" w:rsidP="0063050C">
            <w:pPr>
              <w:rPr>
                <w:sz w:val="20"/>
                <w:szCs w:val="20"/>
                <w:lang w:val="fr-FR"/>
              </w:rPr>
            </w:pPr>
            <w:r w:rsidRPr="00123D18">
              <w:rPr>
                <w:sz w:val="20"/>
                <w:szCs w:val="20"/>
                <w:lang w:val="fr-FR"/>
              </w:rPr>
              <w:t>A</w:t>
            </w:r>
            <w:r>
              <w:rPr>
                <w:sz w:val="20"/>
                <w:szCs w:val="20"/>
                <w:lang w:val="fr-FR"/>
              </w:rPr>
              <w:t>ssistance technique supplémentaire</w:t>
            </w:r>
          </w:p>
        </w:tc>
        <w:tc>
          <w:tcPr>
            <w:tcW w:w="728" w:type="pct"/>
            <w:shd w:val="clear" w:color="auto" w:fill="auto"/>
            <w:vAlign w:val="center"/>
          </w:tcPr>
          <w:p w14:paraId="21AB3F1F"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41A1452E"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62E7C309" w14:textId="77777777" w:rsidR="00045AA9" w:rsidRPr="00123D18" w:rsidRDefault="00045AA9" w:rsidP="0063050C">
            <w:pPr>
              <w:jc w:val="right"/>
              <w:rPr>
                <w:sz w:val="20"/>
                <w:szCs w:val="20"/>
                <w:lang w:val="fr-FR"/>
              </w:rPr>
            </w:pPr>
            <w:r>
              <w:rPr>
                <w:sz w:val="20"/>
                <w:szCs w:val="20"/>
                <w:lang w:val="fr-FR"/>
              </w:rPr>
              <w:t xml:space="preserve">723 </w:t>
            </w:r>
            <w:r w:rsidRPr="00123D18">
              <w:rPr>
                <w:sz w:val="20"/>
                <w:szCs w:val="20"/>
                <w:lang w:val="fr-FR"/>
              </w:rPr>
              <w:t>733</w:t>
            </w:r>
          </w:p>
        </w:tc>
      </w:tr>
      <w:tr w:rsidR="00045AA9" w:rsidRPr="00123D18" w14:paraId="196923A1" w14:textId="77777777" w:rsidTr="0063050C">
        <w:trPr>
          <w:jc w:val="right"/>
        </w:trPr>
        <w:tc>
          <w:tcPr>
            <w:tcW w:w="2816" w:type="pct"/>
            <w:shd w:val="clear" w:color="auto" w:fill="auto"/>
          </w:tcPr>
          <w:p w14:paraId="4D5587D7" w14:textId="77777777" w:rsidR="00045AA9" w:rsidRPr="00123D18" w:rsidRDefault="00045AA9" w:rsidP="0063050C">
            <w:pPr>
              <w:rPr>
                <w:sz w:val="20"/>
                <w:szCs w:val="20"/>
                <w:lang w:val="fr-FR"/>
              </w:rPr>
            </w:pPr>
            <w:r>
              <w:rPr>
                <w:sz w:val="20"/>
                <w:szCs w:val="20"/>
                <w:lang w:val="fr-FR"/>
              </w:rPr>
              <w:lastRenderedPageBreak/>
              <w:t xml:space="preserve">Vérification indépendante des étapes des projets de reconversion </w:t>
            </w:r>
          </w:p>
        </w:tc>
        <w:tc>
          <w:tcPr>
            <w:tcW w:w="728" w:type="pct"/>
            <w:shd w:val="clear" w:color="auto" w:fill="auto"/>
            <w:vAlign w:val="center"/>
          </w:tcPr>
          <w:p w14:paraId="65491FA4"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414FBCEE"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2B0FD4F2" w14:textId="77777777" w:rsidR="00045AA9" w:rsidRPr="00123D18" w:rsidRDefault="00045AA9" w:rsidP="0063050C">
            <w:pPr>
              <w:jc w:val="right"/>
              <w:rPr>
                <w:sz w:val="20"/>
                <w:szCs w:val="20"/>
                <w:lang w:val="fr-FR"/>
              </w:rPr>
            </w:pPr>
            <w:r>
              <w:rPr>
                <w:sz w:val="20"/>
                <w:szCs w:val="20"/>
                <w:lang w:val="fr-FR"/>
              </w:rPr>
              <w:t xml:space="preserve">132 </w:t>
            </w:r>
            <w:r w:rsidRPr="00123D18">
              <w:rPr>
                <w:sz w:val="20"/>
                <w:szCs w:val="20"/>
                <w:lang w:val="fr-FR"/>
              </w:rPr>
              <w:t>171</w:t>
            </w:r>
          </w:p>
        </w:tc>
      </w:tr>
      <w:tr w:rsidR="00045AA9" w:rsidRPr="00123D18" w14:paraId="79314D1F" w14:textId="77777777" w:rsidTr="0063050C">
        <w:trPr>
          <w:jc w:val="right"/>
        </w:trPr>
        <w:tc>
          <w:tcPr>
            <w:tcW w:w="2816" w:type="pct"/>
            <w:shd w:val="clear" w:color="auto" w:fill="auto"/>
          </w:tcPr>
          <w:p w14:paraId="7188978D" w14:textId="77777777" w:rsidR="00045AA9" w:rsidRPr="00123D18" w:rsidRDefault="00045AA9" w:rsidP="0063050C">
            <w:pPr>
              <w:rPr>
                <w:sz w:val="20"/>
                <w:szCs w:val="20"/>
                <w:lang w:val="fr-FR"/>
              </w:rPr>
            </w:pPr>
            <w:r w:rsidRPr="00123D18">
              <w:rPr>
                <w:sz w:val="20"/>
                <w:szCs w:val="20"/>
                <w:lang w:val="fr-FR"/>
              </w:rPr>
              <w:t>CHEAA</w:t>
            </w:r>
          </w:p>
        </w:tc>
        <w:tc>
          <w:tcPr>
            <w:tcW w:w="728" w:type="pct"/>
            <w:shd w:val="clear" w:color="auto" w:fill="auto"/>
            <w:vAlign w:val="center"/>
          </w:tcPr>
          <w:p w14:paraId="202AE1AE"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28208197"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02184C3C" w14:textId="77777777" w:rsidR="00045AA9" w:rsidRPr="00123D18" w:rsidRDefault="00045AA9" w:rsidP="0063050C">
            <w:pPr>
              <w:jc w:val="right"/>
              <w:rPr>
                <w:sz w:val="20"/>
                <w:szCs w:val="20"/>
                <w:lang w:val="fr-FR"/>
              </w:rPr>
            </w:pPr>
            <w:r>
              <w:rPr>
                <w:sz w:val="20"/>
                <w:szCs w:val="20"/>
                <w:lang w:val="fr-FR"/>
              </w:rPr>
              <w:t xml:space="preserve">631 </w:t>
            </w:r>
            <w:r w:rsidRPr="00123D18">
              <w:rPr>
                <w:sz w:val="20"/>
                <w:szCs w:val="20"/>
                <w:lang w:val="fr-FR"/>
              </w:rPr>
              <w:t>260</w:t>
            </w:r>
          </w:p>
        </w:tc>
      </w:tr>
      <w:tr w:rsidR="00045AA9" w:rsidRPr="00123D18" w14:paraId="659E4956" w14:textId="77777777" w:rsidTr="0063050C">
        <w:trPr>
          <w:jc w:val="right"/>
        </w:trPr>
        <w:tc>
          <w:tcPr>
            <w:tcW w:w="2816" w:type="pct"/>
            <w:shd w:val="clear" w:color="auto" w:fill="auto"/>
          </w:tcPr>
          <w:p w14:paraId="7368885C" w14:textId="77777777" w:rsidR="00045AA9" w:rsidRPr="00123D18" w:rsidRDefault="00045AA9" w:rsidP="0063050C">
            <w:pPr>
              <w:rPr>
                <w:sz w:val="20"/>
                <w:szCs w:val="20"/>
                <w:lang w:val="fr-FR"/>
              </w:rPr>
            </w:pPr>
            <w:r w:rsidRPr="00123D18">
              <w:rPr>
                <w:sz w:val="20"/>
                <w:szCs w:val="20"/>
                <w:lang w:val="fr-FR"/>
              </w:rPr>
              <w:t>U</w:t>
            </w:r>
            <w:r>
              <w:rPr>
                <w:sz w:val="20"/>
                <w:szCs w:val="20"/>
                <w:lang w:val="fr-FR"/>
              </w:rPr>
              <w:t>GP</w:t>
            </w:r>
          </w:p>
        </w:tc>
        <w:tc>
          <w:tcPr>
            <w:tcW w:w="728" w:type="pct"/>
            <w:shd w:val="clear" w:color="auto" w:fill="auto"/>
            <w:vAlign w:val="center"/>
          </w:tcPr>
          <w:p w14:paraId="0C442A23"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2E1125CE"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62E4264D" w14:textId="77777777" w:rsidR="00045AA9" w:rsidRPr="00123D18" w:rsidRDefault="00045AA9" w:rsidP="0063050C">
            <w:pPr>
              <w:jc w:val="right"/>
              <w:rPr>
                <w:sz w:val="20"/>
                <w:szCs w:val="20"/>
                <w:lang w:val="fr-FR"/>
              </w:rPr>
            </w:pPr>
            <w:r>
              <w:rPr>
                <w:sz w:val="20"/>
                <w:szCs w:val="20"/>
                <w:lang w:val="fr-FR"/>
              </w:rPr>
              <w:t xml:space="preserve">1 644 </w:t>
            </w:r>
            <w:r w:rsidRPr="00123D18">
              <w:rPr>
                <w:sz w:val="20"/>
                <w:szCs w:val="20"/>
                <w:lang w:val="fr-FR"/>
              </w:rPr>
              <w:t>556</w:t>
            </w:r>
          </w:p>
        </w:tc>
      </w:tr>
      <w:tr w:rsidR="00045AA9" w:rsidRPr="00123D18" w14:paraId="1632E331" w14:textId="77777777" w:rsidTr="0063050C">
        <w:trPr>
          <w:jc w:val="right"/>
        </w:trPr>
        <w:tc>
          <w:tcPr>
            <w:tcW w:w="2816" w:type="pct"/>
            <w:shd w:val="clear" w:color="auto" w:fill="auto"/>
          </w:tcPr>
          <w:p w14:paraId="047061A1" w14:textId="77777777" w:rsidR="00045AA9" w:rsidRPr="00123D18" w:rsidRDefault="00045AA9" w:rsidP="0063050C">
            <w:pPr>
              <w:rPr>
                <w:sz w:val="20"/>
                <w:szCs w:val="20"/>
                <w:lang w:val="fr-FR"/>
              </w:rPr>
            </w:pPr>
            <w:r>
              <w:rPr>
                <w:sz w:val="20"/>
                <w:szCs w:val="20"/>
                <w:lang w:val="fr-FR"/>
              </w:rPr>
              <w:tab/>
              <w:t>T</w:t>
            </w:r>
            <w:r w:rsidRPr="00123D18">
              <w:rPr>
                <w:sz w:val="20"/>
                <w:szCs w:val="20"/>
                <w:lang w:val="fr-FR"/>
              </w:rPr>
              <w:t xml:space="preserve">otal </w:t>
            </w:r>
            <w:r>
              <w:rPr>
                <w:sz w:val="20"/>
                <w:szCs w:val="20"/>
                <w:lang w:val="fr-FR"/>
              </w:rPr>
              <w:t>partiel</w:t>
            </w:r>
          </w:p>
        </w:tc>
        <w:tc>
          <w:tcPr>
            <w:tcW w:w="728" w:type="pct"/>
            <w:shd w:val="clear" w:color="auto" w:fill="auto"/>
            <w:vAlign w:val="center"/>
          </w:tcPr>
          <w:p w14:paraId="665E1ADA" w14:textId="77777777" w:rsidR="00045AA9" w:rsidRPr="00123D18" w:rsidRDefault="00045AA9" w:rsidP="0063050C">
            <w:pPr>
              <w:jc w:val="right"/>
              <w:rPr>
                <w:sz w:val="20"/>
                <w:szCs w:val="20"/>
                <w:lang w:val="fr-FR"/>
              </w:rPr>
            </w:pPr>
            <w:r>
              <w:rPr>
                <w:sz w:val="20"/>
                <w:szCs w:val="20"/>
                <w:lang w:val="fr-FR"/>
              </w:rPr>
              <w:t xml:space="preserve">2 </w:t>
            </w:r>
            <w:r w:rsidRPr="00123D18">
              <w:rPr>
                <w:sz w:val="20"/>
                <w:szCs w:val="20"/>
                <w:lang w:val="fr-FR"/>
              </w:rPr>
              <w:t>221</w:t>
            </w:r>
          </w:p>
        </w:tc>
        <w:tc>
          <w:tcPr>
            <w:tcW w:w="729" w:type="pct"/>
            <w:shd w:val="clear" w:color="auto" w:fill="auto"/>
            <w:vAlign w:val="center"/>
          </w:tcPr>
          <w:p w14:paraId="43391455" w14:textId="77777777" w:rsidR="00045AA9" w:rsidRPr="00123D18" w:rsidRDefault="00045AA9" w:rsidP="0063050C">
            <w:pPr>
              <w:jc w:val="right"/>
              <w:rPr>
                <w:sz w:val="20"/>
                <w:szCs w:val="20"/>
                <w:lang w:val="fr-FR"/>
              </w:rPr>
            </w:pPr>
            <w:r>
              <w:rPr>
                <w:sz w:val="20"/>
                <w:szCs w:val="20"/>
                <w:lang w:val="fr-FR"/>
              </w:rPr>
              <w:t>14,</w:t>
            </w:r>
            <w:r w:rsidRPr="00123D18">
              <w:rPr>
                <w:sz w:val="20"/>
                <w:szCs w:val="20"/>
                <w:lang w:val="fr-FR"/>
              </w:rPr>
              <w:t>21</w:t>
            </w:r>
          </w:p>
        </w:tc>
        <w:tc>
          <w:tcPr>
            <w:tcW w:w="727" w:type="pct"/>
            <w:shd w:val="clear" w:color="auto" w:fill="auto"/>
            <w:vAlign w:val="center"/>
          </w:tcPr>
          <w:p w14:paraId="7FCDD35F" w14:textId="77777777" w:rsidR="00045AA9" w:rsidRPr="00123D18" w:rsidRDefault="00045AA9" w:rsidP="0063050C">
            <w:pPr>
              <w:jc w:val="right"/>
              <w:rPr>
                <w:sz w:val="20"/>
                <w:szCs w:val="20"/>
                <w:lang w:val="fr-FR"/>
              </w:rPr>
            </w:pPr>
            <w:r>
              <w:rPr>
                <w:sz w:val="20"/>
                <w:szCs w:val="20"/>
                <w:lang w:val="fr-FR"/>
              </w:rPr>
              <w:t xml:space="preserve">31 562 </w:t>
            </w:r>
            <w:r w:rsidRPr="00123D18">
              <w:rPr>
                <w:sz w:val="20"/>
                <w:szCs w:val="20"/>
                <w:lang w:val="fr-FR"/>
              </w:rPr>
              <w:t>981</w:t>
            </w:r>
          </w:p>
        </w:tc>
      </w:tr>
      <w:tr w:rsidR="00045AA9" w:rsidRPr="00123D18" w14:paraId="0C495515" w14:textId="77777777" w:rsidTr="0063050C">
        <w:trPr>
          <w:jc w:val="right"/>
        </w:trPr>
        <w:tc>
          <w:tcPr>
            <w:tcW w:w="2816" w:type="pct"/>
            <w:shd w:val="clear" w:color="auto" w:fill="auto"/>
          </w:tcPr>
          <w:p w14:paraId="3942960F" w14:textId="77777777" w:rsidR="00045AA9" w:rsidRPr="00123D18" w:rsidRDefault="00045AA9" w:rsidP="0063050C">
            <w:pPr>
              <w:rPr>
                <w:sz w:val="20"/>
                <w:szCs w:val="20"/>
                <w:lang w:val="fr-FR"/>
              </w:rPr>
            </w:pPr>
            <w:r>
              <w:rPr>
                <w:sz w:val="20"/>
                <w:szCs w:val="20"/>
                <w:lang w:val="fr-FR"/>
              </w:rPr>
              <w:t xml:space="preserve">Élimination sans financement du Fonds multilatéral </w:t>
            </w:r>
          </w:p>
        </w:tc>
        <w:tc>
          <w:tcPr>
            <w:tcW w:w="728" w:type="pct"/>
            <w:shd w:val="clear" w:color="auto" w:fill="auto"/>
            <w:vAlign w:val="center"/>
          </w:tcPr>
          <w:p w14:paraId="4A838D53" w14:textId="77777777" w:rsidR="00045AA9" w:rsidRPr="00123D18" w:rsidRDefault="00045AA9" w:rsidP="0063050C">
            <w:pPr>
              <w:jc w:val="right"/>
              <w:rPr>
                <w:sz w:val="20"/>
                <w:szCs w:val="20"/>
                <w:lang w:val="fr-FR"/>
              </w:rPr>
            </w:pPr>
            <w:r>
              <w:rPr>
                <w:sz w:val="20"/>
                <w:szCs w:val="20"/>
                <w:lang w:val="fr-FR"/>
              </w:rPr>
              <w:t xml:space="preserve">23 </w:t>
            </w:r>
            <w:r w:rsidRPr="00123D18">
              <w:rPr>
                <w:sz w:val="20"/>
                <w:szCs w:val="20"/>
                <w:lang w:val="fr-FR"/>
              </w:rPr>
              <w:t>924</w:t>
            </w:r>
          </w:p>
        </w:tc>
        <w:tc>
          <w:tcPr>
            <w:tcW w:w="729" w:type="pct"/>
            <w:shd w:val="clear" w:color="auto" w:fill="auto"/>
            <w:vAlign w:val="center"/>
          </w:tcPr>
          <w:p w14:paraId="33D174C2" w14:textId="77777777" w:rsidR="00045AA9" w:rsidRPr="00123D18" w:rsidRDefault="00045AA9" w:rsidP="0063050C">
            <w:pPr>
              <w:jc w:val="right"/>
              <w:rPr>
                <w:sz w:val="20"/>
                <w:szCs w:val="20"/>
                <w:lang w:val="fr-FR"/>
              </w:rPr>
            </w:pPr>
            <w:r w:rsidRPr="00123D18">
              <w:rPr>
                <w:sz w:val="20"/>
                <w:szCs w:val="20"/>
                <w:lang w:val="fr-FR"/>
              </w:rPr>
              <w:t>0</w:t>
            </w:r>
          </w:p>
        </w:tc>
        <w:tc>
          <w:tcPr>
            <w:tcW w:w="727" w:type="pct"/>
            <w:shd w:val="clear" w:color="auto" w:fill="auto"/>
            <w:vAlign w:val="center"/>
          </w:tcPr>
          <w:p w14:paraId="0578F485" w14:textId="77777777" w:rsidR="00045AA9" w:rsidRPr="00123D18" w:rsidRDefault="00045AA9" w:rsidP="0063050C">
            <w:pPr>
              <w:jc w:val="right"/>
              <w:rPr>
                <w:sz w:val="20"/>
                <w:szCs w:val="20"/>
                <w:lang w:val="fr-FR"/>
              </w:rPr>
            </w:pPr>
            <w:r w:rsidRPr="00123D18">
              <w:rPr>
                <w:sz w:val="20"/>
                <w:szCs w:val="20"/>
                <w:lang w:val="fr-FR"/>
              </w:rPr>
              <w:t>0</w:t>
            </w:r>
          </w:p>
        </w:tc>
      </w:tr>
      <w:tr w:rsidR="00045AA9" w:rsidRPr="00123D18" w14:paraId="273340B1" w14:textId="77777777" w:rsidTr="0063050C">
        <w:trPr>
          <w:jc w:val="right"/>
        </w:trPr>
        <w:tc>
          <w:tcPr>
            <w:tcW w:w="2816" w:type="pct"/>
            <w:shd w:val="clear" w:color="auto" w:fill="auto"/>
          </w:tcPr>
          <w:p w14:paraId="7451B408" w14:textId="77777777" w:rsidR="00045AA9" w:rsidRPr="00123D18" w:rsidRDefault="00045AA9" w:rsidP="0063050C">
            <w:pPr>
              <w:rPr>
                <w:b/>
                <w:sz w:val="20"/>
                <w:szCs w:val="20"/>
                <w:lang w:val="fr-FR"/>
              </w:rPr>
            </w:pPr>
            <w:r>
              <w:rPr>
                <w:b/>
                <w:sz w:val="20"/>
                <w:szCs w:val="20"/>
                <w:lang w:val="fr-FR"/>
              </w:rPr>
              <w:tab/>
              <w:t>T</w:t>
            </w:r>
            <w:r w:rsidRPr="00123D18">
              <w:rPr>
                <w:b/>
                <w:sz w:val="20"/>
                <w:szCs w:val="20"/>
                <w:lang w:val="fr-FR"/>
              </w:rPr>
              <w:t>otal</w:t>
            </w:r>
            <w:r>
              <w:rPr>
                <w:b/>
                <w:sz w:val="20"/>
                <w:szCs w:val="20"/>
                <w:lang w:val="fr-FR"/>
              </w:rPr>
              <w:t xml:space="preserve"> partiel</w:t>
            </w:r>
            <w:r w:rsidRPr="00123D18">
              <w:rPr>
                <w:b/>
                <w:sz w:val="20"/>
                <w:szCs w:val="20"/>
                <w:lang w:val="fr-FR"/>
              </w:rPr>
              <w:t xml:space="preserve"> (2016-2021)</w:t>
            </w:r>
          </w:p>
        </w:tc>
        <w:tc>
          <w:tcPr>
            <w:tcW w:w="728" w:type="pct"/>
            <w:shd w:val="clear" w:color="auto" w:fill="auto"/>
            <w:vAlign w:val="center"/>
          </w:tcPr>
          <w:p w14:paraId="7D7499F4" w14:textId="77777777" w:rsidR="00045AA9" w:rsidRPr="00123D18" w:rsidRDefault="00045AA9" w:rsidP="0063050C">
            <w:pPr>
              <w:jc w:val="right"/>
              <w:rPr>
                <w:b/>
                <w:color w:val="000000"/>
                <w:sz w:val="20"/>
                <w:szCs w:val="20"/>
                <w:lang w:val="fr-FR"/>
              </w:rPr>
            </w:pPr>
            <w:r>
              <w:rPr>
                <w:b/>
                <w:color w:val="000000"/>
                <w:sz w:val="20"/>
                <w:szCs w:val="20"/>
                <w:lang w:val="fr-FR"/>
              </w:rPr>
              <w:t xml:space="preserve">26 </w:t>
            </w:r>
            <w:r w:rsidRPr="00123D18">
              <w:rPr>
                <w:b/>
                <w:color w:val="000000"/>
                <w:sz w:val="20"/>
                <w:szCs w:val="20"/>
                <w:lang w:val="fr-FR"/>
              </w:rPr>
              <w:t>145</w:t>
            </w:r>
          </w:p>
        </w:tc>
        <w:tc>
          <w:tcPr>
            <w:tcW w:w="729" w:type="pct"/>
            <w:shd w:val="clear" w:color="auto" w:fill="auto"/>
            <w:vAlign w:val="center"/>
          </w:tcPr>
          <w:p w14:paraId="7D431A00" w14:textId="77777777" w:rsidR="00045AA9" w:rsidRPr="00123D18" w:rsidRDefault="00045AA9" w:rsidP="0063050C">
            <w:pPr>
              <w:jc w:val="right"/>
              <w:rPr>
                <w:b/>
                <w:sz w:val="20"/>
                <w:szCs w:val="20"/>
                <w:lang w:val="fr-FR"/>
              </w:rPr>
            </w:pPr>
            <w:r>
              <w:rPr>
                <w:b/>
                <w:sz w:val="20"/>
                <w:szCs w:val="20"/>
                <w:lang w:val="fr-FR"/>
              </w:rPr>
              <w:t>1,</w:t>
            </w:r>
            <w:r w:rsidRPr="00123D18">
              <w:rPr>
                <w:b/>
                <w:sz w:val="20"/>
                <w:szCs w:val="20"/>
                <w:lang w:val="fr-FR"/>
              </w:rPr>
              <w:t>21</w:t>
            </w:r>
          </w:p>
        </w:tc>
        <w:tc>
          <w:tcPr>
            <w:tcW w:w="727" w:type="pct"/>
            <w:shd w:val="clear" w:color="auto" w:fill="auto"/>
            <w:vAlign w:val="center"/>
          </w:tcPr>
          <w:p w14:paraId="124975A7" w14:textId="77777777" w:rsidR="00045AA9" w:rsidRPr="00123D18" w:rsidRDefault="00045AA9" w:rsidP="0063050C">
            <w:pPr>
              <w:jc w:val="right"/>
              <w:rPr>
                <w:b/>
                <w:sz w:val="20"/>
                <w:szCs w:val="20"/>
                <w:lang w:val="fr-FR"/>
              </w:rPr>
            </w:pPr>
            <w:r>
              <w:rPr>
                <w:b/>
                <w:sz w:val="20"/>
                <w:szCs w:val="20"/>
                <w:lang w:val="fr-FR"/>
              </w:rPr>
              <w:t xml:space="preserve">31 562 </w:t>
            </w:r>
            <w:r w:rsidRPr="00123D18">
              <w:rPr>
                <w:b/>
                <w:sz w:val="20"/>
                <w:szCs w:val="20"/>
                <w:lang w:val="fr-FR"/>
              </w:rPr>
              <w:t>981</w:t>
            </w:r>
          </w:p>
        </w:tc>
      </w:tr>
      <w:tr w:rsidR="00045AA9" w:rsidRPr="00123D18" w14:paraId="29ADE9D6" w14:textId="77777777" w:rsidTr="0063050C">
        <w:trPr>
          <w:jc w:val="right"/>
        </w:trPr>
        <w:tc>
          <w:tcPr>
            <w:tcW w:w="5000" w:type="pct"/>
            <w:gridSpan w:val="4"/>
            <w:shd w:val="clear" w:color="auto" w:fill="auto"/>
            <w:vAlign w:val="center"/>
          </w:tcPr>
          <w:p w14:paraId="7445828A" w14:textId="77777777" w:rsidR="00045AA9" w:rsidRPr="00123D18" w:rsidRDefault="00045AA9" w:rsidP="0063050C">
            <w:pPr>
              <w:jc w:val="center"/>
              <w:rPr>
                <w:b/>
                <w:bCs/>
                <w:color w:val="000000"/>
                <w:sz w:val="20"/>
                <w:szCs w:val="20"/>
                <w:lang w:val="fr-FR"/>
              </w:rPr>
            </w:pPr>
            <w:r w:rsidRPr="00123D18">
              <w:rPr>
                <w:b/>
                <w:bCs/>
                <w:color w:val="000000"/>
                <w:sz w:val="20"/>
                <w:szCs w:val="20"/>
                <w:lang w:val="fr-FR"/>
              </w:rPr>
              <w:t>2022 – 2026</w:t>
            </w:r>
          </w:p>
        </w:tc>
      </w:tr>
      <w:tr w:rsidR="00045AA9" w:rsidRPr="00E3303D" w14:paraId="190D461F" w14:textId="77777777" w:rsidTr="0063050C">
        <w:trPr>
          <w:jc w:val="right"/>
        </w:trPr>
        <w:tc>
          <w:tcPr>
            <w:tcW w:w="2816" w:type="pct"/>
            <w:shd w:val="clear" w:color="auto" w:fill="auto"/>
          </w:tcPr>
          <w:p w14:paraId="0FF07A68" w14:textId="77777777" w:rsidR="00045AA9" w:rsidRPr="00123D18" w:rsidRDefault="00045AA9" w:rsidP="0063050C">
            <w:pPr>
              <w:jc w:val="left"/>
              <w:rPr>
                <w:sz w:val="20"/>
                <w:szCs w:val="20"/>
                <w:lang w:val="fr-FR"/>
              </w:rPr>
            </w:pPr>
            <w:r>
              <w:rPr>
                <w:sz w:val="20"/>
                <w:szCs w:val="20"/>
                <w:lang w:val="fr-FR"/>
              </w:rPr>
              <w:t>Reconversion de 5 chaines supplémentaires de fabrication de RAC</w:t>
            </w:r>
          </w:p>
        </w:tc>
        <w:tc>
          <w:tcPr>
            <w:tcW w:w="728" w:type="pct"/>
            <w:shd w:val="clear" w:color="auto" w:fill="auto"/>
          </w:tcPr>
          <w:p w14:paraId="17949C16" w14:textId="77777777" w:rsidR="00045AA9" w:rsidRPr="00123D18" w:rsidRDefault="00045AA9" w:rsidP="0063050C">
            <w:pPr>
              <w:jc w:val="right"/>
              <w:rPr>
                <w:color w:val="000000"/>
                <w:sz w:val="20"/>
                <w:szCs w:val="20"/>
                <w:lang w:val="fr-FR"/>
              </w:rPr>
            </w:pPr>
            <w:r w:rsidRPr="00123D18">
              <w:rPr>
                <w:color w:val="000000"/>
                <w:sz w:val="20"/>
                <w:szCs w:val="20"/>
                <w:lang w:val="fr-FR"/>
              </w:rPr>
              <w:t xml:space="preserve"> </w:t>
            </w:r>
          </w:p>
        </w:tc>
        <w:tc>
          <w:tcPr>
            <w:tcW w:w="729" w:type="pct"/>
            <w:shd w:val="clear" w:color="auto" w:fill="auto"/>
          </w:tcPr>
          <w:p w14:paraId="3B34A33A" w14:textId="77777777" w:rsidR="00045AA9" w:rsidRPr="00123D18" w:rsidRDefault="00045AA9" w:rsidP="0063050C">
            <w:pPr>
              <w:jc w:val="center"/>
              <w:rPr>
                <w:b/>
                <w:bCs/>
                <w:color w:val="000000"/>
                <w:sz w:val="20"/>
                <w:szCs w:val="20"/>
                <w:lang w:val="fr-FR"/>
              </w:rPr>
            </w:pPr>
          </w:p>
        </w:tc>
        <w:tc>
          <w:tcPr>
            <w:tcW w:w="727" w:type="pct"/>
            <w:shd w:val="clear" w:color="auto" w:fill="auto"/>
          </w:tcPr>
          <w:p w14:paraId="6D66BA7D" w14:textId="77777777" w:rsidR="00045AA9" w:rsidRPr="00123D18" w:rsidRDefault="00045AA9" w:rsidP="0063050C">
            <w:pPr>
              <w:jc w:val="center"/>
              <w:rPr>
                <w:b/>
                <w:bCs/>
                <w:color w:val="000000"/>
                <w:sz w:val="20"/>
                <w:szCs w:val="20"/>
                <w:lang w:val="fr-FR"/>
              </w:rPr>
            </w:pPr>
          </w:p>
        </w:tc>
      </w:tr>
      <w:tr w:rsidR="00045AA9" w:rsidRPr="00123D18" w14:paraId="3010D014" w14:textId="77777777" w:rsidTr="0063050C">
        <w:trPr>
          <w:jc w:val="right"/>
        </w:trPr>
        <w:tc>
          <w:tcPr>
            <w:tcW w:w="2816" w:type="pct"/>
            <w:shd w:val="clear" w:color="auto" w:fill="auto"/>
          </w:tcPr>
          <w:p w14:paraId="2D47DEB7" w14:textId="77777777" w:rsidR="00045AA9" w:rsidRPr="00123D18" w:rsidRDefault="00045AA9" w:rsidP="0063050C">
            <w:pPr>
              <w:jc w:val="right"/>
              <w:rPr>
                <w:sz w:val="20"/>
                <w:szCs w:val="20"/>
                <w:lang w:val="fr-FR"/>
              </w:rPr>
            </w:pPr>
            <w:r>
              <w:rPr>
                <w:sz w:val="20"/>
                <w:szCs w:val="20"/>
                <w:lang w:val="fr-FR"/>
              </w:rPr>
              <w:t>Surcoûts d’investissement</w:t>
            </w:r>
          </w:p>
        </w:tc>
        <w:tc>
          <w:tcPr>
            <w:tcW w:w="728" w:type="pct"/>
            <w:shd w:val="clear" w:color="auto" w:fill="auto"/>
            <w:vAlign w:val="center"/>
          </w:tcPr>
          <w:p w14:paraId="3937E8F3" w14:textId="77777777" w:rsidR="00045AA9" w:rsidRPr="00123D18" w:rsidRDefault="00045AA9" w:rsidP="0063050C">
            <w:pPr>
              <w:jc w:val="right"/>
              <w:rPr>
                <w:color w:val="000000"/>
                <w:sz w:val="20"/>
                <w:szCs w:val="20"/>
                <w:lang w:val="fr-FR"/>
              </w:rPr>
            </w:pPr>
          </w:p>
        </w:tc>
        <w:tc>
          <w:tcPr>
            <w:tcW w:w="729" w:type="pct"/>
            <w:shd w:val="clear" w:color="auto" w:fill="auto"/>
            <w:vAlign w:val="center"/>
          </w:tcPr>
          <w:p w14:paraId="30F07D48" w14:textId="77777777" w:rsidR="00045AA9" w:rsidRPr="00123D18" w:rsidRDefault="00045AA9" w:rsidP="0063050C">
            <w:pPr>
              <w:jc w:val="right"/>
              <w:rPr>
                <w:sz w:val="20"/>
                <w:szCs w:val="20"/>
                <w:lang w:val="fr-FR"/>
              </w:rPr>
            </w:pPr>
            <w:r>
              <w:rPr>
                <w:sz w:val="20"/>
                <w:szCs w:val="20"/>
                <w:lang w:val="fr-FR"/>
              </w:rPr>
              <w:t>3,</w:t>
            </w:r>
            <w:r w:rsidRPr="00123D18">
              <w:rPr>
                <w:sz w:val="20"/>
                <w:szCs w:val="20"/>
                <w:lang w:val="fr-FR"/>
              </w:rPr>
              <w:t>53</w:t>
            </w:r>
          </w:p>
        </w:tc>
        <w:tc>
          <w:tcPr>
            <w:tcW w:w="727" w:type="pct"/>
            <w:shd w:val="clear" w:color="auto" w:fill="auto"/>
            <w:vAlign w:val="center"/>
          </w:tcPr>
          <w:p w14:paraId="1503062E" w14:textId="77777777" w:rsidR="00045AA9" w:rsidRPr="00123D18" w:rsidRDefault="00045AA9" w:rsidP="0063050C">
            <w:pPr>
              <w:jc w:val="right"/>
              <w:rPr>
                <w:sz w:val="20"/>
                <w:szCs w:val="20"/>
                <w:lang w:val="fr-FR"/>
              </w:rPr>
            </w:pPr>
            <w:r>
              <w:rPr>
                <w:sz w:val="20"/>
                <w:szCs w:val="20"/>
                <w:lang w:val="fr-FR"/>
              </w:rPr>
              <w:t xml:space="preserve">7 109 </w:t>
            </w:r>
            <w:r w:rsidRPr="00123D18">
              <w:rPr>
                <w:sz w:val="20"/>
                <w:szCs w:val="20"/>
                <w:lang w:val="fr-FR"/>
              </w:rPr>
              <w:t>035</w:t>
            </w:r>
          </w:p>
        </w:tc>
      </w:tr>
      <w:tr w:rsidR="00045AA9" w:rsidRPr="00123D18" w14:paraId="67C92F17" w14:textId="77777777" w:rsidTr="0063050C">
        <w:trPr>
          <w:jc w:val="right"/>
        </w:trPr>
        <w:tc>
          <w:tcPr>
            <w:tcW w:w="2816" w:type="pct"/>
            <w:shd w:val="clear" w:color="auto" w:fill="auto"/>
          </w:tcPr>
          <w:p w14:paraId="100B600B" w14:textId="77777777" w:rsidR="00045AA9" w:rsidRPr="00123D18" w:rsidRDefault="00045AA9" w:rsidP="0063050C">
            <w:pPr>
              <w:jc w:val="right"/>
              <w:rPr>
                <w:sz w:val="20"/>
                <w:szCs w:val="20"/>
                <w:lang w:val="fr-FR"/>
              </w:rPr>
            </w:pPr>
            <w:r>
              <w:rPr>
                <w:sz w:val="20"/>
                <w:szCs w:val="20"/>
                <w:lang w:val="fr-FR"/>
              </w:rPr>
              <w:t>Surcoûts d’exploitation</w:t>
            </w:r>
          </w:p>
        </w:tc>
        <w:tc>
          <w:tcPr>
            <w:tcW w:w="728" w:type="pct"/>
            <w:shd w:val="clear" w:color="auto" w:fill="auto"/>
            <w:vAlign w:val="center"/>
          </w:tcPr>
          <w:p w14:paraId="1F703222" w14:textId="77777777" w:rsidR="00045AA9" w:rsidRPr="00123D18" w:rsidRDefault="00045AA9" w:rsidP="0063050C">
            <w:pPr>
              <w:jc w:val="right"/>
              <w:rPr>
                <w:color w:val="000000"/>
                <w:sz w:val="20"/>
                <w:szCs w:val="20"/>
                <w:lang w:val="fr-FR"/>
              </w:rPr>
            </w:pPr>
          </w:p>
        </w:tc>
        <w:tc>
          <w:tcPr>
            <w:tcW w:w="729" w:type="pct"/>
            <w:shd w:val="clear" w:color="auto" w:fill="auto"/>
            <w:vAlign w:val="center"/>
          </w:tcPr>
          <w:p w14:paraId="2E3FF54E" w14:textId="77777777" w:rsidR="00045AA9" w:rsidRPr="00123D18" w:rsidRDefault="00045AA9" w:rsidP="0063050C">
            <w:pPr>
              <w:jc w:val="right"/>
              <w:rPr>
                <w:sz w:val="20"/>
                <w:szCs w:val="20"/>
                <w:lang w:val="fr-FR"/>
              </w:rPr>
            </w:pPr>
            <w:r>
              <w:rPr>
                <w:sz w:val="20"/>
                <w:szCs w:val="20"/>
                <w:lang w:val="fr-FR"/>
              </w:rPr>
              <w:t>6,</w:t>
            </w:r>
            <w:r w:rsidRPr="00123D18">
              <w:rPr>
                <w:sz w:val="20"/>
                <w:szCs w:val="20"/>
                <w:lang w:val="fr-FR"/>
              </w:rPr>
              <w:t>30</w:t>
            </w:r>
          </w:p>
        </w:tc>
        <w:tc>
          <w:tcPr>
            <w:tcW w:w="727" w:type="pct"/>
            <w:shd w:val="clear" w:color="auto" w:fill="auto"/>
            <w:vAlign w:val="center"/>
          </w:tcPr>
          <w:p w14:paraId="66B27897" w14:textId="77777777" w:rsidR="00045AA9" w:rsidRPr="00123D18" w:rsidRDefault="00045AA9" w:rsidP="0063050C">
            <w:pPr>
              <w:jc w:val="right"/>
              <w:rPr>
                <w:sz w:val="20"/>
                <w:szCs w:val="20"/>
                <w:lang w:val="fr-FR"/>
              </w:rPr>
            </w:pPr>
            <w:r>
              <w:rPr>
                <w:sz w:val="20"/>
                <w:szCs w:val="20"/>
                <w:lang w:val="fr-FR"/>
              </w:rPr>
              <w:t xml:space="preserve">12 681 </w:t>
            </w:r>
            <w:r w:rsidRPr="00123D18">
              <w:rPr>
                <w:sz w:val="20"/>
                <w:szCs w:val="20"/>
                <w:lang w:val="fr-FR"/>
              </w:rPr>
              <w:t>900</w:t>
            </w:r>
          </w:p>
        </w:tc>
      </w:tr>
      <w:tr w:rsidR="00045AA9" w:rsidRPr="00123D18" w14:paraId="32A0E935" w14:textId="77777777" w:rsidTr="0063050C">
        <w:trPr>
          <w:jc w:val="right"/>
        </w:trPr>
        <w:tc>
          <w:tcPr>
            <w:tcW w:w="2816" w:type="pct"/>
            <w:shd w:val="clear" w:color="auto" w:fill="auto"/>
          </w:tcPr>
          <w:p w14:paraId="2C207753" w14:textId="77777777" w:rsidR="00045AA9" w:rsidRPr="00123D18" w:rsidRDefault="00045AA9" w:rsidP="0063050C">
            <w:pPr>
              <w:jc w:val="left"/>
              <w:rPr>
                <w:sz w:val="20"/>
                <w:szCs w:val="20"/>
                <w:lang w:val="fr-FR"/>
              </w:rPr>
            </w:pPr>
            <w:r>
              <w:rPr>
                <w:sz w:val="20"/>
                <w:szCs w:val="20"/>
                <w:lang w:val="fr-FR"/>
              </w:rPr>
              <w:t xml:space="preserve">Reconversion de trois chaines de </w:t>
            </w:r>
            <w:r w:rsidRPr="00123D18">
              <w:rPr>
                <w:sz w:val="20"/>
                <w:szCs w:val="20"/>
                <w:lang w:val="fr-FR"/>
              </w:rPr>
              <w:t xml:space="preserve">HPWH </w:t>
            </w:r>
            <w:r>
              <w:rPr>
                <w:sz w:val="20"/>
                <w:szCs w:val="20"/>
                <w:lang w:val="fr-FR"/>
              </w:rPr>
              <w:t>au</w:t>
            </w:r>
            <w:r w:rsidRPr="00123D18">
              <w:rPr>
                <w:sz w:val="20"/>
                <w:szCs w:val="20"/>
                <w:lang w:val="fr-FR"/>
              </w:rPr>
              <w:t xml:space="preserve"> R-290</w:t>
            </w:r>
          </w:p>
        </w:tc>
        <w:tc>
          <w:tcPr>
            <w:tcW w:w="728" w:type="pct"/>
            <w:shd w:val="clear" w:color="auto" w:fill="auto"/>
            <w:vAlign w:val="center"/>
          </w:tcPr>
          <w:p w14:paraId="748E6931" w14:textId="77777777" w:rsidR="00045AA9" w:rsidRPr="00123D18" w:rsidRDefault="00045AA9" w:rsidP="0063050C">
            <w:pPr>
              <w:jc w:val="right"/>
              <w:rPr>
                <w:color w:val="000000"/>
                <w:sz w:val="20"/>
                <w:szCs w:val="20"/>
                <w:lang w:val="fr-FR"/>
              </w:rPr>
            </w:pPr>
            <w:r w:rsidRPr="00123D18">
              <w:rPr>
                <w:color w:val="000000"/>
                <w:sz w:val="20"/>
                <w:szCs w:val="20"/>
                <w:lang w:val="fr-FR"/>
              </w:rPr>
              <w:t>72</w:t>
            </w:r>
          </w:p>
        </w:tc>
        <w:tc>
          <w:tcPr>
            <w:tcW w:w="729" w:type="pct"/>
            <w:shd w:val="clear" w:color="auto" w:fill="auto"/>
            <w:vAlign w:val="center"/>
          </w:tcPr>
          <w:p w14:paraId="166665EE" w14:textId="77777777" w:rsidR="00045AA9" w:rsidRPr="00123D18" w:rsidRDefault="00045AA9" w:rsidP="0063050C">
            <w:pPr>
              <w:jc w:val="right"/>
              <w:rPr>
                <w:sz w:val="20"/>
                <w:szCs w:val="20"/>
                <w:lang w:val="fr-FR"/>
              </w:rPr>
            </w:pPr>
          </w:p>
        </w:tc>
        <w:tc>
          <w:tcPr>
            <w:tcW w:w="727" w:type="pct"/>
            <w:shd w:val="clear" w:color="auto" w:fill="auto"/>
            <w:vAlign w:val="center"/>
          </w:tcPr>
          <w:p w14:paraId="716108F1" w14:textId="77777777" w:rsidR="00045AA9" w:rsidRPr="00123D18" w:rsidRDefault="00045AA9" w:rsidP="0063050C">
            <w:pPr>
              <w:jc w:val="right"/>
              <w:rPr>
                <w:sz w:val="20"/>
                <w:szCs w:val="20"/>
                <w:lang w:val="fr-FR"/>
              </w:rPr>
            </w:pPr>
          </w:p>
        </w:tc>
      </w:tr>
      <w:tr w:rsidR="00045AA9" w:rsidRPr="00123D18" w14:paraId="33E62011" w14:textId="77777777" w:rsidTr="0063050C">
        <w:trPr>
          <w:jc w:val="right"/>
        </w:trPr>
        <w:tc>
          <w:tcPr>
            <w:tcW w:w="2816" w:type="pct"/>
            <w:shd w:val="clear" w:color="auto" w:fill="auto"/>
          </w:tcPr>
          <w:p w14:paraId="621F6035" w14:textId="77777777" w:rsidR="00045AA9" w:rsidRPr="00123D18" w:rsidRDefault="00045AA9" w:rsidP="0063050C">
            <w:pPr>
              <w:jc w:val="right"/>
              <w:rPr>
                <w:sz w:val="20"/>
                <w:szCs w:val="20"/>
                <w:lang w:val="fr-FR"/>
              </w:rPr>
            </w:pPr>
            <w:r>
              <w:rPr>
                <w:sz w:val="20"/>
                <w:szCs w:val="20"/>
                <w:lang w:val="fr-FR"/>
              </w:rPr>
              <w:t>Surcoûts d’investissement</w:t>
            </w:r>
          </w:p>
        </w:tc>
        <w:tc>
          <w:tcPr>
            <w:tcW w:w="728" w:type="pct"/>
            <w:shd w:val="clear" w:color="auto" w:fill="auto"/>
            <w:vAlign w:val="center"/>
          </w:tcPr>
          <w:p w14:paraId="68BAB5CE" w14:textId="77777777" w:rsidR="00045AA9" w:rsidRPr="00123D18" w:rsidRDefault="00045AA9" w:rsidP="0063050C">
            <w:pPr>
              <w:jc w:val="right"/>
              <w:rPr>
                <w:color w:val="000000"/>
                <w:sz w:val="20"/>
                <w:szCs w:val="20"/>
                <w:lang w:val="fr-FR"/>
              </w:rPr>
            </w:pPr>
          </w:p>
        </w:tc>
        <w:tc>
          <w:tcPr>
            <w:tcW w:w="729" w:type="pct"/>
            <w:shd w:val="clear" w:color="auto" w:fill="auto"/>
            <w:vAlign w:val="center"/>
          </w:tcPr>
          <w:p w14:paraId="5DDD96E5" w14:textId="77777777" w:rsidR="00045AA9" w:rsidRPr="00123D18" w:rsidRDefault="00045AA9" w:rsidP="0063050C">
            <w:pPr>
              <w:jc w:val="right"/>
              <w:rPr>
                <w:sz w:val="20"/>
                <w:szCs w:val="20"/>
                <w:lang w:val="fr-FR"/>
              </w:rPr>
            </w:pPr>
            <w:r>
              <w:rPr>
                <w:sz w:val="20"/>
                <w:szCs w:val="20"/>
                <w:lang w:val="fr-FR"/>
              </w:rPr>
              <w:t>12,</w:t>
            </w:r>
            <w:r w:rsidRPr="00123D18">
              <w:rPr>
                <w:sz w:val="20"/>
                <w:szCs w:val="20"/>
                <w:lang w:val="fr-FR"/>
              </w:rPr>
              <w:t>61</w:t>
            </w:r>
          </w:p>
        </w:tc>
        <w:tc>
          <w:tcPr>
            <w:tcW w:w="727" w:type="pct"/>
            <w:shd w:val="clear" w:color="auto" w:fill="auto"/>
            <w:vAlign w:val="center"/>
          </w:tcPr>
          <w:p w14:paraId="18F2C116" w14:textId="77777777" w:rsidR="00045AA9" w:rsidRPr="00123D18" w:rsidRDefault="00045AA9" w:rsidP="0063050C">
            <w:pPr>
              <w:jc w:val="right"/>
              <w:rPr>
                <w:sz w:val="20"/>
                <w:szCs w:val="20"/>
                <w:lang w:val="fr-FR"/>
              </w:rPr>
            </w:pPr>
            <w:r>
              <w:rPr>
                <w:sz w:val="20"/>
                <w:szCs w:val="20"/>
                <w:lang w:val="fr-FR"/>
              </w:rPr>
              <w:t xml:space="preserve">908 </w:t>
            </w:r>
            <w:r w:rsidRPr="00123D18">
              <w:rPr>
                <w:sz w:val="20"/>
                <w:szCs w:val="20"/>
                <w:lang w:val="fr-FR"/>
              </w:rPr>
              <w:t>250</w:t>
            </w:r>
          </w:p>
        </w:tc>
      </w:tr>
      <w:tr w:rsidR="00045AA9" w:rsidRPr="00123D18" w14:paraId="4B08FB9B" w14:textId="77777777" w:rsidTr="0063050C">
        <w:trPr>
          <w:jc w:val="right"/>
        </w:trPr>
        <w:tc>
          <w:tcPr>
            <w:tcW w:w="2816" w:type="pct"/>
            <w:shd w:val="clear" w:color="auto" w:fill="auto"/>
          </w:tcPr>
          <w:p w14:paraId="1E68F30F" w14:textId="77777777" w:rsidR="00045AA9" w:rsidRPr="00123D18" w:rsidRDefault="00045AA9" w:rsidP="0063050C">
            <w:pPr>
              <w:jc w:val="right"/>
              <w:rPr>
                <w:sz w:val="20"/>
                <w:szCs w:val="20"/>
                <w:lang w:val="fr-FR"/>
              </w:rPr>
            </w:pPr>
            <w:r>
              <w:rPr>
                <w:sz w:val="20"/>
                <w:szCs w:val="20"/>
                <w:lang w:val="fr-FR"/>
              </w:rPr>
              <w:t>Surcoûts d’exploitation</w:t>
            </w:r>
          </w:p>
        </w:tc>
        <w:tc>
          <w:tcPr>
            <w:tcW w:w="728" w:type="pct"/>
            <w:shd w:val="clear" w:color="auto" w:fill="auto"/>
            <w:vAlign w:val="center"/>
          </w:tcPr>
          <w:p w14:paraId="3B4159D8" w14:textId="77777777" w:rsidR="00045AA9" w:rsidRPr="00123D18" w:rsidRDefault="00045AA9" w:rsidP="0063050C">
            <w:pPr>
              <w:jc w:val="right"/>
              <w:rPr>
                <w:color w:val="000000"/>
                <w:sz w:val="20"/>
                <w:szCs w:val="20"/>
                <w:lang w:val="fr-FR"/>
              </w:rPr>
            </w:pPr>
          </w:p>
        </w:tc>
        <w:tc>
          <w:tcPr>
            <w:tcW w:w="729" w:type="pct"/>
            <w:shd w:val="clear" w:color="auto" w:fill="auto"/>
            <w:vAlign w:val="center"/>
          </w:tcPr>
          <w:p w14:paraId="552093AD" w14:textId="77777777" w:rsidR="00045AA9" w:rsidRPr="00123D18" w:rsidRDefault="00045AA9" w:rsidP="0063050C">
            <w:pPr>
              <w:jc w:val="right"/>
              <w:rPr>
                <w:sz w:val="20"/>
                <w:szCs w:val="20"/>
                <w:lang w:val="fr-FR"/>
              </w:rPr>
            </w:pPr>
            <w:r>
              <w:rPr>
                <w:sz w:val="20"/>
                <w:szCs w:val="20"/>
                <w:lang w:val="fr-FR"/>
              </w:rPr>
              <w:t>6,</w:t>
            </w:r>
            <w:r w:rsidRPr="00123D18">
              <w:rPr>
                <w:sz w:val="20"/>
                <w:szCs w:val="20"/>
                <w:lang w:val="fr-FR"/>
              </w:rPr>
              <w:t>30</w:t>
            </w:r>
          </w:p>
        </w:tc>
        <w:tc>
          <w:tcPr>
            <w:tcW w:w="727" w:type="pct"/>
            <w:shd w:val="clear" w:color="auto" w:fill="auto"/>
            <w:vAlign w:val="center"/>
          </w:tcPr>
          <w:p w14:paraId="5DCE3660" w14:textId="77777777" w:rsidR="00045AA9" w:rsidRPr="00123D18" w:rsidRDefault="00045AA9" w:rsidP="0063050C">
            <w:pPr>
              <w:jc w:val="right"/>
              <w:rPr>
                <w:sz w:val="20"/>
                <w:szCs w:val="20"/>
                <w:lang w:val="fr-FR"/>
              </w:rPr>
            </w:pPr>
            <w:r>
              <w:rPr>
                <w:sz w:val="20"/>
                <w:szCs w:val="20"/>
                <w:lang w:val="fr-FR"/>
              </w:rPr>
              <w:t xml:space="preserve">453 </w:t>
            </w:r>
            <w:r w:rsidRPr="00123D18">
              <w:rPr>
                <w:sz w:val="20"/>
                <w:szCs w:val="20"/>
                <w:lang w:val="fr-FR"/>
              </w:rPr>
              <w:t>600</w:t>
            </w:r>
          </w:p>
        </w:tc>
      </w:tr>
      <w:tr w:rsidR="00045AA9" w:rsidRPr="00123D18" w14:paraId="1BEB905A" w14:textId="77777777" w:rsidTr="0063050C">
        <w:trPr>
          <w:jc w:val="right"/>
        </w:trPr>
        <w:tc>
          <w:tcPr>
            <w:tcW w:w="2816" w:type="pct"/>
            <w:shd w:val="clear" w:color="auto" w:fill="auto"/>
          </w:tcPr>
          <w:p w14:paraId="32A95761" w14:textId="77777777" w:rsidR="00045AA9" w:rsidRPr="00123D18" w:rsidRDefault="00045AA9" w:rsidP="0063050C">
            <w:pPr>
              <w:jc w:val="left"/>
              <w:rPr>
                <w:sz w:val="20"/>
                <w:szCs w:val="20"/>
                <w:lang w:val="fr-FR"/>
              </w:rPr>
            </w:pPr>
            <w:r>
              <w:rPr>
                <w:sz w:val="20"/>
                <w:szCs w:val="20"/>
                <w:lang w:val="fr-FR"/>
              </w:rPr>
              <w:t xml:space="preserve">Quatre activités d’assistance technique pour accroître la part de marché de la technologie RAC à base de R-290 </w:t>
            </w:r>
          </w:p>
        </w:tc>
        <w:tc>
          <w:tcPr>
            <w:tcW w:w="728" w:type="pct"/>
            <w:shd w:val="clear" w:color="auto" w:fill="auto"/>
            <w:vAlign w:val="center"/>
          </w:tcPr>
          <w:p w14:paraId="2589F78F"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38EB0231"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2ABFD217" w14:textId="77777777" w:rsidR="00045AA9" w:rsidRPr="00123D18" w:rsidRDefault="00045AA9" w:rsidP="0063050C">
            <w:pPr>
              <w:jc w:val="right"/>
              <w:rPr>
                <w:sz w:val="20"/>
                <w:szCs w:val="20"/>
                <w:lang w:val="fr-FR"/>
              </w:rPr>
            </w:pPr>
            <w:r>
              <w:rPr>
                <w:sz w:val="20"/>
                <w:szCs w:val="20"/>
                <w:lang w:val="fr-FR"/>
              </w:rPr>
              <w:t xml:space="preserve">2 740 </w:t>
            </w:r>
            <w:r w:rsidRPr="00123D18">
              <w:rPr>
                <w:sz w:val="20"/>
                <w:szCs w:val="20"/>
                <w:lang w:val="fr-FR"/>
              </w:rPr>
              <w:t>000</w:t>
            </w:r>
          </w:p>
        </w:tc>
      </w:tr>
      <w:tr w:rsidR="00045AA9" w:rsidRPr="00123D18" w14:paraId="71965697" w14:textId="77777777" w:rsidTr="0063050C">
        <w:trPr>
          <w:jc w:val="right"/>
        </w:trPr>
        <w:tc>
          <w:tcPr>
            <w:tcW w:w="2816" w:type="pct"/>
            <w:shd w:val="clear" w:color="auto" w:fill="auto"/>
          </w:tcPr>
          <w:p w14:paraId="370D97ED" w14:textId="77777777" w:rsidR="00045AA9" w:rsidRPr="00123D18" w:rsidRDefault="00045AA9" w:rsidP="0063050C">
            <w:pPr>
              <w:rPr>
                <w:sz w:val="20"/>
                <w:szCs w:val="20"/>
                <w:lang w:val="fr-FR"/>
              </w:rPr>
            </w:pPr>
            <w:r w:rsidRPr="00123D18">
              <w:rPr>
                <w:sz w:val="20"/>
                <w:szCs w:val="20"/>
                <w:lang w:val="fr-FR"/>
              </w:rPr>
              <w:t>A</w:t>
            </w:r>
            <w:r>
              <w:rPr>
                <w:sz w:val="20"/>
                <w:szCs w:val="20"/>
                <w:lang w:val="fr-FR"/>
              </w:rPr>
              <w:t>ssistance technique pou</w:t>
            </w:r>
            <w:r w:rsidRPr="00123D18">
              <w:rPr>
                <w:sz w:val="20"/>
                <w:szCs w:val="20"/>
                <w:lang w:val="fr-FR"/>
              </w:rPr>
              <w:t>r R&amp;D</w:t>
            </w:r>
          </w:p>
        </w:tc>
        <w:tc>
          <w:tcPr>
            <w:tcW w:w="728" w:type="pct"/>
            <w:shd w:val="clear" w:color="auto" w:fill="auto"/>
            <w:vAlign w:val="center"/>
          </w:tcPr>
          <w:p w14:paraId="1F8A20AA"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1113CAC4"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3F566CBD" w14:textId="77777777" w:rsidR="00045AA9" w:rsidRPr="00123D18" w:rsidRDefault="00045AA9" w:rsidP="0063050C">
            <w:pPr>
              <w:jc w:val="right"/>
              <w:rPr>
                <w:sz w:val="20"/>
                <w:szCs w:val="20"/>
                <w:lang w:val="fr-FR"/>
              </w:rPr>
            </w:pPr>
            <w:r>
              <w:rPr>
                <w:sz w:val="20"/>
                <w:szCs w:val="20"/>
                <w:lang w:val="fr-FR"/>
              </w:rPr>
              <w:t xml:space="preserve">1 310 </w:t>
            </w:r>
            <w:r w:rsidRPr="00123D18">
              <w:rPr>
                <w:sz w:val="20"/>
                <w:szCs w:val="20"/>
                <w:lang w:val="fr-FR"/>
              </w:rPr>
              <w:t>000</w:t>
            </w:r>
          </w:p>
        </w:tc>
      </w:tr>
      <w:tr w:rsidR="00045AA9" w:rsidRPr="00123D18" w14:paraId="6D2C8D11" w14:textId="77777777" w:rsidTr="0063050C">
        <w:trPr>
          <w:jc w:val="right"/>
        </w:trPr>
        <w:tc>
          <w:tcPr>
            <w:tcW w:w="2816" w:type="pct"/>
            <w:shd w:val="clear" w:color="auto" w:fill="auto"/>
          </w:tcPr>
          <w:p w14:paraId="2F84C715" w14:textId="77777777" w:rsidR="00045AA9" w:rsidRPr="00123D18" w:rsidRDefault="00045AA9" w:rsidP="0063050C">
            <w:pPr>
              <w:rPr>
                <w:sz w:val="20"/>
                <w:szCs w:val="20"/>
                <w:lang w:val="fr-FR"/>
              </w:rPr>
            </w:pPr>
            <w:r>
              <w:rPr>
                <w:sz w:val="20"/>
                <w:szCs w:val="20"/>
                <w:lang w:val="fr-FR"/>
              </w:rPr>
              <w:t>Assistance technique pour les normes</w:t>
            </w:r>
          </w:p>
        </w:tc>
        <w:tc>
          <w:tcPr>
            <w:tcW w:w="728" w:type="pct"/>
            <w:shd w:val="clear" w:color="auto" w:fill="auto"/>
            <w:vAlign w:val="center"/>
          </w:tcPr>
          <w:p w14:paraId="13D63D95"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1D054583"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6E4877E5" w14:textId="77777777" w:rsidR="00045AA9" w:rsidRPr="00123D18" w:rsidRDefault="00045AA9" w:rsidP="0063050C">
            <w:pPr>
              <w:jc w:val="right"/>
              <w:rPr>
                <w:sz w:val="20"/>
                <w:szCs w:val="20"/>
                <w:lang w:val="fr-FR"/>
              </w:rPr>
            </w:pPr>
            <w:r>
              <w:rPr>
                <w:sz w:val="20"/>
                <w:szCs w:val="20"/>
                <w:lang w:val="fr-FR"/>
              </w:rPr>
              <w:t xml:space="preserve">596 </w:t>
            </w:r>
            <w:r w:rsidRPr="00123D18">
              <w:rPr>
                <w:sz w:val="20"/>
                <w:szCs w:val="20"/>
                <w:lang w:val="fr-FR"/>
              </w:rPr>
              <w:t>000</w:t>
            </w:r>
          </w:p>
        </w:tc>
      </w:tr>
      <w:tr w:rsidR="00045AA9" w:rsidRPr="00123D18" w14:paraId="473EC4DF" w14:textId="77777777" w:rsidTr="0063050C">
        <w:trPr>
          <w:jc w:val="right"/>
        </w:trPr>
        <w:tc>
          <w:tcPr>
            <w:tcW w:w="2816" w:type="pct"/>
            <w:shd w:val="clear" w:color="auto" w:fill="auto"/>
          </w:tcPr>
          <w:p w14:paraId="612CAF33" w14:textId="77777777" w:rsidR="00045AA9" w:rsidRPr="00123D18" w:rsidRDefault="00045AA9" w:rsidP="0063050C">
            <w:pPr>
              <w:rPr>
                <w:sz w:val="20"/>
                <w:szCs w:val="20"/>
                <w:lang w:val="fr-FR"/>
              </w:rPr>
            </w:pPr>
            <w:r>
              <w:rPr>
                <w:sz w:val="20"/>
                <w:szCs w:val="20"/>
                <w:lang w:val="fr-FR"/>
              </w:rPr>
              <w:t>Sensibilisation</w:t>
            </w:r>
          </w:p>
        </w:tc>
        <w:tc>
          <w:tcPr>
            <w:tcW w:w="728" w:type="pct"/>
            <w:shd w:val="clear" w:color="auto" w:fill="auto"/>
            <w:vAlign w:val="center"/>
          </w:tcPr>
          <w:p w14:paraId="0A4A1245"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56AB9344"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0F3D8C5F" w14:textId="77777777" w:rsidR="00045AA9" w:rsidRPr="00123D18" w:rsidRDefault="00045AA9" w:rsidP="0063050C">
            <w:pPr>
              <w:jc w:val="right"/>
              <w:rPr>
                <w:sz w:val="20"/>
                <w:szCs w:val="20"/>
                <w:lang w:val="fr-FR"/>
              </w:rPr>
            </w:pPr>
            <w:r>
              <w:rPr>
                <w:sz w:val="20"/>
                <w:szCs w:val="20"/>
                <w:lang w:val="fr-FR"/>
              </w:rPr>
              <w:t xml:space="preserve">447 </w:t>
            </w:r>
            <w:r w:rsidRPr="00123D18">
              <w:rPr>
                <w:sz w:val="20"/>
                <w:szCs w:val="20"/>
                <w:lang w:val="fr-FR"/>
              </w:rPr>
              <w:t>476</w:t>
            </w:r>
          </w:p>
        </w:tc>
      </w:tr>
      <w:tr w:rsidR="00045AA9" w:rsidRPr="00123D18" w14:paraId="754FC61D" w14:textId="77777777" w:rsidTr="0063050C">
        <w:trPr>
          <w:jc w:val="right"/>
        </w:trPr>
        <w:tc>
          <w:tcPr>
            <w:tcW w:w="2816" w:type="pct"/>
            <w:shd w:val="clear" w:color="auto" w:fill="auto"/>
          </w:tcPr>
          <w:p w14:paraId="4E1366DE" w14:textId="77777777" w:rsidR="00045AA9" w:rsidRPr="00123D18" w:rsidRDefault="00045AA9" w:rsidP="0063050C">
            <w:pPr>
              <w:rPr>
                <w:sz w:val="20"/>
                <w:szCs w:val="20"/>
                <w:lang w:val="fr-FR"/>
              </w:rPr>
            </w:pPr>
            <w:r>
              <w:rPr>
                <w:sz w:val="20"/>
                <w:szCs w:val="20"/>
                <w:lang w:val="fr-FR"/>
              </w:rPr>
              <w:t xml:space="preserve">Vérification indépendante des étapes des projets de  reconversion </w:t>
            </w:r>
          </w:p>
        </w:tc>
        <w:tc>
          <w:tcPr>
            <w:tcW w:w="728" w:type="pct"/>
            <w:shd w:val="clear" w:color="auto" w:fill="auto"/>
            <w:vAlign w:val="center"/>
          </w:tcPr>
          <w:p w14:paraId="595E33E7"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0DFA1C48"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4F1BB732" w14:textId="77777777" w:rsidR="00045AA9" w:rsidRPr="00123D18" w:rsidRDefault="00045AA9" w:rsidP="0063050C">
            <w:pPr>
              <w:jc w:val="right"/>
              <w:rPr>
                <w:sz w:val="20"/>
                <w:szCs w:val="20"/>
                <w:lang w:val="fr-FR"/>
              </w:rPr>
            </w:pPr>
            <w:r>
              <w:rPr>
                <w:sz w:val="20"/>
                <w:szCs w:val="20"/>
                <w:lang w:val="fr-FR"/>
              </w:rPr>
              <w:t xml:space="preserve">341 </w:t>
            </w:r>
            <w:r w:rsidRPr="00123D18">
              <w:rPr>
                <w:sz w:val="20"/>
                <w:szCs w:val="20"/>
                <w:lang w:val="fr-FR"/>
              </w:rPr>
              <w:t>000</w:t>
            </w:r>
          </w:p>
        </w:tc>
      </w:tr>
      <w:tr w:rsidR="00045AA9" w:rsidRPr="00123D18" w14:paraId="24C8B56E" w14:textId="77777777" w:rsidTr="0063050C">
        <w:trPr>
          <w:jc w:val="right"/>
        </w:trPr>
        <w:tc>
          <w:tcPr>
            <w:tcW w:w="2816" w:type="pct"/>
            <w:shd w:val="clear" w:color="auto" w:fill="auto"/>
          </w:tcPr>
          <w:p w14:paraId="10703548" w14:textId="77777777" w:rsidR="00045AA9" w:rsidRPr="00123D18" w:rsidRDefault="00045AA9" w:rsidP="0063050C">
            <w:pPr>
              <w:rPr>
                <w:sz w:val="20"/>
                <w:szCs w:val="20"/>
                <w:lang w:val="fr-FR"/>
              </w:rPr>
            </w:pPr>
            <w:r>
              <w:rPr>
                <w:sz w:val="20"/>
                <w:szCs w:val="20"/>
                <w:lang w:val="fr-FR"/>
              </w:rPr>
              <w:t xml:space="preserve">Suivi des progrès dans l’élimination du </w:t>
            </w:r>
            <w:r w:rsidRPr="00123D18">
              <w:rPr>
                <w:sz w:val="20"/>
                <w:szCs w:val="20"/>
                <w:lang w:val="fr-FR"/>
              </w:rPr>
              <w:t xml:space="preserve">HCFC-22 </w:t>
            </w:r>
          </w:p>
        </w:tc>
        <w:tc>
          <w:tcPr>
            <w:tcW w:w="728" w:type="pct"/>
            <w:shd w:val="clear" w:color="auto" w:fill="auto"/>
            <w:vAlign w:val="center"/>
          </w:tcPr>
          <w:p w14:paraId="3BB8D09E"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3C27FF7C"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658119D4" w14:textId="77777777" w:rsidR="00045AA9" w:rsidRPr="00123D18" w:rsidRDefault="00045AA9" w:rsidP="0063050C">
            <w:pPr>
              <w:jc w:val="right"/>
              <w:rPr>
                <w:sz w:val="20"/>
                <w:szCs w:val="20"/>
                <w:lang w:val="fr-FR"/>
              </w:rPr>
            </w:pPr>
            <w:r>
              <w:rPr>
                <w:sz w:val="20"/>
                <w:szCs w:val="20"/>
                <w:lang w:val="fr-FR"/>
              </w:rPr>
              <w:t xml:space="preserve">168 </w:t>
            </w:r>
            <w:r w:rsidRPr="00123D18">
              <w:rPr>
                <w:sz w:val="20"/>
                <w:szCs w:val="20"/>
                <w:lang w:val="fr-FR"/>
              </w:rPr>
              <w:t>000</w:t>
            </w:r>
          </w:p>
        </w:tc>
      </w:tr>
      <w:tr w:rsidR="00045AA9" w:rsidRPr="00123D18" w14:paraId="197CC7CA" w14:textId="77777777" w:rsidTr="0063050C">
        <w:trPr>
          <w:jc w:val="right"/>
        </w:trPr>
        <w:tc>
          <w:tcPr>
            <w:tcW w:w="2816" w:type="pct"/>
            <w:shd w:val="clear" w:color="auto" w:fill="auto"/>
          </w:tcPr>
          <w:p w14:paraId="42E50784" w14:textId="77777777" w:rsidR="00045AA9" w:rsidRPr="00123D18" w:rsidRDefault="00045AA9" w:rsidP="0063050C">
            <w:pPr>
              <w:rPr>
                <w:sz w:val="20"/>
                <w:szCs w:val="20"/>
                <w:lang w:val="fr-FR"/>
              </w:rPr>
            </w:pPr>
            <w:r w:rsidRPr="00123D18">
              <w:rPr>
                <w:sz w:val="20"/>
                <w:szCs w:val="20"/>
                <w:lang w:val="fr-FR"/>
              </w:rPr>
              <w:t>CHEAA</w:t>
            </w:r>
          </w:p>
        </w:tc>
        <w:tc>
          <w:tcPr>
            <w:tcW w:w="728" w:type="pct"/>
            <w:shd w:val="clear" w:color="auto" w:fill="auto"/>
            <w:vAlign w:val="center"/>
          </w:tcPr>
          <w:p w14:paraId="675E2286"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215F6B23"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649DEC3D" w14:textId="77777777" w:rsidR="00045AA9" w:rsidRPr="00123D18" w:rsidRDefault="00045AA9" w:rsidP="0063050C">
            <w:pPr>
              <w:jc w:val="right"/>
              <w:rPr>
                <w:sz w:val="20"/>
                <w:szCs w:val="20"/>
                <w:lang w:val="fr-FR"/>
              </w:rPr>
            </w:pPr>
            <w:r>
              <w:rPr>
                <w:sz w:val="20"/>
                <w:szCs w:val="20"/>
                <w:lang w:val="fr-FR"/>
              </w:rPr>
              <w:t xml:space="preserve">490 </w:t>
            </w:r>
            <w:r w:rsidRPr="00123D18">
              <w:rPr>
                <w:sz w:val="20"/>
                <w:szCs w:val="20"/>
                <w:lang w:val="fr-FR"/>
              </w:rPr>
              <w:t>129</w:t>
            </w:r>
          </w:p>
        </w:tc>
      </w:tr>
      <w:tr w:rsidR="00045AA9" w:rsidRPr="00123D18" w14:paraId="03EC3DDE" w14:textId="77777777" w:rsidTr="0063050C">
        <w:trPr>
          <w:jc w:val="right"/>
        </w:trPr>
        <w:tc>
          <w:tcPr>
            <w:tcW w:w="2816" w:type="pct"/>
            <w:shd w:val="clear" w:color="auto" w:fill="auto"/>
          </w:tcPr>
          <w:p w14:paraId="63094BE0" w14:textId="77777777" w:rsidR="00045AA9" w:rsidRPr="00123D18" w:rsidRDefault="00045AA9" w:rsidP="0063050C">
            <w:pPr>
              <w:rPr>
                <w:sz w:val="20"/>
                <w:szCs w:val="20"/>
                <w:lang w:val="fr-FR"/>
              </w:rPr>
            </w:pPr>
            <w:r w:rsidRPr="00123D18">
              <w:rPr>
                <w:sz w:val="20"/>
                <w:szCs w:val="20"/>
                <w:lang w:val="fr-FR"/>
              </w:rPr>
              <w:t>U</w:t>
            </w:r>
            <w:r>
              <w:rPr>
                <w:sz w:val="20"/>
                <w:szCs w:val="20"/>
                <w:lang w:val="fr-FR"/>
              </w:rPr>
              <w:t>GP</w:t>
            </w:r>
          </w:p>
        </w:tc>
        <w:tc>
          <w:tcPr>
            <w:tcW w:w="728" w:type="pct"/>
            <w:shd w:val="clear" w:color="auto" w:fill="auto"/>
            <w:vAlign w:val="center"/>
          </w:tcPr>
          <w:p w14:paraId="76B0B2C1" w14:textId="77777777" w:rsidR="00045AA9" w:rsidRPr="00123D18" w:rsidRDefault="00045AA9" w:rsidP="0063050C">
            <w:pPr>
              <w:jc w:val="right"/>
              <w:rPr>
                <w:sz w:val="20"/>
                <w:szCs w:val="20"/>
                <w:lang w:val="fr-FR"/>
              </w:rPr>
            </w:pPr>
            <w:r w:rsidRPr="00123D18">
              <w:rPr>
                <w:sz w:val="20"/>
                <w:szCs w:val="20"/>
                <w:lang w:val="fr-FR"/>
              </w:rPr>
              <w:t>0</w:t>
            </w:r>
          </w:p>
        </w:tc>
        <w:tc>
          <w:tcPr>
            <w:tcW w:w="729" w:type="pct"/>
            <w:shd w:val="clear" w:color="auto" w:fill="auto"/>
            <w:vAlign w:val="center"/>
          </w:tcPr>
          <w:p w14:paraId="73C682E8" w14:textId="77777777" w:rsidR="00045AA9" w:rsidRPr="00123D18" w:rsidRDefault="00045AA9" w:rsidP="0063050C">
            <w:pPr>
              <w:jc w:val="right"/>
              <w:rPr>
                <w:sz w:val="20"/>
                <w:szCs w:val="20"/>
                <w:lang w:val="fr-FR"/>
              </w:rPr>
            </w:pPr>
            <w:r w:rsidRPr="00123D18">
              <w:rPr>
                <w:sz w:val="20"/>
                <w:szCs w:val="20"/>
                <w:lang w:val="fr-FR"/>
              </w:rPr>
              <w:t>n/a</w:t>
            </w:r>
          </w:p>
        </w:tc>
        <w:tc>
          <w:tcPr>
            <w:tcW w:w="727" w:type="pct"/>
            <w:shd w:val="clear" w:color="auto" w:fill="auto"/>
            <w:vAlign w:val="center"/>
          </w:tcPr>
          <w:p w14:paraId="2198F498" w14:textId="77777777" w:rsidR="00045AA9" w:rsidRPr="00123D18" w:rsidRDefault="00045AA9" w:rsidP="0063050C">
            <w:pPr>
              <w:jc w:val="right"/>
              <w:rPr>
                <w:sz w:val="20"/>
                <w:szCs w:val="20"/>
                <w:lang w:val="fr-FR"/>
              </w:rPr>
            </w:pPr>
            <w:r>
              <w:rPr>
                <w:sz w:val="20"/>
                <w:szCs w:val="20"/>
                <w:lang w:val="fr-FR"/>
              </w:rPr>
              <w:t xml:space="preserve">1 585 </w:t>
            </w:r>
            <w:r w:rsidRPr="00123D18">
              <w:rPr>
                <w:sz w:val="20"/>
                <w:szCs w:val="20"/>
                <w:lang w:val="fr-FR"/>
              </w:rPr>
              <w:t>710</w:t>
            </w:r>
          </w:p>
        </w:tc>
      </w:tr>
      <w:tr w:rsidR="00045AA9" w:rsidRPr="00123D18" w14:paraId="1AA7D0E0" w14:textId="77777777" w:rsidTr="0063050C">
        <w:trPr>
          <w:jc w:val="right"/>
        </w:trPr>
        <w:tc>
          <w:tcPr>
            <w:tcW w:w="2816" w:type="pct"/>
            <w:shd w:val="clear" w:color="auto" w:fill="auto"/>
          </w:tcPr>
          <w:p w14:paraId="190E2E8A" w14:textId="77777777" w:rsidR="00045AA9" w:rsidRPr="00123D18" w:rsidRDefault="00045AA9" w:rsidP="0063050C">
            <w:pPr>
              <w:rPr>
                <w:sz w:val="20"/>
                <w:szCs w:val="20"/>
                <w:lang w:val="fr-FR"/>
              </w:rPr>
            </w:pPr>
            <w:r w:rsidRPr="00123D18">
              <w:rPr>
                <w:sz w:val="20"/>
                <w:szCs w:val="20"/>
                <w:lang w:val="fr-FR"/>
              </w:rPr>
              <w:tab/>
            </w:r>
            <w:r>
              <w:rPr>
                <w:sz w:val="20"/>
                <w:szCs w:val="20"/>
                <w:lang w:val="fr-FR"/>
              </w:rPr>
              <w:t>T</w:t>
            </w:r>
            <w:r w:rsidRPr="00123D18">
              <w:rPr>
                <w:sz w:val="20"/>
                <w:szCs w:val="20"/>
                <w:lang w:val="fr-FR"/>
              </w:rPr>
              <w:t>otal</w:t>
            </w:r>
            <w:r>
              <w:rPr>
                <w:sz w:val="20"/>
                <w:szCs w:val="20"/>
                <w:lang w:val="fr-FR"/>
              </w:rPr>
              <w:t xml:space="preserve"> partiel</w:t>
            </w:r>
            <w:r w:rsidRPr="00123D18">
              <w:rPr>
                <w:sz w:val="20"/>
                <w:szCs w:val="20"/>
                <w:lang w:val="fr-FR"/>
              </w:rPr>
              <w:t xml:space="preserve"> </w:t>
            </w:r>
          </w:p>
        </w:tc>
        <w:tc>
          <w:tcPr>
            <w:tcW w:w="728" w:type="pct"/>
            <w:shd w:val="clear" w:color="auto" w:fill="auto"/>
            <w:vAlign w:val="center"/>
          </w:tcPr>
          <w:p w14:paraId="501C2326" w14:textId="77777777" w:rsidR="00045AA9" w:rsidRPr="00123D18" w:rsidRDefault="00045AA9" w:rsidP="0063050C">
            <w:pPr>
              <w:jc w:val="right"/>
              <w:rPr>
                <w:sz w:val="20"/>
                <w:szCs w:val="20"/>
                <w:lang w:val="fr-FR"/>
              </w:rPr>
            </w:pPr>
            <w:r>
              <w:rPr>
                <w:sz w:val="20"/>
                <w:szCs w:val="20"/>
                <w:lang w:val="fr-FR"/>
              </w:rPr>
              <w:t xml:space="preserve">2 </w:t>
            </w:r>
            <w:r w:rsidRPr="00123D18">
              <w:rPr>
                <w:sz w:val="20"/>
                <w:szCs w:val="20"/>
                <w:lang w:val="fr-FR"/>
              </w:rPr>
              <w:t>085</w:t>
            </w:r>
          </w:p>
        </w:tc>
        <w:tc>
          <w:tcPr>
            <w:tcW w:w="729" w:type="pct"/>
            <w:shd w:val="clear" w:color="auto" w:fill="auto"/>
            <w:vAlign w:val="center"/>
          </w:tcPr>
          <w:p w14:paraId="627D396D" w14:textId="77777777" w:rsidR="00045AA9" w:rsidRPr="00123D18" w:rsidRDefault="00045AA9" w:rsidP="0063050C">
            <w:pPr>
              <w:jc w:val="right"/>
              <w:rPr>
                <w:sz w:val="20"/>
                <w:szCs w:val="20"/>
                <w:lang w:val="fr-FR"/>
              </w:rPr>
            </w:pPr>
            <w:r>
              <w:rPr>
                <w:sz w:val="20"/>
                <w:szCs w:val="20"/>
                <w:lang w:val="fr-FR"/>
              </w:rPr>
              <w:t>13,</w:t>
            </w:r>
            <w:r w:rsidRPr="00123D18">
              <w:rPr>
                <w:sz w:val="20"/>
                <w:szCs w:val="20"/>
                <w:lang w:val="fr-FR"/>
              </w:rPr>
              <w:t>83</w:t>
            </w:r>
          </w:p>
        </w:tc>
        <w:tc>
          <w:tcPr>
            <w:tcW w:w="727" w:type="pct"/>
            <w:shd w:val="clear" w:color="auto" w:fill="auto"/>
            <w:vAlign w:val="center"/>
          </w:tcPr>
          <w:p w14:paraId="7910F584" w14:textId="77777777" w:rsidR="00045AA9" w:rsidRPr="00123D18" w:rsidRDefault="00045AA9" w:rsidP="0063050C">
            <w:pPr>
              <w:jc w:val="right"/>
              <w:rPr>
                <w:sz w:val="20"/>
                <w:szCs w:val="20"/>
                <w:lang w:val="fr-FR"/>
              </w:rPr>
            </w:pPr>
            <w:r>
              <w:rPr>
                <w:sz w:val="20"/>
                <w:szCs w:val="20"/>
                <w:lang w:val="fr-FR"/>
              </w:rPr>
              <w:t xml:space="preserve">28 831 </w:t>
            </w:r>
            <w:r w:rsidRPr="00123D18">
              <w:rPr>
                <w:sz w:val="20"/>
                <w:szCs w:val="20"/>
                <w:lang w:val="fr-FR"/>
              </w:rPr>
              <w:t>100</w:t>
            </w:r>
          </w:p>
        </w:tc>
      </w:tr>
      <w:tr w:rsidR="00045AA9" w:rsidRPr="00123D18" w14:paraId="52012923" w14:textId="77777777" w:rsidTr="0063050C">
        <w:trPr>
          <w:jc w:val="right"/>
        </w:trPr>
        <w:tc>
          <w:tcPr>
            <w:tcW w:w="2816" w:type="pct"/>
            <w:shd w:val="clear" w:color="auto" w:fill="auto"/>
          </w:tcPr>
          <w:p w14:paraId="3304E809" w14:textId="77777777" w:rsidR="00045AA9" w:rsidRPr="00123D18" w:rsidRDefault="00045AA9" w:rsidP="0063050C">
            <w:pPr>
              <w:rPr>
                <w:sz w:val="20"/>
                <w:szCs w:val="20"/>
                <w:lang w:val="fr-FR"/>
              </w:rPr>
            </w:pPr>
            <w:r>
              <w:rPr>
                <w:sz w:val="20"/>
                <w:szCs w:val="20"/>
                <w:lang w:val="fr-FR"/>
              </w:rPr>
              <w:t xml:space="preserve">Élimination sans financement du Fonds multilatéral </w:t>
            </w:r>
          </w:p>
        </w:tc>
        <w:tc>
          <w:tcPr>
            <w:tcW w:w="728" w:type="pct"/>
            <w:shd w:val="clear" w:color="auto" w:fill="auto"/>
            <w:vAlign w:val="center"/>
          </w:tcPr>
          <w:p w14:paraId="5E465FC2" w14:textId="77777777" w:rsidR="00045AA9" w:rsidRPr="00123D18" w:rsidRDefault="00045AA9" w:rsidP="0063050C">
            <w:pPr>
              <w:jc w:val="right"/>
              <w:rPr>
                <w:sz w:val="20"/>
                <w:szCs w:val="20"/>
                <w:lang w:val="fr-FR"/>
              </w:rPr>
            </w:pPr>
            <w:r>
              <w:rPr>
                <w:sz w:val="20"/>
                <w:szCs w:val="20"/>
                <w:lang w:val="fr-FR"/>
              </w:rPr>
              <w:t xml:space="preserve">16 </w:t>
            </w:r>
            <w:r w:rsidRPr="00123D18">
              <w:rPr>
                <w:sz w:val="20"/>
                <w:szCs w:val="20"/>
                <w:lang w:val="fr-FR"/>
              </w:rPr>
              <w:t>590</w:t>
            </w:r>
          </w:p>
        </w:tc>
        <w:tc>
          <w:tcPr>
            <w:tcW w:w="729" w:type="pct"/>
            <w:shd w:val="clear" w:color="auto" w:fill="auto"/>
            <w:vAlign w:val="center"/>
          </w:tcPr>
          <w:p w14:paraId="4CD4820C" w14:textId="77777777" w:rsidR="00045AA9" w:rsidRPr="00123D18" w:rsidRDefault="00045AA9" w:rsidP="0063050C">
            <w:pPr>
              <w:jc w:val="right"/>
              <w:rPr>
                <w:sz w:val="20"/>
                <w:szCs w:val="20"/>
                <w:lang w:val="fr-FR"/>
              </w:rPr>
            </w:pPr>
            <w:r w:rsidRPr="00123D18">
              <w:rPr>
                <w:sz w:val="20"/>
                <w:szCs w:val="20"/>
                <w:lang w:val="fr-FR"/>
              </w:rPr>
              <w:t>0</w:t>
            </w:r>
          </w:p>
        </w:tc>
        <w:tc>
          <w:tcPr>
            <w:tcW w:w="727" w:type="pct"/>
            <w:shd w:val="clear" w:color="auto" w:fill="auto"/>
            <w:vAlign w:val="center"/>
          </w:tcPr>
          <w:p w14:paraId="0F8DE7C5" w14:textId="77777777" w:rsidR="00045AA9" w:rsidRPr="00123D18" w:rsidRDefault="00045AA9" w:rsidP="0063050C">
            <w:pPr>
              <w:jc w:val="right"/>
              <w:rPr>
                <w:sz w:val="20"/>
                <w:szCs w:val="20"/>
                <w:lang w:val="fr-FR"/>
              </w:rPr>
            </w:pPr>
            <w:r w:rsidRPr="00123D18">
              <w:rPr>
                <w:sz w:val="20"/>
                <w:szCs w:val="20"/>
                <w:lang w:val="fr-FR"/>
              </w:rPr>
              <w:t>0</w:t>
            </w:r>
          </w:p>
        </w:tc>
      </w:tr>
      <w:tr w:rsidR="00045AA9" w:rsidRPr="00123D18" w14:paraId="24862CE7" w14:textId="77777777" w:rsidTr="0063050C">
        <w:trPr>
          <w:jc w:val="right"/>
        </w:trPr>
        <w:tc>
          <w:tcPr>
            <w:tcW w:w="2816" w:type="pct"/>
            <w:shd w:val="clear" w:color="auto" w:fill="auto"/>
          </w:tcPr>
          <w:p w14:paraId="119402E0" w14:textId="77777777" w:rsidR="00045AA9" w:rsidRPr="00123D18" w:rsidRDefault="00045AA9" w:rsidP="0063050C">
            <w:pPr>
              <w:rPr>
                <w:b/>
                <w:sz w:val="20"/>
                <w:szCs w:val="20"/>
                <w:lang w:val="fr-FR"/>
              </w:rPr>
            </w:pPr>
            <w:r>
              <w:rPr>
                <w:b/>
                <w:sz w:val="20"/>
                <w:szCs w:val="20"/>
                <w:lang w:val="fr-FR"/>
              </w:rPr>
              <w:tab/>
              <w:t>T</w:t>
            </w:r>
            <w:r w:rsidRPr="00123D18">
              <w:rPr>
                <w:b/>
                <w:sz w:val="20"/>
                <w:szCs w:val="20"/>
                <w:lang w:val="fr-FR"/>
              </w:rPr>
              <w:t>otal</w:t>
            </w:r>
            <w:r>
              <w:rPr>
                <w:b/>
                <w:sz w:val="20"/>
                <w:szCs w:val="20"/>
                <w:lang w:val="fr-FR"/>
              </w:rPr>
              <w:t xml:space="preserve"> partiel</w:t>
            </w:r>
            <w:r w:rsidRPr="00123D18">
              <w:rPr>
                <w:b/>
                <w:sz w:val="20"/>
                <w:szCs w:val="20"/>
                <w:lang w:val="fr-FR"/>
              </w:rPr>
              <w:t xml:space="preserve"> (2022-2026)</w:t>
            </w:r>
          </w:p>
        </w:tc>
        <w:tc>
          <w:tcPr>
            <w:tcW w:w="728" w:type="pct"/>
            <w:shd w:val="clear" w:color="auto" w:fill="auto"/>
            <w:vAlign w:val="center"/>
          </w:tcPr>
          <w:p w14:paraId="763F1913" w14:textId="77777777" w:rsidR="00045AA9" w:rsidRPr="00123D18" w:rsidRDefault="00045AA9" w:rsidP="0063050C">
            <w:pPr>
              <w:jc w:val="right"/>
              <w:rPr>
                <w:b/>
                <w:color w:val="000000"/>
                <w:sz w:val="20"/>
                <w:szCs w:val="20"/>
                <w:lang w:val="fr-FR"/>
              </w:rPr>
            </w:pPr>
            <w:r>
              <w:rPr>
                <w:b/>
                <w:color w:val="000000"/>
                <w:sz w:val="20"/>
                <w:szCs w:val="20"/>
                <w:lang w:val="fr-FR"/>
              </w:rPr>
              <w:t xml:space="preserve">18 </w:t>
            </w:r>
            <w:r w:rsidRPr="00123D18">
              <w:rPr>
                <w:b/>
                <w:color w:val="000000"/>
                <w:sz w:val="20"/>
                <w:szCs w:val="20"/>
                <w:lang w:val="fr-FR"/>
              </w:rPr>
              <w:t>675</w:t>
            </w:r>
          </w:p>
        </w:tc>
        <w:tc>
          <w:tcPr>
            <w:tcW w:w="729" w:type="pct"/>
            <w:shd w:val="clear" w:color="auto" w:fill="auto"/>
            <w:vAlign w:val="center"/>
          </w:tcPr>
          <w:p w14:paraId="6DB1D59A" w14:textId="77777777" w:rsidR="00045AA9" w:rsidRPr="00123D18" w:rsidRDefault="00045AA9" w:rsidP="0063050C">
            <w:pPr>
              <w:jc w:val="right"/>
              <w:rPr>
                <w:b/>
                <w:sz w:val="20"/>
                <w:szCs w:val="20"/>
                <w:lang w:val="fr-FR"/>
              </w:rPr>
            </w:pPr>
            <w:r>
              <w:rPr>
                <w:b/>
                <w:sz w:val="20"/>
                <w:szCs w:val="20"/>
                <w:lang w:val="fr-FR"/>
              </w:rPr>
              <w:t>1,</w:t>
            </w:r>
            <w:r w:rsidRPr="00123D18">
              <w:rPr>
                <w:b/>
                <w:sz w:val="20"/>
                <w:szCs w:val="20"/>
                <w:lang w:val="fr-FR"/>
              </w:rPr>
              <w:t>54</w:t>
            </w:r>
          </w:p>
        </w:tc>
        <w:tc>
          <w:tcPr>
            <w:tcW w:w="727" w:type="pct"/>
            <w:shd w:val="clear" w:color="auto" w:fill="auto"/>
            <w:vAlign w:val="center"/>
          </w:tcPr>
          <w:p w14:paraId="5A5C5DC5" w14:textId="77777777" w:rsidR="00045AA9" w:rsidRPr="00123D18" w:rsidRDefault="00045AA9" w:rsidP="0063050C">
            <w:pPr>
              <w:jc w:val="right"/>
              <w:rPr>
                <w:b/>
                <w:sz w:val="20"/>
                <w:szCs w:val="20"/>
                <w:lang w:val="fr-FR"/>
              </w:rPr>
            </w:pPr>
            <w:r>
              <w:rPr>
                <w:b/>
                <w:sz w:val="20"/>
                <w:szCs w:val="20"/>
                <w:lang w:val="fr-FR"/>
              </w:rPr>
              <w:t xml:space="preserve">28 831 </w:t>
            </w:r>
            <w:r w:rsidRPr="00123D18">
              <w:rPr>
                <w:b/>
                <w:sz w:val="20"/>
                <w:szCs w:val="20"/>
                <w:lang w:val="fr-FR"/>
              </w:rPr>
              <w:t>100</w:t>
            </w:r>
          </w:p>
        </w:tc>
      </w:tr>
      <w:tr w:rsidR="00045AA9" w:rsidRPr="00123D18" w14:paraId="09E36BAD" w14:textId="77777777" w:rsidTr="0063050C">
        <w:trPr>
          <w:jc w:val="right"/>
        </w:trPr>
        <w:tc>
          <w:tcPr>
            <w:tcW w:w="2816" w:type="pct"/>
            <w:shd w:val="clear" w:color="auto" w:fill="auto"/>
          </w:tcPr>
          <w:p w14:paraId="4A7567B1" w14:textId="77777777" w:rsidR="00045AA9" w:rsidRPr="00123D18" w:rsidRDefault="00045AA9" w:rsidP="0063050C">
            <w:pPr>
              <w:jc w:val="left"/>
              <w:rPr>
                <w:b/>
                <w:sz w:val="20"/>
                <w:szCs w:val="20"/>
                <w:lang w:val="fr-FR"/>
              </w:rPr>
            </w:pPr>
            <w:r w:rsidRPr="00123D18">
              <w:rPr>
                <w:b/>
                <w:sz w:val="20"/>
                <w:szCs w:val="20"/>
                <w:lang w:val="fr-FR"/>
              </w:rPr>
              <w:t xml:space="preserve">Total </w:t>
            </w:r>
            <w:r>
              <w:rPr>
                <w:b/>
                <w:sz w:val="20"/>
                <w:szCs w:val="20"/>
                <w:lang w:val="fr-FR"/>
              </w:rPr>
              <w:t>de l’élimination financée</w:t>
            </w:r>
            <w:r w:rsidRPr="00123D18">
              <w:rPr>
                <w:b/>
                <w:sz w:val="20"/>
                <w:szCs w:val="20"/>
                <w:lang w:val="fr-FR"/>
              </w:rPr>
              <w:t xml:space="preserve"> (2016-2021)</w:t>
            </w:r>
          </w:p>
        </w:tc>
        <w:tc>
          <w:tcPr>
            <w:tcW w:w="728" w:type="pct"/>
            <w:shd w:val="clear" w:color="auto" w:fill="auto"/>
            <w:vAlign w:val="center"/>
          </w:tcPr>
          <w:p w14:paraId="1517DFF9" w14:textId="77777777" w:rsidR="00045AA9" w:rsidRPr="00123D18" w:rsidRDefault="00045AA9" w:rsidP="0063050C">
            <w:pPr>
              <w:jc w:val="right"/>
              <w:rPr>
                <w:b/>
                <w:color w:val="000000"/>
                <w:sz w:val="20"/>
                <w:szCs w:val="20"/>
                <w:lang w:val="fr-FR"/>
              </w:rPr>
            </w:pPr>
            <w:r>
              <w:rPr>
                <w:b/>
                <w:color w:val="000000"/>
                <w:sz w:val="20"/>
                <w:szCs w:val="20"/>
                <w:lang w:val="fr-FR"/>
              </w:rPr>
              <w:t xml:space="preserve">4 </w:t>
            </w:r>
            <w:r w:rsidRPr="00123D18">
              <w:rPr>
                <w:b/>
                <w:color w:val="000000"/>
                <w:sz w:val="20"/>
                <w:szCs w:val="20"/>
                <w:lang w:val="fr-FR"/>
              </w:rPr>
              <w:t>306</w:t>
            </w:r>
          </w:p>
        </w:tc>
        <w:tc>
          <w:tcPr>
            <w:tcW w:w="729" w:type="pct"/>
            <w:shd w:val="clear" w:color="auto" w:fill="auto"/>
            <w:vAlign w:val="center"/>
          </w:tcPr>
          <w:p w14:paraId="4FF811CC" w14:textId="77777777" w:rsidR="00045AA9" w:rsidRPr="00123D18" w:rsidRDefault="00045AA9" w:rsidP="0063050C">
            <w:pPr>
              <w:jc w:val="right"/>
              <w:rPr>
                <w:b/>
                <w:sz w:val="20"/>
                <w:szCs w:val="20"/>
                <w:lang w:val="fr-FR"/>
              </w:rPr>
            </w:pPr>
            <w:r>
              <w:rPr>
                <w:b/>
                <w:sz w:val="20"/>
                <w:szCs w:val="20"/>
                <w:lang w:val="fr-FR"/>
              </w:rPr>
              <w:t>14,</w:t>
            </w:r>
            <w:r w:rsidRPr="00123D18">
              <w:rPr>
                <w:b/>
                <w:sz w:val="20"/>
                <w:szCs w:val="20"/>
                <w:lang w:val="fr-FR"/>
              </w:rPr>
              <w:t>03</w:t>
            </w:r>
          </w:p>
        </w:tc>
        <w:tc>
          <w:tcPr>
            <w:tcW w:w="727" w:type="pct"/>
            <w:shd w:val="clear" w:color="auto" w:fill="auto"/>
            <w:vAlign w:val="center"/>
          </w:tcPr>
          <w:p w14:paraId="7ACF9DBE" w14:textId="77777777" w:rsidR="00045AA9" w:rsidRPr="00123D18" w:rsidRDefault="00045AA9" w:rsidP="0063050C">
            <w:pPr>
              <w:jc w:val="right"/>
              <w:rPr>
                <w:b/>
                <w:sz w:val="20"/>
                <w:szCs w:val="20"/>
                <w:lang w:val="fr-FR"/>
              </w:rPr>
            </w:pPr>
            <w:r>
              <w:rPr>
                <w:b/>
                <w:sz w:val="20"/>
                <w:szCs w:val="20"/>
                <w:lang w:val="fr-FR"/>
              </w:rPr>
              <w:t xml:space="preserve">60 394 </w:t>
            </w:r>
            <w:r w:rsidRPr="00123D18">
              <w:rPr>
                <w:b/>
                <w:sz w:val="20"/>
                <w:szCs w:val="20"/>
                <w:lang w:val="fr-FR"/>
              </w:rPr>
              <w:t>081</w:t>
            </w:r>
          </w:p>
        </w:tc>
      </w:tr>
      <w:tr w:rsidR="00045AA9" w:rsidRPr="00123D18" w14:paraId="1F9BF462" w14:textId="77777777" w:rsidTr="0063050C">
        <w:trPr>
          <w:jc w:val="right"/>
        </w:trPr>
        <w:tc>
          <w:tcPr>
            <w:tcW w:w="2816" w:type="pct"/>
            <w:shd w:val="clear" w:color="auto" w:fill="auto"/>
          </w:tcPr>
          <w:p w14:paraId="74A683D1" w14:textId="77777777" w:rsidR="00045AA9" w:rsidRPr="00123D18" w:rsidRDefault="00045AA9" w:rsidP="0063050C">
            <w:pPr>
              <w:jc w:val="left"/>
              <w:rPr>
                <w:b/>
                <w:sz w:val="20"/>
                <w:szCs w:val="20"/>
                <w:lang w:val="fr-FR"/>
              </w:rPr>
            </w:pPr>
            <w:r w:rsidRPr="00123D18">
              <w:rPr>
                <w:b/>
                <w:sz w:val="20"/>
                <w:szCs w:val="20"/>
                <w:lang w:val="fr-FR"/>
              </w:rPr>
              <w:t>Total (2016-2026)</w:t>
            </w:r>
          </w:p>
        </w:tc>
        <w:tc>
          <w:tcPr>
            <w:tcW w:w="728" w:type="pct"/>
            <w:shd w:val="clear" w:color="auto" w:fill="auto"/>
            <w:vAlign w:val="center"/>
          </w:tcPr>
          <w:p w14:paraId="331BDD11" w14:textId="77777777" w:rsidR="00045AA9" w:rsidRPr="00123D18" w:rsidRDefault="00045AA9" w:rsidP="0063050C">
            <w:pPr>
              <w:jc w:val="right"/>
              <w:rPr>
                <w:b/>
                <w:color w:val="000000"/>
                <w:sz w:val="20"/>
                <w:szCs w:val="20"/>
                <w:lang w:val="fr-FR"/>
              </w:rPr>
            </w:pPr>
            <w:r>
              <w:rPr>
                <w:b/>
                <w:color w:val="000000"/>
                <w:sz w:val="20"/>
                <w:szCs w:val="20"/>
                <w:lang w:val="fr-FR"/>
              </w:rPr>
              <w:t xml:space="preserve">44 </w:t>
            </w:r>
            <w:r w:rsidRPr="00123D18">
              <w:rPr>
                <w:b/>
                <w:color w:val="000000"/>
                <w:sz w:val="20"/>
                <w:szCs w:val="20"/>
                <w:lang w:val="fr-FR"/>
              </w:rPr>
              <w:t>820</w:t>
            </w:r>
          </w:p>
        </w:tc>
        <w:tc>
          <w:tcPr>
            <w:tcW w:w="729" w:type="pct"/>
            <w:shd w:val="clear" w:color="auto" w:fill="auto"/>
            <w:vAlign w:val="center"/>
          </w:tcPr>
          <w:p w14:paraId="4EFC9DA1" w14:textId="77777777" w:rsidR="00045AA9" w:rsidRPr="00123D18" w:rsidRDefault="00045AA9" w:rsidP="0063050C">
            <w:pPr>
              <w:jc w:val="right"/>
              <w:rPr>
                <w:b/>
                <w:sz w:val="20"/>
                <w:szCs w:val="20"/>
                <w:lang w:val="fr-FR"/>
              </w:rPr>
            </w:pPr>
            <w:r>
              <w:rPr>
                <w:b/>
                <w:sz w:val="20"/>
                <w:szCs w:val="20"/>
                <w:lang w:val="fr-FR"/>
              </w:rPr>
              <w:t>1,</w:t>
            </w:r>
            <w:r w:rsidRPr="00123D18">
              <w:rPr>
                <w:b/>
                <w:sz w:val="20"/>
                <w:szCs w:val="20"/>
                <w:lang w:val="fr-FR"/>
              </w:rPr>
              <w:t>35</w:t>
            </w:r>
          </w:p>
        </w:tc>
        <w:tc>
          <w:tcPr>
            <w:tcW w:w="727" w:type="pct"/>
            <w:shd w:val="clear" w:color="auto" w:fill="auto"/>
            <w:vAlign w:val="center"/>
          </w:tcPr>
          <w:p w14:paraId="4C381C21" w14:textId="77777777" w:rsidR="00045AA9" w:rsidRPr="00123D18" w:rsidRDefault="00045AA9" w:rsidP="0063050C">
            <w:pPr>
              <w:jc w:val="right"/>
              <w:rPr>
                <w:b/>
                <w:sz w:val="20"/>
                <w:szCs w:val="20"/>
                <w:lang w:val="fr-FR"/>
              </w:rPr>
            </w:pPr>
            <w:r>
              <w:rPr>
                <w:b/>
                <w:sz w:val="20"/>
                <w:szCs w:val="20"/>
                <w:lang w:val="fr-FR"/>
              </w:rPr>
              <w:t xml:space="preserve">60 394 </w:t>
            </w:r>
            <w:r w:rsidRPr="00123D18">
              <w:rPr>
                <w:b/>
                <w:sz w:val="20"/>
                <w:szCs w:val="20"/>
                <w:lang w:val="fr-FR"/>
              </w:rPr>
              <w:t>081</w:t>
            </w:r>
          </w:p>
        </w:tc>
      </w:tr>
    </w:tbl>
    <w:p w14:paraId="3CFB17A3" w14:textId="77777777" w:rsidR="00045AA9" w:rsidRPr="00123D18" w:rsidRDefault="00045AA9" w:rsidP="00045AA9">
      <w:pPr>
        <w:rPr>
          <w:lang w:val="fr-FR"/>
        </w:rPr>
      </w:pPr>
    </w:p>
    <w:p w14:paraId="07C69F5C" w14:textId="77777777" w:rsidR="00045AA9" w:rsidRPr="00123D18" w:rsidRDefault="00045AA9" w:rsidP="00045AA9">
      <w:pPr>
        <w:pStyle w:val="Heading1"/>
        <w:numPr>
          <w:ilvl w:val="0"/>
          <w:numId w:val="15"/>
        </w:numPr>
        <w:rPr>
          <w:lang w:val="fr-FR"/>
        </w:rPr>
      </w:pPr>
      <w:r>
        <w:rPr>
          <w:lang w:val="fr-FR"/>
        </w:rPr>
        <w:t xml:space="preserve">Avec la mise en œuvre de la phase II du plan du secteur RAC, le gouvernement de la Chine réduira la consommation de HCFC-22 dans le secteur de la fabrication des RAC de 45 pour cent d’ici 2022, de 61 pour cent d’ici 2023 et de 70 pour cent d’ici 2025 par rapport à la consommation de 2013 dans ce secteur, tel qu’indiqué au tableau </w:t>
      </w:r>
      <w:r w:rsidRPr="00123D18">
        <w:rPr>
          <w:lang w:val="fr-FR"/>
        </w:rPr>
        <w:t>5.</w:t>
      </w:r>
    </w:p>
    <w:p w14:paraId="6E780E92" w14:textId="77777777" w:rsidR="00045AA9" w:rsidRPr="00123D18" w:rsidRDefault="00045AA9" w:rsidP="00045AA9">
      <w:pPr>
        <w:pStyle w:val="Heading1"/>
        <w:numPr>
          <w:ilvl w:val="0"/>
          <w:numId w:val="0"/>
        </w:numPr>
        <w:spacing w:after="0"/>
        <w:rPr>
          <w:b/>
          <w:lang w:val="fr-FR"/>
        </w:rPr>
      </w:pPr>
      <w:r w:rsidRPr="00123D18">
        <w:rPr>
          <w:b/>
          <w:lang w:val="fr-FR"/>
        </w:rPr>
        <w:t>Table</w:t>
      </w:r>
      <w:r>
        <w:rPr>
          <w:b/>
          <w:lang w:val="fr-FR"/>
        </w:rPr>
        <w:t>au</w:t>
      </w:r>
      <w:r w:rsidRPr="00123D18">
        <w:rPr>
          <w:b/>
          <w:lang w:val="fr-FR"/>
        </w:rPr>
        <w:t xml:space="preserve"> 5. </w:t>
      </w:r>
      <w:r>
        <w:rPr>
          <w:b/>
          <w:lang w:val="fr-FR"/>
        </w:rPr>
        <w:t>Consommation sectorielle maximale autorisée pour le plan prolongé du secteur RAC</w:t>
      </w:r>
      <w:r w:rsidRPr="00123D18">
        <w:rPr>
          <w:b/>
          <w:lang w:val="fr-FR"/>
        </w:rPr>
        <w:t xml:space="preserve"> (2022-2026) </w:t>
      </w:r>
    </w:p>
    <w:tbl>
      <w:tblPr>
        <w:tblStyle w:val="TableGrid"/>
        <w:tblW w:w="9355" w:type="dxa"/>
        <w:tblLayout w:type="fixed"/>
        <w:tblLook w:val="04A0" w:firstRow="1" w:lastRow="0" w:firstColumn="1" w:lastColumn="0" w:noHBand="0" w:noVBand="1"/>
      </w:tblPr>
      <w:tblGrid>
        <w:gridCol w:w="4405"/>
        <w:gridCol w:w="990"/>
        <w:gridCol w:w="990"/>
        <w:gridCol w:w="990"/>
        <w:gridCol w:w="990"/>
        <w:gridCol w:w="990"/>
      </w:tblGrid>
      <w:tr w:rsidR="00045AA9" w:rsidRPr="00123D18" w14:paraId="1F0B2B6A" w14:textId="77777777" w:rsidTr="0063050C">
        <w:tc>
          <w:tcPr>
            <w:tcW w:w="4405" w:type="dxa"/>
          </w:tcPr>
          <w:p w14:paraId="0ED3F4D9" w14:textId="77777777" w:rsidR="00045AA9" w:rsidRPr="00123D18" w:rsidRDefault="00045AA9" w:rsidP="0063050C">
            <w:pPr>
              <w:jc w:val="center"/>
              <w:rPr>
                <w:b/>
                <w:sz w:val="20"/>
                <w:szCs w:val="20"/>
                <w:lang w:val="fr-FR"/>
              </w:rPr>
            </w:pPr>
            <w:r>
              <w:rPr>
                <w:b/>
                <w:sz w:val="20"/>
                <w:szCs w:val="20"/>
                <w:lang w:val="fr-FR"/>
              </w:rPr>
              <w:t>Détails</w:t>
            </w:r>
          </w:p>
        </w:tc>
        <w:tc>
          <w:tcPr>
            <w:tcW w:w="990" w:type="dxa"/>
          </w:tcPr>
          <w:p w14:paraId="7464DB68" w14:textId="77777777" w:rsidR="00045AA9" w:rsidRPr="00123D18" w:rsidRDefault="00045AA9" w:rsidP="0063050C">
            <w:pPr>
              <w:jc w:val="center"/>
              <w:rPr>
                <w:b/>
                <w:sz w:val="20"/>
                <w:szCs w:val="20"/>
                <w:lang w:val="fr-FR"/>
              </w:rPr>
            </w:pPr>
            <w:r w:rsidRPr="00123D18">
              <w:rPr>
                <w:b/>
                <w:sz w:val="20"/>
                <w:szCs w:val="20"/>
                <w:lang w:val="fr-FR"/>
              </w:rPr>
              <w:t>2022</w:t>
            </w:r>
          </w:p>
        </w:tc>
        <w:tc>
          <w:tcPr>
            <w:tcW w:w="990" w:type="dxa"/>
          </w:tcPr>
          <w:p w14:paraId="5C4215EC" w14:textId="77777777" w:rsidR="00045AA9" w:rsidRPr="00123D18" w:rsidRDefault="00045AA9" w:rsidP="0063050C">
            <w:pPr>
              <w:jc w:val="center"/>
              <w:rPr>
                <w:b/>
                <w:sz w:val="20"/>
                <w:szCs w:val="20"/>
                <w:lang w:val="fr-FR"/>
              </w:rPr>
            </w:pPr>
            <w:r w:rsidRPr="00123D18">
              <w:rPr>
                <w:b/>
                <w:sz w:val="20"/>
                <w:szCs w:val="20"/>
                <w:lang w:val="fr-FR"/>
              </w:rPr>
              <w:t>2023</w:t>
            </w:r>
          </w:p>
        </w:tc>
        <w:tc>
          <w:tcPr>
            <w:tcW w:w="990" w:type="dxa"/>
          </w:tcPr>
          <w:p w14:paraId="6E4FE35C" w14:textId="77777777" w:rsidR="00045AA9" w:rsidRPr="00123D18" w:rsidRDefault="00045AA9" w:rsidP="0063050C">
            <w:pPr>
              <w:jc w:val="center"/>
              <w:rPr>
                <w:b/>
                <w:sz w:val="20"/>
                <w:szCs w:val="20"/>
                <w:lang w:val="fr-FR"/>
              </w:rPr>
            </w:pPr>
            <w:r w:rsidRPr="00123D18">
              <w:rPr>
                <w:b/>
                <w:sz w:val="20"/>
                <w:szCs w:val="20"/>
                <w:lang w:val="fr-FR"/>
              </w:rPr>
              <w:t>2024</w:t>
            </w:r>
          </w:p>
        </w:tc>
        <w:tc>
          <w:tcPr>
            <w:tcW w:w="990" w:type="dxa"/>
          </w:tcPr>
          <w:p w14:paraId="09D23E74" w14:textId="77777777" w:rsidR="00045AA9" w:rsidRPr="00123D18" w:rsidRDefault="00045AA9" w:rsidP="0063050C">
            <w:pPr>
              <w:jc w:val="center"/>
              <w:rPr>
                <w:b/>
                <w:sz w:val="20"/>
                <w:szCs w:val="20"/>
                <w:lang w:val="fr-FR"/>
              </w:rPr>
            </w:pPr>
            <w:r w:rsidRPr="00123D18">
              <w:rPr>
                <w:b/>
                <w:sz w:val="20"/>
                <w:szCs w:val="20"/>
                <w:lang w:val="fr-FR"/>
              </w:rPr>
              <w:t>2025</w:t>
            </w:r>
          </w:p>
        </w:tc>
        <w:tc>
          <w:tcPr>
            <w:tcW w:w="990" w:type="dxa"/>
          </w:tcPr>
          <w:p w14:paraId="61B2AFB2" w14:textId="77777777" w:rsidR="00045AA9" w:rsidRPr="00123D18" w:rsidRDefault="00045AA9" w:rsidP="0063050C">
            <w:pPr>
              <w:jc w:val="center"/>
              <w:rPr>
                <w:b/>
                <w:sz w:val="20"/>
                <w:szCs w:val="20"/>
                <w:lang w:val="fr-FR"/>
              </w:rPr>
            </w:pPr>
            <w:r w:rsidRPr="00123D18">
              <w:rPr>
                <w:b/>
                <w:sz w:val="20"/>
                <w:szCs w:val="20"/>
                <w:lang w:val="fr-FR"/>
              </w:rPr>
              <w:t>2026</w:t>
            </w:r>
          </w:p>
        </w:tc>
      </w:tr>
      <w:tr w:rsidR="00045AA9" w:rsidRPr="00123D18" w14:paraId="4FDA849C" w14:textId="77777777" w:rsidTr="0063050C">
        <w:tc>
          <w:tcPr>
            <w:tcW w:w="4405" w:type="dxa"/>
          </w:tcPr>
          <w:p w14:paraId="0A8D3CA1" w14:textId="77777777" w:rsidR="00045AA9" w:rsidRPr="00123D18" w:rsidRDefault="00045AA9" w:rsidP="0063050C">
            <w:pPr>
              <w:jc w:val="left"/>
              <w:rPr>
                <w:sz w:val="20"/>
                <w:szCs w:val="20"/>
                <w:lang w:val="fr-FR"/>
              </w:rPr>
            </w:pPr>
            <w:r>
              <w:rPr>
                <w:sz w:val="20"/>
                <w:szCs w:val="20"/>
                <w:lang w:val="fr-FR"/>
              </w:rPr>
              <w:t>Consommation maximale autorisée pour les substances de l’</w:t>
            </w:r>
            <w:r w:rsidRPr="00123D18">
              <w:rPr>
                <w:sz w:val="20"/>
                <w:szCs w:val="20"/>
                <w:lang w:val="fr-FR"/>
              </w:rPr>
              <w:t>Annex</w:t>
            </w:r>
            <w:r>
              <w:rPr>
                <w:sz w:val="20"/>
                <w:szCs w:val="20"/>
                <w:lang w:val="fr-FR"/>
              </w:rPr>
              <w:t>e</w:t>
            </w:r>
            <w:r w:rsidRPr="00123D18">
              <w:rPr>
                <w:sz w:val="20"/>
                <w:szCs w:val="20"/>
                <w:lang w:val="fr-FR"/>
              </w:rPr>
              <w:t> C, Group</w:t>
            </w:r>
            <w:r>
              <w:rPr>
                <w:sz w:val="20"/>
                <w:szCs w:val="20"/>
                <w:lang w:val="fr-FR"/>
              </w:rPr>
              <w:t>e</w:t>
            </w:r>
            <w:r w:rsidRPr="00123D18">
              <w:rPr>
                <w:sz w:val="20"/>
                <w:szCs w:val="20"/>
                <w:lang w:val="fr-FR"/>
              </w:rPr>
              <w:t xml:space="preserve"> I </w:t>
            </w:r>
            <w:r>
              <w:rPr>
                <w:sz w:val="20"/>
                <w:szCs w:val="20"/>
                <w:lang w:val="fr-FR"/>
              </w:rPr>
              <w:t xml:space="preserve">dans le secteur RAC </w:t>
            </w:r>
            <w:r w:rsidRPr="00123D18">
              <w:rPr>
                <w:sz w:val="20"/>
                <w:szCs w:val="20"/>
                <w:lang w:val="fr-FR"/>
              </w:rPr>
              <w:t xml:space="preserve"> </w:t>
            </w:r>
            <w:r>
              <w:rPr>
                <w:sz w:val="20"/>
                <w:szCs w:val="20"/>
                <w:lang w:val="fr-FR"/>
              </w:rPr>
              <w:t>(</w:t>
            </w:r>
            <w:r w:rsidRPr="00123D18">
              <w:rPr>
                <w:sz w:val="20"/>
                <w:szCs w:val="20"/>
                <w:lang w:val="fr-FR"/>
              </w:rPr>
              <w:t>tonnes</w:t>
            </w:r>
            <w:r>
              <w:rPr>
                <w:sz w:val="20"/>
                <w:szCs w:val="20"/>
                <w:lang w:val="fr-FR"/>
              </w:rPr>
              <w:t xml:space="preserve"> PAO</w:t>
            </w:r>
            <w:r w:rsidRPr="00123D18">
              <w:rPr>
                <w:sz w:val="20"/>
                <w:szCs w:val="20"/>
                <w:lang w:val="fr-FR"/>
              </w:rPr>
              <w:t>)</w:t>
            </w:r>
          </w:p>
        </w:tc>
        <w:tc>
          <w:tcPr>
            <w:tcW w:w="990" w:type="dxa"/>
            <w:vAlign w:val="center"/>
          </w:tcPr>
          <w:p w14:paraId="675BAC07" w14:textId="77777777" w:rsidR="00045AA9" w:rsidRPr="00123D18" w:rsidRDefault="00045AA9" w:rsidP="0063050C">
            <w:pPr>
              <w:jc w:val="right"/>
              <w:rPr>
                <w:sz w:val="20"/>
                <w:szCs w:val="20"/>
                <w:lang w:val="fr-FR"/>
              </w:rPr>
            </w:pPr>
            <w:r>
              <w:rPr>
                <w:sz w:val="20"/>
                <w:szCs w:val="20"/>
                <w:lang w:val="fr-FR"/>
              </w:rPr>
              <w:t>2 259,</w:t>
            </w:r>
            <w:r w:rsidRPr="00123D18">
              <w:rPr>
                <w:sz w:val="20"/>
                <w:szCs w:val="20"/>
                <w:lang w:val="fr-FR"/>
              </w:rPr>
              <w:t>7</w:t>
            </w:r>
          </w:p>
        </w:tc>
        <w:tc>
          <w:tcPr>
            <w:tcW w:w="990" w:type="dxa"/>
            <w:vAlign w:val="center"/>
          </w:tcPr>
          <w:p w14:paraId="42E36395" w14:textId="77777777" w:rsidR="00045AA9" w:rsidRPr="00123D18" w:rsidRDefault="00045AA9" w:rsidP="0063050C">
            <w:pPr>
              <w:jc w:val="right"/>
              <w:rPr>
                <w:sz w:val="20"/>
                <w:szCs w:val="20"/>
                <w:lang w:val="fr-FR"/>
              </w:rPr>
            </w:pPr>
            <w:r>
              <w:rPr>
                <w:sz w:val="20"/>
                <w:szCs w:val="20"/>
                <w:lang w:val="fr-FR"/>
              </w:rPr>
              <w:t>1 614,</w:t>
            </w:r>
            <w:r w:rsidRPr="00123D18">
              <w:rPr>
                <w:sz w:val="20"/>
                <w:szCs w:val="20"/>
                <w:lang w:val="fr-FR"/>
              </w:rPr>
              <w:t>1</w:t>
            </w:r>
          </w:p>
        </w:tc>
        <w:tc>
          <w:tcPr>
            <w:tcW w:w="990" w:type="dxa"/>
            <w:vAlign w:val="center"/>
          </w:tcPr>
          <w:p w14:paraId="28701935" w14:textId="77777777" w:rsidR="00045AA9" w:rsidRPr="00123D18" w:rsidRDefault="00045AA9" w:rsidP="0063050C">
            <w:pPr>
              <w:jc w:val="right"/>
              <w:rPr>
                <w:sz w:val="20"/>
                <w:szCs w:val="20"/>
                <w:lang w:val="fr-FR"/>
              </w:rPr>
            </w:pPr>
            <w:r>
              <w:rPr>
                <w:sz w:val="20"/>
                <w:szCs w:val="20"/>
                <w:lang w:val="fr-FR"/>
              </w:rPr>
              <w:t>1 614,</w:t>
            </w:r>
            <w:r w:rsidRPr="00123D18">
              <w:rPr>
                <w:sz w:val="20"/>
                <w:szCs w:val="20"/>
                <w:lang w:val="fr-FR"/>
              </w:rPr>
              <w:t>1</w:t>
            </w:r>
          </w:p>
        </w:tc>
        <w:tc>
          <w:tcPr>
            <w:tcW w:w="990" w:type="dxa"/>
            <w:vAlign w:val="center"/>
          </w:tcPr>
          <w:p w14:paraId="6F83C411" w14:textId="77777777" w:rsidR="00045AA9" w:rsidRPr="00123D18" w:rsidRDefault="00045AA9" w:rsidP="0063050C">
            <w:pPr>
              <w:jc w:val="right"/>
              <w:rPr>
                <w:sz w:val="20"/>
                <w:szCs w:val="20"/>
                <w:lang w:val="fr-FR"/>
              </w:rPr>
            </w:pPr>
            <w:r>
              <w:rPr>
                <w:sz w:val="20"/>
                <w:szCs w:val="20"/>
                <w:lang w:val="fr-FR"/>
              </w:rPr>
              <w:t>1 232,</w:t>
            </w:r>
            <w:r w:rsidRPr="00123D18">
              <w:rPr>
                <w:sz w:val="20"/>
                <w:szCs w:val="20"/>
                <w:lang w:val="fr-FR"/>
              </w:rPr>
              <w:t>6</w:t>
            </w:r>
          </w:p>
        </w:tc>
        <w:tc>
          <w:tcPr>
            <w:tcW w:w="990" w:type="dxa"/>
            <w:vAlign w:val="center"/>
          </w:tcPr>
          <w:p w14:paraId="2D05BAC3" w14:textId="77777777" w:rsidR="00045AA9" w:rsidRPr="00123D18" w:rsidRDefault="00045AA9" w:rsidP="0063050C">
            <w:pPr>
              <w:jc w:val="right"/>
              <w:rPr>
                <w:sz w:val="20"/>
                <w:szCs w:val="20"/>
                <w:lang w:val="fr-FR"/>
              </w:rPr>
            </w:pPr>
            <w:r>
              <w:rPr>
                <w:sz w:val="20"/>
                <w:szCs w:val="20"/>
                <w:lang w:val="fr-FR"/>
              </w:rPr>
              <w:t>1 232,</w:t>
            </w:r>
            <w:r w:rsidRPr="00123D18">
              <w:rPr>
                <w:sz w:val="20"/>
                <w:szCs w:val="20"/>
                <w:lang w:val="fr-FR"/>
              </w:rPr>
              <w:t>6</w:t>
            </w:r>
          </w:p>
        </w:tc>
      </w:tr>
      <w:tr w:rsidR="00045AA9" w:rsidRPr="00123D18" w14:paraId="16820669" w14:textId="77777777" w:rsidTr="0063050C">
        <w:tc>
          <w:tcPr>
            <w:tcW w:w="4405" w:type="dxa"/>
          </w:tcPr>
          <w:p w14:paraId="0D1E303D" w14:textId="77777777" w:rsidR="00045AA9" w:rsidRPr="00123D18" w:rsidRDefault="00045AA9" w:rsidP="0063050C">
            <w:pPr>
              <w:jc w:val="left"/>
              <w:rPr>
                <w:sz w:val="20"/>
                <w:szCs w:val="20"/>
                <w:lang w:val="fr-FR"/>
              </w:rPr>
            </w:pPr>
            <w:r>
              <w:rPr>
                <w:sz w:val="20"/>
                <w:szCs w:val="20"/>
                <w:lang w:val="fr-FR"/>
              </w:rPr>
              <w:t>Ré</w:t>
            </w:r>
            <w:r w:rsidRPr="00123D18">
              <w:rPr>
                <w:sz w:val="20"/>
                <w:szCs w:val="20"/>
                <w:lang w:val="fr-FR"/>
              </w:rPr>
              <w:t xml:space="preserve">duction relative </w:t>
            </w:r>
            <w:r>
              <w:rPr>
                <w:sz w:val="20"/>
                <w:szCs w:val="20"/>
                <w:lang w:val="fr-FR"/>
              </w:rPr>
              <w:t>par rapport à la consommation sectorielle de 2013</w:t>
            </w:r>
            <w:r w:rsidRPr="00123D18">
              <w:rPr>
                <w:sz w:val="20"/>
                <w:szCs w:val="20"/>
                <w:lang w:val="fr-FR"/>
              </w:rPr>
              <w:t xml:space="preserve"> (%)</w:t>
            </w:r>
          </w:p>
        </w:tc>
        <w:tc>
          <w:tcPr>
            <w:tcW w:w="990" w:type="dxa"/>
            <w:vAlign w:val="center"/>
          </w:tcPr>
          <w:p w14:paraId="5A2D4649" w14:textId="77777777" w:rsidR="00045AA9" w:rsidRPr="00123D18" w:rsidRDefault="00045AA9" w:rsidP="0063050C">
            <w:pPr>
              <w:jc w:val="right"/>
              <w:rPr>
                <w:sz w:val="20"/>
                <w:szCs w:val="20"/>
                <w:lang w:val="fr-FR"/>
              </w:rPr>
            </w:pPr>
            <w:r w:rsidRPr="00123D18">
              <w:rPr>
                <w:sz w:val="20"/>
                <w:szCs w:val="20"/>
                <w:lang w:val="fr-FR"/>
              </w:rPr>
              <w:t>45</w:t>
            </w:r>
          </w:p>
        </w:tc>
        <w:tc>
          <w:tcPr>
            <w:tcW w:w="990" w:type="dxa"/>
            <w:vAlign w:val="center"/>
          </w:tcPr>
          <w:p w14:paraId="15EE4C38" w14:textId="77777777" w:rsidR="00045AA9" w:rsidRPr="00123D18" w:rsidRDefault="00045AA9" w:rsidP="0063050C">
            <w:pPr>
              <w:jc w:val="right"/>
              <w:rPr>
                <w:sz w:val="20"/>
                <w:szCs w:val="20"/>
                <w:lang w:val="fr-FR"/>
              </w:rPr>
            </w:pPr>
            <w:r w:rsidRPr="00123D18">
              <w:rPr>
                <w:sz w:val="20"/>
                <w:szCs w:val="20"/>
                <w:lang w:val="fr-FR"/>
              </w:rPr>
              <w:t>61</w:t>
            </w:r>
          </w:p>
        </w:tc>
        <w:tc>
          <w:tcPr>
            <w:tcW w:w="990" w:type="dxa"/>
            <w:vAlign w:val="center"/>
          </w:tcPr>
          <w:p w14:paraId="71EEB0D2" w14:textId="77777777" w:rsidR="00045AA9" w:rsidRPr="00123D18" w:rsidRDefault="00045AA9" w:rsidP="0063050C">
            <w:pPr>
              <w:jc w:val="right"/>
              <w:rPr>
                <w:sz w:val="20"/>
                <w:szCs w:val="20"/>
                <w:lang w:val="fr-FR"/>
              </w:rPr>
            </w:pPr>
            <w:r w:rsidRPr="00123D18">
              <w:rPr>
                <w:sz w:val="20"/>
                <w:szCs w:val="20"/>
                <w:lang w:val="fr-FR"/>
              </w:rPr>
              <w:t>61</w:t>
            </w:r>
          </w:p>
        </w:tc>
        <w:tc>
          <w:tcPr>
            <w:tcW w:w="990" w:type="dxa"/>
            <w:vAlign w:val="center"/>
          </w:tcPr>
          <w:p w14:paraId="6D025622" w14:textId="77777777" w:rsidR="00045AA9" w:rsidRPr="00123D18" w:rsidRDefault="00045AA9" w:rsidP="0063050C">
            <w:pPr>
              <w:jc w:val="right"/>
              <w:rPr>
                <w:sz w:val="20"/>
                <w:szCs w:val="20"/>
                <w:lang w:val="fr-FR"/>
              </w:rPr>
            </w:pPr>
            <w:r w:rsidRPr="00123D18">
              <w:rPr>
                <w:sz w:val="20"/>
                <w:szCs w:val="20"/>
                <w:lang w:val="fr-FR"/>
              </w:rPr>
              <w:t>70</w:t>
            </w:r>
          </w:p>
        </w:tc>
        <w:tc>
          <w:tcPr>
            <w:tcW w:w="990" w:type="dxa"/>
            <w:vAlign w:val="center"/>
          </w:tcPr>
          <w:p w14:paraId="0DAF3B49" w14:textId="77777777" w:rsidR="00045AA9" w:rsidRPr="00123D18" w:rsidRDefault="00045AA9" w:rsidP="0063050C">
            <w:pPr>
              <w:jc w:val="right"/>
              <w:rPr>
                <w:sz w:val="20"/>
                <w:szCs w:val="20"/>
                <w:lang w:val="fr-FR"/>
              </w:rPr>
            </w:pPr>
            <w:r w:rsidRPr="00123D18">
              <w:rPr>
                <w:sz w:val="20"/>
                <w:szCs w:val="20"/>
                <w:lang w:val="fr-FR"/>
              </w:rPr>
              <w:t>70</w:t>
            </w:r>
          </w:p>
        </w:tc>
      </w:tr>
    </w:tbl>
    <w:p w14:paraId="153CA80A" w14:textId="77777777" w:rsidR="00045AA9" w:rsidRPr="00123D18" w:rsidRDefault="00045AA9" w:rsidP="00045AA9">
      <w:pPr>
        <w:rPr>
          <w:lang w:val="fr-FR"/>
        </w:rPr>
      </w:pPr>
    </w:p>
    <w:p w14:paraId="53073C75" w14:textId="77777777" w:rsidR="00045AA9" w:rsidRPr="00123D18" w:rsidRDefault="00045AA9" w:rsidP="00045AA9">
      <w:pPr>
        <w:keepNext/>
        <w:keepLines/>
        <w:rPr>
          <w:b/>
          <w:lang w:val="fr-FR"/>
        </w:rPr>
      </w:pPr>
      <w:r>
        <w:rPr>
          <w:b/>
          <w:lang w:val="fr-FR"/>
        </w:rPr>
        <w:t>Observations du Secrétariat</w:t>
      </w:r>
      <w:r w:rsidRPr="00123D18">
        <w:rPr>
          <w:b/>
          <w:lang w:val="fr-FR"/>
        </w:rPr>
        <w:t xml:space="preserve"> </w:t>
      </w:r>
    </w:p>
    <w:p w14:paraId="57A73084" w14:textId="77777777" w:rsidR="00045AA9" w:rsidRPr="00123D18" w:rsidRDefault="00045AA9" w:rsidP="00045AA9">
      <w:pPr>
        <w:rPr>
          <w:u w:val="single"/>
          <w:lang w:val="fr-FR"/>
        </w:rPr>
      </w:pPr>
    </w:p>
    <w:p w14:paraId="43FD13E4" w14:textId="77777777" w:rsidR="00045AA9" w:rsidRPr="00123D18" w:rsidRDefault="00045AA9" w:rsidP="00045AA9">
      <w:pPr>
        <w:rPr>
          <w:u w:val="single"/>
          <w:lang w:val="fr-FR"/>
        </w:rPr>
      </w:pPr>
      <w:r>
        <w:rPr>
          <w:u w:val="single"/>
          <w:lang w:val="fr-FR"/>
        </w:rPr>
        <w:t>Impact de la</w:t>
      </w:r>
      <w:r w:rsidRPr="00123D18">
        <w:rPr>
          <w:u w:val="single"/>
          <w:lang w:val="fr-FR"/>
        </w:rPr>
        <w:t xml:space="preserve"> COVID-19</w:t>
      </w:r>
    </w:p>
    <w:p w14:paraId="5EF0E6CC" w14:textId="77777777" w:rsidR="00045AA9" w:rsidRPr="00123D18" w:rsidRDefault="00045AA9" w:rsidP="00045AA9">
      <w:pPr>
        <w:rPr>
          <w:lang w:val="fr-FR"/>
        </w:rPr>
      </w:pPr>
    </w:p>
    <w:p w14:paraId="5AD2F933" w14:textId="77777777" w:rsidR="00045AA9" w:rsidRPr="00EF5FAF" w:rsidRDefault="00045AA9" w:rsidP="00045AA9">
      <w:pPr>
        <w:pStyle w:val="Heading1"/>
        <w:numPr>
          <w:ilvl w:val="0"/>
          <w:numId w:val="15"/>
        </w:numPr>
        <w:rPr>
          <w:lang w:val="fr-FR"/>
        </w:rPr>
      </w:pPr>
      <w:r>
        <w:rPr>
          <w:lang w:val="fr-FR"/>
        </w:rPr>
        <w:t xml:space="preserve">En raison de la pandémie de </w:t>
      </w:r>
      <w:r w:rsidRPr="00EF5FAF">
        <w:rPr>
          <w:lang w:val="fr-FR"/>
        </w:rPr>
        <w:t>COVID-19</w:t>
      </w:r>
      <w:r>
        <w:rPr>
          <w:lang w:val="fr-FR"/>
        </w:rPr>
        <w:t>, les entreprises n’ont pas été en mesure de mener leurs activités normalement en 2020 et les marchés, tant domestique qu’étrangers, continuent d’être sérieusement affectés</w:t>
      </w:r>
      <w:r w:rsidRPr="00EF5FAF">
        <w:rPr>
          <w:lang w:val="fr-FR"/>
        </w:rPr>
        <w:t xml:space="preserve">. </w:t>
      </w:r>
    </w:p>
    <w:p w14:paraId="6AAEF23D" w14:textId="2674CDA4" w:rsidR="00045AA9" w:rsidRPr="00EF5FAF" w:rsidRDefault="00045AA9" w:rsidP="00045AA9">
      <w:pPr>
        <w:pStyle w:val="Heading1"/>
        <w:numPr>
          <w:ilvl w:val="0"/>
          <w:numId w:val="15"/>
        </w:numPr>
        <w:rPr>
          <w:lang w:val="fr-FR"/>
        </w:rPr>
      </w:pPr>
      <w:r>
        <w:rPr>
          <w:lang w:val="fr-FR"/>
        </w:rPr>
        <w:lastRenderedPageBreak/>
        <w:t>Des visites ont été effectuées dans t</w:t>
      </w:r>
      <w:r w:rsidRPr="00EF5FAF">
        <w:rPr>
          <w:lang w:val="fr-FR"/>
        </w:rPr>
        <w:t>r</w:t>
      </w:r>
      <w:r>
        <w:rPr>
          <w:lang w:val="fr-FR"/>
        </w:rPr>
        <w:t>ois des entreprises</w:t>
      </w:r>
      <w:r w:rsidRPr="00EF5FAF">
        <w:rPr>
          <w:lang w:val="fr-FR"/>
        </w:rPr>
        <w:t xml:space="preserve"> (</w:t>
      </w:r>
      <w:r>
        <w:rPr>
          <w:lang w:val="fr-FR"/>
        </w:rPr>
        <w:t xml:space="preserve">les fabricants de RAC </w:t>
      </w:r>
      <w:r w:rsidRPr="00EF5FAF">
        <w:rPr>
          <w:lang w:val="fr-FR"/>
        </w:rPr>
        <w:t>Changhong Zhongshan</w:t>
      </w:r>
      <w:r w:rsidRPr="00EF5FAF">
        <w:rPr>
          <w:sz w:val="20"/>
          <w:szCs w:val="20"/>
          <w:lang w:val="fr-FR"/>
        </w:rPr>
        <w:t xml:space="preserve"> </w:t>
      </w:r>
      <w:r>
        <w:rPr>
          <w:sz w:val="20"/>
          <w:szCs w:val="20"/>
          <w:lang w:val="fr-FR"/>
        </w:rPr>
        <w:t>et</w:t>
      </w:r>
      <w:r w:rsidRPr="00EF5FAF">
        <w:rPr>
          <w:sz w:val="20"/>
          <w:szCs w:val="20"/>
          <w:lang w:val="fr-FR"/>
        </w:rPr>
        <w:t xml:space="preserve"> </w:t>
      </w:r>
      <w:r w:rsidRPr="00EF5FAF">
        <w:rPr>
          <w:lang w:val="fr-FR"/>
        </w:rPr>
        <w:t>TCL Zhongshan</w:t>
      </w:r>
      <w:r>
        <w:rPr>
          <w:lang w:val="fr-FR"/>
        </w:rPr>
        <w:t xml:space="preserve"> et le fabricant de compresseurs</w:t>
      </w:r>
      <w:r w:rsidRPr="00EF5FAF">
        <w:rPr>
          <w:lang w:val="fr-FR"/>
        </w:rPr>
        <w:t xml:space="preserve"> GMCC) </w:t>
      </w:r>
      <w:r>
        <w:rPr>
          <w:lang w:val="fr-FR"/>
        </w:rPr>
        <w:t>et leurs deuxièmes et troisièmes étapes ont été vérifiées</w:t>
      </w:r>
      <w:r w:rsidR="0063050C">
        <w:rPr>
          <w:lang w:val="fr-FR"/>
        </w:rPr>
        <w:t xml:space="preserve"> </w:t>
      </w:r>
      <w:r>
        <w:rPr>
          <w:lang w:val="fr-FR"/>
        </w:rPr>
        <w:t>; ces projets devraient être achevés d’ici décembre 2020</w:t>
      </w:r>
      <w:r w:rsidR="0063050C">
        <w:rPr>
          <w:lang w:val="fr-FR"/>
        </w:rPr>
        <w:t xml:space="preserve"> </w:t>
      </w:r>
      <w:r>
        <w:rPr>
          <w:lang w:val="fr-FR"/>
        </w:rPr>
        <w:t>; si des restrictions de voyage sont imposées à nouveau en raison de la COVID-19, l’acceptation n</w:t>
      </w:r>
      <w:r w:rsidRPr="00EF5FAF">
        <w:rPr>
          <w:lang w:val="fr-FR"/>
        </w:rPr>
        <w:t>ational</w:t>
      </w:r>
      <w:r>
        <w:rPr>
          <w:lang w:val="fr-FR"/>
        </w:rPr>
        <w:t xml:space="preserve">e pourrait être effectuée de manière virtuelle. La reconversion de trois autres entreprises </w:t>
      </w:r>
      <w:r w:rsidRPr="00EF5FAF">
        <w:rPr>
          <w:lang w:val="fr-FR"/>
        </w:rPr>
        <w:t>(</w:t>
      </w:r>
      <w:r>
        <w:rPr>
          <w:lang w:val="fr-FR"/>
        </w:rPr>
        <w:t>le fabricant de</w:t>
      </w:r>
      <w:r w:rsidRPr="00EF5FAF">
        <w:rPr>
          <w:lang w:val="fr-FR"/>
        </w:rPr>
        <w:t xml:space="preserve"> </w:t>
      </w:r>
      <w:r>
        <w:rPr>
          <w:lang w:val="fr-FR"/>
        </w:rPr>
        <w:t xml:space="preserve">RAC </w:t>
      </w:r>
      <w:r w:rsidRPr="00EF5FAF">
        <w:rPr>
          <w:lang w:val="fr-FR"/>
        </w:rPr>
        <w:t xml:space="preserve">TCL Wuhan </w:t>
      </w:r>
      <w:r>
        <w:rPr>
          <w:lang w:val="fr-FR"/>
        </w:rPr>
        <w:t xml:space="preserve">et les fabricants de compresseurs </w:t>
      </w:r>
      <w:r w:rsidRPr="00EF5FAF">
        <w:rPr>
          <w:lang w:val="fr-FR"/>
        </w:rPr>
        <w:t xml:space="preserve">Highly </w:t>
      </w:r>
      <w:r>
        <w:rPr>
          <w:lang w:val="fr-FR"/>
        </w:rPr>
        <w:t>et</w:t>
      </w:r>
      <w:r w:rsidRPr="00EF5FAF">
        <w:rPr>
          <w:lang w:val="fr-FR"/>
        </w:rPr>
        <w:t xml:space="preserve"> Shenyang Sanyo) </w:t>
      </w:r>
      <w:r>
        <w:rPr>
          <w:lang w:val="fr-FR"/>
        </w:rPr>
        <w:t xml:space="preserve">devrait être achevée d’ici décembre </w:t>
      </w:r>
      <w:r w:rsidRPr="00EF5FAF">
        <w:rPr>
          <w:lang w:val="fr-FR"/>
        </w:rPr>
        <w:t xml:space="preserve">2021. </w:t>
      </w:r>
      <w:r>
        <w:rPr>
          <w:lang w:val="fr-FR"/>
        </w:rPr>
        <w:t>Toutefois, les trois plus petites entreprises</w:t>
      </w:r>
      <w:r w:rsidRPr="00EF5FAF">
        <w:rPr>
          <w:lang w:val="fr-FR"/>
        </w:rPr>
        <w:t xml:space="preserve"> (</w:t>
      </w:r>
      <w:r>
        <w:rPr>
          <w:lang w:val="fr-FR"/>
        </w:rPr>
        <w:t xml:space="preserve">les fabricants de RAC </w:t>
      </w:r>
      <w:r w:rsidRPr="00EF5FAF">
        <w:rPr>
          <w:lang w:val="fr-FR"/>
        </w:rPr>
        <w:t xml:space="preserve">Hinsense Jiangmen </w:t>
      </w:r>
      <w:r>
        <w:rPr>
          <w:lang w:val="fr-FR"/>
        </w:rPr>
        <w:t>et</w:t>
      </w:r>
      <w:r w:rsidRPr="00EF5FAF">
        <w:rPr>
          <w:lang w:val="fr-FR"/>
        </w:rPr>
        <w:t xml:space="preserve"> Yangzi Chuzhou, </w:t>
      </w:r>
      <w:r>
        <w:rPr>
          <w:lang w:val="fr-FR"/>
        </w:rPr>
        <w:t>et le fabricant de compresseurs</w:t>
      </w:r>
      <w:r w:rsidRPr="00EF5FAF">
        <w:rPr>
          <w:lang w:val="fr-FR"/>
        </w:rPr>
        <w:t xml:space="preserve"> Xi'an Qing'an) </w:t>
      </w:r>
      <w:r>
        <w:rPr>
          <w:lang w:val="fr-FR"/>
        </w:rPr>
        <w:t>ont subi des interruptions dans leur</w:t>
      </w:r>
      <w:r w:rsidRPr="00EF5FAF">
        <w:rPr>
          <w:lang w:val="fr-FR"/>
        </w:rPr>
        <w:t>s</w:t>
      </w:r>
      <w:r>
        <w:rPr>
          <w:lang w:val="fr-FR"/>
        </w:rPr>
        <w:t xml:space="preserve"> chaines d’approvisionnement et une réduction de la demande</w:t>
      </w:r>
      <w:r w:rsidR="0063050C">
        <w:rPr>
          <w:lang w:val="fr-FR"/>
        </w:rPr>
        <w:t xml:space="preserve"> </w:t>
      </w:r>
      <w:r>
        <w:rPr>
          <w:lang w:val="fr-FR"/>
        </w:rPr>
        <w:t xml:space="preserve">; les reconversions ont été arrêtées temporairement dans ces entreprises et au moment de la finalisation du présent document, il était impossible de savoir exactement quand la mise en œuvre de ces reconversions allait reprendre. </w:t>
      </w:r>
      <w:r w:rsidRPr="00EF5FAF">
        <w:rPr>
          <w:lang w:val="fr-FR"/>
        </w:rPr>
        <w:t xml:space="preserve"> </w:t>
      </w:r>
    </w:p>
    <w:p w14:paraId="549010C2" w14:textId="457027AC" w:rsidR="00045AA9" w:rsidRDefault="00045AA9" w:rsidP="00045AA9">
      <w:pPr>
        <w:pStyle w:val="Heading1"/>
        <w:numPr>
          <w:ilvl w:val="0"/>
          <w:numId w:val="15"/>
        </w:numPr>
        <w:rPr>
          <w:lang w:val="fr-FR"/>
        </w:rPr>
      </w:pPr>
      <w:r>
        <w:rPr>
          <w:lang w:val="fr-FR"/>
        </w:rPr>
        <w:t>C’est probablement sur le plan économique, tant à l’intérieur qu’à l’extérieur de la Chine, que la pandémie de COVID-19 a l’impact le plus marquant, ce qui devrait jouer un rôle clé dans la volonté des consommateurs d’investir dans une technologie nouvelle, comme le R-290, dans le secteur RAC. Selon les restrictions de voyage et autres, certaines activités devront éventuellement être ajustées ou retardées</w:t>
      </w:r>
      <w:r w:rsidR="0063050C">
        <w:rPr>
          <w:lang w:val="fr-FR"/>
        </w:rPr>
        <w:t xml:space="preserve"> </w:t>
      </w:r>
      <w:r>
        <w:rPr>
          <w:lang w:val="fr-FR"/>
        </w:rPr>
        <w:t>; des mécanismes sont en place à cet effet.  Par exemple, la conférence annuelle sur les technologies de remplacement dans le secteur RAC, organisée par CHEAA, se tiendra le 30 octobre 2020, avec participation en personne et de manière virtuelle.  De même, l’acceptation nationale peut être effectuée virtuellement.</w:t>
      </w:r>
    </w:p>
    <w:p w14:paraId="35DFD352" w14:textId="77777777" w:rsidR="00045AA9" w:rsidRPr="008E1ED5" w:rsidRDefault="00045AA9" w:rsidP="00045AA9">
      <w:pPr>
        <w:rPr>
          <w:u w:val="single"/>
          <w:lang w:val="fr-FR"/>
        </w:rPr>
      </w:pPr>
      <w:r w:rsidRPr="008E1ED5">
        <w:rPr>
          <w:u w:val="single"/>
          <w:lang w:val="fr-FR"/>
        </w:rPr>
        <w:t>Stratégie et pérennité</w:t>
      </w:r>
    </w:p>
    <w:p w14:paraId="66BAB964" w14:textId="77777777" w:rsidR="00045AA9" w:rsidRPr="007A6329" w:rsidRDefault="00045AA9" w:rsidP="00045AA9">
      <w:pPr>
        <w:rPr>
          <w:u w:val="single"/>
        </w:rPr>
      </w:pPr>
    </w:p>
    <w:p w14:paraId="246731E8" w14:textId="77777777" w:rsidR="00045AA9" w:rsidRPr="00EF5FAF" w:rsidRDefault="00045AA9" w:rsidP="00045AA9">
      <w:pPr>
        <w:pStyle w:val="Heading1"/>
        <w:numPr>
          <w:ilvl w:val="0"/>
          <w:numId w:val="15"/>
        </w:numPr>
        <w:rPr>
          <w:lang w:val="fr-FR"/>
        </w:rPr>
      </w:pPr>
      <w:r>
        <w:rPr>
          <w:lang w:val="fr-FR"/>
        </w:rPr>
        <w:t>Au cours de la phase I et des deux premières tranches de la phase II du plan du secteur RAC, l’accent a été mis sur la reconversion des chaines de fabrication de RAC et l’allocation des surcoûts d’exploitation. Pour la période 2022-2026, l’accent sera mis sur l’assistance technique afin de promouvoir la technologie à base de R-290 et sa mise en marché</w:t>
      </w:r>
      <w:r w:rsidRPr="00EF5FAF">
        <w:rPr>
          <w:lang w:val="fr-FR"/>
        </w:rPr>
        <w:t>.</w:t>
      </w:r>
    </w:p>
    <w:p w14:paraId="25F25F6F" w14:textId="59207736" w:rsidR="00045AA9" w:rsidRPr="00EF5FAF" w:rsidRDefault="00045AA9" w:rsidP="00045AA9">
      <w:pPr>
        <w:pStyle w:val="Heading1"/>
        <w:numPr>
          <w:ilvl w:val="0"/>
          <w:numId w:val="15"/>
        </w:numPr>
        <w:rPr>
          <w:lang w:val="fr-FR"/>
        </w:rPr>
      </w:pPr>
      <w:r>
        <w:rPr>
          <w:lang w:val="fr-FR"/>
        </w:rPr>
        <w:t xml:space="preserve">En dépit de tous les efforts du gouvernement de la Chine, de l’ONUDI, de CHEAA, des intervenants du secteur et autres, et de l’élaboration d’un mécanisme d’intéressement innovateur pour les surcoûts d’exploitation, l’adoption des équipements RAC à base de R-290 par le marché est restée limitée, comme le démontre le fait qu’environ un pour cent seulement de la capacité de fabrication reconvertie au </w:t>
      </w:r>
      <w:r w:rsidRPr="00EF5FAF">
        <w:rPr>
          <w:lang w:val="fr-FR"/>
        </w:rPr>
        <w:t xml:space="preserve">R-290 </w:t>
      </w:r>
      <w:r>
        <w:rPr>
          <w:lang w:val="fr-FR"/>
        </w:rPr>
        <w:t>durant la phase I, a été utilisée entre le 1</w:t>
      </w:r>
      <w:r w:rsidRPr="00816C46">
        <w:rPr>
          <w:vertAlign w:val="superscript"/>
          <w:lang w:val="fr-FR"/>
        </w:rPr>
        <w:t>er</w:t>
      </w:r>
      <w:r w:rsidR="0063050C">
        <w:rPr>
          <w:lang w:val="fr-FR"/>
        </w:rPr>
        <w:t xml:space="preserve"> septembre</w:t>
      </w:r>
      <w:r w:rsidRPr="00EF5FAF">
        <w:rPr>
          <w:lang w:val="fr-FR"/>
        </w:rPr>
        <w:t xml:space="preserve"> 2019 </w:t>
      </w:r>
      <w:r>
        <w:rPr>
          <w:lang w:val="fr-FR"/>
        </w:rPr>
        <w:t>et le 31 août</w:t>
      </w:r>
      <w:r w:rsidRPr="00EF5FAF">
        <w:rPr>
          <w:lang w:val="fr-FR"/>
        </w:rPr>
        <w:t xml:space="preserve"> 2020.</w:t>
      </w:r>
    </w:p>
    <w:p w14:paraId="5E43EA1B" w14:textId="3D0C25C0" w:rsidR="00045AA9" w:rsidRPr="00EF5FAF" w:rsidRDefault="00045AA9" w:rsidP="00045AA9">
      <w:pPr>
        <w:pStyle w:val="Heading1"/>
        <w:widowControl w:val="0"/>
        <w:numPr>
          <w:ilvl w:val="0"/>
          <w:numId w:val="15"/>
        </w:numPr>
        <w:tabs>
          <w:tab w:val="left" w:pos="567"/>
        </w:tabs>
        <w:rPr>
          <w:lang w:val="fr-FR"/>
        </w:rPr>
      </w:pPr>
      <w:r>
        <w:rPr>
          <w:lang w:val="fr-FR"/>
        </w:rPr>
        <w:t xml:space="preserve">D’ici la fin de la phase II, la capacité de fabrication reconvertie au </w:t>
      </w:r>
      <w:r w:rsidRPr="00EF5FAF">
        <w:rPr>
          <w:lang w:val="fr-FR"/>
        </w:rPr>
        <w:t xml:space="preserve">R-290 </w:t>
      </w:r>
      <w:r>
        <w:rPr>
          <w:lang w:val="fr-FR"/>
        </w:rPr>
        <w:t>représenterait environ 4 pour cent de la capacité totale de fabrication de RAC du pays</w:t>
      </w:r>
      <w:r>
        <w:rPr>
          <w:rStyle w:val="FootnoteReference"/>
          <w:lang w:val="fr-FR"/>
        </w:rPr>
        <w:footnoteReference w:id="17"/>
      </w:r>
      <w:r>
        <w:rPr>
          <w:lang w:val="fr-FR"/>
        </w:rPr>
        <w:t>.  Étant donné la part de marché dominante des autres technologies, il est probable que l’adoption par le marché de l’équipement RAC à base de</w:t>
      </w:r>
      <w:r w:rsidRPr="00EF5FAF">
        <w:rPr>
          <w:lang w:val="fr-FR"/>
        </w:rPr>
        <w:t xml:space="preserve"> R-290 </w:t>
      </w:r>
      <w:r>
        <w:rPr>
          <w:lang w:val="fr-FR"/>
        </w:rPr>
        <w:t xml:space="preserve">restera un défi.  Des mesures politiques, en Chine </w:t>
      </w:r>
      <w:r w:rsidR="0063050C">
        <w:rPr>
          <w:lang w:val="fr-FR"/>
        </w:rPr>
        <w:t xml:space="preserve">comme </w:t>
      </w:r>
      <w:r>
        <w:rPr>
          <w:lang w:val="fr-FR"/>
        </w:rPr>
        <w:t xml:space="preserve">dans les pays qui importent de l’équipement RAC </w:t>
      </w:r>
      <w:r w:rsidRPr="00EF5FAF">
        <w:rPr>
          <w:lang w:val="fr-FR"/>
        </w:rPr>
        <w:t>e</w:t>
      </w:r>
      <w:r>
        <w:rPr>
          <w:lang w:val="fr-FR"/>
        </w:rPr>
        <w:t>n provenance de la Chine, seront cruciales pour assurer le succès de l’adoption de cette technologie.</w:t>
      </w:r>
    </w:p>
    <w:p w14:paraId="6E790445" w14:textId="087B43A2" w:rsidR="00045AA9" w:rsidRPr="00EF5FAF" w:rsidRDefault="00045AA9" w:rsidP="00045AA9">
      <w:pPr>
        <w:pStyle w:val="Heading1"/>
        <w:numPr>
          <w:ilvl w:val="0"/>
          <w:numId w:val="15"/>
        </w:numPr>
        <w:tabs>
          <w:tab w:val="left" w:pos="567"/>
        </w:tabs>
        <w:rPr>
          <w:lang w:val="fr-FR"/>
        </w:rPr>
      </w:pPr>
      <w:r>
        <w:rPr>
          <w:lang w:val="fr-FR"/>
        </w:rPr>
        <w:t>Aucun financement n’a été demandé pour près de 90 pour cent de l’élimination à réaliser entre 2016 et 2026</w:t>
      </w:r>
      <w:r w:rsidR="0063050C">
        <w:rPr>
          <w:lang w:val="fr-FR"/>
        </w:rPr>
        <w:t xml:space="preserve"> </w:t>
      </w:r>
      <w:r>
        <w:rPr>
          <w:lang w:val="fr-FR"/>
        </w:rPr>
        <w:t xml:space="preserve">; cette élimination pourrait être obtenue par des reconversions à n’importe quelle technologie sans SAO, incluant le </w:t>
      </w:r>
      <w:r w:rsidRPr="00EF5FAF">
        <w:rPr>
          <w:lang w:val="fr-FR"/>
        </w:rPr>
        <w:t xml:space="preserve">R-410A </w:t>
      </w:r>
      <w:r>
        <w:rPr>
          <w:lang w:val="fr-FR"/>
        </w:rPr>
        <w:t>et le</w:t>
      </w:r>
      <w:r w:rsidRPr="00EF5FAF">
        <w:rPr>
          <w:lang w:val="fr-FR"/>
        </w:rPr>
        <w:t xml:space="preserve"> HFC-32. </w:t>
      </w:r>
      <w:r>
        <w:rPr>
          <w:lang w:val="fr-FR"/>
        </w:rPr>
        <w:t>Tandis que le gouvernement a l’intention d’encourager la reconversion au R-290 de chaines de fabrication supplémentaires, le choix de la technologie dépend de la demande des clients et une portion substantielle des RAC fabriqués en Chine est exportée</w:t>
      </w:r>
      <w:r w:rsidR="0063050C">
        <w:rPr>
          <w:lang w:val="fr-FR"/>
        </w:rPr>
        <w:t xml:space="preserve"> </w:t>
      </w:r>
      <w:r>
        <w:rPr>
          <w:lang w:val="fr-FR"/>
        </w:rPr>
        <w:t xml:space="preserve">; par conséquent, il est difficile d’estimer la ségrégation technologique de l’élimination pour laquelle aucun financement n’a été demandé. </w:t>
      </w:r>
      <w:r w:rsidRPr="00EF5FAF">
        <w:rPr>
          <w:lang w:val="fr-FR"/>
        </w:rPr>
        <w:t xml:space="preserve"> </w:t>
      </w:r>
    </w:p>
    <w:p w14:paraId="33A5AB93" w14:textId="77777777" w:rsidR="00045AA9" w:rsidRPr="00EF5FAF" w:rsidRDefault="00045AA9" w:rsidP="00045AA9">
      <w:pPr>
        <w:pStyle w:val="Heading1"/>
        <w:widowControl w:val="0"/>
        <w:numPr>
          <w:ilvl w:val="0"/>
          <w:numId w:val="15"/>
        </w:numPr>
        <w:rPr>
          <w:lang w:val="fr-FR"/>
        </w:rPr>
      </w:pPr>
      <w:r>
        <w:rPr>
          <w:lang w:val="fr-FR"/>
        </w:rPr>
        <w:t xml:space="preserve">L’adoption par le marché des RAC à base de </w:t>
      </w:r>
      <w:r w:rsidRPr="00EF5FAF">
        <w:rPr>
          <w:lang w:val="fr-FR"/>
        </w:rPr>
        <w:t xml:space="preserve">R-290 </w:t>
      </w:r>
      <w:r>
        <w:rPr>
          <w:lang w:val="fr-FR"/>
        </w:rPr>
        <w:t xml:space="preserve">se heurte à plusieurs facteurs, incluant la </w:t>
      </w:r>
      <w:r>
        <w:rPr>
          <w:lang w:val="fr-FR"/>
        </w:rPr>
        <w:lastRenderedPageBreak/>
        <w:t xml:space="preserve">concurrence de l’équipement RAC à base de frigorigènes, tels que le </w:t>
      </w:r>
      <w:r w:rsidRPr="00EF5FAF">
        <w:rPr>
          <w:lang w:val="fr-FR"/>
        </w:rPr>
        <w:t xml:space="preserve">R-410A </w:t>
      </w:r>
      <w:r>
        <w:rPr>
          <w:lang w:val="fr-FR"/>
        </w:rPr>
        <w:t>et le HFC-32</w:t>
      </w:r>
      <w:r w:rsidRPr="00EF5FAF">
        <w:rPr>
          <w:lang w:val="fr-FR"/>
        </w:rPr>
        <w:t xml:space="preserve">. </w:t>
      </w:r>
      <w:r>
        <w:rPr>
          <w:lang w:val="fr-FR"/>
        </w:rPr>
        <w:t xml:space="preserve">La consommation de </w:t>
      </w:r>
      <w:r w:rsidRPr="00EF5FAF">
        <w:rPr>
          <w:lang w:val="fr-FR"/>
        </w:rPr>
        <w:t xml:space="preserve">R-410A </w:t>
      </w:r>
      <w:r>
        <w:rPr>
          <w:lang w:val="fr-FR"/>
        </w:rPr>
        <w:t xml:space="preserve">pour la </w:t>
      </w:r>
      <w:r w:rsidRPr="00EF5FAF">
        <w:rPr>
          <w:lang w:val="fr-FR"/>
        </w:rPr>
        <w:t>f</w:t>
      </w:r>
      <w:r>
        <w:rPr>
          <w:lang w:val="fr-FR"/>
        </w:rPr>
        <w:t xml:space="preserve">abrication de RAC est restée relativement constante, autour de 60 </w:t>
      </w:r>
      <w:r w:rsidRPr="00EF5FAF">
        <w:rPr>
          <w:lang w:val="fr-FR"/>
        </w:rPr>
        <w:t>000 </w:t>
      </w:r>
      <w:r>
        <w:rPr>
          <w:lang w:val="fr-FR"/>
        </w:rPr>
        <w:t>tonnes métriques/</w:t>
      </w:r>
      <w:r w:rsidRPr="00EF5FAF">
        <w:rPr>
          <w:lang w:val="fr-FR"/>
        </w:rPr>
        <w:t>a</w:t>
      </w:r>
      <w:r>
        <w:rPr>
          <w:lang w:val="fr-FR"/>
        </w:rPr>
        <w:t>n, pour la période</w:t>
      </w:r>
      <w:r w:rsidRPr="00EF5FAF">
        <w:rPr>
          <w:lang w:val="fr-FR"/>
        </w:rPr>
        <w:t xml:space="preserve"> 2015</w:t>
      </w:r>
      <w:r>
        <w:rPr>
          <w:lang w:val="fr-FR"/>
        </w:rPr>
        <w:t>-</w:t>
      </w:r>
      <w:r w:rsidRPr="00EF5FAF">
        <w:rPr>
          <w:lang w:val="fr-FR"/>
        </w:rPr>
        <w:t xml:space="preserve">2019. </w:t>
      </w:r>
      <w:r>
        <w:rPr>
          <w:lang w:val="fr-FR"/>
        </w:rPr>
        <w:t>Par contre, la consommation de</w:t>
      </w:r>
      <w:r w:rsidRPr="00EF5FAF">
        <w:rPr>
          <w:lang w:val="fr-FR"/>
        </w:rPr>
        <w:t xml:space="preserve"> HFC-32 </w:t>
      </w:r>
      <w:r>
        <w:rPr>
          <w:lang w:val="fr-FR"/>
        </w:rPr>
        <w:t xml:space="preserve">pour la </w:t>
      </w:r>
      <w:r w:rsidRPr="00EF5FAF">
        <w:rPr>
          <w:lang w:val="fr-FR"/>
        </w:rPr>
        <w:t>f</w:t>
      </w:r>
      <w:r>
        <w:rPr>
          <w:lang w:val="fr-FR"/>
        </w:rPr>
        <w:t>abrication de RAC</w:t>
      </w:r>
      <w:r w:rsidRPr="00EF5FAF">
        <w:rPr>
          <w:lang w:val="fr-FR"/>
        </w:rPr>
        <w:t xml:space="preserve"> </w:t>
      </w:r>
      <w:r>
        <w:rPr>
          <w:lang w:val="fr-FR"/>
        </w:rPr>
        <w:t xml:space="preserve">a connu une hausse substantielle de 90 pour centre entre </w:t>
      </w:r>
      <w:r w:rsidRPr="00EF5FAF">
        <w:rPr>
          <w:lang w:val="fr-FR"/>
        </w:rPr>
        <w:t xml:space="preserve">2017 </w:t>
      </w:r>
      <w:r>
        <w:rPr>
          <w:lang w:val="fr-FR"/>
        </w:rPr>
        <w:t>et</w:t>
      </w:r>
      <w:r w:rsidRPr="00EF5FAF">
        <w:rPr>
          <w:lang w:val="fr-FR"/>
        </w:rPr>
        <w:t xml:space="preserve"> 2019, </w:t>
      </w:r>
      <w:r>
        <w:rPr>
          <w:lang w:val="fr-FR"/>
        </w:rPr>
        <w:t xml:space="preserve">pour atteindre près de 40 </w:t>
      </w:r>
      <w:r w:rsidRPr="00EF5FAF">
        <w:rPr>
          <w:lang w:val="fr-FR"/>
        </w:rPr>
        <w:t>000 </w:t>
      </w:r>
      <w:r>
        <w:rPr>
          <w:lang w:val="fr-FR"/>
        </w:rPr>
        <w:t>tonnes métriques/an</w:t>
      </w:r>
      <w:r>
        <w:rPr>
          <w:rStyle w:val="FootnoteReference"/>
          <w:lang w:val="fr-FR"/>
        </w:rPr>
        <w:footnoteReference w:id="18"/>
      </w:r>
      <w:r>
        <w:rPr>
          <w:lang w:val="fr-FR"/>
        </w:rPr>
        <w:t>. La fabrication de RAC à base de</w:t>
      </w:r>
      <w:r w:rsidRPr="00EF5FAF">
        <w:rPr>
          <w:lang w:val="fr-FR"/>
        </w:rPr>
        <w:t xml:space="preserve"> HFC-32 </w:t>
      </w:r>
      <w:r>
        <w:rPr>
          <w:lang w:val="fr-FR"/>
        </w:rPr>
        <w:t xml:space="preserve">augmente en dépit de la très petite différence de prix entre les unités RAC à base de HFC-32 et de </w:t>
      </w:r>
      <w:r w:rsidRPr="00EF5FAF">
        <w:rPr>
          <w:lang w:val="fr-FR"/>
        </w:rPr>
        <w:t>R-410A</w:t>
      </w:r>
      <w:r>
        <w:rPr>
          <w:lang w:val="fr-FR"/>
        </w:rPr>
        <w:t xml:space="preserve">. </w:t>
      </w:r>
    </w:p>
    <w:p w14:paraId="75B3FE71" w14:textId="77777777" w:rsidR="00045AA9" w:rsidRPr="00EF5FAF" w:rsidRDefault="00045AA9" w:rsidP="00045AA9">
      <w:pPr>
        <w:pStyle w:val="Heading1"/>
        <w:widowControl w:val="0"/>
        <w:numPr>
          <w:ilvl w:val="0"/>
          <w:numId w:val="15"/>
        </w:numPr>
        <w:rPr>
          <w:lang w:val="fr-FR"/>
        </w:rPr>
      </w:pPr>
      <w:r w:rsidRPr="00EF5FAF">
        <w:rPr>
          <w:lang w:val="fr-FR"/>
        </w:rPr>
        <w:t>I</w:t>
      </w:r>
      <w:r>
        <w:rPr>
          <w:lang w:val="fr-FR"/>
        </w:rPr>
        <w:t>l a été signalé</w:t>
      </w:r>
      <w:r>
        <w:rPr>
          <w:rStyle w:val="FootnoteReference"/>
          <w:lang w:val="fr-FR"/>
        </w:rPr>
        <w:footnoteReference w:id="19"/>
      </w:r>
      <w:r>
        <w:rPr>
          <w:lang w:val="fr-FR"/>
        </w:rPr>
        <w:t xml:space="preserve"> également que les coûts plus élevés de l’installation de ces équipements par rapport aux autres représentaient un obs</w:t>
      </w:r>
      <w:r w:rsidRPr="00EF5FAF">
        <w:rPr>
          <w:lang w:val="fr-FR"/>
        </w:rPr>
        <w:t>t</w:t>
      </w:r>
      <w:r>
        <w:rPr>
          <w:lang w:val="fr-FR"/>
        </w:rPr>
        <w:t>acle à l’adoption de l’équipement à base de R-290 par le marché.  En dépit du fait que les normes d’installation de RAC</w:t>
      </w:r>
      <w:r w:rsidRPr="00EF5FAF">
        <w:rPr>
          <w:lang w:val="fr-FR"/>
        </w:rPr>
        <w:t xml:space="preserve"> e</w:t>
      </w:r>
      <w:r>
        <w:rPr>
          <w:lang w:val="fr-FR"/>
        </w:rPr>
        <w:t xml:space="preserve">n Chine ne font pas la distinction entre les frigorigènes A2L (tel que le HFC-32) et A3 (tel que R-290), la fabrication de RAC à base de HFC-32 a considérablement augmenté, ce qui n’a pas été le cas pour les RAC à base de R-290. Théoriquement, les exigences pour l’installation des RAC à base de HFC-32 ou de R-290, devraient être les mêmes; il semble qu’en pratique, les techniciens soient plus prudents avec le R-290, ce qui réduit l’efficacité de l’installation. </w:t>
      </w:r>
      <w:r w:rsidRPr="00EF5FAF">
        <w:rPr>
          <w:lang w:val="fr-FR"/>
        </w:rPr>
        <w:t xml:space="preserve"> </w:t>
      </w:r>
    </w:p>
    <w:p w14:paraId="15351F4D" w14:textId="267958CE" w:rsidR="00045AA9" w:rsidRDefault="00045AA9" w:rsidP="00045AA9">
      <w:pPr>
        <w:pStyle w:val="Heading1"/>
        <w:numPr>
          <w:ilvl w:val="0"/>
          <w:numId w:val="15"/>
        </w:numPr>
        <w:rPr>
          <w:lang w:val="fr-FR"/>
        </w:rPr>
      </w:pPr>
      <w:r>
        <w:rPr>
          <w:lang w:val="fr-FR"/>
        </w:rPr>
        <w:t>Dans le cadre du plan sectoriel révisé prolongé, le gouvernement de l’Autriche fournirait une assistance technique pour identifier les obstacles auxquels se heurte la technologie à base de R-290 sur les marchés à l’extérieur de la Chine, en commençant par l’Afrique du Nord et les Balkans, et les moyens de les surmonter, tels que des exigences minimales d’infrastructure, incluant les compétences/la formation pour installer et entretenir, de manière sécuritaire, les produits à base de R-290</w:t>
      </w:r>
      <w:r w:rsidRPr="00EF5FAF">
        <w:rPr>
          <w:lang w:val="fr-FR"/>
        </w:rPr>
        <w:t xml:space="preserve">. </w:t>
      </w:r>
      <w:r>
        <w:rPr>
          <w:lang w:val="fr-FR"/>
        </w:rPr>
        <w:t>Aucune des unités bi-blocs de RAC à base de</w:t>
      </w:r>
      <w:r w:rsidRPr="00EF5FAF">
        <w:rPr>
          <w:lang w:val="fr-FR"/>
        </w:rPr>
        <w:t xml:space="preserve"> R-290 </w:t>
      </w:r>
      <w:r>
        <w:rPr>
          <w:lang w:val="fr-FR"/>
        </w:rPr>
        <w:t>fabriquées durant la phase I n’a été exportée.  Par conséquent, le Secrétariat juge stratégique l’inclusion d’activités visant à promouvoir l’adoption par le marché des RAC à base de R-290 à l’extérieur de la Chine, tout en notant que les détails de ces activités seront inclus dans le cadre de la troisième tranche du plan sectoriel qui devra être soumis à la deuxième réunion de 2021.  Le Secrétariat note que les Balkans comptent à la fois des pays visés à l’article 5 et des pays non visés à l’article 5</w:t>
      </w:r>
      <w:r w:rsidR="00F91819">
        <w:rPr>
          <w:lang w:val="fr-FR"/>
        </w:rPr>
        <w:t xml:space="preserve"> </w:t>
      </w:r>
      <w:r>
        <w:rPr>
          <w:lang w:val="fr-FR"/>
        </w:rPr>
        <w:t>; seules les activités dans les premiers seraient admissibles dans le cadre du Fonds multilatéral.</w:t>
      </w:r>
    </w:p>
    <w:p w14:paraId="31FE9654" w14:textId="76999DFE" w:rsidR="00045AA9" w:rsidRPr="000D453C" w:rsidRDefault="00045AA9" w:rsidP="00045AA9">
      <w:pPr>
        <w:pStyle w:val="Heading1"/>
        <w:numPr>
          <w:ilvl w:val="0"/>
          <w:numId w:val="15"/>
        </w:numPr>
        <w:tabs>
          <w:tab w:val="left" w:pos="567"/>
        </w:tabs>
        <w:rPr>
          <w:lang w:val="fr-FR"/>
        </w:rPr>
      </w:pPr>
      <w:r>
        <w:rPr>
          <w:lang w:val="fr-FR"/>
        </w:rPr>
        <w:t xml:space="preserve">Le plan révisé prolongé n’inclut aucune autre reconversion de chaines de compresseurs au R-290, en </w:t>
      </w:r>
      <w:r w:rsidRPr="000D453C">
        <w:rPr>
          <w:lang w:val="fr-FR"/>
        </w:rPr>
        <w:t>2022</w:t>
      </w:r>
      <w:r w:rsidRPr="000D453C">
        <w:rPr>
          <w:lang w:val="fr-FR"/>
        </w:rPr>
        <w:noBreakHyphen/>
        <w:t xml:space="preserve">2026. </w:t>
      </w:r>
      <w:r>
        <w:rPr>
          <w:lang w:val="fr-FR"/>
        </w:rPr>
        <w:t xml:space="preserve"> Durant la phase I, trois chaines de compresseurs ont été reconverties</w:t>
      </w:r>
      <w:r w:rsidR="00F91819">
        <w:rPr>
          <w:lang w:val="fr-FR"/>
        </w:rPr>
        <w:t xml:space="preserve"> </w:t>
      </w:r>
      <w:r>
        <w:rPr>
          <w:lang w:val="fr-FR"/>
        </w:rPr>
        <w:t>; quatre autres chaines ont été reconverties durant les deux premières tranches de la phase II, portant à sept le nombre total de chaines de compresseurs reconverties au R</w:t>
      </w:r>
      <w:r w:rsidRPr="000D453C">
        <w:rPr>
          <w:lang w:val="fr-FR"/>
        </w:rPr>
        <w:t>-290</w:t>
      </w:r>
      <w:r>
        <w:rPr>
          <w:lang w:val="fr-FR"/>
        </w:rPr>
        <w:t xml:space="preserve">.  Étant donné que l’adoption de cette technologie par le marché continuera probablement d’être limitée, le Secrétariat estime la capacité de fabrication de compresseurs à base de R-290 suffisante jusqu’à la fin de la phase </w:t>
      </w:r>
      <w:r w:rsidRPr="000D453C">
        <w:rPr>
          <w:lang w:val="fr-FR"/>
        </w:rPr>
        <w:t xml:space="preserve">II. </w:t>
      </w:r>
    </w:p>
    <w:p w14:paraId="0ED9E7B0" w14:textId="77777777" w:rsidR="00045AA9" w:rsidRPr="00EF5FAF" w:rsidRDefault="00045AA9" w:rsidP="00045AA9">
      <w:pPr>
        <w:widowControl w:val="0"/>
        <w:rPr>
          <w:u w:val="single"/>
          <w:lang w:val="fr-FR"/>
        </w:rPr>
      </w:pPr>
      <w:r>
        <w:rPr>
          <w:u w:val="single"/>
          <w:lang w:val="fr-FR"/>
        </w:rPr>
        <w:t xml:space="preserve">Questions liées aux coûts </w:t>
      </w:r>
    </w:p>
    <w:p w14:paraId="589A163D" w14:textId="77777777" w:rsidR="00045AA9" w:rsidRPr="00EF5FAF" w:rsidRDefault="00045AA9" w:rsidP="00045AA9">
      <w:pPr>
        <w:widowControl w:val="0"/>
        <w:rPr>
          <w:lang w:val="fr-FR"/>
        </w:rPr>
      </w:pPr>
    </w:p>
    <w:p w14:paraId="2A54110E" w14:textId="4150CE27" w:rsidR="00045AA9" w:rsidRPr="00EF5FAF" w:rsidRDefault="00045AA9" w:rsidP="00045AA9">
      <w:pPr>
        <w:pStyle w:val="Heading1"/>
        <w:widowControl w:val="0"/>
        <w:numPr>
          <w:ilvl w:val="0"/>
          <w:numId w:val="15"/>
        </w:numPr>
        <w:rPr>
          <w:lang w:val="fr-FR"/>
        </w:rPr>
      </w:pPr>
      <w:r>
        <w:rPr>
          <w:lang w:val="fr-FR"/>
        </w:rPr>
        <w:t>À sa 77</w:t>
      </w:r>
      <w:r w:rsidRPr="009C1A68">
        <w:rPr>
          <w:vertAlign w:val="superscript"/>
          <w:lang w:val="fr-FR"/>
        </w:rPr>
        <w:t>e</w:t>
      </w:r>
      <w:r>
        <w:rPr>
          <w:lang w:val="fr-FR"/>
        </w:rPr>
        <w:t xml:space="preserve"> réunion, le Comité exécutif a approuvé, en principe, le plan du secteur RAC de la phase II du PGEH pour la Chine, pour la période 2016-</w:t>
      </w:r>
      <w:r w:rsidRPr="00EF5FAF">
        <w:rPr>
          <w:lang w:val="fr-FR"/>
        </w:rPr>
        <w:t>2021</w:t>
      </w:r>
      <w:r>
        <w:rPr>
          <w:lang w:val="fr-FR"/>
        </w:rPr>
        <w:t>, au montant de 89 144 797 $US, coûts d’appui</w:t>
      </w:r>
      <w:r w:rsidRPr="00EF5FAF">
        <w:rPr>
          <w:lang w:val="fr-FR"/>
        </w:rPr>
        <w:t xml:space="preserve"> </w:t>
      </w:r>
      <w:r>
        <w:rPr>
          <w:lang w:val="fr-FR"/>
        </w:rPr>
        <w:t xml:space="preserve">d’agence en sus.  Sur les 18 </w:t>
      </w:r>
      <w:r w:rsidRPr="00EF5FAF">
        <w:rPr>
          <w:lang w:val="fr-FR"/>
        </w:rPr>
        <w:t>675 </w:t>
      </w:r>
      <w:r>
        <w:rPr>
          <w:lang w:val="fr-FR"/>
        </w:rPr>
        <w:t xml:space="preserve">tonnes métriques (tm) à éliminer dans le cadre de ce plan, 8 </w:t>
      </w:r>
      <w:r w:rsidRPr="00EF5FAF">
        <w:rPr>
          <w:lang w:val="fr-FR"/>
        </w:rPr>
        <w:t>122 </w:t>
      </w:r>
      <w:r>
        <w:rPr>
          <w:lang w:val="fr-FR"/>
        </w:rPr>
        <w:t>tm devaient être éliminées par la reconversion au R-290 et 48 tm par la reconversion au</w:t>
      </w:r>
      <w:r w:rsidRPr="00EF5FAF">
        <w:rPr>
          <w:lang w:val="fr-FR"/>
        </w:rPr>
        <w:t xml:space="preserve"> R-744. </w:t>
      </w:r>
      <w:r>
        <w:rPr>
          <w:lang w:val="fr-FR"/>
        </w:rPr>
        <w:t>Ainsi, le ratio coût-efficacité (CE) des reconversions à des solutions de remplacement à faible PRG entre 2016 et 2021 était de 10,</w:t>
      </w:r>
      <w:r w:rsidRPr="00EF5FAF">
        <w:rPr>
          <w:lang w:val="fr-FR"/>
        </w:rPr>
        <w:t>91</w:t>
      </w:r>
      <w:r>
        <w:rPr>
          <w:lang w:val="fr-FR"/>
        </w:rPr>
        <w:t>$US</w:t>
      </w:r>
      <w:r w:rsidRPr="00EF5FAF">
        <w:rPr>
          <w:lang w:val="fr-FR"/>
        </w:rPr>
        <w:t xml:space="preserve">/kg. </w:t>
      </w:r>
      <w:r>
        <w:rPr>
          <w:lang w:val="fr-FR"/>
        </w:rPr>
        <w:t xml:space="preserve">Dans le cadre du plan révisé prolongé, un montant de 28 831 </w:t>
      </w:r>
      <w:r w:rsidRPr="00EF5FAF">
        <w:rPr>
          <w:lang w:val="fr-FR"/>
        </w:rPr>
        <w:t>100</w:t>
      </w:r>
      <w:r>
        <w:rPr>
          <w:lang w:val="fr-FR"/>
        </w:rPr>
        <w:t xml:space="preserve"> $US es</w:t>
      </w:r>
      <w:r w:rsidR="00F91819">
        <w:rPr>
          <w:lang w:val="fr-FR"/>
        </w:rPr>
        <w:t>t demandé pour l’élimination de</w:t>
      </w:r>
      <w:r>
        <w:rPr>
          <w:lang w:val="fr-FR"/>
        </w:rPr>
        <w:t xml:space="preserve"> 2 085 </w:t>
      </w:r>
      <w:r w:rsidRPr="00EF5FAF">
        <w:rPr>
          <w:lang w:val="fr-FR"/>
        </w:rPr>
        <w:t>t</w:t>
      </w:r>
      <w:r>
        <w:rPr>
          <w:lang w:val="fr-FR"/>
        </w:rPr>
        <w:t>m de</w:t>
      </w:r>
      <w:r w:rsidRPr="00EF5FAF">
        <w:rPr>
          <w:lang w:val="fr-FR"/>
        </w:rPr>
        <w:t xml:space="preserve"> HCFC-22 </w:t>
      </w:r>
      <w:r>
        <w:rPr>
          <w:lang w:val="fr-FR"/>
        </w:rPr>
        <w:t>remplacé par du</w:t>
      </w:r>
      <w:r w:rsidRPr="00EF5FAF">
        <w:rPr>
          <w:lang w:val="fr-FR"/>
        </w:rPr>
        <w:t xml:space="preserve"> R-290 </w:t>
      </w:r>
      <w:r>
        <w:rPr>
          <w:lang w:val="fr-FR"/>
        </w:rPr>
        <w:t xml:space="preserve">entre </w:t>
      </w:r>
      <w:r w:rsidRPr="00EF5FAF">
        <w:rPr>
          <w:lang w:val="fr-FR"/>
        </w:rPr>
        <w:t xml:space="preserve">2022 </w:t>
      </w:r>
      <w:r>
        <w:rPr>
          <w:lang w:val="fr-FR"/>
        </w:rPr>
        <w:t xml:space="preserve">et </w:t>
      </w:r>
      <w:r w:rsidRPr="00EF5FAF">
        <w:rPr>
          <w:lang w:val="fr-FR"/>
        </w:rPr>
        <w:t xml:space="preserve">2026, </w:t>
      </w:r>
      <w:r>
        <w:rPr>
          <w:lang w:val="fr-FR"/>
        </w:rPr>
        <w:t>ce qui donne un CE de 13,</w:t>
      </w:r>
      <w:r w:rsidRPr="00EF5FAF">
        <w:rPr>
          <w:lang w:val="fr-FR"/>
        </w:rPr>
        <w:t>83</w:t>
      </w:r>
      <w:r>
        <w:rPr>
          <w:lang w:val="fr-FR"/>
        </w:rPr>
        <w:t>$US</w:t>
      </w:r>
      <w:r w:rsidRPr="00EF5FAF">
        <w:rPr>
          <w:lang w:val="fr-FR"/>
        </w:rPr>
        <w:t xml:space="preserve">/kg. </w:t>
      </w:r>
      <w:r>
        <w:rPr>
          <w:lang w:val="fr-FR"/>
        </w:rPr>
        <w:t>Ce CE plus élevé est dû à l’allocation plus élevée pour le financement des surcoûts d’exploitation et aux activités d’assistance technique</w:t>
      </w:r>
      <w:r w:rsidR="00F91819">
        <w:rPr>
          <w:lang w:val="fr-FR"/>
        </w:rPr>
        <w:t xml:space="preserve"> </w:t>
      </w:r>
      <w:r>
        <w:rPr>
          <w:lang w:val="fr-FR"/>
        </w:rPr>
        <w:t xml:space="preserve">; en outre, le plan du secteur RAC révisé et prolongé inclut une augmentation importante de l’élimination pour laquelle aucun financement n’a été demandé. De plus, les surcoûts moyens d’investissement pour la reconversion d’une chaine de fabrication de RAC entre 2016 et 2021 s’élevaient à 1 </w:t>
      </w:r>
      <w:r w:rsidRPr="00EF5FAF">
        <w:rPr>
          <w:lang w:val="fr-FR"/>
        </w:rPr>
        <w:t>3</w:t>
      </w:r>
      <w:r>
        <w:rPr>
          <w:lang w:val="fr-FR"/>
        </w:rPr>
        <w:t xml:space="preserve">09 </w:t>
      </w:r>
      <w:r w:rsidRPr="00EF5FAF">
        <w:rPr>
          <w:lang w:val="fr-FR"/>
        </w:rPr>
        <w:t>158</w:t>
      </w:r>
      <w:r>
        <w:rPr>
          <w:lang w:val="fr-FR"/>
        </w:rPr>
        <w:t xml:space="preserve"> $US</w:t>
      </w:r>
      <w:r w:rsidRPr="00EF5FAF">
        <w:rPr>
          <w:lang w:val="fr-FR"/>
        </w:rPr>
        <w:t xml:space="preserve"> (</w:t>
      </w:r>
      <w:r>
        <w:rPr>
          <w:lang w:val="fr-FR"/>
        </w:rPr>
        <w:t xml:space="preserve">soit 112 </w:t>
      </w:r>
      <w:r w:rsidRPr="00EF5FAF">
        <w:rPr>
          <w:lang w:val="fr-FR"/>
        </w:rPr>
        <w:t>649</w:t>
      </w:r>
      <w:r>
        <w:rPr>
          <w:lang w:val="fr-FR"/>
        </w:rPr>
        <w:t xml:space="preserve"> $US de moins par chaine que dans l’allocation </w:t>
      </w:r>
      <w:r>
        <w:rPr>
          <w:lang w:val="fr-FR"/>
        </w:rPr>
        <w:lastRenderedPageBreak/>
        <w:t xml:space="preserve">pour </w:t>
      </w:r>
      <w:r w:rsidRPr="00EF5FAF">
        <w:rPr>
          <w:lang w:val="fr-FR"/>
        </w:rPr>
        <w:t xml:space="preserve">2022-2026) </w:t>
      </w:r>
      <w:r>
        <w:rPr>
          <w:lang w:val="fr-FR"/>
        </w:rPr>
        <w:t xml:space="preserve">et ces chaines avaient une capacité moyenne de fabrication plus élevée (459 </w:t>
      </w:r>
      <w:r w:rsidRPr="00EF5FAF">
        <w:rPr>
          <w:lang w:val="fr-FR"/>
        </w:rPr>
        <w:t>022 unit</w:t>
      </w:r>
      <w:r>
        <w:rPr>
          <w:lang w:val="fr-FR"/>
        </w:rPr>
        <w:t>és/</w:t>
      </w:r>
      <w:r w:rsidRPr="00EF5FAF">
        <w:rPr>
          <w:lang w:val="fr-FR"/>
        </w:rPr>
        <w:t>a</w:t>
      </w:r>
      <w:r>
        <w:rPr>
          <w:lang w:val="fr-FR"/>
        </w:rPr>
        <w:t>n</w:t>
      </w:r>
      <w:r w:rsidRPr="00EF5FAF">
        <w:rPr>
          <w:lang w:val="fr-FR"/>
        </w:rPr>
        <w:t xml:space="preserve">) </w:t>
      </w:r>
      <w:r>
        <w:rPr>
          <w:lang w:val="fr-FR"/>
        </w:rPr>
        <w:t xml:space="preserve">qu’en 2022-2026 (350 </w:t>
      </w:r>
      <w:r w:rsidRPr="00EF5FAF">
        <w:rPr>
          <w:lang w:val="fr-FR"/>
        </w:rPr>
        <w:t>000 unit</w:t>
      </w:r>
      <w:r>
        <w:rPr>
          <w:lang w:val="fr-FR"/>
        </w:rPr>
        <w:t>és/</w:t>
      </w:r>
      <w:r w:rsidRPr="00EF5FAF">
        <w:rPr>
          <w:lang w:val="fr-FR"/>
        </w:rPr>
        <w:t>a</w:t>
      </w:r>
      <w:r>
        <w:rPr>
          <w:lang w:val="fr-FR"/>
        </w:rPr>
        <w:t>n</w:t>
      </w:r>
      <w:r w:rsidRPr="00EF5FAF">
        <w:rPr>
          <w:lang w:val="fr-FR"/>
        </w:rPr>
        <w:t xml:space="preserve">). </w:t>
      </w:r>
    </w:p>
    <w:p w14:paraId="761F1954" w14:textId="63AD2478" w:rsidR="00045AA9" w:rsidRDefault="00045AA9" w:rsidP="00045AA9">
      <w:pPr>
        <w:pStyle w:val="Heading1"/>
        <w:numPr>
          <w:ilvl w:val="0"/>
          <w:numId w:val="15"/>
        </w:numPr>
        <w:spacing w:after="0"/>
        <w:rPr>
          <w:lang w:val="fr-FR"/>
        </w:rPr>
      </w:pPr>
      <w:r w:rsidRPr="00A50166">
        <w:rPr>
          <w:lang w:val="fr-FR"/>
        </w:rPr>
        <w:t xml:space="preserve">Un montant total de 7 109 035 $US est alloué à la reconversion au R-290 de cinq chaines supplémentaires de fabrication de </w:t>
      </w:r>
      <w:r>
        <w:rPr>
          <w:lang w:val="fr-FR"/>
        </w:rPr>
        <w:t xml:space="preserve">RAC </w:t>
      </w:r>
      <w:r w:rsidRPr="00A50166">
        <w:rPr>
          <w:lang w:val="fr-FR"/>
        </w:rPr>
        <w:t xml:space="preserve">et un montant de 908 250 $US </w:t>
      </w:r>
      <w:r>
        <w:rPr>
          <w:lang w:val="fr-FR"/>
        </w:rPr>
        <w:t>à</w:t>
      </w:r>
      <w:r w:rsidRPr="00A50166">
        <w:rPr>
          <w:lang w:val="fr-FR"/>
        </w:rPr>
        <w:t xml:space="preserve"> la reconversion au R-290 de trois chaines de fabrications de HPWH entre 2022 et 2026. Selon la pratique</w:t>
      </w:r>
      <w:r>
        <w:rPr>
          <w:lang w:val="fr-FR"/>
        </w:rPr>
        <w:t xml:space="preserve"> antérieure</w:t>
      </w:r>
      <w:r w:rsidRPr="00A50166">
        <w:rPr>
          <w:lang w:val="fr-FR"/>
        </w:rPr>
        <w:t>, les chaines de fabrication seront sélectionnées d’après les candidatures volontaires des entreprises au programme</w:t>
      </w:r>
      <w:r>
        <w:rPr>
          <w:lang w:val="fr-FR"/>
        </w:rPr>
        <w:t>,</w:t>
      </w:r>
      <w:r w:rsidRPr="00A50166">
        <w:rPr>
          <w:lang w:val="fr-FR"/>
        </w:rPr>
        <w:t xml:space="preserve"> et la qualification du candidat et de la chaine de fabricati</w:t>
      </w:r>
      <w:r>
        <w:rPr>
          <w:lang w:val="fr-FR"/>
        </w:rPr>
        <w:t xml:space="preserve">on sera vérifiée par MEE/FECO. </w:t>
      </w:r>
      <w:r w:rsidRPr="00A50166">
        <w:rPr>
          <w:lang w:val="fr-FR"/>
        </w:rPr>
        <w:t>À la 76</w:t>
      </w:r>
      <w:r w:rsidRPr="00A50166">
        <w:rPr>
          <w:vertAlign w:val="superscript"/>
          <w:lang w:val="fr-FR"/>
        </w:rPr>
        <w:t>e</w:t>
      </w:r>
      <w:r>
        <w:rPr>
          <w:lang w:val="fr-FR"/>
        </w:rPr>
        <w:t xml:space="preserve"> réunion, il avait été noté que 76 pour cent des entreprises de fabrication de RAC étaient associées à des propriétaires visés à l’article 5</w:t>
      </w:r>
      <w:r w:rsidR="00F91819">
        <w:rPr>
          <w:lang w:val="fr-FR"/>
        </w:rPr>
        <w:t xml:space="preserve">. </w:t>
      </w:r>
      <w:r>
        <w:rPr>
          <w:lang w:val="fr-FR"/>
        </w:rPr>
        <w:t>Il se peut que c</w:t>
      </w:r>
      <w:r w:rsidRPr="00A50166">
        <w:rPr>
          <w:lang w:val="fr-FR"/>
        </w:rPr>
        <w:t xml:space="preserve">ertaines entreprises </w:t>
      </w:r>
      <w:r>
        <w:rPr>
          <w:lang w:val="fr-FR"/>
        </w:rPr>
        <w:t>souhaitant</w:t>
      </w:r>
      <w:r w:rsidRPr="00A50166">
        <w:rPr>
          <w:lang w:val="fr-FR"/>
        </w:rPr>
        <w:t xml:space="preserve"> participer aux reconversions soutenues dans le cadre du plan prolongé du secteur RAC </w:t>
      </w:r>
      <w:r>
        <w:rPr>
          <w:lang w:val="fr-FR"/>
        </w:rPr>
        <w:t>soient associées à</w:t>
      </w:r>
      <w:r w:rsidRPr="00A50166">
        <w:rPr>
          <w:lang w:val="fr-FR"/>
        </w:rPr>
        <w:t xml:space="preserve"> des propriétaires n</w:t>
      </w:r>
      <w:r>
        <w:rPr>
          <w:lang w:val="fr-FR"/>
        </w:rPr>
        <w:t xml:space="preserve">on visés par </w:t>
      </w:r>
      <w:r w:rsidRPr="00A50166">
        <w:rPr>
          <w:lang w:val="fr-FR"/>
        </w:rPr>
        <w:t xml:space="preserve">l’article 5 </w:t>
      </w:r>
      <w:r>
        <w:rPr>
          <w:lang w:val="fr-FR"/>
        </w:rPr>
        <w:t xml:space="preserve">et </w:t>
      </w:r>
      <w:r w:rsidRPr="00A50166">
        <w:rPr>
          <w:lang w:val="fr-FR"/>
        </w:rPr>
        <w:t>qui ne sont pas admissible</w:t>
      </w:r>
      <w:r>
        <w:rPr>
          <w:lang w:val="fr-FR"/>
        </w:rPr>
        <w:t>s</w:t>
      </w:r>
      <w:r w:rsidRPr="00A50166">
        <w:rPr>
          <w:lang w:val="fr-FR"/>
        </w:rPr>
        <w:t xml:space="preserve"> au financement. Dans </w:t>
      </w:r>
      <w:r>
        <w:rPr>
          <w:lang w:val="fr-FR"/>
        </w:rPr>
        <w:t>de tels cas</w:t>
      </w:r>
      <w:r w:rsidRPr="00A50166">
        <w:rPr>
          <w:lang w:val="fr-FR"/>
        </w:rPr>
        <w:t>, le Secrétariat a proposé que le gouvernement de la Chine, à travers l’ONUDI, informe le Comité exécutif d</w:t>
      </w:r>
      <w:r>
        <w:rPr>
          <w:lang w:val="fr-FR"/>
        </w:rPr>
        <w:t>u pourcentage d</w:t>
      </w:r>
      <w:r w:rsidRPr="00A50166">
        <w:rPr>
          <w:lang w:val="fr-FR"/>
        </w:rPr>
        <w:t>e</w:t>
      </w:r>
      <w:r>
        <w:rPr>
          <w:lang w:val="fr-FR"/>
        </w:rPr>
        <w:t xml:space="preserve"> propriétaires non visés à l’article 5</w:t>
      </w:r>
      <w:r w:rsidRPr="00A50166">
        <w:rPr>
          <w:lang w:val="fr-FR"/>
        </w:rPr>
        <w:t xml:space="preserve"> dans les chaines de fabrication de </w:t>
      </w:r>
      <w:r>
        <w:rPr>
          <w:lang w:val="fr-FR"/>
        </w:rPr>
        <w:t xml:space="preserve">RAC </w:t>
      </w:r>
      <w:r w:rsidRPr="00A50166">
        <w:rPr>
          <w:lang w:val="fr-FR"/>
        </w:rPr>
        <w:t>qui souhaitent participer dans le cadre du plan prolongé du secteur RAC</w:t>
      </w:r>
      <w:r>
        <w:rPr>
          <w:lang w:val="fr-FR"/>
        </w:rPr>
        <w:t>,</w:t>
      </w:r>
      <w:r w:rsidRPr="00A50166">
        <w:rPr>
          <w:lang w:val="fr-FR"/>
        </w:rPr>
        <w:t xml:space="preserve"> et </w:t>
      </w:r>
      <w:r>
        <w:rPr>
          <w:lang w:val="fr-FR"/>
        </w:rPr>
        <w:t>que soit proposé</w:t>
      </w:r>
      <w:r w:rsidRPr="00A50166">
        <w:rPr>
          <w:lang w:val="fr-FR"/>
        </w:rPr>
        <w:t xml:space="preserve"> aux fins d’examen par le Comité exécuti</w:t>
      </w:r>
      <w:r>
        <w:rPr>
          <w:lang w:val="fr-FR"/>
        </w:rPr>
        <w:t xml:space="preserve">f, </w:t>
      </w:r>
      <w:r w:rsidRPr="00A50166">
        <w:rPr>
          <w:lang w:val="fr-FR"/>
        </w:rPr>
        <w:t>soit une réaffectation des fonds</w:t>
      </w:r>
      <w:r>
        <w:rPr>
          <w:lang w:val="fr-FR"/>
        </w:rPr>
        <w:t>,</w:t>
      </w:r>
      <w:r w:rsidRPr="00A50166">
        <w:rPr>
          <w:lang w:val="fr-FR"/>
        </w:rPr>
        <w:t xml:space="preserve"> associés à des propriétaires </w:t>
      </w:r>
      <w:r>
        <w:rPr>
          <w:lang w:val="fr-FR"/>
        </w:rPr>
        <w:t xml:space="preserve">non </w:t>
      </w:r>
      <w:r w:rsidRPr="00A50166">
        <w:rPr>
          <w:lang w:val="fr-FR"/>
        </w:rPr>
        <w:t>visés à l’article 5</w:t>
      </w:r>
      <w:r>
        <w:rPr>
          <w:lang w:val="fr-FR"/>
        </w:rPr>
        <w:t>,</w:t>
      </w:r>
      <w:r w:rsidRPr="00A50166">
        <w:rPr>
          <w:lang w:val="fr-FR"/>
        </w:rPr>
        <w:t xml:space="preserve"> </w:t>
      </w:r>
      <w:r>
        <w:rPr>
          <w:lang w:val="fr-FR"/>
        </w:rPr>
        <w:t>vers</w:t>
      </w:r>
      <w:r w:rsidRPr="00A50166">
        <w:rPr>
          <w:lang w:val="fr-FR"/>
        </w:rPr>
        <w:t xml:space="preserve"> d’autres activités dans le cadre du plan du secteur RAC prolongé ou </w:t>
      </w:r>
      <w:r>
        <w:rPr>
          <w:lang w:val="fr-FR"/>
        </w:rPr>
        <w:t>bien la restitution d</w:t>
      </w:r>
      <w:r w:rsidRPr="00A50166">
        <w:rPr>
          <w:lang w:val="fr-FR"/>
        </w:rPr>
        <w:t xml:space="preserve">es fonds au Fonds multilatéral. </w:t>
      </w:r>
    </w:p>
    <w:p w14:paraId="3FDB3121" w14:textId="77777777" w:rsidR="00045AA9" w:rsidRPr="00A50166" w:rsidRDefault="00045AA9" w:rsidP="00045AA9">
      <w:pPr>
        <w:rPr>
          <w:lang w:val="fr-FR"/>
        </w:rPr>
      </w:pPr>
    </w:p>
    <w:p w14:paraId="56F8857F" w14:textId="77777777" w:rsidR="00045AA9" w:rsidRPr="00EF5FAF" w:rsidRDefault="00045AA9" w:rsidP="00045AA9">
      <w:pPr>
        <w:rPr>
          <w:i/>
          <w:lang w:val="fr-FR"/>
        </w:rPr>
      </w:pPr>
      <w:r>
        <w:rPr>
          <w:i/>
          <w:lang w:val="fr-FR"/>
        </w:rPr>
        <w:t>Surcoûts différentiels d’exploitation</w:t>
      </w:r>
    </w:p>
    <w:p w14:paraId="1726300E" w14:textId="77777777" w:rsidR="00045AA9" w:rsidRPr="00EF5FAF" w:rsidRDefault="00045AA9" w:rsidP="00045AA9">
      <w:pPr>
        <w:rPr>
          <w:i/>
          <w:lang w:val="fr-FR"/>
        </w:rPr>
      </w:pPr>
    </w:p>
    <w:p w14:paraId="2F0E578A" w14:textId="77777777" w:rsidR="00045AA9" w:rsidRPr="00EF5FAF" w:rsidRDefault="00045AA9" w:rsidP="00045AA9">
      <w:pPr>
        <w:pStyle w:val="Heading1"/>
        <w:numPr>
          <w:ilvl w:val="0"/>
          <w:numId w:val="15"/>
        </w:numPr>
        <w:rPr>
          <w:lang w:val="fr-FR"/>
        </w:rPr>
      </w:pPr>
      <w:r>
        <w:rPr>
          <w:lang w:val="fr-FR"/>
        </w:rPr>
        <w:t>En plus des mesures d’orientation en Chine et dans les pays qui importent de l’équipement RAC de Chine, le plan d’intéressement des surcoûts d’exploitation peut continuer à jouer un rôle utile pour faciliter l’adoption de la technologie. Tel que noté à la 84</w:t>
      </w:r>
      <w:r w:rsidRPr="00A50166">
        <w:rPr>
          <w:vertAlign w:val="superscript"/>
          <w:lang w:val="fr-FR"/>
        </w:rPr>
        <w:t>e</w:t>
      </w:r>
      <w:r>
        <w:rPr>
          <w:lang w:val="fr-FR"/>
        </w:rPr>
        <w:t xml:space="preserve"> réunion, il serait nécessaire de s’assurer que les surcoûts d’exploitation à fournir dans le cadre de la phase II ne dépassent pas ceux de la phase</w:t>
      </w:r>
      <w:r w:rsidRPr="00EF5FAF">
        <w:rPr>
          <w:lang w:val="fr-FR"/>
        </w:rPr>
        <w:t> I</w:t>
      </w:r>
      <w:r>
        <w:rPr>
          <w:rStyle w:val="FootnoteReference"/>
          <w:lang w:val="fr-FR"/>
        </w:rPr>
        <w:footnoteReference w:id="20"/>
      </w:r>
      <w:r>
        <w:rPr>
          <w:lang w:val="fr-FR"/>
        </w:rPr>
        <w:t>.  Le Secré</w:t>
      </w:r>
      <w:r w:rsidRPr="00EF5FAF">
        <w:rPr>
          <w:lang w:val="fr-FR"/>
        </w:rPr>
        <w:t xml:space="preserve">tariat </w:t>
      </w:r>
      <w:r>
        <w:rPr>
          <w:lang w:val="fr-FR"/>
        </w:rPr>
        <w:t>a suggéré qu’un plan d’intéressement des surcoûts d’exploitation similaire à celui de la phase I soit utilisé durant la phase II, dans lequel les surcoûts d’exploitation seraient basés sur la destination de l’équipement, vendu sur le marché domestique ou bien exporté vers des Parties visées à l’article 5</w:t>
      </w:r>
      <w:r>
        <w:rPr>
          <w:rStyle w:val="FootnoteReference"/>
          <w:lang w:val="fr-FR"/>
        </w:rPr>
        <w:footnoteReference w:id="21"/>
      </w:r>
      <w:r>
        <w:rPr>
          <w:lang w:val="fr-FR"/>
        </w:rPr>
        <w:t>, et dans le premier cas, sur le degré d’efficacité énergétique de l’équipement vendu;</w:t>
      </w:r>
      <w:r w:rsidRPr="00EF5FAF">
        <w:rPr>
          <w:lang w:val="fr-FR"/>
        </w:rPr>
        <w:t xml:space="preserve"> </w:t>
      </w:r>
      <w:r>
        <w:rPr>
          <w:lang w:val="fr-FR"/>
        </w:rPr>
        <w:t>et que les surcoûts d’exploit</w:t>
      </w:r>
      <w:r w:rsidRPr="00EF5FAF">
        <w:rPr>
          <w:lang w:val="fr-FR"/>
        </w:rPr>
        <w:t>a</w:t>
      </w:r>
      <w:r>
        <w:rPr>
          <w:lang w:val="fr-FR"/>
        </w:rPr>
        <w:t>tion dimi</w:t>
      </w:r>
      <w:r w:rsidRPr="00EF5FAF">
        <w:rPr>
          <w:lang w:val="fr-FR"/>
        </w:rPr>
        <w:t>n</w:t>
      </w:r>
      <w:r>
        <w:rPr>
          <w:lang w:val="fr-FR"/>
        </w:rPr>
        <w:t>uent graduellement avec le temps pour encourager l’adoption précoce de la technologie. Le Secrétariat a proposé notamment que les surcoûts d’exploitation durant la phase II soient maintenus au même niveau que durant la phase I pour les unités bi-blocs à base de R-290 vendues entre le 1</w:t>
      </w:r>
      <w:r w:rsidRPr="00AB2C6A">
        <w:rPr>
          <w:vertAlign w:val="superscript"/>
          <w:lang w:val="fr-FR"/>
        </w:rPr>
        <w:t>er</w:t>
      </w:r>
      <w:r>
        <w:rPr>
          <w:lang w:val="fr-FR"/>
        </w:rPr>
        <w:t xml:space="preserve"> septembre </w:t>
      </w:r>
      <w:r w:rsidRPr="00EF5FAF">
        <w:rPr>
          <w:lang w:val="fr-FR"/>
        </w:rPr>
        <w:t xml:space="preserve">2021 </w:t>
      </w:r>
      <w:r>
        <w:rPr>
          <w:lang w:val="fr-FR"/>
        </w:rPr>
        <w:t>et le</w:t>
      </w:r>
      <w:r w:rsidRPr="00EF5FAF">
        <w:rPr>
          <w:lang w:val="fr-FR"/>
        </w:rPr>
        <w:t xml:space="preserve"> 31 </w:t>
      </w:r>
      <w:r>
        <w:rPr>
          <w:lang w:val="fr-FR"/>
        </w:rPr>
        <w:t xml:space="preserve">décembre </w:t>
      </w:r>
      <w:r w:rsidRPr="00EF5FAF">
        <w:rPr>
          <w:lang w:val="fr-FR"/>
        </w:rPr>
        <w:t xml:space="preserve">2022, </w:t>
      </w:r>
      <w:r>
        <w:rPr>
          <w:lang w:val="fr-FR"/>
        </w:rPr>
        <w:t>d</w:t>
      </w:r>
      <w:r w:rsidRPr="00EF5FAF">
        <w:rPr>
          <w:lang w:val="fr-FR"/>
        </w:rPr>
        <w:t>at</w:t>
      </w:r>
      <w:r>
        <w:rPr>
          <w:lang w:val="fr-FR"/>
        </w:rPr>
        <w:t>e à laquelle les surcoûts d’exploitation seraient encore réduits dans le cadre du plan révisé d’intéressement des surcoûts d’exploitation, inclus dans la demande pour la troisième tranche qui sera soumise à la dernière réunion de</w:t>
      </w:r>
      <w:r w:rsidRPr="00EF5FAF">
        <w:rPr>
          <w:lang w:val="fr-FR"/>
        </w:rPr>
        <w:t xml:space="preserve"> 2021. </w:t>
      </w:r>
      <w:r>
        <w:rPr>
          <w:lang w:val="fr-FR"/>
        </w:rPr>
        <w:t>Toutefois, le gouvernement souhaitait avoir plus de flexibilité pour décider du moment où réduire les surcoûts d’exploitation selon les progrès dans la réaction du marché au R-290. Le Comité exécutif pourrait souhaiter examiner le niveau approprié des surcoûts d’exploitation lorsque de l’information supplémentaire sur l’adoption de cette technologie par le marché sera fournie avec la demande pour la troisième tranche du plan révisé prolongé du secteur RAC.</w:t>
      </w:r>
    </w:p>
    <w:p w14:paraId="5441036D" w14:textId="192EA1AE" w:rsidR="00045AA9" w:rsidRPr="00EF5FAF" w:rsidRDefault="00045AA9" w:rsidP="00045AA9">
      <w:pPr>
        <w:pStyle w:val="Heading1"/>
        <w:numPr>
          <w:ilvl w:val="0"/>
          <w:numId w:val="15"/>
        </w:numPr>
        <w:rPr>
          <w:lang w:val="fr-FR"/>
        </w:rPr>
      </w:pPr>
      <w:r>
        <w:rPr>
          <w:lang w:val="fr-FR"/>
        </w:rPr>
        <w:t xml:space="preserve">L’allocation convenue pour les surcoûts d’exploitation durant la phase II du plan du secteur RAC s’élevait à 33 648 </w:t>
      </w:r>
      <w:r w:rsidRPr="00EF5FAF">
        <w:rPr>
          <w:lang w:val="fr-FR"/>
        </w:rPr>
        <w:t>412</w:t>
      </w:r>
      <w:r>
        <w:rPr>
          <w:lang w:val="fr-FR"/>
        </w:rPr>
        <w:t xml:space="preserve"> $US</w:t>
      </w:r>
      <w:r>
        <w:rPr>
          <w:rStyle w:val="FootnoteReference"/>
          <w:lang w:val="fr-FR"/>
        </w:rPr>
        <w:footnoteReference w:id="22"/>
      </w:r>
      <w:r>
        <w:rPr>
          <w:lang w:val="fr-FR"/>
        </w:rPr>
        <w:t xml:space="preserve">. Avec une élimination (financée) de 8 </w:t>
      </w:r>
      <w:r w:rsidRPr="00EF5FAF">
        <w:rPr>
          <w:lang w:val="fr-FR"/>
        </w:rPr>
        <w:t>170 </w:t>
      </w:r>
      <w:r>
        <w:rPr>
          <w:lang w:val="fr-FR"/>
        </w:rPr>
        <w:t>tonnes métriques, l</w:t>
      </w:r>
      <w:r w:rsidRPr="00EF5FAF">
        <w:rPr>
          <w:lang w:val="fr-FR"/>
        </w:rPr>
        <w:t xml:space="preserve">e </w:t>
      </w:r>
      <w:r>
        <w:rPr>
          <w:lang w:val="fr-FR"/>
        </w:rPr>
        <w:t xml:space="preserve">niveau convenu des surcoûts d’exploitation était de 4,12 $US/kg. Le Secrétariat a proposé que ce niveau continue d’être considéré comme le niveau global maximum des surcoûts d’exploitation pour la phase II. Par conséquent, un minimum de 2 773 </w:t>
      </w:r>
      <w:r w:rsidRPr="00EF5FAF">
        <w:rPr>
          <w:lang w:val="fr-FR"/>
        </w:rPr>
        <w:t xml:space="preserve">360 </w:t>
      </w:r>
      <w:r>
        <w:rPr>
          <w:lang w:val="fr-FR"/>
        </w:rPr>
        <w:t xml:space="preserve">unités RAC à base de </w:t>
      </w:r>
      <w:r w:rsidRPr="00EF5FAF">
        <w:rPr>
          <w:lang w:val="fr-FR"/>
        </w:rPr>
        <w:t xml:space="preserve">R-290 </w:t>
      </w:r>
      <w:r>
        <w:rPr>
          <w:lang w:val="fr-FR"/>
        </w:rPr>
        <w:t xml:space="preserve">devrait être vendu entre 2022 et 2026 afin que le montant additionnel de 13 135 </w:t>
      </w:r>
      <w:r w:rsidRPr="00EF5FAF">
        <w:rPr>
          <w:lang w:val="fr-FR"/>
        </w:rPr>
        <w:t xml:space="preserve">500 </w:t>
      </w:r>
      <w:r>
        <w:rPr>
          <w:lang w:val="fr-FR"/>
        </w:rPr>
        <w:t>$US de surcoûts d’exp</w:t>
      </w:r>
      <w:r w:rsidR="00F91819">
        <w:rPr>
          <w:lang w:val="fr-FR"/>
        </w:rPr>
        <w:t>loitation puisse être décaissé.</w:t>
      </w:r>
      <w:r>
        <w:rPr>
          <w:lang w:val="fr-FR"/>
        </w:rPr>
        <w:t xml:space="preserve"> Toutefois, l’ONUDI a noté qu’il était difficile pour l’industrie de s’engager sur un chiffre de ventes précis puisque le plan d’intéressement des surcoûts d’exploitation s’appuierait sur le nombre d’unités vendues, sur l’efficacité </w:t>
      </w:r>
      <w:r>
        <w:rPr>
          <w:lang w:val="fr-FR"/>
        </w:rPr>
        <w:lastRenderedPageBreak/>
        <w:t>énergétique de ces unités et sur la destination des unités, vendues dans le pays ou bien exportées vers des pays visés à l’article 5</w:t>
      </w:r>
      <w:r w:rsidRPr="00EF5FAF">
        <w:rPr>
          <w:lang w:val="fr-FR"/>
        </w:rPr>
        <w:t xml:space="preserve">. </w:t>
      </w:r>
      <w:r>
        <w:rPr>
          <w:lang w:val="fr-FR"/>
        </w:rPr>
        <w:t>L</w:t>
      </w:r>
      <w:r w:rsidRPr="00EF5FAF">
        <w:rPr>
          <w:lang w:val="fr-FR"/>
        </w:rPr>
        <w:t xml:space="preserve">e </w:t>
      </w:r>
      <w:r>
        <w:rPr>
          <w:lang w:val="fr-FR"/>
        </w:rPr>
        <w:t>Comité exécutif pourrait souhaiter donner une orientation sur la nécessité ou pas de vendre un nombre minimum d’unités RAC à base de R-290 d’après l’information fournie sur l’adoption par le marché de la technologie à base de R-290 lorsque la troisième tranche du plan révisé et prolongé du secteur RAC sera soumise</w:t>
      </w:r>
      <w:r w:rsidRPr="00EF5FAF">
        <w:rPr>
          <w:lang w:val="fr-FR"/>
        </w:rPr>
        <w:t>.</w:t>
      </w:r>
    </w:p>
    <w:p w14:paraId="5D2D5293" w14:textId="40E1AE86" w:rsidR="00045AA9" w:rsidRPr="00EF5FAF" w:rsidRDefault="00045AA9" w:rsidP="00045AA9">
      <w:pPr>
        <w:pStyle w:val="Heading1"/>
        <w:numPr>
          <w:ilvl w:val="0"/>
          <w:numId w:val="15"/>
        </w:numPr>
        <w:rPr>
          <w:lang w:val="fr-FR"/>
        </w:rPr>
      </w:pPr>
      <w:r>
        <w:rPr>
          <w:lang w:val="fr-FR"/>
        </w:rPr>
        <w:t xml:space="preserve">Un total de 650 </w:t>
      </w:r>
      <w:r w:rsidRPr="00EF5FAF">
        <w:rPr>
          <w:lang w:val="fr-FR"/>
        </w:rPr>
        <w:t>000</w:t>
      </w:r>
      <w:r>
        <w:rPr>
          <w:lang w:val="fr-FR"/>
        </w:rPr>
        <w:t xml:space="preserve"> $US est alloué pour une installation pilote de 10 000 unités de climatisation à base de R-290</w:t>
      </w:r>
      <w:r w:rsidR="00F91819">
        <w:rPr>
          <w:lang w:val="fr-FR"/>
        </w:rPr>
        <w:t xml:space="preserve"> </w:t>
      </w:r>
      <w:r w:rsidRPr="00EF5FAF">
        <w:rPr>
          <w:lang w:val="fr-FR"/>
        </w:rPr>
        <w:t xml:space="preserve">; </w:t>
      </w:r>
      <w:r>
        <w:rPr>
          <w:lang w:val="fr-FR"/>
        </w:rPr>
        <w:t>cette activité subventionnerait effectivement chaque unité RAC à base de R-290 à hauteur de 65 $US, un niveau bien supérieur au plan actuel d’intéressement aux surcoûts d’exploitation</w:t>
      </w:r>
      <w:r w:rsidRPr="00EF5FAF">
        <w:rPr>
          <w:lang w:val="fr-FR"/>
        </w:rPr>
        <w:t xml:space="preserve">. </w:t>
      </w:r>
      <w:r>
        <w:rPr>
          <w:lang w:val="fr-FR"/>
        </w:rPr>
        <w:t>L’ONUDI a précisé que jusqu’à présent les unités RAC à base de</w:t>
      </w:r>
      <w:r w:rsidRPr="00EF5FAF">
        <w:rPr>
          <w:lang w:val="fr-FR"/>
        </w:rPr>
        <w:t xml:space="preserve"> R-290</w:t>
      </w:r>
      <w:r>
        <w:rPr>
          <w:lang w:val="fr-FR"/>
        </w:rPr>
        <w:t xml:space="preserve"> ont été installés dans des immeubles non résidentiels (par ex., installations publiques, immeubles à bureaux, écoles ou dortoirs d’usines)</w:t>
      </w:r>
      <w:r w:rsidR="00F91819">
        <w:rPr>
          <w:lang w:val="fr-FR"/>
        </w:rPr>
        <w:t xml:space="preserve"> </w:t>
      </w:r>
      <w:r>
        <w:rPr>
          <w:lang w:val="fr-FR"/>
        </w:rPr>
        <w:t xml:space="preserve">; l’installation pilote ciblerait des édifices résidentiels pour s’assurer que la technologie est bien acceptée par des acheteurs individuels. Chaque unité inclura un module Wifi pour permettre d’en suivre le fonctionnement et de collecter des données. C’est sur cette base qu’il a été convenu que les 10 000 unités de l’installation </w:t>
      </w:r>
      <w:r w:rsidRPr="00EF5FAF">
        <w:rPr>
          <w:lang w:val="fr-FR"/>
        </w:rPr>
        <w:t>pilot</w:t>
      </w:r>
      <w:r>
        <w:rPr>
          <w:lang w:val="fr-FR"/>
        </w:rPr>
        <w:t>e ne seraient pas incluses dans le plan d’intéressement des surcoûts d’exploitation.</w:t>
      </w:r>
      <w:r w:rsidRPr="00EF5FAF">
        <w:rPr>
          <w:lang w:val="fr-FR"/>
        </w:rPr>
        <w:t xml:space="preserve"> </w:t>
      </w:r>
    </w:p>
    <w:p w14:paraId="2EC5B369" w14:textId="77777777" w:rsidR="00045AA9" w:rsidRPr="00EF5FAF" w:rsidRDefault="00045AA9" w:rsidP="00045AA9">
      <w:pPr>
        <w:spacing w:after="240"/>
        <w:rPr>
          <w:u w:val="single"/>
          <w:lang w:val="fr-FR"/>
        </w:rPr>
      </w:pPr>
      <w:r w:rsidRPr="00EF5FAF">
        <w:rPr>
          <w:u w:val="single"/>
          <w:lang w:val="fr-FR"/>
        </w:rPr>
        <w:t>I</w:t>
      </w:r>
      <w:r>
        <w:rPr>
          <w:u w:val="single"/>
          <w:lang w:val="fr-FR"/>
        </w:rPr>
        <w:t>ncidence sur le climat</w:t>
      </w:r>
    </w:p>
    <w:p w14:paraId="71808D19" w14:textId="361D2827" w:rsidR="00045AA9" w:rsidRPr="00EF5FAF" w:rsidRDefault="00045AA9" w:rsidP="00045AA9">
      <w:pPr>
        <w:pStyle w:val="Heading1"/>
        <w:numPr>
          <w:ilvl w:val="0"/>
          <w:numId w:val="15"/>
        </w:numPr>
        <w:rPr>
          <w:lang w:val="fr-FR"/>
        </w:rPr>
      </w:pPr>
      <w:r>
        <w:rPr>
          <w:lang w:val="fr-FR"/>
        </w:rPr>
        <w:t>La re</w:t>
      </w:r>
      <w:r w:rsidRPr="00EF5FAF">
        <w:rPr>
          <w:lang w:val="fr-FR"/>
        </w:rPr>
        <w:t xml:space="preserve">conversion </w:t>
      </w:r>
      <w:r>
        <w:rPr>
          <w:lang w:val="fr-FR"/>
        </w:rPr>
        <w:t>au R-290 de 10 chaines de fabrication</w:t>
      </w:r>
      <w:r w:rsidR="00F91819">
        <w:rPr>
          <w:lang w:val="fr-FR"/>
        </w:rPr>
        <w:t xml:space="preserve"> de RAC</w:t>
      </w:r>
      <w:r>
        <w:rPr>
          <w:lang w:val="fr-FR"/>
        </w:rPr>
        <w:t xml:space="preserve"> éviterait l’émission dans l’atmosphère de quelques 12,</w:t>
      </w:r>
      <w:r w:rsidRPr="00EF5FAF">
        <w:rPr>
          <w:lang w:val="fr-FR"/>
        </w:rPr>
        <w:t>9 million</w:t>
      </w:r>
      <w:r>
        <w:rPr>
          <w:lang w:val="fr-FR"/>
        </w:rPr>
        <w:t>s de</w:t>
      </w:r>
      <w:r w:rsidRPr="00EF5FAF">
        <w:rPr>
          <w:lang w:val="fr-FR"/>
        </w:rPr>
        <w:t xml:space="preserve"> tonnes </w:t>
      </w:r>
      <w:r>
        <w:rPr>
          <w:lang w:val="fr-FR"/>
        </w:rPr>
        <w:t xml:space="preserve">d’équivalent </w:t>
      </w:r>
      <w:r w:rsidRPr="00EF5FAF">
        <w:rPr>
          <w:lang w:val="fr-FR"/>
        </w:rPr>
        <w:t>CO</w:t>
      </w:r>
      <w:r w:rsidRPr="00EF5FAF">
        <w:rPr>
          <w:vertAlign w:val="subscript"/>
          <w:lang w:val="fr-FR"/>
        </w:rPr>
        <w:t>2</w:t>
      </w:r>
      <w:r>
        <w:rPr>
          <w:lang w:val="fr-FR"/>
        </w:rPr>
        <w:t>, par anné</w:t>
      </w:r>
      <w:r w:rsidRPr="00EF5FAF">
        <w:rPr>
          <w:lang w:val="fr-FR"/>
        </w:rPr>
        <w:t>e</w:t>
      </w:r>
      <w:r>
        <w:rPr>
          <w:lang w:val="fr-FR"/>
        </w:rPr>
        <w:t xml:space="preserve">. On estime que la reconversion au R-290 de trois chaines de HPWH résidentiels éviterait l’émission dans l’atmosphère de 229 tonnes additionnelles d’équivalent </w:t>
      </w:r>
      <w:r w:rsidRPr="00EF5FAF">
        <w:rPr>
          <w:lang w:val="fr-FR"/>
        </w:rPr>
        <w:t>CO</w:t>
      </w:r>
      <w:r w:rsidRPr="00EF5FAF">
        <w:rPr>
          <w:vertAlign w:val="subscript"/>
          <w:lang w:val="fr-FR"/>
        </w:rPr>
        <w:t>2</w:t>
      </w:r>
      <w:r>
        <w:rPr>
          <w:lang w:val="fr-FR"/>
        </w:rPr>
        <w:t>, par année. En outre, la Chine propose d’éliminer 40 514 </w:t>
      </w:r>
      <w:r w:rsidRPr="00EF5FAF">
        <w:rPr>
          <w:lang w:val="fr-FR"/>
        </w:rPr>
        <w:t>t</w:t>
      </w:r>
      <w:r>
        <w:rPr>
          <w:lang w:val="fr-FR"/>
        </w:rPr>
        <w:t>onnes métriques</w:t>
      </w:r>
      <w:r w:rsidRPr="00EF5FAF">
        <w:rPr>
          <w:lang w:val="fr-FR"/>
        </w:rPr>
        <w:t xml:space="preserve"> </w:t>
      </w:r>
      <w:r>
        <w:rPr>
          <w:lang w:val="fr-FR"/>
        </w:rPr>
        <w:t>de</w:t>
      </w:r>
      <w:r w:rsidRPr="00EF5FAF">
        <w:rPr>
          <w:lang w:val="fr-FR"/>
        </w:rPr>
        <w:t xml:space="preserve"> HCFC-22 </w:t>
      </w:r>
      <w:r>
        <w:rPr>
          <w:lang w:val="fr-FR"/>
        </w:rPr>
        <w:t>dans des entreprises du secteur RAC sans l’assistance du Fonds</w:t>
      </w:r>
      <w:r w:rsidRPr="00EF5FAF">
        <w:rPr>
          <w:lang w:val="fr-FR"/>
        </w:rPr>
        <w:t xml:space="preserve">. </w:t>
      </w:r>
      <w:r>
        <w:rPr>
          <w:lang w:val="fr-FR"/>
        </w:rPr>
        <w:t xml:space="preserve">Ces reconversions augmenteraient les émissions dans l’atmosphère d’environ 507 000 tonnes d’équivalent </w:t>
      </w:r>
      <w:r w:rsidRPr="00EF5FAF">
        <w:rPr>
          <w:lang w:val="fr-FR"/>
        </w:rPr>
        <w:t>CO</w:t>
      </w:r>
      <w:r w:rsidRPr="00EF5FAF">
        <w:rPr>
          <w:vertAlign w:val="subscript"/>
          <w:lang w:val="fr-FR"/>
        </w:rPr>
        <w:t>2</w:t>
      </w:r>
      <w:r>
        <w:rPr>
          <w:lang w:val="fr-FR"/>
        </w:rPr>
        <w:t xml:space="preserve">, par </w:t>
      </w:r>
      <w:r w:rsidRPr="00EF5FAF">
        <w:rPr>
          <w:lang w:val="fr-FR"/>
        </w:rPr>
        <w:t>a</w:t>
      </w:r>
      <w:r>
        <w:rPr>
          <w:lang w:val="fr-FR"/>
        </w:rPr>
        <w:t>nnée,</w:t>
      </w:r>
      <w:r w:rsidRPr="00EF5FAF">
        <w:rPr>
          <w:lang w:val="fr-FR"/>
        </w:rPr>
        <w:t xml:space="preserve"> </w:t>
      </w:r>
      <w:r>
        <w:rPr>
          <w:lang w:val="fr-FR"/>
        </w:rPr>
        <w:t>s</w:t>
      </w:r>
      <w:r w:rsidRPr="00EF5FAF">
        <w:rPr>
          <w:lang w:val="fr-FR"/>
        </w:rPr>
        <w:t>i</w:t>
      </w:r>
      <w:r>
        <w:rPr>
          <w:lang w:val="fr-FR"/>
        </w:rPr>
        <w:t xml:space="preserve"> le R-410A est la technologie de remplacement</w:t>
      </w:r>
      <w:r w:rsidR="00F91819">
        <w:rPr>
          <w:lang w:val="fr-FR"/>
        </w:rPr>
        <w:t xml:space="preserve"> </w:t>
      </w:r>
      <w:r w:rsidRPr="00EF5FAF">
        <w:rPr>
          <w:lang w:val="fr-FR"/>
        </w:rPr>
        <w:t xml:space="preserve">; </w:t>
      </w:r>
      <w:r>
        <w:rPr>
          <w:lang w:val="fr-FR"/>
        </w:rPr>
        <w:t xml:space="preserve">et éviteraient des émissions dans l’atmosphère d’environ 150 millions de tonnes d’équivalent </w:t>
      </w:r>
      <w:r w:rsidRPr="00EF5FAF">
        <w:rPr>
          <w:lang w:val="fr-FR"/>
        </w:rPr>
        <w:t>CO</w:t>
      </w:r>
      <w:r w:rsidRPr="00EF5FAF">
        <w:rPr>
          <w:vertAlign w:val="subscript"/>
          <w:lang w:val="fr-FR"/>
        </w:rPr>
        <w:t>2</w:t>
      </w:r>
      <w:r w:rsidRPr="00EF5FAF">
        <w:rPr>
          <w:lang w:val="fr-FR"/>
        </w:rPr>
        <w:t xml:space="preserve"> </w:t>
      </w:r>
      <w:r>
        <w:rPr>
          <w:lang w:val="fr-FR"/>
        </w:rPr>
        <w:t>si le HFC-32 est la technologie de remplacement</w:t>
      </w:r>
      <w:r w:rsidRPr="00EF5FAF">
        <w:rPr>
          <w:lang w:val="fr-FR"/>
        </w:rPr>
        <w:t xml:space="preserve">. </w:t>
      </w:r>
      <w:r>
        <w:rPr>
          <w:lang w:val="fr-FR"/>
        </w:rPr>
        <w:t>Si environ la moitié des reconversions non financées se font avec le</w:t>
      </w:r>
      <w:r w:rsidRPr="00EF5FAF">
        <w:rPr>
          <w:lang w:val="fr-FR"/>
        </w:rPr>
        <w:t xml:space="preserve"> R-410A </w:t>
      </w:r>
      <w:r>
        <w:rPr>
          <w:lang w:val="fr-FR"/>
        </w:rPr>
        <w:t>et l’autre moitié avec le</w:t>
      </w:r>
      <w:r w:rsidRPr="00EF5FAF">
        <w:rPr>
          <w:lang w:val="fr-FR"/>
        </w:rPr>
        <w:t xml:space="preserve"> HFC-32, </w:t>
      </w:r>
      <w:r>
        <w:rPr>
          <w:lang w:val="fr-FR"/>
        </w:rPr>
        <w:t>alors c’est l’émission d’environ 75 millions de tonnes d’équivalent</w:t>
      </w:r>
      <w:r w:rsidRPr="00EF5FAF">
        <w:rPr>
          <w:lang w:val="fr-FR"/>
        </w:rPr>
        <w:t xml:space="preserve"> CO</w:t>
      </w:r>
      <w:r w:rsidRPr="00EF5FAF">
        <w:rPr>
          <w:vertAlign w:val="subscript"/>
          <w:lang w:val="fr-FR"/>
        </w:rPr>
        <w:t>2</w:t>
      </w:r>
      <w:r>
        <w:rPr>
          <w:lang w:val="fr-FR"/>
        </w:rPr>
        <w:t>, par an, qui serait évitée</w:t>
      </w:r>
      <w:r w:rsidR="00F91819">
        <w:rPr>
          <w:lang w:val="fr-FR"/>
        </w:rPr>
        <w:t xml:space="preserve"> </w:t>
      </w:r>
      <w:r>
        <w:rPr>
          <w:lang w:val="fr-FR"/>
        </w:rPr>
        <w:t>; et l’émission d’environ 107 millions de tonnes d’équivalent</w:t>
      </w:r>
      <w:r w:rsidRPr="00EF5FAF">
        <w:rPr>
          <w:lang w:val="fr-FR"/>
        </w:rPr>
        <w:t xml:space="preserve"> CO</w:t>
      </w:r>
      <w:r w:rsidRPr="00EF5FAF">
        <w:rPr>
          <w:vertAlign w:val="subscript"/>
          <w:lang w:val="fr-FR"/>
        </w:rPr>
        <w:t>2</w:t>
      </w:r>
      <w:r>
        <w:rPr>
          <w:lang w:val="fr-FR"/>
        </w:rPr>
        <w:t>, par anné</w:t>
      </w:r>
      <w:r w:rsidRPr="00EF5FAF">
        <w:rPr>
          <w:lang w:val="fr-FR"/>
        </w:rPr>
        <w:t>e</w:t>
      </w:r>
      <w:r>
        <w:rPr>
          <w:lang w:val="fr-FR"/>
        </w:rPr>
        <w:t xml:space="preserve">, serait évitée si ces reconversions sont réparties de manière égale entre le </w:t>
      </w:r>
      <w:r w:rsidRPr="00EF5FAF">
        <w:rPr>
          <w:lang w:val="fr-FR"/>
        </w:rPr>
        <w:t xml:space="preserve">R-290, </w:t>
      </w:r>
      <w:r>
        <w:rPr>
          <w:lang w:val="fr-FR"/>
        </w:rPr>
        <w:t xml:space="preserve">le </w:t>
      </w:r>
      <w:r w:rsidRPr="00EF5FAF">
        <w:rPr>
          <w:lang w:val="fr-FR"/>
        </w:rPr>
        <w:t>R-410A</w:t>
      </w:r>
      <w:r>
        <w:rPr>
          <w:lang w:val="fr-FR"/>
        </w:rPr>
        <w:t xml:space="preserve"> et le</w:t>
      </w:r>
      <w:r w:rsidRPr="00EF5FAF">
        <w:rPr>
          <w:lang w:val="fr-FR"/>
        </w:rPr>
        <w:t xml:space="preserve"> HFC-32. </w:t>
      </w:r>
    </w:p>
    <w:p w14:paraId="6BB1DCA2" w14:textId="77777777" w:rsidR="00045AA9" w:rsidRPr="00EF5FAF" w:rsidRDefault="00045AA9" w:rsidP="00045AA9">
      <w:pPr>
        <w:keepNext/>
        <w:keepLines/>
        <w:rPr>
          <w:b/>
          <w:lang w:val="fr-FR"/>
        </w:rPr>
      </w:pPr>
      <w:r>
        <w:rPr>
          <w:b/>
          <w:lang w:val="fr-FR"/>
        </w:rPr>
        <w:t>Recomma</w:t>
      </w:r>
      <w:r w:rsidRPr="00EF5FAF">
        <w:rPr>
          <w:b/>
          <w:lang w:val="fr-FR"/>
        </w:rPr>
        <w:t xml:space="preserve">ndation </w:t>
      </w:r>
    </w:p>
    <w:p w14:paraId="216A2A11" w14:textId="77777777" w:rsidR="00045AA9" w:rsidRPr="00EF5FAF" w:rsidRDefault="00045AA9" w:rsidP="00045AA9">
      <w:pPr>
        <w:keepNext/>
        <w:keepLines/>
        <w:rPr>
          <w:b/>
          <w:lang w:val="fr-FR"/>
        </w:rPr>
      </w:pPr>
    </w:p>
    <w:p w14:paraId="00DC815B" w14:textId="77777777" w:rsidR="00045AA9" w:rsidRPr="00EF5FAF" w:rsidRDefault="00045AA9" w:rsidP="00045AA9">
      <w:pPr>
        <w:pStyle w:val="Heading1"/>
        <w:keepNext/>
        <w:keepLines/>
        <w:numPr>
          <w:ilvl w:val="0"/>
          <w:numId w:val="15"/>
        </w:numPr>
        <w:rPr>
          <w:lang w:val="fr-FR"/>
        </w:rPr>
      </w:pPr>
      <w:r>
        <w:rPr>
          <w:lang w:val="fr-FR"/>
        </w:rPr>
        <w:t>L</w:t>
      </w:r>
      <w:r w:rsidRPr="00EF5FAF">
        <w:rPr>
          <w:lang w:val="fr-FR"/>
        </w:rPr>
        <w:t xml:space="preserve">e </w:t>
      </w:r>
      <w:r>
        <w:rPr>
          <w:lang w:val="fr-FR"/>
        </w:rPr>
        <w:t xml:space="preserve">Comité exécutif pourrait souhaiter </w:t>
      </w:r>
      <w:r w:rsidRPr="00EF5FAF">
        <w:rPr>
          <w:lang w:val="fr-FR"/>
        </w:rPr>
        <w:t xml:space="preserve">: </w:t>
      </w:r>
    </w:p>
    <w:p w14:paraId="265B35DC" w14:textId="1ACF46F0" w:rsidR="00045AA9" w:rsidRDefault="00045AA9" w:rsidP="00045AA9">
      <w:pPr>
        <w:pStyle w:val="Heading2"/>
        <w:numPr>
          <w:ilvl w:val="1"/>
          <w:numId w:val="15"/>
        </w:numPr>
        <w:rPr>
          <w:lang w:val="fr-FR"/>
        </w:rPr>
      </w:pPr>
      <w:r w:rsidRPr="00EF5FAF">
        <w:rPr>
          <w:lang w:val="fr-FR"/>
        </w:rPr>
        <w:t>Appro</w:t>
      </w:r>
      <w:r>
        <w:rPr>
          <w:lang w:val="fr-FR"/>
        </w:rPr>
        <w:t>u</w:t>
      </w:r>
      <w:r w:rsidRPr="00EF5FAF">
        <w:rPr>
          <w:lang w:val="fr-FR"/>
        </w:rPr>
        <w:t>ve</w:t>
      </w:r>
      <w:r>
        <w:rPr>
          <w:lang w:val="fr-FR"/>
        </w:rPr>
        <w:t>r</w:t>
      </w:r>
      <w:r w:rsidRPr="00EF5FAF">
        <w:rPr>
          <w:lang w:val="fr-FR"/>
        </w:rPr>
        <w:t xml:space="preserve"> </w:t>
      </w:r>
      <w:r>
        <w:rPr>
          <w:lang w:val="fr-FR"/>
        </w:rPr>
        <w:t xml:space="preserve">le </w:t>
      </w:r>
      <w:r w:rsidRPr="00EF5FAF">
        <w:rPr>
          <w:lang w:val="fr-FR"/>
        </w:rPr>
        <w:t xml:space="preserve">plan </w:t>
      </w:r>
      <w:r>
        <w:rPr>
          <w:lang w:val="fr-FR"/>
        </w:rPr>
        <w:t>d’</w:t>
      </w:r>
      <w:r w:rsidRPr="00EF5FAF">
        <w:rPr>
          <w:lang w:val="fr-FR"/>
        </w:rPr>
        <w:t xml:space="preserve">action </w:t>
      </w:r>
      <w:r>
        <w:rPr>
          <w:lang w:val="fr-FR"/>
        </w:rPr>
        <w:t xml:space="preserve">révisé pour prolonger jusqu’en 2026 la phase II du plan pour le secteur de la fabrication des climatiseurs individuels (RAC) et </w:t>
      </w:r>
      <w:r w:rsidRPr="00ED5D52">
        <w:rPr>
          <w:lang w:val="fr-FR"/>
        </w:rPr>
        <w:t xml:space="preserve">des réchauffeurs d’eau avec pompe thermique (HPWH) (plan du secteur RAC), </w:t>
      </w:r>
      <w:r>
        <w:rPr>
          <w:lang w:val="fr-FR"/>
        </w:rPr>
        <w:t>avec les niveaux de la consommation sectorielle maximale autorisée de</w:t>
      </w:r>
      <w:r w:rsidRPr="00EF5FAF">
        <w:rPr>
          <w:lang w:val="fr-FR"/>
        </w:rPr>
        <w:t xml:space="preserve"> HCFC</w:t>
      </w:r>
      <w:r>
        <w:rPr>
          <w:lang w:val="fr-FR"/>
        </w:rPr>
        <w:t xml:space="preserve">, tels que décrits dans le </w:t>
      </w:r>
      <w:r w:rsidRPr="00EF5FAF">
        <w:rPr>
          <w:lang w:val="fr-FR"/>
        </w:rPr>
        <w:t>document UNEP/OzL.Pro/ExCom/86/21/Add.1</w:t>
      </w:r>
      <w:r w:rsidR="00F91819">
        <w:rPr>
          <w:lang w:val="fr-FR"/>
        </w:rPr>
        <w:t xml:space="preserve"> </w:t>
      </w:r>
      <w:r w:rsidRPr="00EF5FAF">
        <w:rPr>
          <w:lang w:val="fr-FR"/>
        </w:rPr>
        <w:t xml:space="preserve">; </w:t>
      </w:r>
    </w:p>
    <w:p w14:paraId="142DFC70" w14:textId="77777777" w:rsidR="00045AA9" w:rsidRPr="00EF5FAF" w:rsidRDefault="00045AA9" w:rsidP="00045AA9">
      <w:pPr>
        <w:pStyle w:val="Heading2"/>
        <w:keepNext/>
        <w:keepLines/>
        <w:numPr>
          <w:ilvl w:val="1"/>
          <w:numId w:val="15"/>
        </w:numPr>
        <w:rPr>
          <w:lang w:val="fr-FR"/>
        </w:rPr>
      </w:pPr>
      <w:r>
        <w:rPr>
          <w:lang w:val="fr-FR"/>
        </w:rPr>
        <w:t>Prendre n</w:t>
      </w:r>
      <w:r w:rsidRPr="00EF5FAF">
        <w:rPr>
          <w:lang w:val="fr-FR"/>
        </w:rPr>
        <w:t xml:space="preserve">ote </w:t>
      </w:r>
      <w:r>
        <w:rPr>
          <w:lang w:val="fr-FR"/>
        </w:rPr>
        <w:t>que dans le cadre de la phase II du plan du secteur RAC, le gouvernement de la Chine a accepté de reconvertir au moins </w:t>
      </w:r>
      <w:r w:rsidRPr="00EF5FAF">
        <w:rPr>
          <w:lang w:val="fr-FR"/>
        </w:rPr>
        <w:t xml:space="preserve">: </w:t>
      </w:r>
    </w:p>
    <w:p w14:paraId="433A068D" w14:textId="62C0F6FD" w:rsidR="00045AA9" w:rsidRPr="00EF5FAF" w:rsidRDefault="00045AA9" w:rsidP="00045AA9">
      <w:pPr>
        <w:pStyle w:val="Heading3"/>
        <w:numPr>
          <w:ilvl w:val="2"/>
          <w:numId w:val="15"/>
        </w:numPr>
        <w:rPr>
          <w:lang w:val="fr-FR"/>
        </w:rPr>
      </w:pPr>
      <w:r>
        <w:rPr>
          <w:lang w:val="fr-FR"/>
        </w:rPr>
        <w:t xml:space="preserve">Dix chaines de fabrication d’équipements RAC, au </w:t>
      </w:r>
      <w:r w:rsidRPr="00EF5FAF">
        <w:rPr>
          <w:lang w:val="fr-FR"/>
        </w:rPr>
        <w:t>R-290</w:t>
      </w:r>
      <w:r w:rsidR="00F91819">
        <w:rPr>
          <w:lang w:val="fr-FR"/>
        </w:rPr>
        <w:t xml:space="preserve"> </w:t>
      </w:r>
      <w:r w:rsidRPr="00EF5FAF">
        <w:rPr>
          <w:lang w:val="fr-FR"/>
        </w:rPr>
        <w:t xml:space="preserve">; </w:t>
      </w:r>
    </w:p>
    <w:p w14:paraId="241A37B6" w14:textId="1C035D5C" w:rsidR="00045AA9" w:rsidRPr="00EF5FAF" w:rsidRDefault="00045AA9" w:rsidP="00045AA9">
      <w:pPr>
        <w:pStyle w:val="Heading3"/>
        <w:numPr>
          <w:ilvl w:val="2"/>
          <w:numId w:val="15"/>
        </w:numPr>
        <w:rPr>
          <w:lang w:val="fr-FR"/>
        </w:rPr>
      </w:pPr>
      <w:r>
        <w:rPr>
          <w:lang w:val="fr-FR"/>
        </w:rPr>
        <w:t>Quatre chaines de fabrication de compresseurs, au</w:t>
      </w:r>
      <w:r w:rsidRPr="00EF5FAF">
        <w:rPr>
          <w:lang w:val="fr-FR"/>
        </w:rPr>
        <w:t xml:space="preserve"> R-290</w:t>
      </w:r>
      <w:r w:rsidR="00F91819">
        <w:rPr>
          <w:lang w:val="fr-FR"/>
        </w:rPr>
        <w:t xml:space="preserve"> </w:t>
      </w:r>
      <w:r w:rsidRPr="00EF5FAF">
        <w:rPr>
          <w:lang w:val="fr-FR"/>
        </w:rPr>
        <w:t xml:space="preserve">; </w:t>
      </w:r>
    </w:p>
    <w:p w14:paraId="1CD8133E" w14:textId="7973E7BD" w:rsidR="00045AA9" w:rsidRPr="000C6DDF" w:rsidRDefault="00045AA9" w:rsidP="00045AA9">
      <w:pPr>
        <w:pStyle w:val="Heading3"/>
        <w:numPr>
          <w:ilvl w:val="2"/>
          <w:numId w:val="15"/>
        </w:numPr>
        <w:rPr>
          <w:lang w:val="fr-FR"/>
        </w:rPr>
      </w:pPr>
      <w:r>
        <w:rPr>
          <w:lang w:val="fr-FR"/>
        </w:rPr>
        <w:t xml:space="preserve">Trois chaines de fabrication de </w:t>
      </w:r>
      <w:r w:rsidRPr="00EF5FAF">
        <w:rPr>
          <w:lang w:val="fr-FR"/>
        </w:rPr>
        <w:t xml:space="preserve">HPWH </w:t>
      </w:r>
      <w:r>
        <w:rPr>
          <w:lang w:val="fr-FR"/>
        </w:rPr>
        <w:t xml:space="preserve">résidentiels, au </w:t>
      </w:r>
      <w:r w:rsidRPr="00EF5FAF">
        <w:rPr>
          <w:lang w:val="fr-FR"/>
        </w:rPr>
        <w:t>R-290</w:t>
      </w:r>
      <w:r w:rsidR="00F91819">
        <w:rPr>
          <w:lang w:val="fr-FR"/>
        </w:rPr>
        <w:t xml:space="preserve"> </w:t>
      </w:r>
      <w:r w:rsidRPr="00EF5FAF">
        <w:rPr>
          <w:lang w:val="fr-FR"/>
        </w:rPr>
        <w:t xml:space="preserve">; </w:t>
      </w:r>
    </w:p>
    <w:p w14:paraId="2866E800" w14:textId="41374822" w:rsidR="00045AA9" w:rsidRPr="00EF5FAF" w:rsidRDefault="00045AA9" w:rsidP="00045AA9">
      <w:pPr>
        <w:pStyle w:val="Heading2"/>
        <w:numPr>
          <w:ilvl w:val="1"/>
          <w:numId w:val="15"/>
        </w:numPr>
        <w:rPr>
          <w:lang w:val="fr-FR"/>
        </w:rPr>
      </w:pPr>
      <w:r>
        <w:rPr>
          <w:lang w:val="fr-FR"/>
        </w:rPr>
        <w:t xml:space="preserve">Demander à l’ONUDI d’inclure dans la demande pour la troisième tranche du plan prolongé du secteur </w:t>
      </w:r>
      <w:r w:rsidRPr="00EF5FAF">
        <w:rPr>
          <w:lang w:val="fr-FR"/>
        </w:rPr>
        <w:t>R</w:t>
      </w:r>
      <w:r>
        <w:rPr>
          <w:lang w:val="fr-FR"/>
        </w:rPr>
        <w:t>AC, à présenter à la dernière réunion de</w:t>
      </w:r>
      <w:r w:rsidRPr="00EF5FAF">
        <w:rPr>
          <w:lang w:val="fr-FR"/>
        </w:rPr>
        <w:t xml:space="preserve"> 2021</w:t>
      </w:r>
      <w:r>
        <w:rPr>
          <w:lang w:val="fr-FR"/>
        </w:rPr>
        <w:t xml:space="preserve">, de l’information sur le niveau des ventes d’unités bi-blocs RAC à base de </w:t>
      </w:r>
      <w:r w:rsidRPr="00EF5FAF">
        <w:rPr>
          <w:lang w:val="fr-FR"/>
        </w:rPr>
        <w:t>R-290</w:t>
      </w:r>
      <w:r w:rsidR="00F91819">
        <w:rPr>
          <w:lang w:val="fr-FR"/>
        </w:rPr>
        <w:t xml:space="preserve"> </w:t>
      </w:r>
      <w:r>
        <w:rPr>
          <w:lang w:val="fr-FR"/>
        </w:rPr>
        <w:t>;</w:t>
      </w:r>
      <w:r w:rsidRPr="00EF5FAF">
        <w:rPr>
          <w:lang w:val="fr-FR"/>
        </w:rPr>
        <w:t xml:space="preserve"> </w:t>
      </w:r>
      <w:r>
        <w:rPr>
          <w:lang w:val="fr-FR"/>
        </w:rPr>
        <w:t>et</w:t>
      </w:r>
    </w:p>
    <w:p w14:paraId="0EDEFD81" w14:textId="77777777" w:rsidR="00045AA9" w:rsidRDefault="00045AA9" w:rsidP="00045AA9">
      <w:pPr>
        <w:pStyle w:val="Heading2"/>
        <w:numPr>
          <w:ilvl w:val="1"/>
          <w:numId w:val="15"/>
        </w:numPr>
        <w:rPr>
          <w:lang w:val="fr-FR"/>
        </w:rPr>
      </w:pPr>
      <w:r>
        <w:rPr>
          <w:lang w:val="fr-FR"/>
        </w:rPr>
        <w:lastRenderedPageBreak/>
        <w:t>Prendre n</w:t>
      </w:r>
      <w:r w:rsidRPr="00EF5FAF">
        <w:rPr>
          <w:lang w:val="fr-FR"/>
        </w:rPr>
        <w:t xml:space="preserve">ote </w:t>
      </w:r>
      <w:r>
        <w:rPr>
          <w:lang w:val="fr-FR"/>
        </w:rPr>
        <w:t xml:space="preserve">que le gouvernement de la Chine, par l’intermédiaire de l’ONUDI, informera le Comité exécutif du nombre de propriétaires non visés à l’article 5 dans les chaines de fabrication de climatiseurs qui souhaitent participer au plan révisé prolongé du secteur RAC et proposera soit une réallocation des fonds associés à des propriétaires non visés à l’article 5 vers d’autres activités dans le cadre du plan prolongé du secteur RAC ou bien la restitution des fonds au Fonds multilatéral.  </w:t>
      </w:r>
    </w:p>
    <w:p w14:paraId="1BAFE581" w14:textId="77777777" w:rsidR="00045AA9" w:rsidRPr="005C56CC" w:rsidRDefault="00045AA9" w:rsidP="00045AA9">
      <w:pPr>
        <w:rPr>
          <w:b/>
          <w:lang w:val="fr-FR"/>
        </w:rPr>
      </w:pPr>
      <w:r w:rsidRPr="005C56CC">
        <w:rPr>
          <w:b/>
          <w:lang w:val="fr-FR"/>
        </w:rPr>
        <w:t xml:space="preserve">PLAN RÉVISÉ PROLONGÉ POUR LE SECTEUR DE L’ENTRETIEN </w:t>
      </w:r>
      <w:r>
        <w:rPr>
          <w:b/>
          <w:lang w:val="fr-FR"/>
        </w:rPr>
        <w:t>DE L’ÉQUIPEMENT DE</w:t>
      </w:r>
      <w:r w:rsidRPr="005C56CC">
        <w:rPr>
          <w:b/>
          <w:lang w:val="fr-FR"/>
        </w:rPr>
        <w:t xml:space="preserve"> RÉFRIGÉRATION ET </w:t>
      </w:r>
      <w:r>
        <w:rPr>
          <w:b/>
          <w:lang w:val="fr-FR"/>
        </w:rPr>
        <w:t xml:space="preserve">LE </w:t>
      </w:r>
      <w:r w:rsidRPr="005C56CC">
        <w:rPr>
          <w:b/>
          <w:lang w:val="fr-FR"/>
        </w:rPr>
        <w:t>PROGRAMME NATIONAL DE FACILITATION (PNUE, Allemagne, Japon)</w:t>
      </w:r>
    </w:p>
    <w:p w14:paraId="46043CB6" w14:textId="77777777" w:rsidR="00045AA9" w:rsidRPr="005C56CC" w:rsidRDefault="00045AA9" w:rsidP="00045AA9">
      <w:pPr>
        <w:rPr>
          <w:b/>
          <w:lang w:val="fr-FR"/>
        </w:rPr>
      </w:pPr>
    </w:p>
    <w:p w14:paraId="2B99EA76" w14:textId="77777777" w:rsidR="00045AA9" w:rsidRPr="005C56CC" w:rsidRDefault="00045AA9" w:rsidP="00045AA9">
      <w:pPr>
        <w:rPr>
          <w:b/>
          <w:lang w:val="fr-FR"/>
        </w:rPr>
      </w:pPr>
      <w:r w:rsidRPr="005C56CC">
        <w:rPr>
          <w:b/>
          <w:lang w:val="fr-FR"/>
        </w:rPr>
        <w:t>Description du plan sectoriel</w:t>
      </w:r>
    </w:p>
    <w:p w14:paraId="4AC46A43" w14:textId="77777777" w:rsidR="00045AA9" w:rsidRPr="005C56CC" w:rsidRDefault="00045AA9" w:rsidP="00045AA9">
      <w:pPr>
        <w:rPr>
          <w:b/>
          <w:lang w:val="fr-FR"/>
        </w:rPr>
      </w:pPr>
    </w:p>
    <w:p w14:paraId="6C2D6B6C" w14:textId="77777777" w:rsidR="00045AA9" w:rsidRPr="005C56CC" w:rsidRDefault="00045AA9" w:rsidP="00045AA9">
      <w:pPr>
        <w:rPr>
          <w:b/>
          <w:lang w:val="fr-FR"/>
        </w:rPr>
      </w:pPr>
      <w:r w:rsidRPr="005C56CC">
        <w:rPr>
          <w:b/>
          <w:lang w:val="fr-FR"/>
        </w:rPr>
        <w:t>Historique</w:t>
      </w:r>
    </w:p>
    <w:p w14:paraId="257EFB55" w14:textId="77777777" w:rsidR="00045AA9" w:rsidRPr="005C56CC" w:rsidRDefault="00045AA9" w:rsidP="00045AA9">
      <w:pPr>
        <w:rPr>
          <w:b/>
          <w:lang w:val="fr-FR"/>
        </w:rPr>
      </w:pPr>
    </w:p>
    <w:p w14:paraId="137CB157" w14:textId="77777777" w:rsidR="00045AA9" w:rsidRDefault="00045AA9" w:rsidP="00045AA9">
      <w:pPr>
        <w:pStyle w:val="Heading1"/>
        <w:rPr>
          <w:lang w:val="fr-FR"/>
        </w:rPr>
      </w:pPr>
      <w:r>
        <w:rPr>
          <w:lang w:val="fr-FR"/>
        </w:rPr>
        <w:t>À sa 76</w:t>
      </w:r>
      <w:r w:rsidRPr="005C56CC">
        <w:rPr>
          <w:vertAlign w:val="superscript"/>
          <w:lang w:val="fr-FR"/>
        </w:rPr>
        <w:t>e</w:t>
      </w:r>
      <w:r>
        <w:rPr>
          <w:lang w:val="fr-FR"/>
        </w:rPr>
        <w:t xml:space="preserve"> réunion, le Comité exécutif a approuvé, en principe, le plan pour le secteur de l’entretien de l’équipement de réfrigération et le programme national de facilitation de la phase II du PGEH pour la Chine afin de parvenir, d’ici 2026, à la réduction de 67,5 pour cent des HCFC dans ce secteur, au montant de 20,9 millions $US, plus des coûts d’appui d’agence de 2 087 900 $US pour le PNUE, de 120 000 $US pour le gouvernement de l’Allemagne et de 52 000 $US pour le gouvernement du Japon.</w:t>
      </w:r>
    </w:p>
    <w:p w14:paraId="31AC18B2" w14:textId="20323F51" w:rsidR="00045AA9" w:rsidRDefault="00045AA9" w:rsidP="00045AA9">
      <w:pPr>
        <w:pStyle w:val="Heading1"/>
        <w:rPr>
          <w:lang w:val="fr-FR"/>
        </w:rPr>
      </w:pPr>
      <w:r>
        <w:rPr>
          <w:lang w:val="fr-FR"/>
        </w:rPr>
        <w:t>La deuxième tranche pour le secteur de l’entretien de l’équipement de réfrigération et le programme national de facilitation a été approuvée à la 81</w:t>
      </w:r>
      <w:r w:rsidRPr="00E468C2">
        <w:rPr>
          <w:vertAlign w:val="superscript"/>
          <w:lang w:val="fr-FR"/>
        </w:rPr>
        <w:t>e</w:t>
      </w:r>
      <w:r>
        <w:rPr>
          <w:lang w:val="fr-FR"/>
        </w:rPr>
        <w:t xml:space="preserve"> réunion, avec le plan correspondant de mise en œu</w:t>
      </w:r>
      <w:r w:rsidR="00F91819">
        <w:rPr>
          <w:lang w:val="fr-FR"/>
        </w:rPr>
        <w:t>vre de la tranche de 2018-2020.</w:t>
      </w:r>
      <w:r>
        <w:rPr>
          <w:lang w:val="fr-FR"/>
        </w:rPr>
        <w:t xml:space="preserve"> À sa 82</w:t>
      </w:r>
      <w:r w:rsidRPr="00E468C2">
        <w:rPr>
          <w:vertAlign w:val="superscript"/>
          <w:lang w:val="fr-FR"/>
        </w:rPr>
        <w:t>e</w:t>
      </w:r>
      <w:r>
        <w:rPr>
          <w:lang w:val="fr-FR"/>
        </w:rPr>
        <w:t xml:space="preserve"> réunion, le Comité exécutif a pris note de la demande du gouvernement de la Chine pour la troisième tranche du plan pour le secteur de l’entretien de l’équipement de réfrigération et le programme national de facilitation et il a décidé de reporter son examen à la 83</w:t>
      </w:r>
      <w:r w:rsidRPr="00E468C2">
        <w:rPr>
          <w:vertAlign w:val="superscript"/>
          <w:lang w:val="fr-FR"/>
        </w:rPr>
        <w:t>e</w:t>
      </w:r>
      <w:r>
        <w:rPr>
          <w:lang w:val="fr-FR"/>
        </w:rPr>
        <w:t xml:space="preserve"> réunion (décision 82/71(b))</w:t>
      </w:r>
      <w:r w:rsidR="00F91819">
        <w:rPr>
          <w:lang w:val="fr-FR"/>
        </w:rPr>
        <w:t xml:space="preserve"> </w:t>
      </w:r>
      <w:r>
        <w:rPr>
          <w:lang w:val="fr-FR"/>
        </w:rPr>
        <w:t>; réunion à laquelle il a été décidé de reporter à nouveau l’examen de la troisième tranche à la 84</w:t>
      </w:r>
      <w:r w:rsidRPr="0092720B">
        <w:rPr>
          <w:vertAlign w:val="superscript"/>
          <w:lang w:val="fr-FR"/>
        </w:rPr>
        <w:t>e</w:t>
      </w:r>
      <w:r>
        <w:rPr>
          <w:lang w:val="fr-FR"/>
        </w:rPr>
        <w:t xml:space="preserve"> réunion (décision 83/55). </w:t>
      </w:r>
    </w:p>
    <w:p w14:paraId="323C2015" w14:textId="77777777" w:rsidR="00045AA9" w:rsidRDefault="00045AA9" w:rsidP="00045AA9">
      <w:pPr>
        <w:pStyle w:val="Heading1"/>
        <w:rPr>
          <w:lang w:val="fr-FR"/>
        </w:rPr>
      </w:pPr>
      <w:r>
        <w:rPr>
          <w:lang w:val="fr-FR"/>
        </w:rPr>
        <w:t>La troisième tranche pour le secteur de l’entretien de l’équipement de réfrigération et le programme national de facilitation de la phase II du PGEH pour la Chine, avec le plan correspondant de mise en œuvre de la tranche de 2020-2021, a été approuvé à la 84</w:t>
      </w:r>
      <w:r w:rsidRPr="00504F59">
        <w:rPr>
          <w:vertAlign w:val="superscript"/>
          <w:lang w:val="fr-FR"/>
        </w:rPr>
        <w:t>e</w:t>
      </w:r>
      <w:r>
        <w:rPr>
          <w:lang w:val="fr-FR"/>
        </w:rPr>
        <w:t xml:space="preserve"> réunion, au montant de 1000 000 $US, plus des coûts d’appui d’agence de 120 000 $US.</w:t>
      </w:r>
    </w:p>
    <w:p w14:paraId="47A7A10B" w14:textId="77777777" w:rsidR="00045AA9" w:rsidRPr="0092720B" w:rsidRDefault="00045AA9" w:rsidP="00045AA9">
      <w:pPr>
        <w:pStyle w:val="StyleHeading1Para1Heading1CharHeading1Char3CharHeadin"/>
        <w:rPr>
          <w:b/>
          <w:lang w:val="fr-FR"/>
        </w:rPr>
      </w:pPr>
      <w:r>
        <w:rPr>
          <w:b/>
          <w:lang w:val="fr-FR"/>
        </w:rPr>
        <w:t>Plan d’action révisé prolongé</w:t>
      </w:r>
    </w:p>
    <w:p w14:paraId="04D9ED8E" w14:textId="77777777" w:rsidR="00045AA9" w:rsidRDefault="00045AA9" w:rsidP="00045AA9">
      <w:pPr>
        <w:pStyle w:val="Heading1"/>
        <w:rPr>
          <w:lang w:val="fr-FR"/>
        </w:rPr>
      </w:pPr>
      <w:r>
        <w:rPr>
          <w:lang w:val="fr-FR"/>
        </w:rPr>
        <w:t xml:space="preserve"> Conformément à la décision 84/69(a)(iii), le PNUE, au nom du gouvernement de la Chine, a présenté un plan d’action révisé pour prolonger jusqu’en 2026 la phase II du plan du secteur de l’entretien de l’équipement de réfrigération et du programme national de facilitation, au coût de  11 675 105 $US, plus des coûts d’appui d’agence de 1 342 282 $US pour le PNUE, de 820 000 $US pour le gouvernement de l’Allemagne et de 240 000 $US pour le gouvernement du Japon</w:t>
      </w:r>
      <w:r>
        <w:rPr>
          <w:rStyle w:val="FootnoteReference"/>
          <w:lang w:val="fr-FR"/>
        </w:rPr>
        <w:footnoteReference w:id="23"/>
      </w:r>
      <w:r>
        <w:rPr>
          <w:lang w:val="fr-FR"/>
        </w:rPr>
        <w:t>; et avec les niveaux de consommation sectorielle maximale autorisée de HCFC, mentionnés à la ligne 1.3.4.  La mise en œuvre de la phase II</w:t>
      </w:r>
      <w:r>
        <w:rPr>
          <w:rStyle w:val="FootnoteReference"/>
          <w:lang w:val="fr-FR"/>
        </w:rPr>
        <w:footnoteReference w:id="24"/>
      </w:r>
      <w:r>
        <w:rPr>
          <w:lang w:val="fr-FR"/>
        </w:rPr>
        <w:t xml:space="preserve"> aidera la Chine à atteindre les objectifs de conformité du Protocole de Montréal d’une réduction de 67,5 pour cent d’ici 2025.</w:t>
      </w:r>
    </w:p>
    <w:p w14:paraId="377B09CC" w14:textId="77777777" w:rsidR="00045AA9" w:rsidRPr="00F91819" w:rsidRDefault="00045AA9" w:rsidP="00045AA9">
      <w:pPr>
        <w:pStyle w:val="Heading1"/>
        <w:rPr>
          <w:lang w:val="fr-FR"/>
        </w:rPr>
      </w:pPr>
      <w:r>
        <w:rPr>
          <w:lang w:val="fr-FR"/>
        </w:rPr>
        <w:t>Conformément au projet d’Accord révisé soumis par le PNUD à la 86</w:t>
      </w:r>
      <w:r w:rsidRPr="00CF6E15">
        <w:rPr>
          <w:vertAlign w:val="superscript"/>
          <w:lang w:val="fr-FR"/>
        </w:rPr>
        <w:t>e</w:t>
      </w:r>
      <w:r>
        <w:rPr>
          <w:lang w:val="fr-FR"/>
        </w:rPr>
        <w:t xml:space="preserve"> réunion, la prochaine tranche de la phase II du secteur de l’entretien de l’équipement de réfrigération et du plan sectoriel pour le programme national de facilitation, au montant de 2 500 000 $US, plus des coûts d’appui d’agence de 2 </w:t>
      </w:r>
      <w:r>
        <w:rPr>
          <w:lang w:val="fr-FR"/>
        </w:rPr>
        <w:lastRenderedPageBreak/>
        <w:t xml:space="preserve">000 000 $US (répartition par agence comme dans les cas précédents) pour le PNUE, le gouvernement de l’Allemagne </w:t>
      </w:r>
      <w:r w:rsidRPr="00F91819">
        <w:rPr>
          <w:lang w:val="fr-FR"/>
        </w:rPr>
        <w:t>et le gouvernement du Japon, sera soumise à la deuxième réunion de 2021.</w:t>
      </w:r>
    </w:p>
    <w:p w14:paraId="0633AD35" w14:textId="77777777" w:rsidR="00045AA9" w:rsidRPr="00F91819" w:rsidRDefault="00045AA9" w:rsidP="00045AA9">
      <w:pPr>
        <w:pStyle w:val="StyleHeading1Para1Heading1CharHeading1Char3CharHeadin"/>
        <w:tabs>
          <w:tab w:val="clear" w:pos="720"/>
          <w:tab w:val="left" w:pos="567"/>
        </w:tabs>
        <w:rPr>
          <w:u w:val="single"/>
          <w:lang w:val="fr-FR"/>
        </w:rPr>
      </w:pPr>
      <w:r w:rsidRPr="00F91819">
        <w:rPr>
          <w:u w:val="single"/>
          <w:lang w:val="fr-FR"/>
        </w:rPr>
        <w:t>Consommation de HCFC dans le secteur de l’entretien de l’équipement de réfrigération</w:t>
      </w:r>
    </w:p>
    <w:p w14:paraId="0788726B" w14:textId="4C91A2E0" w:rsidR="00045AA9" w:rsidRPr="00F91819" w:rsidRDefault="00045AA9" w:rsidP="00045AA9">
      <w:pPr>
        <w:pStyle w:val="Heading1"/>
        <w:rPr>
          <w:lang w:val="fr-FR"/>
        </w:rPr>
      </w:pPr>
      <w:r w:rsidRPr="00F91819">
        <w:rPr>
          <w:lang w:val="fr-FR"/>
        </w:rPr>
        <w:t>La consommation de HCFC dans le secteur de l’entretien en 2019 s’élevait à 59 357,39 tonnes métriques (3 259,7 tonnes PAO) de HCFC-22, tel qu’indiqué au tableau 1.  L’Accord ne mentionne pas de consommation maximale autorisée pour le secteur de l’ent</w:t>
      </w:r>
      <w:r w:rsidR="00F91819" w:rsidRPr="00F91819">
        <w:rPr>
          <w:lang w:val="fr-FR"/>
        </w:rPr>
        <w:t xml:space="preserve">retien de l’équipement de réfrigération. </w:t>
      </w:r>
      <w:r w:rsidRPr="00F91819">
        <w:rPr>
          <w:lang w:val="fr-FR"/>
        </w:rPr>
        <w:t xml:space="preserve">La consommation globale </w:t>
      </w:r>
      <w:r w:rsidR="00F91819" w:rsidRPr="00F91819">
        <w:rPr>
          <w:lang w:val="fr-FR"/>
        </w:rPr>
        <w:t>totale de HCFC en 2019 en Chine.</w:t>
      </w:r>
    </w:p>
    <w:p w14:paraId="189A3423" w14:textId="77777777" w:rsidR="00045AA9" w:rsidRPr="00FF5AD6" w:rsidRDefault="00045AA9" w:rsidP="00045AA9">
      <w:pPr>
        <w:keepNext/>
        <w:keepLines/>
        <w:widowControl w:val="0"/>
        <w:rPr>
          <w:b/>
          <w:sz w:val="18"/>
          <w:szCs w:val="18"/>
          <w:lang w:val="fr-CA"/>
        </w:rPr>
      </w:pPr>
      <w:r w:rsidRPr="00A9778A">
        <w:rPr>
          <w:b/>
          <w:sz w:val="18"/>
          <w:szCs w:val="18"/>
          <w:lang w:val="fr-FR"/>
        </w:rPr>
        <w:t>Table 1. Consommation de HCFC dans le secteur de l’entretien en Chine (données du</w:t>
      </w:r>
      <w:r w:rsidRPr="00FF5AD6">
        <w:rPr>
          <w:b/>
          <w:sz w:val="18"/>
          <w:szCs w:val="18"/>
          <w:lang w:val="fr-CA"/>
        </w:rPr>
        <w:t xml:space="preserve"> programme de pays pour la période 2015-2019)</w:t>
      </w:r>
    </w:p>
    <w:tbl>
      <w:tblPr>
        <w:tblW w:w="50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224"/>
        <w:gridCol w:w="1230"/>
        <w:gridCol w:w="1230"/>
        <w:gridCol w:w="1230"/>
        <w:gridCol w:w="1230"/>
        <w:gridCol w:w="1225"/>
      </w:tblGrid>
      <w:tr w:rsidR="00045AA9" w:rsidRPr="00A9778A" w14:paraId="5E7A27D8" w14:textId="77777777" w:rsidTr="0063050C">
        <w:trPr>
          <w:cantSplit/>
          <w:tblHeader/>
        </w:trPr>
        <w:tc>
          <w:tcPr>
            <w:tcW w:w="1059" w:type="pct"/>
            <w:shd w:val="clear" w:color="auto" w:fill="auto"/>
            <w:noWrap/>
            <w:tcMar>
              <w:left w:w="43" w:type="dxa"/>
              <w:right w:w="43" w:type="dxa"/>
            </w:tcMar>
            <w:vAlign w:val="center"/>
            <w:hideMark/>
          </w:tcPr>
          <w:p w14:paraId="6ECEDE35" w14:textId="77777777" w:rsidR="00045AA9" w:rsidRPr="00A9778A" w:rsidRDefault="00045AA9" w:rsidP="0063050C">
            <w:pPr>
              <w:keepNext/>
              <w:keepLines/>
              <w:widowControl w:val="0"/>
              <w:jc w:val="left"/>
              <w:rPr>
                <w:b/>
                <w:bCs/>
                <w:color w:val="000000"/>
                <w:sz w:val="20"/>
                <w:szCs w:val="20"/>
                <w:lang w:val="en-CA"/>
              </w:rPr>
            </w:pPr>
            <w:r w:rsidRPr="00A9778A">
              <w:rPr>
                <w:b/>
                <w:bCs/>
                <w:color w:val="000000"/>
                <w:sz w:val="20"/>
                <w:szCs w:val="20"/>
                <w:lang w:val="en-CA"/>
              </w:rPr>
              <w:t>HCFC</w:t>
            </w:r>
          </w:p>
        </w:tc>
        <w:tc>
          <w:tcPr>
            <w:tcW w:w="654" w:type="pct"/>
            <w:tcMar>
              <w:left w:w="0" w:type="dxa"/>
              <w:right w:w="0" w:type="dxa"/>
            </w:tcMar>
            <w:vAlign w:val="center"/>
          </w:tcPr>
          <w:p w14:paraId="112F79A3" w14:textId="77777777" w:rsidR="00045AA9" w:rsidRPr="00A9778A" w:rsidRDefault="00045AA9" w:rsidP="0063050C">
            <w:pPr>
              <w:keepNext/>
              <w:keepLines/>
              <w:widowControl w:val="0"/>
              <w:jc w:val="center"/>
              <w:rPr>
                <w:b/>
                <w:bCs/>
                <w:color w:val="000000"/>
                <w:sz w:val="20"/>
                <w:szCs w:val="20"/>
                <w:lang w:val="en-CA"/>
              </w:rPr>
            </w:pPr>
            <w:r w:rsidRPr="00A9778A">
              <w:rPr>
                <w:b/>
                <w:bCs/>
                <w:color w:val="000000"/>
                <w:sz w:val="20"/>
                <w:szCs w:val="20"/>
                <w:lang w:val="en-CA"/>
              </w:rPr>
              <w:t>2015</w:t>
            </w:r>
          </w:p>
        </w:tc>
        <w:tc>
          <w:tcPr>
            <w:tcW w:w="658" w:type="pct"/>
            <w:tcMar>
              <w:left w:w="0" w:type="dxa"/>
              <w:right w:w="0" w:type="dxa"/>
            </w:tcMar>
            <w:vAlign w:val="center"/>
          </w:tcPr>
          <w:p w14:paraId="655A28B8" w14:textId="77777777" w:rsidR="00045AA9" w:rsidRPr="00A9778A" w:rsidRDefault="00045AA9" w:rsidP="0063050C">
            <w:pPr>
              <w:keepNext/>
              <w:keepLines/>
              <w:widowControl w:val="0"/>
              <w:jc w:val="center"/>
              <w:rPr>
                <w:b/>
                <w:bCs/>
                <w:color w:val="000000"/>
                <w:sz w:val="20"/>
                <w:szCs w:val="20"/>
                <w:lang w:val="en-CA"/>
              </w:rPr>
            </w:pPr>
            <w:r w:rsidRPr="00A9778A">
              <w:rPr>
                <w:b/>
                <w:bCs/>
                <w:color w:val="000000"/>
                <w:sz w:val="20"/>
                <w:szCs w:val="20"/>
                <w:lang w:val="en-CA"/>
              </w:rPr>
              <w:t>2016</w:t>
            </w:r>
          </w:p>
        </w:tc>
        <w:tc>
          <w:tcPr>
            <w:tcW w:w="658" w:type="pct"/>
            <w:tcMar>
              <w:left w:w="0" w:type="dxa"/>
              <w:right w:w="0" w:type="dxa"/>
            </w:tcMar>
            <w:vAlign w:val="center"/>
          </w:tcPr>
          <w:p w14:paraId="4ED91820" w14:textId="77777777" w:rsidR="00045AA9" w:rsidRPr="00A9778A" w:rsidRDefault="00045AA9" w:rsidP="0063050C">
            <w:pPr>
              <w:keepNext/>
              <w:keepLines/>
              <w:widowControl w:val="0"/>
              <w:jc w:val="center"/>
              <w:rPr>
                <w:b/>
                <w:bCs/>
                <w:color w:val="000000"/>
                <w:sz w:val="20"/>
                <w:szCs w:val="20"/>
                <w:lang w:val="en-CA"/>
              </w:rPr>
            </w:pPr>
            <w:r w:rsidRPr="00A9778A">
              <w:rPr>
                <w:b/>
                <w:bCs/>
                <w:color w:val="000000"/>
                <w:sz w:val="20"/>
                <w:szCs w:val="20"/>
                <w:lang w:val="en-CA"/>
              </w:rPr>
              <w:t>2017</w:t>
            </w:r>
          </w:p>
        </w:tc>
        <w:tc>
          <w:tcPr>
            <w:tcW w:w="658" w:type="pct"/>
            <w:tcMar>
              <w:left w:w="0" w:type="dxa"/>
              <w:right w:w="0" w:type="dxa"/>
            </w:tcMar>
            <w:vAlign w:val="center"/>
          </w:tcPr>
          <w:p w14:paraId="797F5212" w14:textId="77777777" w:rsidR="00045AA9" w:rsidRPr="00A9778A" w:rsidRDefault="00045AA9" w:rsidP="0063050C">
            <w:pPr>
              <w:keepNext/>
              <w:keepLines/>
              <w:widowControl w:val="0"/>
              <w:jc w:val="center"/>
              <w:rPr>
                <w:b/>
                <w:bCs/>
                <w:color w:val="000000"/>
                <w:sz w:val="20"/>
                <w:szCs w:val="20"/>
                <w:lang w:val="en-CA"/>
              </w:rPr>
            </w:pPr>
            <w:r w:rsidRPr="00A9778A">
              <w:rPr>
                <w:b/>
                <w:bCs/>
                <w:color w:val="000000"/>
                <w:sz w:val="20"/>
                <w:szCs w:val="20"/>
                <w:lang w:val="en-CA"/>
              </w:rPr>
              <w:t>2018</w:t>
            </w:r>
          </w:p>
        </w:tc>
        <w:tc>
          <w:tcPr>
            <w:tcW w:w="658" w:type="pct"/>
            <w:tcMar>
              <w:left w:w="0" w:type="dxa"/>
              <w:right w:w="0" w:type="dxa"/>
            </w:tcMar>
            <w:vAlign w:val="center"/>
          </w:tcPr>
          <w:p w14:paraId="247C8390" w14:textId="77777777" w:rsidR="00045AA9" w:rsidRPr="00A9778A" w:rsidRDefault="00045AA9" w:rsidP="0063050C">
            <w:pPr>
              <w:keepNext/>
              <w:keepLines/>
              <w:widowControl w:val="0"/>
              <w:jc w:val="center"/>
              <w:rPr>
                <w:b/>
                <w:bCs/>
                <w:color w:val="000000"/>
                <w:sz w:val="20"/>
                <w:szCs w:val="20"/>
                <w:lang w:val="en-CA"/>
              </w:rPr>
            </w:pPr>
            <w:r w:rsidRPr="00A9778A">
              <w:rPr>
                <w:b/>
                <w:bCs/>
                <w:color w:val="000000"/>
                <w:sz w:val="20"/>
                <w:szCs w:val="20"/>
                <w:lang w:val="en-CA"/>
              </w:rPr>
              <w:t>2019</w:t>
            </w:r>
          </w:p>
        </w:tc>
        <w:tc>
          <w:tcPr>
            <w:tcW w:w="654" w:type="pct"/>
            <w:tcMar>
              <w:left w:w="0" w:type="dxa"/>
              <w:right w:w="0" w:type="dxa"/>
            </w:tcMar>
          </w:tcPr>
          <w:p w14:paraId="57CFEB13" w14:textId="77777777" w:rsidR="00045AA9" w:rsidRPr="00A9778A" w:rsidRDefault="00045AA9" w:rsidP="0063050C">
            <w:pPr>
              <w:keepNext/>
              <w:keepLines/>
              <w:widowControl w:val="0"/>
              <w:jc w:val="center"/>
              <w:rPr>
                <w:b/>
                <w:bCs/>
                <w:color w:val="000000"/>
                <w:sz w:val="20"/>
                <w:szCs w:val="20"/>
                <w:lang w:val="en-CA"/>
              </w:rPr>
            </w:pPr>
            <w:r>
              <w:rPr>
                <w:b/>
                <w:bCs/>
                <w:color w:val="000000"/>
                <w:sz w:val="20"/>
                <w:szCs w:val="20"/>
                <w:lang w:val="en-CA"/>
              </w:rPr>
              <w:t>Moyenne</w:t>
            </w:r>
            <w:r w:rsidRPr="00A9778A">
              <w:rPr>
                <w:b/>
                <w:bCs/>
                <w:color w:val="000000"/>
                <w:sz w:val="20"/>
                <w:szCs w:val="20"/>
                <w:lang w:val="en-CA"/>
              </w:rPr>
              <w:t>*</w:t>
            </w:r>
          </w:p>
        </w:tc>
      </w:tr>
      <w:tr w:rsidR="00045AA9" w:rsidRPr="00A9778A" w14:paraId="28ABC6CD" w14:textId="77777777" w:rsidTr="0063050C">
        <w:trPr>
          <w:cantSplit/>
        </w:trPr>
        <w:tc>
          <w:tcPr>
            <w:tcW w:w="5000" w:type="pct"/>
            <w:gridSpan w:val="7"/>
            <w:shd w:val="clear" w:color="auto" w:fill="auto"/>
            <w:noWrap/>
            <w:tcMar>
              <w:left w:w="43" w:type="dxa"/>
              <w:right w:w="43" w:type="dxa"/>
            </w:tcMar>
          </w:tcPr>
          <w:p w14:paraId="0F57718C" w14:textId="77777777" w:rsidR="00045AA9" w:rsidRPr="00A9778A" w:rsidRDefault="00045AA9" w:rsidP="0063050C">
            <w:pPr>
              <w:keepNext/>
              <w:keepLines/>
              <w:jc w:val="left"/>
              <w:rPr>
                <w:color w:val="000000"/>
                <w:sz w:val="20"/>
                <w:szCs w:val="20"/>
                <w:lang w:val="en-CA"/>
              </w:rPr>
            </w:pPr>
            <w:r>
              <w:rPr>
                <w:b/>
                <w:color w:val="000000"/>
                <w:sz w:val="20"/>
                <w:szCs w:val="20"/>
                <w:lang w:val="en-CA"/>
              </w:rPr>
              <w:t>T</w:t>
            </w:r>
            <w:r w:rsidRPr="00A9778A">
              <w:rPr>
                <w:b/>
                <w:color w:val="000000"/>
                <w:sz w:val="20"/>
                <w:szCs w:val="20"/>
                <w:lang w:val="en-CA"/>
              </w:rPr>
              <w:t>onnes</w:t>
            </w:r>
            <w:r>
              <w:rPr>
                <w:b/>
                <w:color w:val="000000"/>
                <w:sz w:val="20"/>
                <w:szCs w:val="20"/>
                <w:lang w:val="en-CA"/>
              </w:rPr>
              <w:t xml:space="preserve"> métriques</w:t>
            </w:r>
            <w:r w:rsidRPr="00A9778A">
              <w:rPr>
                <w:b/>
                <w:color w:val="000000"/>
                <w:sz w:val="20"/>
                <w:szCs w:val="20"/>
                <w:lang w:val="en-CA"/>
              </w:rPr>
              <w:t xml:space="preserve"> </w:t>
            </w:r>
          </w:p>
        </w:tc>
      </w:tr>
      <w:tr w:rsidR="00045AA9" w:rsidRPr="00A9778A" w14:paraId="02877C95" w14:textId="77777777" w:rsidTr="0063050C">
        <w:trPr>
          <w:cantSplit/>
        </w:trPr>
        <w:tc>
          <w:tcPr>
            <w:tcW w:w="1059" w:type="pct"/>
            <w:shd w:val="clear" w:color="auto" w:fill="auto"/>
            <w:noWrap/>
            <w:tcMar>
              <w:left w:w="43" w:type="dxa"/>
              <w:right w:w="43" w:type="dxa"/>
            </w:tcMar>
            <w:hideMark/>
          </w:tcPr>
          <w:p w14:paraId="60F67020" w14:textId="77777777" w:rsidR="00045AA9" w:rsidRPr="00A9778A" w:rsidRDefault="00045AA9" w:rsidP="0063050C">
            <w:pPr>
              <w:keepNext/>
              <w:keepLines/>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22</w:t>
            </w:r>
          </w:p>
        </w:tc>
        <w:tc>
          <w:tcPr>
            <w:tcW w:w="654" w:type="pct"/>
          </w:tcPr>
          <w:p w14:paraId="69386AAB" w14:textId="77777777" w:rsidR="00045AA9" w:rsidRPr="00A9778A" w:rsidRDefault="00045AA9" w:rsidP="0063050C">
            <w:pPr>
              <w:keepNext/>
              <w:keepLines/>
              <w:jc w:val="right"/>
              <w:rPr>
                <w:color w:val="000000"/>
                <w:sz w:val="20"/>
                <w:szCs w:val="20"/>
                <w:lang w:val="en-CA"/>
              </w:rPr>
            </w:pPr>
            <w:r>
              <w:rPr>
                <w:color w:val="000000"/>
                <w:sz w:val="20"/>
                <w:szCs w:val="20"/>
                <w:lang w:val="en-CA"/>
              </w:rPr>
              <w:t>42 557,</w:t>
            </w:r>
            <w:r w:rsidRPr="00A9778A">
              <w:rPr>
                <w:color w:val="000000"/>
                <w:sz w:val="20"/>
                <w:szCs w:val="20"/>
                <w:lang w:val="en-CA"/>
              </w:rPr>
              <w:t>47</w:t>
            </w:r>
          </w:p>
        </w:tc>
        <w:tc>
          <w:tcPr>
            <w:tcW w:w="658" w:type="pct"/>
          </w:tcPr>
          <w:p w14:paraId="3461034E" w14:textId="77777777" w:rsidR="00045AA9" w:rsidRPr="00A9778A" w:rsidRDefault="00045AA9" w:rsidP="0063050C">
            <w:pPr>
              <w:keepNext/>
              <w:keepLines/>
              <w:jc w:val="right"/>
              <w:rPr>
                <w:color w:val="000000"/>
                <w:sz w:val="20"/>
                <w:szCs w:val="20"/>
                <w:lang w:val="en-CA"/>
              </w:rPr>
            </w:pPr>
            <w:r>
              <w:rPr>
                <w:color w:val="000000"/>
                <w:sz w:val="20"/>
                <w:szCs w:val="20"/>
                <w:lang w:val="en-CA"/>
              </w:rPr>
              <w:t>47 398,</w:t>
            </w:r>
            <w:r w:rsidRPr="00A9778A">
              <w:rPr>
                <w:color w:val="000000"/>
                <w:sz w:val="20"/>
                <w:szCs w:val="20"/>
                <w:lang w:val="en-CA"/>
              </w:rPr>
              <w:t>35</w:t>
            </w:r>
          </w:p>
        </w:tc>
        <w:tc>
          <w:tcPr>
            <w:tcW w:w="658" w:type="pct"/>
          </w:tcPr>
          <w:p w14:paraId="08C8915E" w14:textId="77777777" w:rsidR="00045AA9" w:rsidRPr="00A9778A" w:rsidRDefault="00045AA9" w:rsidP="0063050C">
            <w:pPr>
              <w:keepNext/>
              <w:keepLines/>
              <w:jc w:val="right"/>
              <w:rPr>
                <w:color w:val="000000"/>
                <w:sz w:val="20"/>
                <w:szCs w:val="20"/>
                <w:lang w:val="en-CA"/>
              </w:rPr>
            </w:pPr>
            <w:r>
              <w:rPr>
                <w:color w:val="000000"/>
                <w:sz w:val="20"/>
                <w:szCs w:val="20"/>
                <w:lang w:val="en-CA"/>
              </w:rPr>
              <w:t>51 482,</w:t>
            </w:r>
            <w:r w:rsidRPr="00A9778A">
              <w:rPr>
                <w:color w:val="000000"/>
                <w:sz w:val="20"/>
                <w:szCs w:val="20"/>
                <w:lang w:val="en-CA"/>
              </w:rPr>
              <w:t>65</w:t>
            </w:r>
          </w:p>
        </w:tc>
        <w:tc>
          <w:tcPr>
            <w:tcW w:w="658" w:type="pct"/>
          </w:tcPr>
          <w:p w14:paraId="117D884F" w14:textId="77777777" w:rsidR="00045AA9" w:rsidRPr="00A9778A" w:rsidRDefault="00045AA9" w:rsidP="0063050C">
            <w:pPr>
              <w:keepNext/>
              <w:keepLines/>
              <w:jc w:val="right"/>
              <w:rPr>
                <w:color w:val="000000"/>
                <w:sz w:val="20"/>
                <w:szCs w:val="20"/>
                <w:lang w:val="en-CA"/>
              </w:rPr>
            </w:pPr>
            <w:r>
              <w:rPr>
                <w:color w:val="000000"/>
                <w:sz w:val="20"/>
                <w:szCs w:val="20"/>
                <w:lang w:val="en-CA"/>
              </w:rPr>
              <w:t>59 821,</w:t>
            </w:r>
            <w:r w:rsidRPr="00A9778A">
              <w:rPr>
                <w:color w:val="000000"/>
                <w:sz w:val="20"/>
                <w:szCs w:val="20"/>
                <w:lang w:val="en-CA"/>
              </w:rPr>
              <w:t>81</w:t>
            </w:r>
          </w:p>
        </w:tc>
        <w:tc>
          <w:tcPr>
            <w:tcW w:w="658" w:type="pct"/>
          </w:tcPr>
          <w:p w14:paraId="17E30B47" w14:textId="77777777" w:rsidR="00045AA9" w:rsidRPr="00A9778A" w:rsidRDefault="00045AA9" w:rsidP="0063050C">
            <w:pPr>
              <w:keepNext/>
              <w:keepLines/>
              <w:jc w:val="right"/>
              <w:rPr>
                <w:color w:val="000000"/>
                <w:sz w:val="20"/>
                <w:szCs w:val="20"/>
                <w:lang w:val="en-CA"/>
              </w:rPr>
            </w:pPr>
            <w:r>
              <w:rPr>
                <w:color w:val="000000"/>
                <w:sz w:val="20"/>
                <w:szCs w:val="20"/>
                <w:lang w:val="en-CA"/>
              </w:rPr>
              <w:t>58 005,</w:t>
            </w:r>
            <w:r w:rsidRPr="00A9778A">
              <w:rPr>
                <w:color w:val="000000"/>
                <w:sz w:val="20"/>
                <w:szCs w:val="20"/>
                <w:lang w:val="en-CA"/>
              </w:rPr>
              <w:t>55</w:t>
            </w:r>
          </w:p>
        </w:tc>
        <w:tc>
          <w:tcPr>
            <w:tcW w:w="654" w:type="pct"/>
          </w:tcPr>
          <w:p w14:paraId="7C346EB1" w14:textId="77777777" w:rsidR="00045AA9" w:rsidRPr="00A9778A" w:rsidRDefault="00045AA9" w:rsidP="0063050C">
            <w:pPr>
              <w:keepNext/>
              <w:keepLines/>
              <w:jc w:val="right"/>
              <w:rPr>
                <w:color w:val="000000"/>
                <w:sz w:val="20"/>
                <w:szCs w:val="20"/>
                <w:lang w:val="en-CA"/>
              </w:rPr>
            </w:pPr>
            <w:r>
              <w:rPr>
                <w:color w:val="000000"/>
                <w:sz w:val="20"/>
                <w:szCs w:val="20"/>
                <w:lang w:val="en-CA"/>
              </w:rPr>
              <w:t>64 466,</w:t>
            </w:r>
            <w:r w:rsidRPr="00A9778A">
              <w:rPr>
                <w:color w:val="000000"/>
                <w:sz w:val="20"/>
                <w:szCs w:val="20"/>
                <w:lang w:val="en-CA"/>
              </w:rPr>
              <w:t>58</w:t>
            </w:r>
          </w:p>
        </w:tc>
      </w:tr>
      <w:tr w:rsidR="00045AA9" w:rsidRPr="00A9778A" w14:paraId="29250BA1" w14:textId="77777777" w:rsidTr="0063050C">
        <w:trPr>
          <w:cantSplit/>
        </w:trPr>
        <w:tc>
          <w:tcPr>
            <w:tcW w:w="1059" w:type="pct"/>
            <w:shd w:val="clear" w:color="auto" w:fill="auto"/>
            <w:noWrap/>
            <w:tcMar>
              <w:left w:w="43" w:type="dxa"/>
              <w:right w:w="43" w:type="dxa"/>
            </w:tcMar>
            <w:hideMark/>
          </w:tcPr>
          <w:p w14:paraId="22C31268" w14:textId="77777777" w:rsidR="00045AA9" w:rsidRPr="00A9778A" w:rsidRDefault="00045AA9" w:rsidP="0063050C">
            <w:pPr>
              <w:keepNext/>
              <w:keepLines/>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123</w:t>
            </w:r>
          </w:p>
        </w:tc>
        <w:tc>
          <w:tcPr>
            <w:tcW w:w="654" w:type="pct"/>
          </w:tcPr>
          <w:p w14:paraId="30A5F50E" w14:textId="77777777" w:rsidR="00045AA9" w:rsidRPr="00A9778A" w:rsidRDefault="00045AA9" w:rsidP="0063050C">
            <w:pPr>
              <w:keepNext/>
              <w:keepLines/>
              <w:jc w:val="right"/>
              <w:rPr>
                <w:color w:val="000000"/>
                <w:sz w:val="20"/>
                <w:szCs w:val="20"/>
                <w:lang w:val="en-CA"/>
              </w:rPr>
            </w:pPr>
            <w:r>
              <w:rPr>
                <w:color w:val="000000"/>
                <w:sz w:val="20"/>
                <w:szCs w:val="20"/>
                <w:lang w:val="en-CA"/>
              </w:rPr>
              <w:t>314,</w:t>
            </w:r>
            <w:r w:rsidRPr="00A9778A">
              <w:rPr>
                <w:color w:val="000000"/>
                <w:sz w:val="20"/>
                <w:szCs w:val="20"/>
                <w:lang w:val="en-CA"/>
              </w:rPr>
              <w:t>91</w:t>
            </w:r>
          </w:p>
        </w:tc>
        <w:tc>
          <w:tcPr>
            <w:tcW w:w="658" w:type="pct"/>
          </w:tcPr>
          <w:p w14:paraId="69B6D953" w14:textId="77777777" w:rsidR="00045AA9" w:rsidRPr="00A9778A" w:rsidRDefault="00045AA9" w:rsidP="0063050C">
            <w:pPr>
              <w:keepNext/>
              <w:keepLines/>
              <w:jc w:val="right"/>
              <w:rPr>
                <w:color w:val="000000"/>
                <w:sz w:val="20"/>
                <w:szCs w:val="20"/>
                <w:lang w:val="en-CA"/>
              </w:rPr>
            </w:pPr>
            <w:r>
              <w:rPr>
                <w:color w:val="000000"/>
                <w:sz w:val="20"/>
                <w:szCs w:val="20"/>
                <w:lang w:val="en-CA"/>
              </w:rPr>
              <w:t>288,</w:t>
            </w:r>
            <w:r w:rsidRPr="00A9778A">
              <w:rPr>
                <w:color w:val="000000"/>
                <w:sz w:val="20"/>
                <w:szCs w:val="20"/>
                <w:lang w:val="en-CA"/>
              </w:rPr>
              <w:t>14</w:t>
            </w:r>
          </w:p>
        </w:tc>
        <w:tc>
          <w:tcPr>
            <w:tcW w:w="658" w:type="pct"/>
          </w:tcPr>
          <w:p w14:paraId="26BC2AAF" w14:textId="77777777" w:rsidR="00045AA9" w:rsidRPr="00A9778A" w:rsidRDefault="00045AA9" w:rsidP="0063050C">
            <w:pPr>
              <w:keepNext/>
              <w:keepLines/>
              <w:jc w:val="right"/>
              <w:rPr>
                <w:color w:val="000000"/>
                <w:sz w:val="20"/>
                <w:szCs w:val="20"/>
                <w:lang w:val="en-CA"/>
              </w:rPr>
            </w:pPr>
            <w:r>
              <w:rPr>
                <w:color w:val="000000"/>
                <w:sz w:val="20"/>
                <w:szCs w:val="20"/>
                <w:lang w:val="en-CA"/>
              </w:rPr>
              <w:t>347,</w:t>
            </w:r>
            <w:r w:rsidRPr="00A9778A">
              <w:rPr>
                <w:color w:val="000000"/>
                <w:sz w:val="20"/>
                <w:szCs w:val="20"/>
                <w:lang w:val="en-CA"/>
              </w:rPr>
              <w:t>29</w:t>
            </w:r>
          </w:p>
        </w:tc>
        <w:tc>
          <w:tcPr>
            <w:tcW w:w="658" w:type="pct"/>
          </w:tcPr>
          <w:p w14:paraId="1BBE33C6" w14:textId="77777777" w:rsidR="00045AA9" w:rsidRPr="00A9778A" w:rsidRDefault="00045AA9" w:rsidP="0063050C">
            <w:pPr>
              <w:keepNext/>
              <w:keepLines/>
              <w:jc w:val="right"/>
              <w:rPr>
                <w:color w:val="000000"/>
                <w:sz w:val="20"/>
                <w:szCs w:val="20"/>
                <w:lang w:val="en-CA"/>
              </w:rPr>
            </w:pPr>
            <w:r>
              <w:rPr>
                <w:color w:val="000000"/>
                <w:sz w:val="20"/>
                <w:szCs w:val="20"/>
                <w:lang w:val="en-CA"/>
              </w:rPr>
              <w:t>437,</w:t>
            </w:r>
            <w:r w:rsidRPr="00A9778A">
              <w:rPr>
                <w:color w:val="000000"/>
                <w:sz w:val="20"/>
                <w:szCs w:val="20"/>
                <w:lang w:val="en-CA"/>
              </w:rPr>
              <w:t>57</w:t>
            </w:r>
          </w:p>
        </w:tc>
        <w:tc>
          <w:tcPr>
            <w:tcW w:w="658" w:type="pct"/>
          </w:tcPr>
          <w:p w14:paraId="6AD4EF3F" w14:textId="77777777" w:rsidR="00045AA9" w:rsidRPr="00A9778A" w:rsidRDefault="00045AA9" w:rsidP="0063050C">
            <w:pPr>
              <w:keepNext/>
              <w:keepLines/>
              <w:jc w:val="right"/>
              <w:rPr>
                <w:color w:val="000000"/>
                <w:sz w:val="20"/>
                <w:szCs w:val="20"/>
                <w:lang w:val="en-CA"/>
              </w:rPr>
            </w:pPr>
            <w:r>
              <w:rPr>
                <w:color w:val="000000"/>
                <w:sz w:val="20"/>
                <w:szCs w:val="20"/>
                <w:lang w:val="en-CA"/>
              </w:rPr>
              <w:t>404,</w:t>
            </w:r>
            <w:r w:rsidRPr="00A9778A">
              <w:rPr>
                <w:color w:val="000000"/>
                <w:sz w:val="20"/>
                <w:szCs w:val="20"/>
                <w:lang w:val="en-CA"/>
              </w:rPr>
              <w:t>58</w:t>
            </w:r>
          </w:p>
        </w:tc>
        <w:tc>
          <w:tcPr>
            <w:tcW w:w="654" w:type="pct"/>
          </w:tcPr>
          <w:p w14:paraId="05EB2632" w14:textId="77777777" w:rsidR="00045AA9" w:rsidRPr="00A9778A" w:rsidRDefault="00045AA9" w:rsidP="0063050C">
            <w:pPr>
              <w:keepNext/>
              <w:keepLines/>
              <w:jc w:val="right"/>
              <w:rPr>
                <w:color w:val="000000"/>
                <w:sz w:val="20"/>
                <w:szCs w:val="20"/>
                <w:lang w:val="en-CA"/>
              </w:rPr>
            </w:pPr>
            <w:r>
              <w:rPr>
                <w:color w:val="000000"/>
                <w:sz w:val="20"/>
                <w:szCs w:val="20"/>
                <w:lang w:val="en-CA"/>
              </w:rPr>
              <w:t>113,</w:t>
            </w:r>
            <w:r w:rsidRPr="00A9778A">
              <w:rPr>
                <w:color w:val="000000"/>
                <w:sz w:val="20"/>
                <w:szCs w:val="20"/>
                <w:lang w:val="en-CA"/>
              </w:rPr>
              <w:t>75</w:t>
            </w:r>
          </w:p>
        </w:tc>
      </w:tr>
      <w:tr w:rsidR="00045AA9" w:rsidRPr="00A9778A" w14:paraId="7F61DA6B" w14:textId="77777777" w:rsidTr="0063050C">
        <w:trPr>
          <w:cantSplit/>
        </w:trPr>
        <w:tc>
          <w:tcPr>
            <w:tcW w:w="1059" w:type="pct"/>
            <w:shd w:val="clear" w:color="auto" w:fill="auto"/>
            <w:noWrap/>
            <w:tcMar>
              <w:left w:w="43" w:type="dxa"/>
              <w:right w:w="43" w:type="dxa"/>
            </w:tcMar>
            <w:hideMark/>
          </w:tcPr>
          <w:p w14:paraId="0D3BF390" w14:textId="77777777" w:rsidR="00045AA9" w:rsidRPr="00A9778A" w:rsidRDefault="00045AA9" w:rsidP="0063050C">
            <w:pPr>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124</w:t>
            </w:r>
          </w:p>
        </w:tc>
        <w:tc>
          <w:tcPr>
            <w:tcW w:w="654" w:type="pct"/>
          </w:tcPr>
          <w:p w14:paraId="4FFB8725" w14:textId="77777777" w:rsidR="00045AA9" w:rsidRPr="00A9778A" w:rsidRDefault="00045AA9" w:rsidP="0063050C">
            <w:pPr>
              <w:jc w:val="right"/>
              <w:rPr>
                <w:color w:val="000000"/>
                <w:sz w:val="20"/>
                <w:szCs w:val="20"/>
                <w:lang w:val="en-CA"/>
              </w:rPr>
            </w:pPr>
            <w:r>
              <w:rPr>
                <w:color w:val="000000"/>
                <w:sz w:val="20"/>
                <w:szCs w:val="20"/>
                <w:lang w:val="en-CA"/>
              </w:rPr>
              <w:t>(46,</w:t>
            </w:r>
            <w:r w:rsidRPr="00A9778A">
              <w:rPr>
                <w:color w:val="000000"/>
                <w:sz w:val="20"/>
                <w:szCs w:val="20"/>
                <w:lang w:val="en-CA"/>
              </w:rPr>
              <w:t>32</w:t>
            </w:r>
            <w:r>
              <w:rPr>
                <w:color w:val="000000"/>
                <w:sz w:val="20"/>
                <w:szCs w:val="20"/>
                <w:lang w:val="en-CA"/>
              </w:rPr>
              <w:t>)</w:t>
            </w:r>
          </w:p>
        </w:tc>
        <w:tc>
          <w:tcPr>
            <w:tcW w:w="658" w:type="pct"/>
          </w:tcPr>
          <w:p w14:paraId="7F7C7A3E" w14:textId="77777777" w:rsidR="00045AA9" w:rsidRPr="00A9778A" w:rsidRDefault="00045AA9" w:rsidP="0063050C">
            <w:pPr>
              <w:jc w:val="right"/>
              <w:rPr>
                <w:color w:val="000000"/>
                <w:sz w:val="20"/>
                <w:szCs w:val="20"/>
                <w:lang w:val="en-CA"/>
              </w:rPr>
            </w:pPr>
            <w:r>
              <w:rPr>
                <w:color w:val="000000"/>
                <w:sz w:val="20"/>
                <w:szCs w:val="20"/>
                <w:lang w:val="en-CA"/>
              </w:rPr>
              <w:t>67,</w:t>
            </w:r>
            <w:r w:rsidRPr="00A9778A">
              <w:rPr>
                <w:color w:val="000000"/>
                <w:sz w:val="20"/>
                <w:szCs w:val="20"/>
                <w:lang w:val="en-CA"/>
              </w:rPr>
              <w:t>16</w:t>
            </w:r>
          </w:p>
        </w:tc>
        <w:tc>
          <w:tcPr>
            <w:tcW w:w="658" w:type="pct"/>
          </w:tcPr>
          <w:p w14:paraId="656A9AA0" w14:textId="77777777" w:rsidR="00045AA9" w:rsidRPr="00A9778A" w:rsidRDefault="00045AA9" w:rsidP="0063050C">
            <w:pPr>
              <w:jc w:val="right"/>
              <w:rPr>
                <w:color w:val="000000"/>
                <w:sz w:val="20"/>
                <w:szCs w:val="20"/>
                <w:lang w:val="en-CA"/>
              </w:rPr>
            </w:pPr>
            <w:r>
              <w:rPr>
                <w:color w:val="000000"/>
                <w:sz w:val="20"/>
                <w:szCs w:val="20"/>
                <w:lang w:val="en-CA"/>
              </w:rPr>
              <w:t>(5,</w:t>
            </w:r>
            <w:r w:rsidRPr="00A9778A">
              <w:rPr>
                <w:color w:val="000000"/>
                <w:sz w:val="20"/>
                <w:szCs w:val="20"/>
                <w:lang w:val="en-CA"/>
              </w:rPr>
              <w:t>71)</w:t>
            </w:r>
          </w:p>
        </w:tc>
        <w:tc>
          <w:tcPr>
            <w:tcW w:w="658" w:type="pct"/>
          </w:tcPr>
          <w:p w14:paraId="45BAE0F0" w14:textId="77777777" w:rsidR="00045AA9" w:rsidRPr="00A9778A" w:rsidRDefault="00045AA9" w:rsidP="0063050C">
            <w:pPr>
              <w:jc w:val="right"/>
              <w:rPr>
                <w:color w:val="000000"/>
                <w:sz w:val="20"/>
                <w:szCs w:val="20"/>
                <w:lang w:val="en-CA"/>
              </w:rPr>
            </w:pPr>
            <w:r>
              <w:rPr>
                <w:color w:val="000000"/>
                <w:sz w:val="20"/>
                <w:szCs w:val="20"/>
                <w:lang w:val="en-CA"/>
              </w:rPr>
              <w:t>(5,</w:t>
            </w:r>
            <w:r w:rsidRPr="00A9778A">
              <w:rPr>
                <w:color w:val="000000"/>
                <w:sz w:val="20"/>
                <w:szCs w:val="20"/>
                <w:lang w:val="en-CA"/>
              </w:rPr>
              <w:t>32)</w:t>
            </w:r>
          </w:p>
        </w:tc>
        <w:tc>
          <w:tcPr>
            <w:tcW w:w="658" w:type="pct"/>
          </w:tcPr>
          <w:p w14:paraId="2D5437D9" w14:textId="77777777" w:rsidR="00045AA9" w:rsidRPr="00A9778A" w:rsidRDefault="00045AA9" w:rsidP="0063050C">
            <w:pPr>
              <w:jc w:val="right"/>
              <w:rPr>
                <w:color w:val="000000"/>
                <w:sz w:val="20"/>
                <w:szCs w:val="20"/>
                <w:lang w:val="en-CA"/>
              </w:rPr>
            </w:pPr>
            <w:r>
              <w:rPr>
                <w:color w:val="000000"/>
                <w:sz w:val="20"/>
                <w:szCs w:val="20"/>
                <w:lang w:val="en-CA"/>
              </w:rPr>
              <w:t>37,</w:t>
            </w:r>
            <w:r w:rsidRPr="00A9778A">
              <w:rPr>
                <w:color w:val="000000"/>
                <w:sz w:val="20"/>
                <w:szCs w:val="20"/>
                <w:lang w:val="en-CA"/>
              </w:rPr>
              <w:t>71</w:t>
            </w:r>
          </w:p>
        </w:tc>
        <w:tc>
          <w:tcPr>
            <w:tcW w:w="654" w:type="pct"/>
          </w:tcPr>
          <w:p w14:paraId="12EF3F73" w14:textId="77777777" w:rsidR="00045AA9" w:rsidRPr="00A9778A" w:rsidRDefault="00045AA9" w:rsidP="0063050C">
            <w:pPr>
              <w:jc w:val="right"/>
              <w:rPr>
                <w:color w:val="000000"/>
                <w:sz w:val="20"/>
                <w:szCs w:val="20"/>
                <w:lang w:val="en-CA"/>
              </w:rPr>
            </w:pPr>
            <w:r>
              <w:rPr>
                <w:color w:val="000000"/>
                <w:sz w:val="20"/>
                <w:szCs w:val="20"/>
                <w:lang w:val="en-CA"/>
              </w:rPr>
              <w:t>139,</w:t>
            </w:r>
            <w:r w:rsidRPr="00A9778A">
              <w:rPr>
                <w:color w:val="000000"/>
                <w:sz w:val="20"/>
                <w:szCs w:val="20"/>
                <w:lang w:val="en-CA"/>
              </w:rPr>
              <w:t>56</w:t>
            </w:r>
          </w:p>
        </w:tc>
      </w:tr>
      <w:tr w:rsidR="00045AA9" w:rsidRPr="00A9778A" w14:paraId="697EBF9F" w14:textId="77777777" w:rsidTr="0063050C">
        <w:trPr>
          <w:cantSplit/>
        </w:trPr>
        <w:tc>
          <w:tcPr>
            <w:tcW w:w="1059" w:type="pct"/>
            <w:shd w:val="clear" w:color="auto" w:fill="auto"/>
            <w:noWrap/>
            <w:tcMar>
              <w:left w:w="43" w:type="dxa"/>
              <w:right w:w="43" w:type="dxa"/>
            </w:tcMar>
            <w:hideMark/>
          </w:tcPr>
          <w:p w14:paraId="68052B30" w14:textId="77777777" w:rsidR="00045AA9" w:rsidRPr="00A9778A" w:rsidRDefault="00045AA9" w:rsidP="0063050C">
            <w:pPr>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142b</w:t>
            </w:r>
          </w:p>
        </w:tc>
        <w:tc>
          <w:tcPr>
            <w:tcW w:w="654" w:type="pct"/>
          </w:tcPr>
          <w:p w14:paraId="2956B511" w14:textId="77777777" w:rsidR="00045AA9" w:rsidRPr="00A9778A" w:rsidRDefault="00045AA9" w:rsidP="0063050C">
            <w:pPr>
              <w:jc w:val="right"/>
              <w:rPr>
                <w:color w:val="000000"/>
                <w:sz w:val="20"/>
                <w:szCs w:val="20"/>
                <w:lang w:val="en-CA"/>
              </w:rPr>
            </w:pPr>
            <w:r>
              <w:rPr>
                <w:color w:val="000000"/>
                <w:sz w:val="20"/>
                <w:szCs w:val="20"/>
                <w:lang w:val="en-CA"/>
              </w:rPr>
              <w:t>1 016,</w:t>
            </w:r>
            <w:r w:rsidRPr="00A9778A">
              <w:rPr>
                <w:color w:val="000000"/>
                <w:sz w:val="20"/>
                <w:szCs w:val="20"/>
                <w:lang w:val="en-CA"/>
              </w:rPr>
              <w:t>42</w:t>
            </w:r>
          </w:p>
        </w:tc>
        <w:tc>
          <w:tcPr>
            <w:tcW w:w="658" w:type="pct"/>
          </w:tcPr>
          <w:p w14:paraId="7E6D24D7" w14:textId="77777777" w:rsidR="00045AA9" w:rsidRPr="00A9778A" w:rsidRDefault="00045AA9" w:rsidP="0063050C">
            <w:pPr>
              <w:jc w:val="right"/>
              <w:rPr>
                <w:color w:val="000000"/>
                <w:sz w:val="20"/>
                <w:szCs w:val="20"/>
                <w:lang w:val="en-CA"/>
              </w:rPr>
            </w:pPr>
            <w:r>
              <w:rPr>
                <w:color w:val="000000"/>
                <w:sz w:val="20"/>
                <w:szCs w:val="20"/>
                <w:lang w:val="en-CA"/>
              </w:rPr>
              <w:t>371,</w:t>
            </w:r>
            <w:r w:rsidRPr="00A9778A">
              <w:rPr>
                <w:color w:val="000000"/>
                <w:sz w:val="20"/>
                <w:szCs w:val="20"/>
                <w:lang w:val="en-CA"/>
              </w:rPr>
              <w:t>44</w:t>
            </w:r>
          </w:p>
        </w:tc>
        <w:tc>
          <w:tcPr>
            <w:tcW w:w="658" w:type="pct"/>
          </w:tcPr>
          <w:p w14:paraId="3C2B39E0" w14:textId="77777777" w:rsidR="00045AA9" w:rsidRPr="00A9778A" w:rsidRDefault="00045AA9" w:rsidP="0063050C">
            <w:pPr>
              <w:jc w:val="right"/>
              <w:rPr>
                <w:color w:val="000000"/>
                <w:sz w:val="20"/>
                <w:szCs w:val="20"/>
                <w:lang w:val="en-CA"/>
              </w:rPr>
            </w:pPr>
            <w:r>
              <w:rPr>
                <w:color w:val="000000"/>
                <w:sz w:val="20"/>
                <w:szCs w:val="20"/>
                <w:lang w:val="en-CA"/>
              </w:rPr>
              <w:t>662,</w:t>
            </w:r>
            <w:r w:rsidRPr="00A9778A">
              <w:rPr>
                <w:color w:val="000000"/>
                <w:sz w:val="20"/>
                <w:szCs w:val="20"/>
                <w:lang w:val="en-CA"/>
              </w:rPr>
              <w:t>43</w:t>
            </w:r>
          </w:p>
        </w:tc>
        <w:tc>
          <w:tcPr>
            <w:tcW w:w="658" w:type="pct"/>
          </w:tcPr>
          <w:p w14:paraId="61582442" w14:textId="77777777" w:rsidR="00045AA9" w:rsidRPr="00A9778A" w:rsidRDefault="00045AA9" w:rsidP="0063050C">
            <w:pPr>
              <w:jc w:val="right"/>
              <w:rPr>
                <w:color w:val="000000"/>
                <w:sz w:val="20"/>
                <w:szCs w:val="20"/>
                <w:lang w:val="en-CA"/>
              </w:rPr>
            </w:pPr>
            <w:r>
              <w:rPr>
                <w:color w:val="000000"/>
                <w:sz w:val="20"/>
                <w:szCs w:val="20"/>
                <w:lang w:val="en-CA"/>
              </w:rPr>
              <w:t>276,</w:t>
            </w:r>
            <w:r w:rsidRPr="00A9778A">
              <w:rPr>
                <w:color w:val="000000"/>
                <w:sz w:val="20"/>
                <w:szCs w:val="20"/>
                <w:lang w:val="en-CA"/>
              </w:rPr>
              <w:t>97</w:t>
            </w:r>
          </w:p>
        </w:tc>
        <w:tc>
          <w:tcPr>
            <w:tcW w:w="658" w:type="pct"/>
          </w:tcPr>
          <w:p w14:paraId="0D73E8AC" w14:textId="77777777" w:rsidR="00045AA9" w:rsidRPr="00A9778A" w:rsidRDefault="00045AA9" w:rsidP="0063050C">
            <w:pPr>
              <w:jc w:val="right"/>
              <w:rPr>
                <w:color w:val="000000"/>
                <w:sz w:val="20"/>
                <w:szCs w:val="20"/>
                <w:lang w:val="en-CA"/>
              </w:rPr>
            </w:pPr>
            <w:r>
              <w:rPr>
                <w:color w:val="000000"/>
                <w:sz w:val="20"/>
                <w:szCs w:val="20"/>
                <w:lang w:val="en-CA"/>
              </w:rPr>
              <w:t>909,</w:t>
            </w:r>
            <w:r w:rsidRPr="00A9778A">
              <w:rPr>
                <w:color w:val="000000"/>
                <w:sz w:val="20"/>
                <w:szCs w:val="20"/>
                <w:lang w:val="en-CA"/>
              </w:rPr>
              <w:t>55</w:t>
            </w:r>
          </w:p>
        </w:tc>
        <w:tc>
          <w:tcPr>
            <w:tcW w:w="654" w:type="pct"/>
          </w:tcPr>
          <w:p w14:paraId="32B1C928" w14:textId="77777777" w:rsidR="00045AA9" w:rsidRPr="00A9778A" w:rsidRDefault="00045AA9" w:rsidP="0063050C">
            <w:pPr>
              <w:jc w:val="right"/>
              <w:rPr>
                <w:color w:val="000000"/>
                <w:sz w:val="20"/>
                <w:szCs w:val="20"/>
                <w:lang w:val="en-CA"/>
              </w:rPr>
            </w:pPr>
            <w:r>
              <w:rPr>
                <w:color w:val="000000"/>
                <w:sz w:val="20"/>
                <w:szCs w:val="20"/>
                <w:lang w:val="en-CA"/>
              </w:rPr>
              <w:t>5 338,</w:t>
            </w:r>
            <w:r w:rsidRPr="00A9778A">
              <w:rPr>
                <w:color w:val="000000"/>
                <w:sz w:val="20"/>
                <w:szCs w:val="20"/>
                <w:lang w:val="en-CA"/>
              </w:rPr>
              <w:t>58</w:t>
            </w:r>
          </w:p>
        </w:tc>
      </w:tr>
      <w:tr w:rsidR="00045AA9" w:rsidRPr="00A9778A" w14:paraId="0092D2E7" w14:textId="77777777" w:rsidTr="0063050C">
        <w:trPr>
          <w:cantSplit/>
        </w:trPr>
        <w:tc>
          <w:tcPr>
            <w:tcW w:w="1059" w:type="pct"/>
            <w:shd w:val="clear" w:color="auto" w:fill="auto"/>
            <w:noWrap/>
            <w:tcMar>
              <w:left w:w="43" w:type="dxa"/>
              <w:right w:w="43" w:type="dxa"/>
            </w:tcMar>
          </w:tcPr>
          <w:p w14:paraId="3E8A2A87" w14:textId="77777777" w:rsidR="00045AA9" w:rsidRPr="00A9778A" w:rsidRDefault="00045AA9" w:rsidP="0063050C">
            <w:pPr>
              <w:widowControl w:val="0"/>
              <w:jc w:val="left"/>
              <w:rPr>
                <w:color w:val="000000"/>
                <w:sz w:val="20"/>
                <w:szCs w:val="20"/>
                <w:lang w:val="en-CA"/>
              </w:rPr>
            </w:pPr>
            <w:r>
              <w:rPr>
                <w:b/>
                <w:color w:val="000000"/>
                <w:sz w:val="20"/>
                <w:szCs w:val="20"/>
                <w:lang w:val="en-CA"/>
              </w:rPr>
              <w:t>Total (</w:t>
            </w:r>
            <w:r w:rsidRPr="00A9778A">
              <w:rPr>
                <w:b/>
                <w:color w:val="000000"/>
                <w:sz w:val="20"/>
                <w:szCs w:val="20"/>
                <w:lang w:val="en-CA"/>
              </w:rPr>
              <w:t>t</w:t>
            </w:r>
            <w:r>
              <w:rPr>
                <w:b/>
                <w:color w:val="000000"/>
                <w:sz w:val="20"/>
                <w:szCs w:val="20"/>
                <w:lang w:val="en-CA"/>
              </w:rPr>
              <w:t>m</w:t>
            </w:r>
            <w:r w:rsidRPr="00A9778A">
              <w:rPr>
                <w:b/>
                <w:color w:val="000000"/>
                <w:sz w:val="20"/>
                <w:szCs w:val="20"/>
                <w:lang w:val="en-CA"/>
              </w:rPr>
              <w:t>)</w:t>
            </w:r>
          </w:p>
        </w:tc>
        <w:tc>
          <w:tcPr>
            <w:tcW w:w="654" w:type="pct"/>
          </w:tcPr>
          <w:p w14:paraId="558E48DF" w14:textId="77777777" w:rsidR="00045AA9" w:rsidRPr="00A9778A" w:rsidRDefault="00045AA9" w:rsidP="0063050C">
            <w:pPr>
              <w:jc w:val="right"/>
              <w:rPr>
                <w:b/>
                <w:color w:val="000000"/>
                <w:sz w:val="20"/>
                <w:szCs w:val="20"/>
                <w:lang w:val="en-CA"/>
              </w:rPr>
            </w:pPr>
            <w:r>
              <w:rPr>
                <w:b/>
                <w:color w:val="000000"/>
                <w:sz w:val="20"/>
                <w:szCs w:val="20"/>
                <w:lang w:val="en-CA"/>
              </w:rPr>
              <w:t>43 842,</w:t>
            </w:r>
            <w:r w:rsidRPr="00A9778A">
              <w:rPr>
                <w:b/>
                <w:color w:val="000000"/>
                <w:sz w:val="20"/>
                <w:szCs w:val="20"/>
                <w:lang w:val="en-CA"/>
              </w:rPr>
              <w:t>48</w:t>
            </w:r>
          </w:p>
        </w:tc>
        <w:tc>
          <w:tcPr>
            <w:tcW w:w="658" w:type="pct"/>
          </w:tcPr>
          <w:p w14:paraId="4E8E65F5" w14:textId="77777777" w:rsidR="00045AA9" w:rsidRPr="00A9778A" w:rsidRDefault="00045AA9" w:rsidP="0063050C">
            <w:pPr>
              <w:jc w:val="right"/>
              <w:rPr>
                <w:b/>
                <w:color w:val="000000"/>
                <w:sz w:val="20"/>
                <w:szCs w:val="20"/>
                <w:lang w:val="en-CA"/>
              </w:rPr>
            </w:pPr>
            <w:r>
              <w:rPr>
                <w:b/>
                <w:color w:val="000000"/>
                <w:sz w:val="20"/>
                <w:szCs w:val="20"/>
                <w:lang w:val="en-CA"/>
              </w:rPr>
              <w:t>48 125,</w:t>
            </w:r>
            <w:r w:rsidRPr="00A9778A">
              <w:rPr>
                <w:b/>
                <w:color w:val="000000"/>
                <w:sz w:val="20"/>
                <w:szCs w:val="20"/>
                <w:lang w:val="en-CA"/>
              </w:rPr>
              <w:t>09</w:t>
            </w:r>
          </w:p>
        </w:tc>
        <w:tc>
          <w:tcPr>
            <w:tcW w:w="658" w:type="pct"/>
          </w:tcPr>
          <w:p w14:paraId="47EA44C4" w14:textId="77777777" w:rsidR="00045AA9" w:rsidRPr="00A9778A" w:rsidRDefault="00045AA9" w:rsidP="0063050C">
            <w:pPr>
              <w:jc w:val="right"/>
              <w:rPr>
                <w:b/>
                <w:color w:val="000000"/>
                <w:sz w:val="20"/>
                <w:szCs w:val="20"/>
                <w:lang w:val="en-CA"/>
              </w:rPr>
            </w:pPr>
            <w:r>
              <w:rPr>
                <w:b/>
                <w:color w:val="000000"/>
                <w:sz w:val="20"/>
                <w:szCs w:val="20"/>
                <w:lang w:val="en-CA"/>
              </w:rPr>
              <w:t>52 486,</w:t>
            </w:r>
            <w:r w:rsidRPr="00A9778A">
              <w:rPr>
                <w:b/>
                <w:color w:val="000000"/>
                <w:sz w:val="20"/>
                <w:szCs w:val="20"/>
                <w:lang w:val="en-CA"/>
              </w:rPr>
              <w:t>66</w:t>
            </w:r>
          </w:p>
        </w:tc>
        <w:tc>
          <w:tcPr>
            <w:tcW w:w="658" w:type="pct"/>
          </w:tcPr>
          <w:p w14:paraId="015CE81A" w14:textId="77777777" w:rsidR="00045AA9" w:rsidRPr="00A9778A" w:rsidRDefault="00045AA9" w:rsidP="0063050C">
            <w:pPr>
              <w:jc w:val="right"/>
              <w:rPr>
                <w:b/>
                <w:color w:val="000000"/>
                <w:sz w:val="20"/>
                <w:szCs w:val="20"/>
                <w:lang w:val="en-CA"/>
              </w:rPr>
            </w:pPr>
            <w:r>
              <w:rPr>
                <w:b/>
                <w:color w:val="000000"/>
                <w:sz w:val="20"/>
                <w:szCs w:val="20"/>
                <w:lang w:val="en-CA"/>
              </w:rPr>
              <w:t>60 531,</w:t>
            </w:r>
            <w:r w:rsidRPr="00A9778A">
              <w:rPr>
                <w:b/>
                <w:color w:val="000000"/>
                <w:sz w:val="20"/>
                <w:szCs w:val="20"/>
                <w:lang w:val="en-CA"/>
              </w:rPr>
              <w:t>03</w:t>
            </w:r>
          </w:p>
        </w:tc>
        <w:tc>
          <w:tcPr>
            <w:tcW w:w="658" w:type="pct"/>
          </w:tcPr>
          <w:p w14:paraId="6440D934" w14:textId="77777777" w:rsidR="00045AA9" w:rsidRPr="00A9778A" w:rsidRDefault="00045AA9" w:rsidP="0063050C">
            <w:pPr>
              <w:jc w:val="right"/>
              <w:rPr>
                <w:b/>
                <w:color w:val="000000"/>
                <w:sz w:val="20"/>
                <w:szCs w:val="20"/>
                <w:lang w:val="en-CA"/>
              </w:rPr>
            </w:pPr>
            <w:r>
              <w:rPr>
                <w:b/>
                <w:color w:val="000000"/>
                <w:sz w:val="20"/>
                <w:szCs w:val="20"/>
                <w:lang w:val="en-CA"/>
              </w:rPr>
              <w:t>59 357,</w:t>
            </w:r>
            <w:r w:rsidRPr="00A9778A">
              <w:rPr>
                <w:b/>
                <w:color w:val="000000"/>
                <w:sz w:val="20"/>
                <w:szCs w:val="20"/>
                <w:lang w:val="en-CA"/>
              </w:rPr>
              <w:t>39</w:t>
            </w:r>
          </w:p>
        </w:tc>
        <w:tc>
          <w:tcPr>
            <w:tcW w:w="654" w:type="pct"/>
          </w:tcPr>
          <w:p w14:paraId="26D97CBB" w14:textId="77777777" w:rsidR="00045AA9" w:rsidRPr="00A9778A" w:rsidRDefault="00045AA9" w:rsidP="0063050C">
            <w:pPr>
              <w:jc w:val="right"/>
              <w:rPr>
                <w:b/>
                <w:color w:val="000000"/>
                <w:sz w:val="20"/>
                <w:szCs w:val="20"/>
                <w:lang w:val="en-CA"/>
              </w:rPr>
            </w:pPr>
            <w:r>
              <w:rPr>
                <w:b/>
                <w:color w:val="000000"/>
                <w:sz w:val="20"/>
                <w:szCs w:val="20"/>
                <w:lang w:val="en-CA"/>
              </w:rPr>
              <w:t>70 058,</w:t>
            </w:r>
            <w:r w:rsidRPr="00A9778A">
              <w:rPr>
                <w:b/>
                <w:color w:val="000000"/>
                <w:sz w:val="20"/>
                <w:szCs w:val="20"/>
                <w:lang w:val="en-CA"/>
              </w:rPr>
              <w:t>47</w:t>
            </w:r>
          </w:p>
        </w:tc>
      </w:tr>
      <w:tr w:rsidR="00045AA9" w:rsidRPr="00A9778A" w14:paraId="04A985A4" w14:textId="77777777" w:rsidTr="0063050C">
        <w:trPr>
          <w:cantSplit/>
        </w:trPr>
        <w:tc>
          <w:tcPr>
            <w:tcW w:w="5000" w:type="pct"/>
            <w:gridSpan w:val="7"/>
            <w:shd w:val="clear" w:color="auto" w:fill="auto"/>
            <w:noWrap/>
            <w:tcMar>
              <w:left w:w="43" w:type="dxa"/>
              <w:right w:w="43" w:type="dxa"/>
            </w:tcMar>
          </w:tcPr>
          <w:p w14:paraId="1BB1878A" w14:textId="77777777" w:rsidR="00045AA9" w:rsidRPr="00A9778A" w:rsidRDefault="00045AA9" w:rsidP="0063050C">
            <w:pPr>
              <w:jc w:val="left"/>
              <w:rPr>
                <w:color w:val="000000"/>
                <w:sz w:val="20"/>
                <w:szCs w:val="20"/>
                <w:lang w:val="en-CA"/>
              </w:rPr>
            </w:pPr>
            <w:r>
              <w:rPr>
                <w:b/>
                <w:color w:val="000000"/>
                <w:sz w:val="20"/>
                <w:szCs w:val="20"/>
                <w:lang w:val="en-CA"/>
              </w:rPr>
              <w:t>T</w:t>
            </w:r>
            <w:r w:rsidRPr="00A9778A">
              <w:rPr>
                <w:b/>
                <w:color w:val="000000"/>
                <w:sz w:val="20"/>
                <w:szCs w:val="20"/>
                <w:lang w:val="en-CA"/>
              </w:rPr>
              <w:t>onnes</w:t>
            </w:r>
            <w:r>
              <w:rPr>
                <w:b/>
                <w:color w:val="000000"/>
                <w:sz w:val="20"/>
                <w:szCs w:val="20"/>
                <w:lang w:val="en-CA"/>
              </w:rPr>
              <w:t xml:space="preserve"> PAO</w:t>
            </w:r>
          </w:p>
        </w:tc>
      </w:tr>
      <w:tr w:rsidR="00045AA9" w:rsidRPr="00A9778A" w14:paraId="5C7180F4" w14:textId="77777777" w:rsidTr="0063050C">
        <w:trPr>
          <w:cantSplit/>
        </w:trPr>
        <w:tc>
          <w:tcPr>
            <w:tcW w:w="1059" w:type="pct"/>
            <w:shd w:val="clear" w:color="auto" w:fill="auto"/>
            <w:noWrap/>
            <w:tcMar>
              <w:left w:w="43" w:type="dxa"/>
              <w:right w:w="43" w:type="dxa"/>
            </w:tcMar>
            <w:hideMark/>
          </w:tcPr>
          <w:p w14:paraId="76788EA6" w14:textId="77777777" w:rsidR="00045AA9" w:rsidRPr="00A9778A" w:rsidRDefault="00045AA9" w:rsidP="0063050C">
            <w:pPr>
              <w:widowControl w:val="0"/>
              <w:jc w:val="left"/>
              <w:rPr>
                <w:color w:val="000000"/>
                <w:sz w:val="20"/>
                <w:szCs w:val="20"/>
                <w:lang w:val="en-CA"/>
              </w:rPr>
            </w:pPr>
            <w:r>
              <w:rPr>
                <w:color w:val="000000"/>
                <w:sz w:val="20"/>
                <w:szCs w:val="20"/>
                <w:lang w:val="en-CA"/>
              </w:rPr>
              <w:t xml:space="preserve"> </w:t>
            </w:r>
            <w:r w:rsidRPr="00A9778A">
              <w:rPr>
                <w:color w:val="000000"/>
                <w:sz w:val="20"/>
                <w:szCs w:val="20"/>
                <w:lang w:val="en-CA"/>
              </w:rPr>
              <w:t>HCFC</w:t>
            </w:r>
            <w:r w:rsidRPr="00A9778A">
              <w:rPr>
                <w:color w:val="000000"/>
                <w:sz w:val="20"/>
                <w:szCs w:val="20"/>
                <w:lang w:val="en-CA"/>
              </w:rPr>
              <w:noBreakHyphen/>
              <w:t>22</w:t>
            </w:r>
          </w:p>
        </w:tc>
        <w:tc>
          <w:tcPr>
            <w:tcW w:w="654" w:type="pct"/>
          </w:tcPr>
          <w:p w14:paraId="0A0562FE" w14:textId="77777777" w:rsidR="00045AA9" w:rsidRPr="00A9778A" w:rsidRDefault="00045AA9" w:rsidP="0063050C">
            <w:pPr>
              <w:jc w:val="right"/>
              <w:rPr>
                <w:color w:val="000000"/>
                <w:sz w:val="20"/>
                <w:szCs w:val="20"/>
                <w:lang w:val="en-CA"/>
              </w:rPr>
            </w:pPr>
            <w:r>
              <w:rPr>
                <w:color w:val="000000"/>
                <w:sz w:val="20"/>
                <w:szCs w:val="20"/>
                <w:lang w:val="en-CA"/>
              </w:rPr>
              <w:t>2 340,</w:t>
            </w:r>
            <w:r w:rsidRPr="00A9778A">
              <w:rPr>
                <w:color w:val="000000"/>
                <w:sz w:val="20"/>
                <w:szCs w:val="20"/>
                <w:lang w:val="en-CA"/>
              </w:rPr>
              <w:t>66</w:t>
            </w:r>
          </w:p>
        </w:tc>
        <w:tc>
          <w:tcPr>
            <w:tcW w:w="658" w:type="pct"/>
          </w:tcPr>
          <w:p w14:paraId="0BB35CB4" w14:textId="77777777" w:rsidR="00045AA9" w:rsidRPr="00A9778A" w:rsidRDefault="00045AA9" w:rsidP="0063050C">
            <w:pPr>
              <w:jc w:val="right"/>
              <w:rPr>
                <w:color w:val="000000"/>
                <w:sz w:val="20"/>
                <w:szCs w:val="20"/>
                <w:lang w:val="en-CA"/>
              </w:rPr>
            </w:pPr>
            <w:r>
              <w:rPr>
                <w:color w:val="000000"/>
                <w:sz w:val="20"/>
                <w:szCs w:val="20"/>
                <w:lang w:val="en-CA"/>
              </w:rPr>
              <w:t>2 606,</w:t>
            </w:r>
            <w:r w:rsidRPr="00A9778A">
              <w:rPr>
                <w:color w:val="000000"/>
                <w:sz w:val="20"/>
                <w:szCs w:val="20"/>
                <w:lang w:val="en-CA"/>
              </w:rPr>
              <w:t>91</w:t>
            </w:r>
          </w:p>
        </w:tc>
        <w:tc>
          <w:tcPr>
            <w:tcW w:w="658" w:type="pct"/>
          </w:tcPr>
          <w:p w14:paraId="7AF8223B" w14:textId="77777777" w:rsidR="00045AA9" w:rsidRPr="00A9778A" w:rsidRDefault="00045AA9" w:rsidP="0063050C">
            <w:pPr>
              <w:jc w:val="right"/>
              <w:rPr>
                <w:color w:val="000000"/>
                <w:sz w:val="20"/>
                <w:szCs w:val="20"/>
                <w:lang w:val="en-CA"/>
              </w:rPr>
            </w:pPr>
            <w:r>
              <w:rPr>
                <w:color w:val="000000"/>
                <w:sz w:val="20"/>
                <w:szCs w:val="20"/>
                <w:lang w:val="en-CA"/>
              </w:rPr>
              <w:t>2 831,</w:t>
            </w:r>
            <w:r w:rsidRPr="00A9778A">
              <w:rPr>
                <w:color w:val="000000"/>
                <w:sz w:val="20"/>
                <w:szCs w:val="20"/>
                <w:lang w:val="en-CA"/>
              </w:rPr>
              <w:t>55</w:t>
            </w:r>
          </w:p>
        </w:tc>
        <w:tc>
          <w:tcPr>
            <w:tcW w:w="658" w:type="pct"/>
          </w:tcPr>
          <w:p w14:paraId="1C461E28" w14:textId="77777777" w:rsidR="00045AA9" w:rsidRPr="00A9778A" w:rsidRDefault="00045AA9" w:rsidP="0063050C">
            <w:pPr>
              <w:jc w:val="right"/>
              <w:rPr>
                <w:color w:val="000000"/>
                <w:sz w:val="20"/>
                <w:szCs w:val="20"/>
                <w:lang w:val="en-CA"/>
              </w:rPr>
            </w:pPr>
            <w:r>
              <w:rPr>
                <w:color w:val="000000"/>
                <w:sz w:val="20"/>
                <w:szCs w:val="20"/>
                <w:lang w:val="en-CA"/>
              </w:rPr>
              <w:t>3 290,</w:t>
            </w:r>
            <w:r w:rsidRPr="00A9778A">
              <w:rPr>
                <w:color w:val="000000"/>
                <w:sz w:val="20"/>
                <w:szCs w:val="20"/>
                <w:lang w:val="en-CA"/>
              </w:rPr>
              <w:t>20</w:t>
            </w:r>
          </w:p>
        </w:tc>
        <w:tc>
          <w:tcPr>
            <w:tcW w:w="658" w:type="pct"/>
          </w:tcPr>
          <w:p w14:paraId="48FFAD96" w14:textId="77777777" w:rsidR="00045AA9" w:rsidRPr="00A9778A" w:rsidRDefault="00045AA9" w:rsidP="0063050C">
            <w:pPr>
              <w:jc w:val="right"/>
              <w:rPr>
                <w:color w:val="000000"/>
                <w:sz w:val="20"/>
                <w:szCs w:val="20"/>
                <w:lang w:val="en-CA"/>
              </w:rPr>
            </w:pPr>
            <w:r>
              <w:rPr>
                <w:color w:val="000000"/>
                <w:sz w:val="20"/>
                <w:szCs w:val="20"/>
                <w:lang w:val="en-CA"/>
              </w:rPr>
              <w:t>3 190,</w:t>
            </w:r>
            <w:r w:rsidRPr="00A9778A">
              <w:rPr>
                <w:color w:val="000000"/>
                <w:sz w:val="20"/>
                <w:szCs w:val="20"/>
                <w:lang w:val="en-CA"/>
              </w:rPr>
              <w:t>31</w:t>
            </w:r>
          </w:p>
        </w:tc>
        <w:tc>
          <w:tcPr>
            <w:tcW w:w="654" w:type="pct"/>
          </w:tcPr>
          <w:p w14:paraId="13B33128" w14:textId="77777777" w:rsidR="00045AA9" w:rsidRPr="00A9778A" w:rsidRDefault="00045AA9" w:rsidP="0063050C">
            <w:pPr>
              <w:jc w:val="right"/>
              <w:rPr>
                <w:color w:val="000000"/>
                <w:sz w:val="20"/>
                <w:szCs w:val="20"/>
                <w:lang w:val="en-CA"/>
              </w:rPr>
            </w:pPr>
            <w:r>
              <w:rPr>
                <w:color w:val="000000"/>
                <w:sz w:val="20"/>
                <w:szCs w:val="20"/>
                <w:lang w:val="en-CA"/>
              </w:rPr>
              <w:t>3 545,</w:t>
            </w:r>
            <w:r w:rsidRPr="00A9778A">
              <w:rPr>
                <w:color w:val="000000"/>
                <w:sz w:val="20"/>
                <w:szCs w:val="20"/>
                <w:lang w:val="en-CA"/>
              </w:rPr>
              <w:t>68</w:t>
            </w:r>
          </w:p>
        </w:tc>
      </w:tr>
      <w:tr w:rsidR="00045AA9" w:rsidRPr="00A9778A" w14:paraId="38BDA7CA" w14:textId="77777777" w:rsidTr="0063050C">
        <w:trPr>
          <w:cantSplit/>
        </w:trPr>
        <w:tc>
          <w:tcPr>
            <w:tcW w:w="1059" w:type="pct"/>
            <w:shd w:val="clear" w:color="auto" w:fill="auto"/>
            <w:noWrap/>
            <w:tcMar>
              <w:left w:w="43" w:type="dxa"/>
              <w:right w:w="43" w:type="dxa"/>
            </w:tcMar>
            <w:hideMark/>
          </w:tcPr>
          <w:p w14:paraId="096CFE0A" w14:textId="77777777" w:rsidR="00045AA9" w:rsidRPr="00A9778A" w:rsidRDefault="00045AA9" w:rsidP="0063050C">
            <w:pPr>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123</w:t>
            </w:r>
          </w:p>
        </w:tc>
        <w:tc>
          <w:tcPr>
            <w:tcW w:w="654" w:type="pct"/>
          </w:tcPr>
          <w:p w14:paraId="355A809A" w14:textId="77777777" w:rsidR="00045AA9" w:rsidRPr="00A9778A" w:rsidRDefault="00045AA9" w:rsidP="0063050C">
            <w:pPr>
              <w:jc w:val="right"/>
              <w:rPr>
                <w:color w:val="000000"/>
                <w:sz w:val="20"/>
                <w:szCs w:val="20"/>
                <w:lang w:val="en-CA"/>
              </w:rPr>
            </w:pPr>
            <w:r>
              <w:rPr>
                <w:color w:val="000000"/>
                <w:sz w:val="20"/>
                <w:szCs w:val="20"/>
                <w:lang w:val="en-CA"/>
              </w:rPr>
              <w:t>6,</w:t>
            </w:r>
            <w:r w:rsidRPr="00A9778A">
              <w:rPr>
                <w:color w:val="000000"/>
                <w:sz w:val="20"/>
                <w:szCs w:val="20"/>
                <w:lang w:val="en-CA"/>
              </w:rPr>
              <w:t>30</w:t>
            </w:r>
          </w:p>
        </w:tc>
        <w:tc>
          <w:tcPr>
            <w:tcW w:w="658" w:type="pct"/>
          </w:tcPr>
          <w:p w14:paraId="6C046BE9" w14:textId="77777777" w:rsidR="00045AA9" w:rsidRPr="00A9778A" w:rsidRDefault="00045AA9" w:rsidP="0063050C">
            <w:pPr>
              <w:jc w:val="right"/>
              <w:rPr>
                <w:color w:val="000000"/>
                <w:sz w:val="20"/>
                <w:szCs w:val="20"/>
                <w:lang w:val="en-CA"/>
              </w:rPr>
            </w:pPr>
            <w:r>
              <w:rPr>
                <w:color w:val="000000"/>
                <w:sz w:val="20"/>
                <w:szCs w:val="20"/>
                <w:lang w:val="en-CA"/>
              </w:rPr>
              <w:t>5,</w:t>
            </w:r>
            <w:r w:rsidRPr="00A9778A">
              <w:rPr>
                <w:color w:val="000000"/>
                <w:sz w:val="20"/>
                <w:szCs w:val="20"/>
                <w:lang w:val="en-CA"/>
              </w:rPr>
              <w:t>76</w:t>
            </w:r>
          </w:p>
        </w:tc>
        <w:tc>
          <w:tcPr>
            <w:tcW w:w="658" w:type="pct"/>
          </w:tcPr>
          <w:p w14:paraId="00ACACEE" w14:textId="77777777" w:rsidR="00045AA9" w:rsidRPr="00A9778A" w:rsidRDefault="00045AA9" w:rsidP="0063050C">
            <w:pPr>
              <w:jc w:val="right"/>
              <w:rPr>
                <w:color w:val="000000"/>
                <w:sz w:val="20"/>
                <w:szCs w:val="20"/>
                <w:lang w:val="en-CA"/>
              </w:rPr>
            </w:pPr>
            <w:r>
              <w:rPr>
                <w:color w:val="000000"/>
                <w:sz w:val="20"/>
                <w:szCs w:val="20"/>
                <w:lang w:val="en-CA"/>
              </w:rPr>
              <w:t>6,</w:t>
            </w:r>
            <w:r w:rsidRPr="00A9778A">
              <w:rPr>
                <w:color w:val="000000"/>
                <w:sz w:val="20"/>
                <w:szCs w:val="20"/>
                <w:lang w:val="en-CA"/>
              </w:rPr>
              <w:t>95</w:t>
            </w:r>
          </w:p>
        </w:tc>
        <w:tc>
          <w:tcPr>
            <w:tcW w:w="658" w:type="pct"/>
          </w:tcPr>
          <w:p w14:paraId="7B72CD7F" w14:textId="77777777" w:rsidR="00045AA9" w:rsidRPr="00A9778A" w:rsidRDefault="00045AA9" w:rsidP="0063050C">
            <w:pPr>
              <w:jc w:val="right"/>
              <w:rPr>
                <w:color w:val="000000"/>
                <w:sz w:val="20"/>
                <w:szCs w:val="20"/>
                <w:lang w:val="en-CA"/>
              </w:rPr>
            </w:pPr>
            <w:r>
              <w:rPr>
                <w:color w:val="000000"/>
                <w:sz w:val="20"/>
                <w:szCs w:val="20"/>
                <w:lang w:val="en-CA"/>
              </w:rPr>
              <w:t>8,</w:t>
            </w:r>
            <w:r w:rsidRPr="00A9778A">
              <w:rPr>
                <w:color w:val="000000"/>
                <w:sz w:val="20"/>
                <w:szCs w:val="20"/>
                <w:lang w:val="en-CA"/>
              </w:rPr>
              <w:t>75</w:t>
            </w:r>
          </w:p>
        </w:tc>
        <w:tc>
          <w:tcPr>
            <w:tcW w:w="658" w:type="pct"/>
          </w:tcPr>
          <w:p w14:paraId="7E427353" w14:textId="77777777" w:rsidR="00045AA9" w:rsidRPr="00A9778A" w:rsidRDefault="00045AA9" w:rsidP="0063050C">
            <w:pPr>
              <w:jc w:val="right"/>
              <w:rPr>
                <w:color w:val="000000"/>
                <w:sz w:val="20"/>
                <w:szCs w:val="20"/>
                <w:lang w:val="en-CA"/>
              </w:rPr>
            </w:pPr>
            <w:r>
              <w:rPr>
                <w:color w:val="000000"/>
                <w:sz w:val="20"/>
                <w:szCs w:val="20"/>
                <w:lang w:val="en-CA"/>
              </w:rPr>
              <w:t>8,</w:t>
            </w:r>
            <w:r w:rsidRPr="00A9778A">
              <w:rPr>
                <w:color w:val="000000"/>
                <w:sz w:val="20"/>
                <w:szCs w:val="20"/>
                <w:lang w:val="en-CA"/>
              </w:rPr>
              <w:t>09</w:t>
            </w:r>
          </w:p>
        </w:tc>
        <w:tc>
          <w:tcPr>
            <w:tcW w:w="654" w:type="pct"/>
          </w:tcPr>
          <w:p w14:paraId="564F3C00" w14:textId="77777777" w:rsidR="00045AA9" w:rsidRPr="00A9778A" w:rsidRDefault="00045AA9" w:rsidP="0063050C">
            <w:pPr>
              <w:jc w:val="right"/>
              <w:rPr>
                <w:color w:val="000000"/>
                <w:sz w:val="20"/>
                <w:szCs w:val="20"/>
                <w:lang w:val="en-CA"/>
              </w:rPr>
            </w:pPr>
            <w:r>
              <w:rPr>
                <w:color w:val="000000"/>
                <w:sz w:val="20"/>
                <w:szCs w:val="20"/>
                <w:lang w:val="en-CA"/>
              </w:rPr>
              <w:t>2,</w:t>
            </w:r>
            <w:r w:rsidRPr="00A9778A">
              <w:rPr>
                <w:color w:val="000000"/>
                <w:sz w:val="20"/>
                <w:szCs w:val="20"/>
                <w:lang w:val="en-CA"/>
              </w:rPr>
              <w:t>30</w:t>
            </w:r>
          </w:p>
        </w:tc>
      </w:tr>
      <w:tr w:rsidR="00045AA9" w:rsidRPr="00A9778A" w14:paraId="4B6BCF62" w14:textId="77777777" w:rsidTr="0063050C">
        <w:trPr>
          <w:cantSplit/>
        </w:trPr>
        <w:tc>
          <w:tcPr>
            <w:tcW w:w="1059" w:type="pct"/>
            <w:shd w:val="clear" w:color="auto" w:fill="auto"/>
            <w:noWrap/>
            <w:tcMar>
              <w:left w:w="43" w:type="dxa"/>
              <w:right w:w="43" w:type="dxa"/>
            </w:tcMar>
            <w:hideMark/>
          </w:tcPr>
          <w:p w14:paraId="5EDAB76A" w14:textId="77777777" w:rsidR="00045AA9" w:rsidRPr="00A9778A" w:rsidRDefault="00045AA9" w:rsidP="0063050C">
            <w:pPr>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124</w:t>
            </w:r>
          </w:p>
        </w:tc>
        <w:tc>
          <w:tcPr>
            <w:tcW w:w="654" w:type="pct"/>
          </w:tcPr>
          <w:p w14:paraId="07BB3ED8" w14:textId="77777777" w:rsidR="00045AA9" w:rsidRPr="00A9778A" w:rsidRDefault="00045AA9" w:rsidP="0063050C">
            <w:pPr>
              <w:jc w:val="right"/>
              <w:rPr>
                <w:color w:val="000000"/>
                <w:sz w:val="20"/>
                <w:szCs w:val="20"/>
                <w:lang w:val="en-CA"/>
              </w:rPr>
            </w:pPr>
            <w:r>
              <w:rPr>
                <w:color w:val="000000"/>
                <w:sz w:val="20"/>
                <w:szCs w:val="20"/>
                <w:lang w:val="en-CA"/>
              </w:rPr>
              <w:t>(1,</w:t>
            </w:r>
            <w:r w:rsidRPr="00A9778A">
              <w:rPr>
                <w:color w:val="000000"/>
                <w:sz w:val="20"/>
                <w:szCs w:val="20"/>
                <w:lang w:val="en-CA"/>
              </w:rPr>
              <w:t>02)</w:t>
            </w:r>
          </w:p>
        </w:tc>
        <w:tc>
          <w:tcPr>
            <w:tcW w:w="658" w:type="pct"/>
          </w:tcPr>
          <w:p w14:paraId="35669612" w14:textId="77777777" w:rsidR="00045AA9" w:rsidRPr="00A9778A" w:rsidRDefault="00045AA9" w:rsidP="0063050C">
            <w:pPr>
              <w:jc w:val="right"/>
              <w:rPr>
                <w:color w:val="000000"/>
                <w:sz w:val="20"/>
                <w:szCs w:val="20"/>
                <w:lang w:val="en-CA"/>
              </w:rPr>
            </w:pPr>
            <w:r>
              <w:rPr>
                <w:color w:val="000000"/>
                <w:sz w:val="20"/>
                <w:szCs w:val="20"/>
                <w:lang w:val="en-CA"/>
              </w:rPr>
              <w:t>1,</w:t>
            </w:r>
            <w:r w:rsidRPr="00A9778A">
              <w:rPr>
                <w:color w:val="000000"/>
                <w:sz w:val="20"/>
                <w:szCs w:val="20"/>
                <w:lang w:val="en-CA"/>
              </w:rPr>
              <w:t>48</w:t>
            </w:r>
          </w:p>
        </w:tc>
        <w:tc>
          <w:tcPr>
            <w:tcW w:w="658" w:type="pct"/>
          </w:tcPr>
          <w:p w14:paraId="3B9813D2" w14:textId="77777777" w:rsidR="00045AA9" w:rsidRPr="00A9778A" w:rsidRDefault="00045AA9" w:rsidP="0063050C">
            <w:pPr>
              <w:jc w:val="right"/>
              <w:rPr>
                <w:color w:val="000000"/>
                <w:sz w:val="20"/>
                <w:szCs w:val="20"/>
                <w:lang w:val="en-CA"/>
              </w:rPr>
            </w:pPr>
            <w:r>
              <w:rPr>
                <w:color w:val="000000"/>
                <w:sz w:val="20"/>
                <w:szCs w:val="20"/>
                <w:lang w:val="en-CA"/>
              </w:rPr>
              <w:t>(0,</w:t>
            </w:r>
            <w:r w:rsidRPr="00A9778A">
              <w:rPr>
                <w:color w:val="000000"/>
                <w:sz w:val="20"/>
                <w:szCs w:val="20"/>
                <w:lang w:val="en-CA"/>
              </w:rPr>
              <w:t>13)</w:t>
            </w:r>
          </w:p>
        </w:tc>
        <w:tc>
          <w:tcPr>
            <w:tcW w:w="658" w:type="pct"/>
          </w:tcPr>
          <w:p w14:paraId="543D2C9D" w14:textId="77777777" w:rsidR="00045AA9" w:rsidRPr="00A9778A" w:rsidRDefault="00045AA9" w:rsidP="0063050C">
            <w:pPr>
              <w:jc w:val="right"/>
              <w:rPr>
                <w:color w:val="000000"/>
                <w:sz w:val="20"/>
                <w:szCs w:val="20"/>
                <w:lang w:val="en-CA"/>
              </w:rPr>
            </w:pPr>
            <w:r>
              <w:rPr>
                <w:color w:val="000000"/>
                <w:sz w:val="20"/>
                <w:szCs w:val="20"/>
                <w:lang w:val="en-CA"/>
              </w:rPr>
              <w:t>(0,</w:t>
            </w:r>
            <w:r w:rsidRPr="00A9778A">
              <w:rPr>
                <w:color w:val="000000"/>
                <w:sz w:val="20"/>
                <w:szCs w:val="20"/>
                <w:lang w:val="en-CA"/>
              </w:rPr>
              <w:t>12)</w:t>
            </w:r>
          </w:p>
        </w:tc>
        <w:tc>
          <w:tcPr>
            <w:tcW w:w="658" w:type="pct"/>
          </w:tcPr>
          <w:p w14:paraId="49E56E42" w14:textId="77777777" w:rsidR="00045AA9" w:rsidRPr="00A9778A" w:rsidRDefault="00045AA9" w:rsidP="0063050C">
            <w:pPr>
              <w:jc w:val="right"/>
              <w:rPr>
                <w:color w:val="000000"/>
                <w:sz w:val="20"/>
                <w:szCs w:val="20"/>
                <w:lang w:val="en-CA"/>
              </w:rPr>
            </w:pPr>
            <w:r>
              <w:rPr>
                <w:color w:val="000000"/>
                <w:sz w:val="20"/>
                <w:szCs w:val="20"/>
                <w:lang w:val="en-CA"/>
              </w:rPr>
              <w:t>0,</w:t>
            </w:r>
            <w:r w:rsidRPr="00A9778A">
              <w:rPr>
                <w:color w:val="000000"/>
                <w:sz w:val="20"/>
                <w:szCs w:val="20"/>
                <w:lang w:val="en-CA"/>
              </w:rPr>
              <w:t>75</w:t>
            </w:r>
          </w:p>
        </w:tc>
        <w:tc>
          <w:tcPr>
            <w:tcW w:w="654" w:type="pct"/>
          </w:tcPr>
          <w:p w14:paraId="01C3B10C" w14:textId="77777777" w:rsidR="00045AA9" w:rsidRPr="00A9778A" w:rsidRDefault="00045AA9" w:rsidP="0063050C">
            <w:pPr>
              <w:jc w:val="right"/>
              <w:rPr>
                <w:color w:val="000000"/>
                <w:sz w:val="20"/>
                <w:szCs w:val="20"/>
                <w:lang w:val="en-CA"/>
              </w:rPr>
            </w:pPr>
            <w:r>
              <w:rPr>
                <w:color w:val="000000"/>
                <w:sz w:val="20"/>
                <w:szCs w:val="20"/>
                <w:lang w:val="en-CA"/>
              </w:rPr>
              <w:t>3,</w:t>
            </w:r>
            <w:r w:rsidRPr="00A9778A">
              <w:rPr>
                <w:color w:val="000000"/>
                <w:sz w:val="20"/>
                <w:szCs w:val="20"/>
                <w:lang w:val="en-CA"/>
              </w:rPr>
              <w:t>05</w:t>
            </w:r>
          </w:p>
        </w:tc>
      </w:tr>
      <w:tr w:rsidR="00045AA9" w:rsidRPr="00A9778A" w14:paraId="3B2F41B5" w14:textId="77777777" w:rsidTr="0063050C">
        <w:trPr>
          <w:cantSplit/>
        </w:trPr>
        <w:tc>
          <w:tcPr>
            <w:tcW w:w="1059" w:type="pct"/>
            <w:shd w:val="clear" w:color="auto" w:fill="auto"/>
            <w:noWrap/>
            <w:tcMar>
              <w:left w:w="43" w:type="dxa"/>
              <w:right w:w="43" w:type="dxa"/>
            </w:tcMar>
            <w:hideMark/>
          </w:tcPr>
          <w:p w14:paraId="01FFBB06" w14:textId="77777777" w:rsidR="00045AA9" w:rsidRPr="00A9778A" w:rsidRDefault="00045AA9" w:rsidP="0063050C">
            <w:pPr>
              <w:widowControl w:val="0"/>
              <w:jc w:val="left"/>
              <w:rPr>
                <w:color w:val="000000"/>
                <w:sz w:val="20"/>
                <w:szCs w:val="20"/>
                <w:lang w:val="en-CA"/>
              </w:rPr>
            </w:pPr>
            <w:r w:rsidRPr="00A9778A">
              <w:rPr>
                <w:color w:val="000000"/>
                <w:sz w:val="20"/>
                <w:szCs w:val="20"/>
                <w:lang w:val="en-CA"/>
              </w:rPr>
              <w:t>HCFC</w:t>
            </w:r>
            <w:r w:rsidRPr="00A9778A">
              <w:rPr>
                <w:color w:val="000000"/>
                <w:sz w:val="20"/>
                <w:szCs w:val="20"/>
                <w:lang w:val="en-CA"/>
              </w:rPr>
              <w:noBreakHyphen/>
              <w:t>142b</w:t>
            </w:r>
          </w:p>
        </w:tc>
        <w:tc>
          <w:tcPr>
            <w:tcW w:w="654" w:type="pct"/>
          </w:tcPr>
          <w:p w14:paraId="4AB6862F" w14:textId="77777777" w:rsidR="00045AA9" w:rsidRPr="00A9778A" w:rsidRDefault="00045AA9" w:rsidP="0063050C">
            <w:pPr>
              <w:jc w:val="right"/>
              <w:rPr>
                <w:color w:val="000000"/>
                <w:sz w:val="20"/>
                <w:szCs w:val="20"/>
                <w:lang w:val="en-CA"/>
              </w:rPr>
            </w:pPr>
            <w:r>
              <w:rPr>
                <w:color w:val="000000"/>
                <w:sz w:val="20"/>
                <w:szCs w:val="20"/>
                <w:lang w:val="en-CA"/>
              </w:rPr>
              <w:t>66,</w:t>
            </w:r>
            <w:r w:rsidRPr="00A9778A">
              <w:rPr>
                <w:color w:val="000000"/>
                <w:sz w:val="20"/>
                <w:szCs w:val="20"/>
                <w:lang w:val="en-CA"/>
              </w:rPr>
              <w:t>07</w:t>
            </w:r>
          </w:p>
        </w:tc>
        <w:tc>
          <w:tcPr>
            <w:tcW w:w="658" w:type="pct"/>
          </w:tcPr>
          <w:p w14:paraId="57468AF9" w14:textId="77777777" w:rsidR="00045AA9" w:rsidRPr="00A9778A" w:rsidRDefault="00045AA9" w:rsidP="0063050C">
            <w:pPr>
              <w:jc w:val="right"/>
              <w:rPr>
                <w:color w:val="000000"/>
                <w:sz w:val="20"/>
                <w:szCs w:val="20"/>
                <w:lang w:val="en-CA"/>
              </w:rPr>
            </w:pPr>
            <w:r>
              <w:rPr>
                <w:color w:val="000000"/>
                <w:sz w:val="20"/>
                <w:szCs w:val="20"/>
                <w:lang w:val="en-CA"/>
              </w:rPr>
              <w:t>24,</w:t>
            </w:r>
            <w:r w:rsidRPr="00A9778A">
              <w:rPr>
                <w:color w:val="000000"/>
                <w:sz w:val="20"/>
                <w:szCs w:val="20"/>
                <w:lang w:val="en-CA"/>
              </w:rPr>
              <w:t>14</w:t>
            </w:r>
          </w:p>
        </w:tc>
        <w:tc>
          <w:tcPr>
            <w:tcW w:w="658" w:type="pct"/>
          </w:tcPr>
          <w:p w14:paraId="484E5164" w14:textId="77777777" w:rsidR="00045AA9" w:rsidRPr="00A9778A" w:rsidRDefault="00045AA9" w:rsidP="0063050C">
            <w:pPr>
              <w:jc w:val="right"/>
              <w:rPr>
                <w:color w:val="000000"/>
                <w:sz w:val="20"/>
                <w:szCs w:val="20"/>
                <w:lang w:val="en-CA"/>
              </w:rPr>
            </w:pPr>
            <w:r>
              <w:rPr>
                <w:color w:val="000000"/>
                <w:sz w:val="20"/>
                <w:szCs w:val="20"/>
                <w:lang w:val="en-CA"/>
              </w:rPr>
              <w:t>43,</w:t>
            </w:r>
            <w:r w:rsidRPr="00A9778A">
              <w:rPr>
                <w:color w:val="000000"/>
                <w:sz w:val="20"/>
                <w:szCs w:val="20"/>
                <w:lang w:val="en-CA"/>
              </w:rPr>
              <w:t>06</w:t>
            </w:r>
          </w:p>
        </w:tc>
        <w:tc>
          <w:tcPr>
            <w:tcW w:w="658" w:type="pct"/>
          </w:tcPr>
          <w:p w14:paraId="7F95487C" w14:textId="77777777" w:rsidR="00045AA9" w:rsidRPr="00A9778A" w:rsidRDefault="00045AA9" w:rsidP="0063050C">
            <w:pPr>
              <w:jc w:val="right"/>
              <w:rPr>
                <w:color w:val="000000"/>
                <w:sz w:val="20"/>
                <w:szCs w:val="20"/>
                <w:lang w:val="en-CA"/>
              </w:rPr>
            </w:pPr>
            <w:r w:rsidRPr="00A9778A">
              <w:rPr>
                <w:color w:val="000000"/>
                <w:sz w:val="20"/>
                <w:szCs w:val="20"/>
                <w:lang w:val="en-CA"/>
              </w:rPr>
              <w:t>18</w:t>
            </w:r>
            <w:r>
              <w:rPr>
                <w:color w:val="000000"/>
                <w:sz w:val="20"/>
                <w:szCs w:val="20"/>
                <w:lang w:val="en-CA"/>
              </w:rPr>
              <w:t>,</w:t>
            </w:r>
            <w:r w:rsidRPr="00A9778A">
              <w:rPr>
                <w:color w:val="000000"/>
                <w:sz w:val="20"/>
                <w:szCs w:val="20"/>
                <w:lang w:val="en-CA"/>
              </w:rPr>
              <w:t>00</w:t>
            </w:r>
          </w:p>
        </w:tc>
        <w:tc>
          <w:tcPr>
            <w:tcW w:w="658" w:type="pct"/>
          </w:tcPr>
          <w:p w14:paraId="1D0AB11D" w14:textId="77777777" w:rsidR="00045AA9" w:rsidRPr="00A9778A" w:rsidRDefault="00045AA9" w:rsidP="0063050C">
            <w:pPr>
              <w:jc w:val="right"/>
              <w:rPr>
                <w:color w:val="000000"/>
                <w:sz w:val="20"/>
                <w:szCs w:val="20"/>
                <w:lang w:val="en-CA"/>
              </w:rPr>
            </w:pPr>
            <w:r>
              <w:rPr>
                <w:color w:val="000000"/>
                <w:sz w:val="20"/>
                <w:szCs w:val="20"/>
                <w:lang w:val="en-CA"/>
              </w:rPr>
              <w:t>59,</w:t>
            </w:r>
            <w:r w:rsidRPr="00A9778A">
              <w:rPr>
                <w:color w:val="000000"/>
                <w:sz w:val="20"/>
                <w:szCs w:val="20"/>
                <w:lang w:val="en-CA"/>
              </w:rPr>
              <w:t>12</w:t>
            </w:r>
          </w:p>
        </w:tc>
        <w:tc>
          <w:tcPr>
            <w:tcW w:w="654" w:type="pct"/>
          </w:tcPr>
          <w:p w14:paraId="3E3966F3" w14:textId="77777777" w:rsidR="00045AA9" w:rsidRPr="00A9778A" w:rsidRDefault="00045AA9" w:rsidP="0063050C">
            <w:pPr>
              <w:jc w:val="right"/>
              <w:rPr>
                <w:color w:val="000000"/>
                <w:sz w:val="20"/>
                <w:szCs w:val="20"/>
                <w:lang w:val="en-CA"/>
              </w:rPr>
            </w:pPr>
            <w:r>
              <w:rPr>
                <w:color w:val="000000"/>
                <w:sz w:val="20"/>
                <w:szCs w:val="20"/>
                <w:lang w:val="en-CA"/>
              </w:rPr>
              <w:t>347,</w:t>
            </w:r>
            <w:r w:rsidRPr="00A9778A">
              <w:rPr>
                <w:color w:val="000000"/>
                <w:sz w:val="20"/>
                <w:szCs w:val="20"/>
                <w:lang w:val="en-CA"/>
              </w:rPr>
              <w:t>03</w:t>
            </w:r>
          </w:p>
        </w:tc>
      </w:tr>
      <w:tr w:rsidR="00045AA9" w:rsidRPr="00DE6CE9" w14:paraId="59528D75" w14:textId="77777777" w:rsidTr="0063050C">
        <w:trPr>
          <w:cantSplit/>
        </w:trPr>
        <w:tc>
          <w:tcPr>
            <w:tcW w:w="1059" w:type="pct"/>
            <w:shd w:val="clear" w:color="auto" w:fill="auto"/>
            <w:noWrap/>
            <w:tcMar>
              <w:left w:w="43" w:type="dxa"/>
              <w:right w:w="43" w:type="dxa"/>
            </w:tcMar>
          </w:tcPr>
          <w:p w14:paraId="1EF896E5" w14:textId="77777777" w:rsidR="00045AA9" w:rsidRPr="00DE6CE9" w:rsidRDefault="00045AA9" w:rsidP="0063050C">
            <w:pPr>
              <w:jc w:val="left"/>
              <w:rPr>
                <w:rFonts w:eastAsiaTheme="minorHAnsi"/>
                <w:b/>
                <w:sz w:val="20"/>
                <w:szCs w:val="20"/>
                <w:lang w:val="fr-FR"/>
              </w:rPr>
            </w:pPr>
            <w:r w:rsidRPr="00DE6CE9">
              <w:rPr>
                <w:b/>
                <w:color w:val="000000"/>
                <w:sz w:val="20"/>
                <w:szCs w:val="20"/>
                <w:lang w:val="fr-FR"/>
              </w:rPr>
              <w:t>Total (tonnes</w:t>
            </w:r>
            <w:r>
              <w:rPr>
                <w:b/>
                <w:color w:val="000000"/>
                <w:sz w:val="20"/>
                <w:szCs w:val="20"/>
                <w:lang w:val="fr-FR"/>
              </w:rPr>
              <w:t xml:space="preserve"> PAO</w:t>
            </w:r>
            <w:r w:rsidRPr="00DE6CE9">
              <w:rPr>
                <w:b/>
                <w:color w:val="000000"/>
                <w:sz w:val="20"/>
                <w:szCs w:val="20"/>
                <w:lang w:val="fr-FR"/>
              </w:rPr>
              <w:t>)</w:t>
            </w:r>
          </w:p>
        </w:tc>
        <w:tc>
          <w:tcPr>
            <w:tcW w:w="654" w:type="pct"/>
          </w:tcPr>
          <w:p w14:paraId="41C19660" w14:textId="77777777" w:rsidR="00045AA9" w:rsidRPr="00DE6CE9" w:rsidRDefault="00045AA9" w:rsidP="0063050C">
            <w:pPr>
              <w:jc w:val="right"/>
              <w:rPr>
                <w:b/>
                <w:color w:val="000000"/>
                <w:sz w:val="20"/>
                <w:szCs w:val="20"/>
                <w:lang w:val="fr-FR"/>
              </w:rPr>
            </w:pPr>
            <w:r w:rsidRPr="00DE6CE9">
              <w:rPr>
                <w:b/>
                <w:color w:val="000000"/>
                <w:sz w:val="20"/>
                <w:szCs w:val="20"/>
                <w:lang w:val="fr-FR"/>
              </w:rPr>
              <w:t>2 412,01</w:t>
            </w:r>
          </w:p>
        </w:tc>
        <w:tc>
          <w:tcPr>
            <w:tcW w:w="658" w:type="pct"/>
          </w:tcPr>
          <w:p w14:paraId="3AB2A9C8" w14:textId="77777777" w:rsidR="00045AA9" w:rsidRPr="00DE6CE9" w:rsidRDefault="00045AA9" w:rsidP="0063050C">
            <w:pPr>
              <w:jc w:val="right"/>
              <w:rPr>
                <w:b/>
                <w:color w:val="000000"/>
                <w:sz w:val="20"/>
                <w:szCs w:val="20"/>
                <w:lang w:val="fr-FR"/>
              </w:rPr>
            </w:pPr>
            <w:r w:rsidRPr="00DE6CE9">
              <w:rPr>
                <w:b/>
                <w:color w:val="000000"/>
                <w:sz w:val="20"/>
                <w:szCs w:val="20"/>
                <w:lang w:val="fr-FR"/>
              </w:rPr>
              <w:t>2 638,29</w:t>
            </w:r>
          </w:p>
        </w:tc>
        <w:tc>
          <w:tcPr>
            <w:tcW w:w="658" w:type="pct"/>
          </w:tcPr>
          <w:p w14:paraId="73282D61" w14:textId="77777777" w:rsidR="00045AA9" w:rsidRPr="00DE6CE9" w:rsidRDefault="00045AA9" w:rsidP="0063050C">
            <w:pPr>
              <w:jc w:val="right"/>
              <w:rPr>
                <w:b/>
                <w:color w:val="000000"/>
                <w:sz w:val="20"/>
                <w:szCs w:val="20"/>
                <w:lang w:val="fr-FR"/>
              </w:rPr>
            </w:pPr>
            <w:r w:rsidRPr="00DE6CE9">
              <w:rPr>
                <w:b/>
                <w:color w:val="000000"/>
                <w:sz w:val="20"/>
                <w:szCs w:val="20"/>
                <w:lang w:val="fr-FR"/>
              </w:rPr>
              <w:t>2 881,42</w:t>
            </w:r>
          </w:p>
        </w:tc>
        <w:tc>
          <w:tcPr>
            <w:tcW w:w="658" w:type="pct"/>
          </w:tcPr>
          <w:p w14:paraId="6761C644" w14:textId="77777777" w:rsidR="00045AA9" w:rsidRPr="00DE6CE9" w:rsidRDefault="00045AA9" w:rsidP="0063050C">
            <w:pPr>
              <w:jc w:val="right"/>
              <w:rPr>
                <w:b/>
                <w:color w:val="000000"/>
                <w:sz w:val="20"/>
                <w:szCs w:val="20"/>
                <w:lang w:val="fr-FR"/>
              </w:rPr>
            </w:pPr>
            <w:r w:rsidRPr="00DE6CE9">
              <w:rPr>
                <w:b/>
                <w:color w:val="000000"/>
                <w:sz w:val="20"/>
                <w:szCs w:val="20"/>
                <w:lang w:val="fr-FR"/>
              </w:rPr>
              <w:t>3 316,83</w:t>
            </w:r>
          </w:p>
        </w:tc>
        <w:tc>
          <w:tcPr>
            <w:tcW w:w="658" w:type="pct"/>
          </w:tcPr>
          <w:p w14:paraId="2D000B6D" w14:textId="77777777" w:rsidR="00045AA9" w:rsidRPr="00DE6CE9" w:rsidRDefault="00045AA9" w:rsidP="0063050C">
            <w:pPr>
              <w:jc w:val="right"/>
              <w:rPr>
                <w:b/>
                <w:color w:val="000000"/>
                <w:sz w:val="20"/>
                <w:szCs w:val="20"/>
                <w:lang w:val="fr-FR"/>
              </w:rPr>
            </w:pPr>
            <w:r w:rsidRPr="00DE6CE9">
              <w:rPr>
                <w:b/>
                <w:color w:val="000000"/>
                <w:sz w:val="20"/>
                <w:szCs w:val="20"/>
                <w:lang w:val="fr-FR"/>
              </w:rPr>
              <w:t>3 258,27</w:t>
            </w:r>
          </w:p>
        </w:tc>
        <w:tc>
          <w:tcPr>
            <w:tcW w:w="654" w:type="pct"/>
          </w:tcPr>
          <w:p w14:paraId="75C31D93" w14:textId="77777777" w:rsidR="00045AA9" w:rsidRPr="00DE6CE9" w:rsidRDefault="00045AA9" w:rsidP="0063050C">
            <w:pPr>
              <w:jc w:val="right"/>
              <w:rPr>
                <w:b/>
                <w:color w:val="000000"/>
                <w:sz w:val="20"/>
                <w:szCs w:val="20"/>
                <w:lang w:val="fr-FR"/>
              </w:rPr>
            </w:pPr>
            <w:r w:rsidRPr="00DE6CE9">
              <w:rPr>
                <w:b/>
                <w:color w:val="000000"/>
                <w:sz w:val="20"/>
                <w:szCs w:val="20"/>
                <w:lang w:val="fr-FR"/>
              </w:rPr>
              <w:t>3 898,06</w:t>
            </w:r>
          </w:p>
        </w:tc>
      </w:tr>
    </w:tbl>
    <w:p w14:paraId="4F09A17D" w14:textId="77777777" w:rsidR="00045AA9" w:rsidRPr="00DE6CE9" w:rsidRDefault="00045AA9" w:rsidP="00045AA9">
      <w:pPr>
        <w:pStyle w:val="Heading1"/>
        <w:numPr>
          <w:ilvl w:val="0"/>
          <w:numId w:val="0"/>
        </w:numPr>
        <w:rPr>
          <w:rFonts w:eastAsia="SimSun"/>
          <w:sz w:val="18"/>
          <w:szCs w:val="18"/>
          <w:lang w:val="fr-FR"/>
        </w:rPr>
      </w:pPr>
      <w:r w:rsidRPr="00DE6CE9">
        <w:rPr>
          <w:rFonts w:eastAsia="SimSun"/>
          <w:sz w:val="18"/>
          <w:szCs w:val="18"/>
          <w:lang w:val="fr-FR"/>
        </w:rPr>
        <w:t>* Consommation moyenne en 2009 et 2010.</w:t>
      </w:r>
    </w:p>
    <w:p w14:paraId="3F850609" w14:textId="77777777" w:rsidR="00045AA9" w:rsidRPr="00DE6CE9" w:rsidRDefault="00045AA9" w:rsidP="00045AA9">
      <w:pPr>
        <w:pStyle w:val="Heading1"/>
        <w:numPr>
          <w:ilvl w:val="0"/>
          <w:numId w:val="15"/>
        </w:numPr>
        <w:rPr>
          <w:rFonts w:eastAsia="SimSun"/>
          <w:lang w:val="fr-FR"/>
        </w:rPr>
      </w:pPr>
      <w:r w:rsidRPr="00DE6CE9">
        <w:rPr>
          <w:lang w:val="fr-FR"/>
        </w:rPr>
        <w:t xml:space="preserve">Tandis que l’on </w:t>
      </w:r>
      <w:r>
        <w:rPr>
          <w:lang w:val="fr-FR"/>
        </w:rPr>
        <w:t>a enregistré</w:t>
      </w:r>
      <w:r w:rsidRPr="00DE6CE9">
        <w:rPr>
          <w:lang w:val="fr-FR"/>
        </w:rPr>
        <w:t xml:space="preserve"> une tendance à la hausse depuis 2016, la consommation de 2019 était inférieure à la consommation maximale autorisée dans l’Accord entre le gouvernement de la Chine et le Comité exécutif.</w:t>
      </w:r>
      <w:r w:rsidRPr="00DE6CE9">
        <w:rPr>
          <w:rFonts w:eastAsia="SimSun"/>
          <w:lang w:val="fr-FR"/>
        </w:rPr>
        <w:t xml:space="preserve"> La baisse globale de la consommation de HCFC est attribuée à la sensibilisation accrue des techniciens d’entretien, à l’amélioration des connaissances et des </w:t>
      </w:r>
      <w:r>
        <w:rPr>
          <w:rFonts w:eastAsia="SimSun"/>
          <w:lang w:val="fr-FR"/>
        </w:rPr>
        <w:t>compé</w:t>
      </w:r>
      <w:r w:rsidRPr="00DE6CE9">
        <w:rPr>
          <w:rFonts w:eastAsia="SimSun"/>
          <w:lang w:val="fr-FR"/>
        </w:rPr>
        <w:t>tences techniques à la fois pour l’installation et l’entretien, ce qui a entrainé une diminution du taux de défaillance des équipements, un taux de fuites réduit, une recharge réduite de frigorigène, un taux accru de ré</w:t>
      </w:r>
      <w:r>
        <w:rPr>
          <w:rFonts w:eastAsia="SimSun"/>
          <w:lang w:val="fr-FR"/>
        </w:rPr>
        <w:t>cupé</w:t>
      </w:r>
      <w:r w:rsidRPr="00DE6CE9">
        <w:rPr>
          <w:rFonts w:eastAsia="SimSun"/>
          <w:lang w:val="fr-FR"/>
        </w:rPr>
        <w:t>ration et de réutilisation des frigorigènes; et des progrès d</w:t>
      </w:r>
      <w:r>
        <w:rPr>
          <w:rFonts w:eastAsia="SimSun"/>
          <w:lang w:val="fr-FR"/>
        </w:rPr>
        <w:t xml:space="preserve">ans </w:t>
      </w:r>
      <w:r w:rsidRPr="00DE6CE9">
        <w:rPr>
          <w:rFonts w:eastAsia="SimSun"/>
          <w:lang w:val="fr-FR"/>
        </w:rPr>
        <w:t xml:space="preserve"> la reconversion </w:t>
      </w:r>
      <w:r>
        <w:rPr>
          <w:rFonts w:eastAsia="SimSun"/>
          <w:lang w:val="fr-FR"/>
        </w:rPr>
        <w:t xml:space="preserve">des chaines de fabrication de climatiseurs </w:t>
      </w:r>
      <w:r w:rsidRPr="00DE6CE9">
        <w:rPr>
          <w:lang w:val="fr-FR"/>
        </w:rPr>
        <w:t>in</w:t>
      </w:r>
      <w:r>
        <w:rPr>
          <w:lang w:val="fr-FR"/>
        </w:rPr>
        <w:t xml:space="preserve">dividuels et des </w:t>
      </w:r>
      <w:r w:rsidRPr="00696A68">
        <w:rPr>
          <w:lang w:val="fr-FR"/>
        </w:rPr>
        <w:t>réchauffeurs d’eau à</w:t>
      </w:r>
      <w:r>
        <w:rPr>
          <w:lang w:val="fr-FR"/>
        </w:rPr>
        <w:t xml:space="preserve"> pompe thermique (RAC) et dans les secteurs de fabrication d’équipements de climatisation et de réfrigération industrielle et commerciale </w:t>
      </w:r>
      <w:r w:rsidRPr="00DE6CE9">
        <w:rPr>
          <w:lang w:val="fr-FR"/>
        </w:rPr>
        <w:t>(ICR)</w:t>
      </w:r>
      <w:r>
        <w:rPr>
          <w:lang w:val="fr-FR"/>
        </w:rPr>
        <w:t>, avec pour résultat l’arrivée d’un plus grand nombre de produits sans HCFC</w:t>
      </w:r>
      <w:r w:rsidRPr="00DE6CE9">
        <w:rPr>
          <w:lang w:val="fr-FR"/>
        </w:rPr>
        <w:t xml:space="preserve"> </w:t>
      </w:r>
      <w:r>
        <w:rPr>
          <w:lang w:val="fr-FR"/>
        </w:rPr>
        <w:t xml:space="preserve">sur le marché local. La part de marché de l’équipement de réfrigération et de climatisation à base de </w:t>
      </w:r>
      <w:r w:rsidRPr="00DE6CE9">
        <w:rPr>
          <w:lang w:val="fr-FR"/>
        </w:rPr>
        <w:t xml:space="preserve">HFC-32 </w:t>
      </w:r>
      <w:r>
        <w:rPr>
          <w:lang w:val="fr-FR"/>
        </w:rPr>
        <w:t>et de</w:t>
      </w:r>
      <w:r w:rsidRPr="00DE6CE9">
        <w:rPr>
          <w:lang w:val="fr-FR"/>
        </w:rPr>
        <w:t xml:space="preserve"> R-410A </w:t>
      </w:r>
      <w:r>
        <w:rPr>
          <w:lang w:val="fr-FR"/>
        </w:rPr>
        <w:t>avec des convertisseurs a considérablement augmenté en Chine.</w:t>
      </w:r>
    </w:p>
    <w:p w14:paraId="6D456800" w14:textId="77777777" w:rsidR="00045AA9" w:rsidRPr="00DE6CE9" w:rsidRDefault="00045AA9" w:rsidP="00045AA9">
      <w:pPr>
        <w:rPr>
          <w:u w:val="single"/>
          <w:lang w:val="fr-FR"/>
        </w:rPr>
      </w:pPr>
      <w:r>
        <w:rPr>
          <w:u w:val="single"/>
          <w:lang w:val="fr-FR"/>
        </w:rPr>
        <w:t xml:space="preserve">Objectifs de consommation de </w:t>
      </w:r>
      <w:r w:rsidRPr="00DE6CE9">
        <w:rPr>
          <w:u w:val="single"/>
          <w:lang w:val="fr-FR"/>
        </w:rPr>
        <w:t xml:space="preserve">HCFC </w:t>
      </w:r>
    </w:p>
    <w:p w14:paraId="1AB3B4F3" w14:textId="77777777" w:rsidR="00045AA9" w:rsidRPr="00DE6CE9" w:rsidRDefault="00045AA9" w:rsidP="00045AA9">
      <w:pPr>
        <w:rPr>
          <w:lang w:val="fr-FR"/>
        </w:rPr>
      </w:pPr>
    </w:p>
    <w:p w14:paraId="7B3185F2" w14:textId="77777777" w:rsidR="00045AA9" w:rsidRPr="00DE6CE9" w:rsidRDefault="00045AA9" w:rsidP="00045AA9">
      <w:pPr>
        <w:pStyle w:val="Heading1"/>
        <w:numPr>
          <w:ilvl w:val="0"/>
          <w:numId w:val="15"/>
        </w:numPr>
        <w:rPr>
          <w:lang w:val="fr-FR"/>
        </w:rPr>
      </w:pPr>
      <w:r>
        <w:rPr>
          <w:lang w:val="fr-FR"/>
        </w:rPr>
        <w:t>Les objectifs de consommation de</w:t>
      </w:r>
      <w:r w:rsidRPr="00DE6CE9">
        <w:rPr>
          <w:lang w:val="fr-FR"/>
        </w:rPr>
        <w:t xml:space="preserve"> HCFC</w:t>
      </w:r>
      <w:r>
        <w:rPr>
          <w:lang w:val="fr-FR"/>
        </w:rPr>
        <w:t xml:space="preserve"> pour le secteur de l’entretien de l’équipement de réfrigération sont présentés au tableau</w:t>
      </w:r>
      <w:r w:rsidRPr="00DE6CE9">
        <w:rPr>
          <w:lang w:val="fr-FR"/>
        </w:rPr>
        <w:t> 2.</w:t>
      </w:r>
    </w:p>
    <w:p w14:paraId="35EC938B" w14:textId="77777777" w:rsidR="00045AA9" w:rsidRPr="00361FCC" w:rsidRDefault="00045AA9" w:rsidP="00045AA9">
      <w:pPr>
        <w:pStyle w:val="Heading1"/>
        <w:keepNext/>
        <w:keepLines/>
        <w:numPr>
          <w:ilvl w:val="0"/>
          <w:numId w:val="0"/>
        </w:numPr>
        <w:spacing w:after="0"/>
        <w:rPr>
          <w:b/>
          <w:sz w:val="20"/>
          <w:szCs w:val="20"/>
          <w:lang w:val="fr-FR"/>
        </w:rPr>
      </w:pPr>
      <w:r w:rsidRPr="00361FCC">
        <w:rPr>
          <w:b/>
          <w:sz w:val="20"/>
          <w:szCs w:val="20"/>
          <w:lang w:val="fr-FR"/>
        </w:rPr>
        <w:t>Tableau 2. Objectifs d’élimination des HCFC pour le secteur de l</w:t>
      </w:r>
      <w:r>
        <w:rPr>
          <w:b/>
          <w:sz w:val="20"/>
          <w:szCs w:val="20"/>
          <w:lang w:val="fr-FR"/>
        </w:rPr>
        <w:t>’entretien de</w:t>
      </w:r>
      <w:r w:rsidRPr="00361FCC">
        <w:rPr>
          <w:b/>
          <w:sz w:val="20"/>
          <w:szCs w:val="20"/>
          <w:lang w:val="fr-FR"/>
        </w:rPr>
        <w:t xml:space="preserve"> </w:t>
      </w:r>
      <w:r>
        <w:rPr>
          <w:b/>
          <w:sz w:val="20"/>
          <w:szCs w:val="20"/>
          <w:lang w:val="fr-FR"/>
        </w:rPr>
        <w:t>l’équipement</w:t>
      </w:r>
      <w:r w:rsidRPr="00361FCC">
        <w:rPr>
          <w:b/>
          <w:sz w:val="20"/>
          <w:szCs w:val="20"/>
          <w:lang w:val="fr-FR"/>
        </w:rPr>
        <w:t xml:space="preserve"> de réfrigération en Chine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40"/>
        <w:gridCol w:w="1140"/>
        <w:gridCol w:w="1140"/>
        <w:gridCol w:w="1140"/>
        <w:gridCol w:w="1140"/>
        <w:gridCol w:w="1140"/>
      </w:tblGrid>
      <w:tr w:rsidR="00045AA9" w:rsidRPr="00DE6CE9" w14:paraId="05945C64" w14:textId="77777777" w:rsidTr="0063050C">
        <w:tc>
          <w:tcPr>
            <w:tcW w:w="2605" w:type="dxa"/>
            <w:tcBorders>
              <w:top w:val="single" w:sz="4" w:space="0" w:color="auto"/>
              <w:left w:val="single" w:sz="4" w:space="0" w:color="auto"/>
              <w:bottom w:val="single" w:sz="4" w:space="0" w:color="auto"/>
              <w:right w:val="single" w:sz="4" w:space="0" w:color="auto"/>
            </w:tcBorders>
            <w:vAlign w:val="center"/>
          </w:tcPr>
          <w:p w14:paraId="4FE5146F" w14:textId="77777777" w:rsidR="00045AA9" w:rsidRPr="00DE6CE9" w:rsidRDefault="00045AA9" w:rsidP="0063050C">
            <w:pPr>
              <w:keepNext/>
              <w:keepLines/>
              <w:rPr>
                <w:rFonts w:eastAsia="SimSun"/>
                <w:b/>
                <w:sz w:val="20"/>
                <w:szCs w:val="20"/>
                <w:lang w:val="fr-FR"/>
              </w:rPr>
            </w:pPr>
            <w:r>
              <w:rPr>
                <w:rFonts w:eastAsia="SimSun"/>
                <w:b/>
                <w:sz w:val="20"/>
                <w:szCs w:val="20"/>
                <w:lang w:val="fr-FR"/>
              </w:rPr>
              <w:t xml:space="preserve">Consommation maximale </w:t>
            </w:r>
          </w:p>
        </w:tc>
        <w:tc>
          <w:tcPr>
            <w:tcW w:w="1140" w:type="dxa"/>
            <w:tcBorders>
              <w:top w:val="single" w:sz="4" w:space="0" w:color="auto"/>
              <w:left w:val="single" w:sz="4" w:space="0" w:color="auto"/>
              <w:bottom w:val="single" w:sz="4" w:space="0" w:color="auto"/>
              <w:right w:val="single" w:sz="4" w:space="0" w:color="auto"/>
            </w:tcBorders>
            <w:vAlign w:val="center"/>
          </w:tcPr>
          <w:p w14:paraId="224DD778" w14:textId="77777777" w:rsidR="00045AA9" w:rsidRPr="00DE6CE9" w:rsidRDefault="00045AA9" w:rsidP="0063050C">
            <w:pPr>
              <w:keepNext/>
              <w:keepLines/>
              <w:jc w:val="center"/>
              <w:rPr>
                <w:rFonts w:eastAsia="SimSun"/>
                <w:b/>
                <w:sz w:val="20"/>
                <w:szCs w:val="20"/>
                <w:lang w:val="fr-FR"/>
              </w:rPr>
            </w:pPr>
            <w:r w:rsidRPr="00DE6CE9">
              <w:rPr>
                <w:rFonts w:eastAsia="SimSun"/>
                <w:b/>
                <w:sz w:val="20"/>
                <w:szCs w:val="20"/>
                <w:lang w:val="fr-FR"/>
              </w:rPr>
              <w:t>2021</w:t>
            </w:r>
          </w:p>
        </w:tc>
        <w:tc>
          <w:tcPr>
            <w:tcW w:w="1140" w:type="dxa"/>
            <w:tcBorders>
              <w:top w:val="single" w:sz="4" w:space="0" w:color="auto"/>
              <w:left w:val="single" w:sz="4" w:space="0" w:color="auto"/>
              <w:bottom w:val="single" w:sz="4" w:space="0" w:color="auto"/>
              <w:right w:val="single" w:sz="4" w:space="0" w:color="auto"/>
            </w:tcBorders>
            <w:vAlign w:val="center"/>
          </w:tcPr>
          <w:p w14:paraId="1F4FD4B6" w14:textId="77777777" w:rsidR="00045AA9" w:rsidRPr="00DE6CE9" w:rsidRDefault="00045AA9" w:rsidP="0063050C">
            <w:pPr>
              <w:keepNext/>
              <w:keepLines/>
              <w:jc w:val="center"/>
              <w:rPr>
                <w:rFonts w:eastAsia="SimSun"/>
                <w:b/>
                <w:sz w:val="20"/>
                <w:szCs w:val="20"/>
                <w:lang w:val="fr-FR"/>
              </w:rPr>
            </w:pPr>
            <w:r w:rsidRPr="00DE6CE9">
              <w:rPr>
                <w:rFonts w:eastAsia="SimSun"/>
                <w:b/>
                <w:sz w:val="20"/>
                <w:szCs w:val="20"/>
                <w:lang w:val="fr-FR"/>
              </w:rPr>
              <w:t>2022</w:t>
            </w:r>
          </w:p>
        </w:tc>
        <w:tc>
          <w:tcPr>
            <w:tcW w:w="1140" w:type="dxa"/>
            <w:tcBorders>
              <w:top w:val="single" w:sz="4" w:space="0" w:color="auto"/>
              <w:left w:val="single" w:sz="4" w:space="0" w:color="auto"/>
              <w:bottom w:val="single" w:sz="4" w:space="0" w:color="auto"/>
              <w:right w:val="single" w:sz="4" w:space="0" w:color="auto"/>
            </w:tcBorders>
            <w:vAlign w:val="center"/>
          </w:tcPr>
          <w:p w14:paraId="54A013D8" w14:textId="77777777" w:rsidR="00045AA9" w:rsidRPr="00DE6CE9" w:rsidRDefault="00045AA9" w:rsidP="0063050C">
            <w:pPr>
              <w:keepNext/>
              <w:keepLines/>
              <w:jc w:val="center"/>
              <w:rPr>
                <w:rFonts w:eastAsia="SimSun"/>
                <w:b/>
                <w:sz w:val="20"/>
                <w:szCs w:val="20"/>
                <w:lang w:val="fr-FR"/>
              </w:rPr>
            </w:pPr>
            <w:r w:rsidRPr="00DE6CE9">
              <w:rPr>
                <w:rFonts w:eastAsia="SimSun"/>
                <w:b/>
                <w:sz w:val="20"/>
                <w:szCs w:val="20"/>
                <w:lang w:val="fr-FR"/>
              </w:rPr>
              <w:t>2023</w:t>
            </w:r>
          </w:p>
        </w:tc>
        <w:tc>
          <w:tcPr>
            <w:tcW w:w="1140" w:type="dxa"/>
            <w:tcBorders>
              <w:top w:val="single" w:sz="4" w:space="0" w:color="auto"/>
              <w:left w:val="single" w:sz="4" w:space="0" w:color="auto"/>
              <w:bottom w:val="single" w:sz="4" w:space="0" w:color="auto"/>
              <w:right w:val="single" w:sz="4" w:space="0" w:color="auto"/>
            </w:tcBorders>
            <w:vAlign w:val="center"/>
          </w:tcPr>
          <w:p w14:paraId="1C263B7C" w14:textId="77777777" w:rsidR="00045AA9" w:rsidRPr="00DE6CE9" w:rsidRDefault="00045AA9" w:rsidP="0063050C">
            <w:pPr>
              <w:keepNext/>
              <w:keepLines/>
              <w:jc w:val="center"/>
              <w:rPr>
                <w:rFonts w:eastAsia="SimSun"/>
                <w:b/>
                <w:sz w:val="20"/>
                <w:szCs w:val="20"/>
                <w:lang w:val="fr-FR"/>
              </w:rPr>
            </w:pPr>
            <w:r w:rsidRPr="00DE6CE9">
              <w:rPr>
                <w:rFonts w:eastAsia="SimSun"/>
                <w:b/>
                <w:sz w:val="20"/>
                <w:szCs w:val="20"/>
                <w:lang w:val="fr-FR"/>
              </w:rPr>
              <w:t>2024</w:t>
            </w:r>
          </w:p>
        </w:tc>
        <w:tc>
          <w:tcPr>
            <w:tcW w:w="1140" w:type="dxa"/>
            <w:tcBorders>
              <w:top w:val="single" w:sz="4" w:space="0" w:color="auto"/>
              <w:left w:val="single" w:sz="4" w:space="0" w:color="auto"/>
              <w:bottom w:val="single" w:sz="4" w:space="0" w:color="auto"/>
              <w:right w:val="single" w:sz="4" w:space="0" w:color="auto"/>
            </w:tcBorders>
            <w:vAlign w:val="center"/>
          </w:tcPr>
          <w:p w14:paraId="01C4BAC0" w14:textId="77777777" w:rsidR="00045AA9" w:rsidRPr="00DE6CE9" w:rsidRDefault="00045AA9" w:rsidP="0063050C">
            <w:pPr>
              <w:keepNext/>
              <w:keepLines/>
              <w:jc w:val="center"/>
              <w:rPr>
                <w:rFonts w:eastAsia="SimSun"/>
                <w:b/>
                <w:sz w:val="20"/>
                <w:szCs w:val="20"/>
                <w:lang w:val="fr-FR"/>
              </w:rPr>
            </w:pPr>
            <w:r w:rsidRPr="00DE6CE9">
              <w:rPr>
                <w:rFonts w:eastAsia="SimSun"/>
                <w:b/>
                <w:sz w:val="20"/>
                <w:szCs w:val="20"/>
                <w:lang w:val="fr-FR"/>
              </w:rPr>
              <w:t>2025</w:t>
            </w:r>
          </w:p>
        </w:tc>
        <w:tc>
          <w:tcPr>
            <w:tcW w:w="1140" w:type="dxa"/>
            <w:tcBorders>
              <w:top w:val="single" w:sz="4" w:space="0" w:color="auto"/>
              <w:left w:val="single" w:sz="4" w:space="0" w:color="auto"/>
              <w:bottom w:val="single" w:sz="4" w:space="0" w:color="auto"/>
              <w:right w:val="single" w:sz="4" w:space="0" w:color="auto"/>
            </w:tcBorders>
            <w:vAlign w:val="center"/>
          </w:tcPr>
          <w:p w14:paraId="733CFBCA" w14:textId="77777777" w:rsidR="00045AA9" w:rsidRPr="00DE6CE9" w:rsidRDefault="00045AA9" w:rsidP="0063050C">
            <w:pPr>
              <w:keepNext/>
              <w:keepLines/>
              <w:jc w:val="center"/>
              <w:rPr>
                <w:rFonts w:eastAsia="SimSun"/>
                <w:b/>
                <w:sz w:val="20"/>
                <w:szCs w:val="20"/>
                <w:lang w:val="fr-FR"/>
              </w:rPr>
            </w:pPr>
            <w:r w:rsidRPr="00DE6CE9">
              <w:rPr>
                <w:rFonts w:eastAsia="SimSun"/>
                <w:b/>
                <w:sz w:val="20"/>
                <w:szCs w:val="20"/>
                <w:lang w:val="fr-FR"/>
              </w:rPr>
              <w:t>2026</w:t>
            </w:r>
          </w:p>
        </w:tc>
      </w:tr>
      <w:tr w:rsidR="00045AA9" w:rsidRPr="00DE6CE9" w14:paraId="64D94345" w14:textId="77777777" w:rsidTr="0063050C">
        <w:tc>
          <w:tcPr>
            <w:tcW w:w="2605" w:type="dxa"/>
            <w:tcBorders>
              <w:top w:val="single" w:sz="4" w:space="0" w:color="auto"/>
              <w:left w:val="single" w:sz="4" w:space="0" w:color="auto"/>
              <w:bottom w:val="single" w:sz="4" w:space="0" w:color="auto"/>
              <w:right w:val="single" w:sz="4" w:space="0" w:color="auto"/>
            </w:tcBorders>
            <w:vAlign w:val="center"/>
          </w:tcPr>
          <w:p w14:paraId="27A91104" w14:textId="77777777" w:rsidR="00045AA9" w:rsidRPr="00DE6CE9" w:rsidRDefault="00045AA9" w:rsidP="0063050C">
            <w:pPr>
              <w:keepNext/>
              <w:keepLines/>
              <w:rPr>
                <w:rFonts w:eastAsia="SimSun"/>
                <w:sz w:val="20"/>
                <w:szCs w:val="20"/>
                <w:lang w:val="fr-FR"/>
              </w:rPr>
            </w:pPr>
            <w:bookmarkStart w:id="11" w:name="_Hlk49942359"/>
            <w:r>
              <w:rPr>
                <w:rFonts w:eastAsia="SimSun"/>
                <w:sz w:val="20"/>
                <w:szCs w:val="20"/>
                <w:lang w:val="fr-FR"/>
              </w:rPr>
              <w:t>T</w:t>
            </w:r>
            <w:r w:rsidRPr="00DE6CE9">
              <w:rPr>
                <w:rFonts w:eastAsia="SimSun"/>
                <w:sz w:val="20"/>
                <w:szCs w:val="20"/>
                <w:lang w:val="fr-FR"/>
              </w:rPr>
              <w:t>on</w:t>
            </w:r>
            <w:bookmarkEnd w:id="11"/>
            <w:r w:rsidRPr="00DE6CE9">
              <w:rPr>
                <w:rFonts w:eastAsia="SimSun"/>
                <w:sz w:val="20"/>
                <w:szCs w:val="20"/>
                <w:lang w:val="fr-FR"/>
              </w:rPr>
              <w:t>nes</w:t>
            </w:r>
            <w:r>
              <w:rPr>
                <w:rFonts w:eastAsia="SimSun"/>
                <w:sz w:val="20"/>
                <w:szCs w:val="20"/>
                <w:lang w:val="fr-FR"/>
              </w:rPr>
              <w:t xml:space="preserve"> PAO</w:t>
            </w:r>
          </w:p>
        </w:tc>
        <w:tc>
          <w:tcPr>
            <w:tcW w:w="1140" w:type="dxa"/>
            <w:tcBorders>
              <w:top w:val="single" w:sz="4" w:space="0" w:color="auto"/>
              <w:left w:val="single" w:sz="4" w:space="0" w:color="auto"/>
              <w:bottom w:val="single" w:sz="4" w:space="0" w:color="auto"/>
              <w:right w:val="single" w:sz="4" w:space="0" w:color="auto"/>
            </w:tcBorders>
          </w:tcPr>
          <w:p w14:paraId="1BFE9222"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3 </w:t>
            </w:r>
            <w:r w:rsidRPr="00DE6CE9">
              <w:rPr>
                <w:rFonts w:eastAsia="SimSun"/>
                <w:sz w:val="20"/>
                <w:szCs w:val="20"/>
                <w:lang w:val="fr-FR"/>
              </w:rPr>
              <w:t>000</w:t>
            </w:r>
          </w:p>
        </w:tc>
        <w:tc>
          <w:tcPr>
            <w:tcW w:w="1140" w:type="dxa"/>
            <w:tcBorders>
              <w:top w:val="single" w:sz="4" w:space="0" w:color="auto"/>
              <w:left w:val="single" w:sz="4" w:space="0" w:color="auto"/>
              <w:bottom w:val="single" w:sz="4" w:space="0" w:color="auto"/>
              <w:right w:val="single" w:sz="4" w:space="0" w:color="auto"/>
            </w:tcBorders>
          </w:tcPr>
          <w:p w14:paraId="1038E75D"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3 </w:t>
            </w:r>
            <w:r w:rsidRPr="00DE6CE9">
              <w:rPr>
                <w:rFonts w:eastAsia="SimSun"/>
                <w:sz w:val="20"/>
                <w:szCs w:val="20"/>
                <w:lang w:val="fr-FR"/>
              </w:rPr>
              <w:t>000</w:t>
            </w:r>
          </w:p>
        </w:tc>
        <w:tc>
          <w:tcPr>
            <w:tcW w:w="1140" w:type="dxa"/>
            <w:tcBorders>
              <w:top w:val="single" w:sz="4" w:space="0" w:color="auto"/>
              <w:left w:val="single" w:sz="4" w:space="0" w:color="auto"/>
              <w:bottom w:val="single" w:sz="4" w:space="0" w:color="auto"/>
              <w:right w:val="single" w:sz="4" w:space="0" w:color="auto"/>
            </w:tcBorders>
          </w:tcPr>
          <w:p w14:paraId="7210996C"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3 </w:t>
            </w:r>
            <w:r w:rsidRPr="00DE6CE9">
              <w:rPr>
                <w:rFonts w:eastAsia="SimSun"/>
                <w:sz w:val="20"/>
                <w:szCs w:val="20"/>
                <w:lang w:val="fr-FR"/>
              </w:rPr>
              <w:t>000</w:t>
            </w:r>
          </w:p>
        </w:tc>
        <w:tc>
          <w:tcPr>
            <w:tcW w:w="1140" w:type="dxa"/>
            <w:tcBorders>
              <w:top w:val="single" w:sz="4" w:space="0" w:color="auto"/>
              <w:left w:val="single" w:sz="4" w:space="0" w:color="auto"/>
              <w:bottom w:val="single" w:sz="4" w:space="0" w:color="auto"/>
              <w:right w:val="single" w:sz="4" w:space="0" w:color="auto"/>
            </w:tcBorders>
          </w:tcPr>
          <w:p w14:paraId="01DABEBF"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3 </w:t>
            </w:r>
            <w:r w:rsidRPr="00DE6CE9">
              <w:rPr>
                <w:rFonts w:eastAsia="SimSun"/>
                <w:sz w:val="20"/>
                <w:szCs w:val="20"/>
                <w:lang w:val="fr-FR"/>
              </w:rPr>
              <w:t>000</w:t>
            </w:r>
          </w:p>
        </w:tc>
        <w:tc>
          <w:tcPr>
            <w:tcW w:w="1140" w:type="dxa"/>
            <w:tcBorders>
              <w:top w:val="single" w:sz="4" w:space="0" w:color="auto"/>
              <w:left w:val="single" w:sz="4" w:space="0" w:color="auto"/>
              <w:bottom w:val="single" w:sz="4" w:space="0" w:color="auto"/>
              <w:right w:val="single" w:sz="4" w:space="0" w:color="auto"/>
            </w:tcBorders>
          </w:tcPr>
          <w:p w14:paraId="3FD45843"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2 </w:t>
            </w:r>
            <w:r w:rsidRPr="00DE6CE9">
              <w:rPr>
                <w:rFonts w:eastAsia="SimSun"/>
                <w:sz w:val="20"/>
                <w:szCs w:val="20"/>
                <w:lang w:val="fr-FR"/>
              </w:rPr>
              <w:t>500</w:t>
            </w:r>
          </w:p>
        </w:tc>
        <w:tc>
          <w:tcPr>
            <w:tcW w:w="1140" w:type="dxa"/>
            <w:tcBorders>
              <w:top w:val="single" w:sz="4" w:space="0" w:color="auto"/>
              <w:left w:val="single" w:sz="4" w:space="0" w:color="auto"/>
              <w:bottom w:val="single" w:sz="4" w:space="0" w:color="auto"/>
              <w:right w:val="single" w:sz="4" w:space="0" w:color="auto"/>
            </w:tcBorders>
          </w:tcPr>
          <w:p w14:paraId="504AE8FE"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2 </w:t>
            </w:r>
            <w:r w:rsidRPr="00DE6CE9">
              <w:rPr>
                <w:rFonts w:eastAsia="SimSun"/>
                <w:sz w:val="20"/>
                <w:szCs w:val="20"/>
                <w:lang w:val="fr-FR"/>
              </w:rPr>
              <w:t>500</w:t>
            </w:r>
          </w:p>
        </w:tc>
      </w:tr>
      <w:tr w:rsidR="00045AA9" w:rsidRPr="00DE6CE9" w14:paraId="6E87AD8B" w14:textId="77777777" w:rsidTr="0063050C">
        <w:tc>
          <w:tcPr>
            <w:tcW w:w="2605" w:type="dxa"/>
            <w:tcBorders>
              <w:top w:val="single" w:sz="4" w:space="0" w:color="auto"/>
              <w:left w:val="single" w:sz="4" w:space="0" w:color="auto"/>
              <w:bottom w:val="single" w:sz="4" w:space="0" w:color="auto"/>
              <w:right w:val="single" w:sz="4" w:space="0" w:color="auto"/>
            </w:tcBorders>
            <w:vAlign w:val="center"/>
          </w:tcPr>
          <w:p w14:paraId="7DF69697" w14:textId="77777777" w:rsidR="00045AA9" w:rsidRPr="00DE6CE9" w:rsidRDefault="00045AA9" w:rsidP="0063050C">
            <w:pPr>
              <w:keepNext/>
              <w:keepLines/>
              <w:rPr>
                <w:rFonts w:eastAsia="SimSun"/>
                <w:sz w:val="20"/>
                <w:szCs w:val="20"/>
                <w:lang w:val="fr-FR"/>
              </w:rPr>
            </w:pPr>
            <w:r>
              <w:rPr>
                <w:rFonts w:eastAsia="SimSun"/>
                <w:sz w:val="20"/>
                <w:szCs w:val="20"/>
                <w:lang w:val="fr-FR"/>
              </w:rPr>
              <w:t xml:space="preserve">Tonnes métriques </w:t>
            </w:r>
          </w:p>
        </w:tc>
        <w:tc>
          <w:tcPr>
            <w:tcW w:w="1140" w:type="dxa"/>
            <w:tcBorders>
              <w:top w:val="single" w:sz="4" w:space="0" w:color="auto"/>
              <w:left w:val="single" w:sz="4" w:space="0" w:color="auto"/>
              <w:bottom w:val="single" w:sz="4" w:space="0" w:color="auto"/>
              <w:right w:val="single" w:sz="4" w:space="0" w:color="auto"/>
            </w:tcBorders>
          </w:tcPr>
          <w:p w14:paraId="77FC079A"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54 </w:t>
            </w:r>
            <w:r w:rsidRPr="00DE6CE9">
              <w:rPr>
                <w:rFonts w:eastAsia="SimSun"/>
                <w:sz w:val="20"/>
                <w:szCs w:val="20"/>
                <w:lang w:val="fr-FR"/>
              </w:rPr>
              <w:t>460</w:t>
            </w:r>
          </w:p>
        </w:tc>
        <w:tc>
          <w:tcPr>
            <w:tcW w:w="1140" w:type="dxa"/>
            <w:tcBorders>
              <w:top w:val="single" w:sz="4" w:space="0" w:color="auto"/>
              <w:left w:val="single" w:sz="4" w:space="0" w:color="auto"/>
              <w:bottom w:val="single" w:sz="4" w:space="0" w:color="auto"/>
              <w:right w:val="single" w:sz="4" w:space="0" w:color="auto"/>
            </w:tcBorders>
          </w:tcPr>
          <w:p w14:paraId="1ABC9CC1"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54 </w:t>
            </w:r>
            <w:r w:rsidRPr="00DE6CE9">
              <w:rPr>
                <w:rFonts w:eastAsia="SimSun"/>
                <w:sz w:val="20"/>
                <w:szCs w:val="20"/>
                <w:lang w:val="fr-FR"/>
              </w:rPr>
              <w:t>460</w:t>
            </w:r>
          </w:p>
        </w:tc>
        <w:tc>
          <w:tcPr>
            <w:tcW w:w="1140" w:type="dxa"/>
            <w:tcBorders>
              <w:top w:val="single" w:sz="4" w:space="0" w:color="auto"/>
              <w:left w:val="single" w:sz="4" w:space="0" w:color="auto"/>
              <w:bottom w:val="single" w:sz="4" w:space="0" w:color="auto"/>
              <w:right w:val="single" w:sz="4" w:space="0" w:color="auto"/>
            </w:tcBorders>
          </w:tcPr>
          <w:p w14:paraId="50D64AB0"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54 </w:t>
            </w:r>
            <w:r w:rsidRPr="00DE6CE9">
              <w:rPr>
                <w:rFonts w:eastAsia="SimSun"/>
                <w:sz w:val="20"/>
                <w:szCs w:val="20"/>
                <w:lang w:val="fr-FR"/>
              </w:rPr>
              <w:t>460</w:t>
            </w:r>
          </w:p>
        </w:tc>
        <w:tc>
          <w:tcPr>
            <w:tcW w:w="1140" w:type="dxa"/>
            <w:tcBorders>
              <w:top w:val="single" w:sz="4" w:space="0" w:color="auto"/>
              <w:left w:val="single" w:sz="4" w:space="0" w:color="auto"/>
              <w:bottom w:val="single" w:sz="4" w:space="0" w:color="auto"/>
              <w:right w:val="single" w:sz="4" w:space="0" w:color="auto"/>
            </w:tcBorders>
          </w:tcPr>
          <w:p w14:paraId="47FC3314"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54 </w:t>
            </w:r>
            <w:r w:rsidRPr="00DE6CE9">
              <w:rPr>
                <w:rFonts w:eastAsia="SimSun"/>
                <w:sz w:val="20"/>
                <w:szCs w:val="20"/>
                <w:lang w:val="fr-FR"/>
              </w:rPr>
              <w:t>460</w:t>
            </w:r>
          </w:p>
        </w:tc>
        <w:tc>
          <w:tcPr>
            <w:tcW w:w="1140" w:type="dxa"/>
            <w:tcBorders>
              <w:top w:val="single" w:sz="4" w:space="0" w:color="auto"/>
              <w:left w:val="single" w:sz="4" w:space="0" w:color="auto"/>
              <w:bottom w:val="single" w:sz="4" w:space="0" w:color="auto"/>
              <w:right w:val="single" w:sz="4" w:space="0" w:color="auto"/>
            </w:tcBorders>
          </w:tcPr>
          <w:p w14:paraId="31406ABF"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45 </w:t>
            </w:r>
            <w:r w:rsidRPr="00DE6CE9">
              <w:rPr>
                <w:rFonts w:eastAsia="SimSun"/>
                <w:sz w:val="20"/>
                <w:szCs w:val="20"/>
                <w:lang w:val="fr-FR"/>
              </w:rPr>
              <w:t>452</w:t>
            </w:r>
          </w:p>
        </w:tc>
        <w:tc>
          <w:tcPr>
            <w:tcW w:w="1140" w:type="dxa"/>
            <w:tcBorders>
              <w:top w:val="single" w:sz="4" w:space="0" w:color="auto"/>
              <w:left w:val="single" w:sz="4" w:space="0" w:color="auto"/>
              <w:bottom w:val="single" w:sz="4" w:space="0" w:color="auto"/>
              <w:right w:val="single" w:sz="4" w:space="0" w:color="auto"/>
            </w:tcBorders>
          </w:tcPr>
          <w:p w14:paraId="0F4BEB1F" w14:textId="77777777" w:rsidR="00045AA9" w:rsidRPr="00DE6CE9" w:rsidRDefault="00045AA9" w:rsidP="0063050C">
            <w:pPr>
              <w:keepNext/>
              <w:keepLines/>
              <w:jc w:val="right"/>
              <w:rPr>
                <w:rFonts w:eastAsia="SimSun"/>
                <w:sz w:val="20"/>
                <w:szCs w:val="20"/>
                <w:lang w:val="fr-FR"/>
              </w:rPr>
            </w:pPr>
            <w:r>
              <w:rPr>
                <w:rFonts w:eastAsia="SimSun"/>
                <w:sz w:val="20"/>
                <w:szCs w:val="20"/>
                <w:lang w:val="fr-FR"/>
              </w:rPr>
              <w:t xml:space="preserve">45 </w:t>
            </w:r>
            <w:r w:rsidRPr="00DE6CE9">
              <w:rPr>
                <w:rFonts w:eastAsia="SimSun"/>
                <w:sz w:val="20"/>
                <w:szCs w:val="20"/>
                <w:lang w:val="fr-FR"/>
              </w:rPr>
              <w:t>452</w:t>
            </w:r>
          </w:p>
        </w:tc>
      </w:tr>
    </w:tbl>
    <w:p w14:paraId="5D48C499" w14:textId="77777777" w:rsidR="00045AA9" w:rsidRPr="00E7515F" w:rsidRDefault="00045AA9" w:rsidP="00F91819">
      <w:pPr>
        <w:pStyle w:val="StyleHeading1Para1Heading1CharHeading1Char3CharHeadin"/>
        <w:tabs>
          <w:tab w:val="clear" w:pos="720"/>
          <w:tab w:val="left" w:pos="567"/>
        </w:tabs>
        <w:spacing w:before="240"/>
        <w:rPr>
          <w:u w:val="single"/>
          <w:lang w:val="fr-FR"/>
        </w:rPr>
      </w:pPr>
      <w:r>
        <w:rPr>
          <w:u w:val="single"/>
          <w:lang w:val="fr-FR"/>
        </w:rPr>
        <w:t>Principes généraux de la phase II du PGEH (2021-2026)</w:t>
      </w:r>
    </w:p>
    <w:p w14:paraId="4BAB071C" w14:textId="77777777" w:rsidR="00045AA9" w:rsidRDefault="00045AA9" w:rsidP="00045AA9">
      <w:pPr>
        <w:pStyle w:val="Heading1"/>
        <w:rPr>
          <w:lang w:val="fr-FR"/>
        </w:rPr>
      </w:pPr>
      <w:r>
        <w:rPr>
          <w:lang w:val="fr-FR"/>
        </w:rPr>
        <w:t xml:space="preserve">La phase II (2021-2026) comprend deux composantes : les mesures d’élimination des HCFC dans le secteur de l’entretien de l’équipement de réfrigération et les activités de renforcement des capacités </w:t>
      </w:r>
      <w:r>
        <w:rPr>
          <w:lang w:val="fr-FR"/>
        </w:rPr>
        <w:lastRenderedPageBreak/>
        <w:t>comme composantes de facilitation.  La composante de facilitation se concentre sur le développement des capacités aux niveaux national et local pour renforcer les mécanismes de communication et de coordination des ministères concernés, associés à la mise en œuvre du PGEH, assurer la poursuite de la mise en œuvre des politiques et de la réglementation concernant les substances réglementées et augmenter la surveillance et les rapports sur les importations et exportations de substances réglementées, en particulier les activités illicites.</w:t>
      </w:r>
    </w:p>
    <w:p w14:paraId="7B3C9BBA" w14:textId="77777777" w:rsidR="00045AA9" w:rsidRDefault="00045AA9" w:rsidP="00045AA9">
      <w:pPr>
        <w:pStyle w:val="Heading1"/>
        <w:rPr>
          <w:lang w:val="fr-FR"/>
        </w:rPr>
      </w:pPr>
      <w:r>
        <w:rPr>
          <w:lang w:val="fr-FR"/>
        </w:rPr>
        <w:t>Les études thématiques, la révision des normes et des codes, la formation des techniciens, la certification, les activités de vulgarisation et autres incluses dans le plan sectoriel pour l’entretien de l’équipement de réfrigération sont prévues pour soutenir l’élimination dans les secteurs de fabrication de RAC et ICR. Ces activités visent à rehausser la capacité du secteur de l’entretien d’éliminer la consommation de HCFC et à renforcer la capacité des techniciens pour une manipulation sécuritaire des frigorigènes, et à améliorer la gestion des ateliers d’entretien en améliorant les compétences des techniciens d’entretien et en réduisant la consommation de frigorigènes par de bonnes pratiques d’entretien.</w:t>
      </w:r>
    </w:p>
    <w:p w14:paraId="5F2F379D" w14:textId="77777777" w:rsidR="00045AA9" w:rsidRPr="00313040" w:rsidRDefault="00045AA9" w:rsidP="00045AA9">
      <w:pPr>
        <w:pStyle w:val="StyleHeading1Para1Heading1CharHeading1Char3CharHeadin"/>
        <w:tabs>
          <w:tab w:val="clear" w:pos="720"/>
          <w:tab w:val="left" w:pos="567"/>
        </w:tabs>
        <w:rPr>
          <w:u w:val="single"/>
          <w:lang w:val="fr-FR"/>
        </w:rPr>
      </w:pPr>
      <w:r>
        <w:rPr>
          <w:u w:val="single"/>
          <w:lang w:val="fr-FR"/>
        </w:rPr>
        <w:t>Composantes du plan d’action révisé prolongé</w:t>
      </w:r>
    </w:p>
    <w:p w14:paraId="3175646B" w14:textId="262E8F9F" w:rsidR="00045AA9" w:rsidRDefault="00045AA9" w:rsidP="00045AA9">
      <w:pPr>
        <w:pStyle w:val="Heading1"/>
        <w:rPr>
          <w:lang w:val="fr-FR"/>
        </w:rPr>
      </w:pPr>
      <w:r>
        <w:rPr>
          <w:lang w:val="fr-FR"/>
        </w:rPr>
        <w:t xml:space="preserve"> Les activités suivantes pour l’entretien de l’équipement de réf</w:t>
      </w:r>
      <w:r w:rsidR="00F91819">
        <w:rPr>
          <w:lang w:val="fr-FR"/>
        </w:rPr>
        <w:t>rigération, au coût total de 5 846 105 </w:t>
      </w:r>
      <w:r>
        <w:rPr>
          <w:lang w:val="fr-FR"/>
        </w:rPr>
        <w:t>$US, seront mises en œuvre :</w:t>
      </w:r>
    </w:p>
    <w:p w14:paraId="7F9A234D" w14:textId="7BFA16F8" w:rsidR="00045AA9" w:rsidRDefault="00045AA9" w:rsidP="00045AA9">
      <w:pPr>
        <w:pStyle w:val="Heading2"/>
        <w:numPr>
          <w:ilvl w:val="1"/>
          <w:numId w:val="15"/>
        </w:numPr>
        <w:rPr>
          <w:lang w:val="fr-FR"/>
        </w:rPr>
      </w:pPr>
      <w:r>
        <w:rPr>
          <w:lang w:val="fr-FR"/>
        </w:rPr>
        <w:t>Études thématiques et élaboration de politiques, incluant l’identification de nouvelles villes pilotes où poursuivre le renforcement des capacités des Bureaux locaux de la protection environnementale (BPE) pour la gestion et le suivi des activités dans le secteur de l’entretien de l’équipement</w:t>
      </w:r>
      <w:r w:rsidR="00F91819">
        <w:rPr>
          <w:lang w:val="fr-FR"/>
        </w:rPr>
        <w:t xml:space="preserve"> de réfrigération </w:t>
      </w:r>
      <w:r w:rsidRPr="00313040">
        <w:rPr>
          <w:lang w:val="fr-FR"/>
        </w:rPr>
        <w:t>(1 256 105 $US)</w:t>
      </w:r>
      <w:r w:rsidR="00F91819">
        <w:rPr>
          <w:lang w:val="fr-FR"/>
        </w:rPr>
        <w:t xml:space="preserve"> </w:t>
      </w:r>
      <w:r>
        <w:rPr>
          <w:lang w:val="fr-FR"/>
        </w:rPr>
        <w:t>;</w:t>
      </w:r>
    </w:p>
    <w:p w14:paraId="57493749" w14:textId="6E2DB164" w:rsidR="00045AA9" w:rsidRDefault="00045AA9" w:rsidP="00045AA9">
      <w:pPr>
        <w:pStyle w:val="Heading2"/>
        <w:numPr>
          <w:ilvl w:val="1"/>
          <w:numId w:val="15"/>
        </w:numPr>
        <w:rPr>
          <w:lang w:val="fr-FR"/>
        </w:rPr>
      </w:pPr>
      <w:r>
        <w:rPr>
          <w:lang w:val="fr-FR"/>
        </w:rPr>
        <w:t>Mise à jour et élaboration de nouvelles normes et de codes pour le secteur de l’entretien de l’équipement de réfrigération, visant des équipements divers et pour des applications différentes (par ex., RAC et ICR) (240 000 $US)</w:t>
      </w:r>
      <w:r w:rsidR="00F91819">
        <w:rPr>
          <w:lang w:val="fr-FR"/>
        </w:rPr>
        <w:t xml:space="preserve"> </w:t>
      </w:r>
      <w:r>
        <w:rPr>
          <w:lang w:val="fr-FR"/>
        </w:rPr>
        <w:t>;</w:t>
      </w:r>
    </w:p>
    <w:p w14:paraId="2EDABE2B" w14:textId="6C0E6942" w:rsidR="00045AA9" w:rsidRDefault="00045AA9" w:rsidP="00045AA9">
      <w:pPr>
        <w:pStyle w:val="Heading2"/>
        <w:numPr>
          <w:ilvl w:val="1"/>
          <w:numId w:val="15"/>
        </w:numPr>
        <w:rPr>
          <w:lang w:val="fr-FR"/>
        </w:rPr>
      </w:pPr>
      <w:r>
        <w:rPr>
          <w:lang w:val="fr-FR"/>
        </w:rPr>
        <w:t>Poursuite des programmes de formation pour les techniciens en réfrigération, soutenus par l’élaboration de nouveau matériel de formation et la mise sur pied de centres de formation supplémentaires, afin de renforcer la formation à travers les systèmes d’après-vente des fabricants pour les secteurs RAC et ICR; renforcement des compétences dans des instituts de formation internationaux pour des formateurs sélectionnés dans les centres de formation afin de soutenir le programme de certification (3 100 000 $US)</w:t>
      </w:r>
      <w:r w:rsidR="00F91819">
        <w:rPr>
          <w:lang w:val="fr-FR"/>
        </w:rPr>
        <w:t xml:space="preserve"> </w:t>
      </w:r>
      <w:r>
        <w:rPr>
          <w:lang w:val="fr-FR"/>
        </w:rPr>
        <w:t xml:space="preserve">; </w:t>
      </w:r>
    </w:p>
    <w:p w14:paraId="18BE3883" w14:textId="6D99D8E7" w:rsidR="00045AA9" w:rsidRDefault="00045AA9" w:rsidP="00045AA9">
      <w:pPr>
        <w:pStyle w:val="Heading2"/>
        <w:numPr>
          <w:ilvl w:val="1"/>
          <w:numId w:val="15"/>
        </w:numPr>
        <w:rPr>
          <w:lang w:val="fr-FR"/>
        </w:rPr>
      </w:pPr>
      <w:r>
        <w:rPr>
          <w:lang w:val="fr-FR"/>
        </w:rPr>
        <w:t>Optimisation et élargissement de la formation pour la certification de qualification des techniciens d’entretien de l’équipement de réfrigération afin de répondre aux besoins du marché et aux exigences du système national de certification restructuré (140 000 $US)</w:t>
      </w:r>
      <w:r w:rsidR="00F91819">
        <w:rPr>
          <w:lang w:val="fr-FR"/>
        </w:rPr>
        <w:t xml:space="preserve"> </w:t>
      </w:r>
      <w:r>
        <w:rPr>
          <w:lang w:val="fr-FR"/>
        </w:rPr>
        <w:t>; et</w:t>
      </w:r>
    </w:p>
    <w:p w14:paraId="548AB89B" w14:textId="0A9F8CA8" w:rsidR="00045AA9" w:rsidRPr="005361FF" w:rsidRDefault="00045AA9" w:rsidP="00045AA9">
      <w:pPr>
        <w:pStyle w:val="Heading2"/>
        <w:numPr>
          <w:ilvl w:val="1"/>
          <w:numId w:val="15"/>
        </w:numPr>
        <w:rPr>
          <w:lang w:val="fr-FR"/>
        </w:rPr>
      </w:pPr>
      <w:r>
        <w:rPr>
          <w:lang w:val="fr-FR"/>
        </w:rPr>
        <w:t>Activités de vulgarisation pour diffuser l’information sur les bonnes pratiques d’entretien de l’équipement de réfrigération et sur les initiatives concernant l’ozone et le climat afin d’accroître la sensibilisation à la protection de la couche d’ozone et du climat, à travers des événements comme la table ronde sur l’ozone et le climat, et la formation de techniciens dans</w:t>
      </w:r>
      <w:r w:rsidR="00F91819">
        <w:rPr>
          <w:lang w:val="fr-FR"/>
        </w:rPr>
        <w:t xml:space="preserve"> le secteur des supermarchés </w:t>
      </w:r>
      <w:r>
        <w:rPr>
          <w:lang w:val="fr-FR"/>
        </w:rPr>
        <w:t>(1 110 000 $US).</w:t>
      </w:r>
    </w:p>
    <w:p w14:paraId="68D8E2EE" w14:textId="77777777" w:rsidR="00045AA9" w:rsidRDefault="00045AA9" w:rsidP="00045AA9">
      <w:pPr>
        <w:pStyle w:val="Heading1"/>
        <w:rPr>
          <w:lang w:val="fr-FR"/>
        </w:rPr>
      </w:pPr>
      <w:r>
        <w:rPr>
          <w:lang w:val="fr-FR"/>
        </w:rPr>
        <w:t xml:space="preserve">Les activités du programme national de facilitation, au coût de 5 790 000 $US, garantiront que les autorités locales ont la capacité de mettre en œuvre la législation et la réglementation pertinentes pour encourager l’élimination des HCFC; renforceront la capacité des responsables de l’application de la loi de gérer les importations/exportations de SAO; préviendront et combattront le commerce illicite de HCFC; faciliteront l’adoption de frigorigènes de remplacement; encourageront de meilleures pratiques d’approvisionnement à travers des campagnes de sensibilisation du public; et accroitront la sensibilisation </w:t>
      </w:r>
      <w:r>
        <w:rPr>
          <w:lang w:val="fr-FR"/>
        </w:rPr>
        <w:lastRenderedPageBreak/>
        <w:t>du public sur la protection de l’ozone et ses liens avec les changements climatiques.  Les mesures suivantes seront mises en œuvre :</w:t>
      </w:r>
    </w:p>
    <w:p w14:paraId="6386AF62" w14:textId="0DEFA5D3" w:rsidR="00045AA9" w:rsidRDefault="00045AA9" w:rsidP="00045AA9">
      <w:pPr>
        <w:pStyle w:val="Heading2"/>
        <w:numPr>
          <w:ilvl w:val="1"/>
          <w:numId w:val="15"/>
        </w:numPr>
        <w:ind w:left="1134" w:hanging="567"/>
        <w:rPr>
          <w:lang w:val="fr-FR"/>
        </w:rPr>
      </w:pPr>
      <w:r>
        <w:rPr>
          <w:lang w:val="fr-FR"/>
        </w:rPr>
        <w:t>Renforcer la capacité des autorités locales, aux niveaux national et local, à travers des réunions visant à améliorer la communication avec les BPE, et la supervision et la formation des agents responsables de l’application de la loi (2 580 000 $US)</w:t>
      </w:r>
      <w:r w:rsidR="00F91819">
        <w:rPr>
          <w:lang w:val="fr-FR"/>
        </w:rPr>
        <w:t xml:space="preserve"> </w:t>
      </w:r>
      <w:r>
        <w:rPr>
          <w:lang w:val="fr-FR"/>
        </w:rPr>
        <w:t xml:space="preserve">; </w:t>
      </w:r>
    </w:p>
    <w:p w14:paraId="1B355DD9" w14:textId="77777777" w:rsidR="00F91819" w:rsidRDefault="00045AA9" w:rsidP="00F91819">
      <w:pPr>
        <w:pStyle w:val="Heading2"/>
        <w:numPr>
          <w:ilvl w:val="1"/>
          <w:numId w:val="15"/>
        </w:numPr>
        <w:ind w:left="1134" w:hanging="567"/>
        <w:rPr>
          <w:lang w:val="fr-FR"/>
        </w:rPr>
      </w:pPr>
      <w:r>
        <w:rPr>
          <w:lang w:val="fr-FR"/>
        </w:rPr>
        <w:t>Continuer à renforcer le système de gestion des importations/exportations de HCFC par des ateliers de formation pour les agents des douanes; de l’assistance pour renforcer les compétences des districts douaniers, incluant entre autres de la formation sur l’identification des frigorigènes et l’analyse de risques; la création d’un centre de coopération pour l’application de la loi afin de surveiller et de sanctionner le commerce illicite; l’amélioration du système d’approbation en ligne des importations/exportations de SAO; l’évaluation et l’amélioration des opérations d’inspection dans les huit principaux ports douaniers; le renforcement des compétences des agents d’application de la loi et des agents des douanes pour combattre le commerce illicite des SAO, en ciblant certaines provinces avec pour objectif l’instauration d’un mécanisme de coordination entre les différents ministères pour des signalements et une supervision plus efficaces (2 460 000 $US)</w:t>
      </w:r>
      <w:r w:rsidR="00F91819">
        <w:rPr>
          <w:lang w:val="fr-FR"/>
        </w:rPr>
        <w:t xml:space="preserve"> </w:t>
      </w:r>
      <w:r>
        <w:rPr>
          <w:lang w:val="fr-FR"/>
        </w:rPr>
        <w:t>; et</w:t>
      </w:r>
    </w:p>
    <w:p w14:paraId="308EFF67" w14:textId="0D4E984C" w:rsidR="00045AA9" w:rsidRPr="00F91819" w:rsidRDefault="00045AA9" w:rsidP="00F91819">
      <w:pPr>
        <w:pStyle w:val="Heading2"/>
        <w:numPr>
          <w:ilvl w:val="1"/>
          <w:numId w:val="15"/>
        </w:numPr>
        <w:ind w:left="1134" w:hanging="567"/>
        <w:rPr>
          <w:lang w:val="fr-FR"/>
        </w:rPr>
      </w:pPr>
      <w:r w:rsidRPr="00F91819">
        <w:rPr>
          <w:lang w:val="fr-FR"/>
        </w:rPr>
        <w:t>Élaborer une stratégie de communication et de vulgarisation qui inclura des événements pour la Journée internationale de l’ozone; production de nouveau matériel de vulgarisation aligné sur les objectifs et les activités des différents plans sectoriels; tenue d’ateliers de sensibilisation du public sur la protection de la couche d’ozone et les mesures prises par la Chine pour éliminer les HCFC; production et distribution de matériel de sensibilisation; et soutien</w:t>
      </w:r>
      <w:r w:rsidR="00F91819" w:rsidRPr="00F91819">
        <w:rPr>
          <w:lang w:val="fr-FR"/>
        </w:rPr>
        <w:t xml:space="preserve"> de l’entretien du site web </w:t>
      </w:r>
      <w:r w:rsidRPr="00F91819">
        <w:rPr>
          <w:lang w:val="fr-FR"/>
        </w:rPr>
        <w:t>(750 000 $US).</w:t>
      </w:r>
    </w:p>
    <w:p w14:paraId="78E8E955" w14:textId="77777777" w:rsidR="00045AA9" w:rsidRPr="008169C7" w:rsidRDefault="00045AA9" w:rsidP="00045AA9">
      <w:pPr>
        <w:pStyle w:val="StyleHeading1Para1Heading1CharHeading1Char3CharHeadin"/>
        <w:tabs>
          <w:tab w:val="clear" w:pos="720"/>
          <w:tab w:val="left" w:pos="567"/>
          <w:tab w:val="left" w:pos="851"/>
          <w:tab w:val="left" w:pos="1134"/>
        </w:tabs>
        <w:ind w:left="1134" w:hanging="1134"/>
        <w:rPr>
          <w:i/>
          <w:lang w:val="fr-FR"/>
        </w:rPr>
      </w:pPr>
      <w:r>
        <w:rPr>
          <w:i/>
          <w:lang w:val="fr-FR"/>
        </w:rPr>
        <w:t>Unité de mise en œuvre et de gestion du projet (UGP)</w:t>
      </w:r>
    </w:p>
    <w:p w14:paraId="1A4C56B2" w14:textId="676297DB" w:rsidR="00045AA9" w:rsidRDefault="00045AA9" w:rsidP="00045AA9">
      <w:pPr>
        <w:pStyle w:val="Heading1"/>
        <w:rPr>
          <w:lang w:val="fr-FR"/>
        </w:rPr>
      </w:pPr>
      <w:r>
        <w:rPr>
          <w:lang w:val="fr-FR"/>
        </w:rPr>
        <w:t>L’UGP (1 081 000 $US) continuera de gérer et superviser, au quotidien, la mise en œuvre du projet.  Les activités de l’UGP incluent : suivi de la mise en œuvre des accords de subventions partielles et des activités d’assistance technique</w:t>
      </w:r>
      <w:r w:rsidR="00F91819">
        <w:rPr>
          <w:lang w:val="fr-FR"/>
        </w:rPr>
        <w:t xml:space="preserve"> </w:t>
      </w:r>
      <w:r>
        <w:rPr>
          <w:lang w:val="fr-FR"/>
        </w:rPr>
        <w:t>; préparation des rapports périodiques</w:t>
      </w:r>
      <w:r w:rsidR="00F91819">
        <w:rPr>
          <w:lang w:val="fr-FR"/>
        </w:rPr>
        <w:t xml:space="preserve"> </w:t>
      </w:r>
      <w:r>
        <w:rPr>
          <w:lang w:val="fr-FR"/>
        </w:rPr>
        <w:t>; et suivi des activités de formation, tel qu’indiqué au tableau 3.</w:t>
      </w:r>
    </w:p>
    <w:p w14:paraId="7DA6A508" w14:textId="77777777" w:rsidR="00045AA9" w:rsidRPr="00725BC4" w:rsidRDefault="00045AA9" w:rsidP="00045AA9">
      <w:pPr>
        <w:jc w:val="left"/>
        <w:rPr>
          <w:rFonts w:eastAsia="Calibri"/>
          <w:b/>
          <w:lang w:val="fr-FR"/>
        </w:rPr>
      </w:pPr>
      <w:r w:rsidRPr="00725BC4">
        <w:rPr>
          <w:rFonts w:eastAsia="Calibri"/>
          <w:b/>
          <w:lang w:val="fr-FR"/>
        </w:rPr>
        <w:t>Table</w:t>
      </w:r>
      <w:r>
        <w:rPr>
          <w:rFonts w:eastAsia="Calibri"/>
          <w:b/>
          <w:lang w:val="fr-FR"/>
        </w:rPr>
        <w:t>au</w:t>
      </w:r>
      <w:r w:rsidRPr="00725BC4">
        <w:rPr>
          <w:rFonts w:eastAsia="Calibri"/>
          <w:b/>
          <w:lang w:val="fr-FR"/>
        </w:rPr>
        <w:t xml:space="preserve"> 3. </w:t>
      </w:r>
      <w:r>
        <w:rPr>
          <w:rFonts w:eastAsia="Calibri"/>
          <w:b/>
          <w:lang w:val="fr-FR"/>
        </w:rPr>
        <w:t>Ventilation des coûts de l’UGP</w:t>
      </w:r>
      <w:r w:rsidRPr="00725BC4">
        <w:rPr>
          <w:rFonts w:eastAsia="Calibri"/>
          <w:b/>
          <w:lang w:val="fr-FR"/>
        </w:rPr>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5"/>
        <w:gridCol w:w="3682"/>
      </w:tblGrid>
      <w:tr w:rsidR="00045AA9" w:rsidRPr="00725BC4" w14:paraId="2D1904C7" w14:textId="77777777" w:rsidTr="0063050C">
        <w:tc>
          <w:tcPr>
            <w:tcW w:w="5845" w:type="dxa"/>
            <w:shd w:val="clear" w:color="auto" w:fill="auto"/>
            <w:tcMar>
              <w:top w:w="15" w:type="dxa"/>
              <w:left w:w="115" w:type="dxa"/>
              <w:bottom w:w="0" w:type="dxa"/>
              <w:right w:w="15" w:type="dxa"/>
            </w:tcMar>
            <w:vAlign w:val="center"/>
          </w:tcPr>
          <w:p w14:paraId="7D1610D9" w14:textId="77777777" w:rsidR="00045AA9" w:rsidRPr="00725BC4" w:rsidRDefault="00045AA9" w:rsidP="0063050C">
            <w:pPr>
              <w:jc w:val="left"/>
              <w:rPr>
                <w:rFonts w:eastAsia="Calibri"/>
                <w:b/>
                <w:sz w:val="20"/>
                <w:szCs w:val="20"/>
                <w:lang w:val="fr-FR"/>
              </w:rPr>
            </w:pPr>
            <w:r>
              <w:rPr>
                <w:rFonts w:eastAsia="Calibri"/>
                <w:b/>
                <w:sz w:val="20"/>
                <w:szCs w:val="20"/>
                <w:lang w:val="fr-FR"/>
              </w:rPr>
              <w:t>Activité</w:t>
            </w:r>
            <w:r w:rsidRPr="00725BC4">
              <w:rPr>
                <w:rFonts w:eastAsia="Calibri"/>
                <w:b/>
                <w:sz w:val="20"/>
                <w:szCs w:val="20"/>
                <w:lang w:val="fr-FR"/>
              </w:rPr>
              <w:t>s</w:t>
            </w:r>
          </w:p>
        </w:tc>
        <w:tc>
          <w:tcPr>
            <w:tcW w:w="3682" w:type="dxa"/>
            <w:shd w:val="clear" w:color="auto" w:fill="auto"/>
            <w:tcMar>
              <w:top w:w="15" w:type="dxa"/>
              <w:left w:w="15" w:type="dxa"/>
              <w:bottom w:w="0" w:type="dxa"/>
              <w:right w:w="15" w:type="dxa"/>
            </w:tcMar>
          </w:tcPr>
          <w:p w14:paraId="5291593B" w14:textId="77777777" w:rsidR="00045AA9" w:rsidRPr="00725BC4" w:rsidRDefault="00045AA9" w:rsidP="0063050C">
            <w:pPr>
              <w:jc w:val="center"/>
              <w:rPr>
                <w:rFonts w:eastAsia="Calibri"/>
                <w:b/>
                <w:sz w:val="20"/>
                <w:szCs w:val="20"/>
                <w:lang w:val="fr-FR"/>
              </w:rPr>
            </w:pPr>
            <w:r>
              <w:rPr>
                <w:rFonts w:eastAsia="Calibri"/>
                <w:b/>
                <w:sz w:val="20"/>
                <w:szCs w:val="20"/>
                <w:lang w:val="fr-FR"/>
              </w:rPr>
              <w:t>Coû</w:t>
            </w:r>
            <w:r w:rsidRPr="00725BC4">
              <w:rPr>
                <w:rFonts w:eastAsia="Calibri"/>
                <w:b/>
                <w:sz w:val="20"/>
                <w:szCs w:val="20"/>
                <w:lang w:val="fr-FR"/>
              </w:rPr>
              <w:t>t (</w:t>
            </w:r>
            <w:r>
              <w:rPr>
                <w:rFonts w:eastAsia="Calibri"/>
                <w:b/>
                <w:sz w:val="20"/>
                <w:szCs w:val="20"/>
                <w:lang w:val="fr-FR"/>
              </w:rPr>
              <w:t>$ US</w:t>
            </w:r>
            <w:r w:rsidRPr="00725BC4">
              <w:rPr>
                <w:rFonts w:eastAsia="Calibri"/>
                <w:b/>
                <w:sz w:val="20"/>
                <w:szCs w:val="20"/>
                <w:lang w:val="fr-FR"/>
              </w:rPr>
              <w:t>)</w:t>
            </w:r>
          </w:p>
        </w:tc>
      </w:tr>
      <w:tr w:rsidR="00045AA9" w:rsidRPr="00725BC4" w14:paraId="764CC6E9" w14:textId="77777777" w:rsidTr="0063050C">
        <w:tc>
          <w:tcPr>
            <w:tcW w:w="5845" w:type="dxa"/>
            <w:shd w:val="clear" w:color="auto" w:fill="auto"/>
            <w:tcMar>
              <w:top w:w="15" w:type="dxa"/>
              <w:left w:w="115" w:type="dxa"/>
              <w:bottom w:w="0" w:type="dxa"/>
              <w:right w:w="15" w:type="dxa"/>
            </w:tcMar>
            <w:vAlign w:val="center"/>
            <w:hideMark/>
          </w:tcPr>
          <w:p w14:paraId="33D8FFB0" w14:textId="77777777" w:rsidR="00045AA9" w:rsidRPr="00725BC4" w:rsidRDefault="00045AA9" w:rsidP="0063050C">
            <w:pPr>
              <w:jc w:val="left"/>
              <w:rPr>
                <w:rFonts w:eastAsia="Calibri"/>
                <w:sz w:val="20"/>
                <w:szCs w:val="20"/>
                <w:lang w:val="fr-FR"/>
              </w:rPr>
            </w:pPr>
            <w:r>
              <w:rPr>
                <w:rFonts w:eastAsia="Calibri"/>
                <w:sz w:val="20"/>
                <w:szCs w:val="20"/>
                <w:lang w:val="fr-FR"/>
              </w:rPr>
              <w:t>Coûts du personnel de l’équipe de gestion du projet</w:t>
            </w:r>
          </w:p>
        </w:tc>
        <w:tc>
          <w:tcPr>
            <w:tcW w:w="3682" w:type="dxa"/>
            <w:shd w:val="clear" w:color="auto" w:fill="auto"/>
            <w:tcMar>
              <w:top w:w="15" w:type="dxa"/>
              <w:left w:w="15" w:type="dxa"/>
              <w:bottom w:w="0" w:type="dxa"/>
              <w:right w:w="1440" w:type="dxa"/>
            </w:tcMar>
            <w:hideMark/>
          </w:tcPr>
          <w:p w14:paraId="26D5E206"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371 </w:t>
            </w:r>
            <w:r w:rsidRPr="00725BC4">
              <w:rPr>
                <w:rFonts w:eastAsia="Calibri"/>
                <w:sz w:val="20"/>
                <w:szCs w:val="20"/>
                <w:lang w:val="fr-FR"/>
              </w:rPr>
              <w:t xml:space="preserve">000 </w:t>
            </w:r>
          </w:p>
        </w:tc>
      </w:tr>
      <w:tr w:rsidR="00045AA9" w:rsidRPr="00725BC4" w14:paraId="551F61F0" w14:textId="77777777" w:rsidTr="0063050C">
        <w:tc>
          <w:tcPr>
            <w:tcW w:w="5845" w:type="dxa"/>
            <w:shd w:val="clear" w:color="auto" w:fill="auto"/>
            <w:tcMar>
              <w:top w:w="15" w:type="dxa"/>
              <w:left w:w="115" w:type="dxa"/>
              <w:bottom w:w="0" w:type="dxa"/>
              <w:right w:w="15" w:type="dxa"/>
            </w:tcMar>
            <w:vAlign w:val="center"/>
            <w:hideMark/>
          </w:tcPr>
          <w:p w14:paraId="7A77C477" w14:textId="77777777" w:rsidR="00045AA9" w:rsidRPr="00725BC4" w:rsidRDefault="00045AA9" w:rsidP="0063050C">
            <w:pPr>
              <w:jc w:val="left"/>
              <w:rPr>
                <w:rFonts w:eastAsia="Calibri"/>
                <w:sz w:val="20"/>
                <w:szCs w:val="20"/>
                <w:lang w:val="fr-FR"/>
              </w:rPr>
            </w:pPr>
            <w:r w:rsidRPr="00725BC4">
              <w:rPr>
                <w:rFonts w:eastAsia="Calibri"/>
                <w:sz w:val="20"/>
                <w:szCs w:val="20"/>
                <w:lang w:val="fr-FR"/>
              </w:rPr>
              <w:t>D</w:t>
            </w:r>
            <w:r>
              <w:rPr>
                <w:rFonts w:eastAsia="Calibri"/>
                <w:sz w:val="20"/>
                <w:szCs w:val="20"/>
                <w:lang w:val="fr-FR"/>
              </w:rPr>
              <w:t>éplacements d</w:t>
            </w:r>
            <w:r w:rsidRPr="00725BC4">
              <w:rPr>
                <w:rFonts w:eastAsia="Calibri"/>
                <w:sz w:val="20"/>
                <w:szCs w:val="20"/>
                <w:lang w:val="fr-FR"/>
              </w:rPr>
              <w:t>omesti</w:t>
            </w:r>
            <w:r>
              <w:rPr>
                <w:rFonts w:eastAsia="Calibri"/>
                <w:sz w:val="20"/>
                <w:szCs w:val="20"/>
                <w:lang w:val="fr-FR"/>
              </w:rPr>
              <w:t>ques</w:t>
            </w:r>
            <w:r w:rsidRPr="00725BC4">
              <w:rPr>
                <w:rFonts w:eastAsia="Calibri"/>
                <w:sz w:val="20"/>
                <w:szCs w:val="20"/>
                <w:lang w:val="fr-FR"/>
              </w:rPr>
              <w:t>/internationa</w:t>
            </w:r>
            <w:r>
              <w:rPr>
                <w:rFonts w:eastAsia="Calibri"/>
                <w:sz w:val="20"/>
                <w:szCs w:val="20"/>
                <w:lang w:val="fr-FR"/>
              </w:rPr>
              <w:t>ux</w:t>
            </w:r>
          </w:p>
        </w:tc>
        <w:tc>
          <w:tcPr>
            <w:tcW w:w="3682" w:type="dxa"/>
            <w:shd w:val="clear" w:color="auto" w:fill="auto"/>
            <w:tcMar>
              <w:top w:w="15" w:type="dxa"/>
              <w:left w:w="15" w:type="dxa"/>
              <w:bottom w:w="0" w:type="dxa"/>
              <w:right w:w="1440" w:type="dxa"/>
            </w:tcMar>
            <w:hideMark/>
          </w:tcPr>
          <w:p w14:paraId="5FB8F1C1"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50 </w:t>
            </w:r>
            <w:r w:rsidRPr="00725BC4">
              <w:rPr>
                <w:rFonts w:eastAsia="Calibri"/>
                <w:sz w:val="20"/>
                <w:szCs w:val="20"/>
                <w:lang w:val="fr-FR"/>
              </w:rPr>
              <w:t xml:space="preserve">000 </w:t>
            </w:r>
          </w:p>
        </w:tc>
      </w:tr>
      <w:tr w:rsidR="00045AA9" w:rsidRPr="00725BC4" w14:paraId="5B5322EB" w14:textId="77777777" w:rsidTr="0063050C">
        <w:tc>
          <w:tcPr>
            <w:tcW w:w="5845" w:type="dxa"/>
            <w:shd w:val="clear" w:color="auto" w:fill="auto"/>
            <w:tcMar>
              <w:top w:w="15" w:type="dxa"/>
              <w:left w:w="115" w:type="dxa"/>
              <w:bottom w:w="0" w:type="dxa"/>
              <w:right w:w="15" w:type="dxa"/>
            </w:tcMar>
            <w:vAlign w:val="center"/>
            <w:hideMark/>
          </w:tcPr>
          <w:p w14:paraId="2FFD1273" w14:textId="77777777" w:rsidR="00045AA9" w:rsidRPr="00725BC4" w:rsidRDefault="00045AA9" w:rsidP="0063050C">
            <w:pPr>
              <w:jc w:val="left"/>
              <w:rPr>
                <w:rFonts w:eastAsia="Calibri"/>
                <w:sz w:val="20"/>
                <w:szCs w:val="20"/>
                <w:lang w:val="fr-FR"/>
              </w:rPr>
            </w:pPr>
            <w:r>
              <w:rPr>
                <w:rFonts w:eastAsia="Calibri"/>
                <w:sz w:val="20"/>
                <w:szCs w:val="20"/>
                <w:lang w:val="fr-FR"/>
              </w:rPr>
              <w:t>Réunions d</w:t>
            </w:r>
            <w:r w:rsidRPr="00725BC4">
              <w:rPr>
                <w:rFonts w:eastAsia="Calibri"/>
                <w:sz w:val="20"/>
                <w:szCs w:val="20"/>
                <w:lang w:val="fr-FR"/>
              </w:rPr>
              <w:t>omesti</w:t>
            </w:r>
            <w:r>
              <w:rPr>
                <w:rFonts w:eastAsia="Calibri"/>
                <w:sz w:val="20"/>
                <w:szCs w:val="20"/>
                <w:lang w:val="fr-FR"/>
              </w:rPr>
              <w:t>ques</w:t>
            </w:r>
            <w:r w:rsidRPr="00725BC4">
              <w:rPr>
                <w:rFonts w:eastAsia="Calibri"/>
                <w:sz w:val="20"/>
                <w:szCs w:val="20"/>
                <w:lang w:val="fr-FR"/>
              </w:rPr>
              <w:t>/international</w:t>
            </w:r>
            <w:r>
              <w:rPr>
                <w:rFonts w:eastAsia="Calibri"/>
                <w:sz w:val="20"/>
                <w:szCs w:val="20"/>
                <w:lang w:val="fr-FR"/>
              </w:rPr>
              <w:t xml:space="preserve">es </w:t>
            </w:r>
          </w:p>
        </w:tc>
        <w:tc>
          <w:tcPr>
            <w:tcW w:w="3682" w:type="dxa"/>
            <w:shd w:val="clear" w:color="auto" w:fill="auto"/>
            <w:tcMar>
              <w:top w:w="15" w:type="dxa"/>
              <w:left w:w="15" w:type="dxa"/>
              <w:bottom w:w="0" w:type="dxa"/>
              <w:right w:w="1440" w:type="dxa"/>
            </w:tcMar>
            <w:hideMark/>
          </w:tcPr>
          <w:p w14:paraId="1AB98C96"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40 </w:t>
            </w:r>
            <w:r w:rsidRPr="00725BC4">
              <w:rPr>
                <w:rFonts w:eastAsia="Calibri"/>
                <w:sz w:val="20"/>
                <w:szCs w:val="20"/>
                <w:lang w:val="fr-FR"/>
              </w:rPr>
              <w:t xml:space="preserve">000 </w:t>
            </w:r>
          </w:p>
        </w:tc>
      </w:tr>
      <w:tr w:rsidR="00045AA9" w:rsidRPr="00725BC4" w14:paraId="204280F8" w14:textId="77777777" w:rsidTr="0063050C">
        <w:tc>
          <w:tcPr>
            <w:tcW w:w="5845" w:type="dxa"/>
            <w:shd w:val="clear" w:color="auto" w:fill="auto"/>
            <w:tcMar>
              <w:top w:w="15" w:type="dxa"/>
              <w:left w:w="115" w:type="dxa"/>
              <w:bottom w:w="0" w:type="dxa"/>
              <w:right w:w="15" w:type="dxa"/>
            </w:tcMar>
            <w:vAlign w:val="center"/>
            <w:hideMark/>
          </w:tcPr>
          <w:p w14:paraId="1F6F75B4" w14:textId="77777777" w:rsidR="00045AA9" w:rsidRPr="00725BC4" w:rsidRDefault="00045AA9" w:rsidP="0063050C">
            <w:pPr>
              <w:jc w:val="left"/>
              <w:rPr>
                <w:rFonts w:eastAsia="Calibri"/>
                <w:sz w:val="20"/>
                <w:szCs w:val="20"/>
                <w:lang w:val="fr-FR"/>
              </w:rPr>
            </w:pPr>
            <w:r w:rsidRPr="00725BC4">
              <w:rPr>
                <w:rFonts w:eastAsia="Calibri"/>
                <w:sz w:val="20"/>
                <w:szCs w:val="20"/>
                <w:lang w:val="fr-FR"/>
              </w:rPr>
              <w:t>Co</w:t>
            </w:r>
            <w:r>
              <w:rPr>
                <w:rFonts w:eastAsia="Calibri"/>
                <w:sz w:val="20"/>
                <w:szCs w:val="20"/>
                <w:lang w:val="fr-FR"/>
              </w:rPr>
              <w:t>ût des services de consultation</w:t>
            </w:r>
          </w:p>
        </w:tc>
        <w:tc>
          <w:tcPr>
            <w:tcW w:w="3682" w:type="dxa"/>
            <w:shd w:val="clear" w:color="auto" w:fill="auto"/>
            <w:tcMar>
              <w:top w:w="15" w:type="dxa"/>
              <w:left w:w="15" w:type="dxa"/>
              <w:bottom w:w="0" w:type="dxa"/>
              <w:right w:w="1440" w:type="dxa"/>
            </w:tcMar>
            <w:hideMark/>
          </w:tcPr>
          <w:p w14:paraId="12033630"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35 </w:t>
            </w:r>
            <w:r w:rsidRPr="00725BC4">
              <w:rPr>
                <w:rFonts w:eastAsia="Calibri"/>
                <w:sz w:val="20"/>
                <w:szCs w:val="20"/>
                <w:lang w:val="fr-FR"/>
              </w:rPr>
              <w:t xml:space="preserve">000 </w:t>
            </w:r>
          </w:p>
        </w:tc>
      </w:tr>
      <w:tr w:rsidR="00045AA9" w:rsidRPr="00725BC4" w14:paraId="76DE74E5" w14:textId="77777777" w:rsidTr="0063050C">
        <w:tc>
          <w:tcPr>
            <w:tcW w:w="5845" w:type="dxa"/>
            <w:shd w:val="clear" w:color="auto" w:fill="auto"/>
            <w:tcMar>
              <w:top w:w="15" w:type="dxa"/>
              <w:left w:w="115" w:type="dxa"/>
              <w:bottom w:w="0" w:type="dxa"/>
              <w:right w:w="15" w:type="dxa"/>
            </w:tcMar>
            <w:vAlign w:val="center"/>
            <w:hideMark/>
          </w:tcPr>
          <w:p w14:paraId="325A600B" w14:textId="77777777" w:rsidR="00045AA9" w:rsidRPr="00725BC4" w:rsidRDefault="00045AA9" w:rsidP="0063050C">
            <w:pPr>
              <w:jc w:val="left"/>
              <w:rPr>
                <w:rFonts w:eastAsia="Calibri"/>
                <w:sz w:val="20"/>
                <w:szCs w:val="20"/>
                <w:lang w:val="fr-FR"/>
              </w:rPr>
            </w:pPr>
            <w:r>
              <w:rPr>
                <w:rFonts w:eastAsia="Calibri"/>
                <w:sz w:val="20"/>
                <w:szCs w:val="20"/>
                <w:lang w:val="fr-FR"/>
              </w:rPr>
              <w:t>Coût du personnel de soutien</w:t>
            </w:r>
          </w:p>
        </w:tc>
        <w:tc>
          <w:tcPr>
            <w:tcW w:w="3682" w:type="dxa"/>
            <w:shd w:val="clear" w:color="auto" w:fill="auto"/>
            <w:tcMar>
              <w:top w:w="15" w:type="dxa"/>
              <w:left w:w="15" w:type="dxa"/>
              <w:bottom w:w="0" w:type="dxa"/>
              <w:right w:w="1440" w:type="dxa"/>
            </w:tcMar>
            <w:hideMark/>
          </w:tcPr>
          <w:p w14:paraId="50235771"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300 </w:t>
            </w:r>
            <w:r w:rsidRPr="00725BC4">
              <w:rPr>
                <w:rFonts w:eastAsia="Calibri"/>
                <w:sz w:val="20"/>
                <w:szCs w:val="20"/>
                <w:lang w:val="fr-FR"/>
              </w:rPr>
              <w:t xml:space="preserve">000 </w:t>
            </w:r>
          </w:p>
        </w:tc>
      </w:tr>
      <w:tr w:rsidR="00045AA9" w:rsidRPr="00725BC4" w14:paraId="58294CF3" w14:textId="77777777" w:rsidTr="0063050C">
        <w:tc>
          <w:tcPr>
            <w:tcW w:w="5845" w:type="dxa"/>
            <w:shd w:val="clear" w:color="auto" w:fill="auto"/>
            <w:tcMar>
              <w:top w:w="15" w:type="dxa"/>
              <w:left w:w="115" w:type="dxa"/>
              <w:bottom w:w="0" w:type="dxa"/>
              <w:right w:w="15" w:type="dxa"/>
            </w:tcMar>
            <w:vAlign w:val="center"/>
            <w:hideMark/>
          </w:tcPr>
          <w:p w14:paraId="4F377624" w14:textId="77777777" w:rsidR="00045AA9" w:rsidRPr="00725BC4" w:rsidRDefault="00045AA9" w:rsidP="0063050C">
            <w:pPr>
              <w:jc w:val="left"/>
              <w:rPr>
                <w:rFonts w:eastAsia="Calibri"/>
                <w:sz w:val="20"/>
                <w:szCs w:val="20"/>
                <w:lang w:val="fr-FR"/>
              </w:rPr>
            </w:pPr>
            <w:r>
              <w:rPr>
                <w:rFonts w:eastAsia="Calibri"/>
                <w:sz w:val="20"/>
                <w:szCs w:val="20"/>
                <w:lang w:val="fr-FR"/>
              </w:rPr>
              <w:t>Ordinateurs, services d’internet et de communications</w:t>
            </w:r>
          </w:p>
        </w:tc>
        <w:tc>
          <w:tcPr>
            <w:tcW w:w="3682" w:type="dxa"/>
            <w:shd w:val="clear" w:color="auto" w:fill="auto"/>
            <w:tcMar>
              <w:top w:w="15" w:type="dxa"/>
              <w:left w:w="15" w:type="dxa"/>
              <w:bottom w:w="0" w:type="dxa"/>
              <w:right w:w="1440" w:type="dxa"/>
            </w:tcMar>
            <w:hideMark/>
          </w:tcPr>
          <w:p w14:paraId="1DBC3426"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75 </w:t>
            </w:r>
            <w:r w:rsidRPr="00725BC4">
              <w:rPr>
                <w:rFonts w:eastAsia="Calibri"/>
                <w:sz w:val="20"/>
                <w:szCs w:val="20"/>
                <w:lang w:val="fr-FR"/>
              </w:rPr>
              <w:t xml:space="preserve">000 </w:t>
            </w:r>
          </w:p>
        </w:tc>
      </w:tr>
      <w:tr w:rsidR="00045AA9" w:rsidRPr="00725BC4" w14:paraId="382F43F1" w14:textId="77777777" w:rsidTr="0063050C">
        <w:tc>
          <w:tcPr>
            <w:tcW w:w="5845" w:type="dxa"/>
            <w:shd w:val="clear" w:color="auto" w:fill="auto"/>
            <w:tcMar>
              <w:top w:w="15" w:type="dxa"/>
              <w:left w:w="115" w:type="dxa"/>
              <w:bottom w:w="0" w:type="dxa"/>
              <w:right w:w="15" w:type="dxa"/>
            </w:tcMar>
            <w:vAlign w:val="center"/>
            <w:hideMark/>
          </w:tcPr>
          <w:p w14:paraId="4379FA7E" w14:textId="77777777" w:rsidR="00045AA9" w:rsidRPr="00725BC4" w:rsidRDefault="00045AA9" w:rsidP="0063050C">
            <w:pPr>
              <w:jc w:val="left"/>
              <w:rPr>
                <w:rFonts w:eastAsia="Calibri"/>
                <w:sz w:val="20"/>
                <w:szCs w:val="20"/>
                <w:lang w:val="fr-FR"/>
              </w:rPr>
            </w:pPr>
            <w:r>
              <w:rPr>
                <w:rFonts w:eastAsia="Calibri"/>
                <w:sz w:val="20"/>
                <w:szCs w:val="20"/>
                <w:lang w:val="fr-FR"/>
              </w:rPr>
              <w:t>Fonctionnement et entretien des bureaux, services publics</w:t>
            </w:r>
          </w:p>
        </w:tc>
        <w:tc>
          <w:tcPr>
            <w:tcW w:w="3682" w:type="dxa"/>
            <w:shd w:val="clear" w:color="auto" w:fill="auto"/>
            <w:tcMar>
              <w:top w:w="15" w:type="dxa"/>
              <w:left w:w="15" w:type="dxa"/>
              <w:bottom w:w="0" w:type="dxa"/>
              <w:right w:w="1440" w:type="dxa"/>
            </w:tcMar>
            <w:hideMark/>
          </w:tcPr>
          <w:p w14:paraId="398B830C" w14:textId="77777777" w:rsidR="00045AA9" w:rsidRPr="00725BC4" w:rsidRDefault="00045AA9" w:rsidP="0063050C">
            <w:pPr>
              <w:jc w:val="right"/>
              <w:rPr>
                <w:rFonts w:eastAsia="Calibri"/>
                <w:sz w:val="20"/>
                <w:szCs w:val="20"/>
                <w:lang w:val="fr-FR"/>
              </w:rPr>
            </w:pPr>
            <w:r>
              <w:rPr>
                <w:rFonts w:eastAsia="Calibri"/>
                <w:sz w:val="20"/>
                <w:szCs w:val="20"/>
                <w:lang w:val="fr-FR"/>
              </w:rPr>
              <w:t xml:space="preserve">210 </w:t>
            </w:r>
            <w:r w:rsidRPr="00725BC4">
              <w:rPr>
                <w:rFonts w:eastAsia="Calibri"/>
                <w:sz w:val="20"/>
                <w:szCs w:val="20"/>
                <w:lang w:val="fr-FR"/>
              </w:rPr>
              <w:t xml:space="preserve">000 </w:t>
            </w:r>
          </w:p>
        </w:tc>
      </w:tr>
      <w:tr w:rsidR="00045AA9" w:rsidRPr="00725BC4" w14:paraId="54C677D8" w14:textId="77777777" w:rsidTr="0063050C">
        <w:tc>
          <w:tcPr>
            <w:tcW w:w="5845" w:type="dxa"/>
            <w:shd w:val="clear" w:color="auto" w:fill="auto"/>
            <w:tcMar>
              <w:top w:w="15" w:type="dxa"/>
              <w:left w:w="115" w:type="dxa"/>
              <w:bottom w:w="0" w:type="dxa"/>
              <w:right w:w="15" w:type="dxa"/>
            </w:tcMar>
            <w:vAlign w:val="center"/>
            <w:hideMark/>
          </w:tcPr>
          <w:p w14:paraId="084E5390" w14:textId="77777777" w:rsidR="00045AA9" w:rsidRPr="00725BC4" w:rsidRDefault="00045AA9" w:rsidP="0063050C">
            <w:pPr>
              <w:jc w:val="left"/>
              <w:rPr>
                <w:rFonts w:eastAsia="Calibri"/>
                <w:b/>
                <w:bCs/>
                <w:sz w:val="20"/>
                <w:szCs w:val="20"/>
                <w:lang w:val="fr-FR"/>
              </w:rPr>
            </w:pPr>
            <w:r w:rsidRPr="00725BC4">
              <w:rPr>
                <w:rFonts w:eastAsia="Calibri"/>
                <w:b/>
                <w:bCs/>
                <w:sz w:val="20"/>
                <w:szCs w:val="20"/>
                <w:lang w:val="fr-FR"/>
              </w:rPr>
              <w:t>Total</w:t>
            </w:r>
          </w:p>
        </w:tc>
        <w:tc>
          <w:tcPr>
            <w:tcW w:w="3682" w:type="dxa"/>
            <w:shd w:val="clear" w:color="auto" w:fill="auto"/>
            <w:tcMar>
              <w:top w:w="15" w:type="dxa"/>
              <w:left w:w="15" w:type="dxa"/>
              <w:bottom w:w="0" w:type="dxa"/>
              <w:right w:w="1440" w:type="dxa"/>
            </w:tcMar>
            <w:hideMark/>
          </w:tcPr>
          <w:p w14:paraId="3FE87B14" w14:textId="77777777" w:rsidR="00045AA9" w:rsidRPr="00725BC4" w:rsidRDefault="00045AA9" w:rsidP="0063050C">
            <w:pPr>
              <w:jc w:val="right"/>
              <w:rPr>
                <w:rFonts w:eastAsia="Calibri"/>
                <w:b/>
                <w:bCs/>
                <w:sz w:val="20"/>
                <w:szCs w:val="20"/>
                <w:lang w:val="fr-FR"/>
              </w:rPr>
            </w:pPr>
            <w:r>
              <w:rPr>
                <w:rFonts w:eastAsia="Calibri"/>
                <w:b/>
                <w:bCs/>
                <w:sz w:val="20"/>
                <w:szCs w:val="20"/>
                <w:lang w:val="fr-FR"/>
              </w:rPr>
              <w:t xml:space="preserve">1 081 </w:t>
            </w:r>
            <w:r w:rsidRPr="00725BC4">
              <w:rPr>
                <w:rFonts w:eastAsia="Calibri"/>
                <w:b/>
                <w:bCs/>
                <w:sz w:val="20"/>
                <w:szCs w:val="20"/>
                <w:lang w:val="fr-FR"/>
              </w:rPr>
              <w:t xml:space="preserve">000 </w:t>
            </w:r>
          </w:p>
        </w:tc>
      </w:tr>
    </w:tbl>
    <w:p w14:paraId="5CF0818B" w14:textId="77777777" w:rsidR="00045AA9" w:rsidRPr="00725BC4" w:rsidRDefault="00045AA9" w:rsidP="00045AA9">
      <w:pPr>
        <w:rPr>
          <w:lang w:val="fr-FR"/>
        </w:rPr>
      </w:pPr>
    </w:p>
    <w:p w14:paraId="11A696CD" w14:textId="77777777" w:rsidR="00045AA9" w:rsidRPr="00725BC4" w:rsidRDefault="00045AA9" w:rsidP="00045AA9">
      <w:pPr>
        <w:pStyle w:val="Heading1"/>
        <w:widowControl w:val="0"/>
        <w:numPr>
          <w:ilvl w:val="0"/>
          <w:numId w:val="0"/>
        </w:numPr>
        <w:rPr>
          <w:i/>
          <w:lang w:val="fr-FR"/>
        </w:rPr>
      </w:pPr>
      <w:r>
        <w:rPr>
          <w:i/>
          <w:lang w:val="fr-FR"/>
        </w:rPr>
        <w:t>Répartition de la t</w:t>
      </w:r>
      <w:r w:rsidRPr="00725BC4">
        <w:rPr>
          <w:i/>
          <w:lang w:val="fr-FR"/>
        </w:rPr>
        <w:t>ranche (2021-2026)</w:t>
      </w:r>
    </w:p>
    <w:p w14:paraId="3EF40021" w14:textId="77777777" w:rsidR="00045AA9" w:rsidRPr="00725BC4" w:rsidRDefault="00045AA9" w:rsidP="00C322D3">
      <w:pPr>
        <w:pStyle w:val="Heading1"/>
        <w:rPr>
          <w:lang w:val="fr-FR"/>
        </w:rPr>
      </w:pPr>
      <w:r>
        <w:rPr>
          <w:lang w:val="fr-FR"/>
        </w:rPr>
        <w:t>L</w:t>
      </w:r>
      <w:r w:rsidRPr="00725BC4">
        <w:rPr>
          <w:lang w:val="fr-FR"/>
        </w:rPr>
        <w:t xml:space="preserve">e </w:t>
      </w:r>
      <w:r>
        <w:rPr>
          <w:lang w:val="fr-FR"/>
        </w:rPr>
        <w:t xml:space="preserve">calendrier de décaissement de la </w:t>
      </w:r>
      <w:r w:rsidRPr="00725BC4">
        <w:rPr>
          <w:lang w:val="fr-FR"/>
        </w:rPr>
        <w:t xml:space="preserve">tranche </w:t>
      </w:r>
      <w:r>
        <w:rPr>
          <w:lang w:val="fr-FR"/>
        </w:rPr>
        <w:t xml:space="preserve">pour les années </w:t>
      </w:r>
      <w:r w:rsidRPr="00725BC4">
        <w:rPr>
          <w:lang w:val="fr-FR"/>
        </w:rPr>
        <w:t xml:space="preserve">2021 </w:t>
      </w:r>
      <w:r>
        <w:rPr>
          <w:lang w:val="fr-FR"/>
        </w:rPr>
        <w:t>à 2026 e</w:t>
      </w:r>
      <w:r w:rsidRPr="00725BC4">
        <w:rPr>
          <w:lang w:val="fr-FR"/>
        </w:rPr>
        <w:t>s</w:t>
      </w:r>
      <w:r>
        <w:rPr>
          <w:lang w:val="fr-FR"/>
        </w:rPr>
        <w:t>t pré</w:t>
      </w:r>
      <w:r w:rsidRPr="00725BC4">
        <w:rPr>
          <w:lang w:val="fr-FR"/>
        </w:rPr>
        <w:t>sent</w:t>
      </w:r>
      <w:r>
        <w:rPr>
          <w:lang w:val="fr-FR"/>
        </w:rPr>
        <w:t>é au tableau</w:t>
      </w:r>
      <w:r w:rsidRPr="00725BC4">
        <w:rPr>
          <w:lang w:val="fr-FR"/>
        </w:rPr>
        <w:t xml:space="preserve"> 4. </w:t>
      </w:r>
      <w:r>
        <w:rPr>
          <w:lang w:val="fr-FR"/>
        </w:rPr>
        <w:t>L</w:t>
      </w:r>
      <w:r w:rsidRPr="00725BC4">
        <w:rPr>
          <w:lang w:val="fr-FR"/>
        </w:rPr>
        <w:t xml:space="preserve">e </w:t>
      </w:r>
      <w:r>
        <w:rPr>
          <w:lang w:val="fr-FR"/>
        </w:rPr>
        <w:t xml:space="preserve">décaissement de la </w:t>
      </w:r>
      <w:r w:rsidRPr="00725BC4">
        <w:rPr>
          <w:lang w:val="fr-FR"/>
        </w:rPr>
        <w:t xml:space="preserve">tranche </w:t>
      </w:r>
      <w:r>
        <w:rPr>
          <w:lang w:val="fr-FR"/>
        </w:rPr>
        <w:t>se retrouve aux lignes 2.5.1 à</w:t>
      </w:r>
      <w:r w:rsidRPr="00725BC4">
        <w:rPr>
          <w:lang w:val="fr-FR"/>
        </w:rPr>
        <w:t xml:space="preserve"> 2.5.6 </w:t>
      </w:r>
      <w:r>
        <w:rPr>
          <w:lang w:val="fr-FR"/>
        </w:rPr>
        <w:t>de l’Appendice</w:t>
      </w:r>
      <w:r w:rsidRPr="00725BC4">
        <w:rPr>
          <w:lang w:val="fr-FR"/>
        </w:rPr>
        <w:t> 2-A</w:t>
      </w:r>
      <w:r>
        <w:rPr>
          <w:lang w:val="fr-FR"/>
        </w:rPr>
        <w:t xml:space="preserve"> du projet d’Accord révisé entre le gouvernement de la Chine et le Comité exécutif</w:t>
      </w:r>
      <w:r w:rsidRPr="00725BC4">
        <w:rPr>
          <w:lang w:val="fr-FR"/>
        </w:rPr>
        <w:t>.</w:t>
      </w:r>
    </w:p>
    <w:p w14:paraId="31B5BAAC" w14:textId="77777777" w:rsidR="00045AA9" w:rsidRPr="002C0BB0" w:rsidRDefault="00045AA9" w:rsidP="00F91819">
      <w:pPr>
        <w:keepNext/>
        <w:keepLines/>
        <w:tabs>
          <w:tab w:val="num" w:pos="0"/>
          <w:tab w:val="num" w:pos="720"/>
          <w:tab w:val="num" w:pos="902"/>
        </w:tabs>
        <w:rPr>
          <w:b/>
          <w:sz w:val="20"/>
          <w:szCs w:val="20"/>
          <w:lang w:val="fr-FR"/>
        </w:rPr>
      </w:pPr>
      <w:r w:rsidRPr="002C0BB0">
        <w:rPr>
          <w:b/>
          <w:sz w:val="20"/>
          <w:szCs w:val="20"/>
          <w:lang w:val="fr-FR"/>
        </w:rPr>
        <w:lastRenderedPageBreak/>
        <w:t>Tableau 4. Répartition de la tranche pour le secteur de l’entretien de</w:t>
      </w:r>
      <w:r>
        <w:rPr>
          <w:b/>
          <w:sz w:val="20"/>
          <w:szCs w:val="20"/>
          <w:lang w:val="fr-FR"/>
        </w:rPr>
        <w:t xml:space="preserve"> l’équipement</w:t>
      </w:r>
      <w:r w:rsidRPr="002C0BB0">
        <w:rPr>
          <w:b/>
          <w:sz w:val="20"/>
          <w:szCs w:val="20"/>
          <w:lang w:val="fr-FR"/>
        </w:rPr>
        <w:t xml:space="preserve"> de réfrigération et le programme national de facilitation ($ US)</w:t>
      </w:r>
    </w:p>
    <w:tbl>
      <w:tblPr>
        <w:tblStyle w:val="TableGrid"/>
        <w:tblW w:w="9445" w:type="dxa"/>
        <w:tblLook w:val="04A0" w:firstRow="1" w:lastRow="0" w:firstColumn="1" w:lastColumn="0" w:noHBand="0" w:noVBand="1"/>
      </w:tblPr>
      <w:tblGrid>
        <w:gridCol w:w="1251"/>
        <w:gridCol w:w="1170"/>
        <w:gridCol w:w="1170"/>
        <w:gridCol w:w="1171"/>
        <w:gridCol w:w="1170"/>
        <w:gridCol w:w="1171"/>
        <w:gridCol w:w="1170"/>
        <w:gridCol w:w="1172"/>
      </w:tblGrid>
      <w:tr w:rsidR="00045AA9" w:rsidRPr="00725BC4" w14:paraId="2669B232" w14:textId="77777777" w:rsidTr="0063050C">
        <w:tc>
          <w:tcPr>
            <w:tcW w:w="1251" w:type="dxa"/>
          </w:tcPr>
          <w:p w14:paraId="23C7134E" w14:textId="77777777" w:rsidR="00045AA9" w:rsidRPr="00725BC4" w:rsidRDefault="00045AA9" w:rsidP="00F91819">
            <w:pPr>
              <w:keepNext/>
              <w:keepLines/>
              <w:tabs>
                <w:tab w:val="num" w:pos="0"/>
                <w:tab w:val="num" w:pos="720"/>
                <w:tab w:val="num" w:pos="902"/>
              </w:tabs>
              <w:jc w:val="left"/>
              <w:rPr>
                <w:b/>
                <w:sz w:val="20"/>
                <w:szCs w:val="20"/>
                <w:lang w:val="fr-FR"/>
              </w:rPr>
            </w:pPr>
            <w:r>
              <w:rPr>
                <w:b/>
                <w:sz w:val="20"/>
                <w:szCs w:val="20"/>
                <w:lang w:val="fr-FR"/>
              </w:rPr>
              <w:t>Poste</w:t>
            </w:r>
          </w:p>
        </w:tc>
        <w:tc>
          <w:tcPr>
            <w:tcW w:w="1170" w:type="dxa"/>
          </w:tcPr>
          <w:p w14:paraId="273C615E"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2021</w:t>
            </w:r>
          </w:p>
        </w:tc>
        <w:tc>
          <w:tcPr>
            <w:tcW w:w="1170" w:type="dxa"/>
          </w:tcPr>
          <w:p w14:paraId="5270184E"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2022</w:t>
            </w:r>
          </w:p>
        </w:tc>
        <w:tc>
          <w:tcPr>
            <w:tcW w:w="1171" w:type="dxa"/>
          </w:tcPr>
          <w:p w14:paraId="31615B47"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2023</w:t>
            </w:r>
          </w:p>
        </w:tc>
        <w:tc>
          <w:tcPr>
            <w:tcW w:w="1170" w:type="dxa"/>
          </w:tcPr>
          <w:p w14:paraId="7EF77EB1"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2024</w:t>
            </w:r>
          </w:p>
        </w:tc>
        <w:tc>
          <w:tcPr>
            <w:tcW w:w="1171" w:type="dxa"/>
          </w:tcPr>
          <w:p w14:paraId="77C44C93"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2025</w:t>
            </w:r>
          </w:p>
        </w:tc>
        <w:tc>
          <w:tcPr>
            <w:tcW w:w="1170" w:type="dxa"/>
          </w:tcPr>
          <w:p w14:paraId="40BAA268"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2026</w:t>
            </w:r>
          </w:p>
        </w:tc>
        <w:tc>
          <w:tcPr>
            <w:tcW w:w="1172" w:type="dxa"/>
          </w:tcPr>
          <w:p w14:paraId="52F54520" w14:textId="77777777" w:rsidR="00045AA9" w:rsidRPr="00725BC4" w:rsidRDefault="00045AA9" w:rsidP="00F91819">
            <w:pPr>
              <w:keepNext/>
              <w:keepLines/>
              <w:tabs>
                <w:tab w:val="num" w:pos="0"/>
                <w:tab w:val="num" w:pos="720"/>
                <w:tab w:val="num" w:pos="902"/>
              </w:tabs>
              <w:jc w:val="center"/>
              <w:rPr>
                <w:b/>
                <w:sz w:val="20"/>
                <w:szCs w:val="20"/>
                <w:lang w:val="fr-FR"/>
              </w:rPr>
            </w:pPr>
            <w:r w:rsidRPr="00725BC4">
              <w:rPr>
                <w:b/>
                <w:sz w:val="20"/>
                <w:szCs w:val="20"/>
                <w:lang w:val="fr-FR"/>
              </w:rPr>
              <w:t>Total</w:t>
            </w:r>
          </w:p>
        </w:tc>
      </w:tr>
      <w:tr w:rsidR="00045AA9" w:rsidRPr="00725BC4" w14:paraId="2FE5D097" w14:textId="77777777" w:rsidTr="0063050C">
        <w:tc>
          <w:tcPr>
            <w:tcW w:w="1251" w:type="dxa"/>
          </w:tcPr>
          <w:p w14:paraId="3FE5EC46" w14:textId="77777777" w:rsidR="00045AA9" w:rsidRPr="00725BC4" w:rsidRDefault="00045AA9" w:rsidP="0063050C">
            <w:pPr>
              <w:tabs>
                <w:tab w:val="num" w:pos="0"/>
                <w:tab w:val="num" w:pos="720"/>
                <w:tab w:val="num" w:pos="902"/>
              </w:tabs>
              <w:rPr>
                <w:sz w:val="20"/>
                <w:szCs w:val="20"/>
                <w:lang w:val="fr-FR"/>
              </w:rPr>
            </w:pPr>
            <w:r w:rsidRPr="00725BC4">
              <w:rPr>
                <w:sz w:val="20"/>
                <w:szCs w:val="20"/>
                <w:lang w:val="fr-FR"/>
              </w:rPr>
              <w:t>F</w:t>
            </w:r>
            <w:r>
              <w:rPr>
                <w:sz w:val="20"/>
                <w:szCs w:val="20"/>
                <w:lang w:val="fr-FR"/>
              </w:rPr>
              <w:t>inancement</w:t>
            </w:r>
          </w:p>
        </w:tc>
        <w:tc>
          <w:tcPr>
            <w:tcW w:w="1170" w:type="dxa"/>
          </w:tcPr>
          <w:p w14:paraId="72A61789" w14:textId="77777777" w:rsidR="00045AA9" w:rsidRPr="00725BC4" w:rsidRDefault="00045AA9" w:rsidP="0063050C">
            <w:pPr>
              <w:tabs>
                <w:tab w:val="num" w:pos="0"/>
                <w:tab w:val="num" w:pos="720"/>
                <w:tab w:val="num" w:pos="902"/>
              </w:tabs>
              <w:rPr>
                <w:sz w:val="20"/>
                <w:szCs w:val="20"/>
                <w:lang w:val="fr-FR"/>
              </w:rPr>
            </w:pPr>
            <w:r>
              <w:rPr>
                <w:sz w:val="20"/>
                <w:szCs w:val="20"/>
                <w:lang w:val="fr-FR"/>
              </w:rPr>
              <w:t xml:space="preserve">2 000 </w:t>
            </w:r>
            <w:r w:rsidRPr="00725BC4">
              <w:rPr>
                <w:sz w:val="20"/>
                <w:szCs w:val="20"/>
                <w:lang w:val="fr-FR"/>
              </w:rPr>
              <w:t>000</w:t>
            </w:r>
          </w:p>
        </w:tc>
        <w:tc>
          <w:tcPr>
            <w:tcW w:w="1170" w:type="dxa"/>
          </w:tcPr>
          <w:p w14:paraId="68E1E85D" w14:textId="77777777" w:rsidR="00045AA9" w:rsidRPr="00725BC4" w:rsidRDefault="00045AA9" w:rsidP="0063050C">
            <w:pPr>
              <w:tabs>
                <w:tab w:val="num" w:pos="0"/>
                <w:tab w:val="num" w:pos="720"/>
                <w:tab w:val="num" w:pos="902"/>
              </w:tabs>
              <w:jc w:val="right"/>
              <w:rPr>
                <w:sz w:val="20"/>
                <w:szCs w:val="20"/>
                <w:lang w:val="fr-FR"/>
              </w:rPr>
            </w:pPr>
            <w:r>
              <w:rPr>
                <w:sz w:val="20"/>
                <w:szCs w:val="20"/>
                <w:lang w:val="fr-FR"/>
              </w:rPr>
              <w:t xml:space="preserve">2 000 </w:t>
            </w:r>
            <w:r w:rsidRPr="00725BC4">
              <w:rPr>
                <w:sz w:val="20"/>
                <w:szCs w:val="20"/>
                <w:lang w:val="fr-FR"/>
              </w:rPr>
              <w:t>000</w:t>
            </w:r>
          </w:p>
        </w:tc>
        <w:tc>
          <w:tcPr>
            <w:tcW w:w="1171" w:type="dxa"/>
          </w:tcPr>
          <w:p w14:paraId="3D9C32E5" w14:textId="77777777" w:rsidR="00045AA9" w:rsidRPr="00725BC4" w:rsidRDefault="00045AA9" w:rsidP="0063050C">
            <w:pPr>
              <w:tabs>
                <w:tab w:val="num" w:pos="0"/>
                <w:tab w:val="num" w:pos="720"/>
                <w:tab w:val="num" w:pos="902"/>
              </w:tabs>
              <w:jc w:val="right"/>
              <w:rPr>
                <w:sz w:val="20"/>
                <w:szCs w:val="20"/>
                <w:lang w:val="fr-FR"/>
              </w:rPr>
            </w:pPr>
            <w:r>
              <w:rPr>
                <w:sz w:val="20"/>
                <w:szCs w:val="20"/>
                <w:lang w:val="fr-FR"/>
              </w:rPr>
              <w:t xml:space="preserve">2 000 </w:t>
            </w:r>
            <w:r w:rsidRPr="00725BC4">
              <w:rPr>
                <w:sz w:val="20"/>
                <w:szCs w:val="20"/>
                <w:lang w:val="fr-FR"/>
              </w:rPr>
              <w:t>000</w:t>
            </w:r>
          </w:p>
        </w:tc>
        <w:tc>
          <w:tcPr>
            <w:tcW w:w="1170" w:type="dxa"/>
          </w:tcPr>
          <w:p w14:paraId="2C593F61" w14:textId="77777777" w:rsidR="00045AA9" w:rsidRPr="00725BC4" w:rsidRDefault="00045AA9" w:rsidP="0063050C">
            <w:pPr>
              <w:tabs>
                <w:tab w:val="num" w:pos="0"/>
                <w:tab w:val="num" w:pos="720"/>
                <w:tab w:val="num" w:pos="902"/>
              </w:tabs>
              <w:jc w:val="right"/>
              <w:rPr>
                <w:sz w:val="20"/>
                <w:szCs w:val="20"/>
                <w:lang w:val="fr-FR"/>
              </w:rPr>
            </w:pPr>
            <w:r>
              <w:rPr>
                <w:sz w:val="20"/>
                <w:szCs w:val="20"/>
                <w:lang w:val="fr-FR"/>
              </w:rPr>
              <w:t xml:space="preserve">3 000 </w:t>
            </w:r>
            <w:r w:rsidRPr="00725BC4">
              <w:rPr>
                <w:sz w:val="20"/>
                <w:szCs w:val="20"/>
                <w:lang w:val="fr-FR"/>
              </w:rPr>
              <w:t>000</w:t>
            </w:r>
          </w:p>
        </w:tc>
        <w:tc>
          <w:tcPr>
            <w:tcW w:w="1171" w:type="dxa"/>
          </w:tcPr>
          <w:p w14:paraId="76E12AF3" w14:textId="77777777" w:rsidR="00045AA9" w:rsidRPr="00725BC4" w:rsidRDefault="00045AA9" w:rsidP="0063050C">
            <w:pPr>
              <w:tabs>
                <w:tab w:val="num" w:pos="0"/>
                <w:tab w:val="num" w:pos="720"/>
                <w:tab w:val="num" w:pos="902"/>
              </w:tabs>
              <w:jc w:val="right"/>
              <w:rPr>
                <w:sz w:val="20"/>
                <w:szCs w:val="20"/>
                <w:lang w:val="fr-FR"/>
              </w:rPr>
            </w:pPr>
            <w:r>
              <w:rPr>
                <w:sz w:val="20"/>
                <w:szCs w:val="20"/>
                <w:lang w:val="fr-FR"/>
              </w:rPr>
              <w:t xml:space="preserve">1 200 </w:t>
            </w:r>
            <w:r w:rsidRPr="00725BC4">
              <w:rPr>
                <w:sz w:val="20"/>
                <w:szCs w:val="20"/>
                <w:lang w:val="fr-FR"/>
              </w:rPr>
              <w:t>000</w:t>
            </w:r>
          </w:p>
        </w:tc>
        <w:tc>
          <w:tcPr>
            <w:tcW w:w="1170" w:type="dxa"/>
          </w:tcPr>
          <w:p w14:paraId="3739ADC1" w14:textId="77777777" w:rsidR="00045AA9" w:rsidRPr="00725BC4" w:rsidRDefault="00045AA9" w:rsidP="0063050C">
            <w:pPr>
              <w:tabs>
                <w:tab w:val="num" w:pos="0"/>
                <w:tab w:val="num" w:pos="720"/>
                <w:tab w:val="num" w:pos="902"/>
              </w:tabs>
              <w:jc w:val="right"/>
              <w:rPr>
                <w:sz w:val="20"/>
                <w:szCs w:val="20"/>
                <w:lang w:val="fr-FR"/>
              </w:rPr>
            </w:pPr>
            <w:r>
              <w:rPr>
                <w:sz w:val="20"/>
                <w:szCs w:val="20"/>
                <w:lang w:val="fr-FR"/>
              </w:rPr>
              <w:t xml:space="preserve">2 517 </w:t>
            </w:r>
            <w:r w:rsidRPr="00725BC4">
              <w:rPr>
                <w:sz w:val="20"/>
                <w:szCs w:val="20"/>
                <w:lang w:val="fr-FR"/>
              </w:rPr>
              <w:t>105</w:t>
            </w:r>
          </w:p>
        </w:tc>
        <w:tc>
          <w:tcPr>
            <w:tcW w:w="1172" w:type="dxa"/>
          </w:tcPr>
          <w:p w14:paraId="3ACB9A28" w14:textId="77777777" w:rsidR="00045AA9" w:rsidRPr="00725BC4" w:rsidRDefault="00045AA9" w:rsidP="0063050C">
            <w:pPr>
              <w:tabs>
                <w:tab w:val="num" w:pos="0"/>
                <w:tab w:val="num" w:pos="720"/>
                <w:tab w:val="num" w:pos="902"/>
              </w:tabs>
              <w:jc w:val="right"/>
              <w:rPr>
                <w:sz w:val="20"/>
                <w:szCs w:val="20"/>
                <w:lang w:val="fr-FR"/>
              </w:rPr>
            </w:pPr>
            <w:r w:rsidRPr="00725BC4">
              <w:rPr>
                <w:sz w:val="20"/>
                <w:szCs w:val="20"/>
                <w:lang w:val="fr-FR"/>
              </w:rPr>
              <w:t>12</w:t>
            </w:r>
            <w:r>
              <w:rPr>
                <w:sz w:val="20"/>
                <w:szCs w:val="20"/>
                <w:lang w:val="fr-FR"/>
              </w:rPr>
              <w:t xml:space="preserve"> 717 </w:t>
            </w:r>
            <w:r w:rsidRPr="00725BC4">
              <w:rPr>
                <w:sz w:val="20"/>
                <w:szCs w:val="20"/>
                <w:lang w:val="fr-FR"/>
              </w:rPr>
              <w:t>105</w:t>
            </w:r>
          </w:p>
        </w:tc>
      </w:tr>
    </w:tbl>
    <w:p w14:paraId="305DE964" w14:textId="77777777" w:rsidR="00045AA9" w:rsidRDefault="00045AA9" w:rsidP="00F91819">
      <w:pPr>
        <w:pStyle w:val="StyleHeading1Para1Heading1CharHeading1Char3CharHeadin"/>
        <w:tabs>
          <w:tab w:val="clear" w:pos="720"/>
          <w:tab w:val="left" w:pos="567"/>
        </w:tabs>
        <w:spacing w:before="240"/>
        <w:rPr>
          <w:b/>
          <w:lang w:val="fr-FR"/>
        </w:rPr>
      </w:pPr>
      <w:r>
        <w:rPr>
          <w:b/>
          <w:lang w:val="fr-FR"/>
        </w:rPr>
        <w:t>Observations du Secrétariat</w:t>
      </w:r>
    </w:p>
    <w:p w14:paraId="1DCF684A" w14:textId="26E3A56A" w:rsidR="00045AA9" w:rsidRDefault="00045AA9" w:rsidP="00C322D3">
      <w:pPr>
        <w:pStyle w:val="Heading1"/>
        <w:rPr>
          <w:lang w:val="fr-FR"/>
        </w:rPr>
      </w:pPr>
      <w:r>
        <w:rPr>
          <w:lang w:val="fr-FR"/>
        </w:rPr>
        <w:t>Le Secrétariat a pris note de l’ajustement du coût global de la phase II du PGEH pour le secteur de l’entretien de l’équipement de réfrigération et du programme national de faci</w:t>
      </w:r>
      <w:r w:rsidR="00F91819">
        <w:rPr>
          <w:lang w:val="fr-FR"/>
        </w:rPr>
        <w:t>litation pour la Chine à 18 526 </w:t>
      </w:r>
      <w:r>
        <w:rPr>
          <w:lang w:val="fr-FR"/>
        </w:rPr>
        <w:t>237 $US, par rapport à l’approbation initiale de 20,9 millions $US, et qu’avec ce financement ajusté, le gouvernement de la Chine s’est engagé à réaliser l’élimination de HCFC à laquelle il s’est engagé d’ici 2026, dans le secteur national de l’entretien et le secteur du programme national de facilitation. Il est prévu que la consommation restante de HCFC-22 requise pour l’entretien en 2026 sera d’environ 15 000 tonnes métriques.</w:t>
      </w:r>
    </w:p>
    <w:p w14:paraId="38E092E2" w14:textId="5DB902CF" w:rsidR="00045AA9" w:rsidRDefault="00045AA9" w:rsidP="00C322D3">
      <w:pPr>
        <w:pStyle w:val="Heading1"/>
        <w:rPr>
          <w:lang w:val="fr-FR"/>
        </w:rPr>
      </w:pPr>
      <w:r>
        <w:rPr>
          <w:lang w:val="fr-FR"/>
        </w:rPr>
        <w:t>Il a été expliqué qu’avec cette réduction du niveau de financement, les priorités dans les activités du secteur de l’entretien de l’équipement de réfrigération et de la composante de facilitation de la phase II seront réaménagées pour se concentrer sur le programme de formation, l’élaboration de normes, d’études thématiques ainsi que le renforcement des capacités des BPE locaux et des services des douanes.  L’objectif est d’améliorer les compétences techniques des techniciens d’entretien, de renforcer les capacités de gestion et de supervision des autorités, ce qui entrainera la réduction de la consommation de HCFC dans le secteur de l’entretien et assurera l’atteinte et le maintien de l’objectif de conformité.</w:t>
      </w:r>
    </w:p>
    <w:p w14:paraId="1A6FC431" w14:textId="77777777" w:rsidR="00045AA9" w:rsidRDefault="00045AA9" w:rsidP="00C322D3">
      <w:pPr>
        <w:pStyle w:val="Heading1"/>
        <w:rPr>
          <w:lang w:val="fr-FR"/>
        </w:rPr>
      </w:pPr>
      <w:r>
        <w:rPr>
          <w:lang w:val="fr-FR"/>
        </w:rPr>
        <w:t>Suite à une question sur la répartition du financement de 1 000 000 $US approuvé à la 84</w:t>
      </w:r>
      <w:r w:rsidRPr="00C322D3">
        <w:rPr>
          <w:lang w:val="fr-FR"/>
        </w:rPr>
        <w:t>e</w:t>
      </w:r>
      <w:r>
        <w:rPr>
          <w:lang w:val="fr-FR"/>
        </w:rPr>
        <w:t xml:space="preserve"> réunion dans le programme révisé, le PNUE a expliqué qu’il était inclus dans les activités pour la période 2016-2020, tandis que le plan révisé se concentre sur des activités qui seront mises en œuvre à partir de 2021.  Afin de faire un suivi efficace des activités et du financement associé, le gouvernement de la Chine a décidé de diviser les activités de la phase II en deux composantes, l’une désignée comme la phase II (2016-2020) et l’autre comme la phase II révisée prolongée (2021-2026) afin de différencier les activités et le financement.</w:t>
      </w:r>
    </w:p>
    <w:p w14:paraId="4CC64858" w14:textId="5FD67D91" w:rsidR="00045AA9" w:rsidRDefault="00045AA9" w:rsidP="00C322D3">
      <w:pPr>
        <w:pStyle w:val="Heading1"/>
        <w:rPr>
          <w:lang w:val="fr-FR"/>
        </w:rPr>
      </w:pPr>
      <w:r>
        <w:rPr>
          <w:lang w:val="fr-FR"/>
        </w:rPr>
        <w:t>Le PNUE a fourni aussi une liste des politiques et des normes élaborées durant les tranches précédentes, comparée à ce qui devrait être l’objectif principal du plan révisé afin de suivre plus facilement celles qui sont achevées et celles qui sont en cours.</w:t>
      </w:r>
    </w:p>
    <w:p w14:paraId="3274B364" w14:textId="77777777" w:rsidR="00045AA9" w:rsidRDefault="00045AA9" w:rsidP="00045AA9">
      <w:pPr>
        <w:pStyle w:val="StyleHeading1Para1Heading1CharHeading1Char3CharHeadin"/>
        <w:tabs>
          <w:tab w:val="clear" w:pos="720"/>
          <w:tab w:val="left" w:pos="567"/>
        </w:tabs>
        <w:rPr>
          <w:b/>
          <w:lang w:val="fr-FR"/>
        </w:rPr>
      </w:pPr>
      <w:r>
        <w:rPr>
          <w:b/>
          <w:lang w:val="fr-FR"/>
        </w:rPr>
        <w:t>Recommandation</w:t>
      </w:r>
    </w:p>
    <w:p w14:paraId="4212D8AC" w14:textId="70608D2C" w:rsidR="00045AA9" w:rsidRPr="00AA05B8" w:rsidRDefault="00045AA9" w:rsidP="00C322D3">
      <w:pPr>
        <w:pStyle w:val="Heading1"/>
        <w:rPr>
          <w:b/>
          <w:lang w:val="fr-FR"/>
        </w:rPr>
      </w:pPr>
      <w:r>
        <w:rPr>
          <w:lang w:val="fr-FR"/>
        </w:rPr>
        <w:t>Le Comité exécutif pourrait souhaiter approuver le plan d’action révisé pour prolonger jusqu’en 2026, la phase II du secteur de l’entretien de l’équipement de réfrigération et du secteur du programme national de facilitation, soumis par le PNUD, conformément à la décision 84/69(a)(iii), tel que décrit dans le document UNEP/OzL.Pro/ExCom/86/21/Add.1.</w:t>
      </w:r>
    </w:p>
    <w:p w14:paraId="50801B56" w14:textId="77777777" w:rsidR="004315D4" w:rsidRPr="00006053" w:rsidRDefault="004315D4" w:rsidP="004315D4">
      <w:pPr>
        <w:rPr>
          <w:b/>
          <w:lang w:val="fr-FR"/>
        </w:rPr>
      </w:pPr>
      <w:r w:rsidRPr="00006053">
        <w:rPr>
          <w:b/>
          <w:lang w:val="fr-FR"/>
        </w:rPr>
        <w:t>PLAN RÉVISÉ DU SECTEUR DE LA MOUSSE DE POLYSTYRÈNE EXTRUDÉ (ONUDI, Allemagne)</w:t>
      </w:r>
    </w:p>
    <w:p w14:paraId="5DA5972B" w14:textId="77777777" w:rsidR="004315D4" w:rsidRPr="00006053" w:rsidRDefault="004315D4" w:rsidP="004315D4">
      <w:pPr>
        <w:rPr>
          <w:lang w:val="fr-FR"/>
        </w:rPr>
      </w:pPr>
    </w:p>
    <w:p w14:paraId="34A54029" w14:textId="77777777" w:rsidR="004315D4" w:rsidRPr="00006053" w:rsidRDefault="004315D4" w:rsidP="004315D4">
      <w:pPr>
        <w:rPr>
          <w:b/>
          <w:lang w:val="fr-FR"/>
        </w:rPr>
      </w:pPr>
      <w:r w:rsidRPr="00006053">
        <w:rPr>
          <w:b/>
          <w:lang w:val="fr-FR"/>
        </w:rPr>
        <w:t>Description du plan sectoriel</w:t>
      </w:r>
    </w:p>
    <w:p w14:paraId="429B422E" w14:textId="77777777" w:rsidR="004315D4" w:rsidRPr="00006053" w:rsidRDefault="004315D4" w:rsidP="004315D4">
      <w:pPr>
        <w:rPr>
          <w:lang w:val="fr-FR"/>
        </w:rPr>
      </w:pPr>
    </w:p>
    <w:p w14:paraId="5946BE05" w14:textId="77777777" w:rsidR="004315D4" w:rsidRPr="00006053" w:rsidRDefault="004315D4" w:rsidP="004315D4">
      <w:pPr>
        <w:rPr>
          <w:b/>
          <w:lang w:val="fr-FR"/>
        </w:rPr>
      </w:pPr>
      <w:r w:rsidRPr="00006053">
        <w:rPr>
          <w:b/>
          <w:lang w:val="fr-FR"/>
        </w:rPr>
        <w:t xml:space="preserve">Contexte </w:t>
      </w:r>
    </w:p>
    <w:p w14:paraId="09F4A175" w14:textId="77777777" w:rsidR="004315D4" w:rsidRPr="00006053" w:rsidRDefault="004315D4" w:rsidP="004315D4">
      <w:pPr>
        <w:rPr>
          <w:b/>
          <w:lang w:val="fr-FR"/>
        </w:rPr>
      </w:pPr>
    </w:p>
    <w:p w14:paraId="08E2BE9A" w14:textId="77777777" w:rsidR="004315D4" w:rsidRPr="00006053" w:rsidRDefault="004315D4" w:rsidP="004315D4">
      <w:pPr>
        <w:pStyle w:val="Heading1"/>
        <w:rPr>
          <w:lang w:val="fr-FR"/>
        </w:rPr>
      </w:pPr>
      <w:r w:rsidRPr="00006053">
        <w:rPr>
          <w:lang w:val="fr-FR"/>
        </w:rPr>
        <w:t>À sa 77</w:t>
      </w:r>
      <w:r w:rsidRPr="00006053">
        <w:rPr>
          <w:vertAlign w:val="superscript"/>
          <w:lang w:val="fr-FR"/>
        </w:rPr>
        <w:t>e</w:t>
      </w:r>
      <w:r w:rsidRPr="00006053">
        <w:rPr>
          <w:lang w:val="fr-FR"/>
        </w:rPr>
        <w:t xml:space="preserve"> réunion, le Comité exécutif a approuvé le plan sectoriel relatif à la fabrication des mousses de polystyrène extrudé (XPS) de la phase II du plan de gestion de l’élimination des HCFC (PGEH) de manière à atteindre, d’ici 2026, une élimination totale des HCFC dans le secteur, et ce pour un montant approuvé en principe de 112 786 630 $US, coûts d’appui d’agence en sus pour l’ONUDI et le </w:t>
      </w:r>
      <w:r w:rsidRPr="00006053">
        <w:rPr>
          <w:lang w:val="fr-FR"/>
        </w:rPr>
        <w:lastRenderedPageBreak/>
        <w:t xml:space="preserve">Gouvernement allemand. Lors de cette réunion, le Comité exécutif a également approuvé la première tranche du plan sectoriel des mousses XPS ainsi que le plan de mise en œuvre de la tranche 2017 y relatif. </w:t>
      </w:r>
    </w:p>
    <w:p w14:paraId="7DB6DD27" w14:textId="77777777" w:rsidR="004315D4" w:rsidRPr="00006053" w:rsidRDefault="004315D4" w:rsidP="004315D4">
      <w:pPr>
        <w:pStyle w:val="Heading1"/>
        <w:widowControl w:val="0"/>
        <w:rPr>
          <w:lang w:val="fr-FR"/>
        </w:rPr>
      </w:pPr>
      <w:r w:rsidRPr="00006053">
        <w:rPr>
          <w:lang w:val="fr-FR"/>
        </w:rPr>
        <w:t>À sa 80</w:t>
      </w:r>
      <w:r w:rsidRPr="00006053">
        <w:rPr>
          <w:vertAlign w:val="superscript"/>
          <w:lang w:val="fr-FR"/>
        </w:rPr>
        <w:t>e</w:t>
      </w:r>
      <w:r w:rsidRPr="00006053">
        <w:rPr>
          <w:lang w:val="fr-FR"/>
        </w:rPr>
        <w:t xml:space="preserve"> réunion, le Comité exécutif a approuvé la deuxième tranche de la phase II du plan sectoriel des mousses XPS ainsi que le plan de mise en œuvre de la tranche 2018 y relatif, et à sa 85</w:t>
      </w:r>
      <w:r w:rsidRPr="00006053">
        <w:rPr>
          <w:vertAlign w:val="superscript"/>
          <w:lang w:val="fr-FR"/>
        </w:rPr>
        <w:t>e</w:t>
      </w:r>
      <w:r w:rsidRPr="00006053">
        <w:rPr>
          <w:lang w:val="fr-FR"/>
        </w:rPr>
        <w:t xml:space="preserve"> réunion, le Comité a approuvé la troisième tranche ainsi que le plan de mise en œuvre y relatif pour la période 2020-2021. Au total à ce jour, 26 405 298 $US, plus les coûts d’appui d’agence pour l’ONUDI et le Gouvernement allemand, ont été approuvés. </w:t>
      </w:r>
    </w:p>
    <w:p w14:paraId="6B4F1EBF" w14:textId="77777777" w:rsidR="004315D4" w:rsidRPr="00006053" w:rsidRDefault="004315D4" w:rsidP="004315D4">
      <w:pPr>
        <w:pStyle w:val="Heading1"/>
        <w:rPr>
          <w:lang w:val="fr-FR"/>
        </w:rPr>
      </w:pPr>
      <w:r w:rsidRPr="00006053">
        <w:rPr>
          <w:lang w:val="fr-FR"/>
        </w:rPr>
        <w:t>En juin 2020, 10 entreprises de fabrication de mousse XPS avaient signé des contrats avec le FECO pour accomplir leur reconversion à une technologie à base de CO</w:t>
      </w:r>
      <w:r w:rsidRPr="00006053">
        <w:rPr>
          <w:vertAlign w:val="subscript"/>
          <w:lang w:val="fr-FR"/>
        </w:rPr>
        <w:t>2</w:t>
      </w:r>
      <w:r w:rsidRPr="00006053">
        <w:rPr>
          <w:lang w:val="fr-FR"/>
        </w:rPr>
        <w:t xml:space="preserve"> et avaient reçu un financement pour démarrer ce processus dont l’achèvement est prévu entre 2020 et 2021 et permettra d’éliminer 4 297 tonnes de HCFC.</w:t>
      </w:r>
    </w:p>
    <w:p w14:paraId="555B6FB6" w14:textId="77777777" w:rsidR="004315D4" w:rsidRPr="00006053" w:rsidRDefault="004315D4" w:rsidP="004315D4">
      <w:pPr>
        <w:rPr>
          <w:b/>
          <w:lang w:val="fr-FR"/>
        </w:rPr>
      </w:pPr>
      <w:r w:rsidRPr="00006053">
        <w:rPr>
          <w:b/>
          <w:lang w:val="fr-FR"/>
        </w:rPr>
        <w:t xml:space="preserve">Plan d’action révisé </w:t>
      </w:r>
    </w:p>
    <w:p w14:paraId="2FD9695E" w14:textId="77777777" w:rsidR="004315D4" w:rsidRPr="00006053" w:rsidRDefault="004315D4" w:rsidP="004315D4">
      <w:pPr>
        <w:rPr>
          <w:lang w:val="fr-FR"/>
        </w:rPr>
      </w:pPr>
    </w:p>
    <w:p w14:paraId="42AC033B" w14:textId="77777777" w:rsidR="004315D4" w:rsidRPr="00006053" w:rsidRDefault="004315D4" w:rsidP="004315D4">
      <w:pPr>
        <w:pStyle w:val="Heading1"/>
        <w:rPr>
          <w:lang w:val="fr-FR"/>
        </w:rPr>
      </w:pPr>
      <w:r w:rsidRPr="00006053">
        <w:rPr>
          <w:lang w:val="fr-FR"/>
        </w:rPr>
        <w:t>Conformément à la décision 84/69 a) iv) b. et v) l’ONUDI, en tant qu’agence d’exécution principale du plan sectoriel des mousses XPS, a soumis, au nom du Gouvernement de la Chine, un plan d’action révisé relatif à la phase II du plan sectoriel des mousses XPS, pour les années 2021 à 2026, pour un coût de 18 534 654 $US, coûts d’appui d’agence en sus pour l’ONUDI et le Gouvernement allemand.</w:t>
      </w:r>
      <w:r w:rsidRPr="00006053">
        <w:rPr>
          <w:rStyle w:val="FootnoteReference"/>
          <w:lang w:val="fr-FR"/>
        </w:rPr>
        <w:footnoteReference w:id="25"/>
      </w:r>
      <w:r w:rsidRPr="00006053">
        <w:rPr>
          <w:lang w:val="fr-FR"/>
        </w:rPr>
        <w:t xml:space="preserve"> </w:t>
      </w:r>
    </w:p>
    <w:p w14:paraId="5C04BE3B" w14:textId="77777777" w:rsidR="004315D4" w:rsidRPr="00006053" w:rsidRDefault="004315D4" w:rsidP="004315D4">
      <w:pPr>
        <w:pStyle w:val="Heading1"/>
        <w:rPr>
          <w:lang w:val="fr-FR"/>
        </w:rPr>
      </w:pPr>
      <w:r w:rsidRPr="00006053">
        <w:rPr>
          <w:lang w:val="fr-FR"/>
        </w:rPr>
        <w:t xml:space="preserve">Sachant qu’entre 2016 et 2020, 26 405 298 $US, coûts d’appui d’agence en sus, ont déjà été approuvés pour le plan sectoriel des mousses XPS, l’approbation de principe révisée pour l’ensemble de la phase II du plan sectoriel des mousses XPS se monte à 44 939 952 $US, plus les coûts d’appui d’agence. </w:t>
      </w:r>
    </w:p>
    <w:p w14:paraId="3D02C86F" w14:textId="77777777" w:rsidR="004315D4" w:rsidRPr="00006053" w:rsidRDefault="004315D4" w:rsidP="004315D4">
      <w:pPr>
        <w:widowControl w:val="0"/>
        <w:numPr>
          <w:ilvl w:val="0"/>
          <w:numId w:val="1"/>
        </w:numPr>
        <w:spacing w:after="240"/>
        <w:outlineLvl w:val="0"/>
        <w:rPr>
          <w:lang w:val="fr-FR"/>
        </w:rPr>
      </w:pPr>
      <w:r w:rsidRPr="00006053">
        <w:rPr>
          <w:lang w:val="fr-FR"/>
        </w:rPr>
        <w:t>Conformément au projet d’accord révisé que le PNUD a soumis à la 86</w:t>
      </w:r>
      <w:r w:rsidRPr="00006053">
        <w:rPr>
          <w:vertAlign w:val="superscript"/>
          <w:lang w:val="fr-FR"/>
        </w:rPr>
        <w:t>e</w:t>
      </w:r>
      <w:r w:rsidRPr="00006053">
        <w:rPr>
          <w:lang w:val="fr-FR"/>
        </w:rPr>
        <w:t xml:space="preserve"> réunion, aucun financement n’est demandé à la 86</w:t>
      </w:r>
      <w:r w:rsidRPr="00006053">
        <w:rPr>
          <w:vertAlign w:val="superscript"/>
          <w:lang w:val="fr-FR"/>
        </w:rPr>
        <w:t>e</w:t>
      </w:r>
      <w:r w:rsidRPr="00006053">
        <w:rPr>
          <w:lang w:val="fr-FR"/>
        </w:rPr>
        <w:t xml:space="preserve"> réunion. La prochaine tranche du plan sectoriel des mousses XPS, d’un montant de 5 000 000 $US, plus des coûts d’appui d’agence de 308 000 $US pour l’ONUDI et de 73 535 $US pour le Gouvernement allemand, sera soumise à la deuxième réunion tenue en 2021.</w:t>
      </w:r>
    </w:p>
    <w:p w14:paraId="2ED00C7D" w14:textId="77777777" w:rsidR="004315D4" w:rsidRPr="00006053" w:rsidRDefault="004315D4" w:rsidP="004315D4">
      <w:pPr>
        <w:rPr>
          <w:u w:val="single"/>
          <w:lang w:val="fr-FR"/>
        </w:rPr>
      </w:pPr>
      <w:r w:rsidRPr="00006053">
        <w:rPr>
          <w:u w:val="single"/>
          <w:lang w:val="fr-FR"/>
        </w:rPr>
        <w:t xml:space="preserve">Objectifs de consommation de HCFC </w:t>
      </w:r>
    </w:p>
    <w:p w14:paraId="7E7BD9CB" w14:textId="77777777" w:rsidR="004315D4" w:rsidRPr="00006053" w:rsidRDefault="004315D4" w:rsidP="004315D4">
      <w:pPr>
        <w:rPr>
          <w:lang w:val="fr-FR"/>
        </w:rPr>
      </w:pPr>
    </w:p>
    <w:p w14:paraId="705F3E66" w14:textId="5C914CBD" w:rsidR="004315D4" w:rsidRPr="00006053" w:rsidRDefault="004315D4" w:rsidP="004315D4">
      <w:pPr>
        <w:pStyle w:val="Heading1"/>
        <w:rPr>
          <w:lang w:val="fr-FR"/>
        </w:rPr>
      </w:pPr>
      <w:r w:rsidRPr="00006053">
        <w:rPr>
          <w:lang w:val="fr-FR"/>
        </w:rPr>
        <w:t>Le calendrier d’élimination des HCFC pour la phase II du secteur des mousses XPS figure au tableau 1 et est reflété à la ligne 1.3.2 de l’appendice 2-A du projet d’accord révisé entre la Chine et le Comité exécutif, figurant en annexe II. Les objectifs de consommation de HCFC pour le secteur des mousses XPS ont été maintenus tels qu’ils avaient été initialement approuvés (à la 77</w:t>
      </w:r>
      <w:r w:rsidRPr="00006053">
        <w:rPr>
          <w:vertAlign w:val="superscript"/>
          <w:lang w:val="fr-FR"/>
        </w:rPr>
        <w:t>e</w:t>
      </w:r>
      <w:r w:rsidRPr="00006053">
        <w:rPr>
          <w:lang w:val="fr-FR"/>
        </w:rPr>
        <w:t xml:space="preserve"> réunion). </w:t>
      </w:r>
    </w:p>
    <w:p w14:paraId="10E9C06D" w14:textId="77777777" w:rsidR="004315D4" w:rsidRPr="00006053" w:rsidRDefault="004315D4" w:rsidP="004315D4">
      <w:pPr>
        <w:pStyle w:val="Heading1"/>
        <w:numPr>
          <w:ilvl w:val="0"/>
          <w:numId w:val="0"/>
        </w:numPr>
        <w:spacing w:after="0"/>
        <w:rPr>
          <w:b/>
          <w:lang w:val="fr-FR"/>
        </w:rPr>
      </w:pPr>
      <w:r w:rsidRPr="00006053">
        <w:rPr>
          <w:b/>
          <w:lang w:val="fr-FR"/>
        </w:rPr>
        <w:t>Tableau 1. Objectifs d’élimination des HCFC pour le secteur des mousses XPS en Chine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902"/>
        <w:gridCol w:w="821"/>
        <w:gridCol w:w="987"/>
        <w:gridCol w:w="1015"/>
        <w:gridCol w:w="903"/>
        <w:gridCol w:w="785"/>
        <w:gridCol w:w="701"/>
      </w:tblGrid>
      <w:tr w:rsidR="004315D4" w:rsidRPr="00006053" w14:paraId="4B99E82A" w14:textId="77777777" w:rsidTr="00DD32D0">
        <w:trPr>
          <w:cantSplit/>
          <w:trHeight w:val="472"/>
          <w:jc w:val="center"/>
        </w:trPr>
        <w:tc>
          <w:tcPr>
            <w:tcW w:w="1730" w:type="pct"/>
            <w:shd w:val="clear" w:color="auto" w:fill="auto"/>
            <w:vAlign w:val="center"/>
          </w:tcPr>
          <w:p w14:paraId="7287C254" w14:textId="77777777" w:rsidR="004315D4" w:rsidRPr="00006053" w:rsidRDefault="004315D4" w:rsidP="00DD32D0">
            <w:pPr>
              <w:tabs>
                <w:tab w:val="left" w:pos="720"/>
              </w:tabs>
              <w:autoSpaceDE w:val="0"/>
              <w:autoSpaceDN w:val="0"/>
              <w:adjustRightInd w:val="0"/>
              <w:ind w:right="18"/>
              <w:jc w:val="left"/>
              <w:rPr>
                <w:b/>
                <w:sz w:val="20"/>
                <w:szCs w:val="20"/>
                <w:lang w:val="fr-FR"/>
              </w:rPr>
            </w:pPr>
            <w:r w:rsidRPr="00006053">
              <w:rPr>
                <w:b/>
                <w:sz w:val="20"/>
                <w:szCs w:val="20"/>
                <w:lang w:val="fr-FR"/>
              </w:rPr>
              <w:t>Consommation maximale admissible de HCFC dans le secteur des mousses XPS</w:t>
            </w:r>
          </w:p>
        </w:tc>
        <w:tc>
          <w:tcPr>
            <w:tcW w:w="482" w:type="pct"/>
            <w:shd w:val="clear" w:color="auto" w:fill="auto"/>
            <w:vAlign w:val="center"/>
          </w:tcPr>
          <w:p w14:paraId="5D36FB36"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Point de départ</w:t>
            </w:r>
          </w:p>
        </w:tc>
        <w:tc>
          <w:tcPr>
            <w:tcW w:w="439" w:type="pct"/>
            <w:shd w:val="clear" w:color="auto" w:fill="auto"/>
            <w:vAlign w:val="center"/>
          </w:tcPr>
          <w:p w14:paraId="215039A2"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2016 2017</w:t>
            </w:r>
          </w:p>
        </w:tc>
        <w:tc>
          <w:tcPr>
            <w:tcW w:w="528" w:type="pct"/>
            <w:shd w:val="clear" w:color="auto" w:fill="auto"/>
            <w:vAlign w:val="center"/>
          </w:tcPr>
          <w:p w14:paraId="1DBFCEBA"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2018 2019</w:t>
            </w:r>
          </w:p>
        </w:tc>
        <w:tc>
          <w:tcPr>
            <w:tcW w:w="543" w:type="pct"/>
            <w:shd w:val="clear" w:color="auto" w:fill="auto"/>
            <w:vAlign w:val="center"/>
          </w:tcPr>
          <w:p w14:paraId="626A6500"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2020 2021 2022</w:t>
            </w:r>
          </w:p>
        </w:tc>
        <w:tc>
          <w:tcPr>
            <w:tcW w:w="483" w:type="pct"/>
            <w:shd w:val="clear" w:color="auto" w:fill="auto"/>
            <w:vAlign w:val="center"/>
          </w:tcPr>
          <w:p w14:paraId="26B18A04"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2023</w:t>
            </w:r>
          </w:p>
          <w:p w14:paraId="04088D34"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2024</w:t>
            </w:r>
          </w:p>
        </w:tc>
        <w:tc>
          <w:tcPr>
            <w:tcW w:w="420" w:type="pct"/>
            <w:shd w:val="clear" w:color="auto" w:fill="auto"/>
            <w:vAlign w:val="center"/>
          </w:tcPr>
          <w:p w14:paraId="571DBDE2"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2025</w:t>
            </w:r>
          </w:p>
        </w:tc>
        <w:tc>
          <w:tcPr>
            <w:tcW w:w="376" w:type="pct"/>
            <w:shd w:val="clear" w:color="auto" w:fill="auto"/>
            <w:vAlign w:val="center"/>
          </w:tcPr>
          <w:p w14:paraId="2B0A7792"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2026</w:t>
            </w:r>
          </w:p>
        </w:tc>
      </w:tr>
      <w:tr w:rsidR="004315D4" w:rsidRPr="00006053" w14:paraId="7294D089" w14:textId="77777777" w:rsidTr="00DD32D0">
        <w:trPr>
          <w:cantSplit/>
          <w:trHeight w:val="89"/>
          <w:jc w:val="center"/>
        </w:trPr>
        <w:tc>
          <w:tcPr>
            <w:tcW w:w="1730" w:type="pct"/>
            <w:shd w:val="clear" w:color="auto" w:fill="auto"/>
            <w:vAlign w:val="center"/>
          </w:tcPr>
          <w:p w14:paraId="6A6C8213" w14:textId="77777777" w:rsidR="004315D4" w:rsidRPr="00006053" w:rsidRDefault="004315D4" w:rsidP="00DD32D0">
            <w:pPr>
              <w:tabs>
                <w:tab w:val="left" w:pos="720"/>
              </w:tabs>
              <w:autoSpaceDE w:val="0"/>
              <w:autoSpaceDN w:val="0"/>
              <w:adjustRightInd w:val="0"/>
              <w:ind w:right="18"/>
              <w:jc w:val="left"/>
              <w:rPr>
                <w:sz w:val="20"/>
                <w:szCs w:val="20"/>
                <w:lang w:val="fr-FR"/>
              </w:rPr>
            </w:pPr>
            <w:r w:rsidRPr="00006053">
              <w:rPr>
                <w:b/>
                <w:sz w:val="20"/>
                <w:szCs w:val="20"/>
                <w:lang w:val="fr-FR"/>
              </w:rPr>
              <w:t>tm</w:t>
            </w:r>
          </w:p>
        </w:tc>
        <w:tc>
          <w:tcPr>
            <w:tcW w:w="482" w:type="pct"/>
            <w:shd w:val="clear" w:color="auto" w:fill="auto"/>
            <w:vAlign w:val="center"/>
          </w:tcPr>
          <w:p w14:paraId="5FC7058A"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43 050</w:t>
            </w:r>
          </w:p>
        </w:tc>
        <w:tc>
          <w:tcPr>
            <w:tcW w:w="439" w:type="pct"/>
            <w:shd w:val="clear" w:color="auto" w:fill="auto"/>
            <w:vAlign w:val="center"/>
          </w:tcPr>
          <w:p w14:paraId="712C7BE3"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39 755</w:t>
            </w:r>
          </w:p>
        </w:tc>
        <w:tc>
          <w:tcPr>
            <w:tcW w:w="528" w:type="pct"/>
            <w:shd w:val="clear" w:color="auto" w:fill="auto"/>
            <w:vAlign w:val="center"/>
          </w:tcPr>
          <w:p w14:paraId="52999DDD"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35 339</w:t>
            </w:r>
          </w:p>
        </w:tc>
        <w:tc>
          <w:tcPr>
            <w:tcW w:w="543" w:type="pct"/>
            <w:shd w:val="clear" w:color="auto" w:fill="auto"/>
            <w:vAlign w:val="center"/>
          </w:tcPr>
          <w:p w14:paraId="6A49FE6D"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24 296</w:t>
            </w:r>
          </w:p>
        </w:tc>
        <w:tc>
          <w:tcPr>
            <w:tcW w:w="483" w:type="pct"/>
            <w:shd w:val="clear" w:color="auto" w:fill="auto"/>
            <w:vAlign w:val="center"/>
          </w:tcPr>
          <w:p w14:paraId="33B27EF4"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13 252</w:t>
            </w:r>
          </w:p>
        </w:tc>
        <w:tc>
          <w:tcPr>
            <w:tcW w:w="420" w:type="pct"/>
            <w:shd w:val="clear" w:color="auto" w:fill="auto"/>
            <w:vAlign w:val="center"/>
          </w:tcPr>
          <w:p w14:paraId="61BD2AEF"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3 000</w:t>
            </w:r>
          </w:p>
        </w:tc>
        <w:tc>
          <w:tcPr>
            <w:tcW w:w="376" w:type="pct"/>
            <w:shd w:val="clear" w:color="auto" w:fill="auto"/>
            <w:vAlign w:val="center"/>
          </w:tcPr>
          <w:p w14:paraId="3124F9ED"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0</w:t>
            </w:r>
          </w:p>
        </w:tc>
      </w:tr>
      <w:tr w:rsidR="004315D4" w:rsidRPr="00006053" w14:paraId="6462C4B7" w14:textId="77777777" w:rsidTr="00DD32D0">
        <w:trPr>
          <w:cantSplit/>
          <w:trHeight w:val="125"/>
          <w:jc w:val="center"/>
        </w:trPr>
        <w:tc>
          <w:tcPr>
            <w:tcW w:w="1730" w:type="pct"/>
            <w:shd w:val="clear" w:color="auto" w:fill="auto"/>
            <w:vAlign w:val="center"/>
          </w:tcPr>
          <w:p w14:paraId="521116FF" w14:textId="77777777" w:rsidR="004315D4" w:rsidRPr="00006053" w:rsidRDefault="004315D4" w:rsidP="00DD32D0">
            <w:pPr>
              <w:tabs>
                <w:tab w:val="left" w:pos="720"/>
              </w:tabs>
              <w:autoSpaceDE w:val="0"/>
              <w:autoSpaceDN w:val="0"/>
              <w:adjustRightInd w:val="0"/>
              <w:ind w:right="18"/>
              <w:jc w:val="left"/>
              <w:rPr>
                <w:sz w:val="20"/>
                <w:szCs w:val="20"/>
                <w:lang w:val="fr-FR"/>
              </w:rPr>
            </w:pPr>
            <w:r w:rsidRPr="00006053">
              <w:rPr>
                <w:b/>
                <w:sz w:val="20"/>
                <w:szCs w:val="20"/>
                <w:lang w:val="fr-FR"/>
              </w:rPr>
              <w:t>Tonnes PAO</w:t>
            </w:r>
          </w:p>
        </w:tc>
        <w:tc>
          <w:tcPr>
            <w:tcW w:w="482" w:type="pct"/>
            <w:shd w:val="clear" w:color="auto" w:fill="auto"/>
            <w:vAlign w:val="center"/>
          </w:tcPr>
          <w:p w14:paraId="74AC1EF5"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2 540</w:t>
            </w:r>
          </w:p>
        </w:tc>
        <w:tc>
          <w:tcPr>
            <w:tcW w:w="439" w:type="pct"/>
            <w:shd w:val="clear" w:color="auto" w:fill="auto"/>
            <w:vAlign w:val="center"/>
          </w:tcPr>
          <w:p w14:paraId="0A2C938B"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2 286</w:t>
            </w:r>
          </w:p>
        </w:tc>
        <w:tc>
          <w:tcPr>
            <w:tcW w:w="528" w:type="pct"/>
            <w:shd w:val="clear" w:color="auto" w:fill="auto"/>
            <w:vAlign w:val="center"/>
          </w:tcPr>
          <w:p w14:paraId="6B24FCC2"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2 032</w:t>
            </w:r>
          </w:p>
        </w:tc>
        <w:tc>
          <w:tcPr>
            <w:tcW w:w="543" w:type="pct"/>
            <w:shd w:val="clear" w:color="auto" w:fill="auto"/>
            <w:vAlign w:val="center"/>
          </w:tcPr>
          <w:p w14:paraId="05018056"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1 397</w:t>
            </w:r>
          </w:p>
        </w:tc>
        <w:tc>
          <w:tcPr>
            <w:tcW w:w="483" w:type="pct"/>
            <w:shd w:val="clear" w:color="auto" w:fill="auto"/>
            <w:vAlign w:val="center"/>
          </w:tcPr>
          <w:p w14:paraId="25A51F69"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762</w:t>
            </w:r>
          </w:p>
        </w:tc>
        <w:tc>
          <w:tcPr>
            <w:tcW w:w="420" w:type="pct"/>
            <w:shd w:val="clear" w:color="auto" w:fill="auto"/>
            <w:vAlign w:val="center"/>
          </w:tcPr>
          <w:p w14:paraId="4AB2D383"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165</w:t>
            </w:r>
          </w:p>
        </w:tc>
        <w:tc>
          <w:tcPr>
            <w:tcW w:w="376" w:type="pct"/>
            <w:shd w:val="clear" w:color="auto" w:fill="auto"/>
            <w:vAlign w:val="center"/>
          </w:tcPr>
          <w:p w14:paraId="496936A9"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0</w:t>
            </w:r>
          </w:p>
        </w:tc>
      </w:tr>
      <w:tr w:rsidR="004315D4" w:rsidRPr="00006053" w14:paraId="784EF684" w14:textId="77777777" w:rsidTr="00DD32D0">
        <w:trPr>
          <w:cantSplit/>
          <w:trHeight w:val="62"/>
          <w:jc w:val="center"/>
        </w:trPr>
        <w:tc>
          <w:tcPr>
            <w:tcW w:w="1730" w:type="pct"/>
            <w:shd w:val="clear" w:color="auto" w:fill="auto"/>
            <w:vAlign w:val="center"/>
          </w:tcPr>
          <w:p w14:paraId="3C2179B8" w14:textId="77777777" w:rsidR="004315D4" w:rsidRPr="00006053" w:rsidRDefault="004315D4" w:rsidP="00DD32D0">
            <w:pPr>
              <w:tabs>
                <w:tab w:val="left" w:pos="720"/>
              </w:tabs>
              <w:autoSpaceDE w:val="0"/>
              <w:autoSpaceDN w:val="0"/>
              <w:adjustRightInd w:val="0"/>
              <w:ind w:right="18"/>
              <w:jc w:val="left"/>
              <w:rPr>
                <w:b/>
                <w:sz w:val="20"/>
                <w:szCs w:val="20"/>
                <w:lang w:val="fr-FR"/>
              </w:rPr>
            </w:pPr>
            <w:r w:rsidRPr="00006053">
              <w:rPr>
                <w:b/>
                <w:sz w:val="20"/>
                <w:szCs w:val="20"/>
                <w:lang w:val="fr-FR"/>
              </w:rPr>
              <w:t>Réduction (tonnes PAO)</w:t>
            </w:r>
          </w:p>
        </w:tc>
        <w:tc>
          <w:tcPr>
            <w:tcW w:w="482" w:type="pct"/>
            <w:shd w:val="clear" w:color="auto" w:fill="auto"/>
            <w:vAlign w:val="center"/>
          </w:tcPr>
          <w:p w14:paraId="6B476E7E"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439" w:type="pct"/>
            <w:shd w:val="clear" w:color="auto" w:fill="auto"/>
            <w:vAlign w:val="center"/>
          </w:tcPr>
          <w:p w14:paraId="2E66D222"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528" w:type="pct"/>
            <w:shd w:val="clear" w:color="auto" w:fill="auto"/>
            <w:vAlign w:val="center"/>
          </w:tcPr>
          <w:p w14:paraId="39982DA8"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254</w:t>
            </w:r>
          </w:p>
        </w:tc>
        <w:tc>
          <w:tcPr>
            <w:tcW w:w="543" w:type="pct"/>
            <w:shd w:val="clear" w:color="auto" w:fill="auto"/>
            <w:vAlign w:val="center"/>
          </w:tcPr>
          <w:p w14:paraId="1E1C4E90"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635</w:t>
            </w:r>
          </w:p>
        </w:tc>
        <w:tc>
          <w:tcPr>
            <w:tcW w:w="483" w:type="pct"/>
            <w:shd w:val="clear" w:color="auto" w:fill="auto"/>
            <w:vAlign w:val="center"/>
          </w:tcPr>
          <w:p w14:paraId="3EFEBD8F"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635</w:t>
            </w:r>
          </w:p>
        </w:tc>
        <w:tc>
          <w:tcPr>
            <w:tcW w:w="420" w:type="pct"/>
            <w:shd w:val="clear" w:color="auto" w:fill="auto"/>
            <w:vAlign w:val="center"/>
          </w:tcPr>
          <w:p w14:paraId="4DBAE938"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597</w:t>
            </w:r>
          </w:p>
        </w:tc>
        <w:tc>
          <w:tcPr>
            <w:tcW w:w="376" w:type="pct"/>
            <w:shd w:val="clear" w:color="auto" w:fill="auto"/>
            <w:vAlign w:val="center"/>
          </w:tcPr>
          <w:p w14:paraId="1691F41F"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165</w:t>
            </w:r>
          </w:p>
        </w:tc>
      </w:tr>
      <w:tr w:rsidR="004315D4" w:rsidRPr="00006053" w14:paraId="030C2DCC" w14:textId="77777777" w:rsidTr="00DD32D0">
        <w:trPr>
          <w:cantSplit/>
          <w:trHeight w:val="35"/>
          <w:jc w:val="center"/>
        </w:trPr>
        <w:tc>
          <w:tcPr>
            <w:tcW w:w="1730" w:type="pct"/>
            <w:shd w:val="clear" w:color="auto" w:fill="auto"/>
            <w:vAlign w:val="center"/>
          </w:tcPr>
          <w:p w14:paraId="08541B12" w14:textId="77777777" w:rsidR="004315D4" w:rsidRPr="00006053" w:rsidRDefault="004315D4" w:rsidP="00DD32D0">
            <w:pPr>
              <w:tabs>
                <w:tab w:val="left" w:pos="720"/>
              </w:tabs>
              <w:autoSpaceDE w:val="0"/>
              <w:autoSpaceDN w:val="0"/>
              <w:adjustRightInd w:val="0"/>
              <w:ind w:right="18"/>
              <w:jc w:val="left"/>
              <w:rPr>
                <w:b/>
                <w:sz w:val="20"/>
                <w:szCs w:val="20"/>
                <w:lang w:val="fr-FR"/>
              </w:rPr>
            </w:pPr>
            <w:r w:rsidRPr="00006053">
              <w:rPr>
                <w:b/>
                <w:sz w:val="20"/>
                <w:szCs w:val="20"/>
                <w:lang w:val="fr-FR"/>
              </w:rPr>
              <w:t>Réduction à partir du point de départ (%)</w:t>
            </w:r>
          </w:p>
        </w:tc>
        <w:tc>
          <w:tcPr>
            <w:tcW w:w="482" w:type="pct"/>
            <w:shd w:val="clear" w:color="auto" w:fill="auto"/>
            <w:vAlign w:val="center"/>
          </w:tcPr>
          <w:p w14:paraId="1D9F316C"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439" w:type="pct"/>
            <w:shd w:val="clear" w:color="auto" w:fill="auto"/>
            <w:vAlign w:val="center"/>
          </w:tcPr>
          <w:p w14:paraId="7F37B254"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528" w:type="pct"/>
            <w:shd w:val="clear" w:color="auto" w:fill="auto"/>
            <w:vAlign w:val="center"/>
          </w:tcPr>
          <w:p w14:paraId="16C14644"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20</w:t>
            </w:r>
          </w:p>
        </w:tc>
        <w:tc>
          <w:tcPr>
            <w:tcW w:w="543" w:type="pct"/>
            <w:shd w:val="clear" w:color="auto" w:fill="auto"/>
            <w:vAlign w:val="center"/>
          </w:tcPr>
          <w:p w14:paraId="0FB15B06"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45</w:t>
            </w:r>
          </w:p>
        </w:tc>
        <w:tc>
          <w:tcPr>
            <w:tcW w:w="483" w:type="pct"/>
            <w:shd w:val="clear" w:color="auto" w:fill="auto"/>
            <w:vAlign w:val="center"/>
          </w:tcPr>
          <w:p w14:paraId="21FDB120"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70</w:t>
            </w:r>
          </w:p>
        </w:tc>
        <w:tc>
          <w:tcPr>
            <w:tcW w:w="420" w:type="pct"/>
            <w:shd w:val="clear" w:color="auto" w:fill="auto"/>
            <w:vAlign w:val="center"/>
          </w:tcPr>
          <w:p w14:paraId="1C80D817"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94</w:t>
            </w:r>
          </w:p>
        </w:tc>
        <w:tc>
          <w:tcPr>
            <w:tcW w:w="376" w:type="pct"/>
            <w:shd w:val="clear" w:color="auto" w:fill="auto"/>
            <w:vAlign w:val="center"/>
          </w:tcPr>
          <w:p w14:paraId="15EEBE6E"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100</w:t>
            </w:r>
          </w:p>
        </w:tc>
      </w:tr>
    </w:tbl>
    <w:p w14:paraId="0545A88E" w14:textId="77777777" w:rsidR="004315D4" w:rsidRPr="00006053" w:rsidRDefault="004315D4" w:rsidP="004315D4">
      <w:pPr>
        <w:rPr>
          <w:u w:val="single"/>
          <w:lang w:val="fr-FR"/>
        </w:rPr>
      </w:pPr>
    </w:p>
    <w:p w14:paraId="5C6000F7" w14:textId="77777777" w:rsidR="004315D4" w:rsidRPr="00006053" w:rsidRDefault="004315D4" w:rsidP="004315D4">
      <w:pPr>
        <w:rPr>
          <w:u w:val="single"/>
          <w:lang w:val="fr-FR"/>
        </w:rPr>
      </w:pPr>
      <w:r w:rsidRPr="00006053">
        <w:rPr>
          <w:u w:val="single"/>
          <w:lang w:val="fr-FR"/>
        </w:rPr>
        <w:t>Stratégie d’élimination des HCFC pour 2021-2026</w:t>
      </w:r>
    </w:p>
    <w:p w14:paraId="6A11E919" w14:textId="77777777" w:rsidR="004315D4" w:rsidRPr="00006053" w:rsidRDefault="004315D4" w:rsidP="004315D4">
      <w:pPr>
        <w:rPr>
          <w:lang w:val="fr-FR"/>
        </w:rPr>
      </w:pPr>
    </w:p>
    <w:p w14:paraId="4C284BC8" w14:textId="77777777" w:rsidR="004315D4" w:rsidRPr="00006053" w:rsidRDefault="004315D4" w:rsidP="004315D4">
      <w:pPr>
        <w:pStyle w:val="Heading1"/>
        <w:rPr>
          <w:lang w:val="fr-FR"/>
        </w:rPr>
      </w:pPr>
      <w:r w:rsidRPr="00006053">
        <w:rPr>
          <w:lang w:val="fr-FR"/>
        </w:rPr>
        <w:t xml:space="preserve">La phase II du plan sectoriel des mousses XPS prévoyait initialement d’aider 124 entreprises à éliminer 1 265 tonnes PAO de HCFC, la consommation restante de HCFC dans ce secteur devant être </w:t>
      </w:r>
      <w:r w:rsidRPr="00006053">
        <w:rPr>
          <w:lang w:val="fr-FR"/>
        </w:rPr>
        <w:lastRenderedPageBreak/>
        <w:t>éliminée par les entreprises ne bénéficiant pas d’un appui. Le plan révisé vise à appuyer directement 21 entreprises au total (10 projets étaient d’ores et déjà en cours d’exécution lors des tranches précédentes, auxquels s’ajoutent 11 projets supplémentaires proposés dans le plan d’action) de manière à éliminer 466,32 tonnes PAO, la consommation restante devant être éliminée par les entreprises ne bénéficiant pas d’un appui. Le plan sectoriel sera soutenu par des politiques publiques, une assistance technique et une UGP.</w:t>
      </w:r>
    </w:p>
    <w:p w14:paraId="40F0207B" w14:textId="77777777" w:rsidR="004315D4" w:rsidRPr="00006053" w:rsidRDefault="004315D4" w:rsidP="004315D4">
      <w:pPr>
        <w:pStyle w:val="Heading1"/>
        <w:rPr>
          <w:lang w:val="fr-FR"/>
        </w:rPr>
      </w:pPr>
      <w:r w:rsidRPr="00006053">
        <w:rPr>
          <w:lang w:val="fr-FR"/>
        </w:rPr>
        <w:t>En conséquence, les activités du plan d’action révisé relatif au plan sectoriel des mousses XPS se présentent en quatre groupes : les interventions portant sur les politiques publiques et la réglementation, l’objectif étant d’assurer une élimination rapide et durable des HCFC ; un volet consacré aux investissements visant à aider les entreprises à effectuer leur reconversion ; une assistance technique visant à renforcer les capacités du secteur sur le plan technique et à promouvoir l’adoption de solutions de remplacement à faible potentiel de réchauffement du globe (PRG) ; et la gestion de projet.</w:t>
      </w:r>
    </w:p>
    <w:p w14:paraId="571AECF1" w14:textId="77777777" w:rsidR="004315D4" w:rsidRPr="00006053" w:rsidRDefault="004315D4" w:rsidP="004315D4">
      <w:pPr>
        <w:keepNext/>
        <w:keepLines/>
        <w:tabs>
          <w:tab w:val="num" w:pos="0"/>
        </w:tabs>
        <w:overflowPunct w:val="0"/>
        <w:autoSpaceDE w:val="0"/>
        <w:autoSpaceDN w:val="0"/>
        <w:adjustRightInd w:val="0"/>
        <w:spacing w:beforeLines="50" w:before="120" w:afterLines="50" w:after="120"/>
        <w:ind w:left="360" w:hanging="360"/>
        <w:jc w:val="left"/>
        <w:textAlignment w:val="baseline"/>
        <w:outlineLvl w:val="2"/>
        <w:rPr>
          <w:i/>
          <w:lang w:val="fr-FR"/>
        </w:rPr>
      </w:pPr>
      <w:r w:rsidRPr="00006053">
        <w:rPr>
          <w:i/>
          <w:lang w:val="fr-FR"/>
        </w:rPr>
        <w:t>Interventions portant sur les politiques publiques et la réglementation</w:t>
      </w:r>
    </w:p>
    <w:p w14:paraId="3F00C6B9" w14:textId="77777777" w:rsidR="004315D4" w:rsidRPr="00006053" w:rsidRDefault="004315D4" w:rsidP="004315D4">
      <w:pPr>
        <w:pStyle w:val="Heading1"/>
        <w:rPr>
          <w:lang w:val="fr-FR"/>
        </w:rPr>
      </w:pPr>
      <w:r w:rsidRPr="00006053">
        <w:rPr>
          <w:lang w:val="fr-FR"/>
        </w:rPr>
        <w:t>Le Gouvernement va promulguer des politiques publiques et des réglementations qui feront partie du cadre réglementaire existant sur les SAO, afin de : veiller à ce que la consommation de HCFC dans le secteur des mousses XPS baisse, comme prévu ; inciter les entreprises à éliminer les HCFC et à adopter des solutions de remplacement respectueuses de l’environnement ; promouvoir le développement et la pénétration de technologies de substitution ; veiller à ce que les activités de reconversion ne pèsent pas sur la croissance du secteur ; et parvenir à une réduction durable des SAO dans le secteur des mousses XPS.</w:t>
      </w:r>
    </w:p>
    <w:p w14:paraId="1BD473A3" w14:textId="77777777" w:rsidR="004315D4" w:rsidRPr="00006053" w:rsidRDefault="004315D4" w:rsidP="004315D4">
      <w:pPr>
        <w:pStyle w:val="Heading1"/>
        <w:rPr>
          <w:lang w:val="fr-FR"/>
        </w:rPr>
      </w:pPr>
      <w:r w:rsidRPr="00006053">
        <w:rPr>
          <w:lang w:val="fr-FR"/>
        </w:rPr>
        <w:t>Les mesures supplémentaires de contrôle de la consommation, à introduire en temps voulu, comprennent : l’interdiction de recourir aux HCFC dans le secteur des mousses XPS à compter du 1</w:t>
      </w:r>
      <w:r w:rsidRPr="00006053">
        <w:rPr>
          <w:vertAlign w:val="superscript"/>
          <w:lang w:val="fr-FR"/>
        </w:rPr>
        <w:t>er</w:t>
      </w:r>
      <w:r w:rsidRPr="00006053">
        <w:rPr>
          <w:lang w:val="fr-FR"/>
        </w:rPr>
        <w:t> janvier 2026 ; la promulgation d’exigences en matière de tenue de mains-courantes pour toutes les entreprises impliquées dans la vente et le commerce de HCFC qui font rapport aux Bureaux de l’écologie et de l’environnement (BEE) ; des directives mises à jour sur les technologies de remplacement des HCFC ; la révision du catalogue des technologies de remplacement aux HCFC et des recommandations y relatives ; et la révision des normes techniques applicables aux produits en mousse XPS de manière à contrôler que les technologies de remplacement se révèlent performantes.</w:t>
      </w:r>
    </w:p>
    <w:p w14:paraId="4064F22E" w14:textId="77777777" w:rsidR="004315D4" w:rsidRPr="00006053" w:rsidRDefault="004315D4" w:rsidP="004315D4">
      <w:pPr>
        <w:rPr>
          <w:i/>
          <w:lang w:val="fr-FR"/>
        </w:rPr>
      </w:pPr>
      <w:r w:rsidRPr="00006053">
        <w:rPr>
          <w:i/>
          <w:lang w:val="fr-FR"/>
        </w:rPr>
        <w:t>Projets d’investissement</w:t>
      </w:r>
    </w:p>
    <w:p w14:paraId="7BABB0DD" w14:textId="77777777" w:rsidR="004315D4" w:rsidRPr="00006053" w:rsidRDefault="004315D4" w:rsidP="004315D4">
      <w:pPr>
        <w:rPr>
          <w:lang w:val="fr-FR"/>
        </w:rPr>
      </w:pPr>
    </w:p>
    <w:p w14:paraId="04AD0C8B" w14:textId="77777777" w:rsidR="004315D4" w:rsidRPr="00006053" w:rsidRDefault="004315D4" w:rsidP="004315D4">
      <w:pPr>
        <w:pStyle w:val="Heading1"/>
        <w:rPr>
          <w:lang w:val="fr-FR"/>
        </w:rPr>
      </w:pPr>
      <w:r w:rsidRPr="00006053">
        <w:rPr>
          <w:lang w:val="fr-FR"/>
        </w:rPr>
        <w:t>Un financement total de 16 127 957 $US, alloué aux activités d’investissement pour la période 2021-2026, sera utilisé pour garantir que les petites et moyennes entreprises (PME) puissent se procurer les principaux équipements d’une chaîne de production et puissent améliorer la sécurité de manière appropriée et que les grandes entreprises, de leur côté, puissent se procurer l’essentiel de l’équipement d’une à deux chaîne de production et modernisent la sécurité conséquemment. Un financement de contrepartie sera nécessaire afin d’acheter des équipements auxiliaires et d’autres installations de soutien.</w:t>
      </w:r>
    </w:p>
    <w:p w14:paraId="7DC6E684" w14:textId="77777777" w:rsidR="004315D4" w:rsidRPr="00006053" w:rsidRDefault="004315D4" w:rsidP="004315D4">
      <w:pPr>
        <w:pStyle w:val="Heading1"/>
        <w:rPr>
          <w:lang w:val="fr-FR"/>
        </w:rPr>
      </w:pPr>
      <w:r w:rsidRPr="00006053">
        <w:rPr>
          <w:lang w:val="fr-FR"/>
        </w:rPr>
        <w:t>Conformément aux principes ci-dessus, en abaissant le rapport coût-efficacité moyen pour les sous-projets pris isolément et en encourageant les entreprises à augmenter leur cofinancement, il sera proposé 11 sous-projets individuels ayant passé avec succès l’étape de vérification financière pour la signature de sous-contrats visant à l’élimination, au fur et à mesure que les tranches de financement seront approuvées.</w:t>
      </w:r>
    </w:p>
    <w:p w14:paraId="528654BB" w14:textId="77777777" w:rsidR="004315D4" w:rsidRPr="00006053" w:rsidRDefault="004315D4" w:rsidP="004315D4">
      <w:pPr>
        <w:pStyle w:val="Heading1"/>
        <w:rPr>
          <w:lang w:val="fr-FR"/>
        </w:rPr>
      </w:pPr>
      <w:r w:rsidRPr="00006053">
        <w:rPr>
          <w:lang w:val="fr-FR"/>
        </w:rPr>
        <w:t>La technologie optimisée de co-soufflage à l’aide de dioxyde de carbone (CO</w:t>
      </w:r>
      <w:r w:rsidRPr="00006053">
        <w:rPr>
          <w:vertAlign w:val="subscript"/>
          <w:lang w:val="fr-FR"/>
        </w:rPr>
        <w:t>2</w:t>
      </w:r>
      <w:r w:rsidRPr="00006053">
        <w:rPr>
          <w:lang w:val="fr-FR"/>
        </w:rPr>
        <w:t>) a été choisie pour la phase II du PGEH dans le secteur des mousses XPS. Le plan d’action révisé ne comprend aucune modification de la technologie choisie lors de l’approbation de la phase II du PGEH. Des mousses XPS à faible densité, à isolation thermique élevée, à haute résistance au feu et montrant d’excellentes propriétés mécaniques continueront à être produites à l’aide de CO</w:t>
      </w:r>
      <w:r w:rsidRPr="00006053">
        <w:rPr>
          <w:vertAlign w:val="subscript"/>
          <w:lang w:val="fr-FR"/>
        </w:rPr>
        <w:t>2</w:t>
      </w:r>
      <w:r w:rsidRPr="00006053">
        <w:rPr>
          <w:lang w:val="fr-FR"/>
        </w:rPr>
        <w:t xml:space="preserve"> utilisé comme principal agent de gonflage. Lorsque l’épaisseur du produit est supérieure à 60 mm, un ou deux autres agents gonflants exempts de SAO et montrant un faible PRG, une masse moléculaire faible, un point d’ébullition relativement bas et une solubilité élevée seront en outre utilisés (l’alcool comme deuxième agent gonflant et le HFC-152a comme troisième agent gonflant si nécessaire).</w:t>
      </w:r>
    </w:p>
    <w:p w14:paraId="066D70AA" w14:textId="77777777" w:rsidR="004315D4" w:rsidRPr="00006053" w:rsidRDefault="004315D4" w:rsidP="004315D4">
      <w:pPr>
        <w:rPr>
          <w:i/>
          <w:lang w:val="fr-FR"/>
        </w:rPr>
      </w:pPr>
      <w:r w:rsidRPr="00006053">
        <w:rPr>
          <w:i/>
          <w:lang w:val="fr-FR"/>
        </w:rPr>
        <w:lastRenderedPageBreak/>
        <w:t>Assistance technique</w:t>
      </w:r>
    </w:p>
    <w:p w14:paraId="2F87DE5C" w14:textId="77777777" w:rsidR="004315D4" w:rsidRPr="00006053" w:rsidRDefault="004315D4" w:rsidP="004315D4">
      <w:pPr>
        <w:rPr>
          <w:i/>
          <w:u w:val="single"/>
          <w:lang w:val="fr-FR"/>
        </w:rPr>
      </w:pPr>
    </w:p>
    <w:p w14:paraId="0A6A3688" w14:textId="77777777" w:rsidR="004315D4" w:rsidRPr="00006053" w:rsidRDefault="004315D4" w:rsidP="004315D4">
      <w:pPr>
        <w:pStyle w:val="Heading1"/>
        <w:rPr>
          <w:lang w:val="fr-FR"/>
        </w:rPr>
      </w:pPr>
      <w:r w:rsidRPr="00006053">
        <w:rPr>
          <w:lang w:val="fr-FR"/>
        </w:rPr>
        <w:t>La phase II du plan sectoriel des mousses XPS continuera à mener des activités d’assistance technique au cours de la période 2021-2026, notamment au sein des petites entreprises, l’objectif étant d’appuyer l’adoption de technologies au cours du processus de reconversions et de sensibiliser les parties prenantes concernées à l’élimination des HCFC, aux solutions de remplacement et aux différentes possibilités sur le plan technique. La liste préliminaire des activités d’assistance technique, devisée à 1 387 291 $US, figure ci-après, sous réserve de révision et de mises à jour au cours de la mise en œuvre :</w:t>
      </w:r>
    </w:p>
    <w:p w14:paraId="27BAC158" w14:textId="77777777" w:rsidR="004315D4" w:rsidRPr="00006053" w:rsidRDefault="004315D4" w:rsidP="004315D4">
      <w:pPr>
        <w:pStyle w:val="Heading2"/>
        <w:numPr>
          <w:ilvl w:val="1"/>
          <w:numId w:val="1"/>
        </w:numPr>
        <w:rPr>
          <w:lang w:val="fr-FR"/>
        </w:rPr>
      </w:pPr>
      <w:r w:rsidRPr="00006053">
        <w:rPr>
          <w:i/>
          <w:lang w:val="fr-FR"/>
        </w:rPr>
        <w:t>Suivi, supervision et renforcement des capacités :</w:t>
      </w:r>
      <w:r w:rsidRPr="00006053">
        <w:rPr>
          <w:lang w:val="fr-FR"/>
        </w:rPr>
        <w:t xml:space="preserve"> activités menées par le FECO et les BEE afin d’empêcher la résurgence illicite des HCFC dans les principales provinces et villes où sont concentrées les entreprises de mousse XPS ; approbation de la norme applicable aux agents de gonflage résiduels par le Comité national de normalisation, qui constituera la base de l’application de la loi par les BEE ; formation dispensée aux agents des BEE sur les politiques suivies et les questions sectorielles sur les plans de la technique et de la sécurité (270 000 $US) ;</w:t>
      </w:r>
    </w:p>
    <w:p w14:paraId="429820D0" w14:textId="77777777" w:rsidR="004315D4" w:rsidRPr="00006053" w:rsidRDefault="004315D4" w:rsidP="004315D4">
      <w:pPr>
        <w:pStyle w:val="Heading2"/>
        <w:numPr>
          <w:ilvl w:val="1"/>
          <w:numId w:val="1"/>
        </w:numPr>
        <w:rPr>
          <w:lang w:val="fr-FR"/>
        </w:rPr>
      </w:pPr>
      <w:r w:rsidRPr="00006053">
        <w:rPr>
          <w:i/>
          <w:lang w:val="fr-FR"/>
        </w:rPr>
        <w:t xml:space="preserve">Formations et appui technique : </w:t>
      </w:r>
      <w:r w:rsidRPr="00006053">
        <w:rPr>
          <w:lang w:val="fr-FR"/>
        </w:rPr>
        <w:t>étant donné que le secteur des mousses XPS est dominé par des PME ayant des capacités techniques et de gestion relativement limitées, des institutions compétentes seront mises à contribution pour aider les PME concernant les formulations techniques, la sélection des équipements, les démonstrations de démarrage technologique sur site, les essais de substances et les adaptations exigées sur le plan de la sécurité (250 000 $US) ;</w:t>
      </w:r>
    </w:p>
    <w:p w14:paraId="612FAF37" w14:textId="61AD2EDD" w:rsidR="004315D4" w:rsidRPr="00006053" w:rsidRDefault="004315D4" w:rsidP="004315D4">
      <w:pPr>
        <w:pStyle w:val="Heading2"/>
        <w:numPr>
          <w:ilvl w:val="1"/>
          <w:numId w:val="1"/>
        </w:numPr>
        <w:rPr>
          <w:lang w:val="fr-FR"/>
        </w:rPr>
      </w:pPr>
      <w:r w:rsidRPr="00006053">
        <w:rPr>
          <w:i/>
          <w:lang w:val="fr-FR"/>
        </w:rPr>
        <w:t>Optimisation et évaluation des équipements et technologies :</w:t>
      </w:r>
      <w:r w:rsidRPr="00006053">
        <w:rPr>
          <w:lang w:val="fr-FR"/>
        </w:rPr>
        <w:t xml:space="preserve"> recherches portant sur l’optimisation des formulations, notamment le recours aux technologies de thermocollage afin de résoudre les problèmes techniques posés par la production de mousses XPS épaisses et d’éviter l’utilisation de substances adhésives (considérés comme composés organiques volatils) par les PME lors de la production de mousse XPS épaisse (340 000 $US) ;</w:t>
      </w:r>
    </w:p>
    <w:p w14:paraId="7D61C125" w14:textId="77777777" w:rsidR="004315D4" w:rsidRPr="00006053" w:rsidRDefault="004315D4" w:rsidP="004315D4">
      <w:pPr>
        <w:pStyle w:val="Heading2"/>
        <w:numPr>
          <w:ilvl w:val="1"/>
          <w:numId w:val="1"/>
        </w:numPr>
        <w:rPr>
          <w:lang w:val="fr-FR"/>
        </w:rPr>
      </w:pPr>
      <w:r w:rsidRPr="00006053">
        <w:rPr>
          <w:i/>
          <w:lang w:val="fr-FR"/>
        </w:rPr>
        <w:t>Rédaction d’une étude d’impact concernant l’interdiction de l’utilisation des HCFC dans le secteur des mousses XPS :</w:t>
      </w:r>
      <w:r w:rsidRPr="00006053">
        <w:rPr>
          <w:lang w:val="fr-FR"/>
        </w:rPr>
        <w:t xml:space="preserve"> élaboration de l’étude d’impact environnemental, économique et social destinée au Ministère de l’écologie et de l’environnement (MEE), l’objectif étant que l’interdiction de l’utilisation des HCFC dans le secteur des mousses XPS fasse l’objet d’un examen, d’une approbation et d’une promulgation. Il s’agit d’examiner les progrès accomplis dans l’élimination des HCFC, d’évaluer la consommation résiduelle du secteur et de répertorier d’autres mesures permettant de garantir une élimination durable (50 000 $US) ;</w:t>
      </w:r>
    </w:p>
    <w:p w14:paraId="2A3BA56C" w14:textId="234E4E0B" w:rsidR="004315D4" w:rsidRPr="00006053" w:rsidRDefault="004315D4" w:rsidP="004315D4">
      <w:pPr>
        <w:pStyle w:val="Heading2"/>
        <w:numPr>
          <w:ilvl w:val="1"/>
          <w:numId w:val="1"/>
        </w:numPr>
        <w:rPr>
          <w:lang w:val="fr-FR"/>
        </w:rPr>
      </w:pPr>
      <w:r w:rsidRPr="00006053">
        <w:rPr>
          <w:i/>
          <w:lang w:val="fr-FR"/>
        </w:rPr>
        <w:t xml:space="preserve">Formulation et révision des normes techniques : </w:t>
      </w:r>
      <w:r w:rsidRPr="00006053">
        <w:rPr>
          <w:lang w:val="fr-FR"/>
        </w:rPr>
        <w:t>il s’agit notamment des normes applicables aux essaies et aux produits, le développement de la norme « Mousse XPS pour l’isolation des fondations avant le chauffage par le sol » étant utilisé comme point de départ pour améliorer les mousses XPS dans plusieurs de leurs principales applications (87 </w:t>
      </w:r>
      <w:r w:rsidR="00DD32D0">
        <w:rPr>
          <w:lang w:val="fr-FR"/>
        </w:rPr>
        <w:t>291 </w:t>
      </w:r>
      <w:r w:rsidRPr="00006053">
        <w:rPr>
          <w:lang w:val="fr-FR"/>
        </w:rPr>
        <w:t>$US) ;</w:t>
      </w:r>
    </w:p>
    <w:p w14:paraId="4D45F92C" w14:textId="77777777" w:rsidR="004315D4" w:rsidRPr="00006053" w:rsidRDefault="004315D4" w:rsidP="004315D4">
      <w:pPr>
        <w:pStyle w:val="Heading2"/>
        <w:numPr>
          <w:ilvl w:val="1"/>
          <w:numId w:val="1"/>
        </w:numPr>
        <w:rPr>
          <w:lang w:val="fr-FR"/>
        </w:rPr>
      </w:pPr>
      <w:r w:rsidRPr="00006053">
        <w:rPr>
          <w:i/>
          <w:lang w:val="fr-FR"/>
        </w:rPr>
        <w:t>Vérification des performances :</w:t>
      </w:r>
      <w:r w:rsidRPr="00006053">
        <w:rPr>
          <w:lang w:val="fr-FR"/>
        </w:rPr>
        <w:t xml:space="preserve"> l’agence d’appui à la mise en œuvre (ISA) continuera d’aider le FECO à fournir des conseils sur les plans de la sécurité, de la supervision, de la vérification, de l’acceptation et de la technique au sous-projet, au niveau technique ; et un cabinet comptable indépendant vérifiera les informations financières au cours de la mise en œuvre du projet (330 000 $US) ;</w:t>
      </w:r>
    </w:p>
    <w:p w14:paraId="1074FE21" w14:textId="77777777" w:rsidR="004315D4" w:rsidRPr="00006053" w:rsidRDefault="004315D4" w:rsidP="004315D4">
      <w:pPr>
        <w:pStyle w:val="Heading2"/>
        <w:numPr>
          <w:ilvl w:val="1"/>
          <w:numId w:val="1"/>
        </w:numPr>
        <w:rPr>
          <w:lang w:val="fr-FR"/>
        </w:rPr>
      </w:pPr>
      <w:r w:rsidRPr="00006053">
        <w:rPr>
          <w:i/>
          <w:lang w:val="fr-FR"/>
        </w:rPr>
        <w:t>Voyages d’étude des technologies de remplacement aux HCFC :</w:t>
      </w:r>
      <w:r w:rsidRPr="00006053">
        <w:rPr>
          <w:lang w:val="fr-FR"/>
        </w:rPr>
        <w:t xml:space="preserve"> afin de faciliter le partage d’informations sur les politiques et les technologies de remplacement entre les entreprises </w:t>
      </w:r>
      <w:r w:rsidRPr="00006053">
        <w:rPr>
          <w:lang w:val="fr-FR"/>
        </w:rPr>
        <w:lastRenderedPageBreak/>
        <w:t>de mousse, les associations industrielles et les instituts de recherche ainsi que leurs homologues dans d’autres pays (50 000 $US) ; et</w:t>
      </w:r>
    </w:p>
    <w:p w14:paraId="7345F61A" w14:textId="77777777" w:rsidR="004315D4" w:rsidRPr="00006053" w:rsidRDefault="004315D4" w:rsidP="004315D4">
      <w:pPr>
        <w:pStyle w:val="Heading2"/>
        <w:numPr>
          <w:ilvl w:val="1"/>
          <w:numId w:val="1"/>
        </w:numPr>
        <w:rPr>
          <w:lang w:val="fr-FR"/>
        </w:rPr>
      </w:pPr>
      <w:r w:rsidRPr="00006053">
        <w:rPr>
          <w:i/>
          <w:lang w:val="fr-FR"/>
        </w:rPr>
        <w:t>Services de conseils techniques :</w:t>
      </w:r>
      <w:r w:rsidRPr="00006053">
        <w:rPr>
          <w:lang w:val="fr-FR"/>
        </w:rPr>
        <w:t xml:space="preserve"> soutien, par des experts de la technique et de la sécurité, lors de la mise en œuvre des politiques publiques, des technologies et des équipements de remplacement prévus par le plan sectoriel, et présentations techniques faites à l’occasion des ateliers et séminaires de formation (10 000 $US).</w:t>
      </w:r>
    </w:p>
    <w:p w14:paraId="5DFF3389" w14:textId="77777777" w:rsidR="004315D4" w:rsidRPr="00006053" w:rsidRDefault="004315D4" w:rsidP="004315D4">
      <w:pPr>
        <w:rPr>
          <w:i/>
          <w:lang w:val="fr-FR"/>
        </w:rPr>
      </w:pPr>
      <w:r w:rsidRPr="00006053">
        <w:rPr>
          <w:i/>
          <w:lang w:val="fr-FR"/>
        </w:rPr>
        <w:t>UGP</w:t>
      </w:r>
    </w:p>
    <w:p w14:paraId="226904C9" w14:textId="77777777" w:rsidR="004315D4" w:rsidRPr="00006053" w:rsidRDefault="004315D4" w:rsidP="004315D4">
      <w:pPr>
        <w:rPr>
          <w:i/>
          <w:u w:val="single"/>
          <w:lang w:val="fr-FR"/>
        </w:rPr>
      </w:pPr>
    </w:p>
    <w:p w14:paraId="31E949B8" w14:textId="77777777" w:rsidR="004315D4" w:rsidRPr="00006053" w:rsidRDefault="004315D4" w:rsidP="004315D4">
      <w:pPr>
        <w:pStyle w:val="Heading1"/>
        <w:rPr>
          <w:lang w:val="fr-FR"/>
        </w:rPr>
      </w:pPr>
      <w:r w:rsidRPr="00006053">
        <w:rPr>
          <w:lang w:val="fr-FR"/>
        </w:rPr>
        <w:t>L’UGP (1 019 406 $US) continuera de gérer et de surveiller la mise en œuvre du projet entre 2021 et 2026. Les activités de l’UGP comprennent : le suivi de la mise en œuvre des accords de sous-subvention et des activités d’assistance technique ; l’organisation et la participation aux vérifications effectuées par l’ISA, aux réunions d’évaluation et à la mise en service des projets ; l’examen des documents relatifs aux projets soumis par les bénéficiaires et la gestion de l’exécution du contrat ; la communication et la coordination avec les agences d’exécution, l’ISA, les experts techniques et d’autres parties prenantes sur la mise en œuvre du projet ; la conception des activités d’assistance technique, l’élaboration des cahiers des charges et la sélection d’agences d’exécution qualifiées ; et l’élaboration des plans de travail, des rapports périodiques et d’autres si nécessaire.</w:t>
      </w:r>
    </w:p>
    <w:p w14:paraId="5DBDE23F" w14:textId="77777777" w:rsidR="004315D4" w:rsidRPr="00006053" w:rsidRDefault="004315D4" w:rsidP="004315D4">
      <w:pPr>
        <w:pStyle w:val="Heading1"/>
        <w:rPr>
          <w:lang w:val="fr-FR"/>
        </w:rPr>
      </w:pPr>
      <w:r w:rsidRPr="00006053">
        <w:rPr>
          <w:lang w:val="fr-FR"/>
        </w:rPr>
        <w:t>Outre la gestion courante des sous-projets, l’UGP assumera davantage de responsabilités encore dans le domaine des communications et de la coopération, qui prendront la forme de réunions de coordination avec les décideurs et des représentants du secteur concerné, l’objectif étant de discuter des progrès de l’élimination des HCFC, des mesures prises sur le plan des politiques publiques  et des actions visant à promouvoir la pénétration de technologies de remplacement ; elle fournira au MEE, aux BEE locaux et à d’autres ministères un appui technique basé sur les dernières informations provenant du secteur considéré, en contribuant à l’élaboration de règlements et de plans relatifs à la gestion des SAO pour les entreprises de mousse XPS à l’échelon local ; et elle fournira un appui technique et contribuera aux activités de suivi et de supervision organisées par le MEE et les BEE locaux.</w:t>
      </w:r>
    </w:p>
    <w:p w14:paraId="589D72E3" w14:textId="77777777" w:rsidR="004315D4" w:rsidRPr="00006053" w:rsidRDefault="004315D4" w:rsidP="004315D4">
      <w:pPr>
        <w:pStyle w:val="Heading1"/>
        <w:keepNext/>
        <w:keepLines/>
        <w:numPr>
          <w:ilvl w:val="0"/>
          <w:numId w:val="0"/>
        </w:numPr>
        <w:rPr>
          <w:u w:val="single"/>
          <w:lang w:val="fr-FR"/>
        </w:rPr>
      </w:pPr>
      <w:r w:rsidRPr="00006053">
        <w:rPr>
          <w:u w:val="single"/>
          <w:lang w:val="fr-FR"/>
        </w:rPr>
        <w:t>Coût supplémentaire éligible total pour la phase II (2021-2026)</w:t>
      </w:r>
    </w:p>
    <w:p w14:paraId="2B4D4CCD" w14:textId="77777777" w:rsidR="004315D4" w:rsidRPr="00006053" w:rsidRDefault="004315D4" w:rsidP="004315D4">
      <w:pPr>
        <w:pStyle w:val="Heading1"/>
        <w:keepNext/>
        <w:keepLines/>
        <w:rPr>
          <w:lang w:val="fr-FR"/>
        </w:rPr>
      </w:pPr>
      <w:r w:rsidRPr="00006053">
        <w:rPr>
          <w:lang w:val="fr-FR"/>
        </w:rPr>
        <w:t>Le Gouvernement de la Chine a alloué 18 534 654 $US au plan sectoriel des mousses XPS pour la période de 2021 à 2026, dont 16 127 957 $US ont été alloués aux activités de reconversion des entreprises, 1 387 291 $US aux activités d’assistance technique et 1 019 406 $US à l’UGP.</w:t>
      </w:r>
    </w:p>
    <w:p w14:paraId="4F88223F" w14:textId="77777777" w:rsidR="004315D4" w:rsidRPr="00006053" w:rsidRDefault="004315D4" w:rsidP="004315D4">
      <w:pPr>
        <w:pStyle w:val="Heading1"/>
        <w:numPr>
          <w:ilvl w:val="0"/>
          <w:numId w:val="0"/>
        </w:numPr>
        <w:rPr>
          <w:i/>
          <w:lang w:val="fr-FR"/>
        </w:rPr>
      </w:pPr>
      <w:r w:rsidRPr="00006053">
        <w:rPr>
          <w:i/>
          <w:lang w:val="fr-FR"/>
        </w:rPr>
        <w:t>Coûts supplémentaires relatifs aux reconversions d’entreprises</w:t>
      </w:r>
    </w:p>
    <w:p w14:paraId="3496B98F" w14:textId="77777777" w:rsidR="004315D4" w:rsidRPr="00006053" w:rsidRDefault="004315D4" w:rsidP="004315D4">
      <w:pPr>
        <w:pStyle w:val="Heading1"/>
        <w:rPr>
          <w:lang w:val="fr-FR"/>
        </w:rPr>
      </w:pPr>
      <w:r w:rsidRPr="00006053">
        <w:rPr>
          <w:lang w:val="fr-FR"/>
        </w:rPr>
        <w:t>La méthode de calcul des coûts de reconversion figurant au PGEH révisé sera conforme au PGEH approuvé à la phase II. Le total des surcoûts d’investissement pour 11 entreprises figure au tableau 2.</w:t>
      </w:r>
    </w:p>
    <w:p w14:paraId="1559614B" w14:textId="77777777" w:rsidR="004315D4" w:rsidRPr="00006053" w:rsidRDefault="004315D4" w:rsidP="004315D4">
      <w:pPr>
        <w:keepNext/>
        <w:keepLines/>
        <w:tabs>
          <w:tab w:val="num" w:pos="0"/>
          <w:tab w:val="num" w:pos="720"/>
          <w:tab w:val="num" w:pos="902"/>
        </w:tabs>
        <w:spacing w:after="20"/>
        <w:rPr>
          <w:b/>
          <w:lang w:val="fr-FR"/>
        </w:rPr>
      </w:pPr>
      <w:r w:rsidRPr="00006053">
        <w:rPr>
          <w:b/>
          <w:lang w:val="fr-FR"/>
        </w:rPr>
        <w:t>Tableau 2. Total des surcoûts d’investissement pour 11 entreprises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232"/>
        <w:gridCol w:w="1386"/>
        <w:gridCol w:w="1552"/>
      </w:tblGrid>
      <w:tr w:rsidR="004315D4" w:rsidRPr="00006053" w14:paraId="298AE95A" w14:textId="77777777" w:rsidTr="00DD32D0">
        <w:tc>
          <w:tcPr>
            <w:tcW w:w="2770" w:type="pct"/>
            <w:shd w:val="clear" w:color="auto" w:fill="auto"/>
            <w:vAlign w:val="center"/>
            <w:hideMark/>
          </w:tcPr>
          <w:p w14:paraId="20F63285" w14:textId="77777777" w:rsidR="004315D4" w:rsidRPr="00006053" w:rsidRDefault="004315D4" w:rsidP="00DD32D0">
            <w:pPr>
              <w:keepNext/>
              <w:keepLines/>
              <w:jc w:val="left"/>
              <w:rPr>
                <w:b/>
                <w:bCs/>
                <w:sz w:val="21"/>
                <w:szCs w:val="21"/>
                <w:lang w:val="fr-FR"/>
              </w:rPr>
            </w:pPr>
            <w:bookmarkStart w:id="12" w:name="OLE_LINK1"/>
            <w:bookmarkStart w:id="13" w:name="OLE_LINK2"/>
            <w:r w:rsidRPr="00006053">
              <w:rPr>
                <w:b/>
                <w:bCs/>
                <w:sz w:val="21"/>
                <w:szCs w:val="21"/>
                <w:lang w:val="fr-FR"/>
              </w:rPr>
              <w:t>Poste</w:t>
            </w:r>
          </w:p>
        </w:tc>
        <w:tc>
          <w:tcPr>
            <w:tcW w:w="659" w:type="pct"/>
            <w:shd w:val="clear" w:color="auto" w:fill="auto"/>
            <w:vAlign w:val="center"/>
            <w:hideMark/>
          </w:tcPr>
          <w:p w14:paraId="1FFCDB9B" w14:textId="77777777" w:rsidR="004315D4" w:rsidRPr="00006053" w:rsidRDefault="004315D4" w:rsidP="00DD32D0">
            <w:pPr>
              <w:keepNext/>
              <w:keepLines/>
              <w:jc w:val="center"/>
              <w:rPr>
                <w:b/>
                <w:bCs/>
                <w:sz w:val="21"/>
                <w:szCs w:val="21"/>
                <w:lang w:val="fr-FR"/>
              </w:rPr>
            </w:pPr>
            <w:r w:rsidRPr="00006053">
              <w:rPr>
                <w:b/>
                <w:bCs/>
                <w:sz w:val="21"/>
                <w:szCs w:val="21"/>
                <w:lang w:val="fr-FR"/>
              </w:rPr>
              <w:t xml:space="preserve">Prix unitaire </w:t>
            </w:r>
          </w:p>
        </w:tc>
        <w:tc>
          <w:tcPr>
            <w:tcW w:w="741" w:type="pct"/>
            <w:shd w:val="clear" w:color="auto" w:fill="auto"/>
            <w:vAlign w:val="center"/>
            <w:hideMark/>
          </w:tcPr>
          <w:p w14:paraId="42818121" w14:textId="77777777" w:rsidR="004315D4" w:rsidRPr="00006053" w:rsidRDefault="004315D4" w:rsidP="00DD32D0">
            <w:pPr>
              <w:keepNext/>
              <w:keepLines/>
              <w:jc w:val="center"/>
              <w:rPr>
                <w:b/>
                <w:bCs/>
                <w:sz w:val="21"/>
                <w:szCs w:val="21"/>
                <w:lang w:val="fr-FR"/>
              </w:rPr>
            </w:pPr>
            <w:r w:rsidRPr="00006053">
              <w:rPr>
                <w:b/>
                <w:bCs/>
                <w:sz w:val="21"/>
                <w:szCs w:val="21"/>
                <w:lang w:val="fr-FR"/>
              </w:rPr>
              <w:t>Nombre d’articles</w:t>
            </w:r>
          </w:p>
        </w:tc>
        <w:tc>
          <w:tcPr>
            <w:tcW w:w="830" w:type="pct"/>
            <w:shd w:val="clear" w:color="auto" w:fill="auto"/>
            <w:vAlign w:val="center"/>
            <w:hideMark/>
          </w:tcPr>
          <w:p w14:paraId="7D43B530" w14:textId="77777777" w:rsidR="004315D4" w:rsidRPr="00006053" w:rsidRDefault="004315D4" w:rsidP="00DD32D0">
            <w:pPr>
              <w:keepNext/>
              <w:keepLines/>
              <w:jc w:val="center"/>
              <w:rPr>
                <w:b/>
                <w:bCs/>
                <w:sz w:val="21"/>
                <w:szCs w:val="21"/>
                <w:lang w:val="fr-FR"/>
              </w:rPr>
            </w:pPr>
            <w:r w:rsidRPr="00006053">
              <w:rPr>
                <w:b/>
                <w:bCs/>
                <w:sz w:val="21"/>
                <w:szCs w:val="21"/>
                <w:lang w:val="fr-FR"/>
              </w:rPr>
              <w:t>Total partiel</w:t>
            </w:r>
          </w:p>
        </w:tc>
      </w:tr>
      <w:tr w:rsidR="004315D4" w:rsidRPr="00006053" w14:paraId="61BF75CD" w14:textId="77777777" w:rsidTr="00DD32D0">
        <w:tc>
          <w:tcPr>
            <w:tcW w:w="2770" w:type="pct"/>
            <w:shd w:val="clear" w:color="auto" w:fill="auto"/>
            <w:vAlign w:val="center"/>
            <w:hideMark/>
          </w:tcPr>
          <w:p w14:paraId="5126DF5C" w14:textId="77777777" w:rsidR="004315D4" w:rsidRPr="00006053" w:rsidRDefault="004315D4" w:rsidP="00DD32D0">
            <w:pPr>
              <w:jc w:val="left"/>
              <w:rPr>
                <w:sz w:val="21"/>
                <w:szCs w:val="21"/>
                <w:lang w:val="fr-FR"/>
              </w:rPr>
            </w:pPr>
            <w:r w:rsidRPr="00006053">
              <w:rPr>
                <w:sz w:val="21"/>
                <w:szCs w:val="21"/>
                <w:lang w:val="fr-FR"/>
              </w:rPr>
              <w:t xml:space="preserve">Extrudeuses </w:t>
            </w:r>
          </w:p>
        </w:tc>
        <w:tc>
          <w:tcPr>
            <w:tcW w:w="659" w:type="pct"/>
            <w:shd w:val="clear" w:color="auto" w:fill="auto"/>
            <w:tcMar>
              <w:left w:w="115" w:type="dxa"/>
              <w:right w:w="216" w:type="dxa"/>
            </w:tcMar>
            <w:hideMark/>
          </w:tcPr>
          <w:p w14:paraId="5B53B911" w14:textId="77777777" w:rsidR="004315D4" w:rsidRPr="00006053" w:rsidRDefault="004315D4" w:rsidP="00DD32D0">
            <w:pPr>
              <w:jc w:val="right"/>
              <w:rPr>
                <w:sz w:val="21"/>
                <w:szCs w:val="21"/>
                <w:lang w:val="fr-FR"/>
              </w:rPr>
            </w:pPr>
            <w:r w:rsidRPr="00006053">
              <w:rPr>
                <w:sz w:val="21"/>
                <w:szCs w:val="21"/>
                <w:lang w:val="fr-FR"/>
              </w:rPr>
              <w:t>837 000</w:t>
            </w:r>
          </w:p>
        </w:tc>
        <w:tc>
          <w:tcPr>
            <w:tcW w:w="741" w:type="pct"/>
            <w:shd w:val="clear" w:color="auto" w:fill="auto"/>
            <w:tcMar>
              <w:left w:w="115" w:type="dxa"/>
              <w:right w:w="216" w:type="dxa"/>
            </w:tcMar>
            <w:hideMark/>
          </w:tcPr>
          <w:p w14:paraId="35EFA98D" w14:textId="77777777" w:rsidR="004315D4" w:rsidRPr="00006053" w:rsidRDefault="004315D4" w:rsidP="00DD32D0">
            <w:pPr>
              <w:jc w:val="right"/>
              <w:rPr>
                <w:sz w:val="21"/>
                <w:szCs w:val="21"/>
                <w:lang w:val="fr-FR"/>
              </w:rPr>
            </w:pPr>
            <w:r w:rsidRPr="00006053">
              <w:rPr>
                <w:sz w:val="21"/>
                <w:szCs w:val="21"/>
                <w:lang w:val="fr-FR"/>
              </w:rPr>
              <w:t>13,1</w:t>
            </w:r>
          </w:p>
        </w:tc>
        <w:tc>
          <w:tcPr>
            <w:tcW w:w="830" w:type="pct"/>
            <w:shd w:val="clear" w:color="auto" w:fill="auto"/>
            <w:tcMar>
              <w:left w:w="115" w:type="dxa"/>
              <w:right w:w="216" w:type="dxa"/>
            </w:tcMar>
            <w:hideMark/>
          </w:tcPr>
          <w:p w14:paraId="46486109" w14:textId="77777777" w:rsidR="004315D4" w:rsidRPr="00006053" w:rsidRDefault="004315D4" w:rsidP="00DD32D0">
            <w:pPr>
              <w:jc w:val="right"/>
              <w:rPr>
                <w:sz w:val="21"/>
                <w:szCs w:val="21"/>
                <w:lang w:val="fr-FR"/>
              </w:rPr>
            </w:pPr>
            <w:r w:rsidRPr="00006053">
              <w:rPr>
                <w:sz w:val="21"/>
                <w:szCs w:val="21"/>
                <w:lang w:val="fr-FR"/>
              </w:rPr>
              <w:t xml:space="preserve">10 964 700 </w:t>
            </w:r>
          </w:p>
        </w:tc>
      </w:tr>
      <w:tr w:rsidR="004315D4" w:rsidRPr="00006053" w14:paraId="3F4F2BD1" w14:textId="77777777" w:rsidTr="00DD32D0">
        <w:tc>
          <w:tcPr>
            <w:tcW w:w="2770" w:type="pct"/>
            <w:shd w:val="clear" w:color="auto" w:fill="auto"/>
            <w:vAlign w:val="center"/>
            <w:hideMark/>
          </w:tcPr>
          <w:p w14:paraId="09172A05" w14:textId="77777777" w:rsidR="004315D4" w:rsidRPr="00006053" w:rsidRDefault="004315D4" w:rsidP="00DD32D0">
            <w:pPr>
              <w:jc w:val="left"/>
              <w:rPr>
                <w:sz w:val="21"/>
                <w:szCs w:val="21"/>
                <w:lang w:val="fr-FR"/>
              </w:rPr>
            </w:pPr>
            <w:r w:rsidRPr="00006053">
              <w:rPr>
                <w:sz w:val="21"/>
                <w:szCs w:val="21"/>
                <w:lang w:val="fr-FR"/>
              </w:rPr>
              <w:t>Adaptation de la sécurité</w:t>
            </w:r>
          </w:p>
        </w:tc>
        <w:tc>
          <w:tcPr>
            <w:tcW w:w="659" w:type="pct"/>
            <w:shd w:val="clear" w:color="auto" w:fill="auto"/>
            <w:tcMar>
              <w:left w:w="115" w:type="dxa"/>
              <w:right w:w="216" w:type="dxa"/>
            </w:tcMar>
            <w:hideMark/>
          </w:tcPr>
          <w:p w14:paraId="58B3AE8C" w14:textId="77777777" w:rsidR="004315D4" w:rsidRPr="00006053" w:rsidRDefault="004315D4" w:rsidP="00DD32D0">
            <w:pPr>
              <w:jc w:val="right"/>
              <w:rPr>
                <w:sz w:val="21"/>
                <w:szCs w:val="21"/>
                <w:lang w:val="fr-FR"/>
              </w:rPr>
            </w:pPr>
            <w:r w:rsidRPr="00006053">
              <w:rPr>
                <w:sz w:val="21"/>
                <w:szCs w:val="21"/>
                <w:lang w:val="fr-FR"/>
              </w:rPr>
              <w:t>202 600</w:t>
            </w:r>
          </w:p>
        </w:tc>
        <w:tc>
          <w:tcPr>
            <w:tcW w:w="741" w:type="pct"/>
            <w:shd w:val="clear" w:color="auto" w:fill="auto"/>
            <w:tcMar>
              <w:left w:w="115" w:type="dxa"/>
              <w:right w:w="216" w:type="dxa"/>
            </w:tcMar>
            <w:hideMark/>
          </w:tcPr>
          <w:p w14:paraId="003C1B90" w14:textId="77777777" w:rsidR="004315D4" w:rsidRPr="00006053" w:rsidRDefault="004315D4" w:rsidP="00DD32D0">
            <w:pPr>
              <w:jc w:val="right"/>
              <w:rPr>
                <w:sz w:val="21"/>
                <w:szCs w:val="21"/>
                <w:lang w:val="fr-FR"/>
              </w:rPr>
            </w:pPr>
            <w:r w:rsidRPr="00006053">
              <w:rPr>
                <w:sz w:val="21"/>
                <w:szCs w:val="21"/>
                <w:lang w:val="fr-FR"/>
              </w:rPr>
              <w:t>13,1</w:t>
            </w:r>
          </w:p>
        </w:tc>
        <w:tc>
          <w:tcPr>
            <w:tcW w:w="830" w:type="pct"/>
            <w:shd w:val="clear" w:color="auto" w:fill="auto"/>
            <w:tcMar>
              <w:left w:w="115" w:type="dxa"/>
              <w:right w:w="216" w:type="dxa"/>
            </w:tcMar>
            <w:hideMark/>
          </w:tcPr>
          <w:p w14:paraId="1CFA099A" w14:textId="77777777" w:rsidR="004315D4" w:rsidRPr="00006053" w:rsidRDefault="004315D4" w:rsidP="00DD32D0">
            <w:pPr>
              <w:jc w:val="right"/>
              <w:rPr>
                <w:sz w:val="21"/>
                <w:szCs w:val="21"/>
                <w:lang w:val="fr-FR"/>
              </w:rPr>
            </w:pPr>
            <w:r w:rsidRPr="00006053">
              <w:rPr>
                <w:sz w:val="21"/>
                <w:szCs w:val="21"/>
                <w:lang w:val="fr-FR"/>
              </w:rPr>
              <w:t>2 654 060</w:t>
            </w:r>
          </w:p>
        </w:tc>
      </w:tr>
      <w:tr w:rsidR="004315D4" w:rsidRPr="00006053" w14:paraId="5C12CDA2" w14:textId="77777777" w:rsidTr="00DD32D0">
        <w:tc>
          <w:tcPr>
            <w:tcW w:w="2770" w:type="pct"/>
            <w:shd w:val="clear" w:color="auto" w:fill="auto"/>
            <w:vAlign w:val="center"/>
            <w:hideMark/>
          </w:tcPr>
          <w:p w14:paraId="5B50D51B" w14:textId="77777777" w:rsidR="004315D4" w:rsidRPr="00006053" w:rsidRDefault="004315D4" w:rsidP="00DD32D0">
            <w:pPr>
              <w:jc w:val="left"/>
              <w:rPr>
                <w:sz w:val="21"/>
                <w:szCs w:val="21"/>
                <w:lang w:val="fr-FR"/>
              </w:rPr>
            </w:pPr>
            <w:r w:rsidRPr="00006053">
              <w:rPr>
                <w:sz w:val="21"/>
                <w:szCs w:val="21"/>
                <w:lang w:val="fr-FR"/>
              </w:rPr>
              <w:t>Formation technique et à la sécurité</w:t>
            </w:r>
          </w:p>
        </w:tc>
        <w:tc>
          <w:tcPr>
            <w:tcW w:w="659" w:type="pct"/>
            <w:shd w:val="clear" w:color="auto" w:fill="auto"/>
            <w:tcMar>
              <w:left w:w="115" w:type="dxa"/>
              <w:right w:w="216" w:type="dxa"/>
            </w:tcMar>
            <w:hideMark/>
          </w:tcPr>
          <w:p w14:paraId="470C4107" w14:textId="77777777" w:rsidR="004315D4" w:rsidRPr="00006053" w:rsidRDefault="004315D4" w:rsidP="00DD32D0">
            <w:pPr>
              <w:jc w:val="right"/>
              <w:rPr>
                <w:sz w:val="21"/>
                <w:szCs w:val="21"/>
                <w:lang w:val="fr-FR"/>
              </w:rPr>
            </w:pPr>
            <w:r w:rsidRPr="00006053">
              <w:rPr>
                <w:sz w:val="21"/>
                <w:szCs w:val="21"/>
                <w:lang w:val="fr-FR"/>
              </w:rPr>
              <w:t>5 000</w:t>
            </w:r>
          </w:p>
        </w:tc>
        <w:tc>
          <w:tcPr>
            <w:tcW w:w="741" w:type="pct"/>
            <w:shd w:val="clear" w:color="auto" w:fill="auto"/>
            <w:tcMar>
              <w:left w:w="115" w:type="dxa"/>
              <w:right w:w="216" w:type="dxa"/>
            </w:tcMar>
            <w:hideMark/>
          </w:tcPr>
          <w:p w14:paraId="3C2789AD" w14:textId="77777777" w:rsidR="004315D4" w:rsidRPr="00006053" w:rsidRDefault="004315D4" w:rsidP="00DD32D0">
            <w:pPr>
              <w:jc w:val="right"/>
              <w:rPr>
                <w:sz w:val="21"/>
                <w:szCs w:val="21"/>
                <w:lang w:val="fr-FR"/>
              </w:rPr>
            </w:pPr>
            <w:r w:rsidRPr="00006053">
              <w:rPr>
                <w:sz w:val="21"/>
                <w:szCs w:val="21"/>
                <w:lang w:val="fr-FR"/>
              </w:rPr>
              <w:t>11</w:t>
            </w:r>
          </w:p>
        </w:tc>
        <w:tc>
          <w:tcPr>
            <w:tcW w:w="830" w:type="pct"/>
            <w:shd w:val="clear" w:color="auto" w:fill="auto"/>
            <w:tcMar>
              <w:left w:w="115" w:type="dxa"/>
              <w:right w:w="216" w:type="dxa"/>
            </w:tcMar>
            <w:hideMark/>
          </w:tcPr>
          <w:p w14:paraId="53D98D69" w14:textId="77777777" w:rsidR="004315D4" w:rsidRPr="00006053" w:rsidRDefault="004315D4" w:rsidP="00DD32D0">
            <w:pPr>
              <w:jc w:val="right"/>
              <w:rPr>
                <w:sz w:val="21"/>
                <w:szCs w:val="21"/>
                <w:lang w:val="fr-FR"/>
              </w:rPr>
            </w:pPr>
            <w:r w:rsidRPr="00006053">
              <w:rPr>
                <w:sz w:val="21"/>
                <w:szCs w:val="21"/>
                <w:lang w:val="fr-FR"/>
              </w:rPr>
              <w:t>55 000</w:t>
            </w:r>
          </w:p>
        </w:tc>
      </w:tr>
      <w:tr w:rsidR="004315D4" w:rsidRPr="00006053" w14:paraId="7EDDEFFC" w14:textId="77777777" w:rsidTr="00DD32D0">
        <w:tc>
          <w:tcPr>
            <w:tcW w:w="2770" w:type="pct"/>
            <w:shd w:val="clear" w:color="auto" w:fill="auto"/>
            <w:vAlign w:val="bottom"/>
            <w:hideMark/>
          </w:tcPr>
          <w:p w14:paraId="5867AD8C" w14:textId="77777777" w:rsidR="004315D4" w:rsidRPr="00006053" w:rsidRDefault="004315D4" w:rsidP="00DD32D0">
            <w:pPr>
              <w:jc w:val="left"/>
              <w:rPr>
                <w:sz w:val="21"/>
                <w:szCs w:val="21"/>
                <w:lang w:val="fr-FR"/>
              </w:rPr>
            </w:pPr>
            <w:r w:rsidRPr="00006053">
              <w:rPr>
                <w:sz w:val="21"/>
                <w:szCs w:val="21"/>
                <w:lang w:val="fr-FR"/>
              </w:rPr>
              <w:t>Transfert de technologie, essais et certification de la sécurité</w:t>
            </w:r>
          </w:p>
        </w:tc>
        <w:tc>
          <w:tcPr>
            <w:tcW w:w="659" w:type="pct"/>
            <w:shd w:val="clear" w:color="auto" w:fill="auto"/>
            <w:tcMar>
              <w:left w:w="115" w:type="dxa"/>
              <w:right w:w="216" w:type="dxa"/>
            </w:tcMar>
            <w:hideMark/>
          </w:tcPr>
          <w:p w14:paraId="1C79AAB4" w14:textId="77777777" w:rsidR="004315D4" w:rsidRPr="00006053" w:rsidRDefault="004315D4" w:rsidP="00DD32D0">
            <w:pPr>
              <w:jc w:val="right"/>
              <w:rPr>
                <w:sz w:val="21"/>
                <w:szCs w:val="21"/>
                <w:lang w:val="fr-FR"/>
              </w:rPr>
            </w:pPr>
            <w:r w:rsidRPr="00006053">
              <w:rPr>
                <w:sz w:val="21"/>
                <w:szCs w:val="21"/>
                <w:lang w:val="fr-FR"/>
              </w:rPr>
              <w:t>20 000</w:t>
            </w:r>
          </w:p>
        </w:tc>
        <w:tc>
          <w:tcPr>
            <w:tcW w:w="741" w:type="pct"/>
            <w:shd w:val="clear" w:color="auto" w:fill="auto"/>
            <w:tcMar>
              <w:left w:w="115" w:type="dxa"/>
              <w:right w:w="216" w:type="dxa"/>
            </w:tcMar>
            <w:hideMark/>
          </w:tcPr>
          <w:p w14:paraId="029682E0" w14:textId="77777777" w:rsidR="004315D4" w:rsidRPr="00006053" w:rsidRDefault="004315D4" w:rsidP="00DD32D0">
            <w:pPr>
              <w:jc w:val="right"/>
              <w:rPr>
                <w:sz w:val="21"/>
                <w:szCs w:val="21"/>
                <w:lang w:val="fr-FR"/>
              </w:rPr>
            </w:pPr>
            <w:r w:rsidRPr="00006053">
              <w:rPr>
                <w:sz w:val="21"/>
                <w:szCs w:val="21"/>
                <w:lang w:val="fr-FR"/>
              </w:rPr>
              <w:t>11</w:t>
            </w:r>
          </w:p>
        </w:tc>
        <w:tc>
          <w:tcPr>
            <w:tcW w:w="830" w:type="pct"/>
            <w:shd w:val="clear" w:color="auto" w:fill="auto"/>
            <w:tcMar>
              <w:left w:w="115" w:type="dxa"/>
              <w:right w:w="216" w:type="dxa"/>
            </w:tcMar>
            <w:hideMark/>
          </w:tcPr>
          <w:p w14:paraId="632789CA" w14:textId="77777777" w:rsidR="004315D4" w:rsidRPr="00006053" w:rsidRDefault="004315D4" w:rsidP="00DD32D0">
            <w:pPr>
              <w:jc w:val="right"/>
              <w:rPr>
                <w:sz w:val="21"/>
                <w:szCs w:val="21"/>
                <w:lang w:val="fr-FR"/>
              </w:rPr>
            </w:pPr>
            <w:r w:rsidRPr="00006053">
              <w:rPr>
                <w:sz w:val="21"/>
                <w:szCs w:val="21"/>
                <w:lang w:val="fr-FR"/>
              </w:rPr>
              <w:t>220 000</w:t>
            </w:r>
          </w:p>
        </w:tc>
      </w:tr>
      <w:tr w:rsidR="004315D4" w:rsidRPr="00006053" w14:paraId="3C5208C6" w14:textId="77777777" w:rsidTr="00DD32D0">
        <w:tc>
          <w:tcPr>
            <w:tcW w:w="2770" w:type="pct"/>
            <w:shd w:val="clear" w:color="auto" w:fill="auto"/>
            <w:vAlign w:val="center"/>
            <w:hideMark/>
          </w:tcPr>
          <w:p w14:paraId="234C9314" w14:textId="77777777" w:rsidR="004315D4" w:rsidRPr="00006053" w:rsidRDefault="004315D4" w:rsidP="00DD32D0">
            <w:pPr>
              <w:rPr>
                <w:b/>
                <w:bCs/>
                <w:sz w:val="21"/>
                <w:szCs w:val="21"/>
                <w:lang w:val="fr-FR"/>
              </w:rPr>
            </w:pPr>
            <w:r w:rsidRPr="00006053">
              <w:rPr>
                <w:b/>
                <w:bCs/>
                <w:sz w:val="21"/>
                <w:szCs w:val="21"/>
                <w:lang w:val="fr-FR"/>
              </w:rPr>
              <w:t>Total</w:t>
            </w:r>
          </w:p>
        </w:tc>
        <w:tc>
          <w:tcPr>
            <w:tcW w:w="659" w:type="pct"/>
            <w:shd w:val="clear" w:color="auto" w:fill="auto"/>
            <w:tcMar>
              <w:left w:w="115" w:type="dxa"/>
              <w:right w:w="216" w:type="dxa"/>
            </w:tcMar>
            <w:hideMark/>
          </w:tcPr>
          <w:p w14:paraId="4BB33BE9" w14:textId="77777777" w:rsidR="004315D4" w:rsidRPr="00006053" w:rsidRDefault="004315D4" w:rsidP="00DD32D0">
            <w:pPr>
              <w:jc w:val="right"/>
              <w:rPr>
                <w:b/>
                <w:bCs/>
                <w:sz w:val="21"/>
                <w:szCs w:val="21"/>
                <w:lang w:val="fr-FR"/>
              </w:rPr>
            </w:pPr>
          </w:p>
        </w:tc>
        <w:tc>
          <w:tcPr>
            <w:tcW w:w="741" w:type="pct"/>
            <w:shd w:val="clear" w:color="auto" w:fill="auto"/>
            <w:tcMar>
              <w:left w:w="115" w:type="dxa"/>
              <w:right w:w="216" w:type="dxa"/>
            </w:tcMar>
            <w:hideMark/>
          </w:tcPr>
          <w:p w14:paraId="360E24B9" w14:textId="77777777" w:rsidR="004315D4" w:rsidRPr="00006053" w:rsidRDefault="004315D4" w:rsidP="00DD32D0">
            <w:pPr>
              <w:jc w:val="right"/>
              <w:rPr>
                <w:b/>
                <w:bCs/>
                <w:sz w:val="21"/>
                <w:szCs w:val="21"/>
                <w:lang w:val="fr-FR"/>
              </w:rPr>
            </w:pPr>
          </w:p>
        </w:tc>
        <w:tc>
          <w:tcPr>
            <w:tcW w:w="830" w:type="pct"/>
            <w:shd w:val="clear" w:color="auto" w:fill="auto"/>
            <w:tcMar>
              <w:left w:w="115" w:type="dxa"/>
              <w:right w:w="216" w:type="dxa"/>
            </w:tcMar>
            <w:hideMark/>
          </w:tcPr>
          <w:p w14:paraId="57A3A732" w14:textId="77777777" w:rsidR="004315D4" w:rsidRPr="00006053" w:rsidRDefault="004315D4" w:rsidP="00DD32D0">
            <w:pPr>
              <w:jc w:val="right"/>
              <w:rPr>
                <w:b/>
                <w:bCs/>
                <w:sz w:val="21"/>
                <w:szCs w:val="21"/>
                <w:lang w:val="fr-FR"/>
              </w:rPr>
            </w:pPr>
            <w:r w:rsidRPr="00006053">
              <w:rPr>
                <w:b/>
                <w:bCs/>
                <w:sz w:val="21"/>
                <w:szCs w:val="21"/>
                <w:lang w:val="fr-FR"/>
              </w:rPr>
              <w:t>13 893 760</w:t>
            </w:r>
          </w:p>
        </w:tc>
      </w:tr>
    </w:tbl>
    <w:bookmarkEnd w:id="12"/>
    <w:bookmarkEnd w:id="13"/>
    <w:p w14:paraId="32276514" w14:textId="282219F2" w:rsidR="004315D4" w:rsidRPr="00006053" w:rsidRDefault="004315D4" w:rsidP="006A23C7">
      <w:pPr>
        <w:pStyle w:val="Heading1"/>
        <w:spacing w:before="240"/>
        <w:rPr>
          <w:lang w:val="fr-FR"/>
        </w:rPr>
      </w:pPr>
      <w:r w:rsidRPr="00006053">
        <w:rPr>
          <w:lang w:val="fr-FR"/>
        </w:rPr>
        <w:lastRenderedPageBreak/>
        <w:t>Les surcoûts d’exploitation relatifs à la reconversion des 11 entrepris</w:t>
      </w:r>
      <w:r w:rsidR="006A23C7">
        <w:rPr>
          <w:lang w:val="fr-FR"/>
        </w:rPr>
        <w:t>es ont été calculés à 5 649 686 </w:t>
      </w:r>
      <w:r w:rsidRPr="00006053">
        <w:rPr>
          <w:lang w:val="fr-FR"/>
        </w:rPr>
        <w:t xml:space="preserve">$US, en en fixant le seuil pour le secteur des mousses XPS à 1,40 $US/kg, appliqué aux 4 035,40 tonnes de HCFC qui seront éliminés par les entreprises. </w:t>
      </w:r>
    </w:p>
    <w:p w14:paraId="2C5D7F3E" w14:textId="77777777" w:rsidR="004315D4" w:rsidRPr="00006053" w:rsidRDefault="004315D4" w:rsidP="004315D4">
      <w:pPr>
        <w:pStyle w:val="Heading1"/>
        <w:rPr>
          <w:lang w:val="fr-FR"/>
        </w:rPr>
      </w:pPr>
      <w:r w:rsidRPr="00006053">
        <w:rPr>
          <w:lang w:val="fr-FR"/>
        </w:rPr>
        <w:t xml:space="preserve">En conséquence, le surcoût global des 11 reconversions a été calculé à 19 543 446 $US. En raison du financement réduit alloué au secteur des mousses XPS, le niveau des fonds alloués aux activités d’investissement est de 16 127 957 $US. La différence fera l’objet d’un cofinancement de la part des entreprises bénéficiaires. </w:t>
      </w:r>
    </w:p>
    <w:p w14:paraId="19E7323C" w14:textId="77777777" w:rsidR="004315D4" w:rsidRPr="00006053" w:rsidRDefault="004315D4" w:rsidP="004315D4">
      <w:pPr>
        <w:pStyle w:val="Heading1"/>
        <w:rPr>
          <w:lang w:val="fr-FR"/>
        </w:rPr>
      </w:pPr>
      <w:r w:rsidRPr="00006053">
        <w:rPr>
          <w:lang w:val="fr-FR"/>
        </w:rPr>
        <w:t>En ce qui concerne la répartition des fonds disponibles entre les 11 entreprises, le seuil de rentabilité a été calculé à 6,00 $US/kg pour les 150 premières tonnes consommées par une entreprise, 3,00 $US/kg pour les 150 à 300 tonnes suivantes et 2,00 $US/kg au-delà. Par exemple, une entreprise consommant 420 tonnes de HCFC pourra bénéficier d’un financement de 1 590 000 $US (soit 150 tonnes x 6,00 $US/kg + 150 tonnes x 3,00 $US/kg + 120 tonnes x 2,00 $US/kg). Le financement des 11 entreprises figure au tableau 3.</w:t>
      </w:r>
    </w:p>
    <w:p w14:paraId="557EF0ED" w14:textId="77777777" w:rsidR="004315D4" w:rsidRPr="00006053" w:rsidRDefault="004315D4" w:rsidP="004315D4">
      <w:pPr>
        <w:rPr>
          <w:b/>
          <w:lang w:val="fr-FR"/>
        </w:rPr>
      </w:pPr>
      <w:r w:rsidRPr="00006053">
        <w:rPr>
          <w:b/>
          <w:lang w:val="fr-FR"/>
        </w:rPr>
        <w:t>Tableau 3. Subventions calculées pour 11 entreprises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315D4" w:rsidRPr="00E3303D" w14:paraId="7B9B3B26" w14:textId="77777777" w:rsidTr="00DD32D0">
        <w:trPr>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1ED98BB" w14:textId="77777777" w:rsidR="004315D4" w:rsidRPr="00006053" w:rsidRDefault="004315D4" w:rsidP="00DD32D0">
            <w:pPr>
              <w:jc w:val="center"/>
              <w:rPr>
                <w:b/>
                <w:sz w:val="20"/>
                <w:szCs w:val="20"/>
                <w:lang w:val="fr-FR"/>
              </w:rPr>
            </w:pPr>
            <w:r w:rsidRPr="00006053">
              <w:rPr>
                <w:b/>
                <w:sz w:val="20"/>
                <w:szCs w:val="20"/>
                <w:lang w:val="fr-FR"/>
              </w:rPr>
              <w:t>Consommation de HCFC (tm)</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308EF3D" w14:textId="77777777" w:rsidR="004315D4" w:rsidRPr="00006053" w:rsidRDefault="004315D4" w:rsidP="00DD32D0">
            <w:pPr>
              <w:jc w:val="center"/>
              <w:rPr>
                <w:b/>
                <w:sz w:val="20"/>
                <w:szCs w:val="20"/>
                <w:lang w:val="fr-FR"/>
              </w:rPr>
            </w:pPr>
            <w:r w:rsidRPr="00006053">
              <w:rPr>
                <w:b/>
                <w:sz w:val="20"/>
                <w:szCs w:val="20"/>
                <w:lang w:val="fr-FR"/>
              </w:rPr>
              <w:t>Montant contractuel ($US)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8CEBE91" w14:textId="77777777" w:rsidR="004315D4" w:rsidRPr="00006053" w:rsidRDefault="004315D4" w:rsidP="00DD32D0">
            <w:pPr>
              <w:jc w:val="center"/>
              <w:rPr>
                <w:b/>
                <w:sz w:val="20"/>
                <w:szCs w:val="20"/>
                <w:lang w:val="fr-FR"/>
              </w:rPr>
            </w:pPr>
            <w:r w:rsidRPr="00006053">
              <w:rPr>
                <w:b/>
                <w:sz w:val="20"/>
                <w:szCs w:val="20"/>
                <w:lang w:val="fr-FR"/>
              </w:rPr>
              <w:t>Surcoûts d’investissement ($US)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71B57E" w14:textId="77777777" w:rsidR="004315D4" w:rsidRPr="00006053" w:rsidRDefault="004315D4" w:rsidP="00DD32D0">
            <w:pPr>
              <w:jc w:val="center"/>
              <w:rPr>
                <w:b/>
                <w:sz w:val="20"/>
                <w:szCs w:val="20"/>
                <w:lang w:val="fr-FR"/>
              </w:rPr>
            </w:pPr>
            <w:r w:rsidRPr="00006053">
              <w:rPr>
                <w:b/>
                <w:sz w:val="20"/>
                <w:szCs w:val="20"/>
                <w:lang w:val="fr-FR"/>
              </w:rPr>
              <w:t>Surcoûts d’exploitation ($US)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B4C5D11" w14:textId="77777777" w:rsidR="004315D4" w:rsidRPr="00006053" w:rsidRDefault="004315D4" w:rsidP="00DD32D0">
            <w:pPr>
              <w:jc w:val="center"/>
              <w:rPr>
                <w:b/>
                <w:sz w:val="20"/>
                <w:szCs w:val="20"/>
                <w:lang w:val="fr-FR"/>
              </w:rPr>
            </w:pPr>
            <w:r w:rsidRPr="00006053">
              <w:rPr>
                <w:b/>
                <w:sz w:val="20"/>
                <w:szCs w:val="20"/>
                <w:lang w:val="fr-FR"/>
              </w:rPr>
              <w:t>Rentabilité (US$/kg de HCFC)</w:t>
            </w:r>
          </w:p>
        </w:tc>
      </w:tr>
      <w:tr w:rsidR="004315D4" w:rsidRPr="00006053" w14:paraId="546378A8" w14:textId="77777777" w:rsidTr="00DD32D0">
        <w:trPr>
          <w:tblHeader/>
        </w:trPr>
        <w:tc>
          <w:tcPr>
            <w:tcW w:w="1000" w:type="pct"/>
            <w:tcBorders>
              <w:top w:val="single" w:sz="4" w:space="0" w:color="auto"/>
              <w:left w:val="single" w:sz="4" w:space="0" w:color="auto"/>
              <w:bottom w:val="single" w:sz="4" w:space="0" w:color="auto"/>
              <w:right w:val="single" w:sz="4" w:space="0" w:color="auto"/>
            </w:tcBorders>
            <w:vAlign w:val="center"/>
          </w:tcPr>
          <w:p w14:paraId="0D39292D" w14:textId="77777777" w:rsidR="004315D4" w:rsidRPr="00006053" w:rsidRDefault="004315D4" w:rsidP="00DD32D0">
            <w:pPr>
              <w:jc w:val="center"/>
              <w:rPr>
                <w:sz w:val="20"/>
                <w:szCs w:val="20"/>
                <w:lang w:val="fr-FR"/>
              </w:rPr>
            </w:pPr>
            <w:r w:rsidRPr="00006053">
              <w:rPr>
                <w:bCs/>
                <w:color w:val="000000"/>
                <w:sz w:val="20"/>
                <w:szCs w:val="20"/>
                <w:lang w:val="fr-FR"/>
              </w:rPr>
              <w:t>4 035,49</w:t>
            </w:r>
          </w:p>
        </w:tc>
        <w:tc>
          <w:tcPr>
            <w:tcW w:w="1000" w:type="pct"/>
            <w:tcBorders>
              <w:top w:val="single" w:sz="4" w:space="0" w:color="auto"/>
              <w:left w:val="single" w:sz="4" w:space="0" w:color="auto"/>
              <w:bottom w:val="single" w:sz="4" w:space="0" w:color="auto"/>
              <w:right w:val="single" w:sz="4" w:space="0" w:color="auto"/>
            </w:tcBorders>
            <w:vAlign w:val="center"/>
          </w:tcPr>
          <w:p w14:paraId="64ED6D4D" w14:textId="77777777" w:rsidR="004315D4" w:rsidRPr="00006053" w:rsidRDefault="004315D4" w:rsidP="00DD32D0">
            <w:pPr>
              <w:jc w:val="center"/>
              <w:rPr>
                <w:sz w:val="20"/>
                <w:szCs w:val="20"/>
                <w:lang w:val="fr-FR"/>
              </w:rPr>
            </w:pPr>
            <w:r w:rsidRPr="00006053">
              <w:rPr>
                <w:bCs/>
                <w:color w:val="000000"/>
                <w:sz w:val="20"/>
                <w:szCs w:val="20"/>
                <w:lang w:val="fr-FR"/>
              </w:rPr>
              <w:t>16 127 957</w:t>
            </w:r>
          </w:p>
        </w:tc>
        <w:tc>
          <w:tcPr>
            <w:tcW w:w="1000" w:type="pct"/>
            <w:tcBorders>
              <w:top w:val="single" w:sz="4" w:space="0" w:color="auto"/>
              <w:left w:val="single" w:sz="4" w:space="0" w:color="auto"/>
              <w:bottom w:val="single" w:sz="4" w:space="0" w:color="auto"/>
              <w:right w:val="single" w:sz="4" w:space="0" w:color="auto"/>
            </w:tcBorders>
            <w:vAlign w:val="center"/>
          </w:tcPr>
          <w:p w14:paraId="03870788" w14:textId="77777777" w:rsidR="004315D4" w:rsidRPr="00006053" w:rsidRDefault="004315D4" w:rsidP="00DD32D0">
            <w:pPr>
              <w:jc w:val="center"/>
              <w:rPr>
                <w:sz w:val="20"/>
                <w:szCs w:val="20"/>
                <w:lang w:val="fr-FR"/>
              </w:rPr>
            </w:pPr>
            <w:r w:rsidRPr="00006053">
              <w:rPr>
                <w:bCs/>
                <w:color w:val="000000"/>
                <w:sz w:val="20"/>
                <w:szCs w:val="20"/>
                <w:lang w:val="fr-FR"/>
              </w:rPr>
              <w:t>12 092 468</w:t>
            </w:r>
          </w:p>
        </w:tc>
        <w:tc>
          <w:tcPr>
            <w:tcW w:w="1000" w:type="pct"/>
            <w:tcBorders>
              <w:top w:val="single" w:sz="4" w:space="0" w:color="auto"/>
              <w:left w:val="single" w:sz="4" w:space="0" w:color="auto"/>
              <w:bottom w:val="single" w:sz="4" w:space="0" w:color="auto"/>
              <w:right w:val="single" w:sz="4" w:space="0" w:color="auto"/>
            </w:tcBorders>
            <w:vAlign w:val="center"/>
          </w:tcPr>
          <w:p w14:paraId="6E3896BD" w14:textId="77777777" w:rsidR="004315D4" w:rsidRPr="00006053" w:rsidRDefault="004315D4" w:rsidP="00DD32D0">
            <w:pPr>
              <w:jc w:val="center"/>
              <w:rPr>
                <w:sz w:val="20"/>
                <w:szCs w:val="20"/>
                <w:lang w:val="fr-FR"/>
              </w:rPr>
            </w:pPr>
            <w:r w:rsidRPr="00006053">
              <w:rPr>
                <w:bCs/>
                <w:color w:val="000000"/>
                <w:sz w:val="20"/>
                <w:szCs w:val="20"/>
                <w:lang w:val="fr-FR"/>
              </w:rPr>
              <w:t>4 035 489</w:t>
            </w:r>
          </w:p>
        </w:tc>
        <w:tc>
          <w:tcPr>
            <w:tcW w:w="1000" w:type="pct"/>
            <w:tcBorders>
              <w:top w:val="single" w:sz="4" w:space="0" w:color="auto"/>
              <w:left w:val="single" w:sz="4" w:space="0" w:color="auto"/>
              <w:bottom w:val="single" w:sz="4" w:space="0" w:color="auto"/>
              <w:right w:val="single" w:sz="4" w:space="0" w:color="auto"/>
            </w:tcBorders>
            <w:vAlign w:val="center"/>
          </w:tcPr>
          <w:p w14:paraId="0BFBC28E" w14:textId="77777777" w:rsidR="004315D4" w:rsidRPr="00006053" w:rsidRDefault="004315D4" w:rsidP="00DD32D0">
            <w:pPr>
              <w:jc w:val="center"/>
              <w:rPr>
                <w:sz w:val="20"/>
                <w:szCs w:val="20"/>
                <w:lang w:val="fr-FR"/>
              </w:rPr>
            </w:pPr>
            <w:r w:rsidRPr="00006053">
              <w:rPr>
                <w:sz w:val="20"/>
                <w:szCs w:val="20"/>
                <w:lang w:val="fr-FR"/>
              </w:rPr>
              <w:t>4,00</w:t>
            </w:r>
          </w:p>
        </w:tc>
      </w:tr>
    </w:tbl>
    <w:p w14:paraId="0718B248" w14:textId="77777777" w:rsidR="004315D4" w:rsidRPr="00006053" w:rsidRDefault="004315D4" w:rsidP="004315D4">
      <w:pPr>
        <w:rPr>
          <w:lang w:val="fr-FR"/>
        </w:rPr>
      </w:pPr>
    </w:p>
    <w:p w14:paraId="597C2130" w14:textId="77777777" w:rsidR="004315D4" w:rsidRPr="00006053" w:rsidRDefault="004315D4" w:rsidP="004315D4">
      <w:pPr>
        <w:rPr>
          <w:i/>
          <w:lang w:val="fr-FR"/>
        </w:rPr>
      </w:pPr>
      <w:r w:rsidRPr="00006053">
        <w:rPr>
          <w:i/>
          <w:lang w:val="fr-FR"/>
        </w:rPr>
        <w:t xml:space="preserve">Coût révisé de tous les composants </w:t>
      </w:r>
    </w:p>
    <w:p w14:paraId="0A120EA6" w14:textId="77777777" w:rsidR="004315D4" w:rsidRPr="00006053" w:rsidRDefault="004315D4" w:rsidP="004315D4">
      <w:pPr>
        <w:rPr>
          <w:lang w:val="fr-FR"/>
        </w:rPr>
      </w:pPr>
    </w:p>
    <w:p w14:paraId="71C8B278" w14:textId="77777777" w:rsidR="004315D4" w:rsidRPr="00006053" w:rsidRDefault="004315D4" w:rsidP="004315D4">
      <w:pPr>
        <w:pStyle w:val="Heading1"/>
        <w:rPr>
          <w:lang w:val="fr-FR"/>
        </w:rPr>
      </w:pPr>
      <w:r w:rsidRPr="00006053">
        <w:rPr>
          <w:lang w:val="fr-FR"/>
        </w:rPr>
        <w:t>Afin de mener à bien dans les règles de l’art l’élimination des HCFC dans le secteur des mousses XPS d’ici fin 2025, le Gouvernement chinois demandera un financement du Fonds multilatéral à hauteur de 18 534 654 $US pour la phase II, dont 16 127 957 $US seront affectés aux activités de reconversion permettant d’éliminer la consommation résiduelle de 1 397 tonnes PAO (soit 24 296 tonnes métriques de HCFC) dans le secteur des mousses XPS, plus 2 406 697 $US destinés aux activités d’assistance technique et à l’UGP, comme le résume le tableau 4.</w:t>
      </w:r>
    </w:p>
    <w:p w14:paraId="3B73A054" w14:textId="77777777" w:rsidR="004315D4" w:rsidRPr="00006053" w:rsidRDefault="004315D4" w:rsidP="004315D4">
      <w:pPr>
        <w:keepNext/>
        <w:keepLines/>
        <w:tabs>
          <w:tab w:val="num" w:pos="0"/>
          <w:tab w:val="num" w:pos="720"/>
          <w:tab w:val="num" w:pos="902"/>
        </w:tabs>
        <w:spacing w:after="20"/>
        <w:jc w:val="left"/>
        <w:rPr>
          <w:b/>
          <w:lang w:val="fr-FR"/>
        </w:rPr>
      </w:pPr>
      <w:r w:rsidRPr="00006053">
        <w:rPr>
          <w:b/>
          <w:lang w:val="fr-FR"/>
        </w:rPr>
        <w:t>Tableau 4. Répartition des coûts du financement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935"/>
        <w:gridCol w:w="1350"/>
      </w:tblGrid>
      <w:tr w:rsidR="004315D4" w:rsidRPr="00006053" w14:paraId="7BE4CD90" w14:textId="77777777" w:rsidTr="00DD32D0">
        <w:trPr>
          <w:tblHeader/>
        </w:trPr>
        <w:tc>
          <w:tcPr>
            <w:tcW w:w="4278" w:type="pct"/>
            <w:gridSpan w:val="2"/>
            <w:shd w:val="clear" w:color="auto" w:fill="auto"/>
            <w:vAlign w:val="center"/>
          </w:tcPr>
          <w:p w14:paraId="5DDA7E5F" w14:textId="77777777" w:rsidR="004315D4" w:rsidRPr="00006053" w:rsidRDefault="004315D4" w:rsidP="00DD32D0">
            <w:pPr>
              <w:keepNext/>
              <w:keepLines/>
              <w:jc w:val="center"/>
              <w:rPr>
                <w:b/>
                <w:bCs/>
                <w:color w:val="000000"/>
                <w:sz w:val="20"/>
                <w:szCs w:val="20"/>
                <w:lang w:val="fr-FR"/>
              </w:rPr>
            </w:pPr>
            <w:r w:rsidRPr="00006053">
              <w:rPr>
                <w:b/>
                <w:bCs/>
                <w:sz w:val="20"/>
                <w:szCs w:val="20"/>
                <w:lang w:val="fr-FR"/>
              </w:rPr>
              <w:t>Activités</w:t>
            </w:r>
          </w:p>
        </w:tc>
        <w:tc>
          <w:tcPr>
            <w:tcW w:w="722" w:type="pct"/>
            <w:shd w:val="clear" w:color="auto" w:fill="auto"/>
            <w:vAlign w:val="center"/>
          </w:tcPr>
          <w:p w14:paraId="222EE3C5" w14:textId="77777777" w:rsidR="004315D4" w:rsidRPr="00006053" w:rsidRDefault="004315D4" w:rsidP="00DD32D0">
            <w:pPr>
              <w:keepNext/>
              <w:keepLines/>
              <w:jc w:val="center"/>
              <w:rPr>
                <w:b/>
                <w:bCs/>
                <w:color w:val="000000"/>
                <w:sz w:val="20"/>
                <w:szCs w:val="20"/>
                <w:lang w:val="fr-FR"/>
              </w:rPr>
            </w:pPr>
            <w:r w:rsidRPr="00006053">
              <w:rPr>
                <w:b/>
                <w:bCs/>
                <w:color w:val="000000"/>
                <w:sz w:val="20"/>
                <w:szCs w:val="20"/>
                <w:lang w:val="fr-FR"/>
              </w:rPr>
              <w:t>Financement</w:t>
            </w:r>
            <w:r w:rsidRPr="00006053">
              <w:rPr>
                <w:b/>
                <w:sz w:val="20"/>
                <w:szCs w:val="20"/>
                <w:lang w:val="fr-FR"/>
              </w:rPr>
              <w:t xml:space="preserve"> ($US)</w:t>
            </w:r>
          </w:p>
        </w:tc>
      </w:tr>
      <w:tr w:rsidR="004315D4" w:rsidRPr="00006053" w14:paraId="0B47EC11" w14:textId="77777777" w:rsidTr="00DD32D0">
        <w:tc>
          <w:tcPr>
            <w:tcW w:w="1104" w:type="pct"/>
            <w:vAlign w:val="center"/>
          </w:tcPr>
          <w:p w14:paraId="13AEF4B7" w14:textId="77777777" w:rsidR="004315D4" w:rsidRPr="00006053" w:rsidRDefault="004315D4" w:rsidP="00DD32D0">
            <w:pPr>
              <w:keepNext/>
              <w:keepLines/>
              <w:jc w:val="left"/>
              <w:rPr>
                <w:b/>
                <w:sz w:val="20"/>
                <w:szCs w:val="20"/>
                <w:lang w:val="fr-FR"/>
              </w:rPr>
            </w:pPr>
            <w:r w:rsidRPr="00006053">
              <w:rPr>
                <w:b/>
                <w:sz w:val="20"/>
                <w:szCs w:val="20"/>
                <w:lang w:val="fr-FR"/>
              </w:rPr>
              <w:t>Activités de reconversion</w:t>
            </w:r>
          </w:p>
        </w:tc>
        <w:tc>
          <w:tcPr>
            <w:tcW w:w="3174" w:type="pct"/>
            <w:shd w:val="clear" w:color="auto" w:fill="auto"/>
            <w:vAlign w:val="center"/>
          </w:tcPr>
          <w:p w14:paraId="39EEDD6F" w14:textId="77777777" w:rsidR="004315D4" w:rsidRPr="00006053" w:rsidRDefault="004315D4" w:rsidP="00DD32D0">
            <w:pPr>
              <w:keepNext/>
              <w:keepLines/>
              <w:rPr>
                <w:sz w:val="20"/>
                <w:szCs w:val="20"/>
                <w:lang w:val="fr-FR"/>
              </w:rPr>
            </w:pPr>
            <w:r w:rsidRPr="00006053">
              <w:rPr>
                <w:sz w:val="20"/>
                <w:szCs w:val="20"/>
                <w:lang w:val="fr-FR"/>
              </w:rPr>
              <w:t>Signature de 11 sous-projets</w:t>
            </w:r>
          </w:p>
        </w:tc>
        <w:tc>
          <w:tcPr>
            <w:tcW w:w="722" w:type="pct"/>
            <w:shd w:val="clear" w:color="auto" w:fill="auto"/>
            <w:vAlign w:val="center"/>
          </w:tcPr>
          <w:p w14:paraId="1BB1B3B5" w14:textId="77777777" w:rsidR="004315D4" w:rsidRPr="00006053" w:rsidRDefault="004315D4" w:rsidP="00DD32D0">
            <w:pPr>
              <w:keepNext/>
              <w:keepLines/>
              <w:jc w:val="right"/>
              <w:rPr>
                <w:sz w:val="20"/>
                <w:szCs w:val="20"/>
                <w:lang w:val="fr-FR"/>
              </w:rPr>
            </w:pPr>
            <w:r w:rsidRPr="00006053">
              <w:rPr>
                <w:sz w:val="20"/>
                <w:szCs w:val="20"/>
                <w:lang w:val="fr-FR"/>
              </w:rPr>
              <w:t>16 127 957</w:t>
            </w:r>
          </w:p>
        </w:tc>
      </w:tr>
      <w:tr w:rsidR="004315D4" w:rsidRPr="00006053" w14:paraId="55336FB0" w14:textId="77777777" w:rsidTr="00DD32D0">
        <w:tc>
          <w:tcPr>
            <w:tcW w:w="1104" w:type="pct"/>
            <w:vMerge w:val="restart"/>
            <w:vAlign w:val="center"/>
          </w:tcPr>
          <w:p w14:paraId="6137FC53" w14:textId="77777777" w:rsidR="004315D4" w:rsidRPr="00006053" w:rsidRDefault="004315D4" w:rsidP="00DD32D0">
            <w:pPr>
              <w:keepNext/>
              <w:keepLines/>
              <w:rPr>
                <w:b/>
                <w:bCs/>
                <w:color w:val="000000"/>
                <w:sz w:val="20"/>
                <w:szCs w:val="20"/>
                <w:lang w:val="fr-FR"/>
              </w:rPr>
            </w:pPr>
            <w:r w:rsidRPr="00006053">
              <w:rPr>
                <w:b/>
                <w:sz w:val="20"/>
                <w:szCs w:val="20"/>
                <w:lang w:val="fr-FR"/>
              </w:rPr>
              <w:t>Assistance technique</w:t>
            </w:r>
          </w:p>
        </w:tc>
        <w:tc>
          <w:tcPr>
            <w:tcW w:w="3174" w:type="pct"/>
            <w:shd w:val="clear" w:color="auto" w:fill="auto"/>
            <w:vAlign w:val="center"/>
          </w:tcPr>
          <w:p w14:paraId="3BD7E62D" w14:textId="77777777" w:rsidR="004315D4" w:rsidRPr="00006053" w:rsidRDefault="004315D4" w:rsidP="00DD32D0">
            <w:pPr>
              <w:keepNext/>
              <w:keepLines/>
              <w:jc w:val="left"/>
              <w:rPr>
                <w:color w:val="000000"/>
                <w:sz w:val="20"/>
                <w:szCs w:val="20"/>
                <w:lang w:val="fr-FR"/>
              </w:rPr>
            </w:pPr>
            <w:r w:rsidRPr="00006053">
              <w:rPr>
                <w:sz w:val="20"/>
                <w:szCs w:val="20"/>
                <w:lang w:val="fr-FR"/>
              </w:rPr>
              <w:t>Activités de suivi, de supervision et de renforcement des capacités</w:t>
            </w:r>
          </w:p>
        </w:tc>
        <w:tc>
          <w:tcPr>
            <w:tcW w:w="722" w:type="pct"/>
            <w:shd w:val="clear" w:color="auto" w:fill="auto"/>
            <w:vAlign w:val="center"/>
          </w:tcPr>
          <w:p w14:paraId="64A62702" w14:textId="77777777" w:rsidR="004315D4" w:rsidRPr="00006053" w:rsidRDefault="004315D4" w:rsidP="00DD32D0">
            <w:pPr>
              <w:keepNext/>
              <w:keepLines/>
              <w:jc w:val="right"/>
              <w:rPr>
                <w:color w:val="000000"/>
                <w:sz w:val="20"/>
                <w:szCs w:val="20"/>
                <w:lang w:val="fr-FR"/>
              </w:rPr>
            </w:pPr>
            <w:r w:rsidRPr="00006053">
              <w:rPr>
                <w:color w:val="000000"/>
                <w:sz w:val="20"/>
                <w:szCs w:val="20"/>
                <w:lang w:val="fr-FR"/>
              </w:rPr>
              <w:t>270 000</w:t>
            </w:r>
          </w:p>
        </w:tc>
      </w:tr>
      <w:tr w:rsidR="004315D4" w:rsidRPr="00006053" w14:paraId="503D6F90" w14:textId="77777777" w:rsidTr="00DD32D0">
        <w:tc>
          <w:tcPr>
            <w:tcW w:w="1104" w:type="pct"/>
            <w:vMerge/>
            <w:vAlign w:val="center"/>
          </w:tcPr>
          <w:p w14:paraId="3150855C" w14:textId="77777777" w:rsidR="004315D4" w:rsidRPr="00006053" w:rsidRDefault="004315D4" w:rsidP="00DD32D0">
            <w:pPr>
              <w:keepNext/>
              <w:keepLines/>
              <w:rPr>
                <w:b/>
                <w:bCs/>
                <w:color w:val="000000"/>
                <w:sz w:val="20"/>
                <w:szCs w:val="20"/>
                <w:lang w:val="fr-FR"/>
              </w:rPr>
            </w:pPr>
          </w:p>
        </w:tc>
        <w:tc>
          <w:tcPr>
            <w:tcW w:w="3174" w:type="pct"/>
            <w:shd w:val="clear" w:color="auto" w:fill="auto"/>
            <w:vAlign w:val="center"/>
          </w:tcPr>
          <w:p w14:paraId="7918ECC4" w14:textId="77777777" w:rsidR="004315D4" w:rsidRPr="00006053" w:rsidRDefault="004315D4" w:rsidP="00DD32D0">
            <w:pPr>
              <w:keepNext/>
              <w:keepLines/>
              <w:jc w:val="left"/>
              <w:rPr>
                <w:color w:val="000000"/>
                <w:sz w:val="20"/>
                <w:szCs w:val="20"/>
                <w:lang w:val="fr-FR"/>
              </w:rPr>
            </w:pPr>
            <w:r w:rsidRPr="00006053">
              <w:rPr>
                <w:sz w:val="20"/>
                <w:szCs w:val="20"/>
                <w:lang w:val="fr-FR"/>
              </w:rPr>
              <w:t>Formations et appui technique</w:t>
            </w:r>
          </w:p>
        </w:tc>
        <w:tc>
          <w:tcPr>
            <w:tcW w:w="722" w:type="pct"/>
            <w:shd w:val="clear" w:color="auto" w:fill="auto"/>
            <w:vAlign w:val="center"/>
          </w:tcPr>
          <w:p w14:paraId="4C400CF2" w14:textId="77777777" w:rsidR="004315D4" w:rsidRPr="00006053" w:rsidRDefault="004315D4" w:rsidP="00DD32D0">
            <w:pPr>
              <w:keepNext/>
              <w:keepLines/>
              <w:jc w:val="right"/>
              <w:rPr>
                <w:color w:val="000000"/>
                <w:sz w:val="20"/>
                <w:szCs w:val="20"/>
                <w:lang w:val="fr-FR"/>
              </w:rPr>
            </w:pPr>
            <w:r w:rsidRPr="00006053">
              <w:rPr>
                <w:color w:val="000000"/>
                <w:sz w:val="20"/>
                <w:szCs w:val="20"/>
                <w:lang w:val="fr-FR"/>
              </w:rPr>
              <w:t>250 000</w:t>
            </w:r>
          </w:p>
        </w:tc>
      </w:tr>
      <w:tr w:rsidR="004315D4" w:rsidRPr="00006053" w14:paraId="09AEF216" w14:textId="77777777" w:rsidTr="00DD32D0">
        <w:tc>
          <w:tcPr>
            <w:tcW w:w="1104" w:type="pct"/>
            <w:vMerge/>
            <w:vAlign w:val="center"/>
          </w:tcPr>
          <w:p w14:paraId="5FEDC45F" w14:textId="77777777" w:rsidR="004315D4" w:rsidRPr="00006053" w:rsidRDefault="004315D4" w:rsidP="00DD32D0">
            <w:pPr>
              <w:keepNext/>
              <w:keepLines/>
              <w:rPr>
                <w:b/>
                <w:bCs/>
                <w:color w:val="000000"/>
                <w:sz w:val="20"/>
                <w:szCs w:val="20"/>
                <w:lang w:val="fr-FR"/>
              </w:rPr>
            </w:pPr>
          </w:p>
        </w:tc>
        <w:tc>
          <w:tcPr>
            <w:tcW w:w="3174" w:type="pct"/>
            <w:shd w:val="clear" w:color="auto" w:fill="auto"/>
            <w:vAlign w:val="center"/>
          </w:tcPr>
          <w:p w14:paraId="3F936147" w14:textId="77777777" w:rsidR="004315D4" w:rsidRPr="00006053" w:rsidRDefault="004315D4" w:rsidP="00DD32D0">
            <w:pPr>
              <w:keepNext/>
              <w:keepLines/>
              <w:jc w:val="left"/>
              <w:rPr>
                <w:color w:val="000000"/>
                <w:sz w:val="20"/>
                <w:szCs w:val="20"/>
                <w:lang w:val="fr-FR"/>
              </w:rPr>
            </w:pPr>
            <w:r w:rsidRPr="00006053">
              <w:rPr>
                <w:sz w:val="20"/>
                <w:szCs w:val="20"/>
                <w:lang w:val="fr-FR"/>
              </w:rPr>
              <w:t>Optimisation et évaluation des équipements et technologies</w:t>
            </w:r>
          </w:p>
        </w:tc>
        <w:tc>
          <w:tcPr>
            <w:tcW w:w="722" w:type="pct"/>
            <w:shd w:val="clear" w:color="auto" w:fill="auto"/>
            <w:vAlign w:val="center"/>
          </w:tcPr>
          <w:p w14:paraId="1407C8CC" w14:textId="77777777" w:rsidR="004315D4" w:rsidRPr="00006053" w:rsidRDefault="004315D4" w:rsidP="00DD32D0">
            <w:pPr>
              <w:keepNext/>
              <w:keepLines/>
              <w:jc w:val="right"/>
              <w:rPr>
                <w:color w:val="000000"/>
                <w:sz w:val="20"/>
                <w:szCs w:val="20"/>
                <w:lang w:val="fr-FR"/>
              </w:rPr>
            </w:pPr>
            <w:r w:rsidRPr="00006053">
              <w:rPr>
                <w:color w:val="000000"/>
                <w:sz w:val="20"/>
                <w:szCs w:val="20"/>
                <w:lang w:val="fr-FR"/>
              </w:rPr>
              <w:t>340 000</w:t>
            </w:r>
          </w:p>
        </w:tc>
      </w:tr>
      <w:tr w:rsidR="004315D4" w:rsidRPr="00006053" w14:paraId="052E1A4D" w14:textId="77777777" w:rsidTr="00DD32D0">
        <w:tc>
          <w:tcPr>
            <w:tcW w:w="1104" w:type="pct"/>
            <w:vMerge/>
            <w:vAlign w:val="center"/>
          </w:tcPr>
          <w:p w14:paraId="1789DD68" w14:textId="77777777" w:rsidR="004315D4" w:rsidRPr="00006053" w:rsidRDefault="004315D4" w:rsidP="00DD32D0">
            <w:pPr>
              <w:rPr>
                <w:b/>
                <w:bCs/>
                <w:color w:val="000000"/>
                <w:sz w:val="20"/>
                <w:szCs w:val="20"/>
                <w:lang w:val="fr-FR"/>
              </w:rPr>
            </w:pPr>
          </w:p>
        </w:tc>
        <w:tc>
          <w:tcPr>
            <w:tcW w:w="3174" w:type="pct"/>
            <w:shd w:val="clear" w:color="auto" w:fill="auto"/>
            <w:vAlign w:val="center"/>
          </w:tcPr>
          <w:p w14:paraId="1EFFA717" w14:textId="77777777" w:rsidR="004315D4" w:rsidRPr="00006053" w:rsidRDefault="004315D4" w:rsidP="00DD32D0">
            <w:pPr>
              <w:jc w:val="left"/>
              <w:rPr>
                <w:color w:val="000000"/>
                <w:sz w:val="20"/>
                <w:szCs w:val="20"/>
                <w:lang w:val="fr-FR"/>
              </w:rPr>
            </w:pPr>
            <w:r w:rsidRPr="00006053">
              <w:rPr>
                <w:sz w:val="20"/>
                <w:szCs w:val="20"/>
                <w:lang w:val="fr-FR"/>
              </w:rPr>
              <w:t>Formulation et révision des normes techniques</w:t>
            </w:r>
          </w:p>
        </w:tc>
        <w:tc>
          <w:tcPr>
            <w:tcW w:w="722" w:type="pct"/>
            <w:shd w:val="clear" w:color="auto" w:fill="auto"/>
            <w:vAlign w:val="center"/>
          </w:tcPr>
          <w:p w14:paraId="50B9DBB2" w14:textId="77777777" w:rsidR="004315D4" w:rsidRPr="00006053" w:rsidRDefault="004315D4" w:rsidP="00DD32D0">
            <w:pPr>
              <w:jc w:val="right"/>
              <w:rPr>
                <w:color w:val="000000"/>
                <w:sz w:val="20"/>
                <w:szCs w:val="20"/>
                <w:lang w:val="fr-FR"/>
              </w:rPr>
            </w:pPr>
            <w:r w:rsidRPr="00006053">
              <w:rPr>
                <w:color w:val="000000"/>
                <w:sz w:val="20"/>
                <w:szCs w:val="20"/>
                <w:lang w:val="fr-FR"/>
              </w:rPr>
              <w:t>87 291</w:t>
            </w:r>
          </w:p>
        </w:tc>
      </w:tr>
      <w:tr w:rsidR="004315D4" w:rsidRPr="00006053" w14:paraId="16709BA2" w14:textId="77777777" w:rsidTr="00DD32D0">
        <w:tc>
          <w:tcPr>
            <w:tcW w:w="1104" w:type="pct"/>
            <w:vMerge/>
            <w:vAlign w:val="center"/>
          </w:tcPr>
          <w:p w14:paraId="54B3BF42" w14:textId="77777777" w:rsidR="004315D4" w:rsidRPr="00006053" w:rsidRDefault="004315D4" w:rsidP="00DD32D0">
            <w:pPr>
              <w:rPr>
                <w:b/>
                <w:bCs/>
                <w:color w:val="000000"/>
                <w:sz w:val="20"/>
                <w:szCs w:val="20"/>
                <w:lang w:val="fr-FR"/>
              </w:rPr>
            </w:pPr>
          </w:p>
        </w:tc>
        <w:tc>
          <w:tcPr>
            <w:tcW w:w="3174" w:type="pct"/>
            <w:shd w:val="clear" w:color="auto" w:fill="auto"/>
            <w:vAlign w:val="center"/>
          </w:tcPr>
          <w:p w14:paraId="0EBD252A" w14:textId="77777777" w:rsidR="004315D4" w:rsidRPr="00006053" w:rsidRDefault="004315D4" w:rsidP="00DD32D0">
            <w:pPr>
              <w:jc w:val="left"/>
              <w:rPr>
                <w:color w:val="000000"/>
                <w:sz w:val="20"/>
                <w:szCs w:val="20"/>
                <w:lang w:val="fr-FR"/>
              </w:rPr>
            </w:pPr>
            <w:r w:rsidRPr="00006053">
              <w:rPr>
                <w:sz w:val="20"/>
                <w:szCs w:val="20"/>
                <w:lang w:val="fr-FR"/>
              </w:rPr>
              <w:t>Analyse d’impact de l’interdiction de l’utilisation des HCFC dans le secteur</w:t>
            </w:r>
          </w:p>
        </w:tc>
        <w:tc>
          <w:tcPr>
            <w:tcW w:w="722" w:type="pct"/>
            <w:shd w:val="clear" w:color="auto" w:fill="auto"/>
            <w:vAlign w:val="center"/>
          </w:tcPr>
          <w:p w14:paraId="09477C1A" w14:textId="77777777" w:rsidR="004315D4" w:rsidRPr="00006053" w:rsidRDefault="004315D4" w:rsidP="00DD32D0">
            <w:pPr>
              <w:jc w:val="right"/>
              <w:rPr>
                <w:color w:val="000000"/>
                <w:sz w:val="20"/>
                <w:szCs w:val="20"/>
                <w:lang w:val="fr-FR"/>
              </w:rPr>
            </w:pPr>
            <w:r w:rsidRPr="00006053">
              <w:rPr>
                <w:color w:val="000000"/>
                <w:sz w:val="20"/>
                <w:szCs w:val="20"/>
                <w:lang w:val="fr-FR"/>
              </w:rPr>
              <w:t>50 000</w:t>
            </w:r>
          </w:p>
        </w:tc>
      </w:tr>
      <w:tr w:rsidR="004315D4" w:rsidRPr="00006053" w14:paraId="4240757C" w14:textId="77777777" w:rsidTr="00DD32D0">
        <w:tc>
          <w:tcPr>
            <w:tcW w:w="1104" w:type="pct"/>
            <w:vMerge/>
            <w:vAlign w:val="center"/>
          </w:tcPr>
          <w:p w14:paraId="790F5371" w14:textId="77777777" w:rsidR="004315D4" w:rsidRPr="00006053" w:rsidRDefault="004315D4" w:rsidP="00DD32D0">
            <w:pPr>
              <w:rPr>
                <w:b/>
                <w:bCs/>
                <w:color w:val="000000"/>
                <w:sz w:val="20"/>
                <w:szCs w:val="20"/>
                <w:lang w:val="fr-FR"/>
              </w:rPr>
            </w:pPr>
          </w:p>
        </w:tc>
        <w:tc>
          <w:tcPr>
            <w:tcW w:w="3174" w:type="pct"/>
            <w:shd w:val="clear" w:color="auto" w:fill="auto"/>
            <w:vAlign w:val="center"/>
          </w:tcPr>
          <w:p w14:paraId="5C00FBBA" w14:textId="77777777" w:rsidR="004315D4" w:rsidRPr="00006053" w:rsidRDefault="004315D4" w:rsidP="00DD32D0">
            <w:pPr>
              <w:jc w:val="left"/>
              <w:rPr>
                <w:color w:val="000000"/>
                <w:sz w:val="20"/>
                <w:szCs w:val="20"/>
                <w:lang w:val="fr-FR"/>
              </w:rPr>
            </w:pPr>
            <w:r w:rsidRPr="00006053">
              <w:rPr>
                <w:sz w:val="20"/>
                <w:szCs w:val="20"/>
                <w:lang w:val="fr-FR"/>
              </w:rPr>
              <w:t xml:space="preserve">Voyages d’étude sur les technologies de remplacement des HCFC </w:t>
            </w:r>
          </w:p>
        </w:tc>
        <w:tc>
          <w:tcPr>
            <w:tcW w:w="722" w:type="pct"/>
            <w:shd w:val="clear" w:color="auto" w:fill="auto"/>
            <w:vAlign w:val="center"/>
          </w:tcPr>
          <w:p w14:paraId="2CC5FB25" w14:textId="77777777" w:rsidR="004315D4" w:rsidRPr="00006053" w:rsidRDefault="004315D4" w:rsidP="00DD32D0">
            <w:pPr>
              <w:jc w:val="right"/>
              <w:rPr>
                <w:color w:val="000000"/>
                <w:sz w:val="20"/>
                <w:szCs w:val="20"/>
                <w:lang w:val="fr-FR"/>
              </w:rPr>
            </w:pPr>
            <w:r w:rsidRPr="00006053">
              <w:rPr>
                <w:color w:val="000000"/>
                <w:sz w:val="20"/>
                <w:szCs w:val="20"/>
                <w:lang w:val="fr-FR"/>
              </w:rPr>
              <w:t>50 000</w:t>
            </w:r>
          </w:p>
        </w:tc>
      </w:tr>
      <w:tr w:rsidR="004315D4" w:rsidRPr="00006053" w14:paraId="7B7C90D2" w14:textId="77777777" w:rsidTr="00DD32D0">
        <w:tc>
          <w:tcPr>
            <w:tcW w:w="1104" w:type="pct"/>
            <w:vMerge/>
            <w:vAlign w:val="center"/>
          </w:tcPr>
          <w:p w14:paraId="3DE7F4FB" w14:textId="77777777" w:rsidR="004315D4" w:rsidRPr="00006053" w:rsidRDefault="004315D4" w:rsidP="00DD32D0">
            <w:pPr>
              <w:rPr>
                <w:b/>
                <w:bCs/>
                <w:color w:val="000000"/>
                <w:sz w:val="20"/>
                <w:szCs w:val="20"/>
                <w:lang w:val="fr-FR"/>
              </w:rPr>
            </w:pPr>
          </w:p>
        </w:tc>
        <w:tc>
          <w:tcPr>
            <w:tcW w:w="3174" w:type="pct"/>
            <w:shd w:val="clear" w:color="auto" w:fill="auto"/>
            <w:vAlign w:val="center"/>
          </w:tcPr>
          <w:p w14:paraId="06AE2059" w14:textId="77777777" w:rsidR="004315D4" w:rsidRPr="00006053" w:rsidRDefault="004315D4" w:rsidP="00DD32D0">
            <w:pPr>
              <w:jc w:val="left"/>
              <w:rPr>
                <w:color w:val="000000"/>
                <w:sz w:val="20"/>
                <w:szCs w:val="20"/>
                <w:lang w:val="fr-FR"/>
              </w:rPr>
            </w:pPr>
            <w:r w:rsidRPr="00006053">
              <w:rPr>
                <w:sz w:val="20"/>
                <w:szCs w:val="20"/>
                <w:lang w:val="fr-FR"/>
              </w:rPr>
              <w:t>Vérification des performances</w:t>
            </w:r>
          </w:p>
        </w:tc>
        <w:tc>
          <w:tcPr>
            <w:tcW w:w="722" w:type="pct"/>
            <w:shd w:val="clear" w:color="auto" w:fill="auto"/>
            <w:vAlign w:val="center"/>
          </w:tcPr>
          <w:p w14:paraId="611B9DAB" w14:textId="77777777" w:rsidR="004315D4" w:rsidRPr="00006053" w:rsidRDefault="004315D4" w:rsidP="00DD32D0">
            <w:pPr>
              <w:jc w:val="right"/>
              <w:rPr>
                <w:color w:val="000000"/>
                <w:sz w:val="20"/>
                <w:szCs w:val="20"/>
                <w:lang w:val="fr-FR"/>
              </w:rPr>
            </w:pPr>
            <w:r w:rsidRPr="00006053">
              <w:rPr>
                <w:color w:val="000000"/>
                <w:sz w:val="20"/>
                <w:szCs w:val="20"/>
                <w:lang w:val="fr-FR"/>
              </w:rPr>
              <w:t>330 000</w:t>
            </w:r>
          </w:p>
        </w:tc>
      </w:tr>
      <w:tr w:rsidR="004315D4" w:rsidRPr="00006053" w14:paraId="2BF120A3" w14:textId="77777777" w:rsidTr="00DD32D0">
        <w:tc>
          <w:tcPr>
            <w:tcW w:w="1104" w:type="pct"/>
            <w:vMerge/>
            <w:vAlign w:val="center"/>
          </w:tcPr>
          <w:p w14:paraId="74CCB11C" w14:textId="77777777" w:rsidR="004315D4" w:rsidRPr="00006053" w:rsidRDefault="004315D4" w:rsidP="00DD32D0">
            <w:pPr>
              <w:rPr>
                <w:b/>
                <w:bCs/>
                <w:color w:val="000000"/>
                <w:sz w:val="20"/>
                <w:szCs w:val="20"/>
                <w:lang w:val="fr-FR"/>
              </w:rPr>
            </w:pPr>
          </w:p>
        </w:tc>
        <w:tc>
          <w:tcPr>
            <w:tcW w:w="3174" w:type="pct"/>
            <w:shd w:val="clear" w:color="auto" w:fill="auto"/>
            <w:vAlign w:val="center"/>
          </w:tcPr>
          <w:p w14:paraId="6BB383DE" w14:textId="77777777" w:rsidR="004315D4" w:rsidRPr="00006053" w:rsidRDefault="004315D4" w:rsidP="00DD32D0">
            <w:pPr>
              <w:jc w:val="left"/>
              <w:rPr>
                <w:sz w:val="20"/>
                <w:szCs w:val="20"/>
                <w:lang w:val="fr-FR"/>
              </w:rPr>
            </w:pPr>
            <w:r w:rsidRPr="00006053">
              <w:rPr>
                <w:sz w:val="20"/>
                <w:szCs w:val="20"/>
                <w:lang w:val="fr-FR"/>
              </w:rPr>
              <w:t>Services de conseils techniques</w:t>
            </w:r>
          </w:p>
        </w:tc>
        <w:tc>
          <w:tcPr>
            <w:tcW w:w="722" w:type="pct"/>
            <w:shd w:val="clear" w:color="auto" w:fill="auto"/>
            <w:vAlign w:val="center"/>
          </w:tcPr>
          <w:p w14:paraId="60D6CFDC" w14:textId="77777777" w:rsidR="004315D4" w:rsidRPr="00006053" w:rsidRDefault="004315D4" w:rsidP="00DD32D0">
            <w:pPr>
              <w:jc w:val="right"/>
              <w:rPr>
                <w:color w:val="000000"/>
                <w:sz w:val="20"/>
                <w:szCs w:val="20"/>
                <w:lang w:val="fr-FR"/>
              </w:rPr>
            </w:pPr>
            <w:r w:rsidRPr="00006053">
              <w:rPr>
                <w:color w:val="000000"/>
                <w:sz w:val="20"/>
                <w:szCs w:val="20"/>
                <w:lang w:val="fr-FR"/>
              </w:rPr>
              <w:t>10 000</w:t>
            </w:r>
          </w:p>
        </w:tc>
      </w:tr>
      <w:tr w:rsidR="004315D4" w:rsidRPr="00006053" w14:paraId="5C9C9C29" w14:textId="77777777" w:rsidTr="00DD32D0">
        <w:tc>
          <w:tcPr>
            <w:tcW w:w="1104" w:type="pct"/>
            <w:vMerge w:val="restart"/>
            <w:vAlign w:val="center"/>
          </w:tcPr>
          <w:p w14:paraId="5C7DCE67" w14:textId="77777777" w:rsidR="004315D4" w:rsidRPr="00006053" w:rsidRDefault="004315D4" w:rsidP="00DD32D0">
            <w:pPr>
              <w:rPr>
                <w:b/>
                <w:bCs/>
                <w:color w:val="000000"/>
                <w:sz w:val="20"/>
                <w:szCs w:val="20"/>
                <w:lang w:val="fr-FR"/>
              </w:rPr>
            </w:pPr>
            <w:r w:rsidRPr="00006053">
              <w:rPr>
                <w:b/>
                <w:bCs/>
                <w:sz w:val="20"/>
                <w:szCs w:val="20"/>
                <w:lang w:val="fr-FR"/>
              </w:rPr>
              <w:t>UGP</w:t>
            </w:r>
          </w:p>
        </w:tc>
        <w:tc>
          <w:tcPr>
            <w:tcW w:w="3174" w:type="pct"/>
            <w:shd w:val="clear" w:color="auto" w:fill="auto"/>
          </w:tcPr>
          <w:p w14:paraId="6164204E" w14:textId="77777777" w:rsidR="004315D4" w:rsidRPr="00006053" w:rsidRDefault="004315D4" w:rsidP="00DD32D0">
            <w:pPr>
              <w:jc w:val="left"/>
              <w:rPr>
                <w:color w:val="000000"/>
                <w:sz w:val="20"/>
                <w:szCs w:val="20"/>
                <w:lang w:val="fr-FR"/>
              </w:rPr>
            </w:pPr>
            <w:r w:rsidRPr="00006053">
              <w:rPr>
                <w:sz w:val="20"/>
                <w:szCs w:val="20"/>
                <w:lang w:val="fr-FR"/>
              </w:rPr>
              <w:t>Équipe de gestion du programme</w:t>
            </w:r>
          </w:p>
        </w:tc>
        <w:tc>
          <w:tcPr>
            <w:tcW w:w="722" w:type="pct"/>
            <w:shd w:val="clear" w:color="auto" w:fill="auto"/>
          </w:tcPr>
          <w:p w14:paraId="593836D6" w14:textId="77777777" w:rsidR="004315D4" w:rsidRPr="00006053" w:rsidRDefault="004315D4" w:rsidP="00DD32D0">
            <w:pPr>
              <w:jc w:val="right"/>
              <w:rPr>
                <w:color w:val="000000"/>
                <w:sz w:val="20"/>
                <w:szCs w:val="20"/>
                <w:lang w:val="fr-FR"/>
              </w:rPr>
            </w:pPr>
            <w:r w:rsidRPr="00006053">
              <w:rPr>
                <w:sz w:val="20"/>
                <w:szCs w:val="20"/>
                <w:lang w:val="fr-FR"/>
              </w:rPr>
              <w:t>292 570</w:t>
            </w:r>
          </w:p>
        </w:tc>
      </w:tr>
      <w:tr w:rsidR="004315D4" w:rsidRPr="00006053" w14:paraId="186F17BB" w14:textId="77777777" w:rsidTr="00DD32D0">
        <w:tc>
          <w:tcPr>
            <w:tcW w:w="1104" w:type="pct"/>
            <w:vMerge/>
            <w:vAlign w:val="center"/>
          </w:tcPr>
          <w:p w14:paraId="7F1FCAB9" w14:textId="77777777" w:rsidR="004315D4" w:rsidRPr="00006053" w:rsidRDefault="004315D4" w:rsidP="00DD32D0">
            <w:pPr>
              <w:rPr>
                <w:b/>
                <w:bCs/>
                <w:sz w:val="20"/>
                <w:szCs w:val="20"/>
                <w:lang w:val="fr-FR"/>
              </w:rPr>
            </w:pPr>
          </w:p>
        </w:tc>
        <w:tc>
          <w:tcPr>
            <w:tcW w:w="3174" w:type="pct"/>
            <w:shd w:val="clear" w:color="auto" w:fill="auto"/>
          </w:tcPr>
          <w:p w14:paraId="01B128C0" w14:textId="77777777" w:rsidR="004315D4" w:rsidRPr="00006053" w:rsidRDefault="004315D4" w:rsidP="00DD32D0">
            <w:pPr>
              <w:jc w:val="left"/>
              <w:rPr>
                <w:color w:val="000000"/>
                <w:sz w:val="20"/>
                <w:szCs w:val="20"/>
                <w:lang w:val="fr-FR"/>
              </w:rPr>
            </w:pPr>
            <w:r w:rsidRPr="00006053">
              <w:rPr>
                <w:color w:val="000000"/>
                <w:sz w:val="20"/>
                <w:szCs w:val="20"/>
                <w:lang w:val="fr-FR"/>
              </w:rPr>
              <w:t>Frais de déplacement</w:t>
            </w:r>
          </w:p>
        </w:tc>
        <w:tc>
          <w:tcPr>
            <w:tcW w:w="722" w:type="pct"/>
            <w:shd w:val="clear" w:color="auto" w:fill="auto"/>
          </w:tcPr>
          <w:p w14:paraId="047505E0" w14:textId="77777777" w:rsidR="004315D4" w:rsidRPr="00006053" w:rsidRDefault="004315D4" w:rsidP="00DD32D0">
            <w:pPr>
              <w:jc w:val="right"/>
              <w:rPr>
                <w:color w:val="000000"/>
                <w:sz w:val="20"/>
                <w:szCs w:val="20"/>
                <w:lang w:val="fr-FR"/>
              </w:rPr>
            </w:pPr>
            <w:r w:rsidRPr="00006053">
              <w:rPr>
                <w:sz w:val="20"/>
                <w:szCs w:val="20"/>
                <w:lang w:val="fr-FR"/>
              </w:rPr>
              <w:t>53 009</w:t>
            </w:r>
          </w:p>
        </w:tc>
      </w:tr>
      <w:tr w:rsidR="004315D4" w:rsidRPr="00006053" w14:paraId="34A9C54C" w14:textId="77777777" w:rsidTr="00DD32D0">
        <w:tc>
          <w:tcPr>
            <w:tcW w:w="1104" w:type="pct"/>
            <w:vMerge/>
            <w:vAlign w:val="center"/>
          </w:tcPr>
          <w:p w14:paraId="78EE11A0" w14:textId="77777777" w:rsidR="004315D4" w:rsidRPr="00006053" w:rsidRDefault="004315D4" w:rsidP="00DD32D0">
            <w:pPr>
              <w:rPr>
                <w:b/>
                <w:bCs/>
                <w:sz w:val="20"/>
                <w:szCs w:val="20"/>
                <w:lang w:val="fr-FR"/>
              </w:rPr>
            </w:pPr>
          </w:p>
        </w:tc>
        <w:tc>
          <w:tcPr>
            <w:tcW w:w="3174" w:type="pct"/>
            <w:shd w:val="clear" w:color="auto" w:fill="auto"/>
          </w:tcPr>
          <w:p w14:paraId="60271AA0" w14:textId="77777777" w:rsidR="004315D4" w:rsidRPr="00006053" w:rsidRDefault="004315D4" w:rsidP="00DD32D0">
            <w:pPr>
              <w:jc w:val="left"/>
              <w:rPr>
                <w:color w:val="000000"/>
                <w:sz w:val="20"/>
                <w:szCs w:val="20"/>
                <w:lang w:val="fr-FR"/>
              </w:rPr>
            </w:pPr>
            <w:r w:rsidRPr="00006053">
              <w:rPr>
                <w:color w:val="000000"/>
                <w:sz w:val="20"/>
                <w:szCs w:val="20"/>
                <w:lang w:val="fr-FR"/>
              </w:rPr>
              <w:t>Frais de conférence</w:t>
            </w:r>
          </w:p>
        </w:tc>
        <w:tc>
          <w:tcPr>
            <w:tcW w:w="722" w:type="pct"/>
            <w:shd w:val="clear" w:color="auto" w:fill="auto"/>
          </w:tcPr>
          <w:p w14:paraId="57355925" w14:textId="77777777" w:rsidR="004315D4" w:rsidRPr="00006053" w:rsidRDefault="004315D4" w:rsidP="00DD32D0">
            <w:pPr>
              <w:jc w:val="right"/>
              <w:rPr>
                <w:color w:val="000000"/>
                <w:sz w:val="20"/>
                <w:szCs w:val="20"/>
                <w:lang w:val="fr-FR"/>
              </w:rPr>
            </w:pPr>
            <w:r w:rsidRPr="00006053">
              <w:rPr>
                <w:sz w:val="20"/>
                <w:szCs w:val="20"/>
                <w:lang w:val="fr-FR"/>
              </w:rPr>
              <w:t>40 776</w:t>
            </w:r>
          </w:p>
        </w:tc>
      </w:tr>
      <w:tr w:rsidR="004315D4" w:rsidRPr="00006053" w14:paraId="643406B8" w14:textId="77777777" w:rsidTr="00DD32D0">
        <w:tc>
          <w:tcPr>
            <w:tcW w:w="1104" w:type="pct"/>
            <w:vMerge/>
            <w:vAlign w:val="center"/>
          </w:tcPr>
          <w:p w14:paraId="7002BAD1" w14:textId="77777777" w:rsidR="004315D4" w:rsidRPr="00006053" w:rsidRDefault="004315D4" w:rsidP="00DD32D0">
            <w:pPr>
              <w:rPr>
                <w:b/>
                <w:bCs/>
                <w:sz w:val="20"/>
                <w:szCs w:val="20"/>
                <w:lang w:val="fr-FR"/>
              </w:rPr>
            </w:pPr>
          </w:p>
        </w:tc>
        <w:tc>
          <w:tcPr>
            <w:tcW w:w="3174" w:type="pct"/>
            <w:shd w:val="clear" w:color="auto" w:fill="auto"/>
          </w:tcPr>
          <w:p w14:paraId="33C5C555" w14:textId="77777777" w:rsidR="004315D4" w:rsidRPr="00006053" w:rsidRDefault="004315D4" w:rsidP="00DD32D0">
            <w:pPr>
              <w:jc w:val="left"/>
              <w:rPr>
                <w:color w:val="000000"/>
                <w:sz w:val="20"/>
                <w:szCs w:val="20"/>
                <w:lang w:val="fr-FR"/>
              </w:rPr>
            </w:pPr>
            <w:r w:rsidRPr="00006053">
              <w:rPr>
                <w:sz w:val="20"/>
                <w:szCs w:val="20"/>
                <w:lang w:val="fr-FR"/>
              </w:rPr>
              <w:t>Frais de services de consultation</w:t>
            </w:r>
          </w:p>
        </w:tc>
        <w:tc>
          <w:tcPr>
            <w:tcW w:w="722" w:type="pct"/>
            <w:shd w:val="clear" w:color="auto" w:fill="auto"/>
          </w:tcPr>
          <w:p w14:paraId="45302CD0" w14:textId="77777777" w:rsidR="004315D4" w:rsidRPr="00006053" w:rsidRDefault="004315D4" w:rsidP="00DD32D0">
            <w:pPr>
              <w:jc w:val="right"/>
              <w:rPr>
                <w:color w:val="000000"/>
                <w:sz w:val="20"/>
                <w:szCs w:val="20"/>
                <w:lang w:val="fr-FR"/>
              </w:rPr>
            </w:pPr>
            <w:r w:rsidRPr="00006053">
              <w:rPr>
                <w:sz w:val="20"/>
                <w:szCs w:val="20"/>
                <w:lang w:val="fr-FR"/>
              </w:rPr>
              <w:t>36 699</w:t>
            </w:r>
          </w:p>
        </w:tc>
      </w:tr>
      <w:tr w:rsidR="004315D4" w:rsidRPr="00006053" w14:paraId="3A559FFD" w14:textId="77777777" w:rsidTr="00DD32D0">
        <w:tc>
          <w:tcPr>
            <w:tcW w:w="1104" w:type="pct"/>
            <w:vMerge/>
            <w:vAlign w:val="center"/>
          </w:tcPr>
          <w:p w14:paraId="3AF2B4E9" w14:textId="77777777" w:rsidR="004315D4" w:rsidRPr="00006053" w:rsidRDefault="004315D4" w:rsidP="00DD32D0">
            <w:pPr>
              <w:rPr>
                <w:b/>
                <w:bCs/>
                <w:sz w:val="20"/>
                <w:szCs w:val="20"/>
                <w:lang w:val="fr-FR"/>
              </w:rPr>
            </w:pPr>
          </w:p>
        </w:tc>
        <w:tc>
          <w:tcPr>
            <w:tcW w:w="3174" w:type="pct"/>
            <w:shd w:val="clear" w:color="auto" w:fill="auto"/>
          </w:tcPr>
          <w:p w14:paraId="0C130FFC" w14:textId="77777777" w:rsidR="004315D4" w:rsidRPr="00006053" w:rsidRDefault="004315D4" w:rsidP="00DD32D0">
            <w:pPr>
              <w:jc w:val="left"/>
              <w:rPr>
                <w:color w:val="000000"/>
                <w:sz w:val="20"/>
                <w:szCs w:val="20"/>
                <w:lang w:val="fr-FR"/>
              </w:rPr>
            </w:pPr>
            <w:r w:rsidRPr="00006053">
              <w:rPr>
                <w:color w:val="000000"/>
                <w:sz w:val="20"/>
                <w:szCs w:val="20"/>
                <w:lang w:val="fr-FR"/>
              </w:rPr>
              <w:t>Frais de personnel auxiliaire</w:t>
            </w:r>
          </w:p>
        </w:tc>
        <w:tc>
          <w:tcPr>
            <w:tcW w:w="722" w:type="pct"/>
            <w:shd w:val="clear" w:color="auto" w:fill="auto"/>
          </w:tcPr>
          <w:p w14:paraId="5258F902" w14:textId="77777777" w:rsidR="004315D4" w:rsidRPr="00006053" w:rsidRDefault="004315D4" w:rsidP="00DD32D0">
            <w:pPr>
              <w:jc w:val="right"/>
              <w:rPr>
                <w:color w:val="000000"/>
                <w:sz w:val="20"/>
                <w:szCs w:val="20"/>
                <w:lang w:val="fr-FR"/>
              </w:rPr>
            </w:pPr>
            <w:r w:rsidRPr="00006053">
              <w:rPr>
                <w:sz w:val="20"/>
                <w:szCs w:val="20"/>
                <w:lang w:val="fr-FR"/>
              </w:rPr>
              <w:t>309 899</w:t>
            </w:r>
          </w:p>
        </w:tc>
      </w:tr>
      <w:tr w:rsidR="004315D4" w:rsidRPr="00006053" w14:paraId="0B8160DB" w14:textId="77777777" w:rsidTr="00DD32D0">
        <w:tc>
          <w:tcPr>
            <w:tcW w:w="1104" w:type="pct"/>
            <w:vMerge/>
            <w:vAlign w:val="center"/>
          </w:tcPr>
          <w:p w14:paraId="01E773B9" w14:textId="77777777" w:rsidR="004315D4" w:rsidRPr="00006053" w:rsidRDefault="004315D4" w:rsidP="00DD32D0">
            <w:pPr>
              <w:rPr>
                <w:b/>
                <w:bCs/>
                <w:sz w:val="20"/>
                <w:szCs w:val="20"/>
                <w:lang w:val="fr-FR"/>
              </w:rPr>
            </w:pPr>
          </w:p>
        </w:tc>
        <w:tc>
          <w:tcPr>
            <w:tcW w:w="3174" w:type="pct"/>
            <w:shd w:val="clear" w:color="auto" w:fill="auto"/>
          </w:tcPr>
          <w:p w14:paraId="274F2646" w14:textId="77777777" w:rsidR="004315D4" w:rsidRPr="00006053" w:rsidRDefault="004315D4" w:rsidP="00DD32D0">
            <w:pPr>
              <w:jc w:val="left"/>
              <w:rPr>
                <w:color w:val="000000"/>
                <w:sz w:val="20"/>
                <w:szCs w:val="20"/>
                <w:lang w:val="fr-FR"/>
              </w:rPr>
            </w:pPr>
            <w:r w:rsidRPr="00006053">
              <w:rPr>
                <w:color w:val="000000"/>
                <w:sz w:val="20"/>
                <w:szCs w:val="20"/>
                <w:lang w:val="fr-FR"/>
              </w:rPr>
              <w:t>Ordinateurs, connexion Internet, affranchissement, téléphone et impression</w:t>
            </w:r>
          </w:p>
        </w:tc>
        <w:tc>
          <w:tcPr>
            <w:tcW w:w="722" w:type="pct"/>
            <w:shd w:val="clear" w:color="auto" w:fill="auto"/>
          </w:tcPr>
          <w:p w14:paraId="227C0966" w14:textId="77777777" w:rsidR="004315D4" w:rsidRPr="00006053" w:rsidRDefault="004315D4" w:rsidP="00DD32D0">
            <w:pPr>
              <w:jc w:val="right"/>
              <w:rPr>
                <w:color w:val="000000"/>
                <w:sz w:val="20"/>
                <w:szCs w:val="20"/>
                <w:lang w:val="fr-FR"/>
              </w:rPr>
            </w:pPr>
            <w:r w:rsidRPr="00006053">
              <w:rPr>
                <w:sz w:val="20"/>
                <w:szCs w:val="20"/>
                <w:lang w:val="fr-FR"/>
              </w:rPr>
              <w:t>76 455</w:t>
            </w:r>
          </w:p>
        </w:tc>
      </w:tr>
      <w:tr w:rsidR="004315D4" w:rsidRPr="00006053" w14:paraId="0DDB0ED8" w14:textId="77777777" w:rsidTr="00DD32D0">
        <w:tc>
          <w:tcPr>
            <w:tcW w:w="1104" w:type="pct"/>
            <w:vMerge/>
            <w:vAlign w:val="center"/>
          </w:tcPr>
          <w:p w14:paraId="7D6D5A04" w14:textId="77777777" w:rsidR="004315D4" w:rsidRPr="00006053" w:rsidRDefault="004315D4" w:rsidP="00DD32D0">
            <w:pPr>
              <w:rPr>
                <w:b/>
                <w:bCs/>
                <w:sz w:val="20"/>
                <w:szCs w:val="20"/>
                <w:lang w:val="fr-FR"/>
              </w:rPr>
            </w:pPr>
          </w:p>
        </w:tc>
        <w:tc>
          <w:tcPr>
            <w:tcW w:w="3174" w:type="pct"/>
            <w:shd w:val="clear" w:color="auto" w:fill="auto"/>
          </w:tcPr>
          <w:p w14:paraId="67234EF3" w14:textId="77777777" w:rsidR="004315D4" w:rsidRPr="00006053" w:rsidRDefault="004315D4" w:rsidP="00DD32D0">
            <w:pPr>
              <w:jc w:val="left"/>
              <w:rPr>
                <w:color w:val="000000"/>
                <w:sz w:val="20"/>
                <w:szCs w:val="20"/>
                <w:lang w:val="fr-FR"/>
              </w:rPr>
            </w:pPr>
            <w:r w:rsidRPr="00006053">
              <w:rPr>
                <w:color w:val="000000"/>
                <w:sz w:val="20"/>
                <w:szCs w:val="20"/>
                <w:lang w:val="fr-FR"/>
              </w:rPr>
              <w:t>Service d’exploitation et entretien des bureaux, dépenses liées aux infrastructures publiques</w:t>
            </w:r>
          </w:p>
        </w:tc>
        <w:tc>
          <w:tcPr>
            <w:tcW w:w="722" w:type="pct"/>
            <w:shd w:val="clear" w:color="auto" w:fill="auto"/>
          </w:tcPr>
          <w:p w14:paraId="5098B816" w14:textId="77777777" w:rsidR="004315D4" w:rsidRPr="00006053" w:rsidRDefault="004315D4" w:rsidP="00DD32D0">
            <w:pPr>
              <w:jc w:val="right"/>
              <w:rPr>
                <w:color w:val="000000"/>
                <w:sz w:val="20"/>
                <w:szCs w:val="20"/>
                <w:lang w:val="fr-FR"/>
              </w:rPr>
            </w:pPr>
            <w:r w:rsidRPr="00006053">
              <w:rPr>
                <w:sz w:val="20"/>
                <w:szCs w:val="20"/>
                <w:lang w:val="fr-FR"/>
              </w:rPr>
              <w:t>209 998</w:t>
            </w:r>
          </w:p>
        </w:tc>
      </w:tr>
      <w:tr w:rsidR="004315D4" w:rsidRPr="00006053" w14:paraId="50FCB6CA" w14:textId="77777777" w:rsidTr="00DD32D0">
        <w:tc>
          <w:tcPr>
            <w:tcW w:w="4278" w:type="pct"/>
            <w:gridSpan w:val="2"/>
          </w:tcPr>
          <w:p w14:paraId="27D528B2" w14:textId="77777777" w:rsidR="004315D4" w:rsidRPr="00006053" w:rsidRDefault="004315D4" w:rsidP="00DD32D0">
            <w:pPr>
              <w:jc w:val="left"/>
              <w:rPr>
                <w:b/>
                <w:bCs/>
                <w:color w:val="000000"/>
                <w:sz w:val="20"/>
                <w:szCs w:val="20"/>
                <w:lang w:val="fr-FR"/>
              </w:rPr>
            </w:pPr>
            <w:r w:rsidRPr="00006053">
              <w:rPr>
                <w:b/>
                <w:bCs/>
                <w:color w:val="000000"/>
                <w:sz w:val="20"/>
                <w:szCs w:val="20"/>
                <w:lang w:val="fr-FR"/>
              </w:rPr>
              <w:t>Total</w:t>
            </w:r>
          </w:p>
        </w:tc>
        <w:tc>
          <w:tcPr>
            <w:tcW w:w="722" w:type="pct"/>
            <w:shd w:val="clear" w:color="auto" w:fill="auto"/>
          </w:tcPr>
          <w:p w14:paraId="3786FF4B" w14:textId="77777777" w:rsidR="004315D4" w:rsidRPr="00006053" w:rsidRDefault="004315D4" w:rsidP="00DD32D0">
            <w:pPr>
              <w:jc w:val="right"/>
              <w:rPr>
                <w:b/>
                <w:bCs/>
                <w:color w:val="000000"/>
                <w:sz w:val="20"/>
                <w:szCs w:val="20"/>
                <w:lang w:val="fr-FR"/>
              </w:rPr>
            </w:pPr>
            <w:r w:rsidRPr="00006053">
              <w:rPr>
                <w:b/>
                <w:bCs/>
                <w:color w:val="000000"/>
                <w:sz w:val="20"/>
                <w:szCs w:val="20"/>
                <w:lang w:val="fr-FR"/>
              </w:rPr>
              <w:t>18 534 654</w:t>
            </w:r>
          </w:p>
        </w:tc>
      </w:tr>
    </w:tbl>
    <w:p w14:paraId="51F4B2F5" w14:textId="77777777" w:rsidR="004315D4" w:rsidRPr="00006053" w:rsidRDefault="004315D4" w:rsidP="004315D4">
      <w:pPr>
        <w:pStyle w:val="Heading1"/>
        <w:numPr>
          <w:ilvl w:val="0"/>
          <w:numId w:val="0"/>
        </w:numPr>
        <w:rPr>
          <w:i/>
          <w:lang w:val="fr-FR"/>
        </w:rPr>
      </w:pPr>
      <w:r w:rsidRPr="00006053">
        <w:rPr>
          <w:i/>
          <w:lang w:val="fr-FR"/>
        </w:rPr>
        <w:lastRenderedPageBreak/>
        <w:t>Répartition des tranches (2021-2026)</w:t>
      </w:r>
    </w:p>
    <w:p w14:paraId="3382451C" w14:textId="77777777" w:rsidR="004315D4" w:rsidRPr="00006053" w:rsidRDefault="004315D4" w:rsidP="004315D4">
      <w:pPr>
        <w:pStyle w:val="Heading1"/>
        <w:rPr>
          <w:lang w:val="fr-FR"/>
        </w:rPr>
      </w:pPr>
      <w:r w:rsidRPr="00006053">
        <w:rPr>
          <w:lang w:val="fr-FR"/>
        </w:rPr>
        <w:t>Le calendrier de décaissement des tranches pour les années 2021 à 2026 figure au tableau 5. Le calendrier de décaissement des tranches pour la phase II du plan sectoriel des mousses XPS se trouve aux lignes 2.2.1 à 2.2.4 de l’appendice 2-A du projet d’accord révisé entre le Gouvernement chinois et le Comité exécutif, soumis par le PNUD et qui figure en annexe II au présent document.</w:t>
      </w:r>
    </w:p>
    <w:p w14:paraId="27A2106D" w14:textId="77777777" w:rsidR="004315D4" w:rsidRPr="00006053" w:rsidRDefault="004315D4" w:rsidP="004315D4">
      <w:pPr>
        <w:tabs>
          <w:tab w:val="num" w:pos="0"/>
          <w:tab w:val="num" w:pos="720"/>
          <w:tab w:val="num" w:pos="902"/>
        </w:tabs>
        <w:rPr>
          <w:b/>
          <w:lang w:val="fr-FR"/>
        </w:rPr>
      </w:pPr>
      <w:r w:rsidRPr="00006053">
        <w:rPr>
          <w:b/>
          <w:lang w:val="fr-FR"/>
        </w:rPr>
        <w:t>Tableau 5. Ventilation des tranches relatives au plan sectoriel des mousses XPS pour 2021-2026 ($US)</w:t>
      </w:r>
    </w:p>
    <w:tbl>
      <w:tblPr>
        <w:tblStyle w:val="TableGrid"/>
        <w:tblW w:w="5000" w:type="pct"/>
        <w:tblLook w:val="04A0" w:firstRow="1" w:lastRow="0" w:firstColumn="1" w:lastColumn="0" w:noHBand="0" w:noVBand="1"/>
      </w:tblPr>
      <w:tblGrid>
        <w:gridCol w:w="1435"/>
        <w:gridCol w:w="1190"/>
        <w:gridCol w:w="1366"/>
        <w:gridCol w:w="1366"/>
        <w:gridCol w:w="1366"/>
        <w:gridCol w:w="1366"/>
        <w:gridCol w:w="1261"/>
      </w:tblGrid>
      <w:tr w:rsidR="004315D4" w:rsidRPr="00006053" w14:paraId="198DBD47" w14:textId="77777777" w:rsidTr="00DD32D0">
        <w:tc>
          <w:tcPr>
            <w:tcW w:w="767" w:type="pct"/>
          </w:tcPr>
          <w:p w14:paraId="0F5CE37E" w14:textId="77777777" w:rsidR="004315D4" w:rsidRPr="00006053" w:rsidRDefault="004315D4" w:rsidP="00DD32D0">
            <w:pPr>
              <w:tabs>
                <w:tab w:val="num" w:pos="0"/>
                <w:tab w:val="num" w:pos="720"/>
                <w:tab w:val="num" w:pos="902"/>
              </w:tabs>
              <w:jc w:val="left"/>
              <w:rPr>
                <w:b/>
                <w:sz w:val="20"/>
                <w:szCs w:val="20"/>
                <w:lang w:val="fr-FR"/>
              </w:rPr>
            </w:pPr>
            <w:r w:rsidRPr="00006053">
              <w:rPr>
                <w:b/>
                <w:sz w:val="20"/>
                <w:szCs w:val="20"/>
                <w:lang w:val="fr-FR"/>
              </w:rPr>
              <w:t>Année</w:t>
            </w:r>
          </w:p>
        </w:tc>
        <w:tc>
          <w:tcPr>
            <w:tcW w:w="636" w:type="pct"/>
          </w:tcPr>
          <w:p w14:paraId="79900D98"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2021</w:t>
            </w:r>
          </w:p>
        </w:tc>
        <w:tc>
          <w:tcPr>
            <w:tcW w:w="730" w:type="pct"/>
          </w:tcPr>
          <w:p w14:paraId="26668299"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2022</w:t>
            </w:r>
          </w:p>
        </w:tc>
        <w:tc>
          <w:tcPr>
            <w:tcW w:w="730" w:type="pct"/>
          </w:tcPr>
          <w:p w14:paraId="45ACDD28"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2023</w:t>
            </w:r>
          </w:p>
        </w:tc>
        <w:tc>
          <w:tcPr>
            <w:tcW w:w="730" w:type="pct"/>
          </w:tcPr>
          <w:p w14:paraId="13AD1C81"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2024</w:t>
            </w:r>
          </w:p>
        </w:tc>
        <w:tc>
          <w:tcPr>
            <w:tcW w:w="730" w:type="pct"/>
          </w:tcPr>
          <w:p w14:paraId="732B3396"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2025</w:t>
            </w:r>
          </w:p>
        </w:tc>
        <w:tc>
          <w:tcPr>
            <w:tcW w:w="674" w:type="pct"/>
          </w:tcPr>
          <w:p w14:paraId="5B670092"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2026</w:t>
            </w:r>
          </w:p>
        </w:tc>
      </w:tr>
      <w:tr w:rsidR="004315D4" w:rsidRPr="00006053" w14:paraId="2117205E" w14:textId="77777777" w:rsidTr="00DD32D0">
        <w:tc>
          <w:tcPr>
            <w:tcW w:w="767" w:type="pct"/>
          </w:tcPr>
          <w:p w14:paraId="6DA31745" w14:textId="77777777" w:rsidR="004315D4" w:rsidRPr="00006053" w:rsidRDefault="004315D4" w:rsidP="00DD32D0">
            <w:pPr>
              <w:tabs>
                <w:tab w:val="num" w:pos="0"/>
                <w:tab w:val="num" w:pos="720"/>
                <w:tab w:val="num" w:pos="902"/>
              </w:tabs>
              <w:rPr>
                <w:b/>
                <w:sz w:val="20"/>
                <w:szCs w:val="20"/>
                <w:lang w:val="fr-FR"/>
              </w:rPr>
            </w:pPr>
            <w:r w:rsidRPr="00006053">
              <w:rPr>
                <w:b/>
                <w:sz w:val="20"/>
                <w:szCs w:val="20"/>
                <w:lang w:val="fr-FR"/>
              </w:rPr>
              <w:t xml:space="preserve">Valeur de la tranche </w:t>
            </w:r>
          </w:p>
        </w:tc>
        <w:tc>
          <w:tcPr>
            <w:tcW w:w="636" w:type="pct"/>
          </w:tcPr>
          <w:p w14:paraId="24C0A10A"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5 000 000</w:t>
            </w:r>
          </w:p>
        </w:tc>
        <w:tc>
          <w:tcPr>
            <w:tcW w:w="730" w:type="pct"/>
          </w:tcPr>
          <w:p w14:paraId="0CEEB090"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2 000 000</w:t>
            </w:r>
          </w:p>
        </w:tc>
        <w:tc>
          <w:tcPr>
            <w:tcW w:w="730" w:type="pct"/>
          </w:tcPr>
          <w:p w14:paraId="3BF83311"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3 000 000</w:t>
            </w:r>
          </w:p>
        </w:tc>
        <w:tc>
          <w:tcPr>
            <w:tcW w:w="730" w:type="pct"/>
          </w:tcPr>
          <w:p w14:paraId="3BCBFA34"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1 000 000</w:t>
            </w:r>
          </w:p>
        </w:tc>
        <w:tc>
          <w:tcPr>
            <w:tcW w:w="730" w:type="pct"/>
          </w:tcPr>
          <w:p w14:paraId="1B4A6D5E"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4 000 000</w:t>
            </w:r>
          </w:p>
        </w:tc>
        <w:tc>
          <w:tcPr>
            <w:tcW w:w="674" w:type="pct"/>
          </w:tcPr>
          <w:p w14:paraId="115265C6"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3 534 654</w:t>
            </w:r>
          </w:p>
        </w:tc>
      </w:tr>
    </w:tbl>
    <w:p w14:paraId="0F417BE9" w14:textId="77777777" w:rsidR="004315D4" w:rsidRPr="00006053" w:rsidRDefault="004315D4" w:rsidP="004315D4">
      <w:pPr>
        <w:tabs>
          <w:tab w:val="num" w:pos="0"/>
          <w:tab w:val="num" w:pos="720"/>
          <w:tab w:val="num" w:pos="902"/>
        </w:tabs>
        <w:rPr>
          <w:b/>
          <w:lang w:val="fr-FR"/>
        </w:rPr>
      </w:pPr>
    </w:p>
    <w:p w14:paraId="5E3B513D" w14:textId="77777777" w:rsidR="004315D4" w:rsidRPr="00006053" w:rsidRDefault="004315D4" w:rsidP="004315D4">
      <w:pPr>
        <w:keepNext/>
        <w:keepLines/>
        <w:tabs>
          <w:tab w:val="num" w:pos="0"/>
          <w:tab w:val="num" w:pos="720"/>
          <w:tab w:val="num" w:pos="902"/>
        </w:tabs>
        <w:spacing w:afterLines="50" w:after="120"/>
        <w:rPr>
          <w:b/>
          <w:lang w:val="fr-FR"/>
        </w:rPr>
      </w:pPr>
      <w:r w:rsidRPr="00006053">
        <w:rPr>
          <w:b/>
          <w:lang w:val="fr-FR"/>
        </w:rPr>
        <w:t>Observations du Secrétariat</w:t>
      </w:r>
    </w:p>
    <w:p w14:paraId="24A888D3" w14:textId="77777777" w:rsidR="004315D4" w:rsidRPr="00006053" w:rsidRDefault="004315D4" w:rsidP="004315D4">
      <w:pPr>
        <w:pStyle w:val="Heading1"/>
        <w:keepNext/>
        <w:keepLines/>
        <w:rPr>
          <w:lang w:val="fr-FR"/>
        </w:rPr>
      </w:pPr>
      <w:r w:rsidRPr="00006053">
        <w:rPr>
          <w:lang w:val="fr-FR"/>
        </w:rPr>
        <w:t>Le Secrétariat note que le coût global de la phase II du plan sectoriel des mousses XPS a été ajusté de 112 786 630 $US à 44 939 952 $US, dont 26 405 298 $US ont été approuvés au cours des tranches précédentes. Le niveau des fonds alloués pour la période 2021-2026 est de 18 534 654 $US.</w:t>
      </w:r>
    </w:p>
    <w:p w14:paraId="7095BD33" w14:textId="77777777" w:rsidR="004315D4" w:rsidRPr="00006053" w:rsidRDefault="004315D4" w:rsidP="004315D4">
      <w:pPr>
        <w:pStyle w:val="Heading1"/>
        <w:rPr>
          <w:lang w:val="fr-FR"/>
        </w:rPr>
      </w:pPr>
      <w:r w:rsidRPr="00006053">
        <w:rPr>
          <w:lang w:val="fr-FR"/>
        </w:rPr>
        <w:t>En moyenne, le seuil de rentabilité combiné applicables aux reconversions à titre individuel a été ramené de 5,60 $US/kg pour les 10 entreprises déjà aidées à 4,00 $US/kg pour les 11 nouvelles entreprises, l’objectif étant d’admettre autant d’entreprises que possible, dans la limite des ressources financières disponibles. Par conséquent, les entreprises aidées apporteront un cofinancement important, et davantage d’entre elles se reconvertiront à leurs frais.</w:t>
      </w:r>
    </w:p>
    <w:p w14:paraId="3B88305C" w14:textId="52C0913F" w:rsidR="004315D4" w:rsidRPr="00006053" w:rsidRDefault="004315D4" w:rsidP="004315D4">
      <w:pPr>
        <w:pStyle w:val="Heading1"/>
        <w:rPr>
          <w:lang w:val="fr-FR"/>
        </w:rPr>
      </w:pPr>
      <w:r w:rsidRPr="00006053">
        <w:rPr>
          <w:lang w:val="fr-FR"/>
        </w:rPr>
        <w:t xml:space="preserve">Notant qu’un grand nombre d’entreprises ne recevront pas de financement du tout pour leur reconversion, le Secrétariat a demandé comment le plan d’action révisé envisageait de surveiller l’élimination globale des HCFC dans le secteur, en particulier par les entreprises non assistées. L’ONUDI a expliqué que l’assistance technique et les composantes relatives aux politiques publiques consacreront des efforts et </w:t>
      </w:r>
      <w:r w:rsidR="00C05DD5" w:rsidRPr="00006053">
        <w:rPr>
          <w:lang w:val="fr-FR"/>
        </w:rPr>
        <w:t>des ressources substantielles</w:t>
      </w:r>
      <w:r w:rsidRPr="00006053">
        <w:rPr>
          <w:lang w:val="fr-FR"/>
        </w:rPr>
        <w:t xml:space="preserve"> au renforcement des capacités des BEE locaux pour leur permettre d’assumer des fonctions de surveillance. L’UGP fournira quant à elle également les apports techniques et des informations sectorielles nécessaires au MEE, aux BEE et à l’industrie. En fin de compte, le Gouvernement chinois assume l’entière responsabilité du suivi pendant la </w:t>
      </w:r>
      <w:r w:rsidR="00C05DD5">
        <w:rPr>
          <w:lang w:val="fr-FR"/>
        </w:rPr>
        <w:t>mise en œuvre du plan sectoriel </w:t>
      </w:r>
      <w:r w:rsidRPr="00006053">
        <w:rPr>
          <w:lang w:val="fr-FR"/>
        </w:rPr>
        <w:t>; l’UGP fournira des apports techniques et des informations sectorielles au MEE, aux BEE et à l’industrie.</w:t>
      </w:r>
    </w:p>
    <w:p w14:paraId="72B40360" w14:textId="77777777" w:rsidR="004315D4" w:rsidRPr="00006053" w:rsidRDefault="004315D4" w:rsidP="004315D4">
      <w:pPr>
        <w:pStyle w:val="Heading1"/>
        <w:keepNext/>
        <w:keepLines/>
        <w:rPr>
          <w:rFonts w:eastAsia="DengXian"/>
          <w:lang w:val="fr-FR"/>
        </w:rPr>
      </w:pPr>
      <w:r w:rsidRPr="00006053">
        <w:rPr>
          <w:lang w:val="fr-FR"/>
        </w:rPr>
        <w:t>En ce qui concerne les entreprises qui ne sont pas directement assistées par le biais de projets liés à la reconversion, le Secrétariat a demandé si elles recevraient un soutien dans le cadre de la composante d’assistante technique pour faciliter leur reconversion à des solutions de remplacement à faible PRG. L’ONUDI a indiqué que la composante d’assistance technique appuiera la transition vers des solutions de remplacement à faible PRG par les entreprises non aidées par le truchement des projets d’investissement, et a attiré l’attention sur quatre activités :</w:t>
      </w:r>
    </w:p>
    <w:p w14:paraId="7EF25E6D" w14:textId="673D4C4F" w:rsidR="004315D4" w:rsidRPr="00006053" w:rsidRDefault="00C05DD5" w:rsidP="004315D4">
      <w:pPr>
        <w:pStyle w:val="Heading2"/>
        <w:numPr>
          <w:ilvl w:val="1"/>
          <w:numId w:val="1"/>
        </w:numPr>
        <w:rPr>
          <w:rFonts w:eastAsia="DengXian"/>
          <w:lang w:val="fr-FR"/>
        </w:rPr>
      </w:pPr>
      <w:r>
        <w:rPr>
          <w:rFonts w:eastAsia="DengXian"/>
          <w:lang w:val="fr-FR"/>
        </w:rPr>
        <w:t>U</w:t>
      </w:r>
      <w:r w:rsidR="004315D4" w:rsidRPr="00006053">
        <w:rPr>
          <w:rFonts w:eastAsia="DengXian"/>
          <w:lang w:val="fr-FR"/>
        </w:rPr>
        <w:t>ne formation et un appui technique seront fournis aux entreprises pour les guider dans l’adoption de solutions de replacement à faible PRG, en particulier pour ce qui concerne les aspects des formulations sur le plan technique, des équipements, des technologies de démarrage sur site, des essais de substances et de la sécurité incendie ;</w:t>
      </w:r>
    </w:p>
    <w:p w14:paraId="331D72CF" w14:textId="0CBEE60D" w:rsidR="004315D4" w:rsidRPr="00006053" w:rsidRDefault="00C05DD5" w:rsidP="004315D4">
      <w:pPr>
        <w:pStyle w:val="Heading2"/>
        <w:numPr>
          <w:ilvl w:val="1"/>
          <w:numId w:val="1"/>
        </w:numPr>
        <w:rPr>
          <w:rFonts w:eastAsia="DengXian"/>
          <w:lang w:val="fr-FR"/>
        </w:rPr>
      </w:pPr>
      <w:r>
        <w:rPr>
          <w:rFonts w:eastAsia="DengXian"/>
          <w:lang w:val="fr-FR"/>
        </w:rPr>
        <w:t>D</w:t>
      </w:r>
      <w:r w:rsidR="004315D4" w:rsidRPr="00006053">
        <w:rPr>
          <w:rFonts w:eastAsia="DengXian"/>
          <w:lang w:val="fr-FR"/>
        </w:rPr>
        <w:t xml:space="preserve">es ateliers visant à diffuser les politiques publiques et les réglementations pertinentes et à partager les expériences des bénéficiaires ; </w:t>
      </w:r>
    </w:p>
    <w:p w14:paraId="0BCA48BE" w14:textId="1312F443" w:rsidR="004315D4" w:rsidRPr="00006053" w:rsidRDefault="00C05DD5" w:rsidP="004315D4">
      <w:pPr>
        <w:pStyle w:val="Heading2"/>
        <w:numPr>
          <w:ilvl w:val="1"/>
          <w:numId w:val="1"/>
        </w:numPr>
        <w:rPr>
          <w:rFonts w:eastAsia="DengXian"/>
          <w:lang w:val="fr-FR"/>
        </w:rPr>
      </w:pPr>
      <w:r>
        <w:rPr>
          <w:rFonts w:eastAsia="DengXian"/>
          <w:lang w:val="fr-FR"/>
        </w:rPr>
        <w:t>L</w:t>
      </w:r>
      <w:r w:rsidR="004315D4" w:rsidRPr="00006053">
        <w:rPr>
          <w:rFonts w:eastAsia="DengXian"/>
          <w:lang w:val="fr-FR"/>
        </w:rPr>
        <w:t>’optimisation et l’évaluation de l’équipement et des technologies, l’objectif étant de fournir en temps opportun des conseils techniques et des conseils à l’industrie au cours du processus de reconversion ; et</w:t>
      </w:r>
    </w:p>
    <w:p w14:paraId="6A5556D2" w14:textId="7A1B9B4C" w:rsidR="004315D4" w:rsidRPr="00006053" w:rsidRDefault="00C05DD5" w:rsidP="004315D4">
      <w:pPr>
        <w:pStyle w:val="Heading2"/>
        <w:numPr>
          <w:ilvl w:val="1"/>
          <w:numId w:val="1"/>
        </w:numPr>
        <w:rPr>
          <w:rFonts w:eastAsia="DengXian"/>
          <w:lang w:val="fr-FR"/>
        </w:rPr>
      </w:pPr>
      <w:r>
        <w:rPr>
          <w:rFonts w:eastAsia="DengXian"/>
          <w:lang w:val="fr-FR"/>
        </w:rPr>
        <w:lastRenderedPageBreak/>
        <w:t>L</w:t>
      </w:r>
      <w:r w:rsidR="004315D4" w:rsidRPr="00006053">
        <w:rPr>
          <w:rFonts w:eastAsia="DengXian"/>
          <w:lang w:val="fr-FR"/>
        </w:rPr>
        <w:t>a formulation et la révision de normes techniques qui contribueront à l’adoption par le marché de solutions de remplacement à faible PRG. Le Gouvernement chinois prévoit en outre de publier un catalogue des solutions de remplacement aux HCFC recommandées dans divers secteurs, afin de guider l’industrie, lors du remplacement des HCFC, dans ses choix de technologies de remplacement à faible PRG.</w:t>
      </w:r>
    </w:p>
    <w:p w14:paraId="66F0A029" w14:textId="77777777" w:rsidR="004315D4" w:rsidRPr="00006053" w:rsidRDefault="004315D4" w:rsidP="004315D4">
      <w:pPr>
        <w:rPr>
          <w:b/>
          <w:lang w:val="fr-FR"/>
        </w:rPr>
      </w:pPr>
      <w:r w:rsidRPr="00006053">
        <w:rPr>
          <w:b/>
          <w:lang w:val="fr-FR"/>
        </w:rPr>
        <w:t>Recommandation</w:t>
      </w:r>
    </w:p>
    <w:p w14:paraId="383D37FC" w14:textId="77777777" w:rsidR="004315D4" w:rsidRPr="00006053" w:rsidRDefault="004315D4" w:rsidP="004315D4">
      <w:pPr>
        <w:rPr>
          <w:lang w:val="fr-FR"/>
        </w:rPr>
      </w:pPr>
    </w:p>
    <w:p w14:paraId="1F999863" w14:textId="77777777" w:rsidR="004315D4" w:rsidRPr="00006053" w:rsidRDefault="004315D4" w:rsidP="004315D4">
      <w:pPr>
        <w:pStyle w:val="Heading1"/>
        <w:rPr>
          <w:lang w:val="fr-FR"/>
        </w:rPr>
      </w:pPr>
      <w:r w:rsidRPr="00006053">
        <w:rPr>
          <w:lang w:val="fr-FR"/>
        </w:rPr>
        <w:t>Le Comité exécutif pourrait souhaiter approuver le plan d’action révisé pour la phase II du plan sectoriel des mousses de polystyrène extrudé (XPS) présenté par l’ONUDI conformément à la décision 84/69 a) iv) b. et v), tel qu’il figure dans le document UNEP/OzL.Pro/ExCom/86/21/Add.1.</w:t>
      </w:r>
    </w:p>
    <w:p w14:paraId="6277DFA3" w14:textId="77777777" w:rsidR="004315D4" w:rsidRPr="00006053" w:rsidRDefault="004315D4" w:rsidP="004315D4">
      <w:pPr>
        <w:keepNext/>
        <w:rPr>
          <w:b/>
          <w:lang w:val="fr-FR"/>
        </w:rPr>
      </w:pPr>
      <w:r w:rsidRPr="00006053">
        <w:rPr>
          <w:b/>
          <w:lang w:val="fr-FR"/>
        </w:rPr>
        <w:t>PLAN RÉVISÉ DU SECTEUR DE LA MOUSSE DE POLYURÉTHANE (PU) (Banque mondiale)</w:t>
      </w:r>
    </w:p>
    <w:p w14:paraId="2BCB499B" w14:textId="77777777" w:rsidR="004315D4" w:rsidRPr="00006053" w:rsidRDefault="004315D4" w:rsidP="004315D4">
      <w:pPr>
        <w:rPr>
          <w:lang w:val="fr-FR"/>
        </w:rPr>
      </w:pPr>
    </w:p>
    <w:p w14:paraId="30D38D89" w14:textId="77777777" w:rsidR="004315D4" w:rsidRPr="00006053" w:rsidRDefault="004315D4" w:rsidP="004315D4">
      <w:pPr>
        <w:rPr>
          <w:b/>
          <w:lang w:val="fr-FR"/>
        </w:rPr>
      </w:pPr>
      <w:r w:rsidRPr="00006053">
        <w:rPr>
          <w:b/>
          <w:lang w:val="fr-FR"/>
        </w:rPr>
        <w:t>Description du plan sectoriel</w:t>
      </w:r>
    </w:p>
    <w:p w14:paraId="3EE98C86" w14:textId="77777777" w:rsidR="004315D4" w:rsidRPr="00006053" w:rsidRDefault="004315D4" w:rsidP="004315D4">
      <w:pPr>
        <w:rPr>
          <w:lang w:val="fr-FR"/>
        </w:rPr>
      </w:pPr>
    </w:p>
    <w:p w14:paraId="20C0BCA9" w14:textId="77777777" w:rsidR="004315D4" w:rsidRPr="00006053" w:rsidRDefault="004315D4" w:rsidP="004315D4">
      <w:pPr>
        <w:rPr>
          <w:b/>
          <w:lang w:val="fr-FR"/>
        </w:rPr>
      </w:pPr>
      <w:r w:rsidRPr="00006053">
        <w:rPr>
          <w:b/>
          <w:lang w:val="fr-FR"/>
        </w:rPr>
        <w:t>Contexte</w:t>
      </w:r>
    </w:p>
    <w:p w14:paraId="1D1259EA" w14:textId="77777777" w:rsidR="004315D4" w:rsidRPr="00006053" w:rsidRDefault="004315D4" w:rsidP="004315D4">
      <w:pPr>
        <w:rPr>
          <w:b/>
          <w:lang w:val="fr-FR"/>
        </w:rPr>
      </w:pPr>
    </w:p>
    <w:p w14:paraId="64103A86" w14:textId="77777777" w:rsidR="004315D4" w:rsidRPr="00006053" w:rsidRDefault="004315D4" w:rsidP="004315D4">
      <w:pPr>
        <w:pStyle w:val="Heading1"/>
        <w:rPr>
          <w:lang w:val="fr-FR"/>
        </w:rPr>
      </w:pPr>
      <w:r w:rsidRPr="00006053">
        <w:rPr>
          <w:lang w:val="fr-FR"/>
        </w:rPr>
        <w:t>À sa 77</w:t>
      </w:r>
      <w:r w:rsidRPr="00006053">
        <w:rPr>
          <w:vertAlign w:val="superscript"/>
          <w:lang w:val="fr-FR"/>
        </w:rPr>
        <w:t>e</w:t>
      </w:r>
      <w:r w:rsidRPr="00006053">
        <w:rPr>
          <w:lang w:val="fr-FR"/>
        </w:rPr>
        <w:t xml:space="preserve"> réunion, le Comité exécutif a approuvé le plan sectoriel de fabrication de mousse PU de la phase II du plan de gestion de l’élimination des HCFC (PGEH) afin d’éliminer totalement les HCFC de ce secteur d’ici 2026, pour un montant de 141 471 210 $US, issu du montant total approuvé en principe pour la phase II, coûts d’appui d’agence en sus pour la Banque mondiale. Lors de cette réunion, le Comité exécutif a également approuvé la première tranche du plan sectoriel des mousses PU et le plan de mise en œuvre de la tranche 2017 y relatif. </w:t>
      </w:r>
    </w:p>
    <w:p w14:paraId="5DA222AF" w14:textId="77777777" w:rsidR="004315D4" w:rsidRPr="00006053" w:rsidRDefault="004315D4" w:rsidP="004315D4">
      <w:pPr>
        <w:pStyle w:val="Heading1"/>
        <w:rPr>
          <w:lang w:val="fr-FR"/>
        </w:rPr>
      </w:pPr>
      <w:r w:rsidRPr="00006053">
        <w:rPr>
          <w:lang w:val="fr-FR"/>
        </w:rPr>
        <w:t>À sa 85</w:t>
      </w:r>
      <w:r w:rsidRPr="00006053">
        <w:rPr>
          <w:vertAlign w:val="superscript"/>
          <w:lang w:val="fr-FR"/>
        </w:rPr>
        <w:t>e</w:t>
      </w:r>
      <w:r w:rsidRPr="00006053">
        <w:rPr>
          <w:lang w:val="fr-FR"/>
        </w:rPr>
        <w:t xml:space="preserve"> réunion, le Comité exécutif a approuvé la deuxième tranche du plan sectoriel des mousses PU de la phase II du PGEH ainsi que le plan de mise en œuvre de la tranche 2020-2021 y relatif. Dans l’ensemble, au total, 9 112 039 $US, coûts d’appui d’agence en sus pour la Banque mondiale, ont été approuvés à ce jour. </w:t>
      </w:r>
    </w:p>
    <w:p w14:paraId="30198504" w14:textId="77777777" w:rsidR="004315D4" w:rsidRPr="00006053" w:rsidRDefault="004315D4" w:rsidP="004315D4">
      <w:pPr>
        <w:pStyle w:val="Heading1"/>
        <w:rPr>
          <w:lang w:val="fr-FR"/>
        </w:rPr>
      </w:pPr>
      <w:r w:rsidRPr="00006053">
        <w:rPr>
          <w:lang w:val="fr-FR"/>
        </w:rPr>
        <w:t>À la mi-2020, 11 projets d’élimination avaient été signés, quatre entreprises avaient adopté la technologie du cyclopentane, cinq entreprises avaient adopté la technologie du gonflage à l’eau et deux entreprises avaient adopté la technologie utilisant des HFO. Les contrats en cours concernent sept entreprises fabriquant des panneaux, une entreprise fabriquant des isolations pour canalisations, une entreprise fabriquant des chauffe-eaux solaires et deux entreprises fabriquant des pellicules incorporées, l’objectif étant d’éliminer 1 189,17 tonnes de HCFC-141b.</w:t>
      </w:r>
    </w:p>
    <w:p w14:paraId="5E10C471" w14:textId="77777777" w:rsidR="004315D4" w:rsidRPr="00006053" w:rsidRDefault="004315D4" w:rsidP="004315D4">
      <w:pPr>
        <w:keepNext/>
        <w:keepLines/>
        <w:rPr>
          <w:b/>
          <w:lang w:val="fr-FR"/>
        </w:rPr>
      </w:pPr>
      <w:r w:rsidRPr="00006053">
        <w:rPr>
          <w:b/>
          <w:lang w:val="fr-FR"/>
        </w:rPr>
        <w:t>Plan d’action révisé</w:t>
      </w:r>
    </w:p>
    <w:p w14:paraId="444D02A9" w14:textId="77777777" w:rsidR="004315D4" w:rsidRPr="00006053" w:rsidRDefault="004315D4" w:rsidP="004315D4">
      <w:pPr>
        <w:keepNext/>
        <w:keepLines/>
        <w:rPr>
          <w:lang w:val="fr-FR"/>
        </w:rPr>
      </w:pPr>
    </w:p>
    <w:p w14:paraId="596BDE8A" w14:textId="3C2FD933" w:rsidR="004315D4" w:rsidRPr="00006053" w:rsidRDefault="004315D4" w:rsidP="004315D4">
      <w:pPr>
        <w:pStyle w:val="Heading1"/>
        <w:keepNext/>
        <w:keepLines/>
        <w:rPr>
          <w:lang w:val="fr-FR"/>
        </w:rPr>
      </w:pPr>
      <w:r w:rsidRPr="00006053">
        <w:rPr>
          <w:lang w:val="fr-FR"/>
        </w:rPr>
        <w:t>Conformément à la décision 84/69 a) iv) b</w:t>
      </w:r>
      <w:r w:rsidR="00C05DD5">
        <w:rPr>
          <w:lang w:val="fr-FR"/>
        </w:rPr>
        <w:t>.</w:t>
      </w:r>
      <w:r w:rsidRPr="00006053">
        <w:rPr>
          <w:lang w:val="fr-FR"/>
        </w:rPr>
        <w:t xml:space="preserve"> et v), la Banque mondiale, en tant qu’agence d’exécution principale, a présenté, au nom du Gouvernement de la Chine, un plan d’action révisé pour le secteur des mousses de PU au cours de la phase II et pour les années 2021 à 2026, pour un coût de 19 200 000 $US, coûts d’appui d’agence en sus à hauteur de 1 344 000 $US pour la Banque mondiale.</w:t>
      </w:r>
      <w:r w:rsidRPr="00006053">
        <w:rPr>
          <w:rStyle w:val="FootnoteReference"/>
          <w:lang w:val="fr-FR"/>
        </w:rPr>
        <w:footnoteReference w:id="26"/>
      </w:r>
      <w:r w:rsidRPr="00006053">
        <w:rPr>
          <w:lang w:val="fr-FR"/>
        </w:rPr>
        <w:t xml:space="preserve"> </w:t>
      </w:r>
    </w:p>
    <w:p w14:paraId="1A454979" w14:textId="77777777" w:rsidR="004315D4" w:rsidRPr="00006053" w:rsidRDefault="004315D4" w:rsidP="004315D4">
      <w:pPr>
        <w:pStyle w:val="Heading1"/>
        <w:rPr>
          <w:lang w:val="fr-FR"/>
        </w:rPr>
      </w:pPr>
      <w:r w:rsidRPr="00006053">
        <w:rPr>
          <w:lang w:val="fr-FR"/>
        </w:rPr>
        <w:t xml:space="preserve">Notant qu’entre 2016 et 2020, 9 112 039 $US, coûts d’appui d’agence en sus, ont déjà été approuvés pour le plan sectoriel des mousses PU, l’approbation de principe révisée pour l’ensemble du plan sectoriel des mousses PU concerne un montant de 28 312 039 $US, coûts d’appui d’agence en sus pour la Banque mondiale. </w:t>
      </w:r>
    </w:p>
    <w:p w14:paraId="6F206BAA" w14:textId="77777777" w:rsidR="004315D4" w:rsidRPr="00006053" w:rsidRDefault="004315D4" w:rsidP="004315D4">
      <w:pPr>
        <w:widowControl w:val="0"/>
        <w:numPr>
          <w:ilvl w:val="0"/>
          <w:numId w:val="1"/>
        </w:numPr>
        <w:spacing w:after="240"/>
        <w:outlineLvl w:val="0"/>
        <w:rPr>
          <w:lang w:val="fr-FR"/>
        </w:rPr>
      </w:pPr>
      <w:r w:rsidRPr="00006053">
        <w:rPr>
          <w:lang w:val="fr-FR"/>
        </w:rPr>
        <w:t xml:space="preserve">Conformément au projet d’accord révisé soumis par le PNUD à la présente réunion, aucun </w:t>
      </w:r>
      <w:r w:rsidRPr="00006053">
        <w:rPr>
          <w:lang w:val="fr-FR"/>
        </w:rPr>
        <w:lastRenderedPageBreak/>
        <w:t>financement n’y est demandé. La prochaine tranche de la phase II du plan sectoriel des mousses PU, qui se monte à 4 000 000 $US, plus des coûts d’appui d’agence de 280 000 $US pour la Banque mondiale, sera soumise à la deuxième réunion de 2021.</w:t>
      </w:r>
    </w:p>
    <w:p w14:paraId="49CF4840" w14:textId="77777777" w:rsidR="004315D4" w:rsidRPr="00006053" w:rsidRDefault="004315D4" w:rsidP="004315D4">
      <w:pPr>
        <w:keepNext/>
        <w:keepLines/>
        <w:rPr>
          <w:u w:val="single"/>
          <w:lang w:val="fr-FR"/>
        </w:rPr>
      </w:pPr>
      <w:r w:rsidRPr="00006053">
        <w:rPr>
          <w:u w:val="single"/>
          <w:lang w:val="fr-FR"/>
        </w:rPr>
        <w:t>Objectifs de consommation de HCFC</w:t>
      </w:r>
    </w:p>
    <w:p w14:paraId="3013A3E1" w14:textId="77777777" w:rsidR="004315D4" w:rsidRPr="00006053" w:rsidRDefault="004315D4" w:rsidP="004315D4">
      <w:pPr>
        <w:keepNext/>
        <w:keepLines/>
        <w:rPr>
          <w:lang w:val="fr-FR"/>
        </w:rPr>
      </w:pPr>
    </w:p>
    <w:p w14:paraId="7C82C667" w14:textId="77777777" w:rsidR="004315D4" w:rsidRPr="00006053" w:rsidRDefault="004315D4" w:rsidP="004315D4">
      <w:pPr>
        <w:pStyle w:val="Heading1"/>
        <w:keepNext/>
        <w:keepLines/>
        <w:rPr>
          <w:lang w:val="fr-FR"/>
        </w:rPr>
      </w:pPr>
      <w:r w:rsidRPr="00006053">
        <w:rPr>
          <w:lang w:val="fr-FR"/>
        </w:rPr>
        <w:t>Le calendrier d’élimination des HCFC pour la phase II du plan sectoriel des mousses PU est indiqué au tableau 1 et reflété à la ligne 1.3.3 de l’appendice 2-A du projet d’accord révisé entre la Chine et le Comité exécutif, figurant à l’annexe II. Les objectifs de consommation de HCFC pour le secteur des mousses PU ont été maintenus tels qu’ils avaient été initialement approuvés (à la 77</w:t>
      </w:r>
      <w:r w:rsidRPr="00006053">
        <w:rPr>
          <w:vertAlign w:val="superscript"/>
          <w:lang w:val="fr-FR"/>
        </w:rPr>
        <w:t>e</w:t>
      </w:r>
      <w:r w:rsidRPr="00006053">
        <w:rPr>
          <w:lang w:val="fr-FR"/>
        </w:rPr>
        <w:t xml:space="preserve"> réunion). </w:t>
      </w:r>
    </w:p>
    <w:p w14:paraId="40024B30" w14:textId="77777777" w:rsidR="004315D4" w:rsidRPr="00006053" w:rsidRDefault="004315D4" w:rsidP="004315D4">
      <w:pPr>
        <w:pStyle w:val="Heading1"/>
        <w:numPr>
          <w:ilvl w:val="0"/>
          <w:numId w:val="0"/>
        </w:numPr>
        <w:spacing w:after="0"/>
        <w:rPr>
          <w:b/>
          <w:lang w:val="fr-FR"/>
        </w:rPr>
      </w:pPr>
      <w:r w:rsidRPr="00006053">
        <w:rPr>
          <w:b/>
          <w:lang w:val="fr-FR"/>
        </w:rPr>
        <w:t>Tableau 1. Objectifs d’élimination du HCFC-141b pour la phase II du plan sectoriel des mousses PU en Chine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940"/>
        <w:gridCol w:w="940"/>
        <w:gridCol w:w="940"/>
        <w:gridCol w:w="939"/>
        <w:gridCol w:w="939"/>
        <w:gridCol w:w="939"/>
        <w:gridCol w:w="939"/>
      </w:tblGrid>
      <w:tr w:rsidR="004315D4" w:rsidRPr="00006053" w14:paraId="5E0F1B20" w14:textId="77777777" w:rsidTr="00DD32D0">
        <w:trPr>
          <w:tblHeader/>
        </w:trPr>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330B4E53" w14:textId="77777777" w:rsidR="004315D4" w:rsidRPr="00006053" w:rsidRDefault="004315D4" w:rsidP="00DD32D0">
            <w:pPr>
              <w:tabs>
                <w:tab w:val="left" w:pos="720"/>
              </w:tabs>
              <w:autoSpaceDE w:val="0"/>
              <w:autoSpaceDN w:val="0"/>
              <w:adjustRightInd w:val="0"/>
              <w:ind w:right="18"/>
              <w:jc w:val="left"/>
              <w:rPr>
                <w:b/>
                <w:sz w:val="20"/>
                <w:szCs w:val="20"/>
                <w:lang w:val="fr-FR"/>
              </w:rPr>
            </w:pPr>
            <w:r w:rsidRPr="00006053">
              <w:rPr>
                <w:b/>
                <w:sz w:val="20"/>
                <w:szCs w:val="20"/>
                <w:lang w:val="fr-FR"/>
              </w:rPr>
              <w:t>Consommation maximale admissible</w:t>
            </w:r>
          </w:p>
        </w:tc>
        <w:tc>
          <w:tcPr>
            <w:tcW w:w="502" w:type="pct"/>
            <w:tcBorders>
              <w:top w:val="single" w:sz="4" w:space="0" w:color="auto"/>
              <w:left w:val="single" w:sz="4" w:space="0" w:color="auto"/>
              <w:bottom w:val="single" w:sz="4" w:space="0" w:color="auto"/>
              <w:right w:val="single" w:sz="4" w:space="0" w:color="auto"/>
            </w:tcBorders>
            <w:vAlign w:val="center"/>
            <w:hideMark/>
          </w:tcPr>
          <w:p w14:paraId="53C8907B"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Point de départ</w:t>
            </w:r>
          </w:p>
        </w:tc>
        <w:tc>
          <w:tcPr>
            <w:tcW w:w="502" w:type="pct"/>
            <w:tcBorders>
              <w:top w:val="single" w:sz="4" w:space="0" w:color="auto"/>
              <w:left w:val="single" w:sz="4" w:space="0" w:color="auto"/>
              <w:bottom w:val="single" w:sz="4" w:space="0" w:color="auto"/>
              <w:right w:val="single" w:sz="4" w:space="0" w:color="auto"/>
            </w:tcBorders>
            <w:vAlign w:val="center"/>
            <w:hideMark/>
          </w:tcPr>
          <w:p w14:paraId="505B9FB7"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2016</w:t>
            </w:r>
          </w:p>
          <w:p w14:paraId="660B11EF"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2017</w:t>
            </w:r>
          </w:p>
        </w:tc>
        <w:tc>
          <w:tcPr>
            <w:tcW w:w="502" w:type="pct"/>
            <w:tcBorders>
              <w:top w:val="single" w:sz="4" w:space="0" w:color="auto"/>
              <w:left w:val="single" w:sz="4" w:space="0" w:color="auto"/>
              <w:bottom w:val="single" w:sz="4" w:space="0" w:color="auto"/>
              <w:right w:val="single" w:sz="4" w:space="0" w:color="auto"/>
            </w:tcBorders>
            <w:vAlign w:val="center"/>
            <w:hideMark/>
          </w:tcPr>
          <w:p w14:paraId="51BBF196"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2018 2019</w:t>
            </w:r>
          </w:p>
        </w:tc>
        <w:tc>
          <w:tcPr>
            <w:tcW w:w="502" w:type="pct"/>
            <w:tcBorders>
              <w:top w:val="single" w:sz="4" w:space="0" w:color="auto"/>
              <w:left w:val="single" w:sz="4" w:space="0" w:color="auto"/>
              <w:bottom w:val="single" w:sz="4" w:space="0" w:color="auto"/>
              <w:right w:val="single" w:sz="4" w:space="0" w:color="auto"/>
            </w:tcBorders>
            <w:vAlign w:val="center"/>
            <w:hideMark/>
          </w:tcPr>
          <w:p w14:paraId="322FF9AF"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2020</w:t>
            </w:r>
          </w:p>
          <w:p w14:paraId="758A8184"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2021</w:t>
            </w:r>
          </w:p>
          <w:p w14:paraId="5D97A813"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2022</w:t>
            </w:r>
          </w:p>
        </w:tc>
        <w:tc>
          <w:tcPr>
            <w:tcW w:w="502" w:type="pct"/>
            <w:tcBorders>
              <w:top w:val="single" w:sz="4" w:space="0" w:color="auto"/>
              <w:left w:val="single" w:sz="4" w:space="0" w:color="auto"/>
              <w:bottom w:val="single" w:sz="4" w:space="0" w:color="auto"/>
              <w:right w:val="single" w:sz="4" w:space="0" w:color="auto"/>
            </w:tcBorders>
            <w:vAlign w:val="center"/>
            <w:hideMark/>
          </w:tcPr>
          <w:p w14:paraId="1E17DC50"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2023</w:t>
            </w:r>
          </w:p>
          <w:p w14:paraId="146BA2C3"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2024</w:t>
            </w:r>
          </w:p>
        </w:tc>
        <w:tc>
          <w:tcPr>
            <w:tcW w:w="502" w:type="pct"/>
            <w:tcBorders>
              <w:top w:val="single" w:sz="4" w:space="0" w:color="auto"/>
              <w:left w:val="single" w:sz="4" w:space="0" w:color="auto"/>
              <w:bottom w:val="single" w:sz="4" w:space="0" w:color="auto"/>
              <w:right w:val="single" w:sz="4" w:space="0" w:color="auto"/>
            </w:tcBorders>
            <w:vAlign w:val="center"/>
            <w:hideMark/>
          </w:tcPr>
          <w:p w14:paraId="004FC113"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2025</w:t>
            </w:r>
          </w:p>
        </w:tc>
        <w:tc>
          <w:tcPr>
            <w:tcW w:w="502" w:type="pct"/>
            <w:tcBorders>
              <w:top w:val="single" w:sz="4" w:space="0" w:color="auto"/>
              <w:left w:val="single" w:sz="4" w:space="0" w:color="auto"/>
              <w:bottom w:val="single" w:sz="4" w:space="0" w:color="auto"/>
              <w:right w:val="single" w:sz="4" w:space="0" w:color="auto"/>
            </w:tcBorders>
            <w:vAlign w:val="center"/>
            <w:hideMark/>
          </w:tcPr>
          <w:p w14:paraId="0EAEAC27" w14:textId="77777777" w:rsidR="004315D4" w:rsidRPr="00006053" w:rsidRDefault="004315D4" w:rsidP="00DD32D0">
            <w:pPr>
              <w:tabs>
                <w:tab w:val="left" w:pos="720"/>
              </w:tabs>
              <w:autoSpaceDE w:val="0"/>
              <w:autoSpaceDN w:val="0"/>
              <w:adjustRightInd w:val="0"/>
              <w:ind w:right="18"/>
              <w:jc w:val="center"/>
              <w:rPr>
                <w:b/>
                <w:sz w:val="20"/>
                <w:szCs w:val="20"/>
                <w:lang w:val="fr-FR"/>
              </w:rPr>
            </w:pPr>
            <w:r w:rsidRPr="00006053">
              <w:rPr>
                <w:b/>
                <w:sz w:val="20"/>
                <w:szCs w:val="20"/>
                <w:lang w:val="fr-FR"/>
              </w:rPr>
              <w:t>2026</w:t>
            </w:r>
          </w:p>
        </w:tc>
      </w:tr>
      <w:tr w:rsidR="004315D4" w:rsidRPr="00006053" w14:paraId="0EF79299" w14:textId="77777777" w:rsidTr="00DD32D0">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0490835C" w14:textId="77777777" w:rsidR="004315D4" w:rsidRPr="00006053" w:rsidRDefault="004315D4" w:rsidP="00DD32D0">
            <w:pPr>
              <w:tabs>
                <w:tab w:val="left" w:pos="720"/>
              </w:tabs>
              <w:autoSpaceDE w:val="0"/>
              <w:autoSpaceDN w:val="0"/>
              <w:adjustRightInd w:val="0"/>
              <w:ind w:right="18"/>
              <w:jc w:val="left"/>
              <w:rPr>
                <w:sz w:val="20"/>
                <w:szCs w:val="20"/>
                <w:lang w:val="fr-FR"/>
              </w:rPr>
            </w:pPr>
            <w:r w:rsidRPr="00006053">
              <w:rPr>
                <w:sz w:val="20"/>
                <w:szCs w:val="20"/>
                <w:lang w:val="fr-FR"/>
              </w:rPr>
              <w:t>Tonnes métriques</w:t>
            </w:r>
          </w:p>
        </w:tc>
        <w:tc>
          <w:tcPr>
            <w:tcW w:w="502" w:type="pct"/>
            <w:tcBorders>
              <w:top w:val="single" w:sz="4" w:space="0" w:color="auto"/>
              <w:left w:val="single" w:sz="4" w:space="0" w:color="auto"/>
              <w:bottom w:val="single" w:sz="4" w:space="0" w:color="auto"/>
              <w:right w:val="single" w:sz="4" w:space="0" w:color="auto"/>
            </w:tcBorders>
            <w:vAlign w:val="center"/>
            <w:hideMark/>
          </w:tcPr>
          <w:p w14:paraId="370C1938"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49 020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6630470B"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40 451</w:t>
            </w:r>
          </w:p>
        </w:tc>
        <w:tc>
          <w:tcPr>
            <w:tcW w:w="502" w:type="pct"/>
            <w:tcBorders>
              <w:top w:val="single" w:sz="4" w:space="0" w:color="auto"/>
              <w:left w:val="single" w:sz="4" w:space="0" w:color="auto"/>
              <w:bottom w:val="single" w:sz="4" w:space="0" w:color="auto"/>
              <w:right w:val="single" w:sz="4" w:space="0" w:color="auto"/>
            </w:tcBorders>
            <w:vAlign w:val="center"/>
            <w:hideMark/>
          </w:tcPr>
          <w:p w14:paraId="652258B2"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34 614</w:t>
            </w:r>
          </w:p>
        </w:tc>
        <w:tc>
          <w:tcPr>
            <w:tcW w:w="502" w:type="pct"/>
            <w:tcBorders>
              <w:top w:val="single" w:sz="4" w:space="0" w:color="auto"/>
              <w:left w:val="single" w:sz="4" w:space="0" w:color="auto"/>
              <w:bottom w:val="single" w:sz="4" w:space="0" w:color="auto"/>
              <w:right w:val="single" w:sz="4" w:space="0" w:color="auto"/>
            </w:tcBorders>
            <w:vAlign w:val="center"/>
            <w:hideMark/>
          </w:tcPr>
          <w:p w14:paraId="71B18D7C"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26 691</w:t>
            </w:r>
          </w:p>
        </w:tc>
        <w:tc>
          <w:tcPr>
            <w:tcW w:w="502" w:type="pct"/>
            <w:tcBorders>
              <w:top w:val="single" w:sz="4" w:space="0" w:color="auto"/>
              <w:left w:val="single" w:sz="4" w:space="0" w:color="auto"/>
              <w:bottom w:val="single" w:sz="4" w:space="0" w:color="auto"/>
              <w:right w:val="single" w:sz="4" w:space="0" w:color="auto"/>
            </w:tcBorders>
            <w:vAlign w:val="center"/>
            <w:hideMark/>
          </w:tcPr>
          <w:p w14:paraId="438DD2AC"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9 804</w:t>
            </w:r>
          </w:p>
        </w:tc>
        <w:tc>
          <w:tcPr>
            <w:tcW w:w="502" w:type="pct"/>
            <w:tcBorders>
              <w:top w:val="single" w:sz="4" w:space="0" w:color="auto"/>
              <w:left w:val="single" w:sz="4" w:space="0" w:color="auto"/>
              <w:bottom w:val="single" w:sz="4" w:space="0" w:color="auto"/>
              <w:right w:val="single" w:sz="4" w:space="0" w:color="auto"/>
            </w:tcBorders>
            <w:vAlign w:val="center"/>
            <w:hideMark/>
          </w:tcPr>
          <w:p w14:paraId="32D7D771"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3 000</w:t>
            </w:r>
          </w:p>
        </w:tc>
        <w:tc>
          <w:tcPr>
            <w:tcW w:w="502" w:type="pct"/>
            <w:tcBorders>
              <w:top w:val="single" w:sz="4" w:space="0" w:color="auto"/>
              <w:left w:val="single" w:sz="4" w:space="0" w:color="auto"/>
              <w:bottom w:val="single" w:sz="4" w:space="0" w:color="auto"/>
              <w:right w:val="single" w:sz="4" w:space="0" w:color="auto"/>
            </w:tcBorders>
            <w:vAlign w:val="center"/>
            <w:hideMark/>
          </w:tcPr>
          <w:p w14:paraId="1D70E46B"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0</w:t>
            </w:r>
          </w:p>
        </w:tc>
      </w:tr>
      <w:tr w:rsidR="004315D4" w:rsidRPr="00006053" w14:paraId="76099E64" w14:textId="77777777" w:rsidTr="00DD32D0">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4ABFB420" w14:textId="77777777" w:rsidR="004315D4" w:rsidRPr="00006053" w:rsidRDefault="004315D4" w:rsidP="00DD32D0">
            <w:pPr>
              <w:tabs>
                <w:tab w:val="left" w:pos="720"/>
              </w:tabs>
              <w:autoSpaceDE w:val="0"/>
              <w:autoSpaceDN w:val="0"/>
              <w:adjustRightInd w:val="0"/>
              <w:ind w:right="18"/>
              <w:jc w:val="left"/>
              <w:rPr>
                <w:sz w:val="20"/>
                <w:szCs w:val="20"/>
                <w:lang w:val="fr-FR"/>
              </w:rPr>
            </w:pPr>
            <w:r w:rsidRPr="00006053">
              <w:rPr>
                <w:sz w:val="20"/>
                <w:szCs w:val="20"/>
                <w:lang w:val="fr-FR"/>
              </w:rPr>
              <w:t>Tonnes PAO</w:t>
            </w:r>
          </w:p>
        </w:tc>
        <w:tc>
          <w:tcPr>
            <w:tcW w:w="502" w:type="pct"/>
            <w:tcBorders>
              <w:top w:val="single" w:sz="4" w:space="0" w:color="auto"/>
              <w:left w:val="single" w:sz="4" w:space="0" w:color="auto"/>
              <w:bottom w:val="single" w:sz="4" w:space="0" w:color="auto"/>
              <w:right w:val="single" w:sz="4" w:space="0" w:color="auto"/>
            </w:tcBorders>
            <w:vAlign w:val="center"/>
            <w:hideMark/>
          </w:tcPr>
          <w:p w14:paraId="376E0079"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5 392,20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1214FB6D"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4 449,60</w:t>
            </w:r>
          </w:p>
        </w:tc>
        <w:tc>
          <w:tcPr>
            <w:tcW w:w="502" w:type="pct"/>
            <w:tcBorders>
              <w:top w:val="single" w:sz="4" w:space="0" w:color="auto"/>
              <w:left w:val="single" w:sz="4" w:space="0" w:color="auto"/>
              <w:bottom w:val="single" w:sz="4" w:space="0" w:color="auto"/>
              <w:right w:val="single" w:sz="4" w:space="0" w:color="auto"/>
            </w:tcBorders>
            <w:vAlign w:val="center"/>
            <w:hideMark/>
          </w:tcPr>
          <w:p w14:paraId="49FE336D"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3 774,50</w:t>
            </w:r>
          </w:p>
        </w:tc>
        <w:tc>
          <w:tcPr>
            <w:tcW w:w="502" w:type="pct"/>
            <w:tcBorders>
              <w:top w:val="single" w:sz="4" w:space="0" w:color="auto"/>
              <w:left w:val="single" w:sz="4" w:space="0" w:color="auto"/>
              <w:bottom w:val="single" w:sz="4" w:space="0" w:color="auto"/>
              <w:right w:val="single" w:sz="4" w:space="0" w:color="auto"/>
            </w:tcBorders>
            <w:vAlign w:val="center"/>
            <w:hideMark/>
          </w:tcPr>
          <w:p w14:paraId="3807CA98"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2 965,70</w:t>
            </w:r>
          </w:p>
        </w:tc>
        <w:tc>
          <w:tcPr>
            <w:tcW w:w="502" w:type="pct"/>
            <w:tcBorders>
              <w:top w:val="single" w:sz="4" w:space="0" w:color="auto"/>
              <w:left w:val="single" w:sz="4" w:space="0" w:color="auto"/>
              <w:bottom w:val="single" w:sz="4" w:space="0" w:color="auto"/>
              <w:right w:val="single" w:sz="4" w:space="0" w:color="auto"/>
            </w:tcBorders>
            <w:vAlign w:val="center"/>
            <w:hideMark/>
          </w:tcPr>
          <w:p w14:paraId="1DF3F593"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1 078,40</w:t>
            </w:r>
          </w:p>
        </w:tc>
        <w:tc>
          <w:tcPr>
            <w:tcW w:w="502" w:type="pct"/>
            <w:tcBorders>
              <w:top w:val="single" w:sz="4" w:space="0" w:color="auto"/>
              <w:left w:val="single" w:sz="4" w:space="0" w:color="auto"/>
              <w:bottom w:val="single" w:sz="4" w:space="0" w:color="auto"/>
              <w:right w:val="single" w:sz="4" w:space="0" w:color="auto"/>
            </w:tcBorders>
            <w:vAlign w:val="center"/>
            <w:hideMark/>
          </w:tcPr>
          <w:p w14:paraId="3320BF67"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330,00</w:t>
            </w:r>
          </w:p>
        </w:tc>
        <w:tc>
          <w:tcPr>
            <w:tcW w:w="502" w:type="pct"/>
            <w:tcBorders>
              <w:top w:val="single" w:sz="4" w:space="0" w:color="auto"/>
              <w:left w:val="single" w:sz="4" w:space="0" w:color="auto"/>
              <w:bottom w:val="single" w:sz="4" w:space="0" w:color="auto"/>
              <w:right w:val="single" w:sz="4" w:space="0" w:color="auto"/>
            </w:tcBorders>
            <w:vAlign w:val="center"/>
            <w:hideMark/>
          </w:tcPr>
          <w:p w14:paraId="0A5B9256"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0</w:t>
            </w:r>
          </w:p>
        </w:tc>
      </w:tr>
      <w:tr w:rsidR="004315D4" w:rsidRPr="00006053" w14:paraId="6598F8B4" w14:textId="77777777" w:rsidTr="00DD32D0">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6A0E6886" w14:textId="77777777" w:rsidR="004315D4" w:rsidRPr="00006053" w:rsidRDefault="004315D4" w:rsidP="00DD32D0">
            <w:pPr>
              <w:tabs>
                <w:tab w:val="left" w:pos="720"/>
              </w:tabs>
              <w:autoSpaceDE w:val="0"/>
              <w:autoSpaceDN w:val="0"/>
              <w:adjustRightInd w:val="0"/>
              <w:ind w:right="18"/>
              <w:jc w:val="left"/>
              <w:rPr>
                <w:sz w:val="20"/>
                <w:szCs w:val="20"/>
                <w:lang w:val="fr-FR"/>
              </w:rPr>
            </w:pPr>
            <w:r w:rsidRPr="00006053">
              <w:rPr>
                <w:sz w:val="20"/>
                <w:szCs w:val="20"/>
                <w:lang w:val="fr-FR"/>
              </w:rPr>
              <w:t>Réduction (tonnes PAO)</w:t>
            </w:r>
          </w:p>
        </w:tc>
        <w:tc>
          <w:tcPr>
            <w:tcW w:w="502" w:type="pct"/>
            <w:tcBorders>
              <w:top w:val="single" w:sz="4" w:space="0" w:color="auto"/>
              <w:left w:val="single" w:sz="4" w:space="0" w:color="auto"/>
              <w:bottom w:val="single" w:sz="4" w:space="0" w:color="auto"/>
              <w:right w:val="single" w:sz="4" w:space="0" w:color="auto"/>
            </w:tcBorders>
            <w:vAlign w:val="center"/>
          </w:tcPr>
          <w:p w14:paraId="45CCC2CF"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502" w:type="pct"/>
            <w:tcBorders>
              <w:top w:val="single" w:sz="4" w:space="0" w:color="auto"/>
              <w:left w:val="single" w:sz="4" w:space="0" w:color="auto"/>
              <w:bottom w:val="single" w:sz="4" w:space="0" w:color="auto"/>
              <w:right w:val="single" w:sz="4" w:space="0" w:color="auto"/>
            </w:tcBorders>
            <w:vAlign w:val="center"/>
          </w:tcPr>
          <w:p w14:paraId="5B5A48C7"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502" w:type="pct"/>
            <w:tcBorders>
              <w:top w:val="single" w:sz="4" w:space="0" w:color="auto"/>
              <w:left w:val="single" w:sz="4" w:space="0" w:color="auto"/>
              <w:bottom w:val="single" w:sz="4" w:space="0" w:color="auto"/>
              <w:right w:val="single" w:sz="4" w:space="0" w:color="auto"/>
            </w:tcBorders>
            <w:vAlign w:val="center"/>
          </w:tcPr>
          <w:p w14:paraId="31A6E25F"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675,10</w:t>
            </w:r>
          </w:p>
        </w:tc>
        <w:tc>
          <w:tcPr>
            <w:tcW w:w="502" w:type="pct"/>
            <w:tcBorders>
              <w:top w:val="single" w:sz="4" w:space="0" w:color="auto"/>
              <w:left w:val="single" w:sz="4" w:space="0" w:color="auto"/>
              <w:bottom w:val="single" w:sz="4" w:space="0" w:color="auto"/>
              <w:right w:val="single" w:sz="4" w:space="0" w:color="auto"/>
            </w:tcBorders>
            <w:vAlign w:val="center"/>
          </w:tcPr>
          <w:p w14:paraId="6A471573"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808,80</w:t>
            </w:r>
          </w:p>
        </w:tc>
        <w:tc>
          <w:tcPr>
            <w:tcW w:w="502" w:type="pct"/>
            <w:tcBorders>
              <w:top w:val="single" w:sz="4" w:space="0" w:color="auto"/>
              <w:left w:val="single" w:sz="4" w:space="0" w:color="auto"/>
              <w:bottom w:val="single" w:sz="4" w:space="0" w:color="auto"/>
              <w:right w:val="single" w:sz="4" w:space="0" w:color="auto"/>
            </w:tcBorders>
            <w:vAlign w:val="center"/>
          </w:tcPr>
          <w:p w14:paraId="440ECCCC"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1 887,30</w:t>
            </w:r>
          </w:p>
        </w:tc>
        <w:tc>
          <w:tcPr>
            <w:tcW w:w="502" w:type="pct"/>
            <w:tcBorders>
              <w:top w:val="single" w:sz="4" w:space="0" w:color="auto"/>
              <w:left w:val="single" w:sz="4" w:space="0" w:color="auto"/>
              <w:bottom w:val="single" w:sz="4" w:space="0" w:color="auto"/>
              <w:right w:val="single" w:sz="4" w:space="0" w:color="auto"/>
            </w:tcBorders>
            <w:vAlign w:val="center"/>
          </w:tcPr>
          <w:p w14:paraId="06D376CB"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748,40</w:t>
            </w:r>
          </w:p>
        </w:tc>
        <w:tc>
          <w:tcPr>
            <w:tcW w:w="502" w:type="pct"/>
            <w:tcBorders>
              <w:top w:val="single" w:sz="4" w:space="0" w:color="auto"/>
              <w:left w:val="single" w:sz="4" w:space="0" w:color="auto"/>
              <w:bottom w:val="single" w:sz="4" w:space="0" w:color="auto"/>
              <w:right w:val="single" w:sz="4" w:space="0" w:color="auto"/>
            </w:tcBorders>
            <w:vAlign w:val="center"/>
          </w:tcPr>
          <w:p w14:paraId="79810490"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333,00</w:t>
            </w:r>
          </w:p>
        </w:tc>
      </w:tr>
      <w:tr w:rsidR="004315D4" w:rsidRPr="00006053" w14:paraId="19F528C0" w14:textId="77777777" w:rsidTr="00DD32D0">
        <w:tc>
          <w:tcPr>
            <w:tcW w:w="1485" w:type="pct"/>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3889FCEA" w14:textId="77777777" w:rsidR="004315D4" w:rsidRPr="00006053" w:rsidRDefault="004315D4" w:rsidP="00DD32D0">
            <w:pPr>
              <w:tabs>
                <w:tab w:val="left" w:pos="720"/>
              </w:tabs>
              <w:autoSpaceDE w:val="0"/>
              <w:autoSpaceDN w:val="0"/>
              <w:adjustRightInd w:val="0"/>
              <w:ind w:right="18"/>
              <w:jc w:val="left"/>
              <w:rPr>
                <w:sz w:val="20"/>
                <w:szCs w:val="20"/>
                <w:lang w:val="fr-FR"/>
              </w:rPr>
            </w:pPr>
            <w:r w:rsidRPr="00006053">
              <w:rPr>
                <w:sz w:val="20"/>
                <w:szCs w:val="20"/>
                <w:lang w:val="fr-FR"/>
              </w:rPr>
              <w:t>Réduction à partir du point de départ (%)</w:t>
            </w:r>
          </w:p>
        </w:tc>
        <w:tc>
          <w:tcPr>
            <w:tcW w:w="502" w:type="pct"/>
            <w:tcBorders>
              <w:top w:val="single" w:sz="4" w:space="0" w:color="auto"/>
              <w:left w:val="single" w:sz="4" w:space="0" w:color="auto"/>
              <w:bottom w:val="single" w:sz="4" w:space="0" w:color="auto"/>
              <w:right w:val="single" w:sz="4" w:space="0" w:color="auto"/>
            </w:tcBorders>
            <w:vAlign w:val="center"/>
          </w:tcPr>
          <w:p w14:paraId="20B86996"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502" w:type="pct"/>
            <w:tcBorders>
              <w:top w:val="single" w:sz="4" w:space="0" w:color="auto"/>
              <w:left w:val="single" w:sz="4" w:space="0" w:color="auto"/>
              <w:bottom w:val="single" w:sz="4" w:space="0" w:color="auto"/>
              <w:right w:val="single" w:sz="4" w:space="0" w:color="auto"/>
            </w:tcBorders>
            <w:vAlign w:val="center"/>
          </w:tcPr>
          <w:p w14:paraId="5DB76B65" w14:textId="77777777" w:rsidR="004315D4" w:rsidRPr="00006053" w:rsidRDefault="004315D4" w:rsidP="00DD32D0">
            <w:pPr>
              <w:tabs>
                <w:tab w:val="left" w:pos="720"/>
              </w:tabs>
              <w:autoSpaceDE w:val="0"/>
              <w:autoSpaceDN w:val="0"/>
              <w:adjustRightInd w:val="0"/>
              <w:ind w:right="18"/>
              <w:jc w:val="right"/>
              <w:rPr>
                <w:sz w:val="20"/>
                <w:szCs w:val="20"/>
                <w:lang w:val="fr-FR"/>
              </w:rPr>
            </w:pPr>
          </w:p>
        </w:tc>
        <w:tc>
          <w:tcPr>
            <w:tcW w:w="502" w:type="pct"/>
            <w:tcBorders>
              <w:top w:val="single" w:sz="4" w:space="0" w:color="auto"/>
              <w:left w:val="single" w:sz="4" w:space="0" w:color="auto"/>
              <w:bottom w:val="single" w:sz="4" w:space="0" w:color="auto"/>
              <w:right w:val="single" w:sz="4" w:space="0" w:color="auto"/>
            </w:tcBorders>
            <w:vAlign w:val="center"/>
          </w:tcPr>
          <w:p w14:paraId="609FDB9B"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30</w:t>
            </w:r>
          </w:p>
        </w:tc>
        <w:tc>
          <w:tcPr>
            <w:tcW w:w="502" w:type="pct"/>
            <w:tcBorders>
              <w:top w:val="single" w:sz="4" w:space="0" w:color="auto"/>
              <w:left w:val="single" w:sz="4" w:space="0" w:color="auto"/>
              <w:bottom w:val="single" w:sz="4" w:space="0" w:color="auto"/>
              <w:right w:val="single" w:sz="4" w:space="0" w:color="auto"/>
            </w:tcBorders>
            <w:vAlign w:val="center"/>
          </w:tcPr>
          <w:p w14:paraId="6FB8A1F2"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45</w:t>
            </w:r>
          </w:p>
        </w:tc>
        <w:tc>
          <w:tcPr>
            <w:tcW w:w="502" w:type="pct"/>
            <w:tcBorders>
              <w:top w:val="single" w:sz="4" w:space="0" w:color="auto"/>
              <w:left w:val="single" w:sz="4" w:space="0" w:color="auto"/>
              <w:bottom w:val="single" w:sz="4" w:space="0" w:color="auto"/>
              <w:right w:val="single" w:sz="4" w:space="0" w:color="auto"/>
            </w:tcBorders>
            <w:vAlign w:val="center"/>
          </w:tcPr>
          <w:p w14:paraId="1929BC8C"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80</w:t>
            </w:r>
          </w:p>
        </w:tc>
        <w:tc>
          <w:tcPr>
            <w:tcW w:w="502" w:type="pct"/>
            <w:tcBorders>
              <w:top w:val="single" w:sz="4" w:space="0" w:color="auto"/>
              <w:left w:val="single" w:sz="4" w:space="0" w:color="auto"/>
              <w:bottom w:val="single" w:sz="4" w:space="0" w:color="auto"/>
              <w:right w:val="single" w:sz="4" w:space="0" w:color="auto"/>
            </w:tcBorders>
            <w:vAlign w:val="center"/>
          </w:tcPr>
          <w:p w14:paraId="7133159B"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94</w:t>
            </w:r>
          </w:p>
        </w:tc>
        <w:tc>
          <w:tcPr>
            <w:tcW w:w="502" w:type="pct"/>
            <w:tcBorders>
              <w:top w:val="single" w:sz="4" w:space="0" w:color="auto"/>
              <w:left w:val="single" w:sz="4" w:space="0" w:color="auto"/>
              <w:bottom w:val="single" w:sz="4" w:space="0" w:color="auto"/>
              <w:right w:val="single" w:sz="4" w:space="0" w:color="auto"/>
            </w:tcBorders>
            <w:vAlign w:val="center"/>
          </w:tcPr>
          <w:p w14:paraId="4FD0D7D7" w14:textId="77777777" w:rsidR="004315D4" w:rsidRPr="00006053" w:rsidRDefault="004315D4" w:rsidP="00DD32D0">
            <w:pPr>
              <w:tabs>
                <w:tab w:val="left" w:pos="720"/>
              </w:tabs>
              <w:autoSpaceDE w:val="0"/>
              <w:autoSpaceDN w:val="0"/>
              <w:adjustRightInd w:val="0"/>
              <w:ind w:right="18"/>
              <w:jc w:val="right"/>
              <w:rPr>
                <w:sz w:val="20"/>
                <w:szCs w:val="20"/>
                <w:lang w:val="fr-FR"/>
              </w:rPr>
            </w:pPr>
            <w:r w:rsidRPr="00006053">
              <w:rPr>
                <w:sz w:val="20"/>
                <w:szCs w:val="20"/>
                <w:lang w:val="fr-FR"/>
              </w:rPr>
              <w:t>100</w:t>
            </w:r>
          </w:p>
        </w:tc>
      </w:tr>
    </w:tbl>
    <w:p w14:paraId="6D2918D3" w14:textId="77777777" w:rsidR="004315D4" w:rsidRPr="00006053" w:rsidRDefault="004315D4" w:rsidP="004315D4">
      <w:pPr>
        <w:rPr>
          <w:i/>
          <w:lang w:val="fr-FR"/>
        </w:rPr>
      </w:pPr>
    </w:p>
    <w:p w14:paraId="5CAA5701" w14:textId="77777777" w:rsidR="004315D4" w:rsidRPr="00006053" w:rsidRDefault="004315D4" w:rsidP="004315D4">
      <w:pPr>
        <w:keepNext/>
        <w:keepLines/>
        <w:rPr>
          <w:u w:val="single"/>
          <w:lang w:val="fr-FR"/>
        </w:rPr>
      </w:pPr>
      <w:r w:rsidRPr="00006053">
        <w:rPr>
          <w:u w:val="single"/>
          <w:lang w:val="fr-FR"/>
        </w:rPr>
        <w:t>Stratégie d’élimination des HCFC relative au plan sectoriel des mousses PU pour 2021-2026</w:t>
      </w:r>
    </w:p>
    <w:p w14:paraId="0DD8A10D" w14:textId="77777777" w:rsidR="004315D4" w:rsidRPr="00006053" w:rsidRDefault="004315D4" w:rsidP="004315D4">
      <w:pPr>
        <w:keepNext/>
        <w:keepLines/>
        <w:rPr>
          <w:lang w:val="fr-FR"/>
        </w:rPr>
      </w:pPr>
    </w:p>
    <w:p w14:paraId="4AA7217A" w14:textId="77777777" w:rsidR="004315D4" w:rsidRPr="00006053" w:rsidRDefault="004315D4" w:rsidP="004315D4">
      <w:pPr>
        <w:pStyle w:val="Heading1"/>
        <w:rPr>
          <w:lang w:val="fr-FR"/>
        </w:rPr>
      </w:pPr>
      <w:r w:rsidRPr="00006053">
        <w:rPr>
          <w:lang w:val="fr-FR"/>
        </w:rPr>
        <w:t xml:space="preserve">Lors de la phase II du PGEH, on estimait à l’origine que 2 100 entreprises du secteur de la fabrication de mousse PU consommaient 4 444 tonnes PAO de HCFC-141b, dont 3 639 tonnes PAO étaient admissibles au financement. Le plan proposait d’aider environ 150 entreprises ayant une consommation supérieure à 20 tonnes et d’aider les PME par l’entremise des sociétés de formulation. Le plan d’action révisé propose une aide visant à éliminer 379,30 tonnes PAO grâce à la reconversion d’entreprises prises isolément et par l’entremise de 19 entreprises de formulation qui répercuteront l’assistance technique nécessaire, notamment en mettant au point des formulations de mousse soufflée en faveur des entreprises transformatrices, parmi lesquelles on compte un grand nombre de PME. Le nombre d’entreprises de formulation ou de projets de reconversion individuels à financer pourra être ajusté en fonction des circonstances, au cours de la mise en œuvre. Le plan sectoriel sera soutenu par des éléments relevant des volets des politiques publiques et de l’assistance technique, dont la mise en œuvre sera accélérée compte tenu de la réduction du niveau de financement par rapport à l’approbation initiale. </w:t>
      </w:r>
    </w:p>
    <w:p w14:paraId="08BC102D" w14:textId="77777777" w:rsidR="004315D4" w:rsidRPr="00006053" w:rsidRDefault="004315D4" w:rsidP="004315D4">
      <w:pPr>
        <w:pStyle w:val="Heading1"/>
        <w:rPr>
          <w:lang w:val="fr-FR"/>
        </w:rPr>
      </w:pPr>
      <w:r w:rsidRPr="00006053">
        <w:rPr>
          <w:lang w:val="fr-FR"/>
        </w:rPr>
        <w:t>La mise en œuvre du secteur des mousses PU se heurte aux difficultés suivantes : la forte baisse du financement issu du Fonds multilatéral ; l’absence de motivation, pour la plupart des entreprises de mousse PU, à éliminer le HCFC-141b (un agent gonflant peu coûteux, performant, sûr et bien connu) en raison des investissements initiaux que nécessite l’adoption de solutions de remplacement ; et des PME éparses, faiblement dotées en capital et disposant de capacités limitées en termes de technique et de gestion, ce qui rend ardue et onéreuse la supervision exercée par le Gouvernement.</w:t>
      </w:r>
    </w:p>
    <w:p w14:paraId="31C5536F" w14:textId="77777777" w:rsidR="004315D4" w:rsidRPr="00006053" w:rsidRDefault="004315D4" w:rsidP="004315D4">
      <w:pPr>
        <w:pStyle w:val="Heading1"/>
        <w:rPr>
          <w:lang w:val="fr-FR"/>
        </w:rPr>
      </w:pPr>
      <w:r w:rsidRPr="00006053">
        <w:rPr>
          <w:lang w:val="fr-FR"/>
        </w:rPr>
        <w:t xml:space="preserve">La stratégie de la phase II du plan sectoriel des mousses PU encouragera l’application de technologies de remplacement respectueuses de l’environnement et à faible PRG dans le secteur ; guidera l’élimination, à l’aide de politiques publiques et de réglementations ; améliorera encore le mécanisme de supervision ; et renforcera les capacités à surveiller le secteur et à y mener des inspections.  En ce qui concerne le secteur manufacturier, la stratégie permettra de renforcer la formation technique et d’encourager les entreprises à éliminer elles-mêmes le HCFC-141b ; soutiendra la reconversion des entreprises montrant un potentiel de démonstration et une rentabilité élevée ; restreindra l’approvisionnement en matières premières nécessaires à la formulation des mélanges utilisés pour la fabrication de mousses quand ceux-ci contiennent du HCFC-141b, limitant ainsi le recours à cette substance </w:t>
      </w:r>
      <w:r w:rsidRPr="00006053">
        <w:rPr>
          <w:lang w:val="fr-FR"/>
        </w:rPr>
        <w:lastRenderedPageBreak/>
        <w:t>au sein des centres de production ; et renforcera l’appui technique apporté aux entreprises de formulation vis-à-vis des PME qui entreprennent elles-mêmes leur reconversion.</w:t>
      </w:r>
    </w:p>
    <w:p w14:paraId="7A1E8EEE" w14:textId="77777777" w:rsidR="004315D4" w:rsidRPr="00006053" w:rsidRDefault="004315D4" w:rsidP="004315D4">
      <w:pPr>
        <w:pStyle w:val="Heading1"/>
        <w:rPr>
          <w:lang w:val="fr-FR"/>
        </w:rPr>
      </w:pPr>
      <w:r w:rsidRPr="00006053">
        <w:rPr>
          <w:lang w:val="fr-FR"/>
        </w:rPr>
        <w:t>Les activités du plan d’action relatif à la phase II sont regroupées en quatre volets : politiques publiques et réglementation ; activités d’élimination au sein des entreprises ; activités d’assistance technique ; et gestion de projet.</w:t>
      </w:r>
    </w:p>
    <w:p w14:paraId="015E36DA" w14:textId="77777777" w:rsidR="004315D4" w:rsidRPr="00006053" w:rsidRDefault="004315D4" w:rsidP="004315D4">
      <w:pPr>
        <w:keepLines/>
        <w:widowControl w:val="0"/>
        <w:spacing w:before="260" w:after="260"/>
        <w:outlineLvl w:val="1"/>
        <w:rPr>
          <w:rFonts w:eastAsia="SimSun"/>
          <w:bCs/>
          <w:i/>
          <w:lang w:val="fr-FR"/>
        </w:rPr>
      </w:pPr>
      <w:r w:rsidRPr="00006053">
        <w:rPr>
          <w:rFonts w:eastAsia="SimSun"/>
          <w:bCs/>
          <w:i/>
          <w:lang w:val="fr-FR"/>
        </w:rPr>
        <w:t>Politiques publiques et réglementation</w:t>
      </w:r>
    </w:p>
    <w:p w14:paraId="166AFC60" w14:textId="186E0D40" w:rsidR="004315D4" w:rsidRPr="00006053" w:rsidRDefault="004315D4" w:rsidP="004315D4">
      <w:pPr>
        <w:pStyle w:val="Heading1"/>
        <w:widowControl w:val="0"/>
        <w:rPr>
          <w:lang w:val="fr-FR"/>
        </w:rPr>
      </w:pPr>
      <w:r w:rsidRPr="00006053">
        <w:rPr>
          <w:lang w:val="fr-FR"/>
        </w:rPr>
        <w:t>Les objectifs de la politique d’élimination des SAO sont les suivants : veiller à ce que le HCFC-141b soit éliminé de l’industrie des mousses PU, comme prévu, en rédu</w:t>
      </w:r>
      <w:r w:rsidR="00FB33E8">
        <w:rPr>
          <w:lang w:val="fr-FR"/>
        </w:rPr>
        <w:t xml:space="preserve">isant autant que faire se peut </w:t>
      </w:r>
      <w:r w:rsidRPr="00006053">
        <w:rPr>
          <w:lang w:val="fr-FR"/>
        </w:rPr>
        <w:t xml:space="preserve">l’impact négatif de cette élimination sur le développement de l’industrie des mousses ; et   encourager et promouvoir l’adoption de solutions de remplacement respectueuses de l’environnement, économiquement acceptables et techniquement réalisables. Le Gouvernement élaborera des politiques et des réglementations à l’appui de cela, tout en exécutant le plan d’élimination du secteur des mousses PU, comme indiqué au tableau 2. Le Gouvernement envisage également d’ajouter une exigence d’achat de produits exempts de SAO à sa politique d’achats écologiques, et </w:t>
      </w:r>
      <w:r w:rsidRPr="00006053">
        <w:rPr>
          <w:szCs w:val="24"/>
          <w:lang w:val="fr-FR"/>
        </w:rPr>
        <w:t>d’adopter une certification et un étiquetage environnemental applicables aux produits qui n’utilisent pas de SAO ou de HFC avec des</w:t>
      </w:r>
      <w:r w:rsidRPr="00006053">
        <w:rPr>
          <w:rFonts w:eastAsia="SimSun"/>
          <w:szCs w:val="24"/>
          <w:lang w:val="fr-FR"/>
        </w:rPr>
        <w:noBreakHyphen/>
        <w:t>valeurs de PRG élevées, de manière à accélérer et à encourager le processus d’élimination.</w:t>
      </w:r>
    </w:p>
    <w:p w14:paraId="2160A4AD" w14:textId="77777777" w:rsidR="004315D4" w:rsidRPr="00006053" w:rsidRDefault="004315D4" w:rsidP="004315D4">
      <w:pPr>
        <w:rPr>
          <w:b/>
          <w:bCs/>
          <w:szCs w:val="21"/>
          <w:lang w:val="fr-FR"/>
        </w:rPr>
      </w:pPr>
      <w:r w:rsidRPr="00006053">
        <w:rPr>
          <w:b/>
          <w:bCs/>
          <w:szCs w:val="21"/>
          <w:lang w:val="fr-FR"/>
        </w:rPr>
        <w:t>Tableau 2. Ensemble global de politiques publiques requises dans le secteur des mousses 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7916"/>
      </w:tblGrid>
      <w:tr w:rsidR="004315D4" w:rsidRPr="00006053" w14:paraId="098AEBDD" w14:textId="77777777" w:rsidTr="00DD32D0">
        <w:trPr>
          <w:tblHeader/>
        </w:trPr>
        <w:tc>
          <w:tcPr>
            <w:tcW w:w="767" w:type="pct"/>
            <w:shd w:val="clear" w:color="auto" w:fill="auto"/>
          </w:tcPr>
          <w:p w14:paraId="139A4FDD" w14:textId="77777777" w:rsidR="004315D4" w:rsidRPr="00006053" w:rsidRDefault="004315D4" w:rsidP="00DD32D0">
            <w:pPr>
              <w:jc w:val="left"/>
              <w:rPr>
                <w:rFonts w:eastAsia="SimSun"/>
                <w:b/>
                <w:bCs/>
                <w:sz w:val="20"/>
                <w:lang w:val="fr-FR"/>
              </w:rPr>
            </w:pPr>
            <w:r w:rsidRPr="00006053">
              <w:rPr>
                <w:rFonts w:eastAsia="SimSun"/>
                <w:b/>
                <w:bCs/>
                <w:sz w:val="20"/>
                <w:szCs w:val="20"/>
                <w:lang w:val="fr-FR"/>
              </w:rPr>
              <w:t>Type de politique</w:t>
            </w:r>
          </w:p>
        </w:tc>
        <w:tc>
          <w:tcPr>
            <w:tcW w:w="4233" w:type="pct"/>
            <w:shd w:val="clear" w:color="auto" w:fill="auto"/>
            <w:vAlign w:val="center"/>
          </w:tcPr>
          <w:p w14:paraId="21F6864D" w14:textId="77777777" w:rsidR="004315D4" w:rsidRPr="00006053" w:rsidRDefault="004315D4" w:rsidP="00DD32D0">
            <w:pPr>
              <w:jc w:val="center"/>
              <w:rPr>
                <w:rFonts w:eastAsia="SimSun"/>
                <w:b/>
                <w:bCs/>
                <w:sz w:val="20"/>
                <w:lang w:val="fr-FR"/>
              </w:rPr>
            </w:pPr>
            <w:r w:rsidRPr="00006053">
              <w:rPr>
                <w:rFonts w:eastAsia="SimSun"/>
                <w:b/>
                <w:bCs/>
                <w:sz w:val="20"/>
                <w:lang w:val="fr-FR"/>
              </w:rPr>
              <w:t>Contenu de la politique</w:t>
            </w:r>
          </w:p>
        </w:tc>
      </w:tr>
      <w:tr w:rsidR="004315D4" w:rsidRPr="00E3303D" w14:paraId="34B2033E" w14:textId="77777777" w:rsidTr="00DD32D0">
        <w:tc>
          <w:tcPr>
            <w:tcW w:w="767" w:type="pct"/>
            <w:vAlign w:val="center"/>
          </w:tcPr>
          <w:p w14:paraId="31873BBD" w14:textId="77777777" w:rsidR="004315D4" w:rsidRPr="00006053" w:rsidRDefault="004315D4" w:rsidP="00DD32D0">
            <w:pPr>
              <w:rPr>
                <w:rFonts w:eastAsia="SimSun"/>
                <w:sz w:val="20"/>
                <w:lang w:val="fr-FR"/>
              </w:rPr>
            </w:pPr>
            <w:r w:rsidRPr="00006053">
              <w:rPr>
                <w:rFonts w:eastAsia="SimSun"/>
                <w:sz w:val="20"/>
                <w:lang w:val="fr-FR"/>
              </w:rPr>
              <w:t>Administration</w:t>
            </w:r>
          </w:p>
        </w:tc>
        <w:tc>
          <w:tcPr>
            <w:tcW w:w="4233" w:type="pct"/>
          </w:tcPr>
          <w:p w14:paraId="2C0B9791" w14:textId="77777777" w:rsidR="004315D4" w:rsidRPr="00006053" w:rsidRDefault="004315D4" w:rsidP="004315D4">
            <w:pPr>
              <w:widowControl w:val="0"/>
              <w:numPr>
                <w:ilvl w:val="0"/>
                <w:numId w:val="21"/>
              </w:numPr>
              <w:jc w:val="left"/>
              <w:rPr>
                <w:rFonts w:eastAsia="SimSun"/>
                <w:sz w:val="20"/>
                <w:lang w:val="fr-FR"/>
              </w:rPr>
            </w:pPr>
            <w:r w:rsidRPr="00006053">
              <w:rPr>
                <w:rFonts w:eastAsia="SimSun"/>
                <w:sz w:val="20"/>
                <w:lang w:val="fr-FR"/>
              </w:rPr>
              <w:t>Centrée sur le contrôle de la production de HCFC-141b au niveau national</w:t>
            </w:r>
          </w:p>
          <w:p w14:paraId="53C265F6" w14:textId="77777777" w:rsidR="004315D4" w:rsidRPr="00006053" w:rsidRDefault="004315D4" w:rsidP="004315D4">
            <w:pPr>
              <w:widowControl w:val="0"/>
              <w:numPr>
                <w:ilvl w:val="0"/>
                <w:numId w:val="21"/>
              </w:numPr>
              <w:jc w:val="left"/>
              <w:rPr>
                <w:rFonts w:eastAsia="SimSun"/>
                <w:sz w:val="20"/>
                <w:lang w:val="fr-FR"/>
              </w:rPr>
            </w:pPr>
            <w:r w:rsidRPr="00006053">
              <w:rPr>
                <w:rFonts w:eastAsia="SimSun"/>
                <w:sz w:val="20"/>
                <w:lang w:val="fr-FR"/>
              </w:rPr>
              <w:t>Inscription d’entreprises ayant mené à bien l’élimination du HCFC-141b à la liste de supervision</w:t>
            </w:r>
          </w:p>
          <w:p w14:paraId="63CE6D1D" w14:textId="77777777" w:rsidR="004315D4" w:rsidRPr="00006053" w:rsidRDefault="004315D4" w:rsidP="004315D4">
            <w:pPr>
              <w:widowControl w:val="0"/>
              <w:numPr>
                <w:ilvl w:val="0"/>
                <w:numId w:val="21"/>
              </w:numPr>
              <w:jc w:val="left"/>
              <w:rPr>
                <w:rFonts w:eastAsia="SimSun"/>
                <w:sz w:val="20"/>
                <w:szCs w:val="20"/>
                <w:lang w:val="fr-FR"/>
              </w:rPr>
            </w:pPr>
            <w:r w:rsidRPr="00006053">
              <w:rPr>
                <w:rFonts w:eastAsia="SimSun"/>
                <w:sz w:val="20"/>
                <w:lang w:val="fr-FR"/>
              </w:rPr>
              <w:t xml:space="preserve">Formulation d’une </w:t>
            </w:r>
            <w:r w:rsidRPr="00006053">
              <w:rPr>
                <w:bCs/>
                <w:iCs/>
                <w:sz w:val="20"/>
                <w:szCs w:val="20"/>
                <w:lang w:val="fr-FR"/>
              </w:rPr>
              <w:t>liste de solutions de remplacement aux HCFC recommandées</w:t>
            </w:r>
          </w:p>
          <w:p w14:paraId="013CD27F" w14:textId="77777777" w:rsidR="004315D4" w:rsidRPr="00006053" w:rsidRDefault="004315D4" w:rsidP="004315D4">
            <w:pPr>
              <w:widowControl w:val="0"/>
              <w:numPr>
                <w:ilvl w:val="0"/>
                <w:numId w:val="21"/>
              </w:numPr>
              <w:jc w:val="left"/>
              <w:rPr>
                <w:rFonts w:eastAsia="SimSun"/>
                <w:sz w:val="20"/>
                <w:lang w:val="fr-FR"/>
              </w:rPr>
            </w:pPr>
            <w:r w:rsidRPr="00006053">
              <w:rPr>
                <w:rFonts w:eastAsia="SimSun"/>
                <w:bCs/>
                <w:iCs/>
                <w:sz w:val="20"/>
                <w:lang w:val="fr-FR"/>
              </w:rPr>
              <w:t xml:space="preserve">Interdiction d’utiliser le HCFC-141b dans les sous-secteurs des chauffe-eaux solaires et de l’isolation des canalisations, à </w:t>
            </w:r>
            <w:r w:rsidRPr="00006053">
              <w:rPr>
                <w:rFonts w:eastAsia="SimSun"/>
                <w:sz w:val="20"/>
                <w:lang w:val="fr-FR"/>
              </w:rPr>
              <w:t>compter du 1</w:t>
            </w:r>
            <w:r w:rsidRPr="00006053">
              <w:rPr>
                <w:rFonts w:eastAsia="SimSun"/>
                <w:sz w:val="20"/>
                <w:szCs w:val="20"/>
                <w:vertAlign w:val="superscript"/>
                <w:lang w:val="fr-FR"/>
              </w:rPr>
              <w:t>er</w:t>
            </w:r>
            <w:r w:rsidRPr="00006053">
              <w:rPr>
                <w:rFonts w:eastAsia="SimSun"/>
                <w:sz w:val="20"/>
                <w:lang w:val="fr-FR"/>
              </w:rPr>
              <w:t xml:space="preserve"> janvier 2023</w:t>
            </w:r>
          </w:p>
          <w:p w14:paraId="15640744" w14:textId="77777777" w:rsidR="004315D4" w:rsidRPr="00006053" w:rsidRDefault="004315D4" w:rsidP="004315D4">
            <w:pPr>
              <w:widowControl w:val="0"/>
              <w:numPr>
                <w:ilvl w:val="0"/>
                <w:numId w:val="21"/>
              </w:numPr>
              <w:jc w:val="left"/>
              <w:rPr>
                <w:rFonts w:eastAsia="SimSun"/>
                <w:sz w:val="20"/>
                <w:lang w:val="fr-FR"/>
              </w:rPr>
            </w:pPr>
            <w:r w:rsidRPr="00006053">
              <w:rPr>
                <w:rFonts w:eastAsia="SimSun"/>
                <w:bCs/>
                <w:iCs/>
                <w:sz w:val="20"/>
                <w:lang w:val="fr-FR"/>
              </w:rPr>
              <w:t xml:space="preserve">Interdiction d’utiliser le HCFC-141b dans les autres sous-secteurs, à l’exception de celui des mousses pulvérisées, à </w:t>
            </w:r>
            <w:r w:rsidRPr="00006053">
              <w:rPr>
                <w:rFonts w:eastAsia="SimSun"/>
                <w:sz w:val="20"/>
                <w:lang w:val="fr-FR"/>
              </w:rPr>
              <w:t>compter du 1</w:t>
            </w:r>
            <w:r w:rsidRPr="00006053">
              <w:rPr>
                <w:rFonts w:eastAsia="SimSun"/>
                <w:sz w:val="20"/>
                <w:szCs w:val="20"/>
                <w:vertAlign w:val="superscript"/>
                <w:lang w:val="fr-FR"/>
              </w:rPr>
              <w:t>er</w:t>
            </w:r>
            <w:r w:rsidRPr="00006053">
              <w:rPr>
                <w:rFonts w:eastAsia="SimSun"/>
                <w:sz w:val="20"/>
                <w:lang w:val="fr-FR"/>
              </w:rPr>
              <w:t xml:space="preserve"> janvier 2025</w:t>
            </w:r>
          </w:p>
          <w:p w14:paraId="397766DD" w14:textId="77777777" w:rsidR="004315D4" w:rsidRPr="00006053" w:rsidRDefault="004315D4" w:rsidP="004315D4">
            <w:pPr>
              <w:widowControl w:val="0"/>
              <w:numPr>
                <w:ilvl w:val="0"/>
                <w:numId w:val="21"/>
              </w:numPr>
              <w:jc w:val="left"/>
              <w:rPr>
                <w:rFonts w:eastAsia="SimSun"/>
                <w:sz w:val="20"/>
                <w:lang w:val="fr-FR"/>
              </w:rPr>
            </w:pPr>
            <w:r w:rsidRPr="00006053">
              <w:rPr>
                <w:rFonts w:eastAsia="SimSun"/>
                <w:bCs/>
                <w:iCs/>
                <w:sz w:val="20"/>
                <w:lang w:val="fr-FR"/>
              </w:rPr>
              <w:t>Interdiction d’utiliser le HCFC-141b dans le secteur des mousses PU à compter du 1</w:t>
            </w:r>
            <w:r w:rsidRPr="00006053">
              <w:rPr>
                <w:rFonts w:eastAsia="SimSun"/>
                <w:sz w:val="20"/>
                <w:szCs w:val="20"/>
                <w:vertAlign w:val="superscript"/>
                <w:lang w:val="fr-FR"/>
              </w:rPr>
              <w:t>er</w:t>
            </w:r>
            <w:r w:rsidRPr="00006053">
              <w:rPr>
                <w:rFonts w:eastAsia="SimSun"/>
                <w:bCs/>
                <w:iCs/>
                <w:sz w:val="20"/>
                <w:lang w:val="fr-FR"/>
              </w:rPr>
              <w:t xml:space="preserve"> janvier 2026</w:t>
            </w:r>
          </w:p>
        </w:tc>
      </w:tr>
      <w:tr w:rsidR="004315D4" w:rsidRPr="00E3303D" w14:paraId="4C5A7C7E" w14:textId="77777777" w:rsidTr="00DD32D0">
        <w:tc>
          <w:tcPr>
            <w:tcW w:w="767" w:type="pct"/>
            <w:vAlign w:val="center"/>
          </w:tcPr>
          <w:p w14:paraId="2C332051" w14:textId="77777777" w:rsidR="004315D4" w:rsidRPr="00006053" w:rsidRDefault="004315D4" w:rsidP="00DD32D0">
            <w:pPr>
              <w:jc w:val="left"/>
              <w:rPr>
                <w:rFonts w:eastAsia="SimSun"/>
                <w:sz w:val="20"/>
                <w:lang w:val="fr-FR"/>
              </w:rPr>
            </w:pPr>
            <w:r w:rsidRPr="00006053">
              <w:rPr>
                <w:rFonts w:eastAsia="SimSun"/>
                <w:sz w:val="20"/>
                <w:lang w:val="fr-FR"/>
              </w:rPr>
              <w:t>Gestion du secteur</w:t>
            </w:r>
          </w:p>
        </w:tc>
        <w:tc>
          <w:tcPr>
            <w:tcW w:w="4233" w:type="pct"/>
          </w:tcPr>
          <w:p w14:paraId="406B7F25" w14:textId="77777777" w:rsidR="004315D4" w:rsidRPr="00006053" w:rsidRDefault="004315D4" w:rsidP="004315D4">
            <w:pPr>
              <w:widowControl w:val="0"/>
              <w:numPr>
                <w:ilvl w:val="0"/>
                <w:numId w:val="18"/>
              </w:numPr>
              <w:ind w:left="160" w:hanging="160"/>
              <w:jc w:val="left"/>
              <w:rPr>
                <w:rFonts w:eastAsia="SimSun"/>
                <w:sz w:val="20"/>
                <w:lang w:val="fr-FR"/>
              </w:rPr>
            </w:pPr>
            <w:r w:rsidRPr="00006053">
              <w:rPr>
                <w:rFonts w:eastAsia="SimSun"/>
                <w:sz w:val="20"/>
                <w:lang w:val="fr-FR"/>
              </w:rPr>
              <w:t>Formulation de politiques industrielles visant à guider le secteur des mousses PU afin d’éliminer le HCFC-141b</w:t>
            </w:r>
          </w:p>
          <w:p w14:paraId="76F97F5C" w14:textId="77777777" w:rsidR="004315D4" w:rsidRPr="00006053" w:rsidRDefault="004315D4" w:rsidP="004315D4">
            <w:pPr>
              <w:widowControl w:val="0"/>
              <w:numPr>
                <w:ilvl w:val="0"/>
                <w:numId w:val="18"/>
              </w:numPr>
              <w:jc w:val="left"/>
              <w:rPr>
                <w:rFonts w:eastAsia="SimSun"/>
                <w:sz w:val="20"/>
                <w:lang w:val="fr-FR"/>
              </w:rPr>
            </w:pPr>
            <w:r w:rsidRPr="00006053">
              <w:rPr>
                <w:rFonts w:eastAsia="SimSun"/>
                <w:sz w:val="20"/>
                <w:lang w:val="fr-FR"/>
              </w:rPr>
              <w:t>Révision des normes techniques et relatives aux produits, en fonction des progrès et des demandes pendant le processus d’élimination</w:t>
            </w:r>
          </w:p>
          <w:p w14:paraId="5C97F337" w14:textId="77777777" w:rsidR="004315D4" w:rsidRPr="00006053" w:rsidRDefault="004315D4" w:rsidP="004315D4">
            <w:pPr>
              <w:widowControl w:val="0"/>
              <w:numPr>
                <w:ilvl w:val="0"/>
                <w:numId w:val="18"/>
              </w:numPr>
              <w:jc w:val="left"/>
              <w:rPr>
                <w:rFonts w:eastAsia="SimSun"/>
                <w:sz w:val="20"/>
                <w:lang w:val="fr-FR"/>
              </w:rPr>
            </w:pPr>
            <w:r w:rsidRPr="00006053">
              <w:rPr>
                <w:rFonts w:eastAsia="SimSun"/>
                <w:sz w:val="20"/>
                <w:lang w:val="fr-FR"/>
              </w:rPr>
              <w:t xml:space="preserve">Suivi de la consommation de HCFC-141b grâce au calcul annuel comparatif des matières </w:t>
            </w:r>
          </w:p>
        </w:tc>
      </w:tr>
      <w:tr w:rsidR="004315D4" w:rsidRPr="00E3303D" w14:paraId="07273600" w14:textId="77777777" w:rsidTr="00DD32D0">
        <w:tc>
          <w:tcPr>
            <w:tcW w:w="767" w:type="pct"/>
            <w:vAlign w:val="center"/>
          </w:tcPr>
          <w:p w14:paraId="4666BCBF" w14:textId="77777777" w:rsidR="004315D4" w:rsidRPr="00006053" w:rsidRDefault="004315D4" w:rsidP="00DD32D0">
            <w:pPr>
              <w:jc w:val="left"/>
              <w:rPr>
                <w:rFonts w:eastAsia="SimSun"/>
                <w:sz w:val="20"/>
                <w:szCs w:val="20"/>
                <w:lang w:val="fr-FR"/>
              </w:rPr>
            </w:pPr>
            <w:r w:rsidRPr="00006053">
              <w:rPr>
                <w:rFonts w:eastAsia="SimSun"/>
                <w:sz w:val="20"/>
                <w:szCs w:val="20"/>
                <w:lang w:val="fr-FR"/>
              </w:rPr>
              <w:t>Évaluation et gestion de la publicité</w:t>
            </w:r>
          </w:p>
        </w:tc>
        <w:tc>
          <w:tcPr>
            <w:tcW w:w="4233" w:type="pct"/>
          </w:tcPr>
          <w:p w14:paraId="6E63D675" w14:textId="77777777" w:rsidR="004315D4" w:rsidRPr="00006053" w:rsidRDefault="004315D4" w:rsidP="004315D4">
            <w:pPr>
              <w:widowControl w:val="0"/>
              <w:numPr>
                <w:ilvl w:val="0"/>
                <w:numId w:val="19"/>
              </w:numPr>
              <w:jc w:val="left"/>
              <w:rPr>
                <w:rFonts w:eastAsia="SimSun"/>
                <w:sz w:val="20"/>
                <w:lang w:val="fr-FR"/>
              </w:rPr>
            </w:pPr>
            <w:r w:rsidRPr="00006053">
              <w:rPr>
                <w:rFonts w:eastAsia="SimSun"/>
                <w:sz w:val="20"/>
                <w:lang w:val="fr-FR"/>
              </w:rPr>
              <w:t>Développement d’un système d’évaluation des technologies de remplacement au HCFC-141b, y compris les progrès de l’élimination, sous-secteur par sous-secteur, leur degré de PRG, l’importance des SAO concernées, les coûts de reconversion, la performance du produit et la sécurité de la production</w:t>
            </w:r>
          </w:p>
        </w:tc>
      </w:tr>
      <w:tr w:rsidR="004315D4" w:rsidRPr="00E3303D" w14:paraId="47970E6F" w14:textId="77777777" w:rsidTr="00DD32D0">
        <w:tc>
          <w:tcPr>
            <w:tcW w:w="767" w:type="pct"/>
            <w:vAlign w:val="center"/>
          </w:tcPr>
          <w:p w14:paraId="064F5C45" w14:textId="77777777" w:rsidR="004315D4" w:rsidRPr="00006053" w:rsidRDefault="004315D4" w:rsidP="00DD32D0">
            <w:pPr>
              <w:jc w:val="left"/>
              <w:rPr>
                <w:rFonts w:eastAsia="SimSun"/>
                <w:sz w:val="20"/>
                <w:lang w:val="fr-FR"/>
              </w:rPr>
            </w:pPr>
            <w:r w:rsidRPr="00006053">
              <w:rPr>
                <w:rFonts w:eastAsia="SimSun"/>
                <w:sz w:val="20"/>
                <w:lang w:val="fr-FR"/>
              </w:rPr>
              <w:t>Supervision et gestion administrative</w:t>
            </w:r>
          </w:p>
        </w:tc>
        <w:tc>
          <w:tcPr>
            <w:tcW w:w="4233" w:type="pct"/>
          </w:tcPr>
          <w:p w14:paraId="2D93745F" w14:textId="77777777" w:rsidR="004315D4" w:rsidRPr="00006053" w:rsidRDefault="004315D4" w:rsidP="004315D4">
            <w:pPr>
              <w:widowControl w:val="0"/>
              <w:numPr>
                <w:ilvl w:val="0"/>
                <w:numId w:val="20"/>
              </w:numPr>
              <w:jc w:val="left"/>
              <w:rPr>
                <w:rFonts w:eastAsia="SimSun"/>
                <w:sz w:val="20"/>
                <w:lang w:val="fr-FR"/>
              </w:rPr>
            </w:pPr>
            <w:r w:rsidRPr="00006053">
              <w:rPr>
                <w:rFonts w:eastAsia="SimSun"/>
                <w:sz w:val="20"/>
                <w:lang w:val="fr-FR"/>
              </w:rPr>
              <w:t>Mise en place d’un réseau national de surveillance atmosphérique des SAO</w:t>
            </w:r>
          </w:p>
          <w:p w14:paraId="0CE427EC" w14:textId="77777777" w:rsidR="004315D4" w:rsidRPr="00006053" w:rsidRDefault="004315D4" w:rsidP="004315D4">
            <w:pPr>
              <w:widowControl w:val="0"/>
              <w:numPr>
                <w:ilvl w:val="0"/>
                <w:numId w:val="20"/>
              </w:numPr>
              <w:jc w:val="left"/>
              <w:rPr>
                <w:rFonts w:eastAsia="SimSun"/>
                <w:sz w:val="20"/>
                <w:lang w:val="fr-FR"/>
              </w:rPr>
            </w:pPr>
            <w:r w:rsidRPr="00006053">
              <w:rPr>
                <w:rFonts w:eastAsia="SimSun"/>
                <w:sz w:val="20"/>
                <w:lang w:val="fr-FR"/>
              </w:rPr>
              <w:t>Définition des responsabilités des autorités locales, formulation des lois et réglementations à l’échelon local, amélioration des systèmes de gestion de la tenue des mains-courantes et renforcement de la supervision et de l’administration de routine</w:t>
            </w:r>
          </w:p>
          <w:p w14:paraId="27DC402F" w14:textId="77777777" w:rsidR="004315D4" w:rsidRPr="00006053" w:rsidRDefault="004315D4" w:rsidP="004315D4">
            <w:pPr>
              <w:widowControl w:val="0"/>
              <w:numPr>
                <w:ilvl w:val="0"/>
                <w:numId w:val="20"/>
              </w:numPr>
              <w:jc w:val="left"/>
              <w:rPr>
                <w:rFonts w:eastAsia="SimSun"/>
                <w:sz w:val="20"/>
                <w:lang w:val="fr-FR"/>
              </w:rPr>
            </w:pPr>
            <w:r w:rsidRPr="00006053">
              <w:rPr>
                <w:sz w:val="20"/>
                <w:lang w:val="fr-FR"/>
              </w:rPr>
              <w:t>Développement d’un programme d’échantillonnage de produits utilisant des détecteurs rapides permettant d’identifier les produits contenant du HCFC-141b (en particulier les produits pour lesquels l’utilisation du HCFC-141b a déjà été interdite au cours de la phase I)</w:t>
            </w:r>
          </w:p>
        </w:tc>
      </w:tr>
    </w:tbl>
    <w:p w14:paraId="09119D7B" w14:textId="77777777" w:rsidR="004315D4" w:rsidRPr="00006053" w:rsidRDefault="004315D4" w:rsidP="004315D4">
      <w:pPr>
        <w:rPr>
          <w:lang w:val="fr-FR"/>
        </w:rPr>
      </w:pPr>
    </w:p>
    <w:p w14:paraId="03D33368" w14:textId="77777777" w:rsidR="004315D4" w:rsidRPr="00006053" w:rsidRDefault="004315D4" w:rsidP="004315D4">
      <w:pPr>
        <w:pStyle w:val="Heading1"/>
        <w:rPr>
          <w:lang w:val="fr-FR"/>
        </w:rPr>
      </w:pPr>
      <w:r w:rsidRPr="00006053">
        <w:rPr>
          <w:lang w:val="fr-FR"/>
        </w:rPr>
        <w:t xml:space="preserve">Le plan d’action révisé pour le secteur des mousses PU comprendra la publication de politiques couvrant l’administration et la gestion de l’industrie (par exemple, l’interdiction de l’utilisation du HCFC-141b dans différents sous-secteurs, la formulation et la mise à jour des normes, la liste d’alternatives au HCFC recommandées). D’autres mesures visant à la supervision et à la gestion de l’industrie sont des </w:t>
      </w:r>
      <w:r w:rsidRPr="00006053">
        <w:rPr>
          <w:lang w:val="fr-FR"/>
        </w:rPr>
        <w:lastRenderedPageBreak/>
        <w:t>activités nationales complémentaires (par exemple, l’établissement d’un réseau atmosphérique national de surveillance des SAO).</w:t>
      </w:r>
    </w:p>
    <w:p w14:paraId="5867C757" w14:textId="77777777" w:rsidR="004315D4" w:rsidRPr="00006053" w:rsidRDefault="004315D4" w:rsidP="004315D4">
      <w:pPr>
        <w:keepNext/>
        <w:keepLines/>
        <w:spacing w:before="260" w:after="260"/>
        <w:outlineLvl w:val="1"/>
        <w:rPr>
          <w:rFonts w:eastAsia="SimSun"/>
          <w:bCs/>
          <w:i/>
          <w:szCs w:val="24"/>
          <w:lang w:val="fr-FR"/>
        </w:rPr>
      </w:pPr>
      <w:r w:rsidRPr="00006053">
        <w:rPr>
          <w:rFonts w:eastAsia="SimSun"/>
          <w:bCs/>
          <w:i/>
          <w:szCs w:val="24"/>
          <w:lang w:val="fr-FR"/>
        </w:rPr>
        <w:t>Activités d’élimination au sein des entreprises</w:t>
      </w:r>
    </w:p>
    <w:p w14:paraId="2057350A" w14:textId="2896D8C1" w:rsidR="004315D4" w:rsidRPr="00006053" w:rsidRDefault="004315D4" w:rsidP="004315D4">
      <w:pPr>
        <w:pStyle w:val="Heading1"/>
        <w:rPr>
          <w:lang w:val="fr-FR"/>
        </w:rPr>
      </w:pPr>
      <w:r w:rsidRPr="00006053">
        <w:rPr>
          <w:lang w:val="fr-FR"/>
        </w:rPr>
        <w:t>La phase II du PGEH a été approuvée pour une élimination accélérée du HCFC-141b dans le secteur des mousses PU</w:t>
      </w:r>
      <w:r w:rsidR="002531EB">
        <w:rPr>
          <w:lang w:val="fr-FR"/>
        </w:rPr>
        <w:t>, notamment une réduction de 30 pour cent</w:t>
      </w:r>
      <w:r w:rsidRPr="00006053">
        <w:rPr>
          <w:lang w:val="fr-FR"/>
        </w:rPr>
        <w:t xml:space="preserve"> en 2018, qui a été menée à bien comme prévu. L’isolation des canalisations et les chauffe-eaux solaires sont les deux sous-secteurs prioritaires pour l’élimination des HCFC ; les objectifs des autres sous-secteurs se baseront sur la faisabilité et le coût des technologies de remplacement à faible PRG, le sous-secteur de la mousse pulvérisée devant achever, pour ce qui le concerne, l’élimination à l’issue de la phase II. </w:t>
      </w:r>
    </w:p>
    <w:p w14:paraId="4C9A91B4" w14:textId="77777777" w:rsidR="004315D4" w:rsidRPr="00006053" w:rsidRDefault="004315D4" w:rsidP="004315D4">
      <w:pPr>
        <w:pStyle w:val="Heading1"/>
        <w:rPr>
          <w:lang w:val="fr-FR"/>
        </w:rPr>
      </w:pPr>
      <w:r w:rsidRPr="00006053">
        <w:rPr>
          <w:lang w:val="fr-FR"/>
        </w:rPr>
        <w:t>Compte tenu du niveau de financement disponible et du fait que la plupart des entreprises du secteur sont des PME, la mise en œuvre des reconversions au niveau des entreprises prise une à une ne suffirait pas à elle seule à atteindre l’élimination des HCFC requise du Gouvernement chinois pour que celui-ci s’acquitte de ses obligations. Par conséquent, la stratégie d’élimination révisée englobe la fourniture d’une assistance technique aux entreprises de mousse PU, principalement aux PME, par le biais des entreprises de formulations. L’allocation des fonds et le nombre de projets, tant dans les entreprises de formulation que dans les entreprises prises isolément, pourraient être ajustés en fonction des circonstances, au cours de la mise en œuvre.</w:t>
      </w:r>
    </w:p>
    <w:p w14:paraId="60D494C2" w14:textId="77777777" w:rsidR="004315D4" w:rsidRPr="00006053" w:rsidRDefault="004315D4" w:rsidP="004315D4">
      <w:pPr>
        <w:pStyle w:val="Heading1"/>
        <w:rPr>
          <w:lang w:val="fr-FR"/>
        </w:rPr>
      </w:pPr>
      <w:r w:rsidRPr="00006053">
        <w:rPr>
          <w:lang w:val="fr-FR"/>
        </w:rPr>
        <w:t>Lors de la mise en œuvre du plan d’action pour le secteur des mousses PU, les technologies à base d’hydrocarbures, d’eau utilisée comme agent de gonflage et de HFO resteront les principales technologies de remplacement.</w:t>
      </w:r>
    </w:p>
    <w:p w14:paraId="565BC5AB" w14:textId="77777777" w:rsidR="004315D4" w:rsidRPr="00006053" w:rsidRDefault="004315D4" w:rsidP="004315D4">
      <w:pPr>
        <w:pStyle w:val="Heading3"/>
        <w:numPr>
          <w:ilvl w:val="0"/>
          <w:numId w:val="0"/>
        </w:numPr>
        <w:rPr>
          <w:i/>
          <w:u w:val="single"/>
          <w:lang w:val="fr-FR"/>
        </w:rPr>
      </w:pPr>
      <w:r w:rsidRPr="00006053">
        <w:rPr>
          <w:i/>
          <w:u w:val="single"/>
          <w:lang w:val="fr-FR"/>
        </w:rPr>
        <w:t>Projets de reconversion pris isolément pour les grandes et moyennes entreprises</w:t>
      </w:r>
    </w:p>
    <w:p w14:paraId="19BB203E" w14:textId="77777777" w:rsidR="004315D4" w:rsidRPr="00006053" w:rsidRDefault="004315D4" w:rsidP="004315D4">
      <w:pPr>
        <w:pStyle w:val="Heading1"/>
        <w:rPr>
          <w:rFonts w:eastAsia="SimSun"/>
          <w:lang w:val="fr-FR"/>
        </w:rPr>
      </w:pPr>
      <w:r w:rsidRPr="00006053">
        <w:rPr>
          <w:rFonts w:eastAsia="SimSun"/>
          <w:lang w:val="fr-FR"/>
        </w:rPr>
        <w:t>Un nombre limité de projets de reconversion individuels (environ 30 à 40) feront l’objet d’une aide de 2021 à 2026 (pour un coût estimé à 9 314 000 $US). Les grandes entreprises mèneront des activités de reconversion à leurs frais. Le financement du Fonds multilatéral fera office d’incitation à une élimination rapide. Ces projets distincts serviront également de démonstration, en permettant aux différents sous-secteurs des mousses d’acquérir de l’expérience et des informations techniques ; ils constitueront l’occasion d’inviter les fournisseurs d’équipements et de matières premières à mettre en place des installations et des solutions acceptables par le marché. À partir de 2021, l’industrie de la mousse PU devrait éliminer environ 2 259 tonnes métriques (soit 248,49 tonnes PAO) de HCFC-141b grâce à ces projets de reconversion considérés isolément.</w:t>
      </w:r>
    </w:p>
    <w:p w14:paraId="3AD0AC50" w14:textId="77777777" w:rsidR="004315D4" w:rsidRPr="00006053" w:rsidRDefault="004315D4" w:rsidP="004315D4">
      <w:pPr>
        <w:adjustRightInd w:val="0"/>
        <w:snapToGrid w:val="0"/>
        <w:spacing w:after="240"/>
        <w:rPr>
          <w:i/>
          <w:u w:val="single"/>
          <w:lang w:val="fr-FR"/>
        </w:rPr>
      </w:pPr>
      <w:r w:rsidRPr="00006053">
        <w:rPr>
          <w:i/>
          <w:u w:val="single"/>
          <w:lang w:val="fr-FR"/>
        </w:rPr>
        <w:t>Projets relatifs aux entreprises de formulation</w:t>
      </w:r>
    </w:p>
    <w:p w14:paraId="726F3EF8" w14:textId="77777777" w:rsidR="004315D4" w:rsidRPr="00006053" w:rsidRDefault="004315D4" w:rsidP="004315D4">
      <w:pPr>
        <w:pStyle w:val="Heading1"/>
        <w:rPr>
          <w:lang w:val="fr-FR"/>
        </w:rPr>
      </w:pPr>
      <w:r w:rsidRPr="00006053">
        <w:rPr>
          <w:lang w:val="fr-FR"/>
        </w:rPr>
        <w:t>Le plan d’action vise à aider les PME, en premier lieu, à entreprendre l’élimination du HCFC-141b par le biais d’entreprises de formulation qui leurs fournissent matières premières, technologies de remplacement et assistance technique. Dix-neuf entreprises de formulation recevront une aide (devisée à 5 450 000 $US). Il s’agit de 15 producteurs d’eau ou de polyols prémélangés à base de HFO et de quatre producteurs de polyols prémélangés à base d’hydrocarbures. La priorité sera accordée aux entreprises de formulations grosses consommatrices de HCFC-141b, à celles situées dans les provinces à forte concentration de consommation de HCFC-141b et de fabricants de mousse, à celles situées dans les provinces où aucun projet lié aux entreprises de formulation n’a encore été mis en œuvre et enfin à celles dont les entreprises transformatrices consomment essentiellement du HFCF-141b.</w:t>
      </w:r>
    </w:p>
    <w:p w14:paraId="30CF9BFE" w14:textId="77777777" w:rsidR="004315D4" w:rsidRPr="00006053" w:rsidRDefault="004315D4" w:rsidP="004315D4">
      <w:pPr>
        <w:pStyle w:val="Heading1"/>
        <w:rPr>
          <w:rFonts w:eastAsia="SimSun"/>
          <w:lang w:val="fr-FR"/>
        </w:rPr>
      </w:pPr>
      <w:r w:rsidRPr="00006053">
        <w:rPr>
          <w:rFonts w:eastAsia="SimSun"/>
          <w:lang w:val="fr-FR"/>
        </w:rPr>
        <w:t xml:space="preserve">Un objectif d’élimination du HCFC-141b sera fixé pour les entreprises de formulation souhaitant participer au projet. Ces entreprises devraient accomplir différentes étapes de réduction, aux années spécifiées dans le contrat, jusqu’à ce que le HCFC-141b soit complètement éliminé et ce, d’ici 2026. Cette méthode permettra de contrôler la consommation de HCFC-141b et fera appel à un réseau de marché pour </w:t>
      </w:r>
      <w:r w:rsidRPr="00006053">
        <w:rPr>
          <w:rFonts w:eastAsia="SimSun"/>
          <w:lang w:val="fr-FR"/>
        </w:rPr>
        <w:lastRenderedPageBreak/>
        <w:t>promouvoir activement les applications de technologies de remplacement, des entreprises de formulation aux entreprises transformatrices.</w:t>
      </w:r>
    </w:p>
    <w:p w14:paraId="27A02855" w14:textId="507AF1D4" w:rsidR="004315D4" w:rsidRPr="00006053" w:rsidRDefault="004315D4" w:rsidP="004315D4">
      <w:pPr>
        <w:pStyle w:val="Heading1"/>
        <w:rPr>
          <w:rFonts w:eastAsia="SimSun"/>
          <w:lang w:val="fr-FR"/>
        </w:rPr>
      </w:pPr>
      <w:r w:rsidRPr="00006053">
        <w:rPr>
          <w:rFonts w:eastAsia="SimSun"/>
          <w:lang w:val="fr-FR"/>
        </w:rPr>
        <w:t xml:space="preserve">Outre les trois capacités de production de polyols prémélangés basés sur </w:t>
      </w:r>
      <w:r w:rsidR="00FB33E8" w:rsidRPr="00006053">
        <w:rPr>
          <w:rFonts w:eastAsia="SimSun"/>
          <w:lang w:val="fr-FR"/>
        </w:rPr>
        <w:t>les hydrocarbures créés</w:t>
      </w:r>
      <w:r w:rsidRPr="00006053">
        <w:rPr>
          <w:rFonts w:eastAsia="SimSun"/>
          <w:lang w:val="fr-FR"/>
        </w:rPr>
        <w:t xml:space="preserve"> au cours de la phase I, il est prévu d’en créer quatre autres pour aider les entreprises situées dans d’autres régions et souhaitant investir dans des équipements de production et dans les adaptations de sécurité nécessaires. Ces entreprises de formulations cherchent à répondre à la demande du marché en polyols prémélangés basés sur les hydrocarbures en réduisant les distances de transports et les risques.</w:t>
      </w:r>
    </w:p>
    <w:p w14:paraId="4637FC2D" w14:textId="77777777" w:rsidR="004315D4" w:rsidRPr="00006053" w:rsidRDefault="004315D4" w:rsidP="004315D4">
      <w:pPr>
        <w:pStyle w:val="Heading1"/>
        <w:rPr>
          <w:lang w:val="fr-FR"/>
        </w:rPr>
      </w:pPr>
      <w:r w:rsidRPr="00006053">
        <w:rPr>
          <w:lang w:val="fr-FR"/>
        </w:rPr>
        <w:t>De plus, il est prévu de mettre en place 15 projets de capacités de production de polyols prémélangés à base d’eau ou de HFO. En reprenant les données relatives aux investissements consentis pour mettre en place des capacités de production appropriées au sein des entreprises de formulations, un financement sera également consenti aux entreprises de formulations pour leur permettre de fournir une assistance technique et sous forme de matières premières aux PME transformatrices, afin d’aider ces dernières à éliminer le HCFC-141b.</w:t>
      </w:r>
    </w:p>
    <w:p w14:paraId="6CD22622" w14:textId="77777777" w:rsidR="004315D4" w:rsidRPr="00006053" w:rsidRDefault="004315D4" w:rsidP="004315D4">
      <w:pPr>
        <w:rPr>
          <w:i/>
          <w:lang w:val="fr-FR"/>
        </w:rPr>
      </w:pPr>
      <w:r w:rsidRPr="00006053">
        <w:rPr>
          <w:i/>
          <w:lang w:val="fr-FR"/>
        </w:rPr>
        <w:t xml:space="preserve">Activités d’assistance technique </w:t>
      </w:r>
    </w:p>
    <w:p w14:paraId="550DD3BF" w14:textId="77777777" w:rsidR="004315D4" w:rsidRPr="00006053" w:rsidRDefault="004315D4" w:rsidP="004315D4">
      <w:pPr>
        <w:rPr>
          <w:lang w:val="fr-FR"/>
        </w:rPr>
      </w:pPr>
    </w:p>
    <w:p w14:paraId="0E8127B9" w14:textId="77777777" w:rsidR="004315D4" w:rsidRPr="00006053" w:rsidRDefault="004315D4" w:rsidP="004315D4">
      <w:pPr>
        <w:pStyle w:val="Heading1"/>
        <w:widowControl w:val="0"/>
        <w:rPr>
          <w:lang w:val="fr-FR"/>
        </w:rPr>
      </w:pPr>
      <w:r w:rsidRPr="00006053">
        <w:rPr>
          <w:lang w:val="fr-FR"/>
        </w:rPr>
        <w:t>La phase II du plan sectoriel des mousses PU continuera à mener des activités d’assistance technique au cours de la période 2021-2026 (pour un coût de 3 380 000 $US), l’objectif étant de garantir la réalisation en temps opportun des objectifs d’élimination et leur durabilité, comme l’indique le tableau 3.</w:t>
      </w:r>
    </w:p>
    <w:p w14:paraId="0BDD95D0" w14:textId="77777777" w:rsidR="004315D4" w:rsidRPr="00006053" w:rsidRDefault="004315D4" w:rsidP="004315D4">
      <w:pPr>
        <w:keepNext/>
        <w:keepLines/>
        <w:widowControl w:val="0"/>
        <w:adjustRightInd w:val="0"/>
        <w:snapToGrid w:val="0"/>
        <w:jc w:val="left"/>
        <w:rPr>
          <w:rFonts w:eastAsia="SimSun"/>
          <w:b/>
          <w:szCs w:val="24"/>
          <w:lang w:val="fr-FR"/>
        </w:rPr>
      </w:pPr>
      <w:r w:rsidRPr="00006053">
        <w:rPr>
          <w:rFonts w:eastAsia="SimSun"/>
          <w:b/>
          <w:szCs w:val="24"/>
          <w:lang w:val="fr-FR"/>
        </w:rPr>
        <w:t xml:space="preserve">Tableau 3. Activités d’assistance technique liées au plan sectoriel des mousses PU </w:t>
      </w:r>
    </w:p>
    <w:tbl>
      <w:tblPr>
        <w:tblW w:w="9535" w:type="dxa"/>
        <w:tblLayout w:type="fixed"/>
        <w:tblLook w:val="0000" w:firstRow="0" w:lastRow="0" w:firstColumn="0" w:lastColumn="0" w:noHBand="0" w:noVBand="0"/>
      </w:tblPr>
      <w:tblGrid>
        <w:gridCol w:w="1885"/>
        <w:gridCol w:w="6480"/>
        <w:gridCol w:w="1170"/>
      </w:tblGrid>
      <w:tr w:rsidR="004315D4" w:rsidRPr="00006053" w14:paraId="07EF8559" w14:textId="77777777" w:rsidTr="00DD32D0">
        <w:trPr>
          <w:tblHeader/>
        </w:trPr>
        <w:tc>
          <w:tcPr>
            <w:tcW w:w="1885"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4EC9097B" w14:textId="77777777" w:rsidR="004315D4" w:rsidRPr="00006053" w:rsidRDefault="004315D4" w:rsidP="00DD32D0">
            <w:pPr>
              <w:keepNext/>
              <w:keepLines/>
              <w:widowControl w:val="0"/>
              <w:tabs>
                <w:tab w:val="left" w:pos="284"/>
              </w:tabs>
              <w:jc w:val="left"/>
              <w:rPr>
                <w:rFonts w:eastAsia="SimSun"/>
                <w:b/>
                <w:sz w:val="20"/>
                <w:szCs w:val="20"/>
                <w:lang w:val="fr-FR"/>
              </w:rPr>
            </w:pPr>
            <w:r w:rsidRPr="00006053">
              <w:rPr>
                <w:rFonts w:eastAsia="SimSun"/>
                <w:b/>
                <w:sz w:val="20"/>
                <w:szCs w:val="20"/>
                <w:lang w:val="fr-FR"/>
              </w:rPr>
              <w:t>Activité</w:t>
            </w:r>
          </w:p>
        </w:tc>
        <w:tc>
          <w:tcPr>
            <w:tcW w:w="6480" w:type="dxa"/>
            <w:tcBorders>
              <w:top w:val="single" w:sz="4" w:space="0" w:color="auto"/>
              <w:left w:val="single" w:sz="4" w:space="0" w:color="auto"/>
              <w:bottom w:val="single" w:sz="4" w:space="0" w:color="auto"/>
              <w:right w:val="single" w:sz="4" w:space="0" w:color="auto"/>
            </w:tcBorders>
            <w:vAlign w:val="center"/>
          </w:tcPr>
          <w:p w14:paraId="117D8103" w14:textId="77777777" w:rsidR="004315D4" w:rsidRPr="00006053" w:rsidRDefault="004315D4" w:rsidP="00DD32D0">
            <w:pPr>
              <w:keepNext/>
              <w:keepLines/>
              <w:widowControl w:val="0"/>
              <w:jc w:val="center"/>
              <w:rPr>
                <w:b/>
                <w:sz w:val="20"/>
                <w:szCs w:val="20"/>
                <w:lang w:val="fr-FR"/>
              </w:rPr>
            </w:pPr>
            <w:r w:rsidRPr="00006053">
              <w:rPr>
                <w:rFonts w:eastAsia="SimSun"/>
                <w:b/>
                <w:sz w:val="20"/>
                <w:szCs w:val="20"/>
                <w:lang w:val="fr-FR"/>
              </w:rPr>
              <w:t>Objectifs</w:t>
            </w: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tcPr>
          <w:p w14:paraId="16CB14F4" w14:textId="77777777" w:rsidR="004315D4" w:rsidRPr="00006053" w:rsidRDefault="004315D4" w:rsidP="00DD32D0">
            <w:pPr>
              <w:keepNext/>
              <w:keepLines/>
              <w:widowControl w:val="0"/>
              <w:jc w:val="center"/>
              <w:rPr>
                <w:rFonts w:eastAsia="SimSun"/>
                <w:b/>
                <w:sz w:val="20"/>
                <w:szCs w:val="20"/>
                <w:lang w:val="fr-FR"/>
              </w:rPr>
            </w:pPr>
            <w:r w:rsidRPr="00006053">
              <w:rPr>
                <w:rFonts w:eastAsia="SimSun"/>
                <w:b/>
                <w:sz w:val="20"/>
                <w:szCs w:val="20"/>
                <w:lang w:val="fr-FR"/>
              </w:rPr>
              <w:t>Coûts ($US)</w:t>
            </w:r>
          </w:p>
        </w:tc>
      </w:tr>
      <w:tr w:rsidR="004315D4" w:rsidRPr="00006053" w14:paraId="68276089"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0ADB5D5C"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Etudes (recherche et développement) portant sur les technologies de remplacement</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1C99447A" w14:textId="77777777" w:rsidR="004315D4" w:rsidRPr="00006053" w:rsidRDefault="004315D4" w:rsidP="00DD32D0">
            <w:pPr>
              <w:jc w:val="left"/>
              <w:rPr>
                <w:rFonts w:eastAsia="SimSun"/>
                <w:sz w:val="20"/>
                <w:szCs w:val="20"/>
                <w:lang w:val="fr-FR"/>
              </w:rPr>
            </w:pPr>
            <w:r w:rsidRPr="00006053">
              <w:rPr>
                <w:rFonts w:eastAsia="SimSun"/>
                <w:sz w:val="20"/>
                <w:szCs w:val="20"/>
                <w:lang w:val="fr-FR"/>
              </w:rPr>
              <w:t>Renforcement des capacités de recherche et d’optimisation des formulations gonflantes faisant appel à des technologies de remplacement, en particulier au sein de PME, par des instituts de recherche invités à participer, via un appel d’offres, par le Bureau de coopération économique extérieure (FECO). Les établissements évalueront les avantages et les inconvénients des effets gonflants proposés comme solutions de remplacement ainsi que la réduction des coûts, et partageront les résultats obtenus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3EE4BCAF"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400 000</w:t>
            </w:r>
          </w:p>
        </w:tc>
      </w:tr>
      <w:tr w:rsidR="004315D4" w:rsidRPr="00006053" w14:paraId="758978C5" w14:textId="77777777" w:rsidTr="00DD32D0">
        <w:tc>
          <w:tcPr>
            <w:tcW w:w="1885" w:type="dxa"/>
            <w:tcBorders>
              <w:top w:val="single" w:sz="4" w:space="0" w:color="auto"/>
              <w:left w:val="single" w:sz="4" w:space="0" w:color="auto"/>
              <w:bottom w:val="single" w:sz="4" w:space="0" w:color="auto"/>
              <w:right w:val="single" w:sz="4" w:space="0" w:color="auto"/>
            </w:tcBorders>
            <w:tcMar>
              <w:left w:w="29" w:type="dxa"/>
              <w:right w:w="0" w:type="dxa"/>
            </w:tcMar>
          </w:tcPr>
          <w:p w14:paraId="49AF553D"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Services de conseils techniques</w:t>
            </w:r>
          </w:p>
        </w:tc>
        <w:tc>
          <w:tcPr>
            <w:tcW w:w="6480" w:type="dxa"/>
            <w:tcBorders>
              <w:top w:val="single" w:sz="4" w:space="0" w:color="auto"/>
              <w:left w:val="single" w:sz="4" w:space="0" w:color="auto"/>
              <w:bottom w:val="single" w:sz="4" w:space="0" w:color="auto"/>
              <w:right w:val="single" w:sz="4" w:space="0" w:color="auto"/>
            </w:tcBorders>
          </w:tcPr>
          <w:p w14:paraId="6665ED75"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Fourniture d’un soutien au FECO pour ce qui concerne les politiques publiques et le développement de technologies de remplacement, l’examen et l’évaluation des sous-projets et la fourniture de commentaires techniques portant sur les vérifications et les présentations données lors des ateliers de formation et des séminaires</w:t>
            </w:r>
          </w:p>
        </w:tc>
        <w:tc>
          <w:tcPr>
            <w:tcW w:w="1170" w:type="dxa"/>
            <w:tcBorders>
              <w:top w:val="single" w:sz="4" w:space="0" w:color="auto"/>
              <w:left w:val="single" w:sz="4" w:space="0" w:color="auto"/>
              <w:bottom w:val="single" w:sz="4" w:space="0" w:color="auto"/>
              <w:right w:val="single" w:sz="4" w:space="0" w:color="auto"/>
            </w:tcBorders>
          </w:tcPr>
          <w:p w14:paraId="6F539BB6"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30 000</w:t>
            </w:r>
          </w:p>
        </w:tc>
      </w:tr>
      <w:tr w:rsidR="004315D4" w:rsidRPr="00006053" w14:paraId="0B79B75B"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35EB0DE3"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Révision des normes industrielles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15807BBC"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 xml:space="preserve">Révision des normes existantes pour les produits en mousse dans différentes applications, en tenant compte des nouvelles propriétés de la mousse lors de l’utilisation de technologies de remplacement, de l’expérience acquise lors de la mise en œuvre de l’étape I et des circonstances d’application des solutions de remplacement </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7D178C99"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250 000</w:t>
            </w:r>
          </w:p>
        </w:tc>
      </w:tr>
      <w:tr w:rsidR="004315D4" w:rsidRPr="00006053" w14:paraId="194F463A"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577BD594"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Évaluation de l’impact des politiques publiques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44BD7F75" w14:textId="77777777" w:rsidR="004315D4" w:rsidRPr="00006053" w:rsidRDefault="004315D4" w:rsidP="00DD32D0">
            <w:pPr>
              <w:jc w:val="left"/>
              <w:rPr>
                <w:rFonts w:eastAsia="SimSun"/>
                <w:sz w:val="20"/>
                <w:szCs w:val="20"/>
                <w:lang w:val="fr-FR"/>
              </w:rPr>
            </w:pPr>
            <w:r w:rsidRPr="00006053">
              <w:rPr>
                <w:rFonts w:eastAsia="SimSun"/>
                <w:sz w:val="20"/>
                <w:szCs w:val="20"/>
                <w:lang w:val="fr-FR"/>
              </w:rPr>
              <w:t xml:space="preserve">Réalisation d’études de faisabilité technique visant à évaluer à l’avance l’impact environnemental, économique et social sur l’industrie des interdictions prévues d’utiliser du HCFC-141b dans différents sous-secteurs de la mousse PU </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34CF8C89"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200 000</w:t>
            </w:r>
          </w:p>
        </w:tc>
      </w:tr>
      <w:tr w:rsidR="004315D4" w:rsidRPr="00006053" w14:paraId="47901E7E"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1145EC79"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Renforcement des capacités des BEE locaux et d’autres secteurs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428DA9C9"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Fourniture d’une assistance aux BEE locaux afin de leur permettre de mieux surveiller la consommation et l’élimination de HCFC-141b dans les régions à forte concentration d’entreprises de mousse PU. Formation sur les connaissances en matière de production de mousse PU, les méthodes d’essai et les points clés, les protocoles d’application et les exemples donnés aux agents chargés de l’application des lois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FB756F7"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500 000</w:t>
            </w:r>
          </w:p>
        </w:tc>
      </w:tr>
      <w:tr w:rsidR="004315D4" w:rsidRPr="00006053" w14:paraId="75D35E48"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7EEE9CAA"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Agence nationale d’appui à la mise en œuvre des cadres (ISA)</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22FD1E3F" w14:textId="77777777" w:rsidR="004315D4" w:rsidRPr="00006053" w:rsidRDefault="004315D4" w:rsidP="00DD32D0">
            <w:pPr>
              <w:jc w:val="left"/>
              <w:rPr>
                <w:rFonts w:eastAsia="SimSun"/>
                <w:sz w:val="20"/>
                <w:szCs w:val="20"/>
                <w:lang w:val="fr-FR"/>
              </w:rPr>
            </w:pPr>
            <w:r w:rsidRPr="00006053">
              <w:rPr>
                <w:rFonts w:eastAsia="SimSun"/>
                <w:sz w:val="20"/>
                <w:szCs w:val="20"/>
                <w:lang w:val="fr-FR"/>
              </w:rPr>
              <w:t>Conseils techniques et soutien de l’ISA au FECO et aux entreprises concernées, notamment la désignation de technologies de remplacement, l’assistance aux entreprises dans la rédaction des plans de mise en œuvre et l’exécution des procédures de vérification technique et d’acceptation des sous-projets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637E0D5C"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830 000</w:t>
            </w:r>
          </w:p>
        </w:tc>
      </w:tr>
      <w:tr w:rsidR="004315D4" w:rsidRPr="00006053" w14:paraId="6F1EB73F"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48D4E485"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lastRenderedPageBreak/>
              <w:t>Vérification de la référence</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2A4F9F9B" w14:textId="77777777" w:rsidR="004315D4" w:rsidRPr="00006053" w:rsidRDefault="004315D4" w:rsidP="00DD32D0">
            <w:pPr>
              <w:jc w:val="left"/>
              <w:rPr>
                <w:rFonts w:eastAsia="SimSun"/>
                <w:sz w:val="20"/>
                <w:szCs w:val="20"/>
                <w:lang w:val="fr-FR"/>
              </w:rPr>
            </w:pPr>
            <w:r w:rsidRPr="00006053">
              <w:rPr>
                <w:rFonts w:eastAsia="SimSun"/>
                <w:sz w:val="20"/>
                <w:szCs w:val="20"/>
                <w:lang w:val="fr-FR"/>
              </w:rPr>
              <w:t>Exécution d’audits de la consommation de référence et de la qualification des entreprises qui demandent à participer aux sous-projets d’élimination</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BAAB641"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290 000</w:t>
            </w:r>
          </w:p>
        </w:tc>
      </w:tr>
      <w:tr w:rsidR="004315D4" w:rsidRPr="00006053" w14:paraId="77892309"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0868F1B6"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Vérification des performances</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3D0D967A"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Vérification de la mise en œuvre des activités d’élimination, des jalons de l’élimination du HCFC-141b, de l’état de l’utilisation des technologies de remplacement et de l’utilisation du financement du Fonds multilatéral par les entreprises bénéficiaires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D52AB79"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290 000</w:t>
            </w:r>
          </w:p>
        </w:tc>
      </w:tr>
      <w:tr w:rsidR="004315D4" w:rsidRPr="00006053" w14:paraId="19A7CDD6"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6312078E"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 xml:space="preserve">Voyages d’étude et échanges </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45B8B305"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Déplacements visant à faciliter le partage d’informations sur les politiques</w:t>
            </w:r>
            <w:r w:rsidRPr="00006053">
              <w:rPr>
                <w:rStyle w:val="CommentReference"/>
                <w:sz w:val="20"/>
                <w:szCs w:val="20"/>
                <w:lang w:val="fr-FR"/>
              </w:rPr>
              <w:t xml:space="preserve"> </w:t>
            </w:r>
            <w:r w:rsidRPr="00006053">
              <w:rPr>
                <w:rFonts w:eastAsia="SimSun"/>
                <w:sz w:val="20"/>
                <w:szCs w:val="20"/>
                <w:lang w:val="fr-FR"/>
              </w:rPr>
              <w:t>et les meilleures pratiques en matière de suivi et d’application, et sur les technologies de remplacement entre les parties prenantes nationales (Gouvernement, associations industrielles et instituts de recherche) et leurs homologues dans les pays non visés à l’article 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tcPr>
          <w:p w14:paraId="59B897E3"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150 000</w:t>
            </w:r>
          </w:p>
        </w:tc>
      </w:tr>
      <w:tr w:rsidR="004315D4" w:rsidRPr="00E3303D" w14:paraId="46B77C7B"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55905392"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 xml:space="preserve">Création d’un réseau académique </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1CE2F729"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Un réseau ayant pour objectif d’aider les entreprises à établir des partenariats avec des universités, des hautes écoles et des instituts de recherche, l’objectif étant de partager leurs connaissances sur les développements dans les secteurs industriels ayant renoncé aux SAO, de promouvoir l’adoption de technologies de remplacement et mettre à jour les mesures prises en termes de politiques publiques</w:t>
            </w:r>
          </w:p>
        </w:tc>
        <w:tc>
          <w:tcPr>
            <w:tcW w:w="1170" w:type="dxa"/>
            <w:vMerge/>
            <w:tcBorders>
              <w:top w:val="single" w:sz="4" w:space="0" w:color="auto"/>
              <w:left w:val="single" w:sz="4" w:space="0" w:color="auto"/>
              <w:bottom w:val="single" w:sz="4" w:space="0" w:color="auto"/>
              <w:right w:val="single" w:sz="4" w:space="0" w:color="auto"/>
            </w:tcBorders>
            <w:shd w:val="clear" w:color="000000" w:fill="FFFFFF"/>
          </w:tcPr>
          <w:p w14:paraId="4A30A1AE" w14:textId="77777777" w:rsidR="004315D4" w:rsidRPr="00006053" w:rsidRDefault="004315D4" w:rsidP="00DD32D0">
            <w:pPr>
              <w:jc w:val="right"/>
              <w:rPr>
                <w:rFonts w:eastAsia="SimSun"/>
                <w:sz w:val="20"/>
                <w:szCs w:val="20"/>
                <w:lang w:val="fr-FR"/>
              </w:rPr>
            </w:pPr>
          </w:p>
        </w:tc>
      </w:tr>
      <w:tr w:rsidR="004315D4" w:rsidRPr="00006053" w14:paraId="066C1316"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tcPr>
          <w:p w14:paraId="082F6696" w14:textId="77777777" w:rsidR="004315D4" w:rsidRPr="00006053" w:rsidRDefault="004315D4" w:rsidP="00DD32D0">
            <w:pPr>
              <w:tabs>
                <w:tab w:val="left" w:pos="284"/>
              </w:tabs>
              <w:jc w:val="left"/>
              <w:rPr>
                <w:rFonts w:eastAsia="SimSun"/>
                <w:sz w:val="20"/>
                <w:szCs w:val="20"/>
                <w:lang w:val="fr-FR"/>
              </w:rPr>
            </w:pPr>
            <w:r w:rsidRPr="00006053">
              <w:rPr>
                <w:rFonts w:eastAsia="SimSun"/>
                <w:sz w:val="20"/>
                <w:szCs w:val="20"/>
                <w:lang w:val="fr-FR"/>
              </w:rPr>
              <w:t>Education et sensibilisation du public</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1D7F2B30" w14:textId="77777777" w:rsidR="004315D4" w:rsidRPr="00006053" w:rsidRDefault="004315D4" w:rsidP="00DD32D0">
            <w:pPr>
              <w:jc w:val="left"/>
              <w:rPr>
                <w:rFonts w:eastAsia="SimSun"/>
                <w:b/>
                <w:sz w:val="20"/>
                <w:szCs w:val="20"/>
                <w:lang w:val="fr-FR"/>
              </w:rPr>
            </w:pPr>
            <w:r w:rsidRPr="00006053">
              <w:rPr>
                <w:rFonts w:eastAsia="SimSun"/>
                <w:sz w:val="20"/>
                <w:szCs w:val="20"/>
                <w:lang w:val="fr-FR"/>
              </w:rPr>
              <w:t>Une stratégie de sensibilisation du public visant à générer le soutien et la participation de l’industrie des mousses et du public et à contribuer à créer une demande de produits plus écologiques dans la construction, l’électroménager et d’autres secteurs, par le truchement de publications, d’affiches et de conférences</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32A887BC"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50 000</w:t>
            </w:r>
          </w:p>
        </w:tc>
      </w:tr>
      <w:tr w:rsidR="004315D4" w:rsidRPr="00006053" w14:paraId="03AC20BE" w14:textId="77777777" w:rsidTr="00DD32D0">
        <w:tc>
          <w:tcPr>
            <w:tcW w:w="188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tcPr>
          <w:p w14:paraId="7B24FA05" w14:textId="77777777" w:rsidR="004315D4" w:rsidRPr="00006053" w:rsidRDefault="004315D4" w:rsidP="00DD32D0">
            <w:pPr>
              <w:tabs>
                <w:tab w:val="left" w:pos="284"/>
              </w:tabs>
              <w:jc w:val="left"/>
              <w:rPr>
                <w:rFonts w:eastAsia="SimSun"/>
                <w:b/>
                <w:sz w:val="20"/>
                <w:szCs w:val="20"/>
                <w:lang w:val="fr-FR"/>
              </w:rPr>
            </w:pPr>
            <w:r w:rsidRPr="00006053">
              <w:rPr>
                <w:rFonts w:eastAsia="SimSun"/>
                <w:b/>
                <w:sz w:val="20"/>
                <w:szCs w:val="20"/>
                <w:lang w:val="fr-FR"/>
              </w:rPr>
              <w:t>Total</w:t>
            </w:r>
          </w:p>
        </w:tc>
        <w:tc>
          <w:tcPr>
            <w:tcW w:w="6480" w:type="dxa"/>
            <w:tcBorders>
              <w:top w:val="single" w:sz="4" w:space="0" w:color="auto"/>
              <w:left w:val="single" w:sz="4" w:space="0" w:color="auto"/>
              <w:bottom w:val="single" w:sz="4" w:space="0" w:color="auto"/>
              <w:right w:val="single" w:sz="4" w:space="0" w:color="auto"/>
            </w:tcBorders>
            <w:shd w:val="clear" w:color="000000" w:fill="FFFFFF"/>
            <w:vAlign w:val="center"/>
          </w:tcPr>
          <w:p w14:paraId="54989983" w14:textId="77777777" w:rsidR="004315D4" w:rsidRPr="00006053" w:rsidRDefault="004315D4" w:rsidP="00DD32D0">
            <w:pPr>
              <w:rPr>
                <w:rFonts w:eastAsia="SimSun"/>
                <w:sz w:val="20"/>
                <w:szCs w:val="20"/>
                <w:lang w:val="fr-FR"/>
              </w:rPr>
            </w:pPr>
          </w:p>
        </w:tc>
        <w:tc>
          <w:tcPr>
            <w:tcW w:w="1170" w:type="dxa"/>
            <w:tcBorders>
              <w:top w:val="single" w:sz="4" w:space="0" w:color="auto"/>
              <w:left w:val="nil"/>
              <w:bottom w:val="single" w:sz="4" w:space="0" w:color="auto"/>
              <w:right w:val="single" w:sz="4" w:space="0" w:color="auto"/>
            </w:tcBorders>
          </w:tcPr>
          <w:p w14:paraId="7D460EA1" w14:textId="77777777" w:rsidR="004315D4" w:rsidRPr="00006053" w:rsidRDefault="004315D4" w:rsidP="00DD32D0">
            <w:pPr>
              <w:jc w:val="right"/>
              <w:rPr>
                <w:rFonts w:eastAsia="SimSun"/>
                <w:b/>
                <w:sz w:val="20"/>
                <w:szCs w:val="20"/>
                <w:lang w:val="fr-FR"/>
              </w:rPr>
            </w:pPr>
            <w:r w:rsidRPr="00006053">
              <w:rPr>
                <w:rFonts w:eastAsia="SimSun"/>
                <w:b/>
                <w:sz w:val="20"/>
                <w:szCs w:val="20"/>
                <w:lang w:val="fr-FR"/>
              </w:rPr>
              <w:t>3 380 000</w:t>
            </w:r>
          </w:p>
        </w:tc>
      </w:tr>
    </w:tbl>
    <w:p w14:paraId="7D70BC03" w14:textId="77777777" w:rsidR="004315D4" w:rsidRPr="00006053" w:rsidRDefault="004315D4" w:rsidP="004315D4">
      <w:pPr>
        <w:rPr>
          <w:lang w:val="fr-FR"/>
        </w:rPr>
      </w:pPr>
    </w:p>
    <w:p w14:paraId="68E9B89F" w14:textId="77777777" w:rsidR="004315D4" w:rsidRPr="00006053" w:rsidRDefault="004315D4" w:rsidP="004315D4">
      <w:pPr>
        <w:keepNext/>
        <w:keepLines/>
        <w:rPr>
          <w:i/>
          <w:lang w:val="fr-FR"/>
        </w:rPr>
      </w:pPr>
      <w:r w:rsidRPr="00006053">
        <w:rPr>
          <w:i/>
          <w:lang w:val="fr-FR"/>
        </w:rPr>
        <w:t>Rapport de mise en œuvre du programme de pays</w:t>
      </w:r>
    </w:p>
    <w:p w14:paraId="695C9D93" w14:textId="77777777" w:rsidR="004315D4" w:rsidRPr="00006053" w:rsidRDefault="004315D4" w:rsidP="004315D4">
      <w:pPr>
        <w:keepNext/>
        <w:keepLines/>
        <w:rPr>
          <w:lang w:val="fr-FR"/>
        </w:rPr>
      </w:pPr>
    </w:p>
    <w:p w14:paraId="21160D3C" w14:textId="77777777" w:rsidR="004315D4" w:rsidRPr="00006053" w:rsidRDefault="004315D4" w:rsidP="004315D4">
      <w:pPr>
        <w:pStyle w:val="Heading1"/>
        <w:keepNext/>
        <w:keepLines/>
        <w:rPr>
          <w:lang w:val="fr-FR"/>
        </w:rPr>
      </w:pPr>
      <w:r w:rsidRPr="00006053">
        <w:rPr>
          <w:lang w:val="fr-FR"/>
        </w:rPr>
        <w:t>L’UGP (pour un coût de 1 056 000 $US) continuera de gérer et de suivre l’exécution du projet. Les activités de l’UGP comprennent : le recrutement des entreprises participant aux activités de reconversion après abandon du HCFC-141b et la surveillance de la mise en œuvre de leurs activités ; l’organisation des vérifications, des réunions d’évaluation et de la mise en service pendant la mise en œuvre du projet et la participation à ces activités ainsi que la mise en place d’une vérification indépendante du bon achèvement des sous-projets ; l’examen des documents de projet soumis par les bénéficiaires et la gestion de l’exécution du contrat ; la communication et la coordination avec la Banque mondiale, l’ISA, des experts techniques et d’autres parties prenantes sur la mise en œuvre du projet ; la conception des activités d’assistance technique et le recrutement d’agences d’exécution qualifiées ; et l’élaboration des plans de travail, des rapports périodiques et d’autres documents, au besoin.</w:t>
      </w:r>
    </w:p>
    <w:p w14:paraId="660681CC" w14:textId="77777777" w:rsidR="004315D4" w:rsidRPr="00006053" w:rsidRDefault="004315D4" w:rsidP="004315D4">
      <w:pPr>
        <w:pStyle w:val="Heading1"/>
        <w:rPr>
          <w:lang w:val="fr-FR"/>
        </w:rPr>
      </w:pPr>
      <w:r w:rsidRPr="00006053">
        <w:rPr>
          <w:lang w:val="fr-FR"/>
        </w:rPr>
        <w:t xml:space="preserve">L’UGP assumera également davantage de responsabilités dans le domaine de la communication et de la coopération avec les décideurs et l’industrie à travers : l’organisation de réunions de travail et de coordination avec les décideurs politiques nationaux, les associations industrielles et d’autres représentants afin de discuter des progrès accomplis dans l’élimination ainsi que des mesures politiques prises pour éliminer le HCFC-141b dans le secteur des mousses PU, ainsi que des actions visant à promouvoir la pénétration de technologies de remplacement ; la fourniture au Ministère de l’écologie et de l’environnement (MEE), aux BEE locaux et à d’autres ministères d’un appui technique portant sur les dernières informations sectorielles ainsi qu’un appui à l’élaboration de règlements et de plans relatifs à la gestion des SAO pour les entreprises de mousse PU et les entreprises de formulation à l’échelon local ; et la fourniture d’un appui technique et de contributions aux activités de suivi et de supervision organisées par le MEE et les BEE locaux. </w:t>
      </w:r>
    </w:p>
    <w:p w14:paraId="22AE687F" w14:textId="77777777" w:rsidR="004315D4" w:rsidRPr="00006053" w:rsidRDefault="004315D4" w:rsidP="00FB33E8">
      <w:pPr>
        <w:pStyle w:val="Heading2"/>
        <w:keepNext/>
        <w:keepLines/>
        <w:widowControl/>
        <w:numPr>
          <w:ilvl w:val="0"/>
          <w:numId w:val="0"/>
        </w:numPr>
        <w:rPr>
          <w:rFonts w:eastAsia="SimSun"/>
          <w:u w:val="single"/>
          <w:lang w:val="fr-FR"/>
        </w:rPr>
      </w:pPr>
      <w:r w:rsidRPr="00006053">
        <w:rPr>
          <w:rFonts w:eastAsia="SimSun"/>
          <w:u w:val="single"/>
          <w:lang w:val="fr-FR"/>
        </w:rPr>
        <w:lastRenderedPageBreak/>
        <w:t>Coût supplémentaire éligible total pour la phase II (2021-2026)</w:t>
      </w:r>
    </w:p>
    <w:p w14:paraId="17EB8D81" w14:textId="77777777" w:rsidR="004315D4" w:rsidRPr="00006053" w:rsidRDefault="004315D4" w:rsidP="00FB33E8">
      <w:pPr>
        <w:pStyle w:val="Heading3"/>
        <w:keepNext/>
        <w:keepLines/>
        <w:widowControl/>
        <w:numPr>
          <w:ilvl w:val="0"/>
          <w:numId w:val="0"/>
        </w:numPr>
        <w:rPr>
          <w:rFonts w:eastAsia="SimSun"/>
          <w:i/>
          <w:lang w:val="fr-FR"/>
        </w:rPr>
      </w:pPr>
      <w:r w:rsidRPr="00006053">
        <w:rPr>
          <w:rFonts w:eastAsia="SimSun"/>
          <w:i/>
          <w:lang w:val="fr-FR"/>
        </w:rPr>
        <w:t>Coût supplémentaire pour les reconversions d’entreprise</w:t>
      </w:r>
    </w:p>
    <w:p w14:paraId="42A05EA3" w14:textId="77777777" w:rsidR="004315D4" w:rsidRPr="00006053" w:rsidRDefault="004315D4" w:rsidP="004315D4">
      <w:pPr>
        <w:pStyle w:val="Heading1"/>
        <w:rPr>
          <w:rFonts w:eastAsia="SimSun"/>
          <w:lang w:val="fr-FR"/>
        </w:rPr>
      </w:pPr>
      <w:r w:rsidRPr="00006053">
        <w:rPr>
          <w:rFonts w:eastAsia="SimSun"/>
          <w:lang w:val="fr-FR"/>
        </w:rPr>
        <w:t xml:space="preserve">Au total, 14 764 000 $US ont été alloués aux activités d’élimination menées par les entreprises entre 2021 et 2026, dont 9 314 000 $US étaient destinés aux reconversions individuelles et 5 450 000 $US aux projets concernant les entreprises de formulation. </w:t>
      </w:r>
    </w:p>
    <w:p w14:paraId="1D5B65B7" w14:textId="77777777" w:rsidR="004315D4" w:rsidRPr="00006053" w:rsidRDefault="004315D4" w:rsidP="004315D4">
      <w:pPr>
        <w:pStyle w:val="Heading1"/>
        <w:numPr>
          <w:ilvl w:val="0"/>
          <w:numId w:val="0"/>
        </w:numPr>
        <w:rPr>
          <w:rFonts w:eastAsia="SimSun"/>
          <w:i/>
          <w:u w:val="single"/>
          <w:lang w:val="fr-FR"/>
        </w:rPr>
      </w:pPr>
      <w:r w:rsidRPr="00006053">
        <w:rPr>
          <w:rFonts w:eastAsia="SimSun"/>
          <w:i/>
          <w:u w:val="single"/>
          <w:lang w:val="fr-FR"/>
        </w:rPr>
        <w:t xml:space="preserve">Projets de reconversion pris isolément </w:t>
      </w:r>
    </w:p>
    <w:p w14:paraId="5659D06E" w14:textId="4385A512" w:rsidR="004315D4" w:rsidRPr="00006053" w:rsidRDefault="004315D4" w:rsidP="004315D4">
      <w:pPr>
        <w:pStyle w:val="Heading1"/>
        <w:rPr>
          <w:rFonts w:eastAsia="SimSun"/>
          <w:lang w:val="fr-FR"/>
        </w:rPr>
      </w:pPr>
      <w:r w:rsidRPr="00006053">
        <w:rPr>
          <w:rFonts w:eastAsia="SimSun"/>
          <w:lang w:val="fr-FR"/>
        </w:rPr>
        <w:t>Aux termes du plan d’action révisé, le coût des activités de reconversion au sein des entreprises a été déterminé en fonction de la technologie à faible PRG sélectionnée. Les conversions aux hydrocarbures n’incluront que les surcoûts d’investissement nécessaires pour couvrir la modernisation de l’équipement et les adaptations de l’usine visant à assurer les exigences de sécurité minimales. De leur côté, les reconvers</w:t>
      </w:r>
      <w:r w:rsidR="00FB33E8">
        <w:rPr>
          <w:rFonts w:eastAsia="SimSun"/>
          <w:lang w:val="fr-FR"/>
        </w:rPr>
        <w:t>ions aux technologies utilisant</w:t>
      </w:r>
      <w:r w:rsidRPr="00006053">
        <w:rPr>
          <w:rFonts w:eastAsia="SimSun"/>
          <w:lang w:val="fr-FR"/>
        </w:rPr>
        <w:t xml:space="preserve"> des HFO ou de l’eau comme agent de gonflage comprendront les surcoûts d’exploitation nécessaires pour couvrir la différence de prix de l’agent gonflant (s’agissant des HFO) ou d’autres substances utilisées comme matières premières (s’agissant des technologies utilisant l’eau comme agent de gonflage ). Les valeurs moyennes calculées sont largement cohérentes avec celles qui avaient été approuvées pour la phase II du PGEH. </w:t>
      </w:r>
    </w:p>
    <w:p w14:paraId="4E9DF995" w14:textId="77777777" w:rsidR="004315D4" w:rsidRPr="00006053" w:rsidRDefault="004315D4" w:rsidP="004315D4">
      <w:pPr>
        <w:pStyle w:val="Heading1"/>
        <w:rPr>
          <w:rFonts w:eastAsia="SimSun"/>
          <w:lang w:val="fr-FR"/>
        </w:rPr>
      </w:pPr>
      <w:r w:rsidRPr="00006053">
        <w:rPr>
          <w:rFonts w:eastAsia="SimSun"/>
          <w:lang w:val="fr-FR"/>
        </w:rPr>
        <w:t xml:space="preserve">Compte tenu du niveau des fonds disponibles pour le plan sectoriel des mousses PU, l’ampleur des activités de reconversion et le niveau de financement accordé aux entreprises ont été ajustés, comme indiqué dans le tableau 4. </w:t>
      </w:r>
    </w:p>
    <w:p w14:paraId="1D7C9901" w14:textId="77777777" w:rsidR="004315D4" w:rsidRPr="00006053" w:rsidRDefault="004315D4" w:rsidP="004315D4">
      <w:pPr>
        <w:keepNext/>
        <w:keepLines/>
        <w:jc w:val="left"/>
        <w:rPr>
          <w:rFonts w:eastAsia="SimSun"/>
          <w:b/>
          <w:lang w:val="fr-FR"/>
        </w:rPr>
      </w:pPr>
      <w:r w:rsidRPr="00006053">
        <w:rPr>
          <w:rFonts w:eastAsia="SimSun"/>
          <w:b/>
          <w:lang w:val="fr-FR"/>
        </w:rPr>
        <w:t>Tableau 4. Coûts différentiels relatifs aux projets de reconversion pris isolément ($US)</w:t>
      </w:r>
    </w:p>
    <w:tbl>
      <w:tblPr>
        <w:tblW w:w="5003" w:type="pct"/>
        <w:tblLayout w:type="fixed"/>
        <w:tblLook w:val="0000" w:firstRow="0" w:lastRow="0" w:firstColumn="0" w:lastColumn="0" w:noHBand="0" w:noVBand="0"/>
      </w:tblPr>
      <w:tblGrid>
        <w:gridCol w:w="3457"/>
        <w:gridCol w:w="1965"/>
        <w:gridCol w:w="1967"/>
        <w:gridCol w:w="1967"/>
      </w:tblGrid>
      <w:tr w:rsidR="004315D4" w:rsidRPr="00006053" w14:paraId="50DC320B" w14:textId="77777777" w:rsidTr="00DD32D0">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vAlign w:val="center"/>
          </w:tcPr>
          <w:p w14:paraId="500686F7" w14:textId="77777777" w:rsidR="004315D4" w:rsidRPr="00006053" w:rsidRDefault="004315D4" w:rsidP="00DD32D0">
            <w:pPr>
              <w:keepNext/>
              <w:keepLines/>
              <w:jc w:val="left"/>
              <w:rPr>
                <w:rFonts w:eastAsia="SimSun"/>
                <w:b/>
                <w:sz w:val="20"/>
                <w:szCs w:val="20"/>
                <w:lang w:val="fr-FR"/>
              </w:rPr>
            </w:pPr>
            <w:r w:rsidRPr="00006053">
              <w:rPr>
                <w:rFonts w:eastAsia="SimSun"/>
                <w:b/>
                <w:sz w:val="20"/>
                <w:szCs w:val="20"/>
                <w:lang w:val="fr-FR"/>
              </w:rPr>
              <w:t>Technologie de remplacement</w:t>
            </w:r>
          </w:p>
        </w:tc>
        <w:tc>
          <w:tcPr>
            <w:tcW w:w="1050" w:type="pct"/>
            <w:tcBorders>
              <w:top w:val="single" w:sz="4" w:space="0" w:color="auto"/>
              <w:left w:val="nil"/>
              <w:bottom w:val="single" w:sz="4" w:space="0" w:color="auto"/>
              <w:right w:val="single" w:sz="4" w:space="0" w:color="auto"/>
            </w:tcBorders>
            <w:noWrap/>
            <w:tcMar>
              <w:left w:w="0" w:type="dxa"/>
              <w:right w:w="0" w:type="dxa"/>
            </w:tcMar>
            <w:vAlign w:val="center"/>
          </w:tcPr>
          <w:p w14:paraId="25749623" w14:textId="77777777" w:rsidR="004315D4" w:rsidRPr="00006053" w:rsidRDefault="004315D4" w:rsidP="00DD32D0">
            <w:pPr>
              <w:keepNext/>
              <w:keepLines/>
              <w:jc w:val="center"/>
              <w:rPr>
                <w:rFonts w:eastAsia="SimSun"/>
                <w:b/>
                <w:sz w:val="20"/>
                <w:szCs w:val="20"/>
                <w:lang w:val="fr-FR"/>
              </w:rPr>
            </w:pPr>
            <w:r w:rsidRPr="00006053">
              <w:rPr>
                <w:rFonts w:eastAsia="SimSun"/>
                <w:b/>
                <w:sz w:val="20"/>
                <w:szCs w:val="20"/>
                <w:lang w:val="fr-FR"/>
              </w:rPr>
              <w:t>Entreprises se reconvertissant aux hydrocarbures</w:t>
            </w:r>
          </w:p>
        </w:tc>
        <w:tc>
          <w:tcPr>
            <w:tcW w:w="1051" w:type="pct"/>
            <w:tcBorders>
              <w:top w:val="single" w:sz="4" w:space="0" w:color="auto"/>
              <w:left w:val="nil"/>
              <w:bottom w:val="single" w:sz="4" w:space="0" w:color="auto"/>
              <w:right w:val="single" w:sz="4" w:space="0" w:color="auto"/>
            </w:tcBorders>
            <w:noWrap/>
            <w:tcMar>
              <w:left w:w="0" w:type="dxa"/>
              <w:right w:w="0" w:type="dxa"/>
            </w:tcMar>
            <w:vAlign w:val="center"/>
          </w:tcPr>
          <w:p w14:paraId="04B07F7B" w14:textId="77777777" w:rsidR="004315D4" w:rsidRPr="00006053" w:rsidRDefault="004315D4" w:rsidP="00DD32D0">
            <w:pPr>
              <w:keepNext/>
              <w:keepLines/>
              <w:jc w:val="center"/>
              <w:rPr>
                <w:rFonts w:eastAsia="SimSun"/>
                <w:b/>
                <w:sz w:val="20"/>
                <w:szCs w:val="20"/>
                <w:lang w:val="fr-FR"/>
              </w:rPr>
            </w:pPr>
            <w:r w:rsidRPr="00006053">
              <w:rPr>
                <w:rFonts w:eastAsia="SimSun"/>
                <w:b/>
                <w:sz w:val="20"/>
                <w:szCs w:val="20"/>
                <w:lang w:val="fr-FR"/>
              </w:rPr>
              <w:t>Entreprises se reconvertissant aux HFO ou à l’eau</w:t>
            </w:r>
          </w:p>
        </w:tc>
        <w:tc>
          <w:tcPr>
            <w:tcW w:w="1051" w:type="pct"/>
            <w:tcBorders>
              <w:top w:val="single" w:sz="4" w:space="0" w:color="auto"/>
              <w:left w:val="nil"/>
              <w:bottom w:val="single" w:sz="4" w:space="0" w:color="auto"/>
              <w:right w:val="single" w:sz="4" w:space="0" w:color="auto"/>
            </w:tcBorders>
            <w:tcMar>
              <w:left w:w="0" w:type="dxa"/>
              <w:right w:w="0" w:type="dxa"/>
            </w:tcMar>
            <w:vAlign w:val="center"/>
          </w:tcPr>
          <w:p w14:paraId="02173F18" w14:textId="77777777" w:rsidR="004315D4" w:rsidRPr="00006053" w:rsidRDefault="004315D4" w:rsidP="00DD32D0">
            <w:pPr>
              <w:keepNext/>
              <w:keepLines/>
              <w:jc w:val="center"/>
              <w:rPr>
                <w:rFonts w:eastAsia="SimSun"/>
                <w:b/>
                <w:sz w:val="20"/>
                <w:szCs w:val="20"/>
                <w:lang w:val="fr-FR"/>
              </w:rPr>
            </w:pPr>
            <w:r w:rsidRPr="00006053">
              <w:rPr>
                <w:rFonts w:eastAsia="SimSun"/>
                <w:b/>
                <w:sz w:val="20"/>
                <w:szCs w:val="20"/>
                <w:lang w:val="fr-FR"/>
              </w:rPr>
              <w:t>Total</w:t>
            </w:r>
          </w:p>
        </w:tc>
      </w:tr>
      <w:tr w:rsidR="004315D4" w:rsidRPr="00006053" w14:paraId="658D5ADB" w14:textId="77777777" w:rsidTr="00DD32D0">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14:paraId="2A789DED" w14:textId="77777777" w:rsidR="004315D4" w:rsidRPr="00006053" w:rsidRDefault="004315D4" w:rsidP="00DD32D0">
            <w:pPr>
              <w:rPr>
                <w:rFonts w:eastAsia="SimSun"/>
                <w:sz w:val="20"/>
                <w:szCs w:val="20"/>
                <w:lang w:val="fr-FR"/>
              </w:rPr>
            </w:pPr>
            <w:r w:rsidRPr="00006053">
              <w:rPr>
                <w:rFonts w:eastAsia="SimSun"/>
                <w:sz w:val="20"/>
                <w:szCs w:val="20"/>
                <w:lang w:val="fr-FR"/>
              </w:rPr>
              <w:t>Surcoûts d’investissement à compenser ($US/kg de HCFC-141b)</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14:paraId="704F53FA" w14:textId="77777777" w:rsidR="004315D4" w:rsidRPr="00006053" w:rsidRDefault="004315D4" w:rsidP="00DD32D0">
            <w:pPr>
              <w:ind w:right="536"/>
              <w:jc w:val="right"/>
              <w:rPr>
                <w:rFonts w:eastAsia="SimSun"/>
                <w:sz w:val="20"/>
                <w:szCs w:val="20"/>
                <w:lang w:val="fr-FR"/>
              </w:rPr>
            </w:pPr>
            <w:r w:rsidRPr="00006053">
              <w:rPr>
                <w:rFonts w:eastAsia="SimSun"/>
                <w:sz w:val="20"/>
                <w:szCs w:val="20"/>
                <w:lang w:val="fr-FR"/>
              </w:rPr>
              <w:t>6,00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14:paraId="2E559795" w14:textId="77777777" w:rsidR="004315D4" w:rsidRPr="00006053" w:rsidRDefault="004315D4" w:rsidP="00DD32D0">
            <w:pPr>
              <w:ind w:right="536"/>
              <w:jc w:val="right"/>
              <w:rPr>
                <w:rFonts w:eastAsia="SimSun"/>
                <w:sz w:val="20"/>
                <w:szCs w:val="20"/>
                <w:lang w:val="fr-FR"/>
              </w:rPr>
            </w:pPr>
            <w:r w:rsidRPr="00006053">
              <w:rPr>
                <w:rFonts w:eastAsia="SimSun"/>
                <w:sz w:val="20"/>
                <w:szCs w:val="20"/>
                <w:lang w:val="fr-FR"/>
              </w:rPr>
              <w:t>0,00</w:t>
            </w:r>
          </w:p>
        </w:tc>
        <w:tc>
          <w:tcPr>
            <w:tcW w:w="1051" w:type="pct"/>
            <w:tcBorders>
              <w:top w:val="single" w:sz="4" w:space="0" w:color="auto"/>
              <w:left w:val="nil"/>
              <w:bottom w:val="single" w:sz="4" w:space="0" w:color="auto"/>
              <w:right w:val="single" w:sz="4" w:space="0" w:color="auto"/>
            </w:tcBorders>
            <w:tcMar>
              <w:left w:w="115" w:type="dxa"/>
              <w:right w:w="173" w:type="dxa"/>
            </w:tcMar>
          </w:tcPr>
          <w:p w14:paraId="24A4E90D" w14:textId="77777777" w:rsidR="004315D4" w:rsidRPr="00006053" w:rsidRDefault="004315D4" w:rsidP="00DD32D0">
            <w:pPr>
              <w:jc w:val="right"/>
              <w:rPr>
                <w:rFonts w:eastAsia="SimSun"/>
                <w:sz w:val="20"/>
                <w:szCs w:val="20"/>
                <w:lang w:val="fr-FR"/>
              </w:rPr>
            </w:pPr>
          </w:p>
        </w:tc>
      </w:tr>
      <w:tr w:rsidR="004315D4" w:rsidRPr="00006053" w14:paraId="2C177A73" w14:textId="77777777" w:rsidTr="00DD32D0">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14:paraId="7AE37A2B" w14:textId="77777777" w:rsidR="004315D4" w:rsidRPr="00006053" w:rsidRDefault="004315D4" w:rsidP="00DD32D0">
            <w:pPr>
              <w:rPr>
                <w:rFonts w:eastAsia="SimSun"/>
                <w:sz w:val="20"/>
                <w:szCs w:val="20"/>
                <w:lang w:val="fr-FR"/>
              </w:rPr>
            </w:pPr>
            <w:r w:rsidRPr="00006053">
              <w:rPr>
                <w:rFonts w:eastAsia="SimSun"/>
                <w:sz w:val="20"/>
                <w:szCs w:val="20"/>
                <w:lang w:val="fr-FR"/>
              </w:rPr>
              <w:t>Surcoûts d’exploitation à compenser ($US/kg de HCFC-141b)</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14:paraId="03D2B212" w14:textId="77777777" w:rsidR="004315D4" w:rsidRPr="00006053" w:rsidRDefault="004315D4" w:rsidP="00DD32D0">
            <w:pPr>
              <w:ind w:right="536"/>
              <w:jc w:val="right"/>
              <w:rPr>
                <w:rFonts w:eastAsia="SimSun"/>
                <w:sz w:val="20"/>
                <w:szCs w:val="20"/>
                <w:lang w:val="fr-FR"/>
              </w:rPr>
            </w:pPr>
            <w:r w:rsidRPr="00006053">
              <w:rPr>
                <w:rFonts w:eastAsia="SimSun"/>
                <w:sz w:val="20"/>
                <w:szCs w:val="20"/>
                <w:lang w:val="fr-FR"/>
              </w:rPr>
              <w:t>0,00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14:paraId="45060620" w14:textId="77777777" w:rsidR="004315D4" w:rsidRPr="00006053" w:rsidRDefault="004315D4" w:rsidP="00DD32D0">
            <w:pPr>
              <w:ind w:right="536"/>
              <w:jc w:val="right"/>
              <w:rPr>
                <w:rFonts w:eastAsia="SimSun"/>
                <w:sz w:val="20"/>
                <w:szCs w:val="20"/>
                <w:lang w:val="fr-FR"/>
              </w:rPr>
            </w:pPr>
            <w:r w:rsidRPr="00006053">
              <w:rPr>
                <w:rFonts w:eastAsia="SimSun"/>
                <w:sz w:val="20"/>
                <w:szCs w:val="20"/>
                <w:lang w:val="fr-FR"/>
              </w:rPr>
              <w:t>4,00</w:t>
            </w:r>
          </w:p>
        </w:tc>
        <w:tc>
          <w:tcPr>
            <w:tcW w:w="1051" w:type="pct"/>
            <w:tcBorders>
              <w:top w:val="single" w:sz="4" w:space="0" w:color="auto"/>
              <w:left w:val="nil"/>
              <w:bottom w:val="single" w:sz="4" w:space="0" w:color="auto"/>
              <w:right w:val="single" w:sz="4" w:space="0" w:color="auto"/>
            </w:tcBorders>
            <w:tcMar>
              <w:left w:w="115" w:type="dxa"/>
              <w:right w:w="173" w:type="dxa"/>
            </w:tcMar>
          </w:tcPr>
          <w:p w14:paraId="1325CC33" w14:textId="77777777" w:rsidR="004315D4" w:rsidRPr="00006053" w:rsidRDefault="004315D4" w:rsidP="00DD32D0">
            <w:pPr>
              <w:jc w:val="right"/>
              <w:rPr>
                <w:rFonts w:eastAsia="SimSun"/>
                <w:sz w:val="20"/>
                <w:szCs w:val="20"/>
                <w:lang w:val="fr-FR"/>
              </w:rPr>
            </w:pPr>
          </w:p>
        </w:tc>
      </w:tr>
      <w:tr w:rsidR="004315D4" w:rsidRPr="00006053" w14:paraId="544B8FE2" w14:textId="77777777" w:rsidTr="00DD32D0">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14:paraId="1BC150EA" w14:textId="77777777" w:rsidR="004315D4" w:rsidRPr="00006053" w:rsidRDefault="004315D4" w:rsidP="00DD32D0">
            <w:pPr>
              <w:rPr>
                <w:rFonts w:eastAsia="SimSun"/>
                <w:sz w:val="20"/>
                <w:szCs w:val="20"/>
                <w:lang w:val="fr-FR"/>
              </w:rPr>
            </w:pPr>
            <w:r w:rsidRPr="00006053">
              <w:rPr>
                <w:rFonts w:eastAsia="SimSun"/>
                <w:sz w:val="20"/>
                <w:szCs w:val="20"/>
                <w:lang w:val="fr-FR"/>
              </w:rPr>
              <w:t>Impact estimé en termes d’élimination (tm)</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14:paraId="6249F141" w14:textId="77777777" w:rsidR="004315D4" w:rsidRPr="00006053" w:rsidRDefault="004315D4" w:rsidP="00DD32D0">
            <w:pPr>
              <w:ind w:right="536"/>
              <w:jc w:val="right"/>
              <w:rPr>
                <w:rFonts w:eastAsia="SimSun"/>
                <w:sz w:val="20"/>
                <w:szCs w:val="20"/>
                <w:lang w:val="fr-FR"/>
              </w:rPr>
            </w:pPr>
            <w:r w:rsidRPr="00006053">
              <w:rPr>
                <w:rFonts w:eastAsia="SimSun"/>
                <w:sz w:val="20"/>
                <w:szCs w:val="20"/>
                <w:lang w:val="fr-FR"/>
              </w:rPr>
              <w:t>139</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14:paraId="49B9390F" w14:textId="77777777" w:rsidR="004315D4" w:rsidRPr="00006053" w:rsidRDefault="004315D4" w:rsidP="00DD32D0">
            <w:pPr>
              <w:ind w:right="536"/>
              <w:jc w:val="right"/>
              <w:rPr>
                <w:rFonts w:eastAsia="SimSun"/>
                <w:sz w:val="20"/>
                <w:szCs w:val="20"/>
                <w:lang w:val="fr-FR"/>
              </w:rPr>
            </w:pPr>
            <w:r w:rsidRPr="00006053">
              <w:rPr>
                <w:rFonts w:eastAsia="SimSun"/>
                <w:sz w:val="20"/>
                <w:szCs w:val="20"/>
                <w:lang w:val="fr-FR"/>
              </w:rPr>
              <w:t>2 120</w:t>
            </w:r>
          </w:p>
        </w:tc>
        <w:tc>
          <w:tcPr>
            <w:tcW w:w="1051" w:type="pct"/>
            <w:tcBorders>
              <w:top w:val="single" w:sz="4" w:space="0" w:color="auto"/>
              <w:left w:val="nil"/>
              <w:bottom w:val="single" w:sz="4" w:space="0" w:color="auto"/>
              <w:right w:val="single" w:sz="4" w:space="0" w:color="auto"/>
            </w:tcBorders>
            <w:tcMar>
              <w:left w:w="115" w:type="dxa"/>
              <w:right w:w="173" w:type="dxa"/>
            </w:tcMar>
          </w:tcPr>
          <w:p w14:paraId="61CEC43F" w14:textId="77777777" w:rsidR="004315D4" w:rsidRPr="00006053" w:rsidRDefault="004315D4" w:rsidP="00DD32D0">
            <w:pPr>
              <w:ind w:right="370"/>
              <w:jc w:val="right"/>
              <w:rPr>
                <w:rFonts w:eastAsia="SimSun"/>
                <w:sz w:val="20"/>
                <w:szCs w:val="20"/>
                <w:lang w:val="fr-FR"/>
              </w:rPr>
            </w:pPr>
            <w:r w:rsidRPr="00006053">
              <w:rPr>
                <w:rFonts w:eastAsia="SimSun"/>
                <w:sz w:val="20"/>
                <w:szCs w:val="20"/>
                <w:lang w:val="fr-FR"/>
              </w:rPr>
              <w:t>2 259</w:t>
            </w:r>
          </w:p>
        </w:tc>
      </w:tr>
      <w:tr w:rsidR="004315D4" w:rsidRPr="00006053" w14:paraId="54C38C8E" w14:textId="77777777" w:rsidTr="00DD32D0">
        <w:tc>
          <w:tcPr>
            <w:tcW w:w="1848" w:type="pct"/>
            <w:tcBorders>
              <w:top w:val="single" w:sz="4" w:space="0" w:color="auto"/>
              <w:left w:val="single" w:sz="4" w:space="0" w:color="auto"/>
              <w:bottom w:val="single" w:sz="4" w:space="0" w:color="auto"/>
              <w:right w:val="single" w:sz="4" w:space="0" w:color="auto"/>
            </w:tcBorders>
            <w:noWrap/>
            <w:tcMar>
              <w:left w:w="58" w:type="dxa"/>
              <w:right w:w="0" w:type="dxa"/>
            </w:tcMar>
          </w:tcPr>
          <w:p w14:paraId="71DBB9A0" w14:textId="77777777" w:rsidR="004315D4" w:rsidRPr="00006053" w:rsidRDefault="004315D4" w:rsidP="00DD32D0">
            <w:pPr>
              <w:rPr>
                <w:rFonts w:eastAsia="SimSun"/>
                <w:b/>
                <w:bCs/>
                <w:sz w:val="20"/>
                <w:szCs w:val="20"/>
                <w:lang w:val="fr-FR"/>
              </w:rPr>
            </w:pPr>
            <w:r w:rsidRPr="00006053">
              <w:rPr>
                <w:rFonts w:eastAsia="SimSun"/>
                <w:b/>
                <w:bCs/>
                <w:sz w:val="20"/>
                <w:szCs w:val="20"/>
                <w:lang w:val="fr-FR"/>
              </w:rPr>
              <w:t>Coût total ($US)</w:t>
            </w:r>
          </w:p>
        </w:tc>
        <w:tc>
          <w:tcPr>
            <w:tcW w:w="1050" w:type="pct"/>
            <w:tcBorders>
              <w:top w:val="single" w:sz="4" w:space="0" w:color="auto"/>
              <w:left w:val="nil"/>
              <w:bottom w:val="single" w:sz="4" w:space="0" w:color="auto"/>
              <w:right w:val="single" w:sz="4" w:space="0" w:color="auto"/>
            </w:tcBorders>
            <w:noWrap/>
            <w:tcMar>
              <w:left w:w="115" w:type="dxa"/>
              <w:right w:w="173" w:type="dxa"/>
            </w:tcMar>
          </w:tcPr>
          <w:p w14:paraId="156D17E1" w14:textId="77777777" w:rsidR="004315D4" w:rsidRPr="00006053" w:rsidRDefault="004315D4" w:rsidP="00DD32D0">
            <w:pPr>
              <w:ind w:right="536"/>
              <w:jc w:val="right"/>
              <w:rPr>
                <w:rFonts w:eastAsia="SimSun"/>
                <w:b/>
                <w:bCs/>
                <w:sz w:val="20"/>
                <w:szCs w:val="20"/>
                <w:lang w:val="fr-FR"/>
              </w:rPr>
            </w:pPr>
            <w:r w:rsidRPr="00006053">
              <w:rPr>
                <w:rFonts w:eastAsia="SimSun"/>
                <w:b/>
                <w:bCs/>
                <w:sz w:val="20"/>
                <w:szCs w:val="20"/>
                <w:lang w:val="fr-FR"/>
              </w:rPr>
              <w:t>834 000</w:t>
            </w:r>
          </w:p>
        </w:tc>
        <w:tc>
          <w:tcPr>
            <w:tcW w:w="1051" w:type="pct"/>
            <w:tcBorders>
              <w:top w:val="single" w:sz="4" w:space="0" w:color="auto"/>
              <w:left w:val="nil"/>
              <w:bottom w:val="single" w:sz="4" w:space="0" w:color="auto"/>
              <w:right w:val="single" w:sz="4" w:space="0" w:color="auto"/>
            </w:tcBorders>
            <w:noWrap/>
            <w:tcMar>
              <w:left w:w="115" w:type="dxa"/>
              <w:right w:w="173" w:type="dxa"/>
            </w:tcMar>
          </w:tcPr>
          <w:p w14:paraId="1539C3D2" w14:textId="77777777" w:rsidR="004315D4" w:rsidRPr="00006053" w:rsidRDefault="004315D4" w:rsidP="00DD32D0">
            <w:pPr>
              <w:ind w:right="536"/>
              <w:jc w:val="right"/>
              <w:rPr>
                <w:rFonts w:eastAsia="SimSun"/>
                <w:b/>
                <w:bCs/>
                <w:sz w:val="20"/>
                <w:szCs w:val="20"/>
                <w:lang w:val="fr-FR"/>
              </w:rPr>
            </w:pPr>
            <w:r w:rsidRPr="00006053">
              <w:rPr>
                <w:rFonts w:eastAsia="SimSun"/>
                <w:b/>
                <w:bCs/>
                <w:sz w:val="20"/>
                <w:szCs w:val="20"/>
                <w:lang w:val="fr-FR"/>
              </w:rPr>
              <w:t>8 480 000</w:t>
            </w:r>
          </w:p>
        </w:tc>
        <w:tc>
          <w:tcPr>
            <w:tcW w:w="1051" w:type="pct"/>
            <w:tcBorders>
              <w:top w:val="single" w:sz="4" w:space="0" w:color="auto"/>
              <w:left w:val="nil"/>
              <w:bottom w:val="single" w:sz="4" w:space="0" w:color="auto"/>
              <w:right w:val="single" w:sz="4" w:space="0" w:color="auto"/>
            </w:tcBorders>
            <w:tcMar>
              <w:left w:w="115" w:type="dxa"/>
              <w:right w:w="173" w:type="dxa"/>
            </w:tcMar>
          </w:tcPr>
          <w:p w14:paraId="641A01CA" w14:textId="77777777" w:rsidR="004315D4" w:rsidRPr="00006053" w:rsidRDefault="004315D4" w:rsidP="00DD32D0">
            <w:pPr>
              <w:ind w:right="370"/>
              <w:jc w:val="right"/>
              <w:rPr>
                <w:rFonts w:eastAsia="SimSun"/>
                <w:b/>
                <w:bCs/>
                <w:sz w:val="20"/>
                <w:szCs w:val="20"/>
                <w:lang w:val="fr-FR"/>
              </w:rPr>
            </w:pPr>
            <w:r w:rsidRPr="00006053">
              <w:rPr>
                <w:rFonts w:eastAsia="SimSun"/>
                <w:b/>
                <w:bCs/>
                <w:sz w:val="20"/>
                <w:szCs w:val="20"/>
                <w:lang w:val="fr-FR"/>
              </w:rPr>
              <w:t>9 314 000</w:t>
            </w:r>
          </w:p>
        </w:tc>
      </w:tr>
    </w:tbl>
    <w:p w14:paraId="6CF40C2F" w14:textId="77777777" w:rsidR="004315D4" w:rsidRPr="00006053" w:rsidRDefault="004315D4" w:rsidP="004315D4">
      <w:pPr>
        <w:rPr>
          <w:rFonts w:eastAsia="SimSun"/>
          <w:sz w:val="20"/>
          <w:szCs w:val="20"/>
          <w:lang w:val="fr-FR"/>
        </w:rPr>
      </w:pPr>
    </w:p>
    <w:p w14:paraId="698456CA" w14:textId="77777777" w:rsidR="004315D4" w:rsidRPr="00006053" w:rsidRDefault="004315D4" w:rsidP="004315D4">
      <w:pPr>
        <w:rPr>
          <w:i/>
          <w:u w:val="single"/>
          <w:lang w:val="fr-FR"/>
        </w:rPr>
      </w:pPr>
      <w:r w:rsidRPr="00006053">
        <w:rPr>
          <w:rFonts w:eastAsia="SimSun"/>
          <w:i/>
          <w:u w:val="single"/>
          <w:lang w:val="fr-FR"/>
        </w:rPr>
        <w:t>Projets relatifs aux entreprises de formulation</w:t>
      </w:r>
    </w:p>
    <w:p w14:paraId="15027CFF" w14:textId="77777777" w:rsidR="004315D4" w:rsidRPr="00006053" w:rsidRDefault="004315D4" w:rsidP="004315D4">
      <w:pPr>
        <w:rPr>
          <w:lang w:val="fr-FR"/>
        </w:rPr>
      </w:pPr>
    </w:p>
    <w:p w14:paraId="1B81EE8C" w14:textId="3D79DCD5" w:rsidR="004315D4" w:rsidRPr="00006053" w:rsidRDefault="004315D4" w:rsidP="004315D4">
      <w:pPr>
        <w:pStyle w:val="Heading1"/>
        <w:rPr>
          <w:rFonts w:eastAsia="SimSun"/>
          <w:lang w:val="fr-FR"/>
        </w:rPr>
      </w:pPr>
      <w:r w:rsidRPr="00006053">
        <w:rPr>
          <w:rFonts w:eastAsia="SimSun"/>
          <w:lang w:val="fr-FR"/>
        </w:rPr>
        <w:t>Pour les quatre entreprises de formulation qui fourniront des hydrocarbures prémélangées, l’aide du Fonds multilatéral visera essentiellement à renforcer l</w:t>
      </w:r>
      <w:r w:rsidR="00FB33E8">
        <w:rPr>
          <w:rFonts w:eastAsia="SimSun"/>
          <w:lang w:val="fr-FR"/>
        </w:rPr>
        <w:t>es capacités de production et à</w:t>
      </w:r>
      <w:r w:rsidRPr="00006053">
        <w:rPr>
          <w:rFonts w:eastAsia="SimSun"/>
          <w:lang w:val="fr-FR"/>
        </w:rPr>
        <w:t xml:space="preserve"> adapter les mesures de sécurité. Pour les 15 entreprises de formulations qui fourniront des HFO ou des technologies à base d’eau, l’appui servira à investir dans le renforcement des capacités, dans les conseils techniques et dans les coûts des essais des matières premières pour les PME transformatrices. Le niveau de financement estimé pour les entreprises de formulation figure au tableau 5. </w:t>
      </w:r>
    </w:p>
    <w:p w14:paraId="62A93544" w14:textId="77777777" w:rsidR="004315D4" w:rsidRPr="00006053" w:rsidRDefault="004315D4" w:rsidP="004315D4">
      <w:pPr>
        <w:keepNext/>
        <w:rPr>
          <w:rFonts w:eastAsia="SimSun"/>
          <w:b/>
          <w:lang w:val="fr-FR"/>
        </w:rPr>
      </w:pPr>
      <w:r w:rsidRPr="00006053">
        <w:rPr>
          <w:rFonts w:eastAsia="SimSun"/>
          <w:b/>
          <w:lang w:val="fr-FR"/>
        </w:rPr>
        <w:t>Tableau 5. Coût des projets relatifs aux entreprises de formulation ($US)</w:t>
      </w:r>
    </w:p>
    <w:tbl>
      <w:tblPr>
        <w:tblW w:w="9463" w:type="dxa"/>
        <w:tblLayout w:type="fixed"/>
        <w:tblLook w:val="04A0" w:firstRow="1" w:lastRow="0" w:firstColumn="1" w:lastColumn="0" w:noHBand="0" w:noVBand="1"/>
      </w:tblPr>
      <w:tblGrid>
        <w:gridCol w:w="3865"/>
        <w:gridCol w:w="1818"/>
        <w:gridCol w:w="1890"/>
        <w:gridCol w:w="1890"/>
      </w:tblGrid>
      <w:tr w:rsidR="004315D4" w:rsidRPr="00006053" w14:paraId="59C7B44D" w14:textId="77777777" w:rsidTr="00DD32D0">
        <w:trPr>
          <w:tblHeader/>
        </w:trPr>
        <w:tc>
          <w:tcPr>
            <w:tcW w:w="3865" w:type="dxa"/>
            <w:vMerge w:val="restart"/>
            <w:tcBorders>
              <w:top w:val="single" w:sz="4" w:space="0" w:color="auto"/>
              <w:left w:val="single" w:sz="4" w:space="0" w:color="auto"/>
              <w:right w:val="single" w:sz="4" w:space="0" w:color="auto"/>
            </w:tcBorders>
            <w:shd w:val="clear" w:color="auto" w:fill="auto"/>
            <w:noWrap/>
            <w:vAlign w:val="center"/>
            <w:hideMark/>
          </w:tcPr>
          <w:p w14:paraId="106D6BB1" w14:textId="77777777" w:rsidR="004315D4" w:rsidRPr="00006053" w:rsidRDefault="004315D4" w:rsidP="00DD32D0">
            <w:pPr>
              <w:jc w:val="left"/>
              <w:rPr>
                <w:b/>
                <w:color w:val="000000"/>
                <w:sz w:val="20"/>
                <w:szCs w:val="20"/>
                <w:lang w:val="fr-FR" w:eastAsia="en-CA"/>
              </w:rPr>
            </w:pPr>
            <w:r w:rsidRPr="00006053">
              <w:rPr>
                <w:b/>
                <w:color w:val="000000"/>
                <w:sz w:val="20"/>
                <w:szCs w:val="20"/>
                <w:lang w:val="fr-FR" w:eastAsia="fr"/>
              </w:rPr>
              <w:t>Description</w:t>
            </w:r>
          </w:p>
        </w:tc>
        <w:tc>
          <w:tcPr>
            <w:tcW w:w="370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0C90DB0" w14:textId="77777777" w:rsidR="004315D4" w:rsidRPr="00006053" w:rsidRDefault="004315D4" w:rsidP="00DD32D0">
            <w:pPr>
              <w:jc w:val="center"/>
              <w:rPr>
                <w:b/>
                <w:color w:val="000000"/>
                <w:sz w:val="20"/>
                <w:szCs w:val="20"/>
                <w:lang w:val="fr-FR" w:eastAsia="en-CA"/>
              </w:rPr>
            </w:pPr>
            <w:r w:rsidRPr="00006053">
              <w:rPr>
                <w:b/>
                <w:color w:val="000000"/>
                <w:sz w:val="20"/>
                <w:szCs w:val="20"/>
                <w:lang w:val="fr-FR" w:eastAsia="fr"/>
              </w:rPr>
              <w:t>Hydrocarbures</w:t>
            </w:r>
          </w:p>
        </w:tc>
        <w:tc>
          <w:tcPr>
            <w:tcW w:w="1890" w:type="dxa"/>
            <w:vMerge w:val="restart"/>
            <w:tcBorders>
              <w:top w:val="single" w:sz="4" w:space="0" w:color="auto"/>
              <w:left w:val="nil"/>
              <w:right w:val="single" w:sz="4" w:space="0" w:color="auto"/>
            </w:tcBorders>
            <w:shd w:val="clear" w:color="auto" w:fill="auto"/>
            <w:noWrap/>
            <w:tcMar>
              <w:left w:w="0" w:type="dxa"/>
              <w:right w:w="0" w:type="dxa"/>
            </w:tcMar>
            <w:vAlign w:val="center"/>
            <w:hideMark/>
          </w:tcPr>
          <w:p w14:paraId="4C1EEF1B" w14:textId="77777777" w:rsidR="004315D4" w:rsidRPr="00006053" w:rsidRDefault="004315D4" w:rsidP="00DD32D0">
            <w:pPr>
              <w:jc w:val="center"/>
              <w:rPr>
                <w:b/>
                <w:color w:val="000000"/>
                <w:sz w:val="20"/>
                <w:szCs w:val="20"/>
                <w:lang w:val="fr-FR" w:eastAsia="en-CA"/>
              </w:rPr>
            </w:pPr>
            <w:r w:rsidRPr="00006053">
              <w:rPr>
                <w:b/>
                <w:color w:val="000000"/>
                <w:sz w:val="20"/>
                <w:szCs w:val="20"/>
                <w:lang w:val="fr-FR" w:eastAsia="fr"/>
              </w:rPr>
              <w:t>HFO/eau</w:t>
            </w:r>
          </w:p>
        </w:tc>
      </w:tr>
      <w:tr w:rsidR="004315D4" w:rsidRPr="00006053" w14:paraId="6684A61C" w14:textId="77777777" w:rsidTr="00DD32D0">
        <w:trPr>
          <w:tblHeader/>
        </w:trPr>
        <w:tc>
          <w:tcPr>
            <w:tcW w:w="3865" w:type="dxa"/>
            <w:vMerge/>
            <w:tcBorders>
              <w:left w:val="single" w:sz="4" w:space="0" w:color="auto"/>
              <w:bottom w:val="single" w:sz="4" w:space="0" w:color="auto"/>
              <w:right w:val="single" w:sz="4" w:space="0" w:color="auto"/>
            </w:tcBorders>
            <w:shd w:val="clear" w:color="auto" w:fill="auto"/>
            <w:noWrap/>
            <w:vAlign w:val="center"/>
            <w:hideMark/>
          </w:tcPr>
          <w:p w14:paraId="5D5CD17A" w14:textId="77777777" w:rsidR="004315D4" w:rsidRPr="00006053" w:rsidRDefault="004315D4" w:rsidP="00DD32D0">
            <w:pPr>
              <w:jc w:val="center"/>
              <w:rPr>
                <w:b/>
                <w:color w:val="000000"/>
                <w:sz w:val="20"/>
                <w:szCs w:val="20"/>
                <w:lang w:val="fr-FR" w:eastAsia="en-CA"/>
              </w:rPr>
            </w:pPr>
          </w:p>
        </w:tc>
        <w:tc>
          <w:tcPr>
            <w:tcW w:w="18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CDD178D" w14:textId="77777777" w:rsidR="004315D4" w:rsidRPr="00FB33E8" w:rsidRDefault="004315D4" w:rsidP="00DD32D0">
            <w:pPr>
              <w:jc w:val="center"/>
              <w:rPr>
                <w:b/>
                <w:color w:val="000000"/>
                <w:sz w:val="20"/>
                <w:szCs w:val="20"/>
                <w:lang w:val="fr-FR" w:eastAsia="en-CA"/>
              </w:rPr>
            </w:pPr>
            <w:r w:rsidRPr="00FB33E8">
              <w:rPr>
                <w:b/>
                <w:color w:val="000000"/>
                <w:sz w:val="20"/>
                <w:szCs w:val="20"/>
                <w:lang w:val="fr-FR" w:eastAsia="fr"/>
              </w:rPr>
              <w:t xml:space="preserve"> Mode de mélange à basse vitesse en réacteur chauffant</w:t>
            </w:r>
          </w:p>
        </w:tc>
        <w:tc>
          <w:tcPr>
            <w:tcW w:w="189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8DD5B15" w14:textId="77777777" w:rsidR="004315D4" w:rsidRPr="00FB33E8" w:rsidRDefault="004315D4" w:rsidP="00DD32D0">
            <w:pPr>
              <w:jc w:val="center"/>
              <w:rPr>
                <w:b/>
                <w:color w:val="000000"/>
                <w:sz w:val="20"/>
                <w:szCs w:val="20"/>
                <w:lang w:val="fr-FR" w:eastAsia="en-CA"/>
              </w:rPr>
            </w:pPr>
            <w:r w:rsidRPr="00FB33E8">
              <w:rPr>
                <w:b/>
                <w:color w:val="000000"/>
                <w:sz w:val="20"/>
                <w:szCs w:val="20"/>
                <w:lang w:val="fr-FR" w:eastAsia="fr"/>
              </w:rPr>
              <w:t>Mode de prémélange statique</w:t>
            </w:r>
          </w:p>
        </w:tc>
        <w:tc>
          <w:tcPr>
            <w:tcW w:w="1890" w:type="dxa"/>
            <w:vMerge/>
            <w:tcBorders>
              <w:left w:val="nil"/>
              <w:bottom w:val="single" w:sz="4" w:space="0" w:color="auto"/>
              <w:right w:val="single" w:sz="4" w:space="0" w:color="auto"/>
            </w:tcBorders>
            <w:shd w:val="clear" w:color="auto" w:fill="auto"/>
            <w:noWrap/>
            <w:tcMar>
              <w:left w:w="0" w:type="dxa"/>
              <w:right w:w="0" w:type="dxa"/>
            </w:tcMar>
            <w:vAlign w:val="center"/>
            <w:hideMark/>
          </w:tcPr>
          <w:p w14:paraId="3EFC0CD2" w14:textId="77777777" w:rsidR="004315D4" w:rsidRPr="00006053" w:rsidRDefault="004315D4" w:rsidP="00DD32D0">
            <w:pPr>
              <w:jc w:val="center"/>
              <w:rPr>
                <w:b/>
                <w:color w:val="000000"/>
                <w:sz w:val="20"/>
                <w:szCs w:val="20"/>
                <w:lang w:val="fr-FR" w:eastAsia="en-CA"/>
              </w:rPr>
            </w:pPr>
          </w:p>
        </w:tc>
      </w:tr>
      <w:tr w:rsidR="004315D4" w:rsidRPr="00006053" w14:paraId="2EC16E91"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9E56780"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Réacteur chauffant à basse vitesse pour polyols prémélangés et cuve de stockage destinée aux agents de gonflage</w:t>
            </w:r>
          </w:p>
        </w:tc>
        <w:tc>
          <w:tcPr>
            <w:tcW w:w="1818" w:type="dxa"/>
            <w:tcBorders>
              <w:top w:val="nil"/>
              <w:left w:val="nil"/>
              <w:bottom w:val="single" w:sz="4" w:space="0" w:color="auto"/>
              <w:right w:val="single" w:sz="4" w:space="0" w:color="auto"/>
            </w:tcBorders>
            <w:shd w:val="clear" w:color="auto" w:fill="auto"/>
            <w:noWrap/>
            <w:hideMark/>
          </w:tcPr>
          <w:p w14:paraId="40C05F7C"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170 000</w:t>
            </w:r>
          </w:p>
        </w:tc>
        <w:tc>
          <w:tcPr>
            <w:tcW w:w="1890" w:type="dxa"/>
            <w:tcBorders>
              <w:top w:val="nil"/>
              <w:left w:val="nil"/>
              <w:bottom w:val="single" w:sz="4" w:space="0" w:color="auto"/>
              <w:right w:val="single" w:sz="4" w:space="0" w:color="auto"/>
            </w:tcBorders>
            <w:shd w:val="clear" w:color="auto" w:fill="auto"/>
            <w:noWrap/>
            <w:hideMark/>
          </w:tcPr>
          <w:p w14:paraId="2F1BE48D"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c>
          <w:tcPr>
            <w:tcW w:w="1890" w:type="dxa"/>
            <w:tcBorders>
              <w:top w:val="nil"/>
              <w:left w:val="nil"/>
              <w:bottom w:val="single" w:sz="4" w:space="0" w:color="auto"/>
              <w:right w:val="single" w:sz="4" w:space="0" w:color="auto"/>
            </w:tcBorders>
            <w:shd w:val="clear" w:color="auto" w:fill="auto"/>
            <w:noWrap/>
            <w:hideMark/>
          </w:tcPr>
          <w:p w14:paraId="5C1BBA28"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80 000</w:t>
            </w:r>
          </w:p>
        </w:tc>
      </w:tr>
      <w:tr w:rsidR="004315D4" w:rsidRPr="00006053" w14:paraId="7279D5B6"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DBB88F1"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Réservoir de stockage d’hydrocarbures et unités de prémélange</w:t>
            </w:r>
          </w:p>
        </w:tc>
        <w:tc>
          <w:tcPr>
            <w:tcW w:w="1818" w:type="dxa"/>
            <w:tcBorders>
              <w:top w:val="nil"/>
              <w:left w:val="nil"/>
              <w:bottom w:val="single" w:sz="4" w:space="0" w:color="auto"/>
              <w:right w:val="single" w:sz="4" w:space="0" w:color="auto"/>
            </w:tcBorders>
            <w:shd w:val="clear" w:color="auto" w:fill="auto"/>
            <w:noWrap/>
            <w:hideMark/>
          </w:tcPr>
          <w:p w14:paraId="2E815E58"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c>
          <w:tcPr>
            <w:tcW w:w="1890" w:type="dxa"/>
            <w:tcBorders>
              <w:top w:val="nil"/>
              <w:left w:val="nil"/>
              <w:bottom w:val="single" w:sz="4" w:space="0" w:color="auto"/>
              <w:right w:val="single" w:sz="4" w:space="0" w:color="auto"/>
            </w:tcBorders>
            <w:shd w:val="clear" w:color="auto" w:fill="auto"/>
            <w:noWrap/>
            <w:hideMark/>
          </w:tcPr>
          <w:p w14:paraId="340D12D0"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170 000</w:t>
            </w:r>
          </w:p>
        </w:tc>
        <w:tc>
          <w:tcPr>
            <w:tcW w:w="1890" w:type="dxa"/>
            <w:tcBorders>
              <w:top w:val="nil"/>
              <w:left w:val="nil"/>
              <w:bottom w:val="single" w:sz="4" w:space="0" w:color="auto"/>
              <w:right w:val="single" w:sz="4" w:space="0" w:color="auto"/>
            </w:tcBorders>
            <w:shd w:val="clear" w:color="auto" w:fill="auto"/>
            <w:noWrap/>
            <w:hideMark/>
          </w:tcPr>
          <w:p w14:paraId="74977BEB"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r>
      <w:tr w:rsidR="004315D4" w:rsidRPr="00006053" w14:paraId="57219016"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708A452"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lastRenderedPageBreak/>
              <w:t>Mesures de sécurité</w:t>
            </w:r>
          </w:p>
        </w:tc>
        <w:tc>
          <w:tcPr>
            <w:tcW w:w="1818" w:type="dxa"/>
            <w:tcBorders>
              <w:top w:val="nil"/>
              <w:left w:val="nil"/>
              <w:bottom w:val="single" w:sz="4" w:space="0" w:color="auto"/>
              <w:right w:val="single" w:sz="4" w:space="0" w:color="auto"/>
            </w:tcBorders>
            <w:shd w:val="clear" w:color="auto" w:fill="auto"/>
            <w:noWrap/>
            <w:hideMark/>
          </w:tcPr>
          <w:p w14:paraId="3194CBB6"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120 000</w:t>
            </w:r>
          </w:p>
        </w:tc>
        <w:tc>
          <w:tcPr>
            <w:tcW w:w="1890" w:type="dxa"/>
            <w:tcBorders>
              <w:top w:val="nil"/>
              <w:left w:val="nil"/>
              <w:bottom w:val="single" w:sz="4" w:space="0" w:color="auto"/>
              <w:right w:val="single" w:sz="4" w:space="0" w:color="auto"/>
            </w:tcBorders>
            <w:shd w:val="clear" w:color="auto" w:fill="auto"/>
            <w:noWrap/>
            <w:hideMark/>
          </w:tcPr>
          <w:p w14:paraId="3457CA80"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120 000</w:t>
            </w:r>
          </w:p>
        </w:tc>
        <w:tc>
          <w:tcPr>
            <w:tcW w:w="1890" w:type="dxa"/>
            <w:tcBorders>
              <w:top w:val="nil"/>
              <w:left w:val="nil"/>
              <w:bottom w:val="single" w:sz="4" w:space="0" w:color="auto"/>
              <w:right w:val="single" w:sz="4" w:space="0" w:color="auto"/>
            </w:tcBorders>
            <w:shd w:val="clear" w:color="auto" w:fill="auto"/>
            <w:noWrap/>
            <w:hideMark/>
          </w:tcPr>
          <w:p w14:paraId="270071FC"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r>
      <w:tr w:rsidR="004315D4" w:rsidRPr="00006053" w14:paraId="6EBE8A5D"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DA17708"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Installation de conditionnement pour polyols prémélangés</w:t>
            </w:r>
          </w:p>
        </w:tc>
        <w:tc>
          <w:tcPr>
            <w:tcW w:w="1818" w:type="dxa"/>
            <w:tcBorders>
              <w:top w:val="nil"/>
              <w:left w:val="nil"/>
              <w:bottom w:val="single" w:sz="4" w:space="0" w:color="auto"/>
              <w:right w:val="single" w:sz="4" w:space="0" w:color="auto"/>
            </w:tcBorders>
            <w:shd w:val="clear" w:color="auto" w:fill="auto"/>
            <w:noWrap/>
            <w:hideMark/>
          </w:tcPr>
          <w:p w14:paraId="76603BFB"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40 000</w:t>
            </w:r>
          </w:p>
        </w:tc>
        <w:tc>
          <w:tcPr>
            <w:tcW w:w="1890" w:type="dxa"/>
            <w:tcBorders>
              <w:top w:val="nil"/>
              <w:left w:val="nil"/>
              <w:bottom w:val="single" w:sz="4" w:space="0" w:color="auto"/>
              <w:right w:val="single" w:sz="4" w:space="0" w:color="auto"/>
            </w:tcBorders>
            <w:shd w:val="clear" w:color="auto" w:fill="auto"/>
            <w:noWrap/>
            <w:hideMark/>
          </w:tcPr>
          <w:p w14:paraId="64E9F05C"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40 000</w:t>
            </w:r>
          </w:p>
        </w:tc>
        <w:tc>
          <w:tcPr>
            <w:tcW w:w="1890" w:type="dxa"/>
            <w:tcBorders>
              <w:top w:val="nil"/>
              <w:left w:val="nil"/>
              <w:bottom w:val="single" w:sz="4" w:space="0" w:color="auto"/>
              <w:right w:val="single" w:sz="4" w:space="0" w:color="auto"/>
            </w:tcBorders>
            <w:shd w:val="clear" w:color="auto" w:fill="auto"/>
            <w:noWrap/>
            <w:hideMark/>
          </w:tcPr>
          <w:p w14:paraId="7DB6F413"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30 000</w:t>
            </w:r>
          </w:p>
        </w:tc>
      </w:tr>
      <w:tr w:rsidR="004315D4" w:rsidRPr="00006053" w14:paraId="3CF02DB8"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ECF0F98"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Installations d’expérimentation et d’essais</w:t>
            </w:r>
          </w:p>
        </w:tc>
        <w:tc>
          <w:tcPr>
            <w:tcW w:w="1818" w:type="dxa"/>
            <w:tcBorders>
              <w:top w:val="nil"/>
              <w:left w:val="nil"/>
              <w:bottom w:val="single" w:sz="4" w:space="0" w:color="auto"/>
              <w:right w:val="single" w:sz="4" w:space="0" w:color="auto"/>
            </w:tcBorders>
            <w:shd w:val="clear" w:color="auto" w:fill="auto"/>
            <w:noWrap/>
            <w:hideMark/>
          </w:tcPr>
          <w:p w14:paraId="0895ECCD"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c>
          <w:tcPr>
            <w:tcW w:w="1890" w:type="dxa"/>
            <w:tcBorders>
              <w:top w:val="nil"/>
              <w:left w:val="nil"/>
              <w:bottom w:val="single" w:sz="4" w:space="0" w:color="auto"/>
              <w:right w:val="single" w:sz="4" w:space="0" w:color="auto"/>
            </w:tcBorders>
            <w:shd w:val="clear" w:color="auto" w:fill="auto"/>
            <w:noWrap/>
            <w:hideMark/>
          </w:tcPr>
          <w:p w14:paraId="7AAA18E2"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c>
          <w:tcPr>
            <w:tcW w:w="1890" w:type="dxa"/>
            <w:tcBorders>
              <w:top w:val="nil"/>
              <w:left w:val="nil"/>
              <w:bottom w:val="single" w:sz="4" w:space="0" w:color="auto"/>
              <w:right w:val="single" w:sz="4" w:space="0" w:color="auto"/>
            </w:tcBorders>
            <w:shd w:val="clear" w:color="auto" w:fill="auto"/>
            <w:noWrap/>
            <w:hideMark/>
          </w:tcPr>
          <w:p w14:paraId="6A89A0F1"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15 000</w:t>
            </w:r>
          </w:p>
        </w:tc>
      </w:tr>
      <w:tr w:rsidR="004315D4" w:rsidRPr="00006053" w14:paraId="29D0EEB4"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516C275"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Coûts différentiels d’exploitation liés aux matières premières</w:t>
            </w:r>
          </w:p>
        </w:tc>
        <w:tc>
          <w:tcPr>
            <w:tcW w:w="1818" w:type="dxa"/>
            <w:tcBorders>
              <w:top w:val="nil"/>
              <w:left w:val="nil"/>
              <w:bottom w:val="single" w:sz="4" w:space="0" w:color="auto"/>
              <w:right w:val="single" w:sz="4" w:space="0" w:color="auto"/>
            </w:tcBorders>
            <w:shd w:val="clear" w:color="auto" w:fill="auto"/>
            <w:noWrap/>
            <w:hideMark/>
          </w:tcPr>
          <w:p w14:paraId="352F01CF"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c>
          <w:tcPr>
            <w:tcW w:w="1890" w:type="dxa"/>
            <w:tcBorders>
              <w:top w:val="nil"/>
              <w:left w:val="nil"/>
              <w:bottom w:val="single" w:sz="4" w:space="0" w:color="auto"/>
              <w:right w:val="single" w:sz="4" w:space="0" w:color="auto"/>
            </w:tcBorders>
            <w:shd w:val="clear" w:color="auto" w:fill="auto"/>
            <w:noWrap/>
            <w:hideMark/>
          </w:tcPr>
          <w:p w14:paraId="67652CFA"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 </w:t>
            </w:r>
          </w:p>
        </w:tc>
        <w:tc>
          <w:tcPr>
            <w:tcW w:w="1890" w:type="dxa"/>
            <w:tcBorders>
              <w:top w:val="nil"/>
              <w:left w:val="nil"/>
              <w:bottom w:val="single" w:sz="4" w:space="0" w:color="auto"/>
              <w:right w:val="single" w:sz="4" w:space="0" w:color="auto"/>
            </w:tcBorders>
            <w:shd w:val="clear" w:color="auto" w:fill="auto"/>
            <w:noWrap/>
            <w:hideMark/>
          </w:tcPr>
          <w:p w14:paraId="2F7B574D"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50 000</w:t>
            </w:r>
          </w:p>
        </w:tc>
      </w:tr>
      <w:tr w:rsidR="004315D4" w:rsidRPr="00006053" w14:paraId="42766AAF"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F623F0A"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Essais, formation et appui technique</w:t>
            </w:r>
          </w:p>
        </w:tc>
        <w:tc>
          <w:tcPr>
            <w:tcW w:w="1818" w:type="dxa"/>
            <w:tcBorders>
              <w:top w:val="nil"/>
              <w:left w:val="nil"/>
              <w:bottom w:val="single" w:sz="4" w:space="0" w:color="auto"/>
              <w:right w:val="single" w:sz="4" w:space="0" w:color="auto"/>
            </w:tcBorders>
            <w:shd w:val="clear" w:color="auto" w:fill="auto"/>
            <w:noWrap/>
            <w:hideMark/>
          </w:tcPr>
          <w:p w14:paraId="07193FB3"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20 000</w:t>
            </w:r>
          </w:p>
        </w:tc>
        <w:tc>
          <w:tcPr>
            <w:tcW w:w="1890" w:type="dxa"/>
            <w:tcBorders>
              <w:top w:val="nil"/>
              <w:left w:val="nil"/>
              <w:bottom w:val="single" w:sz="4" w:space="0" w:color="auto"/>
              <w:right w:val="single" w:sz="4" w:space="0" w:color="auto"/>
            </w:tcBorders>
            <w:shd w:val="clear" w:color="auto" w:fill="auto"/>
            <w:noWrap/>
            <w:hideMark/>
          </w:tcPr>
          <w:p w14:paraId="6EAD5A11"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20 000</w:t>
            </w:r>
          </w:p>
        </w:tc>
        <w:tc>
          <w:tcPr>
            <w:tcW w:w="1890" w:type="dxa"/>
            <w:tcBorders>
              <w:top w:val="nil"/>
              <w:left w:val="nil"/>
              <w:bottom w:val="single" w:sz="4" w:space="0" w:color="auto"/>
              <w:right w:val="single" w:sz="4" w:space="0" w:color="auto"/>
            </w:tcBorders>
            <w:shd w:val="clear" w:color="auto" w:fill="auto"/>
            <w:noWrap/>
            <w:hideMark/>
          </w:tcPr>
          <w:p w14:paraId="0B65262E"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25 000</w:t>
            </w:r>
          </w:p>
        </w:tc>
      </w:tr>
      <w:tr w:rsidR="004315D4" w:rsidRPr="00006053" w14:paraId="749B7DD3"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3E78959"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Total</w:t>
            </w:r>
          </w:p>
        </w:tc>
        <w:tc>
          <w:tcPr>
            <w:tcW w:w="1818" w:type="dxa"/>
            <w:tcBorders>
              <w:top w:val="nil"/>
              <w:left w:val="nil"/>
              <w:bottom w:val="single" w:sz="4" w:space="0" w:color="auto"/>
              <w:right w:val="single" w:sz="4" w:space="0" w:color="auto"/>
            </w:tcBorders>
            <w:shd w:val="clear" w:color="auto" w:fill="auto"/>
            <w:noWrap/>
            <w:hideMark/>
          </w:tcPr>
          <w:p w14:paraId="748D0A00"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350 000</w:t>
            </w:r>
          </w:p>
        </w:tc>
        <w:tc>
          <w:tcPr>
            <w:tcW w:w="1890" w:type="dxa"/>
            <w:tcBorders>
              <w:top w:val="nil"/>
              <w:left w:val="nil"/>
              <w:bottom w:val="single" w:sz="4" w:space="0" w:color="auto"/>
              <w:right w:val="single" w:sz="4" w:space="0" w:color="auto"/>
            </w:tcBorders>
            <w:shd w:val="clear" w:color="auto" w:fill="auto"/>
            <w:noWrap/>
            <w:hideMark/>
          </w:tcPr>
          <w:p w14:paraId="61C586B4"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350 000</w:t>
            </w:r>
          </w:p>
        </w:tc>
        <w:tc>
          <w:tcPr>
            <w:tcW w:w="1890" w:type="dxa"/>
            <w:tcBorders>
              <w:top w:val="nil"/>
              <w:left w:val="nil"/>
              <w:bottom w:val="single" w:sz="4" w:space="0" w:color="auto"/>
              <w:right w:val="single" w:sz="4" w:space="0" w:color="auto"/>
            </w:tcBorders>
            <w:shd w:val="clear" w:color="auto" w:fill="auto"/>
            <w:noWrap/>
            <w:hideMark/>
          </w:tcPr>
          <w:p w14:paraId="71CD8606"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200 000</w:t>
            </w:r>
          </w:p>
        </w:tc>
      </w:tr>
      <w:tr w:rsidR="004315D4" w:rsidRPr="00006053" w14:paraId="3F499FD5" w14:textId="77777777" w:rsidTr="00DD32D0">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C370C5B" w14:textId="77777777" w:rsidR="004315D4" w:rsidRPr="00006053" w:rsidRDefault="004315D4" w:rsidP="00DD32D0">
            <w:pPr>
              <w:jc w:val="left"/>
              <w:rPr>
                <w:color w:val="000000"/>
                <w:sz w:val="20"/>
                <w:szCs w:val="20"/>
                <w:lang w:val="fr-FR" w:eastAsia="en-CA"/>
              </w:rPr>
            </w:pPr>
            <w:r w:rsidRPr="00006053">
              <w:rPr>
                <w:color w:val="000000"/>
                <w:sz w:val="20"/>
                <w:szCs w:val="20"/>
                <w:lang w:val="fr-FR" w:eastAsia="fr"/>
              </w:rPr>
              <w:t>Financement accordé par le Fonds multilatéral</w:t>
            </w:r>
          </w:p>
        </w:tc>
        <w:tc>
          <w:tcPr>
            <w:tcW w:w="1818" w:type="dxa"/>
            <w:tcBorders>
              <w:top w:val="nil"/>
              <w:left w:val="nil"/>
              <w:bottom w:val="single" w:sz="4" w:space="0" w:color="auto"/>
              <w:right w:val="single" w:sz="4" w:space="0" w:color="auto"/>
            </w:tcBorders>
            <w:shd w:val="clear" w:color="auto" w:fill="auto"/>
            <w:noWrap/>
            <w:hideMark/>
          </w:tcPr>
          <w:p w14:paraId="36E1A68C"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300 000</w:t>
            </w:r>
          </w:p>
        </w:tc>
        <w:tc>
          <w:tcPr>
            <w:tcW w:w="1890" w:type="dxa"/>
            <w:tcBorders>
              <w:top w:val="nil"/>
              <w:left w:val="nil"/>
              <w:bottom w:val="single" w:sz="4" w:space="0" w:color="auto"/>
              <w:right w:val="single" w:sz="4" w:space="0" w:color="auto"/>
            </w:tcBorders>
            <w:shd w:val="clear" w:color="auto" w:fill="auto"/>
            <w:noWrap/>
            <w:hideMark/>
          </w:tcPr>
          <w:p w14:paraId="09BF1823"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300 000</w:t>
            </w:r>
          </w:p>
        </w:tc>
        <w:tc>
          <w:tcPr>
            <w:tcW w:w="1890" w:type="dxa"/>
            <w:tcBorders>
              <w:top w:val="nil"/>
              <w:left w:val="nil"/>
              <w:bottom w:val="single" w:sz="4" w:space="0" w:color="auto"/>
              <w:right w:val="single" w:sz="4" w:space="0" w:color="auto"/>
            </w:tcBorders>
            <w:shd w:val="clear" w:color="auto" w:fill="auto"/>
            <w:noWrap/>
            <w:hideMark/>
          </w:tcPr>
          <w:p w14:paraId="030DB0F0" w14:textId="77777777" w:rsidR="004315D4" w:rsidRPr="00006053" w:rsidRDefault="004315D4" w:rsidP="00DD32D0">
            <w:pPr>
              <w:jc w:val="right"/>
              <w:rPr>
                <w:color w:val="000000"/>
                <w:sz w:val="20"/>
                <w:szCs w:val="20"/>
                <w:lang w:val="fr-FR" w:eastAsia="en-CA"/>
              </w:rPr>
            </w:pPr>
            <w:r w:rsidRPr="00006053">
              <w:rPr>
                <w:color w:val="000000"/>
                <w:sz w:val="20"/>
                <w:szCs w:val="20"/>
                <w:lang w:val="fr-FR" w:eastAsia="fr"/>
              </w:rPr>
              <w:t>150 000</w:t>
            </w:r>
          </w:p>
        </w:tc>
      </w:tr>
    </w:tbl>
    <w:p w14:paraId="06859483" w14:textId="77777777" w:rsidR="004315D4" w:rsidRPr="00006053" w:rsidRDefault="004315D4" w:rsidP="004315D4">
      <w:pPr>
        <w:rPr>
          <w:rFonts w:eastAsia="SimSun"/>
          <w:b/>
          <w:lang w:val="fr-FR"/>
        </w:rPr>
      </w:pPr>
    </w:p>
    <w:p w14:paraId="4D9F1FCF" w14:textId="77777777" w:rsidR="004315D4" w:rsidRPr="00006053" w:rsidRDefault="004315D4" w:rsidP="004315D4">
      <w:pPr>
        <w:pStyle w:val="Heading1"/>
        <w:keepNext/>
        <w:keepLines/>
        <w:rPr>
          <w:rFonts w:eastAsia="SimSun"/>
          <w:lang w:val="fr-FR"/>
        </w:rPr>
      </w:pPr>
      <w:r w:rsidRPr="00006053">
        <w:rPr>
          <w:rFonts w:eastAsia="SimSun"/>
          <w:lang w:val="fr-FR"/>
        </w:rPr>
        <w:t>Le coût total des projets liés aux entreprises de formulation au cours de la phase II du PGEH est indiqué au tableau 6.</w:t>
      </w:r>
    </w:p>
    <w:p w14:paraId="6C942735" w14:textId="77777777" w:rsidR="004315D4" w:rsidRPr="00006053" w:rsidRDefault="004315D4" w:rsidP="004315D4">
      <w:pPr>
        <w:keepNext/>
        <w:keepLines/>
        <w:jc w:val="left"/>
        <w:rPr>
          <w:rFonts w:eastAsia="SimSun"/>
          <w:b/>
          <w:lang w:val="fr-FR"/>
        </w:rPr>
      </w:pPr>
      <w:r w:rsidRPr="00006053">
        <w:rPr>
          <w:rFonts w:eastAsia="SimSun"/>
          <w:b/>
          <w:lang w:val="fr-FR"/>
        </w:rPr>
        <w:t>Tableau 6. Coût total des projets liés aux entreprises de formulation ($US)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1527"/>
        <w:gridCol w:w="1500"/>
        <w:gridCol w:w="1285"/>
      </w:tblGrid>
      <w:tr w:rsidR="004315D4" w:rsidRPr="00006053" w14:paraId="5F272902" w14:textId="77777777" w:rsidTr="00DD32D0">
        <w:trPr>
          <w:trHeight w:val="152"/>
          <w:jc w:val="center"/>
        </w:trPr>
        <w:tc>
          <w:tcPr>
            <w:tcW w:w="2227" w:type="pct"/>
            <w:noWrap/>
            <w:vAlign w:val="center"/>
          </w:tcPr>
          <w:p w14:paraId="0AB10262" w14:textId="77777777" w:rsidR="004315D4" w:rsidRPr="00006053" w:rsidRDefault="004315D4" w:rsidP="00DD32D0">
            <w:pPr>
              <w:keepNext/>
              <w:keepLines/>
              <w:jc w:val="left"/>
              <w:rPr>
                <w:rFonts w:eastAsia="SimSun"/>
                <w:b/>
                <w:sz w:val="20"/>
                <w:szCs w:val="20"/>
                <w:lang w:val="fr-FR"/>
              </w:rPr>
            </w:pPr>
            <w:r w:rsidRPr="00006053">
              <w:rPr>
                <w:rFonts w:eastAsia="SimSun"/>
                <w:b/>
                <w:sz w:val="20"/>
                <w:szCs w:val="20"/>
                <w:lang w:val="fr-FR"/>
              </w:rPr>
              <w:t xml:space="preserve">Entreprises de formulation </w:t>
            </w:r>
          </w:p>
        </w:tc>
        <w:tc>
          <w:tcPr>
            <w:tcW w:w="844" w:type="pct"/>
            <w:noWrap/>
            <w:vAlign w:val="center"/>
          </w:tcPr>
          <w:p w14:paraId="43B53342" w14:textId="77777777" w:rsidR="004315D4" w:rsidRPr="00006053" w:rsidRDefault="004315D4" w:rsidP="00DD32D0">
            <w:pPr>
              <w:keepNext/>
              <w:keepLines/>
              <w:jc w:val="center"/>
              <w:rPr>
                <w:rFonts w:eastAsia="SimSun"/>
                <w:b/>
                <w:sz w:val="20"/>
                <w:szCs w:val="20"/>
                <w:lang w:val="fr-FR"/>
              </w:rPr>
            </w:pPr>
            <w:r w:rsidRPr="00006053">
              <w:rPr>
                <w:rFonts w:eastAsia="SimSun"/>
                <w:b/>
                <w:sz w:val="20"/>
                <w:szCs w:val="20"/>
                <w:lang w:val="fr-FR"/>
              </w:rPr>
              <w:t>Hydrocarbures</w:t>
            </w:r>
          </w:p>
        </w:tc>
        <w:tc>
          <w:tcPr>
            <w:tcW w:w="1086" w:type="pct"/>
            <w:noWrap/>
            <w:vAlign w:val="center"/>
          </w:tcPr>
          <w:p w14:paraId="197C33A9" w14:textId="77777777" w:rsidR="004315D4" w:rsidRPr="00006053" w:rsidRDefault="004315D4" w:rsidP="00DD32D0">
            <w:pPr>
              <w:keepNext/>
              <w:keepLines/>
              <w:jc w:val="center"/>
              <w:rPr>
                <w:rFonts w:eastAsia="SimSun"/>
                <w:b/>
                <w:sz w:val="20"/>
                <w:szCs w:val="20"/>
                <w:lang w:val="fr-FR"/>
              </w:rPr>
            </w:pPr>
            <w:r w:rsidRPr="00006053">
              <w:rPr>
                <w:rFonts w:eastAsia="SimSun"/>
                <w:b/>
                <w:sz w:val="20"/>
                <w:szCs w:val="20"/>
                <w:lang w:val="fr-FR"/>
              </w:rPr>
              <w:t>HFO/eau</w:t>
            </w:r>
          </w:p>
        </w:tc>
        <w:tc>
          <w:tcPr>
            <w:tcW w:w="843" w:type="pct"/>
            <w:noWrap/>
            <w:vAlign w:val="center"/>
          </w:tcPr>
          <w:p w14:paraId="4CD69536" w14:textId="77777777" w:rsidR="004315D4" w:rsidRPr="00006053" w:rsidRDefault="004315D4" w:rsidP="00DD32D0">
            <w:pPr>
              <w:keepNext/>
              <w:keepLines/>
              <w:jc w:val="center"/>
              <w:rPr>
                <w:rFonts w:eastAsia="SimSun"/>
                <w:b/>
                <w:sz w:val="20"/>
                <w:szCs w:val="20"/>
                <w:lang w:val="fr-FR"/>
              </w:rPr>
            </w:pPr>
            <w:r w:rsidRPr="00006053">
              <w:rPr>
                <w:rFonts w:eastAsia="SimSun"/>
                <w:b/>
                <w:sz w:val="20"/>
                <w:szCs w:val="20"/>
                <w:lang w:val="fr-FR"/>
              </w:rPr>
              <w:t>Total</w:t>
            </w:r>
          </w:p>
        </w:tc>
      </w:tr>
      <w:tr w:rsidR="004315D4" w:rsidRPr="00006053" w14:paraId="636575F0" w14:textId="77777777" w:rsidTr="00DD32D0">
        <w:trPr>
          <w:trHeight w:val="116"/>
          <w:jc w:val="center"/>
        </w:trPr>
        <w:tc>
          <w:tcPr>
            <w:tcW w:w="2227" w:type="pct"/>
            <w:noWrap/>
          </w:tcPr>
          <w:p w14:paraId="7C5D1D3F" w14:textId="77777777" w:rsidR="004315D4" w:rsidRPr="00006053" w:rsidRDefault="004315D4" w:rsidP="00DD32D0">
            <w:pPr>
              <w:keepNext/>
              <w:keepLines/>
              <w:rPr>
                <w:rFonts w:eastAsia="SimSun"/>
                <w:sz w:val="20"/>
                <w:szCs w:val="20"/>
                <w:lang w:val="fr-FR"/>
              </w:rPr>
            </w:pPr>
            <w:r w:rsidRPr="00006053">
              <w:rPr>
                <w:rFonts w:eastAsia="SimSun"/>
                <w:sz w:val="20"/>
                <w:szCs w:val="20"/>
                <w:lang w:val="fr-FR"/>
              </w:rPr>
              <w:t>Fonds nécessaires ($US)</w:t>
            </w:r>
          </w:p>
        </w:tc>
        <w:tc>
          <w:tcPr>
            <w:tcW w:w="844" w:type="pct"/>
            <w:noWrap/>
          </w:tcPr>
          <w:p w14:paraId="1B37ECD4" w14:textId="77777777" w:rsidR="004315D4" w:rsidRPr="00006053" w:rsidRDefault="004315D4" w:rsidP="00DD32D0">
            <w:pPr>
              <w:keepNext/>
              <w:keepLines/>
              <w:jc w:val="right"/>
              <w:rPr>
                <w:rFonts w:eastAsia="SimSun"/>
                <w:sz w:val="20"/>
                <w:szCs w:val="20"/>
                <w:lang w:val="fr-FR"/>
              </w:rPr>
            </w:pPr>
            <w:r w:rsidRPr="00006053">
              <w:rPr>
                <w:rFonts w:eastAsia="SimSun"/>
                <w:sz w:val="20"/>
                <w:szCs w:val="20"/>
                <w:lang w:val="fr-FR"/>
              </w:rPr>
              <w:t>300 000</w:t>
            </w:r>
          </w:p>
        </w:tc>
        <w:tc>
          <w:tcPr>
            <w:tcW w:w="1086" w:type="pct"/>
            <w:noWrap/>
          </w:tcPr>
          <w:p w14:paraId="4B854D11" w14:textId="77777777" w:rsidR="004315D4" w:rsidRPr="00006053" w:rsidRDefault="004315D4" w:rsidP="00DD32D0">
            <w:pPr>
              <w:keepNext/>
              <w:keepLines/>
              <w:jc w:val="right"/>
              <w:rPr>
                <w:rFonts w:eastAsia="SimSun"/>
                <w:sz w:val="20"/>
                <w:szCs w:val="20"/>
                <w:lang w:val="fr-FR"/>
              </w:rPr>
            </w:pPr>
            <w:r w:rsidRPr="00006053">
              <w:rPr>
                <w:rFonts w:eastAsia="SimSun"/>
                <w:sz w:val="20"/>
                <w:szCs w:val="20"/>
                <w:lang w:val="fr-FR"/>
              </w:rPr>
              <w:t>150 000</w:t>
            </w:r>
          </w:p>
        </w:tc>
        <w:tc>
          <w:tcPr>
            <w:tcW w:w="843" w:type="pct"/>
            <w:noWrap/>
          </w:tcPr>
          <w:p w14:paraId="53EA6D07" w14:textId="77777777" w:rsidR="004315D4" w:rsidRPr="00006053" w:rsidRDefault="004315D4" w:rsidP="00DD32D0">
            <w:pPr>
              <w:keepNext/>
              <w:keepLines/>
              <w:jc w:val="right"/>
              <w:rPr>
                <w:rFonts w:eastAsia="SimSun"/>
                <w:sz w:val="20"/>
                <w:szCs w:val="20"/>
                <w:lang w:val="fr-FR"/>
              </w:rPr>
            </w:pPr>
            <w:r w:rsidRPr="00006053">
              <w:rPr>
                <w:rFonts w:eastAsia="SimSun"/>
                <w:sz w:val="20"/>
                <w:szCs w:val="20"/>
                <w:lang w:val="fr-FR"/>
              </w:rPr>
              <w:t>-</w:t>
            </w:r>
          </w:p>
        </w:tc>
      </w:tr>
      <w:tr w:rsidR="004315D4" w:rsidRPr="00006053" w14:paraId="402BAC43" w14:textId="77777777" w:rsidTr="00DD32D0">
        <w:trPr>
          <w:trHeight w:val="44"/>
          <w:jc w:val="center"/>
        </w:trPr>
        <w:tc>
          <w:tcPr>
            <w:tcW w:w="2227" w:type="pct"/>
            <w:noWrap/>
          </w:tcPr>
          <w:p w14:paraId="466A7492" w14:textId="77777777" w:rsidR="004315D4" w:rsidRPr="00006053" w:rsidRDefault="004315D4" w:rsidP="00DD32D0">
            <w:pPr>
              <w:rPr>
                <w:rFonts w:eastAsia="SimSun"/>
                <w:sz w:val="20"/>
                <w:szCs w:val="20"/>
                <w:lang w:val="fr-FR"/>
              </w:rPr>
            </w:pPr>
            <w:r w:rsidRPr="00006053">
              <w:rPr>
                <w:rFonts w:eastAsia="SimSun"/>
                <w:sz w:val="20"/>
                <w:szCs w:val="20"/>
                <w:lang w:val="fr-FR"/>
              </w:rPr>
              <w:t xml:space="preserve">Nombre d’entreprises de formulation </w:t>
            </w:r>
          </w:p>
        </w:tc>
        <w:tc>
          <w:tcPr>
            <w:tcW w:w="844" w:type="pct"/>
            <w:noWrap/>
          </w:tcPr>
          <w:p w14:paraId="7D06CC98"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4</w:t>
            </w:r>
          </w:p>
        </w:tc>
        <w:tc>
          <w:tcPr>
            <w:tcW w:w="1086" w:type="pct"/>
            <w:noWrap/>
          </w:tcPr>
          <w:p w14:paraId="08E3CEF8"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15</w:t>
            </w:r>
          </w:p>
        </w:tc>
        <w:tc>
          <w:tcPr>
            <w:tcW w:w="843" w:type="pct"/>
            <w:noWrap/>
          </w:tcPr>
          <w:p w14:paraId="2687BB5D"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19</w:t>
            </w:r>
          </w:p>
        </w:tc>
      </w:tr>
      <w:tr w:rsidR="004315D4" w:rsidRPr="00006053" w14:paraId="54424191" w14:textId="77777777" w:rsidTr="00DD32D0">
        <w:trPr>
          <w:trHeight w:val="152"/>
          <w:jc w:val="center"/>
        </w:trPr>
        <w:tc>
          <w:tcPr>
            <w:tcW w:w="2227" w:type="pct"/>
            <w:noWrap/>
          </w:tcPr>
          <w:p w14:paraId="667C5922" w14:textId="77777777" w:rsidR="004315D4" w:rsidRPr="00006053" w:rsidRDefault="004315D4" w:rsidP="00DD32D0">
            <w:pPr>
              <w:rPr>
                <w:rFonts w:eastAsia="SimSun"/>
                <w:sz w:val="20"/>
                <w:szCs w:val="20"/>
                <w:lang w:val="fr-FR"/>
              </w:rPr>
            </w:pPr>
            <w:r w:rsidRPr="00006053">
              <w:rPr>
                <w:rFonts w:eastAsia="SimSun"/>
                <w:sz w:val="20"/>
                <w:szCs w:val="20"/>
                <w:lang w:val="fr-FR"/>
              </w:rPr>
              <w:t>Coût total relatif aux entreprises de formulation ($US)</w:t>
            </w:r>
          </w:p>
        </w:tc>
        <w:tc>
          <w:tcPr>
            <w:tcW w:w="844" w:type="pct"/>
            <w:noWrap/>
          </w:tcPr>
          <w:p w14:paraId="4B74628A"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1 200 000</w:t>
            </w:r>
          </w:p>
        </w:tc>
        <w:tc>
          <w:tcPr>
            <w:tcW w:w="1086" w:type="pct"/>
            <w:noWrap/>
          </w:tcPr>
          <w:p w14:paraId="4AF52545"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2 250 000</w:t>
            </w:r>
          </w:p>
        </w:tc>
        <w:tc>
          <w:tcPr>
            <w:tcW w:w="843" w:type="pct"/>
            <w:noWrap/>
          </w:tcPr>
          <w:p w14:paraId="39A39970"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3 450 000</w:t>
            </w:r>
          </w:p>
        </w:tc>
      </w:tr>
      <w:tr w:rsidR="004315D4" w:rsidRPr="00006053" w14:paraId="69B98672" w14:textId="77777777" w:rsidTr="00DD32D0">
        <w:trPr>
          <w:trHeight w:val="170"/>
          <w:jc w:val="center"/>
        </w:trPr>
        <w:tc>
          <w:tcPr>
            <w:tcW w:w="2227" w:type="pct"/>
            <w:noWrap/>
          </w:tcPr>
          <w:p w14:paraId="0CDA3663" w14:textId="77777777" w:rsidR="004315D4" w:rsidRPr="00006053" w:rsidRDefault="004315D4" w:rsidP="00DD32D0">
            <w:pPr>
              <w:rPr>
                <w:rFonts w:eastAsia="SimSun"/>
                <w:sz w:val="20"/>
                <w:szCs w:val="20"/>
                <w:lang w:val="fr-FR"/>
              </w:rPr>
            </w:pPr>
            <w:r w:rsidRPr="00006053">
              <w:rPr>
                <w:rFonts w:eastAsia="SimSun"/>
                <w:sz w:val="20"/>
                <w:szCs w:val="20"/>
                <w:lang w:val="fr-FR"/>
              </w:rPr>
              <w:t>Coût des essais menés dans les PME transformatrices ($US)</w:t>
            </w:r>
          </w:p>
        </w:tc>
        <w:tc>
          <w:tcPr>
            <w:tcW w:w="844" w:type="pct"/>
            <w:noWrap/>
          </w:tcPr>
          <w:p w14:paraId="2A653E38"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0</w:t>
            </w:r>
          </w:p>
        </w:tc>
        <w:tc>
          <w:tcPr>
            <w:tcW w:w="1086" w:type="pct"/>
            <w:noWrap/>
          </w:tcPr>
          <w:p w14:paraId="0910C469"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50 000</w:t>
            </w:r>
          </w:p>
        </w:tc>
        <w:tc>
          <w:tcPr>
            <w:tcW w:w="843" w:type="pct"/>
            <w:noWrap/>
          </w:tcPr>
          <w:p w14:paraId="634BB05B"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w:t>
            </w:r>
          </w:p>
        </w:tc>
      </w:tr>
      <w:tr w:rsidR="004315D4" w:rsidRPr="00006053" w14:paraId="4489CD08" w14:textId="77777777" w:rsidTr="00DD32D0">
        <w:trPr>
          <w:trHeight w:val="251"/>
          <w:jc w:val="center"/>
        </w:trPr>
        <w:tc>
          <w:tcPr>
            <w:tcW w:w="2227" w:type="pct"/>
            <w:noWrap/>
          </w:tcPr>
          <w:p w14:paraId="0D67B921" w14:textId="77777777" w:rsidR="004315D4" w:rsidRPr="00006053" w:rsidRDefault="004315D4" w:rsidP="00DD32D0">
            <w:pPr>
              <w:rPr>
                <w:rFonts w:eastAsia="SimSun"/>
                <w:sz w:val="20"/>
                <w:szCs w:val="20"/>
                <w:lang w:val="fr-FR"/>
              </w:rPr>
            </w:pPr>
            <w:r w:rsidRPr="00006053">
              <w:rPr>
                <w:rFonts w:eastAsia="SimSun"/>
                <w:sz w:val="20"/>
                <w:szCs w:val="20"/>
                <w:lang w:val="fr-FR"/>
              </w:rPr>
              <w:t xml:space="preserve">PME transformatrices ayant bénéficié d’un appui </w:t>
            </w:r>
          </w:p>
        </w:tc>
        <w:tc>
          <w:tcPr>
            <w:tcW w:w="844" w:type="pct"/>
            <w:noWrap/>
          </w:tcPr>
          <w:p w14:paraId="5F35E82D"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0</w:t>
            </w:r>
          </w:p>
        </w:tc>
        <w:tc>
          <w:tcPr>
            <w:tcW w:w="1086" w:type="pct"/>
            <w:noWrap/>
          </w:tcPr>
          <w:p w14:paraId="3218E13D"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40</w:t>
            </w:r>
          </w:p>
        </w:tc>
        <w:tc>
          <w:tcPr>
            <w:tcW w:w="843" w:type="pct"/>
            <w:noWrap/>
          </w:tcPr>
          <w:p w14:paraId="7F85A14C"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40</w:t>
            </w:r>
          </w:p>
        </w:tc>
      </w:tr>
      <w:tr w:rsidR="004315D4" w:rsidRPr="00006053" w14:paraId="69328191" w14:textId="77777777" w:rsidTr="00DD32D0">
        <w:trPr>
          <w:trHeight w:val="80"/>
          <w:jc w:val="center"/>
        </w:trPr>
        <w:tc>
          <w:tcPr>
            <w:tcW w:w="2227" w:type="pct"/>
            <w:noWrap/>
          </w:tcPr>
          <w:p w14:paraId="758B7F73" w14:textId="77777777" w:rsidR="004315D4" w:rsidRPr="00006053" w:rsidRDefault="004315D4" w:rsidP="00DD32D0">
            <w:pPr>
              <w:rPr>
                <w:rFonts w:eastAsia="SimSun"/>
                <w:sz w:val="20"/>
                <w:szCs w:val="20"/>
                <w:lang w:val="fr-FR"/>
              </w:rPr>
            </w:pPr>
            <w:r w:rsidRPr="00006053">
              <w:rPr>
                <w:rFonts w:eastAsia="SimSun"/>
                <w:sz w:val="20"/>
                <w:szCs w:val="20"/>
                <w:lang w:val="fr-FR"/>
              </w:rPr>
              <w:t>Coût total des PME transformatrices ($US)</w:t>
            </w:r>
          </w:p>
        </w:tc>
        <w:tc>
          <w:tcPr>
            <w:tcW w:w="844" w:type="pct"/>
            <w:noWrap/>
          </w:tcPr>
          <w:p w14:paraId="03A54CED"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w:t>
            </w:r>
          </w:p>
        </w:tc>
        <w:tc>
          <w:tcPr>
            <w:tcW w:w="1086" w:type="pct"/>
            <w:noWrap/>
          </w:tcPr>
          <w:p w14:paraId="7784D42B"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2 000 000</w:t>
            </w:r>
          </w:p>
        </w:tc>
        <w:tc>
          <w:tcPr>
            <w:tcW w:w="843" w:type="pct"/>
            <w:noWrap/>
          </w:tcPr>
          <w:p w14:paraId="3DCC7F0A" w14:textId="77777777" w:rsidR="004315D4" w:rsidRPr="00006053" w:rsidRDefault="004315D4" w:rsidP="00DD32D0">
            <w:pPr>
              <w:jc w:val="right"/>
              <w:rPr>
                <w:rFonts w:eastAsia="SimSun"/>
                <w:sz w:val="20"/>
                <w:szCs w:val="20"/>
                <w:lang w:val="fr-FR"/>
              </w:rPr>
            </w:pPr>
            <w:r w:rsidRPr="00006053">
              <w:rPr>
                <w:rFonts w:eastAsia="SimSun"/>
                <w:sz w:val="20"/>
                <w:szCs w:val="20"/>
                <w:lang w:val="fr-FR"/>
              </w:rPr>
              <w:t>2 000 000</w:t>
            </w:r>
          </w:p>
        </w:tc>
      </w:tr>
      <w:tr w:rsidR="004315D4" w:rsidRPr="00006053" w14:paraId="62E9D2BC" w14:textId="77777777" w:rsidTr="00DD32D0">
        <w:trPr>
          <w:trHeight w:val="143"/>
          <w:jc w:val="center"/>
        </w:trPr>
        <w:tc>
          <w:tcPr>
            <w:tcW w:w="2227" w:type="pct"/>
            <w:noWrap/>
          </w:tcPr>
          <w:p w14:paraId="51A176D5" w14:textId="77777777" w:rsidR="004315D4" w:rsidRPr="00006053" w:rsidRDefault="004315D4" w:rsidP="00DD32D0">
            <w:pPr>
              <w:rPr>
                <w:rFonts w:eastAsia="SimSun"/>
                <w:b/>
                <w:bCs/>
                <w:sz w:val="20"/>
                <w:szCs w:val="20"/>
                <w:lang w:val="fr-FR"/>
              </w:rPr>
            </w:pPr>
            <w:r w:rsidRPr="00006053">
              <w:rPr>
                <w:rFonts w:eastAsia="SimSun"/>
                <w:b/>
                <w:bCs/>
                <w:sz w:val="20"/>
                <w:szCs w:val="20"/>
                <w:lang w:val="fr-FR"/>
              </w:rPr>
              <w:t>Coût total ($US)</w:t>
            </w:r>
          </w:p>
        </w:tc>
        <w:tc>
          <w:tcPr>
            <w:tcW w:w="844" w:type="pct"/>
            <w:noWrap/>
          </w:tcPr>
          <w:p w14:paraId="3A58BD72" w14:textId="77777777" w:rsidR="004315D4" w:rsidRPr="00006053" w:rsidRDefault="004315D4" w:rsidP="00DD32D0">
            <w:pPr>
              <w:jc w:val="right"/>
              <w:rPr>
                <w:rFonts w:eastAsia="SimSun"/>
                <w:b/>
                <w:bCs/>
                <w:sz w:val="20"/>
                <w:szCs w:val="20"/>
                <w:lang w:val="fr-FR"/>
              </w:rPr>
            </w:pPr>
            <w:r w:rsidRPr="00006053">
              <w:rPr>
                <w:rFonts w:eastAsia="SimSun"/>
                <w:b/>
                <w:bCs/>
                <w:sz w:val="20"/>
                <w:szCs w:val="20"/>
                <w:lang w:val="fr-FR"/>
              </w:rPr>
              <w:t>1 200 000</w:t>
            </w:r>
          </w:p>
        </w:tc>
        <w:tc>
          <w:tcPr>
            <w:tcW w:w="1086" w:type="pct"/>
            <w:noWrap/>
          </w:tcPr>
          <w:p w14:paraId="79687FC0" w14:textId="77777777" w:rsidR="004315D4" w:rsidRPr="00006053" w:rsidRDefault="004315D4" w:rsidP="00DD32D0">
            <w:pPr>
              <w:jc w:val="right"/>
              <w:rPr>
                <w:rFonts w:eastAsia="SimSun"/>
                <w:b/>
                <w:bCs/>
                <w:sz w:val="20"/>
                <w:szCs w:val="20"/>
                <w:lang w:val="fr-FR"/>
              </w:rPr>
            </w:pPr>
            <w:r w:rsidRPr="00006053">
              <w:rPr>
                <w:rFonts w:eastAsia="SimSun"/>
                <w:b/>
                <w:bCs/>
                <w:sz w:val="20"/>
                <w:szCs w:val="20"/>
                <w:lang w:val="fr-FR"/>
              </w:rPr>
              <w:t>4 250 000</w:t>
            </w:r>
          </w:p>
        </w:tc>
        <w:tc>
          <w:tcPr>
            <w:tcW w:w="843" w:type="pct"/>
            <w:noWrap/>
          </w:tcPr>
          <w:p w14:paraId="38F9D193" w14:textId="77777777" w:rsidR="004315D4" w:rsidRPr="00006053" w:rsidRDefault="004315D4" w:rsidP="00DD32D0">
            <w:pPr>
              <w:jc w:val="right"/>
              <w:rPr>
                <w:rFonts w:eastAsia="SimSun"/>
                <w:b/>
                <w:bCs/>
                <w:sz w:val="20"/>
                <w:szCs w:val="20"/>
                <w:lang w:val="fr-FR"/>
              </w:rPr>
            </w:pPr>
            <w:r w:rsidRPr="00006053">
              <w:rPr>
                <w:rFonts w:eastAsia="SimSun"/>
                <w:b/>
                <w:bCs/>
                <w:sz w:val="20"/>
                <w:szCs w:val="20"/>
                <w:lang w:val="fr-FR"/>
              </w:rPr>
              <w:t>5 450 000</w:t>
            </w:r>
          </w:p>
        </w:tc>
      </w:tr>
    </w:tbl>
    <w:p w14:paraId="3F466A70" w14:textId="77777777" w:rsidR="004315D4" w:rsidRPr="00006053" w:rsidRDefault="004315D4" w:rsidP="004315D4">
      <w:pPr>
        <w:rPr>
          <w:rFonts w:eastAsia="SimSun"/>
          <w:lang w:val="fr-FR"/>
        </w:rPr>
      </w:pPr>
    </w:p>
    <w:p w14:paraId="0B6E12FF" w14:textId="77777777" w:rsidR="004315D4" w:rsidRPr="00006053" w:rsidRDefault="004315D4" w:rsidP="004315D4">
      <w:pPr>
        <w:pStyle w:val="Heading3"/>
        <w:numPr>
          <w:ilvl w:val="0"/>
          <w:numId w:val="0"/>
        </w:numPr>
        <w:rPr>
          <w:rFonts w:eastAsia="SimSun"/>
          <w:i/>
          <w:lang w:val="fr-FR"/>
        </w:rPr>
      </w:pPr>
      <w:bookmarkStart w:id="14" w:name="_Toc26928"/>
      <w:bookmarkStart w:id="15" w:name="_Toc28503"/>
      <w:bookmarkStart w:id="16" w:name="_Toc28330"/>
      <w:bookmarkStart w:id="17" w:name="_Toc19947"/>
      <w:bookmarkStart w:id="18" w:name="_Toc15417"/>
      <w:bookmarkStart w:id="19" w:name="_Toc2201"/>
      <w:bookmarkStart w:id="20" w:name="_Toc14810"/>
      <w:bookmarkStart w:id="21" w:name="_Toc32562"/>
      <w:bookmarkStart w:id="22" w:name="_Toc23967"/>
      <w:bookmarkStart w:id="23" w:name="_Toc13841"/>
      <w:r w:rsidRPr="00006053">
        <w:rPr>
          <w:rFonts w:eastAsia="SimSun"/>
          <w:i/>
          <w:lang w:val="fr-FR"/>
        </w:rPr>
        <w:t>Coûts de l’UGP</w:t>
      </w:r>
      <w:bookmarkEnd w:id="14"/>
      <w:bookmarkEnd w:id="15"/>
      <w:bookmarkEnd w:id="16"/>
      <w:bookmarkEnd w:id="17"/>
      <w:bookmarkEnd w:id="18"/>
      <w:bookmarkEnd w:id="19"/>
      <w:bookmarkEnd w:id="20"/>
      <w:bookmarkEnd w:id="21"/>
      <w:bookmarkEnd w:id="22"/>
      <w:bookmarkEnd w:id="23"/>
    </w:p>
    <w:p w14:paraId="18DB7EFB" w14:textId="77777777" w:rsidR="004315D4" w:rsidRPr="00006053" w:rsidRDefault="004315D4" w:rsidP="004315D4">
      <w:pPr>
        <w:pStyle w:val="Heading1"/>
        <w:rPr>
          <w:rFonts w:eastAsia="SimSun"/>
          <w:lang w:val="fr-FR"/>
        </w:rPr>
      </w:pPr>
      <w:r w:rsidRPr="00006053">
        <w:rPr>
          <w:rFonts w:eastAsia="SimSun"/>
          <w:lang w:val="fr-FR"/>
        </w:rPr>
        <w:t>Les coûts de l’UGP pour la phase II du plan sectoriel des mousses PU de 2021 à 2026 sont présentés dans le tableau 7.</w:t>
      </w:r>
    </w:p>
    <w:p w14:paraId="37A31B75" w14:textId="77777777" w:rsidR="004315D4" w:rsidRPr="00006053" w:rsidRDefault="004315D4" w:rsidP="004315D4">
      <w:pPr>
        <w:keepNext/>
        <w:keepLines/>
        <w:rPr>
          <w:rFonts w:eastAsia="SimSun"/>
          <w:lang w:val="fr-FR"/>
        </w:rPr>
      </w:pPr>
      <w:r w:rsidRPr="00006053">
        <w:rPr>
          <w:rFonts w:eastAsia="SimSun"/>
          <w:b/>
          <w:lang w:val="fr-FR"/>
        </w:rPr>
        <w:t>Tableau 7. Coûts de l’UGP ($US)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6"/>
        <w:gridCol w:w="2794"/>
      </w:tblGrid>
      <w:tr w:rsidR="004315D4" w:rsidRPr="00006053" w14:paraId="426FC1E1" w14:textId="77777777" w:rsidTr="00DD32D0">
        <w:trPr>
          <w:trHeight w:val="98"/>
          <w:tblHeader/>
          <w:jc w:val="center"/>
        </w:trPr>
        <w:tc>
          <w:tcPr>
            <w:tcW w:w="3506" w:type="pct"/>
          </w:tcPr>
          <w:p w14:paraId="07611ACB" w14:textId="77777777" w:rsidR="004315D4" w:rsidRPr="00006053" w:rsidRDefault="004315D4" w:rsidP="00DD32D0">
            <w:pPr>
              <w:rPr>
                <w:b/>
                <w:sz w:val="20"/>
                <w:szCs w:val="20"/>
                <w:lang w:val="fr-FR"/>
              </w:rPr>
            </w:pPr>
            <w:r w:rsidRPr="00006053">
              <w:rPr>
                <w:b/>
                <w:sz w:val="20"/>
                <w:szCs w:val="20"/>
                <w:lang w:val="fr-FR"/>
              </w:rPr>
              <w:t>Description</w:t>
            </w:r>
          </w:p>
        </w:tc>
        <w:tc>
          <w:tcPr>
            <w:tcW w:w="1494" w:type="pct"/>
            <w:tcBorders>
              <w:top w:val="single" w:sz="4" w:space="0" w:color="auto"/>
              <w:left w:val="nil"/>
              <w:bottom w:val="single" w:sz="4" w:space="0" w:color="auto"/>
              <w:right w:val="single" w:sz="4" w:space="0" w:color="auto"/>
            </w:tcBorders>
            <w:vAlign w:val="center"/>
          </w:tcPr>
          <w:p w14:paraId="334D9592" w14:textId="77777777" w:rsidR="004315D4" w:rsidRPr="00006053" w:rsidRDefault="004315D4" w:rsidP="00DD32D0">
            <w:pPr>
              <w:jc w:val="center"/>
              <w:rPr>
                <w:rFonts w:eastAsia="SimSun"/>
                <w:b/>
                <w:sz w:val="20"/>
                <w:szCs w:val="20"/>
                <w:lang w:val="fr-FR"/>
              </w:rPr>
            </w:pPr>
            <w:r w:rsidRPr="00006053">
              <w:rPr>
                <w:rFonts w:eastAsia="SimSun"/>
                <w:b/>
                <w:sz w:val="20"/>
                <w:szCs w:val="20"/>
                <w:lang w:val="fr-FR"/>
              </w:rPr>
              <w:t>Coûts ($US)</w:t>
            </w:r>
          </w:p>
        </w:tc>
      </w:tr>
      <w:tr w:rsidR="004315D4" w:rsidRPr="00006053" w14:paraId="542698A2" w14:textId="77777777" w:rsidTr="00DD32D0">
        <w:trPr>
          <w:trHeight w:val="98"/>
          <w:jc w:val="center"/>
        </w:trPr>
        <w:tc>
          <w:tcPr>
            <w:tcW w:w="3506" w:type="pct"/>
          </w:tcPr>
          <w:p w14:paraId="546DA549" w14:textId="77777777" w:rsidR="004315D4" w:rsidRPr="00006053" w:rsidRDefault="004315D4" w:rsidP="00DD32D0">
            <w:pPr>
              <w:rPr>
                <w:sz w:val="20"/>
                <w:szCs w:val="20"/>
                <w:lang w:val="fr-FR"/>
              </w:rPr>
            </w:pPr>
            <w:r w:rsidRPr="00006053">
              <w:rPr>
                <w:sz w:val="20"/>
                <w:szCs w:val="20"/>
                <w:lang w:val="fr-FR"/>
              </w:rPr>
              <w:t>Personnel du projet</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14:paraId="0D6AC57A"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316 800</w:t>
            </w:r>
          </w:p>
        </w:tc>
      </w:tr>
      <w:tr w:rsidR="004315D4" w:rsidRPr="00006053" w14:paraId="3E2ADB9F" w14:textId="77777777" w:rsidTr="00DD32D0">
        <w:trPr>
          <w:trHeight w:val="165"/>
          <w:jc w:val="center"/>
        </w:trPr>
        <w:tc>
          <w:tcPr>
            <w:tcW w:w="3506" w:type="pct"/>
          </w:tcPr>
          <w:p w14:paraId="67BA6B58" w14:textId="77777777" w:rsidR="004315D4" w:rsidRPr="00006053" w:rsidRDefault="004315D4" w:rsidP="00DD32D0">
            <w:pPr>
              <w:rPr>
                <w:sz w:val="20"/>
                <w:szCs w:val="20"/>
                <w:lang w:val="fr-FR"/>
              </w:rPr>
            </w:pPr>
            <w:r w:rsidRPr="00006053">
              <w:rPr>
                <w:sz w:val="20"/>
                <w:szCs w:val="20"/>
                <w:lang w:val="fr-FR"/>
              </w:rPr>
              <w:t>Voyages intérieurs et internationaux</w:t>
            </w:r>
          </w:p>
        </w:tc>
        <w:tc>
          <w:tcPr>
            <w:tcW w:w="1494" w:type="pct"/>
            <w:tcBorders>
              <w:top w:val="nil"/>
              <w:left w:val="nil"/>
              <w:bottom w:val="single" w:sz="4" w:space="0" w:color="auto"/>
              <w:right w:val="single" w:sz="4" w:space="0" w:color="auto"/>
            </w:tcBorders>
            <w:tcMar>
              <w:left w:w="115" w:type="dxa"/>
              <w:right w:w="1872" w:type="dxa"/>
            </w:tcMar>
            <w:vAlign w:val="center"/>
          </w:tcPr>
          <w:p w14:paraId="75B50FC4"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52 800</w:t>
            </w:r>
          </w:p>
        </w:tc>
      </w:tr>
      <w:tr w:rsidR="004315D4" w:rsidRPr="00006053" w14:paraId="3F53F45A" w14:textId="77777777" w:rsidTr="00DD32D0">
        <w:trPr>
          <w:trHeight w:val="165"/>
          <w:jc w:val="center"/>
        </w:trPr>
        <w:tc>
          <w:tcPr>
            <w:tcW w:w="3506" w:type="pct"/>
          </w:tcPr>
          <w:p w14:paraId="0D3841B3" w14:textId="77777777" w:rsidR="004315D4" w:rsidRPr="00006053" w:rsidRDefault="004315D4" w:rsidP="00DD32D0">
            <w:pPr>
              <w:rPr>
                <w:sz w:val="20"/>
                <w:szCs w:val="20"/>
                <w:lang w:val="fr-FR"/>
              </w:rPr>
            </w:pPr>
            <w:r w:rsidRPr="00006053">
              <w:rPr>
                <w:sz w:val="20"/>
                <w:szCs w:val="20"/>
                <w:lang w:val="fr-FR"/>
              </w:rPr>
              <w:t>Réunions nationales et internationales</w:t>
            </w:r>
          </w:p>
        </w:tc>
        <w:tc>
          <w:tcPr>
            <w:tcW w:w="1494" w:type="pct"/>
            <w:tcBorders>
              <w:top w:val="nil"/>
              <w:left w:val="nil"/>
              <w:bottom w:val="single" w:sz="4" w:space="0" w:color="auto"/>
              <w:right w:val="single" w:sz="4" w:space="0" w:color="auto"/>
            </w:tcBorders>
            <w:tcMar>
              <w:left w:w="115" w:type="dxa"/>
              <w:right w:w="1872" w:type="dxa"/>
            </w:tcMar>
            <w:vAlign w:val="center"/>
          </w:tcPr>
          <w:p w14:paraId="423D28D3"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42 240</w:t>
            </w:r>
          </w:p>
        </w:tc>
      </w:tr>
      <w:tr w:rsidR="004315D4" w:rsidRPr="00006053" w14:paraId="6CC2ED36" w14:textId="77777777" w:rsidTr="00DD32D0">
        <w:trPr>
          <w:trHeight w:val="165"/>
          <w:jc w:val="center"/>
        </w:trPr>
        <w:tc>
          <w:tcPr>
            <w:tcW w:w="3506" w:type="pct"/>
          </w:tcPr>
          <w:p w14:paraId="12D20866" w14:textId="77777777" w:rsidR="004315D4" w:rsidRPr="00006053" w:rsidRDefault="004315D4" w:rsidP="00DD32D0">
            <w:pPr>
              <w:rPr>
                <w:sz w:val="20"/>
                <w:szCs w:val="20"/>
                <w:lang w:val="fr-FR"/>
              </w:rPr>
            </w:pPr>
            <w:r w:rsidRPr="00006053">
              <w:rPr>
                <w:sz w:val="20"/>
                <w:szCs w:val="20"/>
                <w:lang w:val="fr-FR"/>
              </w:rPr>
              <w:t>Services de consultants</w:t>
            </w:r>
          </w:p>
        </w:tc>
        <w:tc>
          <w:tcPr>
            <w:tcW w:w="1494" w:type="pct"/>
            <w:tcBorders>
              <w:top w:val="nil"/>
              <w:left w:val="nil"/>
              <w:bottom w:val="single" w:sz="4" w:space="0" w:color="auto"/>
              <w:right w:val="single" w:sz="4" w:space="0" w:color="auto"/>
            </w:tcBorders>
            <w:tcMar>
              <w:left w:w="115" w:type="dxa"/>
              <w:right w:w="1872" w:type="dxa"/>
            </w:tcMar>
            <w:vAlign w:val="center"/>
          </w:tcPr>
          <w:p w14:paraId="1E98F385"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42 240</w:t>
            </w:r>
          </w:p>
        </w:tc>
      </w:tr>
      <w:tr w:rsidR="004315D4" w:rsidRPr="00006053" w14:paraId="61C4BB66" w14:textId="77777777" w:rsidTr="00DD32D0">
        <w:trPr>
          <w:trHeight w:val="165"/>
          <w:jc w:val="center"/>
        </w:trPr>
        <w:tc>
          <w:tcPr>
            <w:tcW w:w="3506" w:type="pct"/>
          </w:tcPr>
          <w:p w14:paraId="0D131DCB" w14:textId="77777777" w:rsidR="004315D4" w:rsidRPr="00006053" w:rsidRDefault="004315D4" w:rsidP="00DD32D0">
            <w:pPr>
              <w:rPr>
                <w:sz w:val="20"/>
                <w:szCs w:val="20"/>
                <w:lang w:val="fr-FR"/>
              </w:rPr>
            </w:pPr>
            <w:r w:rsidRPr="00006053">
              <w:rPr>
                <w:sz w:val="20"/>
                <w:szCs w:val="20"/>
                <w:lang w:val="fr-FR"/>
              </w:rPr>
              <w:t>Personnel de soutien</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14:paraId="316A9AE3"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316 800</w:t>
            </w:r>
          </w:p>
        </w:tc>
      </w:tr>
      <w:tr w:rsidR="004315D4" w:rsidRPr="00006053" w14:paraId="41E0D48D" w14:textId="77777777" w:rsidTr="00DD32D0">
        <w:trPr>
          <w:trHeight w:val="165"/>
          <w:jc w:val="center"/>
        </w:trPr>
        <w:tc>
          <w:tcPr>
            <w:tcW w:w="3506" w:type="pct"/>
          </w:tcPr>
          <w:p w14:paraId="53561617" w14:textId="77777777" w:rsidR="004315D4" w:rsidRPr="00006053" w:rsidRDefault="004315D4" w:rsidP="00DD32D0">
            <w:pPr>
              <w:rPr>
                <w:sz w:val="20"/>
                <w:szCs w:val="20"/>
                <w:lang w:val="fr-FR"/>
              </w:rPr>
            </w:pPr>
            <w:r w:rsidRPr="00006053">
              <w:rPr>
                <w:sz w:val="20"/>
                <w:szCs w:val="20"/>
                <w:lang w:val="fr-FR"/>
              </w:rPr>
              <w:t xml:space="preserve">Ordinateurs, accès Internet, courrier, téléphone, impression, etc. </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14:paraId="289A489F"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73 920</w:t>
            </w:r>
          </w:p>
        </w:tc>
      </w:tr>
      <w:tr w:rsidR="004315D4" w:rsidRPr="00006053" w14:paraId="5E3354C5" w14:textId="77777777" w:rsidTr="00DD32D0">
        <w:trPr>
          <w:trHeight w:val="165"/>
          <w:jc w:val="center"/>
        </w:trPr>
        <w:tc>
          <w:tcPr>
            <w:tcW w:w="3506" w:type="pct"/>
          </w:tcPr>
          <w:p w14:paraId="6947086D" w14:textId="77777777" w:rsidR="004315D4" w:rsidRPr="00006053" w:rsidRDefault="004315D4" w:rsidP="00DD32D0">
            <w:pPr>
              <w:rPr>
                <w:sz w:val="20"/>
                <w:szCs w:val="20"/>
                <w:lang w:val="fr-FR"/>
              </w:rPr>
            </w:pPr>
            <w:r w:rsidRPr="00006053">
              <w:rPr>
                <w:sz w:val="20"/>
                <w:szCs w:val="20"/>
                <w:lang w:val="fr-FR"/>
              </w:rPr>
              <w:t>Service d’exploitation et de maintenance des bureaux, utilitaires</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14:paraId="651B2A51" w14:textId="77777777" w:rsidR="004315D4" w:rsidRPr="00006053" w:rsidRDefault="004315D4" w:rsidP="00DD32D0">
            <w:pPr>
              <w:ind w:right="-1610"/>
              <w:jc w:val="right"/>
              <w:rPr>
                <w:rFonts w:eastAsia="SimSun"/>
                <w:sz w:val="20"/>
                <w:szCs w:val="20"/>
                <w:lang w:val="fr-FR"/>
              </w:rPr>
            </w:pPr>
            <w:r w:rsidRPr="00006053">
              <w:rPr>
                <w:rFonts w:eastAsia="SimSun"/>
                <w:sz w:val="20"/>
                <w:szCs w:val="20"/>
                <w:lang w:val="fr-FR"/>
              </w:rPr>
              <w:t>211 200</w:t>
            </w:r>
          </w:p>
        </w:tc>
      </w:tr>
      <w:tr w:rsidR="004315D4" w:rsidRPr="00006053" w14:paraId="3E34821F" w14:textId="77777777" w:rsidTr="00DD32D0">
        <w:trPr>
          <w:trHeight w:val="165"/>
          <w:jc w:val="center"/>
        </w:trPr>
        <w:tc>
          <w:tcPr>
            <w:tcW w:w="3506" w:type="pct"/>
          </w:tcPr>
          <w:p w14:paraId="7247E041" w14:textId="77777777" w:rsidR="004315D4" w:rsidRPr="00006053" w:rsidRDefault="004315D4" w:rsidP="00DD32D0">
            <w:pPr>
              <w:rPr>
                <w:b/>
                <w:bCs/>
                <w:sz w:val="20"/>
                <w:szCs w:val="20"/>
                <w:lang w:val="fr-FR"/>
              </w:rPr>
            </w:pPr>
            <w:r w:rsidRPr="00006053">
              <w:rPr>
                <w:b/>
                <w:bCs/>
                <w:sz w:val="20"/>
                <w:szCs w:val="20"/>
                <w:lang w:val="fr-FR"/>
              </w:rPr>
              <w:t>Total</w:t>
            </w:r>
          </w:p>
        </w:tc>
        <w:tc>
          <w:tcPr>
            <w:tcW w:w="1494" w:type="pct"/>
            <w:tcBorders>
              <w:top w:val="single" w:sz="4" w:space="0" w:color="auto"/>
              <w:left w:val="nil"/>
              <w:bottom w:val="single" w:sz="4" w:space="0" w:color="auto"/>
              <w:right w:val="single" w:sz="4" w:space="0" w:color="auto"/>
            </w:tcBorders>
            <w:tcMar>
              <w:left w:w="115" w:type="dxa"/>
              <w:right w:w="1872" w:type="dxa"/>
            </w:tcMar>
            <w:vAlign w:val="center"/>
          </w:tcPr>
          <w:p w14:paraId="4A7323E2" w14:textId="77777777" w:rsidR="004315D4" w:rsidRPr="00006053" w:rsidRDefault="004315D4" w:rsidP="00DD32D0">
            <w:pPr>
              <w:ind w:right="-1610"/>
              <w:jc w:val="right"/>
              <w:rPr>
                <w:b/>
                <w:bCs/>
                <w:sz w:val="20"/>
                <w:szCs w:val="20"/>
                <w:lang w:val="fr-FR"/>
              </w:rPr>
            </w:pPr>
            <w:r w:rsidRPr="00006053">
              <w:rPr>
                <w:rFonts w:eastAsia="SimSun"/>
                <w:b/>
                <w:bCs/>
                <w:sz w:val="20"/>
                <w:szCs w:val="20"/>
                <w:lang w:val="fr-FR"/>
              </w:rPr>
              <w:t>1 056 000</w:t>
            </w:r>
          </w:p>
        </w:tc>
      </w:tr>
    </w:tbl>
    <w:p w14:paraId="7F70C41D" w14:textId="77777777" w:rsidR="004315D4" w:rsidRPr="00006053" w:rsidRDefault="004315D4" w:rsidP="004315D4">
      <w:pPr>
        <w:rPr>
          <w:rFonts w:eastAsia="SimHei"/>
          <w:bCs/>
          <w:kern w:val="44"/>
          <w:sz w:val="28"/>
          <w:szCs w:val="24"/>
          <w:lang w:val="fr-FR"/>
        </w:rPr>
      </w:pPr>
    </w:p>
    <w:p w14:paraId="2420791C" w14:textId="77777777" w:rsidR="004315D4" w:rsidRPr="00006053" w:rsidRDefault="004315D4" w:rsidP="004315D4">
      <w:pPr>
        <w:rPr>
          <w:i/>
          <w:lang w:val="fr-FR"/>
        </w:rPr>
      </w:pPr>
      <w:r w:rsidRPr="00006053">
        <w:rPr>
          <w:i/>
          <w:lang w:val="fr-FR"/>
        </w:rPr>
        <w:t>Coût révisé de tous les composants</w:t>
      </w:r>
    </w:p>
    <w:p w14:paraId="0CD2E24B" w14:textId="77777777" w:rsidR="004315D4" w:rsidRPr="00006053" w:rsidRDefault="004315D4" w:rsidP="004315D4">
      <w:pPr>
        <w:rPr>
          <w:lang w:val="fr-FR"/>
        </w:rPr>
      </w:pPr>
    </w:p>
    <w:p w14:paraId="114016CA" w14:textId="77777777" w:rsidR="004315D4" w:rsidRPr="00006053" w:rsidRDefault="004315D4" w:rsidP="004315D4">
      <w:pPr>
        <w:pStyle w:val="Heading1"/>
        <w:rPr>
          <w:lang w:val="fr-FR"/>
        </w:rPr>
      </w:pPr>
      <w:r>
        <w:rPr>
          <w:lang w:val="fr-FR"/>
        </w:rPr>
        <w:t>En résumé, le G</w:t>
      </w:r>
      <w:r w:rsidRPr="00006053">
        <w:rPr>
          <w:lang w:val="fr-FR"/>
        </w:rPr>
        <w:t>ouvernement chinois a alloué 19 200 000 $US au secteur des mousses PU pour la période de 2021 à 2026, dont 14 764 000 $US sont alloués aux activités de reconversion des entreprises, 3 380 000 $US aux activités d’assistance technique et 1 056 000 $US à l’UGP, comme l’indique le Tableau 8.</w:t>
      </w:r>
    </w:p>
    <w:p w14:paraId="62B6F80E" w14:textId="77777777" w:rsidR="004315D4" w:rsidRPr="00006053" w:rsidRDefault="004315D4" w:rsidP="004315D4">
      <w:pPr>
        <w:keepNext/>
        <w:keepLines/>
        <w:rPr>
          <w:rFonts w:eastAsia="SimSun"/>
          <w:b/>
          <w:lang w:val="fr-FR"/>
        </w:rPr>
      </w:pPr>
      <w:r w:rsidRPr="00006053">
        <w:rPr>
          <w:rFonts w:eastAsia="SimSun"/>
          <w:b/>
          <w:lang w:val="fr-FR"/>
        </w:rPr>
        <w:lastRenderedPageBreak/>
        <w:t>Tableau 8. Répartition des coûts du plan d’action 2021-2026 relatif au secteur des mousses 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6"/>
        <w:gridCol w:w="2784"/>
      </w:tblGrid>
      <w:tr w:rsidR="004315D4" w:rsidRPr="00006053" w14:paraId="30B4F124" w14:textId="77777777" w:rsidTr="00DD32D0">
        <w:trPr>
          <w:trHeight w:val="125"/>
        </w:trPr>
        <w:tc>
          <w:tcPr>
            <w:tcW w:w="3511" w:type="pct"/>
          </w:tcPr>
          <w:p w14:paraId="20572587" w14:textId="77777777" w:rsidR="004315D4" w:rsidRPr="00006053" w:rsidRDefault="004315D4" w:rsidP="00DD32D0">
            <w:pPr>
              <w:keepNext/>
              <w:keepLines/>
              <w:jc w:val="center"/>
              <w:rPr>
                <w:rFonts w:eastAsia="SimHei"/>
                <w:b/>
                <w:kern w:val="44"/>
                <w:sz w:val="20"/>
                <w:szCs w:val="20"/>
                <w:lang w:val="fr-FR"/>
              </w:rPr>
            </w:pPr>
            <w:r w:rsidRPr="00006053">
              <w:rPr>
                <w:rFonts w:eastAsia="SimHei"/>
                <w:b/>
                <w:kern w:val="44"/>
                <w:sz w:val="20"/>
                <w:szCs w:val="20"/>
                <w:lang w:val="fr-FR"/>
              </w:rPr>
              <w:t>Activités</w:t>
            </w:r>
          </w:p>
        </w:tc>
        <w:tc>
          <w:tcPr>
            <w:tcW w:w="1489" w:type="pct"/>
          </w:tcPr>
          <w:p w14:paraId="4A4769DC" w14:textId="77777777" w:rsidR="004315D4" w:rsidRPr="00006053" w:rsidRDefault="004315D4" w:rsidP="00DD32D0">
            <w:pPr>
              <w:keepNext/>
              <w:keepLines/>
              <w:jc w:val="center"/>
              <w:rPr>
                <w:rFonts w:eastAsia="SimHei"/>
                <w:b/>
                <w:kern w:val="44"/>
                <w:sz w:val="20"/>
                <w:szCs w:val="20"/>
                <w:lang w:val="fr-FR"/>
              </w:rPr>
            </w:pPr>
            <w:r w:rsidRPr="00006053">
              <w:rPr>
                <w:rFonts w:eastAsia="SimHei"/>
                <w:b/>
                <w:kern w:val="44"/>
                <w:sz w:val="20"/>
                <w:szCs w:val="20"/>
                <w:lang w:val="fr-FR"/>
              </w:rPr>
              <w:t>Coûts ($US)</w:t>
            </w:r>
          </w:p>
        </w:tc>
      </w:tr>
      <w:tr w:rsidR="004315D4" w:rsidRPr="00006053" w14:paraId="39DBE634" w14:textId="77777777" w:rsidTr="00DD32D0">
        <w:tc>
          <w:tcPr>
            <w:tcW w:w="3511" w:type="pct"/>
          </w:tcPr>
          <w:p w14:paraId="2893D236" w14:textId="77777777" w:rsidR="004315D4" w:rsidRPr="00006053" w:rsidRDefault="004315D4" w:rsidP="00DD32D0">
            <w:pPr>
              <w:keepNext/>
              <w:keepLines/>
              <w:rPr>
                <w:rFonts w:eastAsia="SimHei"/>
                <w:bCs/>
                <w:kern w:val="44"/>
                <w:sz w:val="20"/>
                <w:szCs w:val="20"/>
                <w:lang w:val="fr-FR"/>
              </w:rPr>
            </w:pPr>
            <w:r w:rsidRPr="00006053">
              <w:rPr>
                <w:rFonts w:eastAsia="SimHei"/>
                <w:bCs/>
                <w:kern w:val="44"/>
                <w:sz w:val="20"/>
                <w:szCs w:val="20"/>
                <w:lang w:val="fr-FR"/>
              </w:rPr>
              <w:t xml:space="preserve">Activités liées à la reconversion au sein des entreprises </w:t>
            </w:r>
          </w:p>
        </w:tc>
        <w:tc>
          <w:tcPr>
            <w:tcW w:w="1489" w:type="pct"/>
          </w:tcPr>
          <w:p w14:paraId="49F43D2E" w14:textId="77777777" w:rsidR="004315D4" w:rsidRPr="00006053" w:rsidRDefault="004315D4" w:rsidP="00DD32D0">
            <w:pPr>
              <w:keepNext/>
              <w:keepLines/>
              <w:ind w:right="158"/>
              <w:jc w:val="right"/>
              <w:rPr>
                <w:rFonts w:eastAsia="SimHei"/>
                <w:bCs/>
                <w:kern w:val="44"/>
                <w:sz w:val="20"/>
                <w:szCs w:val="20"/>
                <w:lang w:val="fr-FR"/>
              </w:rPr>
            </w:pPr>
            <w:r w:rsidRPr="00006053">
              <w:rPr>
                <w:rFonts w:eastAsia="SimHei"/>
                <w:bCs/>
                <w:kern w:val="44"/>
                <w:sz w:val="20"/>
                <w:szCs w:val="20"/>
                <w:lang w:val="fr-FR"/>
              </w:rPr>
              <w:t>14 764 000</w:t>
            </w:r>
          </w:p>
        </w:tc>
      </w:tr>
      <w:tr w:rsidR="004315D4" w:rsidRPr="00006053" w14:paraId="7E3845B3" w14:textId="77777777" w:rsidTr="00DD32D0">
        <w:tc>
          <w:tcPr>
            <w:tcW w:w="3511" w:type="pct"/>
          </w:tcPr>
          <w:p w14:paraId="441B2039" w14:textId="77777777" w:rsidR="004315D4" w:rsidRPr="00006053" w:rsidRDefault="004315D4" w:rsidP="00DD32D0">
            <w:pPr>
              <w:keepNext/>
              <w:keepLines/>
              <w:rPr>
                <w:rFonts w:eastAsia="SimHei"/>
                <w:bCs/>
                <w:kern w:val="44"/>
                <w:sz w:val="20"/>
                <w:szCs w:val="20"/>
                <w:lang w:val="fr-FR"/>
              </w:rPr>
            </w:pPr>
            <w:r w:rsidRPr="00006053">
              <w:rPr>
                <w:rFonts w:eastAsia="SimHei"/>
                <w:bCs/>
                <w:kern w:val="44"/>
                <w:sz w:val="20"/>
                <w:szCs w:val="20"/>
                <w:lang w:val="fr-FR"/>
              </w:rPr>
              <w:t xml:space="preserve">Activités relevant de l’assistance technique </w:t>
            </w:r>
          </w:p>
        </w:tc>
        <w:tc>
          <w:tcPr>
            <w:tcW w:w="1489" w:type="pct"/>
          </w:tcPr>
          <w:p w14:paraId="5FB0018C" w14:textId="77777777" w:rsidR="004315D4" w:rsidRPr="00006053" w:rsidRDefault="004315D4" w:rsidP="00DD32D0">
            <w:pPr>
              <w:keepNext/>
              <w:keepLines/>
              <w:ind w:right="158"/>
              <w:jc w:val="right"/>
              <w:rPr>
                <w:rFonts w:eastAsia="SimHei"/>
                <w:bCs/>
                <w:kern w:val="44"/>
                <w:sz w:val="20"/>
                <w:szCs w:val="20"/>
                <w:lang w:val="fr-FR"/>
              </w:rPr>
            </w:pPr>
            <w:r w:rsidRPr="00006053">
              <w:rPr>
                <w:rFonts w:eastAsia="SimHei"/>
                <w:bCs/>
                <w:kern w:val="44"/>
                <w:sz w:val="20"/>
                <w:szCs w:val="20"/>
                <w:lang w:val="fr-FR"/>
              </w:rPr>
              <w:t>3 380 000</w:t>
            </w:r>
          </w:p>
        </w:tc>
      </w:tr>
      <w:tr w:rsidR="004315D4" w:rsidRPr="00006053" w14:paraId="7F3D921A" w14:textId="77777777" w:rsidTr="00DD32D0">
        <w:tc>
          <w:tcPr>
            <w:tcW w:w="3511" w:type="pct"/>
          </w:tcPr>
          <w:p w14:paraId="4FD6EF2B" w14:textId="77777777" w:rsidR="004315D4" w:rsidRPr="00006053" w:rsidRDefault="004315D4" w:rsidP="00DD32D0">
            <w:pPr>
              <w:rPr>
                <w:rFonts w:eastAsia="SimHei"/>
                <w:bCs/>
                <w:kern w:val="44"/>
                <w:sz w:val="20"/>
                <w:szCs w:val="20"/>
                <w:lang w:val="fr-FR"/>
              </w:rPr>
            </w:pPr>
            <w:r w:rsidRPr="00006053">
              <w:rPr>
                <w:rFonts w:eastAsia="SimHei"/>
                <w:bCs/>
                <w:kern w:val="44"/>
                <w:sz w:val="20"/>
                <w:szCs w:val="20"/>
                <w:lang w:val="fr-FR"/>
              </w:rPr>
              <w:t>UGP</w:t>
            </w:r>
          </w:p>
        </w:tc>
        <w:tc>
          <w:tcPr>
            <w:tcW w:w="1489" w:type="pct"/>
          </w:tcPr>
          <w:p w14:paraId="03A22A4E" w14:textId="77777777" w:rsidR="004315D4" w:rsidRPr="00006053" w:rsidRDefault="004315D4" w:rsidP="00DD32D0">
            <w:pPr>
              <w:ind w:right="158"/>
              <w:jc w:val="right"/>
              <w:rPr>
                <w:rFonts w:eastAsia="SimHei"/>
                <w:bCs/>
                <w:kern w:val="44"/>
                <w:sz w:val="20"/>
                <w:szCs w:val="20"/>
                <w:lang w:val="fr-FR"/>
              </w:rPr>
            </w:pPr>
            <w:r w:rsidRPr="00006053">
              <w:rPr>
                <w:rFonts w:eastAsia="SimHei"/>
                <w:bCs/>
                <w:kern w:val="44"/>
                <w:sz w:val="20"/>
                <w:szCs w:val="20"/>
                <w:lang w:val="fr-FR"/>
              </w:rPr>
              <w:t>1 056 000</w:t>
            </w:r>
          </w:p>
        </w:tc>
      </w:tr>
      <w:tr w:rsidR="004315D4" w:rsidRPr="00006053" w14:paraId="02F87349" w14:textId="77777777" w:rsidTr="00DD32D0">
        <w:tc>
          <w:tcPr>
            <w:tcW w:w="3511" w:type="pct"/>
          </w:tcPr>
          <w:p w14:paraId="781AF03E" w14:textId="77777777" w:rsidR="004315D4" w:rsidRPr="00006053" w:rsidRDefault="004315D4" w:rsidP="00DD32D0">
            <w:pPr>
              <w:rPr>
                <w:rFonts w:eastAsia="SimHei"/>
                <w:b/>
                <w:kern w:val="44"/>
                <w:sz w:val="20"/>
                <w:szCs w:val="20"/>
                <w:lang w:val="fr-FR"/>
              </w:rPr>
            </w:pPr>
            <w:r w:rsidRPr="00006053">
              <w:rPr>
                <w:rFonts w:eastAsia="SimHei"/>
                <w:b/>
                <w:kern w:val="44"/>
                <w:sz w:val="20"/>
                <w:szCs w:val="20"/>
                <w:lang w:val="fr-FR"/>
              </w:rPr>
              <w:t>Total</w:t>
            </w:r>
          </w:p>
        </w:tc>
        <w:tc>
          <w:tcPr>
            <w:tcW w:w="1489" w:type="pct"/>
          </w:tcPr>
          <w:p w14:paraId="3C7F8404" w14:textId="77777777" w:rsidR="004315D4" w:rsidRPr="00006053" w:rsidRDefault="004315D4" w:rsidP="00DD32D0">
            <w:pPr>
              <w:ind w:right="158"/>
              <w:jc w:val="right"/>
              <w:rPr>
                <w:rFonts w:eastAsia="SimHei"/>
                <w:b/>
                <w:kern w:val="44"/>
                <w:sz w:val="20"/>
                <w:szCs w:val="20"/>
                <w:lang w:val="fr-FR"/>
              </w:rPr>
            </w:pPr>
            <w:r w:rsidRPr="00006053">
              <w:rPr>
                <w:rFonts w:eastAsia="SimHei"/>
                <w:b/>
                <w:kern w:val="44"/>
                <w:sz w:val="20"/>
                <w:szCs w:val="20"/>
                <w:lang w:val="fr-FR"/>
              </w:rPr>
              <w:t>19 200 000</w:t>
            </w:r>
          </w:p>
        </w:tc>
      </w:tr>
    </w:tbl>
    <w:p w14:paraId="106B653B" w14:textId="77777777" w:rsidR="004315D4" w:rsidRPr="00006053" w:rsidRDefault="004315D4" w:rsidP="004315D4">
      <w:pPr>
        <w:rPr>
          <w:lang w:val="fr-FR"/>
        </w:rPr>
      </w:pPr>
    </w:p>
    <w:p w14:paraId="03173446" w14:textId="77777777" w:rsidR="004315D4" w:rsidRPr="00006053" w:rsidRDefault="004315D4" w:rsidP="004315D4">
      <w:pPr>
        <w:pStyle w:val="Heading1"/>
        <w:numPr>
          <w:ilvl w:val="0"/>
          <w:numId w:val="0"/>
        </w:numPr>
        <w:rPr>
          <w:i/>
          <w:lang w:val="fr-FR"/>
        </w:rPr>
      </w:pPr>
      <w:r w:rsidRPr="00006053">
        <w:rPr>
          <w:i/>
          <w:lang w:val="fr-FR"/>
        </w:rPr>
        <w:t>Répartition des tranches (2021-2026)</w:t>
      </w:r>
    </w:p>
    <w:p w14:paraId="2C3D0F83" w14:textId="77777777" w:rsidR="004315D4" w:rsidRPr="00006053" w:rsidRDefault="004315D4" w:rsidP="004315D4">
      <w:pPr>
        <w:pStyle w:val="Heading1"/>
        <w:rPr>
          <w:lang w:val="fr-FR"/>
        </w:rPr>
      </w:pPr>
      <w:r w:rsidRPr="00006053">
        <w:rPr>
          <w:lang w:val="fr-FR"/>
        </w:rPr>
        <w:t>Le calendrier de décaissement des tranches pour les années 2021 à 2026 est présenté au tableau 9. L’ensemble du calendrier de décaissement de la tranche pour la phase II du plan sectoriel des mousses PU se trouve aux lignes 2.3.1 et 2.3.2 de l’appendice 2</w:t>
      </w:r>
      <w:r w:rsidRPr="00006053">
        <w:rPr>
          <w:lang w:val="fr-FR"/>
        </w:rPr>
        <w:noBreakHyphen/>
        <w:t>A du projet d’accord révisé entre le Gouvernement de la Chine et le Comité exécutif présenté par le PNUD et figurant en A</w:t>
      </w:r>
      <w:r>
        <w:rPr>
          <w:lang w:val="fr-FR"/>
        </w:rPr>
        <w:t>nnexe II</w:t>
      </w:r>
      <w:r w:rsidRPr="00006053">
        <w:rPr>
          <w:lang w:val="fr-FR"/>
        </w:rPr>
        <w:t>.</w:t>
      </w:r>
    </w:p>
    <w:p w14:paraId="3D88E344" w14:textId="77777777" w:rsidR="004315D4" w:rsidRPr="00006053" w:rsidRDefault="004315D4" w:rsidP="004315D4">
      <w:pPr>
        <w:tabs>
          <w:tab w:val="num" w:pos="0"/>
          <w:tab w:val="num" w:pos="720"/>
          <w:tab w:val="num" w:pos="902"/>
        </w:tabs>
        <w:rPr>
          <w:b/>
          <w:lang w:val="fr-FR"/>
        </w:rPr>
      </w:pPr>
      <w:r w:rsidRPr="00006053">
        <w:rPr>
          <w:b/>
          <w:lang w:val="fr-FR"/>
        </w:rPr>
        <w:t>Tableau 9 Répartition des tranches pour le plan sectoriel des mousses PU 2021-2026 ($US)</w:t>
      </w:r>
    </w:p>
    <w:tbl>
      <w:tblPr>
        <w:tblStyle w:val="TableGrid"/>
        <w:tblW w:w="0" w:type="auto"/>
        <w:tblLook w:val="04A0" w:firstRow="1" w:lastRow="0" w:firstColumn="1" w:lastColumn="0" w:noHBand="0" w:noVBand="1"/>
      </w:tblPr>
      <w:tblGrid>
        <w:gridCol w:w="1435"/>
        <w:gridCol w:w="1190"/>
        <w:gridCol w:w="1366"/>
        <w:gridCol w:w="1366"/>
        <w:gridCol w:w="1366"/>
        <w:gridCol w:w="1366"/>
        <w:gridCol w:w="1261"/>
      </w:tblGrid>
      <w:tr w:rsidR="004315D4" w:rsidRPr="00006053" w14:paraId="364E271F" w14:textId="77777777" w:rsidTr="00DD32D0">
        <w:tc>
          <w:tcPr>
            <w:tcW w:w="1435" w:type="dxa"/>
          </w:tcPr>
          <w:p w14:paraId="47838DE8" w14:textId="77777777" w:rsidR="004315D4" w:rsidRPr="00006053" w:rsidRDefault="004315D4" w:rsidP="00DD32D0">
            <w:pPr>
              <w:tabs>
                <w:tab w:val="num" w:pos="0"/>
                <w:tab w:val="num" w:pos="720"/>
                <w:tab w:val="num" w:pos="902"/>
              </w:tabs>
              <w:jc w:val="left"/>
              <w:rPr>
                <w:b/>
                <w:sz w:val="20"/>
                <w:szCs w:val="20"/>
                <w:lang w:val="fr-FR"/>
              </w:rPr>
            </w:pPr>
            <w:r w:rsidRPr="00006053">
              <w:rPr>
                <w:b/>
                <w:sz w:val="20"/>
                <w:szCs w:val="20"/>
                <w:lang w:val="fr-FR"/>
              </w:rPr>
              <w:t>Année</w:t>
            </w:r>
          </w:p>
        </w:tc>
        <w:tc>
          <w:tcPr>
            <w:tcW w:w="1190" w:type="dxa"/>
          </w:tcPr>
          <w:p w14:paraId="1CE7CDD5"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2021</w:t>
            </w:r>
          </w:p>
        </w:tc>
        <w:tc>
          <w:tcPr>
            <w:tcW w:w="1366" w:type="dxa"/>
          </w:tcPr>
          <w:p w14:paraId="03D021F9"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2022</w:t>
            </w:r>
          </w:p>
        </w:tc>
        <w:tc>
          <w:tcPr>
            <w:tcW w:w="1366" w:type="dxa"/>
          </w:tcPr>
          <w:p w14:paraId="62B40CC5"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2023</w:t>
            </w:r>
          </w:p>
        </w:tc>
        <w:tc>
          <w:tcPr>
            <w:tcW w:w="1366" w:type="dxa"/>
          </w:tcPr>
          <w:p w14:paraId="305ACE10"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2024</w:t>
            </w:r>
          </w:p>
        </w:tc>
        <w:tc>
          <w:tcPr>
            <w:tcW w:w="1366" w:type="dxa"/>
          </w:tcPr>
          <w:p w14:paraId="26A01641"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2025</w:t>
            </w:r>
          </w:p>
        </w:tc>
        <w:tc>
          <w:tcPr>
            <w:tcW w:w="1261" w:type="dxa"/>
          </w:tcPr>
          <w:p w14:paraId="6682784E" w14:textId="77777777" w:rsidR="004315D4" w:rsidRPr="00006053" w:rsidRDefault="004315D4" w:rsidP="00DD32D0">
            <w:pPr>
              <w:tabs>
                <w:tab w:val="num" w:pos="0"/>
                <w:tab w:val="num" w:pos="720"/>
                <w:tab w:val="num" w:pos="902"/>
              </w:tabs>
              <w:jc w:val="center"/>
              <w:rPr>
                <w:sz w:val="20"/>
                <w:szCs w:val="20"/>
                <w:lang w:val="fr-FR"/>
              </w:rPr>
            </w:pPr>
            <w:r w:rsidRPr="00006053">
              <w:rPr>
                <w:sz w:val="20"/>
                <w:szCs w:val="20"/>
                <w:lang w:val="fr-FR"/>
              </w:rPr>
              <w:t>2026</w:t>
            </w:r>
          </w:p>
        </w:tc>
      </w:tr>
      <w:tr w:rsidR="004315D4" w:rsidRPr="00006053" w14:paraId="6DA393A8" w14:textId="77777777" w:rsidTr="00DD32D0">
        <w:tc>
          <w:tcPr>
            <w:tcW w:w="1435" w:type="dxa"/>
          </w:tcPr>
          <w:p w14:paraId="6F3FA17B" w14:textId="77777777" w:rsidR="004315D4" w:rsidRPr="00006053" w:rsidRDefault="004315D4" w:rsidP="00DD32D0">
            <w:pPr>
              <w:tabs>
                <w:tab w:val="num" w:pos="0"/>
                <w:tab w:val="num" w:pos="720"/>
                <w:tab w:val="num" w:pos="902"/>
              </w:tabs>
              <w:rPr>
                <w:b/>
                <w:sz w:val="20"/>
                <w:szCs w:val="20"/>
                <w:lang w:val="fr-FR"/>
              </w:rPr>
            </w:pPr>
            <w:r w:rsidRPr="00006053">
              <w:rPr>
                <w:b/>
                <w:sz w:val="20"/>
                <w:szCs w:val="20"/>
                <w:lang w:val="fr-FR"/>
              </w:rPr>
              <w:t>Valeur de la tranche</w:t>
            </w:r>
          </w:p>
        </w:tc>
        <w:tc>
          <w:tcPr>
            <w:tcW w:w="1190" w:type="dxa"/>
          </w:tcPr>
          <w:p w14:paraId="7722E7FD"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4 000 000 0</w:t>
            </w:r>
          </w:p>
        </w:tc>
        <w:tc>
          <w:tcPr>
            <w:tcW w:w="1366" w:type="dxa"/>
          </w:tcPr>
          <w:p w14:paraId="112ABBF1"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0</w:t>
            </w:r>
          </w:p>
        </w:tc>
        <w:tc>
          <w:tcPr>
            <w:tcW w:w="1366" w:type="dxa"/>
          </w:tcPr>
          <w:p w14:paraId="2F78B6BD"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5 000 000</w:t>
            </w:r>
          </w:p>
        </w:tc>
        <w:tc>
          <w:tcPr>
            <w:tcW w:w="1366" w:type="dxa"/>
          </w:tcPr>
          <w:p w14:paraId="45072E40"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1 000 000</w:t>
            </w:r>
          </w:p>
        </w:tc>
        <w:tc>
          <w:tcPr>
            <w:tcW w:w="1366" w:type="dxa"/>
          </w:tcPr>
          <w:p w14:paraId="3F8632EE"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5 000 000</w:t>
            </w:r>
          </w:p>
        </w:tc>
        <w:tc>
          <w:tcPr>
            <w:tcW w:w="1261" w:type="dxa"/>
          </w:tcPr>
          <w:p w14:paraId="1A5C9A99" w14:textId="77777777" w:rsidR="004315D4" w:rsidRPr="00006053" w:rsidRDefault="004315D4" w:rsidP="00DD32D0">
            <w:pPr>
              <w:tabs>
                <w:tab w:val="num" w:pos="0"/>
                <w:tab w:val="num" w:pos="720"/>
                <w:tab w:val="num" w:pos="902"/>
              </w:tabs>
              <w:jc w:val="right"/>
              <w:rPr>
                <w:sz w:val="20"/>
                <w:szCs w:val="20"/>
                <w:lang w:val="fr-FR"/>
              </w:rPr>
            </w:pPr>
            <w:r w:rsidRPr="00006053">
              <w:rPr>
                <w:sz w:val="20"/>
                <w:szCs w:val="20"/>
                <w:lang w:val="fr-FR"/>
              </w:rPr>
              <w:t>4 200 000</w:t>
            </w:r>
          </w:p>
        </w:tc>
      </w:tr>
    </w:tbl>
    <w:p w14:paraId="37647716" w14:textId="77777777" w:rsidR="004315D4" w:rsidRPr="00006053" w:rsidRDefault="004315D4" w:rsidP="004315D4">
      <w:pPr>
        <w:rPr>
          <w:lang w:val="fr-FR"/>
        </w:rPr>
      </w:pPr>
    </w:p>
    <w:p w14:paraId="243965EE" w14:textId="77777777" w:rsidR="004315D4" w:rsidRPr="00006053" w:rsidRDefault="004315D4" w:rsidP="004315D4">
      <w:pPr>
        <w:keepNext/>
        <w:keepLines/>
        <w:rPr>
          <w:b/>
          <w:lang w:val="fr-FR"/>
        </w:rPr>
      </w:pPr>
      <w:r w:rsidRPr="00006053">
        <w:rPr>
          <w:b/>
          <w:lang w:val="fr-FR"/>
        </w:rPr>
        <w:t xml:space="preserve">Observations du Secrétariat </w:t>
      </w:r>
    </w:p>
    <w:p w14:paraId="49081442" w14:textId="77777777" w:rsidR="004315D4" w:rsidRPr="00006053" w:rsidRDefault="004315D4" w:rsidP="004315D4">
      <w:pPr>
        <w:keepNext/>
        <w:keepLines/>
        <w:rPr>
          <w:lang w:val="fr-FR"/>
        </w:rPr>
      </w:pPr>
    </w:p>
    <w:p w14:paraId="55FDF5AD" w14:textId="77777777" w:rsidR="004315D4" w:rsidRPr="00006053" w:rsidRDefault="004315D4" w:rsidP="004315D4">
      <w:pPr>
        <w:pStyle w:val="Heading1"/>
        <w:keepNext/>
        <w:keepLines/>
        <w:rPr>
          <w:lang w:val="fr-FR"/>
        </w:rPr>
      </w:pPr>
      <w:r w:rsidRPr="00006053">
        <w:rPr>
          <w:lang w:val="fr-FR"/>
        </w:rPr>
        <w:t>Le Secrétariat note que le coût global de la phase II du plan sectoriel des mousses PU a été ajusté de 141 471 210 $US à 28 312 039 $US, dont 9 112 039 $US ont déjà été approuvés dans les tranches précédentes. Le niveau des fonds alloués pour la période 2021-2026 est de 19 200 000 $US.</w:t>
      </w:r>
    </w:p>
    <w:p w14:paraId="0AC6D58D" w14:textId="77777777" w:rsidR="004315D4" w:rsidRPr="00006053" w:rsidRDefault="004315D4" w:rsidP="004315D4">
      <w:pPr>
        <w:pStyle w:val="Heading1"/>
        <w:rPr>
          <w:lang w:val="fr-FR"/>
        </w:rPr>
      </w:pPr>
      <w:r w:rsidRPr="00006053">
        <w:rPr>
          <w:lang w:val="fr-FR"/>
        </w:rPr>
        <w:t>En plus de la baisse du nombre d’entreprises aidées au cours de la phase II, le financement à fournir aux sous-projets individuels a baissé, passant de 6,23 $US/kg à 6,00 $US/kg en moyenne pour les entreprises se reconvertissant aux hydrocarbures et de 6,79 $US/kg à 4,00$US/kg pour les entreprises se reconvertissant aux HFO ou à des technologies à base d’eau. Par conséquent, les entreprises seront davantage mises à contribution sous forme de cofinancement.</w:t>
      </w:r>
    </w:p>
    <w:p w14:paraId="08FB44B0" w14:textId="77777777" w:rsidR="004315D4" w:rsidRPr="00006053" w:rsidRDefault="004315D4" w:rsidP="004315D4">
      <w:pPr>
        <w:keepNext/>
        <w:rPr>
          <w:i/>
          <w:lang w:val="fr-FR"/>
        </w:rPr>
      </w:pPr>
      <w:r w:rsidRPr="00006053">
        <w:rPr>
          <w:i/>
          <w:lang w:val="fr-FR"/>
        </w:rPr>
        <w:t xml:space="preserve">Projets relatifs aux entreprises de formulation </w:t>
      </w:r>
    </w:p>
    <w:p w14:paraId="2A86CBD6" w14:textId="77777777" w:rsidR="004315D4" w:rsidRPr="00006053" w:rsidRDefault="004315D4" w:rsidP="004315D4">
      <w:pPr>
        <w:keepNext/>
        <w:rPr>
          <w:lang w:val="fr-FR"/>
        </w:rPr>
      </w:pPr>
    </w:p>
    <w:p w14:paraId="1046978D" w14:textId="4E68D098" w:rsidR="004315D4" w:rsidRPr="00006053" w:rsidRDefault="004315D4" w:rsidP="004315D4">
      <w:pPr>
        <w:pStyle w:val="Heading1"/>
        <w:keepNext/>
        <w:rPr>
          <w:lang w:val="fr-FR"/>
        </w:rPr>
      </w:pPr>
      <w:r w:rsidRPr="00006053">
        <w:rPr>
          <w:lang w:val="fr-FR"/>
        </w:rPr>
        <w:t>Le Secrétariat note le rôle de premier plan des entreprises de formulation, compte tenu de leur influence sur la technologie et de l’assistance technique qu’elles sont susceptibles d’apporter aux PME. En ce qui concerne le nombre esti</w:t>
      </w:r>
      <w:r w:rsidR="00FB33E8">
        <w:rPr>
          <w:lang w:val="fr-FR"/>
        </w:rPr>
        <w:t>mé d’entreprises qui pourraient</w:t>
      </w:r>
      <w:r w:rsidRPr="00006053">
        <w:rPr>
          <w:lang w:val="fr-FR"/>
        </w:rPr>
        <w:t xml:space="preserve"> mener à bien le processus de reconversion et le niveau de consommation de HCFC-141b qui pourrait être éliminé à l’aide de l’assistance apportée aux 19 entreprises de formulation, la Banque mondiale a indiqué que, sur la base du montant du financement alloué, il serait attendu de chaque entreprise de formulation qu’elle atteigne environ 40 entreprises transformatrices admissibles. Ces chiffres seront connus plus précisément et indiqués lors de la présentation des demandes de tranche. Les 19 entreprises de formulation devraient également apporter un appui technique à 300 entreprises supplémentaires, afin de faciliter les reconversions à leurs frais.</w:t>
      </w:r>
    </w:p>
    <w:p w14:paraId="7F30C8A5" w14:textId="77777777" w:rsidR="004315D4" w:rsidRPr="00006053" w:rsidRDefault="004315D4" w:rsidP="004315D4">
      <w:pPr>
        <w:pStyle w:val="Heading1"/>
        <w:rPr>
          <w:lang w:val="fr-FR"/>
        </w:rPr>
      </w:pPr>
      <w:r w:rsidRPr="00006053">
        <w:rPr>
          <w:lang w:val="fr-FR"/>
        </w:rPr>
        <w:t>Le Secrétariat a demandé plus de détails sur ce qui est prévu pour surveiller les progrès accomplis par les entreprises de formulation. La Banque mondiale a indiqué que le projet mettra en place un mécanisme fondé sur des incitations pour garantir que les entreprises de formulation identifient les entreprises transformatrices admissibles et travaillent avec elles. Elle veillera en outre à ce que le nombre d’entreprises et la quantité de HCFC-141b éliminée fassent l’objet d’une surveillance. Étant donné que les entreprises de formulation partagent leurs listes de clients ainsi que les sites concernés au cours de la mise en œuvre, il est loisible au Gouvernement d’inscrire ces entreprises aux registres des utilisateurs de HCFC-141b tenus à l’échelon provincial (si ce n’est pas déjà le cas) afin que les BEE puissent continuer à exercer une surveillance.</w:t>
      </w:r>
    </w:p>
    <w:p w14:paraId="0D8E6CA3" w14:textId="77777777" w:rsidR="004315D4" w:rsidRPr="00006053" w:rsidRDefault="004315D4" w:rsidP="004315D4">
      <w:pPr>
        <w:pStyle w:val="Heading1"/>
        <w:rPr>
          <w:lang w:val="fr-FR"/>
        </w:rPr>
      </w:pPr>
      <w:r w:rsidRPr="00006053">
        <w:rPr>
          <w:lang w:val="fr-FR"/>
        </w:rPr>
        <w:lastRenderedPageBreak/>
        <w:t>La Banque mondiale a également expliqué qu’en plus du suivi normal des BEE, le projet garantirait des contrôles périodiques des entreprises transformatrices (une fois que les sociétés de formulation auront confirmé qu’une aide a été donnée). Dans le cadre de son rôle de supervision, la Banque mondiale effectuera également des visites régulières sur site chez un certain pourcentage de PME aidées par les entreprises de formulation.</w:t>
      </w:r>
    </w:p>
    <w:p w14:paraId="2BEA6516" w14:textId="77777777" w:rsidR="004315D4" w:rsidRPr="00006053" w:rsidRDefault="004315D4" w:rsidP="004315D4">
      <w:pPr>
        <w:rPr>
          <w:i/>
          <w:lang w:val="fr-FR"/>
        </w:rPr>
      </w:pPr>
      <w:r w:rsidRPr="00006053">
        <w:rPr>
          <w:i/>
          <w:lang w:val="fr-FR"/>
        </w:rPr>
        <w:t>Suivi et durabilité de l’élimination du HCFC-141b</w:t>
      </w:r>
    </w:p>
    <w:p w14:paraId="5A34B57D" w14:textId="77777777" w:rsidR="004315D4" w:rsidRPr="00006053" w:rsidRDefault="004315D4" w:rsidP="004315D4">
      <w:pPr>
        <w:rPr>
          <w:lang w:val="fr-FR"/>
        </w:rPr>
      </w:pPr>
    </w:p>
    <w:p w14:paraId="3323549A" w14:textId="5C3E87C3" w:rsidR="004315D4" w:rsidRPr="00006053" w:rsidRDefault="004315D4" w:rsidP="004315D4">
      <w:pPr>
        <w:pStyle w:val="Heading1"/>
        <w:rPr>
          <w:lang w:val="fr-FR"/>
        </w:rPr>
      </w:pPr>
      <w:r w:rsidRPr="00006053">
        <w:rPr>
          <w:lang w:val="fr-FR"/>
        </w:rPr>
        <w:t xml:space="preserve">Notant qu’il peut y avoir des entreprises de formulation qui ne recevront pas de financement du projet, le Secrétariat a estimé qu’il était important de promouvoir l’élimination simultanée du HCFC-141b dans ces entreprises, afin que les clients des entreprises de formulation qui ont reçu de l’aide ne reviennent pas au HCFC-141b au moment où elles deviendraient clientes d’un fournisseur qui n’a pas bénéficié d’une telle aide. La Banque mondiale a indiqué que la durabilité des conversions d’entreprises transformatrices pourrait être assurée en conditionnant l’aide à un engagement de chaque entreprise </w:t>
      </w:r>
      <w:r>
        <w:rPr>
          <w:lang w:val="fr-FR"/>
        </w:rPr>
        <w:t>selon lequel</w:t>
      </w:r>
      <w:r w:rsidRPr="00006053">
        <w:rPr>
          <w:lang w:val="fr-FR"/>
        </w:rPr>
        <w:t xml:space="preserve"> </w:t>
      </w:r>
      <w:r>
        <w:rPr>
          <w:lang w:val="fr-FR"/>
        </w:rPr>
        <w:t>celle-ci</w:t>
      </w:r>
      <w:r w:rsidRPr="00006053">
        <w:rPr>
          <w:lang w:val="fr-FR"/>
        </w:rPr>
        <w:t xml:space="preserve"> cessera d’utiliser les HCFC pour de bon</w:t>
      </w:r>
      <w:r>
        <w:rPr>
          <w:lang w:val="fr-FR"/>
        </w:rPr>
        <w:t>,</w:t>
      </w:r>
      <w:r w:rsidRPr="00006053">
        <w:rPr>
          <w:lang w:val="fr-FR"/>
        </w:rPr>
        <w:t xml:space="preserve"> et en en vérifiant la bonne exécution par le biais du registre provincial des entreprises, ce qui permettra aux BEE locaux et au FECO d’effectuer un suivi. Le plan d’action révisé comprend des ateliers et des campagnes de sensibilisation ciblées pour informer toutes les parties prenantes actives dans le secteur des mousses PU des interdictions et </w:t>
      </w:r>
      <w:r w:rsidR="00FB33E8" w:rsidRPr="00006053">
        <w:rPr>
          <w:lang w:val="fr-FR"/>
        </w:rPr>
        <w:t>du calendrier prévu</w:t>
      </w:r>
      <w:r w:rsidRPr="00006053">
        <w:rPr>
          <w:lang w:val="fr-FR"/>
        </w:rPr>
        <w:t xml:space="preserve">, des solutions de remplacement disponibles et de l’endroit où se les procurer. La Banque mondiale a également réaffirmé qu’un mécanisme de mise en œuvre doté des freins et contrepoids nécessaires pour promouvoir une élimination durable dans le cadre de la composante concernant les entreprises de formulation sera élaboré dès l’approbation du plan d’action révisé. </w:t>
      </w:r>
    </w:p>
    <w:p w14:paraId="6D7169C4" w14:textId="77777777" w:rsidR="004315D4" w:rsidRPr="00006053" w:rsidRDefault="004315D4" w:rsidP="004315D4">
      <w:pPr>
        <w:pStyle w:val="Heading1"/>
        <w:rPr>
          <w:lang w:val="fr-FR"/>
        </w:rPr>
      </w:pPr>
      <w:r w:rsidRPr="00006053">
        <w:rPr>
          <w:lang w:val="fr-FR"/>
        </w:rPr>
        <w:t>Étant donné qu’il y aura également un plus grand nombre d’entreprises de mousse PU qui ne recevront pas de financement de la part du projet, les composantes d’assistance technique et d’élaboration de politiques publiques consacreront des efforts et des financements substantiels au renforcement des capacités des BEE locaux, les rendant ainsi à même de surveiller l’élimination du HCFC-141b à l’aide des progrès déjà accomplis au cours de la phase I. En dernier recours, c’est au Gouvernement chinois qu’il incombera de faire le suivi tout au long du plan sectoriel des mousses ; l’UGP fournira des apports techniques et des informations sectorielles au MEE, aux BEE et à l’industrie.</w:t>
      </w:r>
    </w:p>
    <w:p w14:paraId="32F36B88" w14:textId="3061AFFB" w:rsidR="004315D4" w:rsidRPr="00006053" w:rsidRDefault="004315D4" w:rsidP="004315D4">
      <w:pPr>
        <w:pStyle w:val="Heading1"/>
        <w:rPr>
          <w:lang w:val="fr-FR"/>
        </w:rPr>
      </w:pPr>
      <w:r w:rsidRPr="00006053">
        <w:rPr>
          <w:lang w:val="fr-FR"/>
        </w:rPr>
        <w:t>La composante relative à l’assistance technique comprend également des activités visant à faciliter la reconversion des entreprises non aidées vers des solutions de remplacement à faible PRG. La plateforme d’échange d’informations facilitera la mise en contact des fournisseurs de certains polyols et formulations prémélangés avec les entreprises. L’élaboration de nouvelles normes ou la révision des normes existantes pour les mousses, application par application, compteront également pour beaucoup dans la création d’un environnement propice aux reconversions. En complément, des mesures de renforcement des capacités seront mises en place (à savoir des séminaires techniques sur les solutions de remplacement, des cours formations et des confé</w:t>
      </w:r>
      <w:r>
        <w:rPr>
          <w:lang w:val="fr-FR"/>
        </w:rPr>
        <w:t xml:space="preserve">rences sectorielles) ainsi que </w:t>
      </w:r>
      <w:r w:rsidRPr="00006053">
        <w:rPr>
          <w:lang w:val="fr-FR"/>
        </w:rPr>
        <w:t>des initiatives visant à la sensibilisation, de manière générale. En outre, une évaluation des technologies de remplacement et des travaux de recherche et développement portant sur celles d’entre elles qui présentent un faible PRG ainsi sur les formulations gonflantes seront menées au cours de la mise en œuvre du plan sectoriel. Le Gouvernement chinois prévoit de publier une liste des solutions de remplacement aux HCFC recommandées, afin de guider l’adoption par le marché des solutions de remplacement à faible PRG. Il est néanmoins de notoriété publique que le projet se heurtera à certaines limites en ce qui concerne l’étendue de son influence sur certaines applications ou sous-secteurs ainsi que sur les entreprises qui ne font pas l’objet d’un financement.</w:t>
      </w:r>
    </w:p>
    <w:p w14:paraId="3F710677" w14:textId="77777777" w:rsidR="004315D4" w:rsidRPr="00006053" w:rsidRDefault="004315D4" w:rsidP="004315D4">
      <w:pPr>
        <w:keepNext/>
        <w:rPr>
          <w:b/>
          <w:lang w:val="fr-FR"/>
        </w:rPr>
      </w:pPr>
      <w:r w:rsidRPr="00006053">
        <w:rPr>
          <w:b/>
          <w:lang w:val="fr-FR"/>
        </w:rPr>
        <w:t>Recommandation</w:t>
      </w:r>
    </w:p>
    <w:p w14:paraId="6E11D6B3" w14:textId="77777777" w:rsidR="004315D4" w:rsidRPr="00006053" w:rsidRDefault="004315D4" w:rsidP="004315D4">
      <w:pPr>
        <w:keepNext/>
        <w:rPr>
          <w:lang w:val="fr-FR"/>
        </w:rPr>
      </w:pPr>
    </w:p>
    <w:p w14:paraId="3D667834" w14:textId="77777777" w:rsidR="004315D4" w:rsidRPr="00006053" w:rsidRDefault="004315D4" w:rsidP="004315D4">
      <w:pPr>
        <w:numPr>
          <w:ilvl w:val="0"/>
          <w:numId w:val="1"/>
        </w:numPr>
        <w:spacing w:after="240"/>
        <w:outlineLvl w:val="0"/>
        <w:rPr>
          <w:lang w:val="fr-FR"/>
        </w:rPr>
      </w:pPr>
      <w:r w:rsidRPr="00006053">
        <w:rPr>
          <w:lang w:val="fr-FR"/>
        </w:rPr>
        <w:t>Le Comité exécutif pourrait souhaiter approuver le plan d’action révisé pour la phase II du plan sectoriel des mousses de polyuréthane (PU) présenté par la Banque mondiale conformément à la décision 84/69 (a) (iv) b. et v), et décrit dans le document UNEP/OzL.Pro/ExCom/86/21/Add.1.</w:t>
      </w:r>
    </w:p>
    <w:p w14:paraId="3C46AC6C" w14:textId="77777777" w:rsidR="00CC3427" w:rsidRPr="0097372D" w:rsidRDefault="00CC3427" w:rsidP="00CC3427">
      <w:pPr>
        <w:rPr>
          <w:b/>
          <w:lang w:val="fr-CA"/>
        </w:rPr>
      </w:pPr>
      <w:r>
        <w:rPr>
          <w:b/>
          <w:lang w:val="fr-CA"/>
        </w:rPr>
        <w:lastRenderedPageBreak/>
        <w:t>PLAN SECTORIEL RÉVISÉ POUR LES SOLVANTS</w:t>
      </w:r>
      <w:r w:rsidRPr="0097372D">
        <w:rPr>
          <w:b/>
          <w:lang w:val="fr-CA"/>
        </w:rPr>
        <w:t xml:space="preserve"> (</w:t>
      </w:r>
      <w:r>
        <w:rPr>
          <w:b/>
          <w:lang w:val="fr-CA"/>
        </w:rPr>
        <w:t>PNUD</w:t>
      </w:r>
      <w:r w:rsidRPr="0097372D">
        <w:rPr>
          <w:b/>
          <w:lang w:val="fr-CA"/>
        </w:rPr>
        <w:t>)</w:t>
      </w:r>
    </w:p>
    <w:p w14:paraId="7E517B54" w14:textId="77777777" w:rsidR="00CC3427" w:rsidRPr="0097372D" w:rsidRDefault="00CC3427" w:rsidP="00CC3427">
      <w:pPr>
        <w:pStyle w:val="Title1"/>
        <w:rPr>
          <w:u w:val="single"/>
          <w:lang w:val="fr-CA"/>
        </w:rPr>
      </w:pPr>
    </w:p>
    <w:p w14:paraId="16F54C64" w14:textId="77777777" w:rsidR="00CC3427" w:rsidRPr="0097372D" w:rsidRDefault="00CC3427" w:rsidP="00CC3427">
      <w:pPr>
        <w:rPr>
          <w:b/>
          <w:lang w:val="fr-CA"/>
        </w:rPr>
      </w:pPr>
      <w:r>
        <w:rPr>
          <w:b/>
          <w:lang w:val="fr-CA"/>
        </w:rPr>
        <w:t>D</w:t>
      </w:r>
      <w:r w:rsidRPr="0097372D">
        <w:rPr>
          <w:b/>
          <w:lang w:val="fr-CA"/>
        </w:rPr>
        <w:t>escription</w:t>
      </w:r>
      <w:r>
        <w:rPr>
          <w:b/>
          <w:lang w:val="fr-CA"/>
        </w:rPr>
        <w:t xml:space="preserve"> du plan sectoriel</w:t>
      </w:r>
    </w:p>
    <w:p w14:paraId="5B804A01" w14:textId="77777777" w:rsidR="00CC3427" w:rsidRPr="0097372D" w:rsidRDefault="00CC3427" w:rsidP="00CC3427">
      <w:pPr>
        <w:rPr>
          <w:b/>
          <w:lang w:val="fr-CA"/>
        </w:rPr>
      </w:pPr>
    </w:p>
    <w:p w14:paraId="63A3F29C" w14:textId="77777777" w:rsidR="00CC3427" w:rsidRPr="0097372D" w:rsidRDefault="00CC3427" w:rsidP="00CC3427">
      <w:pPr>
        <w:rPr>
          <w:b/>
          <w:lang w:val="fr-CA"/>
        </w:rPr>
      </w:pPr>
      <w:r>
        <w:rPr>
          <w:b/>
          <w:lang w:val="fr-CA"/>
        </w:rPr>
        <w:t>Historique</w:t>
      </w:r>
    </w:p>
    <w:p w14:paraId="239F3A3E" w14:textId="77777777" w:rsidR="00CC3427" w:rsidRPr="0097372D" w:rsidRDefault="00CC3427" w:rsidP="00CC3427">
      <w:pPr>
        <w:rPr>
          <w:b/>
          <w:lang w:val="fr-CA"/>
        </w:rPr>
      </w:pPr>
    </w:p>
    <w:p w14:paraId="2E8A21C2" w14:textId="77777777" w:rsidR="00CC3427" w:rsidRPr="0097372D" w:rsidRDefault="00CC3427" w:rsidP="00CC3427">
      <w:pPr>
        <w:pStyle w:val="Heading1"/>
        <w:rPr>
          <w:lang w:val="fr-CA"/>
        </w:rPr>
      </w:pPr>
      <w:r>
        <w:rPr>
          <w:lang w:val="fr-CA"/>
        </w:rPr>
        <w:t xml:space="preserve">À sa </w:t>
      </w:r>
      <w:r w:rsidRPr="0097372D">
        <w:rPr>
          <w:lang w:val="fr-CA"/>
        </w:rPr>
        <w:t>76</w:t>
      </w:r>
      <w:r>
        <w:rPr>
          <w:vertAlign w:val="superscript"/>
          <w:lang w:val="fr-CA"/>
        </w:rPr>
        <w:t>e</w:t>
      </w:r>
      <w:r w:rsidRPr="0097372D">
        <w:rPr>
          <w:lang w:val="fr-CA"/>
        </w:rPr>
        <w:t> </w:t>
      </w:r>
      <w:r>
        <w:rPr>
          <w:lang w:val="fr-CA"/>
        </w:rPr>
        <w:t>réunion</w:t>
      </w:r>
      <w:r w:rsidRPr="0097372D">
        <w:rPr>
          <w:lang w:val="fr-CA"/>
        </w:rPr>
        <w:t xml:space="preserve">, </w:t>
      </w:r>
      <w:r>
        <w:rPr>
          <w:lang w:val="fr-CA"/>
        </w:rPr>
        <w:t>l</w:t>
      </w:r>
      <w:r w:rsidRPr="0097372D">
        <w:rPr>
          <w:lang w:val="fr-CA"/>
        </w:rPr>
        <w:t xml:space="preserve">e </w:t>
      </w:r>
      <w:r>
        <w:rPr>
          <w:lang w:val="fr-CA"/>
        </w:rPr>
        <w:t>Comité exécutif</w:t>
      </w:r>
      <w:r w:rsidRPr="0097372D">
        <w:rPr>
          <w:lang w:val="fr-CA"/>
        </w:rPr>
        <w:t xml:space="preserve"> </w:t>
      </w:r>
      <w:r>
        <w:rPr>
          <w:lang w:val="fr-CA"/>
        </w:rPr>
        <w:t>avait approuvé en principe le plan sectoriel</w:t>
      </w:r>
      <w:r w:rsidRPr="0097372D">
        <w:rPr>
          <w:lang w:val="fr-CA"/>
        </w:rPr>
        <w:t xml:space="preserve"> </w:t>
      </w:r>
      <w:r>
        <w:rPr>
          <w:lang w:val="fr-CA"/>
        </w:rPr>
        <w:t>pour les solvants de la phase</w:t>
      </w:r>
      <w:r w:rsidRPr="0097372D">
        <w:rPr>
          <w:lang w:val="fr-CA"/>
        </w:rPr>
        <w:t xml:space="preserve"> II </w:t>
      </w:r>
      <w:r>
        <w:rPr>
          <w:lang w:val="fr-CA"/>
        </w:rPr>
        <w:t>du</w:t>
      </w:r>
      <w:r w:rsidRPr="0097372D">
        <w:rPr>
          <w:lang w:val="fr-CA"/>
        </w:rPr>
        <w:t xml:space="preserve"> </w:t>
      </w:r>
      <w:r>
        <w:rPr>
          <w:lang w:val="fr-CA"/>
        </w:rPr>
        <w:t>PGEH</w:t>
      </w:r>
      <w:r w:rsidRPr="0097372D">
        <w:rPr>
          <w:lang w:val="fr-CA"/>
        </w:rPr>
        <w:t xml:space="preserve"> </w:t>
      </w:r>
      <w:r>
        <w:rPr>
          <w:lang w:val="fr-CA"/>
        </w:rPr>
        <w:t>de la</w:t>
      </w:r>
      <w:r w:rsidRPr="0097372D">
        <w:rPr>
          <w:lang w:val="fr-CA"/>
        </w:rPr>
        <w:t xml:space="preserve"> </w:t>
      </w:r>
      <w:r>
        <w:rPr>
          <w:lang w:val="fr-CA"/>
        </w:rPr>
        <w:t>Chine</w:t>
      </w:r>
      <w:r w:rsidRPr="0097372D">
        <w:rPr>
          <w:lang w:val="fr-CA"/>
        </w:rPr>
        <w:t xml:space="preserve"> </w:t>
      </w:r>
      <w:r>
        <w:rPr>
          <w:lang w:val="fr-CA"/>
        </w:rPr>
        <w:t xml:space="preserve">afin de réaliser d’ici à </w:t>
      </w:r>
      <w:r w:rsidRPr="0097372D">
        <w:rPr>
          <w:lang w:val="fr-CA"/>
        </w:rPr>
        <w:t xml:space="preserve">2026 </w:t>
      </w:r>
      <w:r>
        <w:rPr>
          <w:lang w:val="fr-CA"/>
        </w:rPr>
        <w:t xml:space="preserve">l’élimination totale de tous les </w:t>
      </w:r>
      <w:r w:rsidRPr="0097372D">
        <w:rPr>
          <w:lang w:val="fr-CA"/>
        </w:rPr>
        <w:t xml:space="preserve">HCFC </w:t>
      </w:r>
      <w:r>
        <w:rPr>
          <w:lang w:val="fr-CA"/>
        </w:rPr>
        <w:t xml:space="preserve">dans ce secteur, pour un montant de </w:t>
      </w:r>
      <w:r w:rsidRPr="0097372D">
        <w:rPr>
          <w:lang w:val="fr-CA"/>
        </w:rPr>
        <w:t>44</w:t>
      </w:r>
      <w:r>
        <w:rPr>
          <w:lang w:val="fr-CA"/>
        </w:rPr>
        <w:t>,</w:t>
      </w:r>
      <w:r w:rsidRPr="0097372D">
        <w:rPr>
          <w:lang w:val="fr-CA"/>
        </w:rPr>
        <w:t>8 million</w:t>
      </w:r>
      <w:r>
        <w:rPr>
          <w:lang w:val="fr-CA"/>
        </w:rPr>
        <w:t>s $US</w:t>
      </w:r>
      <w:r w:rsidRPr="0097372D">
        <w:rPr>
          <w:lang w:val="fr-CA"/>
        </w:rPr>
        <w:t xml:space="preserve">, plus </w:t>
      </w:r>
      <w:r>
        <w:rPr>
          <w:lang w:val="fr-CA"/>
        </w:rPr>
        <w:t xml:space="preserve">des coûts d’appui d’agence de </w:t>
      </w:r>
      <w:r w:rsidRPr="0097372D">
        <w:rPr>
          <w:lang w:val="fr-CA"/>
        </w:rPr>
        <w:t>2</w:t>
      </w:r>
      <w:r>
        <w:rPr>
          <w:lang w:val="fr-CA"/>
        </w:rPr>
        <w:t> </w:t>
      </w:r>
      <w:r w:rsidRPr="0097372D">
        <w:rPr>
          <w:lang w:val="fr-CA"/>
        </w:rPr>
        <w:t>912</w:t>
      </w:r>
      <w:r>
        <w:rPr>
          <w:lang w:val="fr-CA"/>
        </w:rPr>
        <w:t> </w:t>
      </w:r>
      <w:r w:rsidRPr="0097372D">
        <w:rPr>
          <w:lang w:val="fr-CA"/>
        </w:rPr>
        <w:t>000</w:t>
      </w:r>
      <w:r>
        <w:rPr>
          <w:lang w:val="fr-CA"/>
        </w:rPr>
        <w:t> $US pour le PNUD</w:t>
      </w:r>
      <w:r w:rsidRPr="0097372D">
        <w:rPr>
          <w:lang w:val="fr-CA"/>
        </w:rPr>
        <w:t xml:space="preserve">. </w:t>
      </w:r>
    </w:p>
    <w:p w14:paraId="043DE307" w14:textId="5FBCA753" w:rsidR="00CC3427" w:rsidRPr="0097372D" w:rsidRDefault="00CC3427" w:rsidP="00CC3427">
      <w:pPr>
        <w:pStyle w:val="Heading1"/>
        <w:rPr>
          <w:lang w:val="fr-CA"/>
        </w:rPr>
      </w:pPr>
      <w:r>
        <w:rPr>
          <w:lang w:val="fr-CA"/>
        </w:rPr>
        <w:t xml:space="preserve">La deuxième </w:t>
      </w:r>
      <w:r w:rsidRPr="0097372D">
        <w:rPr>
          <w:lang w:val="fr-CA"/>
        </w:rPr>
        <w:t xml:space="preserve">tranche </w:t>
      </w:r>
      <w:r>
        <w:rPr>
          <w:lang w:val="fr-CA"/>
        </w:rPr>
        <w:t>du plan sectoriel pour les solvants de la phase</w:t>
      </w:r>
      <w:r w:rsidRPr="0097372D">
        <w:rPr>
          <w:lang w:val="fr-CA"/>
        </w:rPr>
        <w:t xml:space="preserve"> II </w:t>
      </w:r>
      <w:r>
        <w:rPr>
          <w:lang w:val="fr-CA"/>
        </w:rPr>
        <w:t>du PGEH</w:t>
      </w:r>
      <w:r w:rsidRPr="0097372D">
        <w:rPr>
          <w:lang w:val="fr-CA"/>
        </w:rPr>
        <w:t xml:space="preserve"> </w:t>
      </w:r>
      <w:r>
        <w:rPr>
          <w:lang w:val="fr-CA"/>
        </w:rPr>
        <w:t>avait été approuvée par le Comité exécutif</w:t>
      </w:r>
      <w:r w:rsidRPr="0097372D">
        <w:rPr>
          <w:lang w:val="fr-CA"/>
        </w:rPr>
        <w:t xml:space="preserve"> </w:t>
      </w:r>
      <w:r>
        <w:rPr>
          <w:lang w:val="fr-CA"/>
        </w:rPr>
        <w:t xml:space="preserve">à sa </w:t>
      </w:r>
      <w:r w:rsidRPr="0097372D">
        <w:rPr>
          <w:lang w:val="fr-CA"/>
        </w:rPr>
        <w:t>80</w:t>
      </w:r>
      <w:r>
        <w:rPr>
          <w:vertAlign w:val="superscript"/>
          <w:lang w:val="fr-CA"/>
        </w:rPr>
        <w:t>e</w:t>
      </w:r>
      <w:r w:rsidRPr="0097372D">
        <w:rPr>
          <w:lang w:val="fr-CA"/>
        </w:rPr>
        <w:t> </w:t>
      </w:r>
      <w:r>
        <w:rPr>
          <w:lang w:val="fr-CA"/>
        </w:rPr>
        <w:t>réunion</w:t>
      </w:r>
      <w:r w:rsidRPr="0097372D">
        <w:rPr>
          <w:lang w:val="fr-CA"/>
        </w:rPr>
        <w:t xml:space="preserve">, </w:t>
      </w:r>
      <w:r>
        <w:rPr>
          <w:lang w:val="fr-CA"/>
        </w:rPr>
        <w:t xml:space="preserve">ainsi que le plan </w:t>
      </w:r>
      <w:r w:rsidRPr="00840361">
        <w:rPr>
          <w:lang w:val="fr-CA"/>
        </w:rPr>
        <w:t xml:space="preserve">correspondant </w:t>
      </w:r>
      <w:r>
        <w:rPr>
          <w:lang w:val="fr-CA"/>
        </w:rPr>
        <w:t xml:space="preserve">de mise en œuvre de la tranche pour </w:t>
      </w:r>
      <w:r w:rsidRPr="0097372D">
        <w:rPr>
          <w:lang w:val="fr-CA"/>
        </w:rPr>
        <w:t xml:space="preserve">2017-2018. </w:t>
      </w:r>
      <w:r>
        <w:rPr>
          <w:lang w:val="fr-CA"/>
        </w:rPr>
        <w:t>À sa</w:t>
      </w:r>
      <w:r w:rsidRPr="0097372D">
        <w:rPr>
          <w:lang w:val="fr-CA"/>
        </w:rPr>
        <w:t xml:space="preserve"> 82</w:t>
      </w:r>
      <w:r>
        <w:rPr>
          <w:vertAlign w:val="superscript"/>
          <w:lang w:val="fr-CA"/>
        </w:rPr>
        <w:t>e</w:t>
      </w:r>
      <w:r w:rsidRPr="0097372D">
        <w:rPr>
          <w:lang w:val="fr-CA"/>
        </w:rPr>
        <w:t> </w:t>
      </w:r>
      <w:r>
        <w:rPr>
          <w:lang w:val="fr-CA"/>
        </w:rPr>
        <w:t>réunion</w:t>
      </w:r>
      <w:r w:rsidRPr="0097372D">
        <w:rPr>
          <w:lang w:val="fr-CA"/>
        </w:rPr>
        <w:t xml:space="preserve">, </w:t>
      </w:r>
      <w:r>
        <w:rPr>
          <w:lang w:val="fr-CA"/>
        </w:rPr>
        <w:t>l</w:t>
      </w:r>
      <w:r w:rsidRPr="0097372D">
        <w:rPr>
          <w:lang w:val="fr-CA"/>
        </w:rPr>
        <w:t xml:space="preserve">e </w:t>
      </w:r>
      <w:r>
        <w:rPr>
          <w:lang w:val="fr-CA"/>
        </w:rPr>
        <w:t>Comité exécutif</w:t>
      </w:r>
      <w:r w:rsidRPr="0097372D">
        <w:rPr>
          <w:lang w:val="fr-CA"/>
        </w:rPr>
        <w:t xml:space="preserve"> </w:t>
      </w:r>
      <w:r>
        <w:rPr>
          <w:lang w:val="fr-CA"/>
        </w:rPr>
        <w:t>avait pris note de la demande du</w:t>
      </w:r>
      <w:r w:rsidRPr="0097372D">
        <w:rPr>
          <w:lang w:val="fr-CA"/>
        </w:rPr>
        <w:t xml:space="preserve"> </w:t>
      </w:r>
      <w:r>
        <w:rPr>
          <w:lang w:val="fr-CA"/>
        </w:rPr>
        <w:t>Gouvernement de la Chine</w:t>
      </w:r>
      <w:r w:rsidRPr="0097372D">
        <w:rPr>
          <w:lang w:val="fr-CA"/>
        </w:rPr>
        <w:t xml:space="preserve"> </w:t>
      </w:r>
      <w:r>
        <w:rPr>
          <w:lang w:val="fr-CA"/>
        </w:rPr>
        <w:t xml:space="preserve">pour la troisième </w:t>
      </w:r>
      <w:r w:rsidRPr="0097372D">
        <w:rPr>
          <w:lang w:val="fr-CA"/>
        </w:rPr>
        <w:t xml:space="preserve">tranche </w:t>
      </w:r>
      <w:r>
        <w:rPr>
          <w:lang w:val="fr-CA"/>
        </w:rPr>
        <w:t>du plan sectoriel</w:t>
      </w:r>
      <w:r w:rsidRPr="0097372D">
        <w:rPr>
          <w:lang w:val="fr-CA"/>
        </w:rPr>
        <w:t xml:space="preserve"> </w:t>
      </w:r>
      <w:r>
        <w:rPr>
          <w:lang w:val="fr-CA"/>
        </w:rPr>
        <w:t xml:space="preserve">pour les solvants et il a décidé de reporter l’examen de cette demande à la </w:t>
      </w:r>
      <w:r w:rsidRPr="0097372D">
        <w:rPr>
          <w:lang w:val="fr-CA"/>
        </w:rPr>
        <w:t>83</w:t>
      </w:r>
      <w:r>
        <w:rPr>
          <w:vertAlign w:val="superscript"/>
          <w:lang w:val="fr-CA"/>
        </w:rPr>
        <w:t>e</w:t>
      </w:r>
      <w:r w:rsidRPr="0097372D">
        <w:rPr>
          <w:lang w:val="fr-CA"/>
        </w:rPr>
        <w:t> </w:t>
      </w:r>
      <w:r>
        <w:rPr>
          <w:lang w:val="fr-CA"/>
        </w:rPr>
        <w:t>réunion</w:t>
      </w:r>
      <w:r w:rsidRPr="0097372D">
        <w:rPr>
          <w:lang w:val="fr-CA"/>
        </w:rPr>
        <w:t xml:space="preserve"> (</w:t>
      </w:r>
      <w:r>
        <w:rPr>
          <w:lang w:val="fr-CA"/>
        </w:rPr>
        <w:t>décision</w:t>
      </w:r>
      <w:r w:rsidRPr="0097372D">
        <w:rPr>
          <w:lang w:val="fr-CA"/>
        </w:rPr>
        <w:t> 82/71(b))</w:t>
      </w:r>
      <w:r>
        <w:rPr>
          <w:lang w:val="fr-CA"/>
        </w:rPr>
        <w:t xml:space="preserve"> </w:t>
      </w:r>
      <w:r w:rsidRPr="0097372D">
        <w:rPr>
          <w:lang w:val="fr-CA"/>
        </w:rPr>
        <w:t xml:space="preserve">; </w:t>
      </w:r>
      <w:r>
        <w:rPr>
          <w:lang w:val="fr-CA"/>
        </w:rPr>
        <w:t xml:space="preserve">à ladite réunion, il avait été décidé de reporter de nouveau l’examen de la troisième </w:t>
      </w:r>
      <w:r w:rsidRPr="0097372D">
        <w:rPr>
          <w:lang w:val="fr-CA"/>
        </w:rPr>
        <w:t xml:space="preserve">tranche </w:t>
      </w:r>
      <w:r>
        <w:rPr>
          <w:lang w:val="fr-CA"/>
        </w:rPr>
        <w:t xml:space="preserve">à la </w:t>
      </w:r>
      <w:r w:rsidRPr="0097372D">
        <w:rPr>
          <w:lang w:val="fr-CA"/>
        </w:rPr>
        <w:t>84</w:t>
      </w:r>
      <w:r>
        <w:rPr>
          <w:vertAlign w:val="superscript"/>
          <w:lang w:val="fr-CA"/>
        </w:rPr>
        <w:t>e</w:t>
      </w:r>
      <w:r w:rsidRPr="0097372D">
        <w:rPr>
          <w:lang w:val="fr-CA"/>
        </w:rPr>
        <w:t> </w:t>
      </w:r>
      <w:r>
        <w:rPr>
          <w:lang w:val="fr-CA"/>
        </w:rPr>
        <w:t>réunion</w:t>
      </w:r>
      <w:r w:rsidRPr="0097372D">
        <w:rPr>
          <w:lang w:val="fr-CA"/>
        </w:rPr>
        <w:t xml:space="preserve"> (</w:t>
      </w:r>
      <w:r>
        <w:rPr>
          <w:lang w:val="fr-CA"/>
        </w:rPr>
        <w:t>décision</w:t>
      </w:r>
      <w:r w:rsidRPr="0097372D">
        <w:rPr>
          <w:lang w:val="fr-CA"/>
        </w:rPr>
        <w:t> 83/55).</w:t>
      </w:r>
    </w:p>
    <w:p w14:paraId="553B24F6" w14:textId="77777777" w:rsidR="00CC3427" w:rsidRPr="0097372D" w:rsidRDefault="00CC3427" w:rsidP="00CC3427">
      <w:pPr>
        <w:pStyle w:val="Heading1"/>
        <w:widowControl w:val="0"/>
        <w:rPr>
          <w:lang w:val="fr-CA"/>
        </w:rPr>
      </w:pPr>
      <w:r>
        <w:rPr>
          <w:lang w:val="fr-CA"/>
        </w:rPr>
        <w:t>La</w:t>
      </w:r>
      <w:r w:rsidRPr="0097372D">
        <w:rPr>
          <w:lang w:val="fr-CA"/>
        </w:rPr>
        <w:t xml:space="preserve"> </w:t>
      </w:r>
      <w:r>
        <w:rPr>
          <w:lang w:val="fr-CA"/>
        </w:rPr>
        <w:t>troisième</w:t>
      </w:r>
      <w:r w:rsidRPr="0097372D">
        <w:rPr>
          <w:lang w:val="fr-CA"/>
        </w:rPr>
        <w:t xml:space="preserve"> tranche </w:t>
      </w:r>
      <w:r>
        <w:rPr>
          <w:lang w:val="fr-CA"/>
        </w:rPr>
        <w:t>du</w:t>
      </w:r>
      <w:r w:rsidRPr="0097372D">
        <w:rPr>
          <w:lang w:val="fr-CA"/>
        </w:rPr>
        <w:t xml:space="preserve"> </w:t>
      </w:r>
      <w:r>
        <w:rPr>
          <w:lang w:val="fr-CA"/>
        </w:rPr>
        <w:t>plan sectoriel</w:t>
      </w:r>
      <w:r w:rsidRPr="0097372D">
        <w:rPr>
          <w:lang w:val="fr-CA"/>
        </w:rPr>
        <w:t xml:space="preserve"> </w:t>
      </w:r>
      <w:r>
        <w:rPr>
          <w:lang w:val="fr-CA"/>
        </w:rPr>
        <w:t>pour les solvants de la</w:t>
      </w:r>
      <w:r w:rsidRPr="0097372D">
        <w:rPr>
          <w:lang w:val="fr-CA"/>
        </w:rPr>
        <w:t xml:space="preserve"> </w:t>
      </w:r>
      <w:r>
        <w:rPr>
          <w:lang w:val="fr-CA"/>
        </w:rPr>
        <w:t>phase</w:t>
      </w:r>
      <w:r w:rsidRPr="0097372D">
        <w:rPr>
          <w:lang w:val="fr-CA"/>
        </w:rPr>
        <w:t xml:space="preserve"> II </w:t>
      </w:r>
      <w:r>
        <w:rPr>
          <w:lang w:val="fr-CA"/>
        </w:rPr>
        <w:t>du</w:t>
      </w:r>
      <w:r w:rsidRPr="0097372D">
        <w:rPr>
          <w:lang w:val="fr-CA"/>
        </w:rPr>
        <w:t xml:space="preserve"> </w:t>
      </w:r>
      <w:r>
        <w:rPr>
          <w:lang w:val="fr-CA"/>
        </w:rPr>
        <w:t>PGEH</w:t>
      </w:r>
      <w:r w:rsidRPr="0097372D">
        <w:rPr>
          <w:lang w:val="fr-CA"/>
        </w:rPr>
        <w:t xml:space="preserve"> </w:t>
      </w:r>
      <w:r>
        <w:rPr>
          <w:lang w:val="fr-CA"/>
        </w:rPr>
        <w:t>de la</w:t>
      </w:r>
      <w:r w:rsidRPr="0097372D">
        <w:rPr>
          <w:lang w:val="fr-CA"/>
        </w:rPr>
        <w:t xml:space="preserve"> </w:t>
      </w:r>
      <w:r>
        <w:rPr>
          <w:lang w:val="fr-CA"/>
        </w:rPr>
        <w:t>Chine</w:t>
      </w:r>
      <w:r w:rsidRPr="0097372D">
        <w:rPr>
          <w:lang w:val="fr-CA"/>
        </w:rPr>
        <w:t xml:space="preserve">, </w:t>
      </w:r>
      <w:r>
        <w:rPr>
          <w:lang w:val="fr-CA"/>
        </w:rPr>
        <w:t xml:space="preserve">et le plan </w:t>
      </w:r>
      <w:r w:rsidRPr="00840361">
        <w:rPr>
          <w:lang w:val="fr-CA"/>
        </w:rPr>
        <w:t xml:space="preserve">correspondant </w:t>
      </w:r>
      <w:r>
        <w:rPr>
          <w:lang w:val="fr-CA"/>
        </w:rPr>
        <w:t xml:space="preserve">de mise en œuvre de la tranche pour </w:t>
      </w:r>
      <w:r w:rsidRPr="0097372D">
        <w:rPr>
          <w:lang w:val="fr-CA"/>
        </w:rPr>
        <w:t xml:space="preserve">2020-2022 </w:t>
      </w:r>
      <w:r>
        <w:rPr>
          <w:lang w:val="fr-CA"/>
        </w:rPr>
        <w:t xml:space="preserve">a été approuvés pour un montant de </w:t>
      </w:r>
      <w:r w:rsidRPr="0097372D">
        <w:rPr>
          <w:lang w:val="fr-CA"/>
        </w:rPr>
        <w:t>12</w:t>
      </w:r>
      <w:r>
        <w:rPr>
          <w:lang w:val="fr-CA"/>
        </w:rPr>
        <w:t> </w:t>
      </w:r>
      <w:r w:rsidRPr="0097372D">
        <w:rPr>
          <w:lang w:val="fr-CA"/>
        </w:rPr>
        <w:t>946</w:t>
      </w:r>
      <w:r>
        <w:rPr>
          <w:lang w:val="fr-CA"/>
        </w:rPr>
        <w:t> </w:t>
      </w:r>
      <w:r w:rsidRPr="0097372D">
        <w:rPr>
          <w:lang w:val="fr-CA"/>
        </w:rPr>
        <w:t>782</w:t>
      </w:r>
      <w:r>
        <w:rPr>
          <w:lang w:val="fr-CA"/>
        </w:rPr>
        <w:t> $US</w:t>
      </w:r>
      <w:r w:rsidRPr="0097372D">
        <w:rPr>
          <w:lang w:val="fr-CA"/>
        </w:rPr>
        <w:t xml:space="preserve">, plus </w:t>
      </w:r>
      <w:r>
        <w:rPr>
          <w:lang w:val="fr-CA"/>
        </w:rPr>
        <w:t>des coûts d’appui d’agence</w:t>
      </w:r>
      <w:r w:rsidRPr="0097372D">
        <w:rPr>
          <w:lang w:val="fr-CA"/>
        </w:rPr>
        <w:t xml:space="preserve"> </w:t>
      </w:r>
      <w:r>
        <w:rPr>
          <w:lang w:val="fr-CA"/>
        </w:rPr>
        <w:t xml:space="preserve">de </w:t>
      </w:r>
      <w:r w:rsidRPr="0097372D">
        <w:rPr>
          <w:lang w:val="fr-CA"/>
        </w:rPr>
        <w:t>906</w:t>
      </w:r>
      <w:r>
        <w:rPr>
          <w:lang w:val="fr-CA"/>
        </w:rPr>
        <w:t> </w:t>
      </w:r>
      <w:r w:rsidRPr="0097372D">
        <w:rPr>
          <w:lang w:val="fr-CA"/>
        </w:rPr>
        <w:t>275</w:t>
      </w:r>
      <w:r>
        <w:rPr>
          <w:lang w:val="fr-CA"/>
        </w:rPr>
        <w:t> $US pour le</w:t>
      </w:r>
      <w:r w:rsidRPr="0097372D">
        <w:rPr>
          <w:lang w:val="fr-CA"/>
        </w:rPr>
        <w:t xml:space="preserve"> </w:t>
      </w:r>
      <w:r>
        <w:rPr>
          <w:lang w:val="fr-CA"/>
        </w:rPr>
        <w:t>PNUD</w:t>
      </w:r>
      <w:r w:rsidRPr="0097372D">
        <w:rPr>
          <w:lang w:val="fr-CA"/>
        </w:rPr>
        <w:t xml:space="preserve"> dur</w:t>
      </w:r>
      <w:r>
        <w:rPr>
          <w:lang w:val="fr-CA"/>
        </w:rPr>
        <w:t xml:space="preserve">ant la procédure d’approbation </w:t>
      </w:r>
      <w:r w:rsidRPr="0097372D">
        <w:rPr>
          <w:lang w:val="fr-CA"/>
        </w:rPr>
        <w:t>intersession</w:t>
      </w:r>
      <w:r>
        <w:rPr>
          <w:lang w:val="fr-CA"/>
        </w:rPr>
        <w:t xml:space="preserve"> (PAI) établie pour la </w:t>
      </w:r>
      <w:r w:rsidRPr="0097372D">
        <w:rPr>
          <w:lang w:val="fr-CA"/>
        </w:rPr>
        <w:t>85</w:t>
      </w:r>
      <w:r>
        <w:rPr>
          <w:vertAlign w:val="superscript"/>
          <w:lang w:val="fr-CA"/>
        </w:rPr>
        <w:t>e</w:t>
      </w:r>
      <w:r w:rsidRPr="0097372D">
        <w:rPr>
          <w:lang w:val="fr-CA"/>
        </w:rPr>
        <w:t> </w:t>
      </w:r>
      <w:r>
        <w:rPr>
          <w:lang w:val="fr-CA"/>
        </w:rPr>
        <w:t>réunion</w:t>
      </w:r>
      <w:r w:rsidRPr="0097372D">
        <w:rPr>
          <w:lang w:val="fr-CA"/>
        </w:rPr>
        <w:t>.</w:t>
      </w:r>
      <w:r w:rsidRPr="003A49AC">
        <w:rPr>
          <w:vertAlign w:val="superscript"/>
          <w:lang w:val="fr-CA"/>
        </w:rPr>
        <w:footnoteReference w:id="27"/>
      </w:r>
      <w:r w:rsidRPr="0097372D">
        <w:rPr>
          <w:lang w:val="fr-CA"/>
        </w:rPr>
        <w:t xml:space="preserve"> </w:t>
      </w:r>
    </w:p>
    <w:p w14:paraId="5905CBA8" w14:textId="77777777" w:rsidR="00CC3427" w:rsidRPr="0097372D" w:rsidRDefault="00CC3427" w:rsidP="00CC3427">
      <w:pPr>
        <w:rPr>
          <w:b/>
          <w:lang w:val="fr-CA"/>
        </w:rPr>
      </w:pPr>
      <w:r>
        <w:rPr>
          <w:b/>
          <w:lang w:val="fr-CA"/>
        </w:rPr>
        <w:t>P</w:t>
      </w:r>
      <w:r w:rsidRPr="0097372D">
        <w:rPr>
          <w:b/>
          <w:lang w:val="fr-CA"/>
        </w:rPr>
        <w:t xml:space="preserve">lan </w:t>
      </w:r>
      <w:r>
        <w:rPr>
          <w:b/>
          <w:lang w:val="fr-CA"/>
        </w:rPr>
        <w:t>d’</w:t>
      </w:r>
      <w:r w:rsidRPr="0097372D">
        <w:rPr>
          <w:b/>
          <w:lang w:val="fr-CA"/>
        </w:rPr>
        <w:t>action</w:t>
      </w:r>
      <w:r>
        <w:rPr>
          <w:b/>
          <w:lang w:val="fr-CA"/>
        </w:rPr>
        <w:t xml:space="preserve"> révisé</w:t>
      </w:r>
      <w:r w:rsidRPr="0097372D">
        <w:rPr>
          <w:b/>
          <w:lang w:val="fr-CA"/>
        </w:rPr>
        <w:t xml:space="preserve"> </w:t>
      </w:r>
    </w:p>
    <w:p w14:paraId="4E62C126" w14:textId="77777777" w:rsidR="00CC3427" w:rsidRPr="0097372D" w:rsidRDefault="00CC3427" w:rsidP="00CC3427">
      <w:pPr>
        <w:rPr>
          <w:lang w:val="fr-CA"/>
        </w:rPr>
      </w:pPr>
    </w:p>
    <w:p w14:paraId="3D98B5D5" w14:textId="041AAB4C" w:rsidR="00CC3427" w:rsidRPr="0097372D" w:rsidRDefault="00CC3427" w:rsidP="00CC3427">
      <w:pPr>
        <w:pStyle w:val="Heading1"/>
        <w:rPr>
          <w:lang w:val="fr-CA"/>
        </w:rPr>
      </w:pPr>
      <w:r>
        <w:rPr>
          <w:lang w:val="fr-CA"/>
        </w:rPr>
        <w:t>Conformément à la décision</w:t>
      </w:r>
      <w:r w:rsidRPr="0097372D">
        <w:rPr>
          <w:lang w:val="fr-CA"/>
        </w:rPr>
        <w:t> 84/69(a)(iv)b</w:t>
      </w:r>
      <w:r w:rsidR="002531EB">
        <w:rPr>
          <w:lang w:val="fr-CA"/>
        </w:rPr>
        <w:t>.</w:t>
      </w:r>
      <w:r w:rsidRPr="0097372D">
        <w:rPr>
          <w:lang w:val="fr-CA"/>
        </w:rPr>
        <w:t xml:space="preserve"> </w:t>
      </w:r>
      <w:r>
        <w:rPr>
          <w:lang w:val="fr-CA"/>
        </w:rPr>
        <w:t>et</w:t>
      </w:r>
      <w:r w:rsidRPr="0097372D">
        <w:rPr>
          <w:lang w:val="fr-CA"/>
        </w:rPr>
        <w:t xml:space="preserve"> (v), </w:t>
      </w:r>
      <w:r>
        <w:rPr>
          <w:lang w:val="fr-CA"/>
        </w:rPr>
        <w:t>en sa qualité d’agence d’exécution principale, le PNUD</w:t>
      </w:r>
      <w:r w:rsidRPr="0097372D">
        <w:rPr>
          <w:lang w:val="fr-CA"/>
        </w:rPr>
        <w:t xml:space="preserve"> </w:t>
      </w:r>
      <w:r>
        <w:rPr>
          <w:lang w:val="fr-CA"/>
        </w:rPr>
        <w:t>avait soumis, au nom du Gouvernement de la Chine</w:t>
      </w:r>
      <w:r w:rsidRPr="0097372D">
        <w:rPr>
          <w:lang w:val="fr-CA"/>
        </w:rPr>
        <w:t xml:space="preserve">, </w:t>
      </w:r>
      <w:r>
        <w:rPr>
          <w:lang w:val="fr-CA"/>
        </w:rPr>
        <w:t>des tranches de financement révisées pour</w:t>
      </w:r>
      <w:r w:rsidRPr="0097372D">
        <w:rPr>
          <w:lang w:val="fr-CA"/>
        </w:rPr>
        <w:t xml:space="preserve"> 2021-2026</w:t>
      </w:r>
      <w:r>
        <w:rPr>
          <w:lang w:val="fr-CA"/>
        </w:rPr>
        <w:t xml:space="preserve">, ainsi que le </w:t>
      </w:r>
      <w:r w:rsidRPr="0097372D">
        <w:rPr>
          <w:lang w:val="fr-CA"/>
        </w:rPr>
        <w:t xml:space="preserve">plan </w:t>
      </w:r>
      <w:r>
        <w:rPr>
          <w:lang w:val="fr-CA"/>
        </w:rPr>
        <w:t>d’</w:t>
      </w:r>
      <w:r w:rsidRPr="0097372D">
        <w:rPr>
          <w:lang w:val="fr-CA"/>
        </w:rPr>
        <w:t xml:space="preserve">action </w:t>
      </w:r>
      <w:r>
        <w:rPr>
          <w:lang w:val="fr-CA"/>
        </w:rPr>
        <w:t>ajusté pour la</w:t>
      </w:r>
      <w:r w:rsidRPr="0097372D">
        <w:rPr>
          <w:lang w:val="fr-CA"/>
        </w:rPr>
        <w:t xml:space="preserve"> </w:t>
      </w:r>
      <w:r>
        <w:rPr>
          <w:lang w:val="fr-CA"/>
        </w:rPr>
        <w:t>phase</w:t>
      </w:r>
      <w:r w:rsidRPr="0097372D">
        <w:rPr>
          <w:lang w:val="fr-CA"/>
        </w:rPr>
        <w:t xml:space="preserve"> II </w:t>
      </w:r>
      <w:r>
        <w:rPr>
          <w:lang w:val="fr-CA"/>
        </w:rPr>
        <w:t>du plan sectoriel pour les solvants</w:t>
      </w:r>
      <w:r w:rsidRPr="0097372D">
        <w:rPr>
          <w:lang w:val="fr-CA"/>
        </w:rPr>
        <w:t xml:space="preserve">, </w:t>
      </w:r>
      <w:r>
        <w:rPr>
          <w:lang w:val="fr-CA"/>
        </w:rPr>
        <w:t xml:space="preserve">à un coût total révisé de </w:t>
      </w:r>
      <w:r w:rsidRPr="0097372D">
        <w:rPr>
          <w:lang w:val="fr-CA"/>
        </w:rPr>
        <w:t>25</w:t>
      </w:r>
      <w:r>
        <w:rPr>
          <w:lang w:val="fr-CA"/>
        </w:rPr>
        <w:t> </w:t>
      </w:r>
      <w:r w:rsidRPr="0097372D">
        <w:rPr>
          <w:lang w:val="fr-CA"/>
        </w:rPr>
        <w:t>589</w:t>
      </w:r>
      <w:r>
        <w:rPr>
          <w:lang w:val="fr-CA"/>
        </w:rPr>
        <w:t> </w:t>
      </w:r>
      <w:r w:rsidRPr="0097372D">
        <w:rPr>
          <w:lang w:val="fr-CA"/>
        </w:rPr>
        <w:t>340</w:t>
      </w:r>
      <w:r>
        <w:rPr>
          <w:lang w:val="fr-CA"/>
        </w:rPr>
        <w:t> $US</w:t>
      </w:r>
      <w:r w:rsidRPr="0097372D">
        <w:rPr>
          <w:lang w:val="fr-CA"/>
        </w:rPr>
        <w:t xml:space="preserve">, plus </w:t>
      </w:r>
      <w:r>
        <w:rPr>
          <w:lang w:val="fr-CA"/>
        </w:rPr>
        <w:t>des coûts d’appui d’agence</w:t>
      </w:r>
      <w:r w:rsidRPr="0097372D">
        <w:rPr>
          <w:lang w:val="fr-CA"/>
        </w:rPr>
        <w:t xml:space="preserve"> </w:t>
      </w:r>
      <w:r>
        <w:rPr>
          <w:lang w:val="fr-CA"/>
        </w:rPr>
        <w:t xml:space="preserve">de </w:t>
      </w:r>
      <w:r w:rsidRPr="0097372D">
        <w:rPr>
          <w:lang w:val="fr-CA"/>
        </w:rPr>
        <w:t>1</w:t>
      </w:r>
      <w:r>
        <w:rPr>
          <w:lang w:val="fr-CA"/>
        </w:rPr>
        <w:t> </w:t>
      </w:r>
      <w:r w:rsidRPr="0097372D">
        <w:rPr>
          <w:lang w:val="fr-CA"/>
        </w:rPr>
        <w:t>802</w:t>
      </w:r>
      <w:r>
        <w:rPr>
          <w:lang w:val="fr-CA"/>
        </w:rPr>
        <w:t> </w:t>
      </w:r>
      <w:r w:rsidRPr="0097372D">
        <w:rPr>
          <w:lang w:val="fr-CA"/>
        </w:rPr>
        <w:t>585</w:t>
      </w:r>
      <w:r>
        <w:rPr>
          <w:lang w:val="fr-CA"/>
        </w:rPr>
        <w:t> $US pour le PNUD</w:t>
      </w:r>
      <w:r w:rsidRPr="0097372D">
        <w:rPr>
          <w:lang w:val="fr-CA"/>
        </w:rPr>
        <w:t>.</w:t>
      </w:r>
      <w:r w:rsidRPr="00712C18">
        <w:rPr>
          <w:vertAlign w:val="superscript"/>
          <w:lang w:val="fr-CA"/>
        </w:rPr>
        <w:footnoteReference w:id="28"/>
      </w:r>
      <w:r w:rsidRPr="0097372D">
        <w:rPr>
          <w:lang w:val="fr-CA"/>
        </w:rPr>
        <w:t xml:space="preserve"> </w:t>
      </w:r>
      <w:r>
        <w:rPr>
          <w:lang w:val="fr-CA"/>
        </w:rPr>
        <w:t>La mise en œuvre de la phase</w:t>
      </w:r>
      <w:r w:rsidRPr="0097372D">
        <w:rPr>
          <w:lang w:val="fr-CA"/>
        </w:rPr>
        <w:t xml:space="preserve"> II </w:t>
      </w:r>
      <w:r>
        <w:rPr>
          <w:lang w:val="fr-CA"/>
        </w:rPr>
        <w:t>du plan sectoriel</w:t>
      </w:r>
      <w:r w:rsidRPr="0097372D">
        <w:rPr>
          <w:lang w:val="fr-CA"/>
        </w:rPr>
        <w:t xml:space="preserve"> </w:t>
      </w:r>
      <w:r>
        <w:rPr>
          <w:lang w:val="fr-CA"/>
        </w:rPr>
        <w:t>pour les solvants aidera la Chine</w:t>
      </w:r>
      <w:r w:rsidRPr="0097372D">
        <w:rPr>
          <w:lang w:val="fr-CA"/>
        </w:rPr>
        <w:t xml:space="preserve"> </w:t>
      </w:r>
      <w:r>
        <w:rPr>
          <w:lang w:val="fr-CA"/>
        </w:rPr>
        <w:t xml:space="preserve">à respecter le niveau visé dans le Protocole de </w:t>
      </w:r>
      <w:r w:rsidRPr="0097372D">
        <w:rPr>
          <w:lang w:val="fr-CA"/>
        </w:rPr>
        <w:t>Montr</w:t>
      </w:r>
      <w:r>
        <w:rPr>
          <w:lang w:val="fr-CA"/>
        </w:rPr>
        <w:t>é</w:t>
      </w:r>
      <w:r w:rsidRPr="0097372D">
        <w:rPr>
          <w:lang w:val="fr-CA"/>
        </w:rPr>
        <w:t xml:space="preserve">al </w:t>
      </w:r>
      <w:r>
        <w:rPr>
          <w:lang w:val="fr-CA"/>
        </w:rPr>
        <w:t xml:space="preserve">aux fins de conformité, soit </w:t>
      </w:r>
      <w:r w:rsidRPr="0097372D">
        <w:rPr>
          <w:lang w:val="fr-CA"/>
        </w:rPr>
        <w:t>67</w:t>
      </w:r>
      <w:r>
        <w:rPr>
          <w:lang w:val="fr-CA"/>
        </w:rPr>
        <w:t>,</w:t>
      </w:r>
      <w:r w:rsidRPr="0097372D">
        <w:rPr>
          <w:lang w:val="fr-CA"/>
        </w:rPr>
        <w:t>5</w:t>
      </w:r>
      <w:r w:rsidR="002531EB">
        <w:rPr>
          <w:lang w:val="fr-CA"/>
        </w:rPr>
        <w:t> pour cent</w:t>
      </w:r>
      <w:r>
        <w:rPr>
          <w:lang w:val="fr-CA"/>
        </w:rPr>
        <w:t xml:space="preserve"> en </w:t>
      </w:r>
      <w:r w:rsidRPr="0097372D">
        <w:rPr>
          <w:lang w:val="fr-CA"/>
        </w:rPr>
        <w:t xml:space="preserve">2025, </w:t>
      </w:r>
      <w:r>
        <w:rPr>
          <w:lang w:val="fr-CA"/>
        </w:rPr>
        <w:t xml:space="preserve">et l’élimination totale du </w:t>
      </w:r>
      <w:r w:rsidR="002531EB">
        <w:rPr>
          <w:lang w:val="fr-CA"/>
        </w:rPr>
        <w:t>HCFC</w:t>
      </w:r>
      <w:r w:rsidR="002531EB">
        <w:rPr>
          <w:lang w:val="fr-CA"/>
        </w:rPr>
        <w:noBreakHyphen/>
      </w:r>
      <w:r w:rsidRPr="0097372D">
        <w:rPr>
          <w:lang w:val="fr-CA"/>
        </w:rPr>
        <w:t xml:space="preserve">141b </w:t>
      </w:r>
      <w:r>
        <w:rPr>
          <w:lang w:val="fr-CA"/>
        </w:rPr>
        <w:t xml:space="preserve">et </w:t>
      </w:r>
      <w:r w:rsidRPr="0097372D">
        <w:rPr>
          <w:lang w:val="fr-CA"/>
        </w:rPr>
        <w:t xml:space="preserve">HCFC-225ca </w:t>
      </w:r>
      <w:r>
        <w:rPr>
          <w:lang w:val="fr-CA"/>
        </w:rPr>
        <w:t>dans le secteur des solvants</w:t>
      </w:r>
      <w:r w:rsidRPr="0097372D">
        <w:rPr>
          <w:lang w:val="fr-CA"/>
        </w:rPr>
        <w:t xml:space="preserve"> </w:t>
      </w:r>
      <w:r>
        <w:rPr>
          <w:lang w:val="fr-CA"/>
        </w:rPr>
        <w:t>e</w:t>
      </w:r>
      <w:r w:rsidRPr="0097372D">
        <w:rPr>
          <w:lang w:val="fr-CA"/>
        </w:rPr>
        <w:t>n 2026.</w:t>
      </w:r>
    </w:p>
    <w:p w14:paraId="26847CDB" w14:textId="77777777" w:rsidR="00CC3427" w:rsidRPr="0097372D" w:rsidRDefault="00CC3427" w:rsidP="00CC3427">
      <w:pPr>
        <w:numPr>
          <w:ilvl w:val="0"/>
          <w:numId w:val="1"/>
        </w:numPr>
        <w:spacing w:after="240"/>
        <w:outlineLvl w:val="0"/>
        <w:rPr>
          <w:lang w:val="fr-CA"/>
        </w:rPr>
      </w:pPr>
      <w:r>
        <w:rPr>
          <w:lang w:val="fr-CA"/>
        </w:rPr>
        <w:t>Selon le projet d’accord révisé soumis par le PNUD</w:t>
      </w:r>
      <w:r w:rsidRPr="0097372D">
        <w:rPr>
          <w:lang w:val="fr-CA"/>
        </w:rPr>
        <w:t xml:space="preserve"> </w:t>
      </w:r>
      <w:r>
        <w:rPr>
          <w:lang w:val="fr-CA"/>
        </w:rPr>
        <w:t>à la</w:t>
      </w:r>
      <w:r w:rsidRPr="0097372D">
        <w:rPr>
          <w:lang w:val="fr-CA"/>
        </w:rPr>
        <w:t xml:space="preserve"> 86</w:t>
      </w:r>
      <w:r>
        <w:rPr>
          <w:vertAlign w:val="superscript"/>
          <w:lang w:val="fr-CA"/>
        </w:rPr>
        <w:t>e</w:t>
      </w:r>
      <w:r w:rsidRPr="0097372D">
        <w:rPr>
          <w:lang w:val="fr-CA"/>
        </w:rPr>
        <w:t> </w:t>
      </w:r>
      <w:r>
        <w:rPr>
          <w:lang w:val="fr-CA"/>
        </w:rPr>
        <w:t>réunion</w:t>
      </w:r>
      <w:r w:rsidRPr="0097372D">
        <w:rPr>
          <w:lang w:val="fr-CA"/>
        </w:rPr>
        <w:t xml:space="preserve">, </w:t>
      </w:r>
      <w:r>
        <w:rPr>
          <w:lang w:val="fr-CA"/>
        </w:rPr>
        <w:t xml:space="preserve">la prochaine </w:t>
      </w:r>
      <w:r w:rsidRPr="0097372D">
        <w:rPr>
          <w:lang w:val="fr-CA"/>
        </w:rPr>
        <w:t xml:space="preserve">tranche </w:t>
      </w:r>
      <w:r>
        <w:rPr>
          <w:lang w:val="fr-CA"/>
        </w:rPr>
        <w:t>de la</w:t>
      </w:r>
      <w:r w:rsidRPr="0097372D">
        <w:rPr>
          <w:lang w:val="fr-CA"/>
        </w:rPr>
        <w:t xml:space="preserve"> </w:t>
      </w:r>
      <w:r>
        <w:rPr>
          <w:lang w:val="fr-CA"/>
        </w:rPr>
        <w:t>phase</w:t>
      </w:r>
      <w:r w:rsidRPr="0097372D">
        <w:rPr>
          <w:lang w:val="fr-CA"/>
        </w:rPr>
        <w:t xml:space="preserve"> II </w:t>
      </w:r>
      <w:r>
        <w:rPr>
          <w:lang w:val="fr-CA"/>
        </w:rPr>
        <w:t>du plan sectoriel</w:t>
      </w:r>
      <w:r w:rsidRPr="0097372D">
        <w:rPr>
          <w:lang w:val="fr-CA"/>
        </w:rPr>
        <w:t xml:space="preserve"> </w:t>
      </w:r>
      <w:r>
        <w:rPr>
          <w:lang w:val="fr-CA"/>
        </w:rPr>
        <w:t xml:space="preserve">pour les solvants, d’un coût de </w:t>
      </w:r>
      <w:r w:rsidRPr="0097372D">
        <w:rPr>
          <w:lang w:val="fr-CA"/>
        </w:rPr>
        <w:t>2</w:t>
      </w:r>
      <w:r>
        <w:rPr>
          <w:lang w:val="fr-CA"/>
        </w:rPr>
        <w:t> </w:t>
      </w:r>
      <w:r w:rsidRPr="0097372D">
        <w:rPr>
          <w:lang w:val="fr-CA"/>
        </w:rPr>
        <w:t>500</w:t>
      </w:r>
      <w:r>
        <w:rPr>
          <w:lang w:val="fr-CA"/>
        </w:rPr>
        <w:t> </w:t>
      </w:r>
      <w:r w:rsidRPr="0097372D">
        <w:rPr>
          <w:lang w:val="fr-CA"/>
        </w:rPr>
        <w:t>000</w:t>
      </w:r>
      <w:r>
        <w:rPr>
          <w:lang w:val="fr-CA"/>
        </w:rPr>
        <w:t> $US</w:t>
      </w:r>
      <w:r w:rsidRPr="0097372D">
        <w:rPr>
          <w:lang w:val="fr-CA"/>
        </w:rPr>
        <w:t xml:space="preserve">, plus </w:t>
      </w:r>
      <w:r>
        <w:rPr>
          <w:lang w:val="fr-CA"/>
        </w:rPr>
        <w:t>des coûts d’appui d’agence</w:t>
      </w:r>
      <w:r w:rsidRPr="0097372D">
        <w:rPr>
          <w:lang w:val="fr-CA"/>
        </w:rPr>
        <w:t xml:space="preserve"> </w:t>
      </w:r>
      <w:r>
        <w:rPr>
          <w:lang w:val="fr-CA"/>
        </w:rPr>
        <w:t xml:space="preserve">de </w:t>
      </w:r>
      <w:r w:rsidRPr="0097372D">
        <w:rPr>
          <w:lang w:val="fr-CA"/>
        </w:rPr>
        <w:t>187</w:t>
      </w:r>
      <w:r>
        <w:rPr>
          <w:lang w:val="fr-CA"/>
        </w:rPr>
        <w:t> </w:t>
      </w:r>
      <w:r w:rsidRPr="0097372D">
        <w:rPr>
          <w:lang w:val="fr-CA"/>
        </w:rPr>
        <w:t>500</w:t>
      </w:r>
      <w:r>
        <w:rPr>
          <w:lang w:val="fr-CA"/>
        </w:rPr>
        <w:t> $US pour le</w:t>
      </w:r>
      <w:r w:rsidRPr="0097372D">
        <w:rPr>
          <w:lang w:val="fr-CA"/>
        </w:rPr>
        <w:t xml:space="preserve"> </w:t>
      </w:r>
      <w:r>
        <w:rPr>
          <w:lang w:val="fr-CA"/>
        </w:rPr>
        <w:t>PNUD</w:t>
      </w:r>
      <w:r w:rsidRPr="0097372D">
        <w:rPr>
          <w:lang w:val="fr-CA"/>
        </w:rPr>
        <w:t xml:space="preserve">, </w:t>
      </w:r>
      <w:r>
        <w:rPr>
          <w:lang w:val="fr-CA"/>
        </w:rPr>
        <w:t>sera soumise à la deuxième réunion</w:t>
      </w:r>
      <w:r w:rsidRPr="0097372D">
        <w:rPr>
          <w:lang w:val="fr-CA"/>
        </w:rPr>
        <w:t xml:space="preserve"> </w:t>
      </w:r>
      <w:r>
        <w:rPr>
          <w:lang w:val="fr-CA"/>
        </w:rPr>
        <w:t>de</w:t>
      </w:r>
      <w:r w:rsidRPr="0097372D">
        <w:rPr>
          <w:lang w:val="fr-CA"/>
        </w:rPr>
        <w:t xml:space="preserve"> 2021.</w:t>
      </w:r>
    </w:p>
    <w:p w14:paraId="43B6942E" w14:textId="77777777" w:rsidR="00CC3427" w:rsidRPr="0097372D" w:rsidRDefault="00CC3427" w:rsidP="00CC3427">
      <w:pPr>
        <w:rPr>
          <w:u w:val="single"/>
          <w:lang w:val="fr-CA"/>
        </w:rPr>
      </w:pPr>
      <w:r>
        <w:rPr>
          <w:u w:val="single"/>
          <w:lang w:val="fr-CA"/>
        </w:rPr>
        <w:t xml:space="preserve">Niveaux visés de consommation de </w:t>
      </w:r>
      <w:r w:rsidRPr="0097372D">
        <w:rPr>
          <w:u w:val="single"/>
          <w:lang w:val="fr-CA"/>
        </w:rPr>
        <w:t>HCFC</w:t>
      </w:r>
    </w:p>
    <w:p w14:paraId="4E5F9282" w14:textId="77777777" w:rsidR="00CC3427" w:rsidRPr="0097372D" w:rsidRDefault="00CC3427" w:rsidP="00CC3427">
      <w:pPr>
        <w:rPr>
          <w:lang w:val="fr-CA"/>
        </w:rPr>
      </w:pPr>
    </w:p>
    <w:p w14:paraId="43847159" w14:textId="77777777" w:rsidR="00CC3427" w:rsidRPr="0097372D" w:rsidRDefault="00CC3427" w:rsidP="00CC3427">
      <w:pPr>
        <w:pStyle w:val="Heading1"/>
        <w:rPr>
          <w:lang w:val="fr-CA"/>
        </w:rPr>
      </w:pPr>
      <w:r>
        <w:rPr>
          <w:lang w:val="fr-CA"/>
        </w:rPr>
        <w:t xml:space="preserve">Les niveaux visés de consommation de </w:t>
      </w:r>
      <w:r w:rsidRPr="0097372D">
        <w:rPr>
          <w:lang w:val="fr-CA"/>
        </w:rPr>
        <w:t xml:space="preserve">HCFC </w:t>
      </w:r>
      <w:r>
        <w:rPr>
          <w:lang w:val="fr-CA"/>
        </w:rPr>
        <w:t>pour toutes les années de la phase</w:t>
      </w:r>
      <w:r w:rsidRPr="0097372D">
        <w:rPr>
          <w:lang w:val="fr-CA"/>
        </w:rPr>
        <w:t xml:space="preserve"> II </w:t>
      </w:r>
      <w:r>
        <w:rPr>
          <w:lang w:val="fr-CA"/>
        </w:rPr>
        <w:t>dans le secteur des solvants</w:t>
      </w:r>
      <w:r w:rsidRPr="0097372D">
        <w:rPr>
          <w:lang w:val="fr-CA"/>
        </w:rPr>
        <w:t xml:space="preserve"> </w:t>
      </w:r>
      <w:r>
        <w:rPr>
          <w:lang w:val="fr-CA"/>
        </w:rPr>
        <w:t>ont été maintenus selon les approbations antérieures</w:t>
      </w:r>
      <w:r w:rsidRPr="0097372D">
        <w:rPr>
          <w:lang w:val="fr-CA"/>
        </w:rPr>
        <w:t xml:space="preserve">, </w:t>
      </w:r>
      <w:r>
        <w:rPr>
          <w:lang w:val="fr-CA"/>
        </w:rPr>
        <w:t>et le</w:t>
      </w:r>
      <w:r w:rsidRPr="0097372D">
        <w:rPr>
          <w:lang w:val="fr-CA"/>
        </w:rPr>
        <w:t xml:space="preserve"> </w:t>
      </w:r>
      <w:r>
        <w:rPr>
          <w:lang w:val="fr-CA"/>
        </w:rPr>
        <w:t>Gouvernement de la Chine</w:t>
      </w:r>
      <w:r w:rsidRPr="0097372D">
        <w:rPr>
          <w:lang w:val="fr-CA"/>
        </w:rPr>
        <w:t xml:space="preserve"> </w:t>
      </w:r>
      <w:r>
        <w:rPr>
          <w:lang w:val="fr-CA"/>
        </w:rPr>
        <w:t xml:space="preserve">s’était engagé à réaliser l’élimination totale des </w:t>
      </w:r>
      <w:r w:rsidRPr="0097372D">
        <w:rPr>
          <w:lang w:val="fr-CA"/>
        </w:rPr>
        <w:t>HCFC u</w:t>
      </w:r>
      <w:r>
        <w:rPr>
          <w:lang w:val="fr-CA"/>
        </w:rPr>
        <w:t>tilisés dans le secteur des solvants</w:t>
      </w:r>
      <w:r w:rsidRPr="0097372D">
        <w:rPr>
          <w:lang w:val="fr-CA"/>
        </w:rPr>
        <w:t xml:space="preserve"> </w:t>
      </w:r>
      <w:r>
        <w:rPr>
          <w:lang w:val="fr-CA"/>
        </w:rPr>
        <w:t xml:space="preserve">d’ici à la fin de </w:t>
      </w:r>
      <w:r w:rsidRPr="0097372D">
        <w:rPr>
          <w:lang w:val="fr-CA"/>
        </w:rPr>
        <w:t xml:space="preserve">2025. </w:t>
      </w:r>
      <w:r>
        <w:rPr>
          <w:lang w:val="fr-CA"/>
        </w:rPr>
        <w:t xml:space="preserve">Le calendrier d’élimination des </w:t>
      </w:r>
      <w:r w:rsidRPr="0097372D">
        <w:rPr>
          <w:lang w:val="fr-CA"/>
        </w:rPr>
        <w:t xml:space="preserve">HCFC </w:t>
      </w:r>
      <w:r>
        <w:rPr>
          <w:lang w:val="fr-CA"/>
        </w:rPr>
        <w:t>durant la phase</w:t>
      </w:r>
      <w:r w:rsidRPr="0097372D">
        <w:rPr>
          <w:lang w:val="fr-CA"/>
        </w:rPr>
        <w:t xml:space="preserve"> II </w:t>
      </w:r>
      <w:r>
        <w:rPr>
          <w:lang w:val="fr-CA"/>
        </w:rPr>
        <w:t>dans le secteur des solvants</w:t>
      </w:r>
      <w:r w:rsidRPr="0097372D">
        <w:rPr>
          <w:lang w:val="fr-CA"/>
        </w:rPr>
        <w:t xml:space="preserve"> </w:t>
      </w:r>
      <w:r>
        <w:rPr>
          <w:lang w:val="fr-CA"/>
        </w:rPr>
        <w:t xml:space="preserve">est indiqué dans le </w:t>
      </w:r>
      <w:r w:rsidRPr="0097372D">
        <w:rPr>
          <w:lang w:val="fr-CA"/>
        </w:rPr>
        <w:t>Table</w:t>
      </w:r>
      <w:r>
        <w:rPr>
          <w:lang w:val="fr-CA"/>
        </w:rPr>
        <w:t>au</w:t>
      </w:r>
      <w:r w:rsidRPr="0097372D">
        <w:rPr>
          <w:lang w:val="fr-CA"/>
        </w:rPr>
        <w:t xml:space="preserve"> 1 </w:t>
      </w:r>
      <w:r>
        <w:rPr>
          <w:lang w:val="fr-CA"/>
        </w:rPr>
        <w:t xml:space="preserve">et reproduit à la ligne </w:t>
      </w:r>
      <w:r w:rsidRPr="0097372D">
        <w:rPr>
          <w:lang w:val="fr-CA"/>
        </w:rPr>
        <w:t xml:space="preserve">1.3.2 </w:t>
      </w:r>
      <w:r>
        <w:rPr>
          <w:lang w:val="fr-CA"/>
        </w:rPr>
        <w:t>de l’</w:t>
      </w:r>
      <w:r w:rsidRPr="0097372D">
        <w:rPr>
          <w:lang w:val="fr-CA"/>
        </w:rPr>
        <w:t>Appendi</w:t>
      </w:r>
      <w:r>
        <w:rPr>
          <w:lang w:val="fr-CA"/>
        </w:rPr>
        <w:t>ce</w:t>
      </w:r>
      <w:r w:rsidRPr="0097372D">
        <w:rPr>
          <w:lang w:val="fr-CA"/>
        </w:rPr>
        <w:t xml:space="preserve"> 2-A </w:t>
      </w:r>
      <w:r>
        <w:rPr>
          <w:lang w:val="fr-CA"/>
        </w:rPr>
        <w:t>du projet d’accord révisé entre la Chine</w:t>
      </w:r>
      <w:r w:rsidRPr="0097372D">
        <w:rPr>
          <w:lang w:val="fr-CA"/>
        </w:rPr>
        <w:t xml:space="preserve"> </w:t>
      </w:r>
      <w:r>
        <w:rPr>
          <w:lang w:val="fr-CA"/>
        </w:rPr>
        <w:t>et le Comité exécutif</w:t>
      </w:r>
      <w:r w:rsidRPr="0097372D">
        <w:rPr>
          <w:lang w:val="fr-CA"/>
        </w:rPr>
        <w:t xml:space="preserve"> </w:t>
      </w:r>
      <w:r>
        <w:rPr>
          <w:lang w:val="fr-CA"/>
        </w:rPr>
        <w:t>(A</w:t>
      </w:r>
      <w:r w:rsidRPr="0097372D">
        <w:rPr>
          <w:lang w:val="fr-CA"/>
        </w:rPr>
        <w:t>nnex</w:t>
      </w:r>
      <w:r>
        <w:rPr>
          <w:lang w:val="fr-CA"/>
        </w:rPr>
        <w:t>e</w:t>
      </w:r>
      <w:r w:rsidRPr="0097372D">
        <w:rPr>
          <w:lang w:val="fr-CA"/>
        </w:rPr>
        <w:t> II</w:t>
      </w:r>
      <w:r>
        <w:rPr>
          <w:lang w:val="fr-CA"/>
        </w:rPr>
        <w:t>)</w:t>
      </w:r>
      <w:r w:rsidRPr="0097372D">
        <w:rPr>
          <w:lang w:val="fr-CA"/>
        </w:rPr>
        <w:t>.</w:t>
      </w:r>
    </w:p>
    <w:p w14:paraId="4AFD414B" w14:textId="77777777" w:rsidR="00CC3427" w:rsidRPr="0097372D" w:rsidRDefault="00CC3427" w:rsidP="002531EB">
      <w:pPr>
        <w:keepNext/>
        <w:keepLines/>
        <w:rPr>
          <w:b/>
          <w:lang w:val="fr-CA"/>
        </w:rPr>
      </w:pPr>
      <w:r w:rsidRPr="0097372D">
        <w:rPr>
          <w:b/>
          <w:lang w:val="fr-CA"/>
        </w:rPr>
        <w:lastRenderedPageBreak/>
        <w:t>Table</w:t>
      </w:r>
      <w:r>
        <w:rPr>
          <w:b/>
          <w:lang w:val="fr-CA"/>
        </w:rPr>
        <w:t>au</w:t>
      </w:r>
      <w:r w:rsidRPr="0097372D">
        <w:rPr>
          <w:b/>
          <w:lang w:val="fr-CA"/>
        </w:rPr>
        <w:t xml:space="preserve"> 1. </w:t>
      </w:r>
      <w:r>
        <w:rPr>
          <w:b/>
          <w:lang w:val="fr-CA"/>
        </w:rPr>
        <w:t xml:space="preserve">Quantités de </w:t>
      </w:r>
      <w:r w:rsidRPr="0097372D">
        <w:rPr>
          <w:b/>
          <w:lang w:val="fr-CA"/>
        </w:rPr>
        <w:t xml:space="preserve">HCFC </w:t>
      </w:r>
      <w:r>
        <w:rPr>
          <w:b/>
          <w:lang w:val="fr-CA"/>
        </w:rPr>
        <w:t>à éliminer dans le</w:t>
      </w:r>
      <w:r w:rsidRPr="0097372D">
        <w:rPr>
          <w:b/>
          <w:lang w:val="fr-CA"/>
        </w:rPr>
        <w:t xml:space="preserve"> </w:t>
      </w:r>
      <w:r>
        <w:rPr>
          <w:b/>
          <w:lang w:val="fr-CA"/>
        </w:rPr>
        <w:t>secteur des solvants</w:t>
      </w:r>
      <w:r w:rsidRPr="0097372D">
        <w:rPr>
          <w:b/>
          <w:lang w:val="fr-CA"/>
        </w:rPr>
        <w:t xml:space="preserve"> </w:t>
      </w:r>
      <w:r>
        <w:rPr>
          <w:b/>
          <w:lang w:val="fr-CA"/>
        </w:rPr>
        <w:t>e</w:t>
      </w:r>
      <w:r w:rsidRPr="0097372D">
        <w:rPr>
          <w:b/>
          <w:lang w:val="fr-CA"/>
        </w:rPr>
        <w:t xml:space="preserve">n </w:t>
      </w:r>
      <w:r>
        <w:rPr>
          <w:b/>
          <w:lang w:val="fr-CA"/>
        </w:rPr>
        <w:t>Chine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924"/>
        <w:gridCol w:w="924"/>
        <w:gridCol w:w="924"/>
        <w:gridCol w:w="924"/>
        <w:gridCol w:w="924"/>
        <w:gridCol w:w="924"/>
        <w:gridCol w:w="924"/>
      </w:tblGrid>
      <w:tr w:rsidR="00CC3427" w:rsidRPr="0097372D" w14:paraId="31BA4539" w14:textId="77777777" w:rsidTr="00387BB8">
        <w:trPr>
          <w:cantSplit/>
          <w:jc w:val="right"/>
        </w:trPr>
        <w:tc>
          <w:tcPr>
            <w:tcW w:w="1541" w:type="pct"/>
            <w:shd w:val="clear" w:color="auto" w:fill="auto"/>
            <w:tcMar>
              <w:left w:w="29" w:type="dxa"/>
              <w:right w:w="0" w:type="dxa"/>
            </w:tcMar>
            <w:vAlign w:val="center"/>
          </w:tcPr>
          <w:p w14:paraId="70BEAB8A" w14:textId="77777777" w:rsidR="00CC3427" w:rsidRPr="0097372D" w:rsidRDefault="00CC3427" w:rsidP="002531EB">
            <w:pPr>
              <w:keepNext/>
              <w:keepLines/>
              <w:jc w:val="left"/>
              <w:rPr>
                <w:b/>
                <w:sz w:val="20"/>
                <w:szCs w:val="20"/>
                <w:lang w:val="fr-CA"/>
              </w:rPr>
            </w:pPr>
            <w:r>
              <w:rPr>
                <w:b/>
                <w:sz w:val="20"/>
                <w:szCs w:val="20"/>
                <w:lang w:val="fr-CA"/>
              </w:rPr>
              <w:t>Consommation</w:t>
            </w:r>
            <w:r w:rsidRPr="0097372D">
              <w:rPr>
                <w:b/>
                <w:sz w:val="20"/>
                <w:szCs w:val="20"/>
                <w:lang w:val="fr-CA"/>
              </w:rPr>
              <w:t xml:space="preserve"> </w:t>
            </w:r>
            <w:r>
              <w:rPr>
                <w:b/>
                <w:sz w:val="20"/>
                <w:szCs w:val="20"/>
                <w:lang w:val="fr-CA"/>
              </w:rPr>
              <w:t xml:space="preserve">maximale admissible de </w:t>
            </w:r>
            <w:r w:rsidRPr="0097372D">
              <w:rPr>
                <w:b/>
                <w:sz w:val="20"/>
                <w:szCs w:val="20"/>
                <w:lang w:val="fr-CA"/>
              </w:rPr>
              <w:t xml:space="preserve">HCFC </w:t>
            </w:r>
            <w:r>
              <w:rPr>
                <w:b/>
                <w:sz w:val="20"/>
                <w:szCs w:val="20"/>
                <w:lang w:val="fr-CA"/>
              </w:rPr>
              <w:t>dans le secteur des solvants</w:t>
            </w:r>
          </w:p>
        </w:tc>
        <w:tc>
          <w:tcPr>
            <w:tcW w:w="494" w:type="pct"/>
            <w:shd w:val="clear" w:color="auto" w:fill="auto"/>
            <w:vAlign w:val="center"/>
          </w:tcPr>
          <w:p w14:paraId="5DC7D068" w14:textId="77777777" w:rsidR="00CC3427" w:rsidRPr="0097372D" w:rsidRDefault="00CC3427" w:rsidP="002531EB">
            <w:pPr>
              <w:keepNext/>
              <w:keepLines/>
              <w:jc w:val="center"/>
              <w:rPr>
                <w:b/>
                <w:sz w:val="20"/>
                <w:szCs w:val="20"/>
                <w:lang w:val="fr-CA"/>
              </w:rPr>
            </w:pPr>
            <w:r>
              <w:rPr>
                <w:b/>
                <w:sz w:val="20"/>
                <w:szCs w:val="20"/>
                <w:lang w:val="fr-CA"/>
              </w:rPr>
              <w:t>Point de départ</w:t>
            </w:r>
          </w:p>
        </w:tc>
        <w:tc>
          <w:tcPr>
            <w:tcW w:w="494" w:type="pct"/>
            <w:shd w:val="clear" w:color="auto" w:fill="auto"/>
            <w:vAlign w:val="center"/>
          </w:tcPr>
          <w:p w14:paraId="5593089C" w14:textId="77777777" w:rsidR="00CC3427" w:rsidRPr="0097372D" w:rsidRDefault="00CC3427" w:rsidP="002531EB">
            <w:pPr>
              <w:keepNext/>
              <w:keepLines/>
              <w:jc w:val="center"/>
              <w:rPr>
                <w:b/>
                <w:sz w:val="20"/>
                <w:szCs w:val="20"/>
                <w:lang w:val="fr-CA"/>
              </w:rPr>
            </w:pPr>
            <w:r w:rsidRPr="0097372D">
              <w:rPr>
                <w:b/>
                <w:sz w:val="20"/>
                <w:szCs w:val="20"/>
                <w:lang w:val="fr-CA"/>
              </w:rPr>
              <w:t>2016 2017</w:t>
            </w:r>
          </w:p>
        </w:tc>
        <w:tc>
          <w:tcPr>
            <w:tcW w:w="494" w:type="pct"/>
            <w:shd w:val="clear" w:color="auto" w:fill="auto"/>
            <w:vAlign w:val="center"/>
          </w:tcPr>
          <w:p w14:paraId="04BE38EB" w14:textId="77777777" w:rsidR="00CC3427" w:rsidRPr="0097372D" w:rsidRDefault="00CC3427" w:rsidP="002531EB">
            <w:pPr>
              <w:keepNext/>
              <w:keepLines/>
              <w:jc w:val="center"/>
              <w:rPr>
                <w:b/>
                <w:sz w:val="20"/>
                <w:szCs w:val="20"/>
                <w:lang w:val="fr-CA"/>
              </w:rPr>
            </w:pPr>
            <w:r w:rsidRPr="0097372D">
              <w:rPr>
                <w:b/>
                <w:sz w:val="20"/>
                <w:szCs w:val="20"/>
                <w:lang w:val="fr-CA"/>
              </w:rPr>
              <w:t>2018 2019</w:t>
            </w:r>
          </w:p>
        </w:tc>
        <w:tc>
          <w:tcPr>
            <w:tcW w:w="494" w:type="pct"/>
            <w:shd w:val="clear" w:color="auto" w:fill="auto"/>
            <w:vAlign w:val="center"/>
          </w:tcPr>
          <w:p w14:paraId="109A4699" w14:textId="77777777" w:rsidR="00CC3427" w:rsidRPr="0097372D" w:rsidRDefault="00CC3427" w:rsidP="002531EB">
            <w:pPr>
              <w:keepNext/>
              <w:keepLines/>
              <w:jc w:val="center"/>
              <w:rPr>
                <w:b/>
                <w:sz w:val="20"/>
                <w:szCs w:val="20"/>
                <w:lang w:val="fr-CA"/>
              </w:rPr>
            </w:pPr>
            <w:r w:rsidRPr="0097372D">
              <w:rPr>
                <w:b/>
                <w:sz w:val="20"/>
                <w:szCs w:val="20"/>
                <w:lang w:val="fr-CA"/>
              </w:rPr>
              <w:t>2020 2021 2022</w:t>
            </w:r>
          </w:p>
        </w:tc>
        <w:tc>
          <w:tcPr>
            <w:tcW w:w="494" w:type="pct"/>
            <w:shd w:val="clear" w:color="auto" w:fill="auto"/>
            <w:vAlign w:val="center"/>
          </w:tcPr>
          <w:p w14:paraId="09930A0B" w14:textId="77777777" w:rsidR="00CC3427" w:rsidRPr="0097372D" w:rsidRDefault="00CC3427" w:rsidP="002531EB">
            <w:pPr>
              <w:keepNext/>
              <w:keepLines/>
              <w:jc w:val="center"/>
              <w:rPr>
                <w:b/>
                <w:sz w:val="20"/>
                <w:szCs w:val="20"/>
                <w:lang w:val="fr-CA"/>
              </w:rPr>
            </w:pPr>
            <w:r w:rsidRPr="0097372D">
              <w:rPr>
                <w:b/>
                <w:sz w:val="20"/>
                <w:szCs w:val="20"/>
                <w:lang w:val="fr-CA"/>
              </w:rPr>
              <w:t>2023</w:t>
            </w:r>
          </w:p>
          <w:p w14:paraId="68F4ECC9" w14:textId="77777777" w:rsidR="00CC3427" w:rsidRPr="0097372D" w:rsidRDefault="00CC3427" w:rsidP="002531EB">
            <w:pPr>
              <w:keepNext/>
              <w:keepLines/>
              <w:jc w:val="center"/>
              <w:rPr>
                <w:b/>
                <w:sz w:val="20"/>
                <w:szCs w:val="20"/>
                <w:lang w:val="fr-CA"/>
              </w:rPr>
            </w:pPr>
            <w:r w:rsidRPr="0097372D">
              <w:rPr>
                <w:b/>
                <w:sz w:val="20"/>
                <w:szCs w:val="20"/>
                <w:lang w:val="fr-CA"/>
              </w:rPr>
              <w:t>2024</w:t>
            </w:r>
          </w:p>
        </w:tc>
        <w:tc>
          <w:tcPr>
            <w:tcW w:w="494" w:type="pct"/>
            <w:shd w:val="clear" w:color="auto" w:fill="auto"/>
            <w:vAlign w:val="center"/>
          </w:tcPr>
          <w:p w14:paraId="172CBBFB" w14:textId="77777777" w:rsidR="00CC3427" w:rsidRPr="0097372D" w:rsidRDefault="00CC3427" w:rsidP="002531EB">
            <w:pPr>
              <w:keepNext/>
              <w:keepLines/>
              <w:jc w:val="center"/>
              <w:rPr>
                <w:b/>
                <w:sz w:val="20"/>
                <w:szCs w:val="20"/>
                <w:lang w:val="fr-CA"/>
              </w:rPr>
            </w:pPr>
            <w:r w:rsidRPr="0097372D">
              <w:rPr>
                <w:b/>
                <w:sz w:val="20"/>
                <w:szCs w:val="20"/>
                <w:lang w:val="fr-CA"/>
              </w:rPr>
              <w:t>2025</w:t>
            </w:r>
          </w:p>
        </w:tc>
        <w:tc>
          <w:tcPr>
            <w:tcW w:w="494" w:type="pct"/>
            <w:shd w:val="clear" w:color="auto" w:fill="auto"/>
            <w:vAlign w:val="center"/>
          </w:tcPr>
          <w:p w14:paraId="2A34414F" w14:textId="77777777" w:rsidR="00CC3427" w:rsidRPr="0097372D" w:rsidRDefault="00CC3427" w:rsidP="002531EB">
            <w:pPr>
              <w:keepNext/>
              <w:keepLines/>
              <w:jc w:val="center"/>
              <w:rPr>
                <w:b/>
                <w:sz w:val="20"/>
                <w:szCs w:val="20"/>
                <w:lang w:val="fr-CA"/>
              </w:rPr>
            </w:pPr>
            <w:r w:rsidRPr="0097372D">
              <w:rPr>
                <w:b/>
                <w:sz w:val="20"/>
                <w:szCs w:val="20"/>
                <w:lang w:val="fr-CA"/>
              </w:rPr>
              <w:t>2026</w:t>
            </w:r>
          </w:p>
        </w:tc>
      </w:tr>
      <w:tr w:rsidR="00CC3427" w:rsidRPr="0097372D" w14:paraId="3E40784A" w14:textId="77777777" w:rsidTr="00387BB8">
        <w:trPr>
          <w:cantSplit/>
          <w:jc w:val="right"/>
        </w:trPr>
        <w:tc>
          <w:tcPr>
            <w:tcW w:w="1541" w:type="pct"/>
            <w:shd w:val="clear" w:color="auto" w:fill="auto"/>
            <w:tcMar>
              <w:left w:w="29" w:type="dxa"/>
              <w:right w:w="0" w:type="dxa"/>
            </w:tcMar>
            <w:vAlign w:val="center"/>
          </w:tcPr>
          <w:p w14:paraId="51FE6729" w14:textId="77777777" w:rsidR="00CC3427" w:rsidRPr="0097372D" w:rsidRDefault="00CC3427" w:rsidP="002531EB">
            <w:pPr>
              <w:keepNext/>
              <w:keepLines/>
              <w:jc w:val="left"/>
              <w:rPr>
                <w:sz w:val="20"/>
                <w:szCs w:val="20"/>
                <w:lang w:val="fr-CA"/>
              </w:rPr>
            </w:pPr>
            <w:r>
              <w:rPr>
                <w:sz w:val="20"/>
                <w:szCs w:val="20"/>
                <w:lang w:val="fr-CA"/>
              </w:rPr>
              <w:t>T</w:t>
            </w:r>
            <w:r w:rsidRPr="0097372D">
              <w:rPr>
                <w:sz w:val="20"/>
                <w:szCs w:val="20"/>
                <w:lang w:val="fr-CA"/>
              </w:rPr>
              <w:t xml:space="preserve">onnes </w:t>
            </w:r>
            <w:r>
              <w:rPr>
                <w:sz w:val="20"/>
                <w:szCs w:val="20"/>
                <w:lang w:val="fr-CA"/>
              </w:rPr>
              <w:t xml:space="preserve">métriques </w:t>
            </w:r>
            <w:r w:rsidRPr="0097372D">
              <w:rPr>
                <w:sz w:val="20"/>
                <w:szCs w:val="20"/>
                <w:lang w:val="fr-CA"/>
              </w:rPr>
              <w:t>(</w:t>
            </w:r>
            <w:r>
              <w:rPr>
                <w:sz w:val="20"/>
                <w:szCs w:val="20"/>
                <w:lang w:val="fr-CA"/>
              </w:rPr>
              <w:t>t</w:t>
            </w:r>
            <w:r w:rsidRPr="0097372D">
              <w:rPr>
                <w:sz w:val="20"/>
                <w:szCs w:val="20"/>
                <w:lang w:val="fr-CA"/>
              </w:rPr>
              <w:t>m)</w:t>
            </w:r>
          </w:p>
        </w:tc>
        <w:tc>
          <w:tcPr>
            <w:tcW w:w="494" w:type="pct"/>
            <w:shd w:val="clear" w:color="auto" w:fill="auto"/>
          </w:tcPr>
          <w:p w14:paraId="27C8665D" w14:textId="77777777" w:rsidR="00CC3427" w:rsidRPr="0097372D" w:rsidRDefault="00CC3427" w:rsidP="002531EB">
            <w:pPr>
              <w:keepNext/>
              <w:keepLines/>
              <w:jc w:val="right"/>
              <w:rPr>
                <w:sz w:val="20"/>
                <w:szCs w:val="20"/>
                <w:lang w:val="fr-CA"/>
              </w:rPr>
            </w:pPr>
            <w:r w:rsidRPr="0097372D">
              <w:rPr>
                <w:sz w:val="20"/>
                <w:szCs w:val="20"/>
                <w:lang w:val="fr-CA"/>
              </w:rPr>
              <w:t>4</w:t>
            </w:r>
            <w:r>
              <w:rPr>
                <w:sz w:val="20"/>
                <w:szCs w:val="20"/>
                <w:lang w:val="fr-CA"/>
              </w:rPr>
              <w:t> </w:t>
            </w:r>
            <w:r w:rsidRPr="0097372D">
              <w:rPr>
                <w:sz w:val="20"/>
                <w:szCs w:val="20"/>
                <w:lang w:val="fr-CA"/>
              </w:rPr>
              <w:t>173</w:t>
            </w:r>
          </w:p>
        </w:tc>
        <w:tc>
          <w:tcPr>
            <w:tcW w:w="494" w:type="pct"/>
            <w:shd w:val="clear" w:color="auto" w:fill="auto"/>
          </w:tcPr>
          <w:p w14:paraId="4E0BC8CA" w14:textId="77777777" w:rsidR="00CC3427" w:rsidRPr="0097372D" w:rsidRDefault="00CC3427" w:rsidP="002531EB">
            <w:pPr>
              <w:keepNext/>
              <w:keepLines/>
              <w:jc w:val="right"/>
              <w:rPr>
                <w:sz w:val="20"/>
                <w:szCs w:val="20"/>
                <w:lang w:val="fr-CA"/>
              </w:rPr>
            </w:pPr>
            <w:r w:rsidRPr="0097372D">
              <w:rPr>
                <w:sz w:val="20"/>
                <w:szCs w:val="20"/>
                <w:lang w:val="fr-CA"/>
              </w:rPr>
              <w:t>4</w:t>
            </w:r>
            <w:r>
              <w:rPr>
                <w:sz w:val="20"/>
                <w:szCs w:val="20"/>
                <w:lang w:val="fr-CA"/>
              </w:rPr>
              <w:t> </w:t>
            </w:r>
            <w:r w:rsidRPr="0097372D">
              <w:rPr>
                <w:sz w:val="20"/>
                <w:szCs w:val="20"/>
                <w:lang w:val="fr-CA"/>
              </w:rPr>
              <w:t>173</w:t>
            </w:r>
          </w:p>
        </w:tc>
        <w:tc>
          <w:tcPr>
            <w:tcW w:w="494" w:type="pct"/>
            <w:shd w:val="clear" w:color="auto" w:fill="auto"/>
          </w:tcPr>
          <w:p w14:paraId="3522C068" w14:textId="77777777" w:rsidR="00CC3427" w:rsidRPr="0097372D" w:rsidRDefault="00CC3427" w:rsidP="002531EB">
            <w:pPr>
              <w:keepNext/>
              <w:keepLines/>
              <w:jc w:val="right"/>
              <w:rPr>
                <w:sz w:val="20"/>
                <w:szCs w:val="20"/>
                <w:lang w:val="fr-CA"/>
              </w:rPr>
            </w:pPr>
            <w:r w:rsidRPr="0097372D">
              <w:rPr>
                <w:sz w:val="20"/>
                <w:szCs w:val="20"/>
                <w:lang w:val="fr-CA"/>
              </w:rPr>
              <w:t>3</w:t>
            </w:r>
            <w:r>
              <w:rPr>
                <w:sz w:val="20"/>
                <w:szCs w:val="20"/>
                <w:lang w:val="fr-CA"/>
              </w:rPr>
              <w:t> </w:t>
            </w:r>
            <w:r w:rsidRPr="0097372D">
              <w:rPr>
                <w:sz w:val="20"/>
                <w:szCs w:val="20"/>
                <w:lang w:val="fr-CA"/>
              </w:rPr>
              <w:t>624</w:t>
            </w:r>
            <w:r>
              <w:rPr>
                <w:sz w:val="20"/>
                <w:szCs w:val="20"/>
                <w:lang w:val="fr-CA"/>
              </w:rPr>
              <w:t>,</w:t>
            </w:r>
            <w:r w:rsidRPr="0097372D">
              <w:rPr>
                <w:sz w:val="20"/>
                <w:szCs w:val="20"/>
                <w:lang w:val="fr-CA"/>
              </w:rPr>
              <w:t>51</w:t>
            </w:r>
          </w:p>
        </w:tc>
        <w:tc>
          <w:tcPr>
            <w:tcW w:w="494" w:type="pct"/>
            <w:shd w:val="clear" w:color="auto" w:fill="auto"/>
          </w:tcPr>
          <w:p w14:paraId="113C1327" w14:textId="77777777" w:rsidR="00CC3427" w:rsidRPr="0097372D" w:rsidRDefault="00CC3427" w:rsidP="002531EB">
            <w:pPr>
              <w:keepNext/>
              <w:keepLines/>
              <w:jc w:val="right"/>
              <w:rPr>
                <w:sz w:val="20"/>
                <w:szCs w:val="20"/>
                <w:lang w:val="fr-CA"/>
              </w:rPr>
            </w:pPr>
            <w:r w:rsidRPr="0097372D">
              <w:rPr>
                <w:sz w:val="20"/>
                <w:szCs w:val="20"/>
                <w:lang w:val="fr-CA"/>
              </w:rPr>
              <w:t>2</w:t>
            </w:r>
            <w:r>
              <w:rPr>
                <w:sz w:val="20"/>
                <w:szCs w:val="20"/>
                <w:lang w:val="fr-CA"/>
              </w:rPr>
              <w:t> </w:t>
            </w:r>
            <w:r w:rsidRPr="0097372D">
              <w:rPr>
                <w:sz w:val="20"/>
                <w:szCs w:val="20"/>
                <w:lang w:val="fr-CA"/>
              </w:rPr>
              <w:t>944</w:t>
            </w:r>
            <w:r>
              <w:rPr>
                <w:sz w:val="20"/>
                <w:szCs w:val="20"/>
                <w:lang w:val="fr-CA"/>
              </w:rPr>
              <w:t>,</w:t>
            </w:r>
            <w:r w:rsidRPr="0097372D">
              <w:rPr>
                <w:sz w:val="20"/>
                <w:szCs w:val="20"/>
                <w:lang w:val="fr-CA"/>
              </w:rPr>
              <w:t>91</w:t>
            </w:r>
          </w:p>
        </w:tc>
        <w:tc>
          <w:tcPr>
            <w:tcW w:w="494" w:type="pct"/>
            <w:shd w:val="clear" w:color="auto" w:fill="auto"/>
          </w:tcPr>
          <w:p w14:paraId="48B76994" w14:textId="77777777" w:rsidR="00CC3427" w:rsidRPr="0097372D" w:rsidRDefault="00CC3427" w:rsidP="002531EB">
            <w:pPr>
              <w:keepNext/>
              <w:keepLines/>
              <w:jc w:val="right"/>
              <w:rPr>
                <w:sz w:val="20"/>
                <w:szCs w:val="20"/>
                <w:lang w:val="fr-CA"/>
              </w:rPr>
            </w:pPr>
            <w:r w:rsidRPr="0097372D">
              <w:rPr>
                <w:sz w:val="20"/>
                <w:szCs w:val="20"/>
                <w:lang w:val="fr-CA"/>
              </w:rPr>
              <w:t>1</w:t>
            </w:r>
            <w:r>
              <w:rPr>
                <w:sz w:val="20"/>
                <w:szCs w:val="20"/>
                <w:lang w:val="fr-CA"/>
              </w:rPr>
              <w:t> </w:t>
            </w:r>
            <w:r w:rsidRPr="0097372D">
              <w:rPr>
                <w:sz w:val="20"/>
                <w:szCs w:val="20"/>
                <w:lang w:val="fr-CA"/>
              </w:rPr>
              <w:t>359</w:t>
            </w:r>
            <w:r>
              <w:rPr>
                <w:sz w:val="20"/>
                <w:szCs w:val="20"/>
                <w:lang w:val="fr-CA"/>
              </w:rPr>
              <w:t>,</w:t>
            </w:r>
            <w:r w:rsidRPr="0097372D">
              <w:rPr>
                <w:sz w:val="20"/>
                <w:szCs w:val="20"/>
                <w:lang w:val="fr-CA"/>
              </w:rPr>
              <w:t>19</w:t>
            </w:r>
          </w:p>
        </w:tc>
        <w:tc>
          <w:tcPr>
            <w:tcW w:w="494" w:type="pct"/>
            <w:shd w:val="clear" w:color="auto" w:fill="auto"/>
          </w:tcPr>
          <w:p w14:paraId="3F5A2543" w14:textId="77777777" w:rsidR="00CC3427" w:rsidRPr="0097372D" w:rsidRDefault="00CC3427" w:rsidP="002531EB">
            <w:pPr>
              <w:keepNext/>
              <w:keepLines/>
              <w:jc w:val="right"/>
              <w:rPr>
                <w:sz w:val="20"/>
                <w:szCs w:val="20"/>
                <w:lang w:val="fr-CA"/>
              </w:rPr>
            </w:pPr>
            <w:r w:rsidRPr="0097372D">
              <w:rPr>
                <w:sz w:val="20"/>
                <w:szCs w:val="20"/>
                <w:lang w:val="fr-CA"/>
              </w:rPr>
              <w:t>500</w:t>
            </w:r>
          </w:p>
        </w:tc>
        <w:tc>
          <w:tcPr>
            <w:tcW w:w="494" w:type="pct"/>
            <w:shd w:val="clear" w:color="auto" w:fill="auto"/>
          </w:tcPr>
          <w:p w14:paraId="005454A9" w14:textId="77777777" w:rsidR="00CC3427" w:rsidRPr="0097372D" w:rsidRDefault="00CC3427" w:rsidP="002531EB">
            <w:pPr>
              <w:keepNext/>
              <w:keepLines/>
              <w:jc w:val="right"/>
              <w:rPr>
                <w:sz w:val="20"/>
                <w:szCs w:val="20"/>
                <w:lang w:val="fr-CA"/>
              </w:rPr>
            </w:pPr>
            <w:r w:rsidRPr="0097372D">
              <w:rPr>
                <w:sz w:val="20"/>
                <w:szCs w:val="20"/>
                <w:lang w:val="fr-CA"/>
              </w:rPr>
              <w:t>0</w:t>
            </w:r>
          </w:p>
        </w:tc>
      </w:tr>
      <w:tr w:rsidR="00CC3427" w:rsidRPr="0097372D" w14:paraId="3360ADBF" w14:textId="77777777" w:rsidTr="00387BB8">
        <w:trPr>
          <w:cantSplit/>
          <w:jc w:val="right"/>
        </w:trPr>
        <w:tc>
          <w:tcPr>
            <w:tcW w:w="1541" w:type="pct"/>
            <w:shd w:val="clear" w:color="auto" w:fill="auto"/>
            <w:tcMar>
              <w:left w:w="29" w:type="dxa"/>
              <w:right w:w="0" w:type="dxa"/>
            </w:tcMar>
            <w:vAlign w:val="center"/>
          </w:tcPr>
          <w:p w14:paraId="4A537EC2" w14:textId="77777777" w:rsidR="00CC3427" w:rsidRPr="0097372D" w:rsidRDefault="00CC3427" w:rsidP="002531EB">
            <w:pPr>
              <w:keepNext/>
              <w:keepLines/>
              <w:jc w:val="left"/>
              <w:rPr>
                <w:sz w:val="20"/>
                <w:szCs w:val="20"/>
                <w:lang w:val="fr-CA"/>
              </w:rPr>
            </w:pPr>
            <w:r>
              <w:rPr>
                <w:sz w:val="20"/>
                <w:szCs w:val="20"/>
                <w:lang w:val="fr-CA"/>
              </w:rPr>
              <w:t>T</w:t>
            </w:r>
            <w:r w:rsidRPr="0097372D">
              <w:rPr>
                <w:sz w:val="20"/>
                <w:szCs w:val="20"/>
                <w:lang w:val="fr-CA"/>
              </w:rPr>
              <w:t>onnes</w:t>
            </w:r>
            <w:r>
              <w:rPr>
                <w:sz w:val="20"/>
                <w:szCs w:val="20"/>
                <w:lang w:val="fr-CA"/>
              </w:rPr>
              <w:t xml:space="preserve"> PAO</w:t>
            </w:r>
          </w:p>
        </w:tc>
        <w:tc>
          <w:tcPr>
            <w:tcW w:w="494" w:type="pct"/>
            <w:shd w:val="clear" w:color="auto" w:fill="auto"/>
          </w:tcPr>
          <w:p w14:paraId="0032B278" w14:textId="77777777" w:rsidR="00CC3427" w:rsidRPr="0097372D" w:rsidRDefault="00CC3427" w:rsidP="002531EB">
            <w:pPr>
              <w:keepNext/>
              <w:keepLines/>
              <w:jc w:val="right"/>
              <w:rPr>
                <w:sz w:val="20"/>
                <w:szCs w:val="20"/>
                <w:lang w:val="fr-CA"/>
              </w:rPr>
            </w:pPr>
            <w:r w:rsidRPr="0097372D">
              <w:rPr>
                <w:sz w:val="20"/>
                <w:szCs w:val="20"/>
                <w:lang w:val="fr-CA"/>
              </w:rPr>
              <w:t>455</w:t>
            </w:r>
            <w:r>
              <w:rPr>
                <w:sz w:val="20"/>
                <w:szCs w:val="20"/>
                <w:lang w:val="fr-CA"/>
              </w:rPr>
              <w:t>,</w:t>
            </w:r>
            <w:r w:rsidRPr="0097372D">
              <w:rPr>
                <w:sz w:val="20"/>
                <w:szCs w:val="20"/>
                <w:lang w:val="fr-CA"/>
              </w:rPr>
              <w:t>2</w:t>
            </w:r>
          </w:p>
        </w:tc>
        <w:tc>
          <w:tcPr>
            <w:tcW w:w="494" w:type="pct"/>
            <w:shd w:val="clear" w:color="auto" w:fill="auto"/>
          </w:tcPr>
          <w:p w14:paraId="33F55ED7" w14:textId="77777777" w:rsidR="00CC3427" w:rsidRPr="0097372D" w:rsidRDefault="00CC3427" w:rsidP="002531EB">
            <w:pPr>
              <w:keepNext/>
              <w:keepLines/>
              <w:jc w:val="right"/>
              <w:rPr>
                <w:sz w:val="20"/>
                <w:szCs w:val="20"/>
                <w:lang w:val="fr-CA"/>
              </w:rPr>
            </w:pPr>
            <w:r w:rsidRPr="0097372D">
              <w:rPr>
                <w:sz w:val="20"/>
                <w:szCs w:val="20"/>
                <w:lang w:val="fr-CA"/>
              </w:rPr>
              <w:t>455</w:t>
            </w:r>
            <w:r>
              <w:rPr>
                <w:sz w:val="20"/>
                <w:szCs w:val="20"/>
                <w:lang w:val="fr-CA"/>
              </w:rPr>
              <w:t>,</w:t>
            </w:r>
            <w:r w:rsidRPr="0097372D">
              <w:rPr>
                <w:sz w:val="20"/>
                <w:szCs w:val="20"/>
                <w:lang w:val="fr-CA"/>
              </w:rPr>
              <w:t>2</w:t>
            </w:r>
          </w:p>
        </w:tc>
        <w:tc>
          <w:tcPr>
            <w:tcW w:w="494" w:type="pct"/>
            <w:shd w:val="clear" w:color="auto" w:fill="auto"/>
          </w:tcPr>
          <w:p w14:paraId="67442F41" w14:textId="77777777" w:rsidR="00CC3427" w:rsidRPr="0097372D" w:rsidRDefault="00CC3427" w:rsidP="002531EB">
            <w:pPr>
              <w:keepNext/>
              <w:keepLines/>
              <w:jc w:val="right"/>
              <w:rPr>
                <w:sz w:val="20"/>
                <w:szCs w:val="20"/>
                <w:lang w:val="fr-CA"/>
              </w:rPr>
            </w:pPr>
            <w:r w:rsidRPr="0097372D">
              <w:rPr>
                <w:sz w:val="20"/>
                <w:szCs w:val="20"/>
                <w:lang w:val="fr-CA"/>
              </w:rPr>
              <w:t>395</w:t>
            </w:r>
            <w:r>
              <w:rPr>
                <w:sz w:val="20"/>
                <w:szCs w:val="20"/>
                <w:lang w:val="fr-CA"/>
              </w:rPr>
              <w:t>,</w:t>
            </w:r>
            <w:r w:rsidRPr="0097372D">
              <w:rPr>
                <w:sz w:val="20"/>
                <w:szCs w:val="20"/>
                <w:lang w:val="fr-CA"/>
              </w:rPr>
              <w:t>4</w:t>
            </w:r>
          </w:p>
        </w:tc>
        <w:tc>
          <w:tcPr>
            <w:tcW w:w="494" w:type="pct"/>
            <w:shd w:val="clear" w:color="auto" w:fill="auto"/>
          </w:tcPr>
          <w:p w14:paraId="3DD5ADF9" w14:textId="77777777" w:rsidR="00CC3427" w:rsidRPr="0097372D" w:rsidRDefault="00CC3427" w:rsidP="002531EB">
            <w:pPr>
              <w:keepNext/>
              <w:keepLines/>
              <w:jc w:val="right"/>
              <w:rPr>
                <w:sz w:val="20"/>
                <w:szCs w:val="20"/>
                <w:lang w:val="fr-CA"/>
              </w:rPr>
            </w:pPr>
            <w:r w:rsidRPr="0097372D">
              <w:rPr>
                <w:sz w:val="20"/>
                <w:szCs w:val="20"/>
                <w:lang w:val="fr-CA"/>
              </w:rPr>
              <w:t>321</w:t>
            </w:r>
            <w:r>
              <w:rPr>
                <w:sz w:val="20"/>
                <w:szCs w:val="20"/>
                <w:lang w:val="fr-CA"/>
              </w:rPr>
              <w:t>,</w:t>
            </w:r>
            <w:r w:rsidRPr="0097372D">
              <w:rPr>
                <w:sz w:val="20"/>
                <w:szCs w:val="20"/>
                <w:lang w:val="fr-CA"/>
              </w:rPr>
              <w:t>2</w:t>
            </w:r>
          </w:p>
        </w:tc>
        <w:tc>
          <w:tcPr>
            <w:tcW w:w="494" w:type="pct"/>
            <w:shd w:val="clear" w:color="auto" w:fill="auto"/>
          </w:tcPr>
          <w:p w14:paraId="49800FBC" w14:textId="77777777" w:rsidR="00CC3427" w:rsidRPr="0097372D" w:rsidRDefault="00CC3427" w:rsidP="002531EB">
            <w:pPr>
              <w:keepNext/>
              <w:keepLines/>
              <w:jc w:val="right"/>
              <w:rPr>
                <w:sz w:val="20"/>
                <w:szCs w:val="20"/>
                <w:lang w:val="fr-CA"/>
              </w:rPr>
            </w:pPr>
            <w:r w:rsidRPr="0097372D">
              <w:rPr>
                <w:sz w:val="20"/>
                <w:szCs w:val="20"/>
                <w:lang w:val="fr-CA"/>
              </w:rPr>
              <w:t>148</w:t>
            </w:r>
            <w:r>
              <w:rPr>
                <w:sz w:val="20"/>
                <w:szCs w:val="20"/>
                <w:lang w:val="fr-CA"/>
              </w:rPr>
              <w:t>,</w:t>
            </w:r>
            <w:r w:rsidRPr="0097372D">
              <w:rPr>
                <w:sz w:val="20"/>
                <w:szCs w:val="20"/>
                <w:lang w:val="fr-CA"/>
              </w:rPr>
              <w:t>3</w:t>
            </w:r>
          </w:p>
        </w:tc>
        <w:tc>
          <w:tcPr>
            <w:tcW w:w="494" w:type="pct"/>
            <w:shd w:val="clear" w:color="auto" w:fill="auto"/>
          </w:tcPr>
          <w:p w14:paraId="50E876D0" w14:textId="77777777" w:rsidR="00CC3427" w:rsidRPr="0097372D" w:rsidRDefault="00CC3427" w:rsidP="002531EB">
            <w:pPr>
              <w:keepNext/>
              <w:keepLines/>
              <w:jc w:val="right"/>
              <w:rPr>
                <w:sz w:val="20"/>
                <w:szCs w:val="20"/>
                <w:lang w:val="fr-CA"/>
              </w:rPr>
            </w:pPr>
            <w:r w:rsidRPr="0097372D">
              <w:rPr>
                <w:sz w:val="20"/>
                <w:szCs w:val="20"/>
                <w:lang w:val="fr-CA"/>
              </w:rPr>
              <w:t>55</w:t>
            </w:r>
          </w:p>
        </w:tc>
        <w:tc>
          <w:tcPr>
            <w:tcW w:w="494" w:type="pct"/>
            <w:shd w:val="clear" w:color="auto" w:fill="auto"/>
          </w:tcPr>
          <w:p w14:paraId="0122E966" w14:textId="77777777" w:rsidR="00CC3427" w:rsidRPr="0097372D" w:rsidRDefault="00CC3427" w:rsidP="002531EB">
            <w:pPr>
              <w:keepNext/>
              <w:keepLines/>
              <w:jc w:val="right"/>
              <w:rPr>
                <w:sz w:val="20"/>
                <w:szCs w:val="20"/>
                <w:lang w:val="fr-CA"/>
              </w:rPr>
            </w:pPr>
            <w:r w:rsidRPr="0097372D">
              <w:rPr>
                <w:sz w:val="20"/>
                <w:szCs w:val="20"/>
                <w:lang w:val="fr-CA"/>
              </w:rPr>
              <w:t>0</w:t>
            </w:r>
          </w:p>
        </w:tc>
      </w:tr>
      <w:tr w:rsidR="00CC3427" w:rsidRPr="0097372D" w14:paraId="4166C6ED" w14:textId="77777777" w:rsidTr="00387BB8">
        <w:trPr>
          <w:cantSplit/>
          <w:jc w:val="right"/>
        </w:trPr>
        <w:tc>
          <w:tcPr>
            <w:tcW w:w="1541" w:type="pct"/>
            <w:shd w:val="clear" w:color="auto" w:fill="auto"/>
            <w:tcMar>
              <w:left w:w="29" w:type="dxa"/>
              <w:right w:w="0" w:type="dxa"/>
            </w:tcMar>
            <w:vAlign w:val="center"/>
          </w:tcPr>
          <w:p w14:paraId="1EF63B00" w14:textId="77777777" w:rsidR="00CC3427" w:rsidRPr="0097372D" w:rsidRDefault="00CC3427" w:rsidP="002531EB">
            <w:pPr>
              <w:keepNext/>
              <w:keepLines/>
              <w:jc w:val="left"/>
              <w:rPr>
                <w:sz w:val="20"/>
                <w:szCs w:val="20"/>
                <w:lang w:val="fr-CA"/>
              </w:rPr>
            </w:pPr>
            <w:r w:rsidRPr="0097372D">
              <w:rPr>
                <w:sz w:val="20"/>
                <w:szCs w:val="20"/>
                <w:lang w:val="fr-CA"/>
              </w:rPr>
              <w:t>R</w:t>
            </w:r>
            <w:r>
              <w:rPr>
                <w:sz w:val="20"/>
                <w:szCs w:val="20"/>
                <w:lang w:val="fr-CA"/>
              </w:rPr>
              <w:t>é</w:t>
            </w:r>
            <w:r w:rsidRPr="0097372D">
              <w:rPr>
                <w:sz w:val="20"/>
                <w:szCs w:val="20"/>
                <w:lang w:val="fr-CA"/>
              </w:rPr>
              <w:t>duction (</w:t>
            </w:r>
            <w:r>
              <w:rPr>
                <w:sz w:val="20"/>
                <w:szCs w:val="20"/>
                <w:lang w:val="fr-CA"/>
              </w:rPr>
              <w:t>t</w:t>
            </w:r>
            <w:r w:rsidRPr="0097372D">
              <w:rPr>
                <w:sz w:val="20"/>
                <w:szCs w:val="20"/>
                <w:lang w:val="fr-CA"/>
              </w:rPr>
              <w:t>m)</w:t>
            </w:r>
          </w:p>
        </w:tc>
        <w:tc>
          <w:tcPr>
            <w:tcW w:w="494" w:type="pct"/>
            <w:shd w:val="clear" w:color="auto" w:fill="auto"/>
          </w:tcPr>
          <w:p w14:paraId="67424055" w14:textId="77777777" w:rsidR="00CC3427" w:rsidRPr="0097372D" w:rsidRDefault="00CC3427" w:rsidP="002531EB">
            <w:pPr>
              <w:keepNext/>
              <w:keepLines/>
              <w:jc w:val="right"/>
              <w:rPr>
                <w:sz w:val="20"/>
                <w:szCs w:val="20"/>
                <w:lang w:val="fr-CA"/>
              </w:rPr>
            </w:pPr>
          </w:p>
        </w:tc>
        <w:tc>
          <w:tcPr>
            <w:tcW w:w="494" w:type="pct"/>
            <w:shd w:val="clear" w:color="auto" w:fill="auto"/>
          </w:tcPr>
          <w:p w14:paraId="73AAF074" w14:textId="77777777" w:rsidR="00CC3427" w:rsidRPr="0097372D" w:rsidRDefault="00CC3427" w:rsidP="002531EB">
            <w:pPr>
              <w:keepNext/>
              <w:keepLines/>
              <w:jc w:val="right"/>
              <w:rPr>
                <w:sz w:val="20"/>
                <w:szCs w:val="20"/>
                <w:lang w:val="fr-CA"/>
              </w:rPr>
            </w:pPr>
            <w:r w:rsidRPr="0097372D">
              <w:rPr>
                <w:sz w:val="20"/>
                <w:szCs w:val="20"/>
                <w:lang w:val="fr-CA"/>
              </w:rPr>
              <w:t>357</w:t>
            </w:r>
            <w:r>
              <w:rPr>
                <w:sz w:val="20"/>
                <w:szCs w:val="20"/>
                <w:lang w:val="fr-CA"/>
              </w:rPr>
              <w:t>,</w:t>
            </w:r>
            <w:r w:rsidRPr="0097372D">
              <w:rPr>
                <w:sz w:val="20"/>
                <w:szCs w:val="20"/>
                <w:lang w:val="fr-CA"/>
              </w:rPr>
              <w:t>63</w:t>
            </w:r>
          </w:p>
        </w:tc>
        <w:tc>
          <w:tcPr>
            <w:tcW w:w="494" w:type="pct"/>
            <w:shd w:val="clear" w:color="auto" w:fill="auto"/>
          </w:tcPr>
          <w:p w14:paraId="7FD78620" w14:textId="77777777" w:rsidR="00CC3427" w:rsidRPr="0097372D" w:rsidRDefault="00CC3427" w:rsidP="002531EB">
            <w:pPr>
              <w:keepNext/>
              <w:keepLines/>
              <w:jc w:val="right"/>
              <w:rPr>
                <w:sz w:val="20"/>
                <w:szCs w:val="20"/>
                <w:lang w:val="fr-CA"/>
              </w:rPr>
            </w:pPr>
            <w:r w:rsidRPr="0097372D">
              <w:rPr>
                <w:sz w:val="20"/>
                <w:szCs w:val="20"/>
                <w:lang w:val="fr-CA"/>
              </w:rPr>
              <w:t>548</w:t>
            </w:r>
            <w:r>
              <w:rPr>
                <w:sz w:val="20"/>
                <w:szCs w:val="20"/>
                <w:lang w:val="fr-CA"/>
              </w:rPr>
              <w:t>,</w:t>
            </w:r>
            <w:r w:rsidRPr="0097372D">
              <w:rPr>
                <w:sz w:val="20"/>
                <w:szCs w:val="20"/>
                <w:lang w:val="fr-CA"/>
              </w:rPr>
              <w:t>49</w:t>
            </w:r>
          </w:p>
        </w:tc>
        <w:tc>
          <w:tcPr>
            <w:tcW w:w="494" w:type="pct"/>
            <w:shd w:val="clear" w:color="auto" w:fill="auto"/>
          </w:tcPr>
          <w:p w14:paraId="0A4180B9" w14:textId="77777777" w:rsidR="00CC3427" w:rsidRPr="0097372D" w:rsidRDefault="00CC3427" w:rsidP="002531EB">
            <w:pPr>
              <w:keepNext/>
              <w:keepLines/>
              <w:jc w:val="right"/>
              <w:rPr>
                <w:sz w:val="20"/>
                <w:szCs w:val="20"/>
                <w:lang w:val="fr-CA"/>
              </w:rPr>
            </w:pPr>
            <w:r w:rsidRPr="0097372D">
              <w:rPr>
                <w:sz w:val="20"/>
                <w:szCs w:val="20"/>
                <w:lang w:val="fr-CA"/>
              </w:rPr>
              <w:t>679</w:t>
            </w:r>
            <w:r>
              <w:rPr>
                <w:sz w:val="20"/>
                <w:szCs w:val="20"/>
                <w:lang w:val="fr-CA"/>
              </w:rPr>
              <w:t>,</w:t>
            </w:r>
            <w:r w:rsidRPr="0097372D">
              <w:rPr>
                <w:sz w:val="20"/>
                <w:szCs w:val="20"/>
                <w:lang w:val="fr-CA"/>
              </w:rPr>
              <w:t>60</w:t>
            </w:r>
          </w:p>
        </w:tc>
        <w:tc>
          <w:tcPr>
            <w:tcW w:w="494" w:type="pct"/>
            <w:shd w:val="clear" w:color="auto" w:fill="auto"/>
          </w:tcPr>
          <w:p w14:paraId="0DF3FFDE" w14:textId="77777777" w:rsidR="00CC3427" w:rsidRPr="0097372D" w:rsidRDefault="00CC3427" w:rsidP="002531EB">
            <w:pPr>
              <w:keepNext/>
              <w:keepLines/>
              <w:jc w:val="right"/>
              <w:rPr>
                <w:sz w:val="20"/>
                <w:szCs w:val="20"/>
                <w:lang w:val="fr-CA"/>
              </w:rPr>
            </w:pPr>
            <w:r w:rsidRPr="0097372D">
              <w:rPr>
                <w:sz w:val="20"/>
                <w:szCs w:val="20"/>
                <w:lang w:val="fr-CA"/>
              </w:rPr>
              <w:t>1</w:t>
            </w:r>
            <w:r>
              <w:rPr>
                <w:sz w:val="20"/>
                <w:szCs w:val="20"/>
                <w:lang w:val="fr-CA"/>
              </w:rPr>
              <w:t> </w:t>
            </w:r>
            <w:r w:rsidRPr="0097372D">
              <w:rPr>
                <w:sz w:val="20"/>
                <w:szCs w:val="20"/>
                <w:lang w:val="fr-CA"/>
              </w:rPr>
              <w:t>585</w:t>
            </w:r>
            <w:r>
              <w:rPr>
                <w:sz w:val="20"/>
                <w:szCs w:val="20"/>
                <w:lang w:val="fr-CA"/>
              </w:rPr>
              <w:t>,</w:t>
            </w:r>
            <w:r w:rsidRPr="0097372D">
              <w:rPr>
                <w:sz w:val="20"/>
                <w:szCs w:val="20"/>
                <w:lang w:val="fr-CA"/>
              </w:rPr>
              <w:t>72</w:t>
            </w:r>
          </w:p>
        </w:tc>
        <w:tc>
          <w:tcPr>
            <w:tcW w:w="494" w:type="pct"/>
            <w:shd w:val="clear" w:color="auto" w:fill="auto"/>
          </w:tcPr>
          <w:p w14:paraId="64ABA623" w14:textId="77777777" w:rsidR="00CC3427" w:rsidRPr="0097372D" w:rsidRDefault="00CC3427" w:rsidP="002531EB">
            <w:pPr>
              <w:keepNext/>
              <w:keepLines/>
              <w:jc w:val="right"/>
              <w:rPr>
                <w:sz w:val="20"/>
                <w:szCs w:val="20"/>
                <w:lang w:val="fr-CA"/>
              </w:rPr>
            </w:pPr>
            <w:r w:rsidRPr="0097372D">
              <w:rPr>
                <w:sz w:val="20"/>
                <w:szCs w:val="20"/>
                <w:lang w:val="fr-CA"/>
              </w:rPr>
              <w:t>859</w:t>
            </w:r>
            <w:r>
              <w:rPr>
                <w:sz w:val="20"/>
                <w:szCs w:val="20"/>
                <w:lang w:val="fr-CA"/>
              </w:rPr>
              <w:t>,</w:t>
            </w:r>
            <w:r w:rsidRPr="0097372D">
              <w:rPr>
                <w:sz w:val="20"/>
                <w:szCs w:val="20"/>
                <w:lang w:val="fr-CA"/>
              </w:rPr>
              <w:t>19</w:t>
            </w:r>
          </w:p>
        </w:tc>
        <w:tc>
          <w:tcPr>
            <w:tcW w:w="494" w:type="pct"/>
            <w:shd w:val="clear" w:color="auto" w:fill="auto"/>
          </w:tcPr>
          <w:p w14:paraId="2811794A" w14:textId="77777777" w:rsidR="00CC3427" w:rsidRPr="0097372D" w:rsidRDefault="00CC3427" w:rsidP="002531EB">
            <w:pPr>
              <w:keepNext/>
              <w:keepLines/>
              <w:jc w:val="right"/>
              <w:rPr>
                <w:sz w:val="20"/>
                <w:szCs w:val="20"/>
                <w:lang w:val="fr-CA"/>
              </w:rPr>
            </w:pPr>
            <w:r w:rsidRPr="0097372D">
              <w:rPr>
                <w:sz w:val="20"/>
                <w:szCs w:val="20"/>
                <w:lang w:val="fr-CA"/>
              </w:rPr>
              <w:t>500</w:t>
            </w:r>
          </w:p>
        </w:tc>
      </w:tr>
      <w:tr w:rsidR="00CC3427" w:rsidRPr="0097372D" w14:paraId="7E94109C" w14:textId="77777777" w:rsidTr="00387BB8">
        <w:trPr>
          <w:cantSplit/>
          <w:jc w:val="right"/>
        </w:trPr>
        <w:tc>
          <w:tcPr>
            <w:tcW w:w="1541" w:type="pct"/>
            <w:shd w:val="clear" w:color="auto" w:fill="auto"/>
            <w:tcMar>
              <w:left w:w="29" w:type="dxa"/>
              <w:right w:w="0" w:type="dxa"/>
            </w:tcMar>
            <w:vAlign w:val="center"/>
          </w:tcPr>
          <w:p w14:paraId="1EEA5109" w14:textId="77777777" w:rsidR="00CC3427" w:rsidRPr="0097372D" w:rsidRDefault="00CC3427" w:rsidP="002531EB">
            <w:pPr>
              <w:keepNext/>
              <w:keepLines/>
              <w:jc w:val="left"/>
              <w:rPr>
                <w:sz w:val="20"/>
                <w:szCs w:val="20"/>
                <w:lang w:val="fr-CA"/>
              </w:rPr>
            </w:pPr>
            <w:r w:rsidRPr="0097372D">
              <w:rPr>
                <w:sz w:val="20"/>
                <w:szCs w:val="20"/>
                <w:lang w:val="fr-CA"/>
              </w:rPr>
              <w:t>Reduction (tonnes</w:t>
            </w:r>
            <w:r>
              <w:rPr>
                <w:sz w:val="20"/>
                <w:szCs w:val="20"/>
                <w:lang w:val="fr-CA"/>
              </w:rPr>
              <w:t xml:space="preserve"> PAO</w:t>
            </w:r>
            <w:r w:rsidRPr="0097372D">
              <w:rPr>
                <w:sz w:val="20"/>
                <w:szCs w:val="20"/>
                <w:lang w:val="fr-CA"/>
              </w:rPr>
              <w:t>)</w:t>
            </w:r>
          </w:p>
        </w:tc>
        <w:tc>
          <w:tcPr>
            <w:tcW w:w="494" w:type="pct"/>
            <w:shd w:val="clear" w:color="auto" w:fill="auto"/>
          </w:tcPr>
          <w:p w14:paraId="1E337F11" w14:textId="77777777" w:rsidR="00CC3427" w:rsidRPr="0097372D" w:rsidRDefault="00CC3427" w:rsidP="002531EB">
            <w:pPr>
              <w:keepNext/>
              <w:keepLines/>
              <w:jc w:val="right"/>
              <w:rPr>
                <w:sz w:val="20"/>
                <w:szCs w:val="20"/>
                <w:lang w:val="fr-CA"/>
              </w:rPr>
            </w:pPr>
          </w:p>
        </w:tc>
        <w:tc>
          <w:tcPr>
            <w:tcW w:w="494" w:type="pct"/>
            <w:shd w:val="clear" w:color="auto" w:fill="auto"/>
          </w:tcPr>
          <w:p w14:paraId="389E7CE1" w14:textId="77777777" w:rsidR="00CC3427" w:rsidRPr="0097372D" w:rsidRDefault="00CC3427" w:rsidP="002531EB">
            <w:pPr>
              <w:keepNext/>
              <w:keepLines/>
              <w:jc w:val="right"/>
              <w:rPr>
                <w:sz w:val="20"/>
                <w:szCs w:val="20"/>
                <w:lang w:val="fr-CA"/>
              </w:rPr>
            </w:pPr>
            <w:r w:rsidRPr="0097372D">
              <w:rPr>
                <w:sz w:val="20"/>
                <w:szCs w:val="20"/>
                <w:lang w:val="fr-CA"/>
              </w:rPr>
              <w:t>39</w:t>
            </w:r>
            <w:r>
              <w:rPr>
                <w:sz w:val="20"/>
                <w:szCs w:val="20"/>
                <w:lang w:val="fr-CA"/>
              </w:rPr>
              <w:t>,</w:t>
            </w:r>
            <w:r w:rsidRPr="0097372D">
              <w:rPr>
                <w:sz w:val="20"/>
                <w:szCs w:val="20"/>
                <w:lang w:val="fr-CA"/>
              </w:rPr>
              <w:t>05</w:t>
            </w:r>
          </w:p>
        </w:tc>
        <w:tc>
          <w:tcPr>
            <w:tcW w:w="494" w:type="pct"/>
            <w:shd w:val="clear" w:color="auto" w:fill="auto"/>
          </w:tcPr>
          <w:p w14:paraId="33298514" w14:textId="77777777" w:rsidR="00CC3427" w:rsidRPr="0097372D" w:rsidRDefault="00CC3427" w:rsidP="002531EB">
            <w:pPr>
              <w:keepNext/>
              <w:keepLines/>
              <w:jc w:val="right"/>
              <w:rPr>
                <w:sz w:val="20"/>
                <w:szCs w:val="20"/>
                <w:lang w:val="fr-CA"/>
              </w:rPr>
            </w:pPr>
            <w:r w:rsidRPr="0097372D">
              <w:rPr>
                <w:sz w:val="20"/>
                <w:szCs w:val="20"/>
                <w:lang w:val="fr-CA"/>
              </w:rPr>
              <w:t>59</w:t>
            </w:r>
            <w:r>
              <w:rPr>
                <w:sz w:val="20"/>
                <w:szCs w:val="20"/>
                <w:lang w:val="fr-CA"/>
              </w:rPr>
              <w:t>,</w:t>
            </w:r>
            <w:r w:rsidRPr="0097372D">
              <w:rPr>
                <w:sz w:val="20"/>
                <w:szCs w:val="20"/>
                <w:lang w:val="fr-CA"/>
              </w:rPr>
              <w:t>79</w:t>
            </w:r>
          </w:p>
        </w:tc>
        <w:tc>
          <w:tcPr>
            <w:tcW w:w="494" w:type="pct"/>
            <w:shd w:val="clear" w:color="auto" w:fill="auto"/>
          </w:tcPr>
          <w:p w14:paraId="5AE312BA" w14:textId="77777777" w:rsidR="00CC3427" w:rsidRPr="0097372D" w:rsidRDefault="00CC3427" w:rsidP="002531EB">
            <w:pPr>
              <w:keepNext/>
              <w:keepLines/>
              <w:jc w:val="right"/>
              <w:rPr>
                <w:sz w:val="20"/>
                <w:szCs w:val="20"/>
                <w:lang w:val="fr-CA"/>
              </w:rPr>
            </w:pPr>
            <w:r w:rsidRPr="0097372D">
              <w:rPr>
                <w:sz w:val="20"/>
                <w:szCs w:val="20"/>
                <w:lang w:val="fr-CA"/>
              </w:rPr>
              <w:t>74</w:t>
            </w:r>
            <w:r>
              <w:rPr>
                <w:sz w:val="20"/>
                <w:szCs w:val="20"/>
                <w:lang w:val="fr-CA"/>
              </w:rPr>
              <w:t>,</w:t>
            </w:r>
            <w:r w:rsidRPr="0097372D">
              <w:rPr>
                <w:sz w:val="20"/>
                <w:szCs w:val="20"/>
                <w:lang w:val="fr-CA"/>
              </w:rPr>
              <w:t>14</w:t>
            </w:r>
          </w:p>
        </w:tc>
        <w:tc>
          <w:tcPr>
            <w:tcW w:w="494" w:type="pct"/>
            <w:shd w:val="clear" w:color="auto" w:fill="auto"/>
          </w:tcPr>
          <w:p w14:paraId="545247D4" w14:textId="77777777" w:rsidR="00CC3427" w:rsidRPr="0097372D" w:rsidRDefault="00CC3427" w:rsidP="002531EB">
            <w:pPr>
              <w:keepNext/>
              <w:keepLines/>
              <w:jc w:val="right"/>
              <w:rPr>
                <w:sz w:val="20"/>
                <w:szCs w:val="20"/>
                <w:lang w:val="fr-CA"/>
              </w:rPr>
            </w:pPr>
            <w:r w:rsidRPr="0097372D">
              <w:rPr>
                <w:sz w:val="20"/>
                <w:szCs w:val="20"/>
                <w:lang w:val="fr-CA"/>
              </w:rPr>
              <w:t>172</w:t>
            </w:r>
            <w:r>
              <w:rPr>
                <w:sz w:val="20"/>
                <w:szCs w:val="20"/>
                <w:lang w:val="fr-CA"/>
              </w:rPr>
              <w:t>,</w:t>
            </w:r>
            <w:r w:rsidRPr="0097372D">
              <w:rPr>
                <w:sz w:val="20"/>
                <w:szCs w:val="20"/>
                <w:lang w:val="fr-CA"/>
              </w:rPr>
              <w:t>97</w:t>
            </w:r>
          </w:p>
        </w:tc>
        <w:tc>
          <w:tcPr>
            <w:tcW w:w="494" w:type="pct"/>
            <w:shd w:val="clear" w:color="auto" w:fill="auto"/>
          </w:tcPr>
          <w:p w14:paraId="739A7D2F" w14:textId="77777777" w:rsidR="00CC3427" w:rsidRPr="0097372D" w:rsidRDefault="00CC3427" w:rsidP="002531EB">
            <w:pPr>
              <w:keepNext/>
              <w:keepLines/>
              <w:jc w:val="right"/>
              <w:rPr>
                <w:sz w:val="20"/>
                <w:szCs w:val="20"/>
                <w:lang w:val="fr-CA"/>
              </w:rPr>
            </w:pPr>
            <w:r w:rsidRPr="0097372D">
              <w:rPr>
                <w:sz w:val="20"/>
                <w:szCs w:val="20"/>
                <w:lang w:val="fr-CA"/>
              </w:rPr>
              <w:t>93</w:t>
            </w:r>
            <w:r>
              <w:rPr>
                <w:sz w:val="20"/>
                <w:szCs w:val="20"/>
                <w:lang w:val="fr-CA"/>
              </w:rPr>
              <w:t>,</w:t>
            </w:r>
            <w:r w:rsidRPr="0097372D">
              <w:rPr>
                <w:sz w:val="20"/>
                <w:szCs w:val="20"/>
                <w:lang w:val="fr-CA"/>
              </w:rPr>
              <w:t>27</w:t>
            </w:r>
          </w:p>
        </w:tc>
        <w:tc>
          <w:tcPr>
            <w:tcW w:w="494" w:type="pct"/>
            <w:shd w:val="clear" w:color="auto" w:fill="auto"/>
          </w:tcPr>
          <w:p w14:paraId="08C166DE" w14:textId="77777777" w:rsidR="00CC3427" w:rsidRPr="0097372D" w:rsidRDefault="00CC3427" w:rsidP="002531EB">
            <w:pPr>
              <w:keepNext/>
              <w:keepLines/>
              <w:jc w:val="right"/>
              <w:rPr>
                <w:sz w:val="20"/>
                <w:szCs w:val="20"/>
                <w:lang w:val="fr-CA"/>
              </w:rPr>
            </w:pPr>
            <w:r w:rsidRPr="0097372D">
              <w:rPr>
                <w:sz w:val="20"/>
                <w:szCs w:val="20"/>
                <w:lang w:val="fr-CA"/>
              </w:rPr>
              <w:t>55</w:t>
            </w:r>
          </w:p>
        </w:tc>
      </w:tr>
      <w:tr w:rsidR="00CC3427" w:rsidRPr="0097372D" w14:paraId="03DC362A" w14:textId="77777777" w:rsidTr="00387BB8">
        <w:trPr>
          <w:cantSplit/>
          <w:jc w:val="right"/>
        </w:trPr>
        <w:tc>
          <w:tcPr>
            <w:tcW w:w="1541" w:type="pct"/>
            <w:shd w:val="clear" w:color="auto" w:fill="auto"/>
            <w:tcMar>
              <w:left w:w="29" w:type="dxa"/>
              <w:right w:w="0" w:type="dxa"/>
            </w:tcMar>
            <w:vAlign w:val="center"/>
          </w:tcPr>
          <w:p w14:paraId="114E3932" w14:textId="77777777" w:rsidR="00CC3427" w:rsidRPr="0097372D" w:rsidRDefault="00CC3427" w:rsidP="002531EB">
            <w:pPr>
              <w:keepNext/>
              <w:keepLines/>
              <w:jc w:val="left"/>
              <w:rPr>
                <w:sz w:val="20"/>
                <w:szCs w:val="20"/>
                <w:lang w:val="fr-CA"/>
              </w:rPr>
            </w:pPr>
            <w:r w:rsidRPr="0097372D">
              <w:rPr>
                <w:sz w:val="20"/>
                <w:szCs w:val="20"/>
                <w:lang w:val="fr-CA"/>
              </w:rPr>
              <w:t>R</w:t>
            </w:r>
            <w:r>
              <w:rPr>
                <w:sz w:val="20"/>
                <w:szCs w:val="20"/>
                <w:lang w:val="fr-CA"/>
              </w:rPr>
              <w:t>é</w:t>
            </w:r>
            <w:r w:rsidRPr="0097372D">
              <w:rPr>
                <w:sz w:val="20"/>
                <w:szCs w:val="20"/>
                <w:lang w:val="fr-CA"/>
              </w:rPr>
              <w:t xml:space="preserve">duction </w:t>
            </w:r>
            <w:r>
              <w:rPr>
                <w:sz w:val="20"/>
                <w:szCs w:val="20"/>
                <w:lang w:val="fr-CA"/>
              </w:rPr>
              <w:t>depuis le point de départ</w:t>
            </w:r>
            <w:r w:rsidRPr="0097372D">
              <w:rPr>
                <w:sz w:val="20"/>
                <w:szCs w:val="20"/>
                <w:lang w:val="fr-CA"/>
              </w:rPr>
              <w:t xml:space="preserve"> (%)</w:t>
            </w:r>
          </w:p>
        </w:tc>
        <w:tc>
          <w:tcPr>
            <w:tcW w:w="494" w:type="pct"/>
            <w:shd w:val="clear" w:color="auto" w:fill="auto"/>
          </w:tcPr>
          <w:p w14:paraId="00F4E4D8" w14:textId="77777777" w:rsidR="00CC3427" w:rsidRPr="0097372D" w:rsidRDefault="00CC3427" w:rsidP="002531EB">
            <w:pPr>
              <w:keepNext/>
              <w:keepLines/>
              <w:jc w:val="right"/>
              <w:rPr>
                <w:sz w:val="20"/>
                <w:szCs w:val="20"/>
                <w:lang w:val="fr-CA"/>
              </w:rPr>
            </w:pPr>
          </w:p>
        </w:tc>
        <w:tc>
          <w:tcPr>
            <w:tcW w:w="494" w:type="pct"/>
            <w:shd w:val="clear" w:color="auto" w:fill="auto"/>
          </w:tcPr>
          <w:p w14:paraId="4DFBF65A" w14:textId="77777777" w:rsidR="00CC3427" w:rsidRPr="0097372D" w:rsidRDefault="00CC3427" w:rsidP="002531EB">
            <w:pPr>
              <w:keepNext/>
              <w:keepLines/>
              <w:jc w:val="right"/>
              <w:rPr>
                <w:sz w:val="20"/>
                <w:szCs w:val="20"/>
                <w:lang w:val="fr-CA"/>
              </w:rPr>
            </w:pPr>
            <w:r w:rsidRPr="0097372D">
              <w:rPr>
                <w:sz w:val="20"/>
                <w:szCs w:val="20"/>
                <w:lang w:val="fr-CA"/>
              </w:rPr>
              <w:t>10</w:t>
            </w:r>
          </w:p>
        </w:tc>
        <w:tc>
          <w:tcPr>
            <w:tcW w:w="494" w:type="pct"/>
            <w:shd w:val="clear" w:color="auto" w:fill="auto"/>
          </w:tcPr>
          <w:p w14:paraId="5626CA44" w14:textId="77777777" w:rsidR="00CC3427" w:rsidRPr="0097372D" w:rsidRDefault="00CC3427" w:rsidP="002531EB">
            <w:pPr>
              <w:keepNext/>
              <w:keepLines/>
              <w:jc w:val="right"/>
              <w:rPr>
                <w:sz w:val="20"/>
                <w:szCs w:val="20"/>
                <w:lang w:val="fr-CA"/>
              </w:rPr>
            </w:pPr>
            <w:r w:rsidRPr="0097372D">
              <w:rPr>
                <w:sz w:val="20"/>
                <w:szCs w:val="20"/>
                <w:lang w:val="fr-CA"/>
              </w:rPr>
              <w:t>20</w:t>
            </w:r>
          </w:p>
        </w:tc>
        <w:tc>
          <w:tcPr>
            <w:tcW w:w="494" w:type="pct"/>
            <w:shd w:val="clear" w:color="auto" w:fill="auto"/>
          </w:tcPr>
          <w:p w14:paraId="292A6367" w14:textId="77777777" w:rsidR="00CC3427" w:rsidRPr="0097372D" w:rsidRDefault="00CC3427" w:rsidP="002531EB">
            <w:pPr>
              <w:keepNext/>
              <w:keepLines/>
              <w:jc w:val="right"/>
              <w:rPr>
                <w:sz w:val="20"/>
                <w:szCs w:val="20"/>
                <w:lang w:val="fr-CA"/>
              </w:rPr>
            </w:pPr>
            <w:r w:rsidRPr="0097372D">
              <w:rPr>
                <w:sz w:val="20"/>
                <w:szCs w:val="20"/>
                <w:lang w:val="fr-CA"/>
              </w:rPr>
              <w:t>35</w:t>
            </w:r>
          </w:p>
        </w:tc>
        <w:tc>
          <w:tcPr>
            <w:tcW w:w="494" w:type="pct"/>
            <w:shd w:val="clear" w:color="auto" w:fill="auto"/>
          </w:tcPr>
          <w:p w14:paraId="5A3431F2" w14:textId="77777777" w:rsidR="00CC3427" w:rsidRPr="0097372D" w:rsidRDefault="00CC3427" w:rsidP="002531EB">
            <w:pPr>
              <w:keepNext/>
              <w:keepLines/>
              <w:jc w:val="right"/>
              <w:rPr>
                <w:sz w:val="20"/>
                <w:szCs w:val="20"/>
                <w:lang w:val="fr-CA"/>
              </w:rPr>
            </w:pPr>
            <w:r w:rsidRPr="0097372D">
              <w:rPr>
                <w:sz w:val="20"/>
                <w:szCs w:val="20"/>
                <w:lang w:val="fr-CA"/>
              </w:rPr>
              <w:t>70</w:t>
            </w:r>
          </w:p>
        </w:tc>
        <w:tc>
          <w:tcPr>
            <w:tcW w:w="494" w:type="pct"/>
            <w:shd w:val="clear" w:color="auto" w:fill="auto"/>
          </w:tcPr>
          <w:p w14:paraId="1F6CEE5A" w14:textId="77777777" w:rsidR="00CC3427" w:rsidRPr="0097372D" w:rsidRDefault="00CC3427" w:rsidP="002531EB">
            <w:pPr>
              <w:keepNext/>
              <w:keepLines/>
              <w:jc w:val="right"/>
              <w:rPr>
                <w:sz w:val="20"/>
                <w:szCs w:val="20"/>
                <w:lang w:val="fr-CA"/>
              </w:rPr>
            </w:pPr>
            <w:r w:rsidRPr="0097372D">
              <w:rPr>
                <w:sz w:val="20"/>
                <w:szCs w:val="20"/>
                <w:lang w:val="fr-CA"/>
              </w:rPr>
              <w:t>88</w:t>
            </w:r>
          </w:p>
        </w:tc>
        <w:tc>
          <w:tcPr>
            <w:tcW w:w="494" w:type="pct"/>
            <w:shd w:val="clear" w:color="auto" w:fill="auto"/>
          </w:tcPr>
          <w:p w14:paraId="3100B994" w14:textId="77777777" w:rsidR="00CC3427" w:rsidRPr="0097372D" w:rsidRDefault="00CC3427" w:rsidP="002531EB">
            <w:pPr>
              <w:keepNext/>
              <w:keepLines/>
              <w:jc w:val="right"/>
              <w:rPr>
                <w:sz w:val="20"/>
                <w:szCs w:val="20"/>
                <w:lang w:val="fr-CA"/>
              </w:rPr>
            </w:pPr>
            <w:r w:rsidRPr="0097372D">
              <w:rPr>
                <w:sz w:val="20"/>
                <w:szCs w:val="20"/>
                <w:lang w:val="fr-CA"/>
              </w:rPr>
              <w:t>100</w:t>
            </w:r>
          </w:p>
        </w:tc>
      </w:tr>
    </w:tbl>
    <w:p w14:paraId="3216A31B" w14:textId="77777777" w:rsidR="00CC3427" w:rsidRPr="0097372D" w:rsidRDefault="00CC3427" w:rsidP="00CC3427">
      <w:pPr>
        <w:rPr>
          <w:lang w:val="fr-CA"/>
        </w:rPr>
      </w:pPr>
    </w:p>
    <w:p w14:paraId="297BFEFA" w14:textId="77777777" w:rsidR="00CC3427" w:rsidRPr="0097372D" w:rsidRDefault="00CC3427" w:rsidP="00CC3427">
      <w:pPr>
        <w:rPr>
          <w:u w:val="single"/>
          <w:lang w:val="fr-CA"/>
        </w:rPr>
      </w:pPr>
      <w:r>
        <w:rPr>
          <w:u w:val="single"/>
          <w:lang w:val="fr-CA"/>
        </w:rPr>
        <w:t xml:space="preserve">Éléments du </w:t>
      </w:r>
      <w:r w:rsidRPr="0097372D">
        <w:rPr>
          <w:u w:val="single"/>
          <w:lang w:val="fr-CA"/>
        </w:rPr>
        <w:t xml:space="preserve">plan </w:t>
      </w:r>
      <w:r>
        <w:rPr>
          <w:u w:val="single"/>
          <w:lang w:val="fr-CA"/>
        </w:rPr>
        <w:t>d’</w:t>
      </w:r>
      <w:r w:rsidRPr="0097372D">
        <w:rPr>
          <w:u w:val="single"/>
          <w:lang w:val="fr-CA"/>
        </w:rPr>
        <w:t>action</w:t>
      </w:r>
      <w:r>
        <w:rPr>
          <w:u w:val="single"/>
          <w:lang w:val="fr-CA"/>
        </w:rPr>
        <w:t xml:space="preserve"> révisé</w:t>
      </w:r>
      <w:r w:rsidRPr="0097372D">
        <w:rPr>
          <w:u w:val="single"/>
          <w:lang w:val="fr-CA"/>
        </w:rPr>
        <w:t xml:space="preserve"> </w:t>
      </w:r>
    </w:p>
    <w:p w14:paraId="14F19131" w14:textId="77777777" w:rsidR="00CC3427" w:rsidRPr="0097372D" w:rsidRDefault="00CC3427" w:rsidP="00CC3427">
      <w:pPr>
        <w:rPr>
          <w:lang w:val="fr-CA"/>
        </w:rPr>
      </w:pPr>
    </w:p>
    <w:p w14:paraId="125BCC83" w14:textId="7730CCD5" w:rsidR="00CC3427" w:rsidRPr="0097372D" w:rsidRDefault="00CC3427" w:rsidP="00CC3427">
      <w:pPr>
        <w:pStyle w:val="Heading1"/>
        <w:rPr>
          <w:lang w:val="fr-CA"/>
        </w:rPr>
      </w:pPr>
      <w:r>
        <w:rPr>
          <w:lang w:val="fr-CA"/>
        </w:rPr>
        <w:t xml:space="preserve">Le </w:t>
      </w:r>
      <w:r w:rsidRPr="0097372D">
        <w:rPr>
          <w:lang w:val="fr-CA"/>
        </w:rPr>
        <w:t xml:space="preserve">plan </w:t>
      </w:r>
      <w:r>
        <w:rPr>
          <w:lang w:val="fr-CA"/>
        </w:rPr>
        <w:t>d’</w:t>
      </w:r>
      <w:r w:rsidRPr="0097372D">
        <w:rPr>
          <w:lang w:val="fr-CA"/>
        </w:rPr>
        <w:t xml:space="preserve">action </w:t>
      </w:r>
      <w:r>
        <w:rPr>
          <w:lang w:val="fr-CA"/>
        </w:rPr>
        <w:t>révisé pour la phase</w:t>
      </w:r>
      <w:r w:rsidRPr="0097372D">
        <w:rPr>
          <w:lang w:val="fr-CA"/>
        </w:rPr>
        <w:t xml:space="preserve"> II </w:t>
      </w:r>
      <w:r>
        <w:rPr>
          <w:lang w:val="fr-CA"/>
        </w:rPr>
        <w:t>du plan sectoriel</w:t>
      </w:r>
      <w:r w:rsidRPr="0097372D">
        <w:rPr>
          <w:lang w:val="fr-CA"/>
        </w:rPr>
        <w:t xml:space="preserve"> </w:t>
      </w:r>
      <w:r>
        <w:rPr>
          <w:lang w:val="fr-CA"/>
        </w:rPr>
        <w:t>pour les solvants se compose de quatre éléments, comme suit</w:t>
      </w:r>
      <w:r w:rsidR="002531EB">
        <w:rPr>
          <w:lang w:val="fr-CA"/>
        </w:rPr>
        <w:t xml:space="preserve"> </w:t>
      </w:r>
      <w:r w:rsidRPr="0097372D">
        <w:rPr>
          <w:lang w:val="fr-CA"/>
        </w:rPr>
        <w:t xml:space="preserve">: </w:t>
      </w:r>
      <w:r>
        <w:rPr>
          <w:lang w:val="fr-CA"/>
        </w:rPr>
        <w:t>activités d’</w:t>
      </w:r>
      <w:r w:rsidRPr="0097372D">
        <w:rPr>
          <w:lang w:val="fr-CA"/>
        </w:rPr>
        <w:t>invest</w:t>
      </w:r>
      <w:r>
        <w:rPr>
          <w:lang w:val="fr-CA"/>
        </w:rPr>
        <w:t>isse</w:t>
      </w:r>
      <w:r w:rsidRPr="0097372D">
        <w:rPr>
          <w:lang w:val="fr-CA"/>
        </w:rPr>
        <w:t xml:space="preserve">ment </w:t>
      </w:r>
      <w:r>
        <w:rPr>
          <w:lang w:val="fr-CA"/>
        </w:rPr>
        <w:t xml:space="preserve">au niveau de l’entreprise, interventions politiques et réglementaires pour assurer l’élimination rapide et durable de </w:t>
      </w:r>
      <w:r w:rsidRPr="0097372D">
        <w:rPr>
          <w:lang w:val="fr-CA"/>
        </w:rPr>
        <w:t xml:space="preserve">HCFC; assistance </w:t>
      </w:r>
      <w:r>
        <w:rPr>
          <w:lang w:val="fr-CA"/>
        </w:rPr>
        <w:t xml:space="preserve">technique </w:t>
      </w:r>
      <w:r w:rsidRPr="0097372D">
        <w:rPr>
          <w:lang w:val="fr-CA"/>
        </w:rPr>
        <w:t>(A</w:t>
      </w:r>
      <w:r>
        <w:rPr>
          <w:lang w:val="fr-CA"/>
        </w:rPr>
        <w:t>T</w:t>
      </w:r>
      <w:r w:rsidRPr="0097372D">
        <w:rPr>
          <w:lang w:val="fr-CA"/>
        </w:rPr>
        <w:t xml:space="preserve">) </w:t>
      </w:r>
      <w:r>
        <w:rPr>
          <w:lang w:val="fr-CA"/>
        </w:rPr>
        <w:t>pour renforcer les capacités techniques de l’industrie et promouvoir l’adoption de produits de remplacement à faible potentiel de réchauffement du globe (PRG)</w:t>
      </w:r>
      <w:r w:rsidRPr="0097372D">
        <w:rPr>
          <w:lang w:val="fr-CA"/>
        </w:rPr>
        <w:t xml:space="preserve">; </w:t>
      </w:r>
      <w:r>
        <w:rPr>
          <w:lang w:val="fr-CA"/>
        </w:rPr>
        <w:t>et gestion de projets</w:t>
      </w:r>
      <w:r w:rsidRPr="0097372D">
        <w:rPr>
          <w:lang w:val="fr-CA"/>
        </w:rPr>
        <w:t xml:space="preserve">. </w:t>
      </w:r>
    </w:p>
    <w:p w14:paraId="66C16A8B" w14:textId="77777777" w:rsidR="00CC3427" w:rsidRPr="0097372D" w:rsidRDefault="00CC3427" w:rsidP="00CC3427">
      <w:pPr>
        <w:pStyle w:val="Heading1"/>
        <w:keepNext/>
        <w:keepLines/>
        <w:numPr>
          <w:ilvl w:val="0"/>
          <w:numId w:val="0"/>
        </w:numPr>
        <w:rPr>
          <w:i/>
          <w:lang w:val="fr-CA"/>
        </w:rPr>
      </w:pPr>
      <w:r>
        <w:rPr>
          <w:i/>
          <w:lang w:val="fr-CA"/>
        </w:rPr>
        <w:t>Projets d’investissement</w:t>
      </w:r>
    </w:p>
    <w:p w14:paraId="2521561A" w14:textId="49583084" w:rsidR="00CC3427" w:rsidRPr="0097372D" w:rsidRDefault="00CC3427" w:rsidP="00CC3427">
      <w:pPr>
        <w:pStyle w:val="Heading1"/>
        <w:keepNext/>
        <w:keepLines/>
        <w:rPr>
          <w:lang w:val="fr-CA"/>
        </w:rPr>
      </w:pPr>
      <w:r>
        <w:rPr>
          <w:lang w:val="fr-CA"/>
        </w:rPr>
        <w:t>L</w:t>
      </w:r>
      <w:r w:rsidRPr="0097372D">
        <w:rPr>
          <w:lang w:val="fr-CA"/>
        </w:rPr>
        <w:t xml:space="preserve">e </w:t>
      </w:r>
      <w:r>
        <w:rPr>
          <w:lang w:val="fr-CA"/>
        </w:rPr>
        <w:t>projet d’investissement</w:t>
      </w:r>
      <w:r w:rsidRPr="0097372D">
        <w:rPr>
          <w:lang w:val="fr-CA"/>
        </w:rPr>
        <w:t xml:space="preserve"> </w:t>
      </w:r>
      <w:r>
        <w:rPr>
          <w:lang w:val="fr-CA"/>
        </w:rPr>
        <w:t xml:space="preserve">couvrira </w:t>
      </w:r>
      <w:r w:rsidRPr="0097372D">
        <w:rPr>
          <w:lang w:val="fr-CA"/>
        </w:rPr>
        <w:t xml:space="preserve">18 </w:t>
      </w:r>
      <w:r>
        <w:rPr>
          <w:lang w:val="fr-CA"/>
        </w:rPr>
        <w:t xml:space="preserve">petites et moyennes entreprises </w:t>
      </w:r>
      <w:r w:rsidRPr="0097372D">
        <w:rPr>
          <w:lang w:val="fr-CA"/>
        </w:rPr>
        <w:t>(</w:t>
      </w:r>
      <w:r>
        <w:rPr>
          <w:lang w:val="fr-CA"/>
        </w:rPr>
        <w:t>PME</w:t>
      </w:r>
      <w:r w:rsidRPr="0097372D">
        <w:rPr>
          <w:lang w:val="fr-CA"/>
        </w:rPr>
        <w:t xml:space="preserve">) </w:t>
      </w:r>
      <w:r>
        <w:rPr>
          <w:lang w:val="fr-CA"/>
        </w:rPr>
        <w:t>dans le sous-secteur des matériels médicaux jetables</w:t>
      </w:r>
      <w:r w:rsidRPr="0097372D">
        <w:rPr>
          <w:lang w:val="fr-CA"/>
        </w:rPr>
        <w:t xml:space="preserve"> (</w:t>
      </w:r>
      <w:r>
        <w:rPr>
          <w:lang w:val="fr-CA"/>
        </w:rPr>
        <w:t>MMJ</w:t>
      </w:r>
      <w:r w:rsidRPr="0097372D">
        <w:rPr>
          <w:lang w:val="fr-CA"/>
        </w:rPr>
        <w:t xml:space="preserve">) </w:t>
      </w:r>
      <w:r>
        <w:rPr>
          <w:lang w:val="fr-CA"/>
        </w:rPr>
        <w:t>et sept PME</w:t>
      </w:r>
      <w:r w:rsidRPr="0097372D">
        <w:rPr>
          <w:lang w:val="fr-CA"/>
        </w:rPr>
        <w:t xml:space="preserve"> </w:t>
      </w:r>
      <w:r>
        <w:rPr>
          <w:lang w:val="fr-CA"/>
        </w:rPr>
        <w:t>dans le sous-secteur du dégraissage d’appareils électroniques</w:t>
      </w:r>
      <w:r w:rsidRPr="0097372D">
        <w:rPr>
          <w:lang w:val="fr-CA"/>
        </w:rPr>
        <w:t xml:space="preserve">, </w:t>
      </w:r>
      <w:r>
        <w:rPr>
          <w:lang w:val="fr-CA"/>
        </w:rPr>
        <w:t xml:space="preserve">avec une consommation de référence vérifiée de </w:t>
      </w:r>
      <w:r w:rsidRPr="0097372D">
        <w:rPr>
          <w:lang w:val="fr-CA"/>
        </w:rPr>
        <w:t>372</w:t>
      </w:r>
      <w:r>
        <w:rPr>
          <w:lang w:val="fr-CA"/>
        </w:rPr>
        <w:t>,</w:t>
      </w:r>
      <w:r w:rsidRPr="0097372D">
        <w:rPr>
          <w:lang w:val="fr-CA"/>
        </w:rPr>
        <w:t>19 </w:t>
      </w:r>
      <w:r>
        <w:rPr>
          <w:lang w:val="fr-CA"/>
        </w:rPr>
        <w:t>t</w:t>
      </w:r>
      <w:r w:rsidRPr="0097372D">
        <w:rPr>
          <w:lang w:val="fr-CA"/>
        </w:rPr>
        <w:t>m (40</w:t>
      </w:r>
      <w:r>
        <w:rPr>
          <w:lang w:val="fr-CA"/>
        </w:rPr>
        <w:t>,</w:t>
      </w:r>
      <w:r w:rsidRPr="0097372D">
        <w:rPr>
          <w:lang w:val="fr-CA"/>
        </w:rPr>
        <w:t>92 tonnes</w:t>
      </w:r>
      <w:r>
        <w:rPr>
          <w:lang w:val="fr-CA"/>
        </w:rPr>
        <w:t xml:space="preserve"> PAO</w:t>
      </w:r>
      <w:r w:rsidRPr="0097372D">
        <w:rPr>
          <w:lang w:val="fr-CA"/>
        </w:rPr>
        <w:t xml:space="preserve">) </w:t>
      </w:r>
      <w:r>
        <w:rPr>
          <w:lang w:val="fr-CA"/>
        </w:rPr>
        <w:t>de</w:t>
      </w:r>
      <w:r w:rsidR="003E6151">
        <w:rPr>
          <w:lang w:val="fr-CA"/>
        </w:rPr>
        <w:t xml:space="preserve"> HCFC</w:t>
      </w:r>
      <w:r w:rsidR="003E6151">
        <w:rPr>
          <w:lang w:val="fr-CA"/>
        </w:rPr>
        <w:noBreakHyphen/>
      </w:r>
      <w:r w:rsidRPr="0097372D">
        <w:rPr>
          <w:lang w:val="fr-CA"/>
        </w:rPr>
        <w:t xml:space="preserve">141b. </w:t>
      </w:r>
      <w:r>
        <w:rPr>
          <w:lang w:val="fr-CA"/>
        </w:rPr>
        <w:t xml:space="preserve">Le financement </w:t>
      </w:r>
      <w:r w:rsidRPr="0097372D">
        <w:rPr>
          <w:lang w:val="fr-CA"/>
        </w:rPr>
        <w:t xml:space="preserve">total </w:t>
      </w:r>
      <w:r>
        <w:rPr>
          <w:lang w:val="fr-CA"/>
        </w:rPr>
        <w:t>attribué à ces entreprise</w:t>
      </w:r>
      <w:r w:rsidRPr="0097372D">
        <w:rPr>
          <w:lang w:val="fr-CA"/>
        </w:rPr>
        <w:t xml:space="preserve">s </w:t>
      </w:r>
      <w:r>
        <w:rPr>
          <w:lang w:val="fr-CA"/>
        </w:rPr>
        <w:t xml:space="preserve">est de </w:t>
      </w:r>
      <w:r w:rsidRPr="0097372D">
        <w:rPr>
          <w:lang w:val="fr-CA"/>
        </w:rPr>
        <w:t>2</w:t>
      </w:r>
      <w:r>
        <w:rPr>
          <w:lang w:val="fr-CA"/>
        </w:rPr>
        <w:t> </w:t>
      </w:r>
      <w:r w:rsidRPr="0097372D">
        <w:rPr>
          <w:lang w:val="fr-CA"/>
        </w:rPr>
        <w:t>041</w:t>
      </w:r>
      <w:r>
        <w:rPr>
          <w:lang w:val="fr-CA"/>
        </w:rPr>
        <w:t> </w:t>
      </w:r>
      <w:r w:rsidRPr="0097372D">
        <w:rPr>
          <w:lang w:val="fr-CA"/>
        </w:rPr>
        <w:t>421</w:t>
      </w:r>
      <w:r>
        <w:rPr>
          <w:lang w:val="fr-CA"/>
        </w:rPr>
        <w:t> $US</w:t>
      </w:r>
      <w:r w:rsidRPr="0097372D">
        <w:rPr>
          <w:lang w:val="fr-CA"/>
        </w:rPr>
        <w:t xml:space="preserve">, </w:t>
      </w:r>
      <w:r>
        <w:rPr>
          <w:lang w:val="fr-CA"/>
        </w:rPr>
        <w:t xml:space="preserve">pour un taux de coût-efficacité de </w:t>
      </w:r>
      <w:r w:rsidRPr="0097372D">
        <w:rPr>
          <w:lang w:val="fr-CA"/>
        </w:rPr>
        <w:t>9</w:t>
      </w:r>
      <w:r>
        <w:rPr>
          <w:lang w:val="fr-CA"/>
        </w:rPr>
        <w:t>,</w:t>
      </w:r>
      <w:r w:rsidRPr="0097372D">
        <w:rPr>
          <w:lang w:val="fr-CA"/>
        </w:rPr>
        <w:t>86</w:t>
      </w:r>
      <w:r>
        <w:rPr>
          <w:lang w:val="fr-CA"/>
        </w:rPr>
        <w:t> $US</w:t>
      </w:r>
      <w:r w:rsidRPr="0097372D">
        <w:rPr>
          <w:lang w:val="fr-CA"/>
        </w:rPr>
        <w:t xml:space="preserve">/kg, </w:t>
      </w:r>
      <w:r>
        <w:rPr>
          <w:lang w:val="fr-CA"/>
        </w:rPr>
        <w:t>ce qui est inférieur au taux du plan sectoriel</w:t>
      </w:r>
      <w:r w:rsidRPr="0097372D">
        <w:rPr>
          <w:lang w:val="fr-CA"/>
        </w:rPr>
        <w:t xml:space="preserve"> </w:t>
      </w:r>
      <w:r>
        <w:rPr>
          <w:lang w:val="fr-CA"/>
        </w:rPr>
        <w:t xml:space="preserve">approuvé initialement </w:t>
      </w:r>
      <w:r w:rsidRPr="0097372D">
        <w:rPr>
          <w:lang w:val="fr-CA"/>
        </w:rPr>
        <w:t>(13</w:t>
      </w:r>
      <w:r>
        <w:rPr>
          <w:lang w:val="fr-CA"/>
        </w:rPr>
        <w:t> $US</w:t>
      </w:r>
      <w:r w:rsidRPr="0097372D">
        <w:rPr>
          <w:lang w:val="fr-CA"/>
        </w:rPr>
        <w:t xml:space="preserve">/kg). </w:t>
      </w:r>
      <w:r>
        <w:rPr>
          <w:lang w:val="fr-CA"/>
        </w:rPr>
        <w:t xml:space="preserve">Un financement de contrepartie de la part des entreprises bénéficiaires est nécessaire pour assurer l’élimination des </w:t>
      </w:r>
      <w:r w:rsidRPr="0097372D">
        <w:rPr>
          <w:lang w:val="fr-CA"/>
        </w:rPr>
        <w:t xml:space="preserve">HCFC </w:t>
      </w:r>
      <w:r>
        <w:rPr>
          <w:lang w:val="fr-CA"/>
        </w:rPr>
        <w:t>à la date convenue</w:t>
      </w:r>
      <w:r w:rsidRPr="0097372D">
        <w:rPr>
          <w:lang w:val="fr-CA"/>
        </w:rPr>
        <w:t>.</w:t>
      </w:r>
      <w:r w:rsidRPr="0097372D">
        <w:rPr>
          <w:bCs/>
          <w:lang w:val="fr-CA"/>
        </w:rPr>
        <w:t xml:space="preserve"> </w:t>
      </w:r>
      <w:r>
        <w:rPr>
          <w:bCs/>
          <w:lang w:val="fr-CA"/>
        </w:rPr>
        <w:t>Les entreprise</w:t>
      </w:r>
      <w:r w:rsidRPr="0097372D">
        <w:rPr>
          <w:bCs/>
          <w:lang w:val="fr-CA"/>
        </w:rPr>
        <w:t xml:space="preserve">s </w:t>
      </w:r>
      <w:r>
        <w:rPr>
          <w:bCs/>
          <w:lang w:val="fr-CA"/>
        </w:rPr>
        <w:t>utiliseront toutes des produits de remplacement à faible PRG</w:t>
      </w:r>
      <w:r w:rsidRPr="0097372D">
        <w:rPr>
          <w:bCs/>
          <w:lang w:val="fr-CA"/>
        </w:rPr>
        <w:t xml:space="preserve"> (</w:t>
      </w:r>
      <w:r>
        <w:rPr>
          <w:bCs/>
          <w:lang w:val="fr-CA"/>
        </w:rPr>
        <w:t xml:space="preserve">tels que : </w:t>
      </w:r>
      <w:r w:rsidRPr="0097372D">
        <w:rPr>
          <w:lang w:val="fr-CA"/>
        </w:rPr>
        <w:t>KC-6, hydrocarb</w:t>
      </w:r>
      <w:r>
        <w:rPr>
          <w:lang w:val="fr-CA"/>
        </w:rPr>
        <w:t xml:space="preserve">ures ou </w:t>
      </w:r>
      <w:r w:rsidRPr="0097372D">
        <w:rPr>
          <w:lang w:val="fr-CA"/>
        </w:rPr>
        <w:t>dilu</w:t>
      </w:r>
      <w:r>
        <w:rPr>
          <w:lang w:val="fr-CA"/>
        </w:rPr>
        <w:t>a</w:t>
      </w:r>
      <w:r w:rsidRPr="0097372D">
        <w:rPr>
          <w:lang w:val="fr-CA"/>
        </w:rPr>
        <w:t>nt, trans-1, 2-dichloro</w:t>
      </w:r>
      <w:r>
        <w:rPr>
          <w:lang w:val="fr-CA"/>
        </w:rPr>
        <w:t>é</w:t>
      </w:r>
      <w:r w:rsidRPr="0097372D">
        <w:rPr>
          <w:lang w:val="fr-CA"/>
        </w:rPr>
        <w:t>thyl</w:t>
      </w:r>
      <w:r>
        <w:rPr>
          <w:lang w:val="fr-CA"/>
        </w:rPr>
        <w:t>è</w:t>
      </w:r>
      <w:r w:rsidRPr="0097372D">
        <w:rPr>
          <w:lang w:val="fr-CA"/>
        </w:rPr>
        <w:t xml:space="preserve">ne </w:t>
      </w:r>
      <w:r>
        <w:rPr>
          <w:lang w:val="fr-CA"/>
        </w:rPr>
        <w:t xml:space="preserve">et </w:t>
      </w:r>
      <w:r w:rsidRPr="0097372D">
        <w:rPr>
          <w:lang w:val="fr-CA"/>
        </w:rPr>
        <w:t>hydrofluoro</w:t>
      </w:r>
      <w:r>
        <w:rPr>
          <w:lang w:val="fr-CA"/>
        </w:rPr>
        <w:t>é</w:t>
      </w:r>
      <w:r w:rsidRPr="0097372D">
        <w:rPr>
          <w:lang w:val="fr-CA"/>
        </w:rPr>
        <w:t xml:space="preserve">ther, </w:t>
      </w:r>
      <w:r>
        <w:rPr>
          <w:lang w:val="fr-CA"/>
        </w:rPr>
        <w:t>agents de nettoyage à base d’eau</w:t>
      </w:r>
      <w:r w:rsidRPr="0097372D">
        <w:rPr>
          <w:lang w:val="fr-CA"/>
        </w:rPr>
        <w:t xml:space="preserve">, </w:t>
      </w:r>
      <w:r>
        <w:rPr>
          <w:lang w:val="fr-CA"/>
        </w:rPr>
        <w:t>alcools modifiés</w:t>
      </w:r>
      <w:r w:rsidRPr="0097372D">
        <w:rPr>
          <w:lang w:val="fr-CA"/>
        </w:rPr>
        <w:t xml:space="preserve">, </w:t>
      </w:r>
      <w:r>
        <w:rPr>
          <w:lang w:val="fr-CA"/>
        </w:rPr>
        <w:t>carbonate de silicium na</w:t>
      </w:r>
      <w:r w:rsidRPr="0097372D">
        <w:rPr>
          <w:lang w:val="fr-CA"/>
        </w:rPr>
        <w:t>no</w:t>
      </w:r>
      <w:r>
        <w:rPr>
          <w:lang w:val="fr-CA"/>
        </w:rPr>
        <w:t>modifié</w:t>
      </w:r>
      <w:r w:rsidRPr="0097372D">
        <w:rPr>
          <w:lang w:val="fr-CA"/>
        </w:rPr>
        <w:t>, F-solv</w:t>
      </w:r>
      <w:r>
        <w:rPr>
          <w:lang w:val="fr-CA"/>
        </w:rPr>
        <w:t>a</w:t>
      </w:r>
      <w:r w:rsidRPr="0097372D">
        <w:rPr>
          <w:lang w:val="fr-CA"/>
        </w:rPr>
        <w:t>nts, o</w:t>
      </w:r>
      <w:r>
        <w:rPr>
          <w:lang w:val="fr-CA"/>
        </w:rPr>
        <w:t>u</w:t>
      </w:r>
      <w:r w:rsidRPr="0097372D">
        <w:rPr>
          <w:lang w:val="fr-CA"/>
        </w:rPr>
        <w:t xml:space="preserve"> </w:t>
      </w:r>
      <w:r>
        <w:rPr>
          <w:lang w:val="fr-CA"/>
        </w:rPr>
        <w:t xml:space="preserve">aromates </w:t>
      </w:r>
      <w:r w:rsidRPr="0097372D">
        <w:rPr>
          <w:lang w:val="fr-CA"/>
        </w:rPr>
        <w:t>naphth</w:t>
      </w:r>
      <w:r>
        <w:rPr>
          <w:lang w:val="fr-CA"/>
        </w:rPr>
        <w:t>é</w:t>
      </w:r>
      <w:r w:rsidRPr="0097372D">
        <w:rPr>
          <w:lang w:val="fr-CA"/>
        </w:rPr>
        <w:t>ni</w:t>
      </w:r>
      <w:r>
        <w:rPr>
          <w:lang w:val="fr-CA"/>
        </w:rPr>
        <w:t>ques</w:t>
      </w:r>
      <w:r w:rsidRPr="0097372D">
        <w:rPr>
          <w:lang w:val="fr-CA"/>
        </w:rPr>
        <w:t>).</w:t>
      </w:r>
    </w:p>
    <w:p w14:paraId="0AF0E3BD" w14:textId="77777777" w:rsidR="00CC3427" w:rsidRPr="0097372D" w:rsidRDefault="00CC3427" w:rsidP="00CC3427">
      <w:pPr>
        <w:pStyle w:val="Heading1"/>
        <w:rPr>
          <w:lang w:val="fr-CA"/>
        </w:rPr>
      </w:pPr>
      <w:r>
        <w:rPr>
          <w:lang w:val="fr-CA"/>
        </w:rPr>
        <w:t>À l’issue de consultations techniques avec les parties prenantes</w:t>
      </w:r>
      <w:r w:rsidRPr="0097372D">
        <w:rPr>
          <w:lang w:val="fr-CA"/>
        </w:rPr>
        <w:t>, i</w:t>
      </w:r>
      <w:r>
        <w:rPr>
          <w:lang w:val="fr-CA"/>
        </w:rPr>
        <w:t>l a été convenu que seuls les IOC seront fournis pour le sous-secteur des MMJ, puisque ce sous-secteur dispose de produits de remplacement bien connus</w:t>
      </w:r>
      <w:r w:rsidRPr="0097372D">
        <w:rPr>
          <w:bCs/>
          <w:lang w:val="fr-CA"/>
        </w:rPr>
        <w:t xml:space="preserve">, </w:t>
      </w:r>
      <w:r>
        <w:rPr>
          <w:bCs/>
          <w:lang w:val="fr-CA"/>
        </w:rPr>
        <w:t>qu’il nécessite des pièces similaires pour la re</w:t>
      </w:r>
      <w:r w:rsidRPr="0097372D">
        <w:rPr>
          <w:bCs/>
          <w:lang w:val="fr-CA"/>
        </w:rPr>
        <w:t xml:space="preserve">conversion, </w:t>
      </w:r>
      <w:r>
        <w:rPr>
          <w:bCs/>
          <w:lang w:val="fr-CA"/>
        </w:rPr>
        <w:t xml:space="preserve">et qu’un manuel technique sur l’élimination de </w:t>
      </w:r>
      <w:r w:rsidRPr="0097372D">
        <w:rPr>
          <w:bCs/>
          <w:lang w:val="fr-CA"/>
        </w:rPr>
        <w:t xml:space="preserve">HCFC </w:t>
      </w:r>
      <w:r>
        <w:rPr>
          <w:bCs/>
          <w:lang w:val="fr-CA"/>
        </w:rPr>
        <w:t xml:space="preserve">dans ce sous-secteur a été produit en </w:t>
      </w:r>
      <w:r w:rsidRPr="0097372D">
        <w:rPr>
          <w:bCs/>
          <w:lang w:val="fr-CA"/>
        </w:rPr>
        <w:t xml:space="preserve">2018. </w:t>
      </w:r>
      <w:r>
        <w:rPr>
          <w:bCs/>
          <w:lang w:val="fr-CA"/>
        </w:rPr>
        <w:t>L’élimination liée au sous-secteur des MMJ</w:t>
      </w:r>
      <w:r w:rsidRPr="0097372D">
        <w:rPr>
          <w:bCs/>
          <w:lang w:val="fr-CA"/>
        </w:rPr>
        <w:t xml:space="preserve"> </w:t>
      </w:r>
      <w:r>
        <w:rPr>
          <w:bCs/>
          <w:lang w:val="fr-CA"/>
        </w:rPr>
        <w:t xml:space="preserve">est de </w:t>
      </w:r>
      <w:r w:rsidRPr="0097372D">
        <w:rPr>
          <w:bCs/>
          <w:lang w:val="fr-CA"/>
        </w:rPr>
        <w:t>237</w:t>
      </w:r>
      <w:r>
        <w:rPr>
          <w:bCs/>
          <w:lang w:val="fr-CA"/>
        </w:rPr>
        <w:t>,</w:t>
      </w:r>
      <w:r w:rsidRPr="0097372D">
        <w:rPr>
          <w:bCs/>
          <w:lang w:val="fr-CA"/>
        </w:rPr>
        <w:t>9 </w:t>
      </w:r>
      <w:r>
        <w:rPr>
          <w:bCs/>
          <w:lang w:val="fr-CA"/>
        </w:rPr>
        <w:t>t</w:t>
      </w:r>
      <w:r w:rsidRPr="0097372D">
        <w:rPr>
          <w:bCs/>
          <w:lang w:val="fr-CA"/>
        </w:rPr>
        <w:t>m (26</w:t>
      </w:r>
      <w:r>
        <w:rPr>
          <w:bCs/>
          <w:lang w:val="fr-CA"/>
        </w:rPr>
        <w:t>,</w:t>
      </w:r>
      <w:r w:rsidRPr="0097372D">
        <w:rPr>
          <w:bCs/>
          <w:lang w:val="fr-CA"/>
        </w:rPr>
        <w:t>17 tonnes</w:t>
      </w:r>
      <w:r>
        <w:rPr>
          <w:bCs/>
          <w:lang w:val="fr-CA"/>
        </w:rPr>
        <w:t xml:space="preserve"> PAO</w:t>
      </w:r>
      <w:r w:rsidRPr="0097372D">
        <w:rPr>
          <w:bCs/>
          <w:lang w:val="fr-CA"/>
        </w:rPr>
        <w:t xml:space="preserve">) </w:t>
      </w:r>
      <w:r>
        <w:rPr>
          <w:bCs/>
          <w:lang w:val="fr-CA"/>
        </w:rPr>
        <w:t>de</w:t>
      </w:r>
      <w:r w:rsidRPr="0097372D">
        <w:rPr>
          <w:bCs/>
          <w:lang w:val="fr-CA"/>
        </w:rPr>
        <w:t xml:space="preserve"> HCFC-141b</w:t>
      </w:r>
      <w:r>
        <w:rPr>
          <w:bCs/>
          <w:lang w:val="fr-CA"/>
        </w:rPr>
        <w:t xml:space="preserve">, pour un coût de </w:t>
      </w:r>
      <w:r w:rsidRPr="0097372D">
        <w:rPr>
          <w:bCs/>
          <w:lang w:val="fr-CA"/>
        </w:rPr>
        <w:t>689</w:t>
      </w:r>
      <w:r>
        <w:rPr>
          <w:bCs/>
          <w:lang w:val="fr-CA"/>
        </w:rPr>
        <w:t> </w:t>
      </w:r>
      <w:r w:rsidRPr="0097372D">
        <w:rPr>
          <w:bCs/>
          <w:lang w:val="fr-CA"/>
        </w:rPr>
        <w:t>910</w:t>
      </w:r>
      <w:r>
        <w:rPr>
          <w:bCs/>
          <w:lang w:val="fr-CA"/>
        </w:rPr>
        <w:t> $US</w:t>
      </w:r>
      <w:r w:rsidRPr="0097372D">
        <w:rPr>
          <w:bCs/>
          <w:lang w:val="fr-CA"/>
        </w:rPr>
        <w:t xml:space="preserve">, </w:t>
      </w:r>
      <w:r>
        <w:rPr>
          <w:bCs/>
          <w:lang w:val="fr-CA"/>
        </w:rPr>
        <w:t xml:space="preserve">donnant un taux de coût-efficacité de </w:t>
      </w:r>
      <w:r w:rsidRPr="0097372D">
        <w:rPr>
          <w:bCs/>
          <w:lang w:val="fr-CA"/>
        </w:rPr>
        <w:t>2</w:t>
      </w:r>
      <w:r>
        <w:rPr>
          <w:bCs/>
          <w:lang w:val="fr-CA"/>
        </w:rPr>
        <w:t>,</w:t>
      </w:r>
      <w:r w:rsidRPr="0097372D">
        <w:rPr>
          <w:bCs/>
          <w:lang w:val="fr-CA"/>
        </w:rPr>
        <w:t>90</w:t>
      </w:r>
      <w:r>
        <w:rPr>
          <w:bCs/>
          <w:lang w:val="fr-CA"/>
        </w:rPr>
        <w:t> $US</w:t>
      </w:r>
      <w:r w:rsidRPr="0097372D">
        <w:rPr>
          <w:bCs/>
          <w:lang w:val="fr-CA"/>
        </w:rPr>
        <w:t>/kg.</w:t>
      </w:r>
    </w:p>
    <w:p w14:paraId="565D774A" w14:textId="77777777" w:rsidR="00CC3427" w:rsidRPr="0097372D" w:rsidRDefault="00CC3427" w:rsidP="00CC3427">
      <w:pPr>
        <w:pStyle w:val="Heading1"/>
        <w:rPr>
          <w:bCs/>
          <w:lang w:val="fr-CA"/>
        </w:rPr>
      </w:pPr>
      <w:r>
        <w:rPr>
          <w:bCs/>
          <w:lang w:val="fr-CA"/>
        </w:rPr>
        <w:t xml:space="preserve">Le reste du financement est de </w:t>
      </w:r>
      <w:r w:rsidRPr="0097372D">
        <w:rPr>
          <w:bCs/>
          <w:lang w:val="fr-CA"/>
        </w:rPr>
        <w:t>1</w:t>
      </w:r>
      <w:r>
        <w:rPr>
          <w:bCs/>
          <w:lang w:val="fr-CA"/>
        </w:rPr>
        <w:t> </w:t>
      </w:r>
      <w:r w:rsidRPr="0097372D">
        <w:rPr>
          <w:bCs/>
          <w:lang w:val="fr-CA"/>
        </w:rPr>
        <w:t>324</w:t>
      </w:r>
      <w:r>
        <w:rPr>
          <w:bCs/>
          <w:lang w:val="fr-CA"/>
        </w:rPr>
        <w:t> </w:t>
      </w:r>
      <w:r w:rsidRPr="0097372D">
        <w:rPr>
          <w:bCs/>
          <w:lang w:val="fr-CA"/>
        </w:rPr>
        <w:t>511</w:t>
      </w:r>
      <w:r>
        <w:rPr>
          <w:bCs/>
          <w:lang w:val="fr-CA"/>
        </w:rPr>
        <w:t xml:space="preserve"> $US est accordé au sous-secteur du dégraissage d’appareils électroniques, afin d’éliminer </w:t>
      </w:r>
      <w:r w:rsidRPr="0097372D">
        <w:rPr>
          <w:bCs/>
          <w:lang w:val="fr-CA"/>
        </w:rPr>
        <w:t>134</w:t>
      </w:r>
      <w:r>
        <w:rPr>
          <w:bCs/>
          <w:lang w:val="fr-CA"/>
        </w:rPr>
        <w:t>,</w:t>
      </w:r>
      <w:r w:rsidRPr="0097372D">
        <w:rPr>
          <w:bCs/>
          <w:lang w:val="fr-CA"/>
        </w:rPr>
        <w:t>29 </w:t>
      </w:r>
      <w:r>
        <w:rPr>
          <w:bCs/>
          <w:lang w:val="fr-CA"/>
        </w:rPr>
        <w:t>t</w:t>
      </w:r>
      <w:r w:rsidRPr="0097372D">
        <w:rPr>
          <w:bCs/>
          <w:lang w:val="fr-CA"/>
        </w:rPr>
        <w:t>m (14</w:t>
      </w:r>
      <w:r>
        <w:rPr>
          <w:bCs/>
          <w:lang w:val="fr-CA"/>
        </w:rPr>
        <w:t>,</w:t>
      </w:r>
      <w:r w:rsidRPr="0097372D">
        <w:rPr>
          <w:bCs/>
          <w:lang w:val="fr-CA"/>
        </w:rPr>
        <w:t>77 tonnes</w:t>
      </w:r>
      <w:r>
        <w:rPr>
          <w:bCs/>
          <w:lang w:val="fr-CA"/>
        </w:rPr>
        <w:t xml:space="preserve"> PAO</w:t>
      </w:r>
      <w:r w:rsidRPr="0097372D">
        <w:rPr>
          <w:bCs/>
          <w:lang w:val="fr-CA"/>
        </w:rPr>
        <w:t xml:space="preserve">) </w:t>
      </w:r>
      <w:r>
        <w:rPr>
          <w:bCs/>
          <w:lang w:val="fr-CA"/>
        </w:rPr>
        <w:t xml:space="preserve">de </w:t>
      </w:r>
      <w:r w:rsidRPr="0097372D">
        <w:rPr>
          <w:bCs/>
          <w:lang w:val="fr-CA"/>
        </w:rPr>
        <w:t xml:space="preserve">HCFC-141b, </w:t>
      </w:r>
      <w:r>
        <w:rPr>
          <w:bCs/>
          <w:lang w:val="fr-CA"/>
        </w:rPr>
        <w:t xml:space="preserve">avec un taux de coût-efficacité de </w:t>
      </w:r>
      <w:r w:rsidRPr="0097372D">
        <w:rPr>
          <w:bCs/>
          <w:lang w:val="fr-CA"/>
        </w:rPr>
        <w:t>9</w:t>
      </w:r>
      <w:r>
        <w:rPr>
          <w:bCs/>
          <w:lang w:val="fr-CA"/>
        </w:rPr>
        <w:t>,</w:t>
      </w:r>
      <w:r w:rsidRPr="0097372D">
        <w:rPr>
          <w:bCs/>
          <w:lang w:val="fr-CA"/>
        </w:rPr>
        <w:t>86</w:t>
      </w:r>
      <w:r>
        <w:rPr>
          <w:bCs/>
          <w:lang w:val="fr-CA"/>
        </w:rPr>
        <w:t> $US</w:t>
      </w:r>
      <w:r w:rsidRPr="0097372D">
        <w:rPr>
          <w:bCs/>
          <w:lang w:val="fr-CA"/>
        </w:rPr>
        <w:t xml:space="preserve">/kg </w:t>
      </w:r>
      <w:r>
        <w:rPr>
          <w:bCs/>
          <w:lang w:val="fr-CA"/>
        </w:rPr>
        <w:t xml:space="preserve">pour couvrir les </w:t>
      </w:r>
      <w:r w:rsidRPr="0097372D">
        <w:rPr>
          <w:bCs/>
          <w:lang w:val="fr-CA"/>
        </w:rPr>
        <w:t xml:space="preserve">ICC </w:t>
      </w:r>
      <w:r>
        <w:rPr>
          <w:bCs/>
          <w:lang w:val="fr-CA"/>
        </w:rPr>
        <w:t>et</w:t>
      </w:r>
      <w:r w:rsidRPr="0097372D">
        <w:rPr>
          <w:bCs/>
          <w:lang w:val="fr-CA"/>
        </w:rPr>
        <w:t xml:space="preserve"> IOC. </w:t>
      </w:r>
    </w:p>
    <w:p w14:paraId="5AB64379" w14:textId="3CE813F5" w:rsidR="00CC3427" w:rsidRPr="0097372D" w:rsidRDefault="00CC3427" w:rsidP="00CC3427">
      <w:pPr>
        <w:pStyle w:val="Heading1"/>
        <w:keepNext/>
        <w:keepLines/>
        <w:rPr>
          <w:lang w:val="fr-CA"/>
        </w:rPr>
      </w:pPr>
      <w:r>
        <w:rPr>
          <w:lang w:val="fr-CA"/>
        </w:rPr>
        <w:t>L</w:t>
      </w:r>
      <w:r w:rsidRPr="0097372D">
        <w:rPr>
          <w:lang w:val="fr-CA"/>
        </w:rPr>
        <w:t xml:space="preserve">e </w:t>
      </w:r>
      <w:r>
        <w:rPr>
          <w:lang w:val="fr-CA"/>
        </w:rPr>
        <w:t>Gouvernement de la Chine</w:t>
      </w:r>
      <w:r w:rsidRPr="0097372D">
        <w:rPr>
          <w:lang w:val="fr-CA"/>
        </w:rPr>
        <w:t xml:space="preserve"> </w:t>
      </w:r>
      <w:r>
        <w:rPr>
          <w:lang w:val="fr-CA"/>
        </w:rPr>
        <w:t>a souligné que cette démarche était la plus efficace pour aider les entreprise</w:t>
      </w:r>
      <w:r w:rsidRPr="0097372D">
        <w:rPr>
          <w:lang w:val="fr-CA"/>
        </w:rPr>
        <w:t xml:space="preserve">s </w:t>
      </w:r>
      <w:r>
        <w:rPr>
          <w:lang w:val="fr-CA"/>
        </w:rPr>
        <w:t>admissibles dans le secteur des solvants</w:t>
      </w:r>
      <w:r w:rsidR="003E6151">
        <w:rPr>
          <w:lang w:val="fr-CA"/>
        </w:rPr>
        <w:t xml:space="preserve"> </w:t>
      </w:r>
      <w:r w:rsidRPr="0097372D">
        <w:rPr>
          <w:lang w:val="fr-CA"/>
        </w:rPr>
        <w:t xml:space="preserve">; </w:t>
      </w:r>
      <w:r>
        <w:rPr>
          <w:lang w:val="fr-CA"/>
        </w:rPr>
        <w:t>elle permettra de les reconvertir à des produits de remplacement préférés tout en tenant compte des mesures de sécurité et des aspects de santé</w:t>
      </w:r>
      <w:r w:rsidRPr="0097372D">
        <w:rPr>
          <w:lang w:val="fr-CA"/>
        </w:rPr>
        <w:t xml:space="preserve">. </w:t>
      </w:r>
      <w:r>
        <w:rPr>
          <w:lang w:val="fr-CA"/>
        </w:rPr>
        <w:t xml:space="preserve">Le financement à fournir sera surtout pour des activités de soutien, telles que la formation, les essais et la </w:t>
      </w:r>
      <w:r w:rsidRPr="0097372D">
        <w:rPr>
          <w:lang w:val="fr-CA"/>
        </w:rPr>
        <w:t xml:space="preserve">détection, </w:t>
      </w:r>
      <w:r>
        <w:rPr>
          <w:lang w:val="fr-CA"/>
        </w:rPr>
        <w:t xml:space="preserve">les analyses </w:t>
      </w:r>
      <w:r w:rsidRPr="0097372D">
        <w:rPr>
          <w:lang w:val="fr-CA"/>
        </w:rPr>
        <w:t>environ</w:t>
      </w:r>
      <w:r>
        <w:rPr>
          <w:lang w:val="fr-CA"/>
        </w:rPr>
        <w:t>ne</w:t>
      </w:r>
      <w:r w:rsidRPr="0097372D">
        <w:rPr>
          <w:lang w:val="fr-CA"/>
        </w:rPr>
        <w:t>mental</w:t>
      </w:r>
      <w:r>
        <w:rPr>
          <w:lang w:val="fr-CA"/>
        </w:rPr>
        <w:t>es et les évaluations de sécurité</w:t>
      </w:r>
      <w:r w:rsidRPr="0097372D">
        <w:rPr>
          <w:lang w:val="fr-CA"/>
        </w:rPr>
        <w:t>.</w:t>
      </w:r>
    </w:p>
    <w:p w14:paraId="1D4760E3" w14:textId="77777777" w:rsidR="00CC3427" w:rsidRPr="0097372D" w:rsidRDefault="00CC3427" w:rsidP="00CC3427">
      <w:pPr>
        <w:pStyle w:val="Heading1"/>
        <w:keepNext/>
        <w:numPr>
          <w:ilvl w:val="0"/>
          <w:numId w:val="0"/>
        </w:numPr>
        <w:tabs>
          <w:tab w:val="num" w:pos="0"/>
        </w:tabs>
        <w:rPr>
          <w:lang w:val="fr-CA"/>
        </w:rPr>
      </w:pPr>
      <w:r>
        <w:rPr>
          <w:i/>
          <w:lang w:val="fr-CA"/>
        </w:rPr>
        <w:t>Interventions politiques et réglementaires</w:t>
      </w:r>
    </w:p>
    <w:p w14:paraId="565C9578" w14:textId="77777777" w:rsidR="00CC3427" w:rsidRPr="0097372D" w:rsidRDefault="00CC3427" w:rsidP="00CC3427">
      <w:pPr>
        <w:pStyle w:val="Heading1"/>
        <w:widowControl w:val="0"/>
        <w:rPr>
          <w:lang w:val="fr-CA"/>
        </w:rPr>
      </w:pPr>
      <w:r>
        <w:rPr>
          <w:lang w:val="fr-CA"/>
        </w:rPr>
        <w:t xml:space="preserve">Afin d’appuyer les activités d’investissement et l’élimination durable du </w:t>
      </w:r>
      <w:r w:rsidRPr="0097372D">
        <w:rPr>
          <w:lang w:val="fr-CA"/>
        </w:rPr>
        <w:t xml:space="preserve">HCFC-141b </w:t>
      </w:r>
      <w:r>
        <w:rPr>
          <w:lang w:val="fr-CA"/>
        </w:rPr>
        <w:t>dans le secteur des solvants</w:t>
      </w:r>
      <w:r w:rsidRPr="0097372D">
        <w:rPr>
          <w:lang w:val="fr-CA"/>
        </w:rPr>
        <w:t xml:space="preserve">, </w:t>
      </w:r>
      <w:r>
        <w:rPr>
          <w:lang w:val="fr-CA"/>
        </w:rPr>
        <w:t>l</w:t>
      </w:r>
      <w:r w:rsidRPr="0097372D">
        <w:rPr>
          <w:lang w:val="fr-CA"/>
        </w:rPr>
        <w:t xml:space="preserve">e </w:t>
      </w:r>
      <w:r>
        <w:rPr>
          <w:lang w:val="fr-CA"/>
        </w:rPr>
        <w:t>Gouvernement adoptera des politiques, des lois et des règlements dans le cadre général des politiques sur les SAO</w:t>
      </w:r>
      <w:r w:rsidRPr="0097372D">
        <w:rPr>
          <w:lang w:val="fr-CA"/>
        </w:rPr>
        <w:t xml:space="preserve">. </w:t>
      </w:r>
      <w:r>
        <w:rPr>
          <w:lang w:val="fr-CA"/>
        </w:rPr>
        <w:t xml:space="preserve">Cela assurera la réalisation et la pérennité de l’élimination dans le </w:t>
      </w:r>
      <w:r>
        <w:rPr>
          <w:lang w:val="fr-CA"/>
        </w:rPr>
        <w:lastRenderedPageBreak/>
        <w:t>secteur des solvants, établira des mécanismes efficaces pour encourager une vaste participation des entreprise</w:t>
      </w:r>
      <w:r w:rsidRPr="0097372D">
        <w:rPr>
          <w:lang w:val="fr-CA"/>
        </w:rPr>
        <w:t xml:space="preserve">s </w:t>
      </w:r>
      <w:r>
        <w:rPr>
          <w:lang w:val="fr-CA"/>
        </w:rPr>
        <w:t>aux activités d’élimination et l’adoption de solutions respectueuses de l’environnement</w:t>
      </w:r>
      <w:r w:rsidRPr="0097372D">
        <w:rPr>
          <w:lang w:val="fr-CA"/>
        </w:rPr>
        <w:t xml:space="preserve">; </w:t>
      </w:r>
      <w:r>
        <w:rPr>
          <w:lang w:val="fr-CA"/>
        </w:rPr>
        <w:t xml:space="preserve">pour </w:t>
      </w:r>
      <w:r w:rsidRPr="0097372D">
        <w:rPr>
          <w:lang w:val="fr-CA"/>
        </w:rPr>
        <w:t>promo</w:t>
      </w:r>
      <w:r>
        <w:rPr>
          <w:lang w:val="fr-CA"/>
        </w:rPr>
        <w:t xml:space="preserve">uvoir la recherche et l’établissement et l’adoption de solutions de rechange pour le </w:t>
      </w:r>
      <w:r w:rsidRPr="0097372D">
        <w:rPr>
          <w:lang w:val="fr-CA"/>
        </w:rPr>
        <w:t xml:space="preserve">HCFC-141b; </w:t>
      </w:r>
      <w:r>
        <w:rPr>
          <w:lang w:val="fr-CA"/>
        </w:rPr>
        <w:t xml:space="preserve">la croissance de ce </w:t>
      </w:r>
      <w:r w:rsidRPr="0097372D">
        <w:rPr>
          <w:lang w:val="fr-CA"/>
        </w:rPr>
        <w:t>sect</w:t>
      </w:r>
      <w:r>
        <w:rPr>
          <w:lang w:val="fr-CA"/>
        </w:rPr>
        <w:t>eu</w:t>
      </w:r>
      <w:r w:rsidRPr="0097372D">
        <w:rPr>
          <w:lang w:val="fr-CA"/>
        </w:rPr>
        <w:t xml:space="preserve">r </w:t>
      </w:r>
      <w:r>
        <w:rPr>
          <w:lang w:val="fr-CA"/>
        </w:rPr>
        <w:t>n’est nullement affectée par les activités de re</w:t>
      </w:r>
      <w:r w:rsidRPr="0097372D">
        <w:rPr>
          <w:lang w:val="fr-CA"/>
        </w:rPr>
        <w:t>conversion;</w:t>
      </w:r>
      <w:r>
        <w:rPr>
          <w:lang w:val="fr-CA"/>
        </w:rPr>
        <w:t xml:space="preserve"> et la possibilité d’introduire des mesures d’incitation fiscales et financières encouragera les entreprise</w:t>
      </w:r>
      <w:r w:rsidRPr="0097372D">
        <w:rPr>
          <w:lang w:val="fr-CA"/>
        </w:rPr>
        <w:t xml:space="preserve">s </w:t>
      </w:r>
      <w:r>
        <w:rPr>
          <w:lang w:val="fr-CA"/>
        </w:rPr>
        <w:t>à participer à l’élimination</w:t>
      </w:r>
      <w:r w:rsidRPr="0097372D">
        <w:rPr>
          <w:lang w:val="fr-CA"/>
        </w:rPr>
        <w:t>.</w:t>
      </w:r>
    </w:p>
    <w:p w14:paraId="38DEEE7E" w14:textId="77777777" w:rsidR="00CC3427" w:rsidRPr="0097372D" w:rsidRDefault="00CC3427" w:rsidP="00CC3427">
      <w:pPr>
        <w:rPr>
          <w:i/>
          <w:lang w:val="fr-CA"/>
        </w:rPr>
      </w:pPr>
      <w:r w:rsidRPr="0097372D">
        <w:rPr>
          <w:i/>
          <w:lang w:val="fr-CA"/>
        </w:rPr>
        <w:t>TA </w:t>
      </w:r>
    </w:p>
    <w:p w14:paraId="5B701FB4" w14:textId="77777777" w:rsidR="00CC3427" w:rsidRPr="0097372D" w:rsidRDefault="00CC3427" w:rsidP="00CC3427">
      <w:pPr>
        <w:rPr>
          <w:i/>
          <w:u w:val="single"/>
          <w:lang w:val="fr-CA"/>
        </w:rPr>
      </w:pPr>
    </w:p>
    <w:p w14:paraId="777D249D" w14:textId="36461B8F" w:rsidR="00CC3427" w:rsidRPr="0097372D" w:rsidRDefault="00CC3427" w:rsidP="00CC3427">
      <w:pPr>
        <w:pStyle w:val="Heading1"/>
        <w:rPr>
          <w:lang w:val="fr-CA"/>
        </w:rPr>
      </w:pPr>
      <w:r>
        <w:rPr>
          <w:lang w:val="fr-CA"/>
        </w:rPr>
        <w:t>Les activités d’A</w:t>
      </w:r>
      <w:r w:rsidRPr="0097372D">
        <w:rPr>
          <w:lang w:val="fr-CA"/>
        </w:rPr>
        <w:t xml:space="preserve">T, </w:t>
      </w:r>
      <w:r>
        <w:rPr>
          <w:lang w:val="fr-CA"/>
        </w:rPr>
        <w:t xml:space="preserve">à un niveau de financement de </w:t>
      </w:r>
      <w:r w:rsidRPr="0097372D">
        <w:rPr>
          <w:lang w:val="fr-CA"/>
        </w:rPr>
        <w:t>1</w:t>
      </w:r>
      <w:r>
        <w:rPr>
          <w:lang w:val="fr-CA"/>
        </w:rPr>
        <w:t> </w:t>
      </w:r>
      <w:r w:rsidRPr="0097372D">
        <w:rPr>
          <w:lang w:val="fr-CA"/>
        </w:rPr>
        <w:t>400</w:t>
      </w:r>
      <w:r>
        <w:rPr>
          <w:lang w:val="fr-CA"/>
        </w:rPr>
        <w:t> </w:t>
      </w:r>
      <w:r w:rsidRPr="0097372D">
        <w:rPr>
          <w:lang w:val="fr-CA"/>
        </w:rPr>
        <w:t>000</w:t>
      </w:r>
      <w:r>
        <w:rPr>
          <w:lang w:val="fr-CA"/>
        </w:rPr>
        <w:t> $US</w:t>
      </w:r>
      <w:r w:rsidRPr="0097372D">
        <w:rPr>
          <w:lang w:val="fr-CA"/>
        </w:rPr>
        <w:t xml:space="preserve">, </w:t>
      </w:r>
      <w:r>
        <w:rPr>
          <w:lang w:val="fr-CA"/>
        </w:rPr>
        <w:t>visent à appuyer une élimination durable des</w:t>
      </w:r>
      <w:r w:rsidRPr="0097372D">
        <w:rPr>
          <w:lang w:val="fr-CA"/>
        </w:rPr>
        <w:t xml:space="preserve"> HCFC-141b, HCFC-225ca</w:t>
      </w:r>
      <w:r>
        <w:rPr>
          <w:lang w:val="fr-CA"/>
        </w:rPr>
        <w:t xml:space="preserve"> et</w:t>
      </w:r>
      <w:r w:rsidRPr="0097372D">
        <w:rPr>
          <w:lang w:val="fr-CA"/>
        </w:rPr>
        <w:t xml:space="preserve"> HCFC-225cb </w:t>
      </w:r>
      <w:r>
        <w:rPr>
          <w:lang w:val="fr-CA"/>
        </w:rPr>
        <w:t>dans le secteur des solvants</w:t>
      </w:r>
      <w:r w:rsidRPr="0097372D">
        <w:rPr>
          <w:lang w:val="fr-CA"/>
        </w:rPr>
        <w:t xml:space="preserve">, </w:t>
      </w:r>
      <w:r>
        <w:rPr>
          <w:lang w:val="fr-CA"/>
        </w:rPr>
        <w:t>et incluent ce qui suit</w:t>
      </w:r>
      <w:r w:rsidR="003E6151">
        <w:rPr>
          <w:lang w:val="fr-CA"/>
        </w:rPr>
        <w:t> </w:t>
      </w:r>
      <w:r w:rsidRPr="0097372D">
        <w:rPr>
          <w:lang w:val="fr-CA"/>
        </w:rPr>
        <w:t>:</w:t>
      </w:r>
    </w:p>
    <w:p w14:paraId="16F28E47" w14:textId="1F75FD20" w:rsidR="00CC3427" w:rsidRPr="0097372D" w:rsidRDefault="00CC3427" w:rsidP="00CC3427">
      <w:pPr>
        <w:pStyle w:val="Heading2"/>
        <w:numPr>
          <w:ilvl w:val="1"/>
          <w:numId w:val="1"/>
        </w:numPr>
        <w:rPr>
          <w:lang w:val="fr-CA"/>
        </w:rPr>
      </w:pPr>
      <w:r>
        <w:rPr>
          <w:lang w:val="fr-CA"/>
        </w:rPr>
        <w:t>Formation des entreprise</w:t>
      </w:r>
      <w:r w:rsidRPr="0097372D">
        <w:rPr>
          <w:lang w:val="fr-CA"/>
        </w:rPr>
        <w:t xml:space="preserve">s </w:t>
      </w:r>
      <w:r>
        <w:rPr>
          <w:lang w:val="fr-CA"/>
        </w:rPr>
        <w:t xml:space="preserve">aux </w:t>
      </w:r>
      <w:r w:rsidRPr="0097372D">
        <w:rPr>
          <w:lang w:val="fr-CA"/>
        </w:rPr>
        <w:t xml:space="preserve">procédures </w:t>
      </w:r>
      <w:r>
        <w:rPr>
          <w:lang w:val="fr-CA"/>
        </w:rPr>
        <w:t>d’exécution des activités de re</w:t>
      </w:r>
      <w:r w:rsidRPr="0097372D">
        <w:rPr>
          <w:lang w:val="fr-CA"/>
        </w:rPr>
        <w:t>conversion</w:t>
      </w:r>
      <w:r>
        <w:rPr>
          <w:lang w:val="fr-CA"/>
        </w:rPr>
        <w:t>, d’acquisition d’équipements et de services</w:t>
      </w:r>
      <w:r w:rsidRPr="0097372D">
        <w:rPr>
          <w:lang w:val="fr-CA"/>
        </w:rPr>
        <w:t xml:space="preserve">, </w:t>
      </w:r>
      <w:r>
        <w:rPr>
          <w:lang w:val="fr-CA"/>
        </w:rPr>
        <w:t>à la surveillance et au compte rendu de l’avancement des projets</w:t>
      </w:r>
      <w:r w:rsidRPr="0097372D">
        <w:rPr>
          <w:lang w:val="fr-CA"/>
        </w:rPr>
        <w:t xml:space="preserve">; </w:t>
      </w:r>
      <w:r>
        <w:rPr>
          <w:lang w:val="fr-CA"/>
        </w:rPr>
        <w:t>réunion</w:t>
      </w:r>
      <w:r w:rsidRPr="0097372D">
        <w:rPr>
          <w:lang w:val="fr-CA"/>
        </w:rPr>
        <w:t xml:space="preserve">s </w:t>
      </w:r>
      <w:r>
        <w:rPr>
          <w:lang w:val="fr-CA"/>
        </w:rPr>
        <w:t>pour l’échange d’expériences dans la mise en œuvre des projets</w:t>
      </w:r>
      <w:r w:rsidRPr="0097372D">
        <w:rPr>
          <w:lang w:val="fr-CA"/>
        </w:rPr>
        <w:t xml:space="preserve">, </w:t>
      </w:r>
      <w:r>
        <w:rPr>
          <w:lang w:val="fr-CA"/>
        </w:rPr>
        <w:t xml:space="preserve">des </w:t>
      </w:r>
      <w:r w:rsidRPr="0097372D">
        <w:rPr>
          <w:lang w:val="fr-CA"/>
        </w:rPr>
        <w:t>information</w:t>
      </w:r>
      <w:r>
        <w:rPr>
          <w:lang w:val="fr-CA"/>
        </w:rPr>
        <w:t>s</w:t>
      </w:r>
      <w:r w:rsidRPr="0097372D">
        <w:rPr>
          <w:lang w:val="fr-CA"/>
        </w:rPr>
        <w:t xml:space="preserve"> </w:t>
      </w:r>
      <w:r>
        <w:rPr>
          <w:lang w:val="fr-CA"/>
        </w:rPr>
        <w:t xml:space="preserve">sur les produits de remplacement disponibles et leurs </w:t>
      </w:r>
      <w:r w:rsidRPr="0097372D">
        <w:rPr>
          <w:lang w:val="fr-CA"/>
        </w:rPr>
        <w:t xml:space="preserve">applications </w:t>
      </w:r>
      <w:r>
        <w:rPr>
          <w:lang w:val="fr-CA"/>
        </w:rPr>
        <w:t>afin d’appuyer les entreprise</w:t>
      </w:r>
      <w:r w:rsidRPr="0097372D">
        <w:rPr>
          <w:lang w:val="fr-CA"/>
        </w:rPr>
        <w:t xml:space="preserve">s </w:t>
      </w:r>
      <w:r>
        <w:rPr>
          <w:lang w:val="fr-CA"/>
        </w:rPr>
        <w:t>dans leurs activités d’élimination</w:t>
      </w:r>
      <w:r w:rsidRPr="0097372D">
        <w:rPr>
          <w:lang w:val="fr-CA"/>
        </w:rPr>
        <w:t xml:space="preserve">; </w:t>
      </w:r>
      <w:r>
        <w:rPr>
          <w:lang w:val="fr-CA"/>
        </w:rPr>
        <w:t xml:space="preserve">et réunions de consultation sur les politiques en vue d’obtenir du soutien pour les nouvelles démarches et les nouveaux règlements qui pourraient être établis durant la mise en œuvre </w:t>
      </w:r>
      <w:r w:rsidRPr="0097372D">
        <w:rPr>
          <w:lang w:val="fr-CA"/>
        </w:rPr>
        <w:t>(75</w:t>
      </w:r>
      <w:r>
        <w:rPr>
          <w:lang w:val="fr-CA"/>
        </w:rPr>
        <w:t> </w:t>
      </w:r>
      <w:r w:rsidRPr="0097372D">
        <w:rPr>
          <w:lang w:val="fr-CA"/>
        </w:rPr>
        <w:t>000</w:t>
      </w:r>
      <w:r>
        <w:rPr>
          <w:lang w:val="fr-CA"/>
        </w:rPr>
        <w:t> $US</w:t>
      </w:r>
      <w:r w:rsidRPr="0097372D">
        <w:rPr>
          <w:lang w:val="fr-CA"/>
        </w:rPr>
        <w:t>)</w:t>
      </w:r>
      <w:r w:rsidR="003E6151">
        <w:rPr>
          <w:lang w:val="fr-CA"/>
        </w:rPr>
        <w:t xml:space="preserve"> </w:t>
      </w:r>
      <w:r w:rsidRPr="0097372D">
        <w:rPr>
          <w:lang w:val="fr-CA"/>
        </w:rPr>
        <w:t>;</w:t>
      </w:r>
    </w:p>
    <w:p w14:paraId="7248FB5A" w14:textId="64D68988" w:rsidR="00CC3427" w:rsidRPr="0097372D" w:rsidRDefault="00CC3427" w:rsidP="00CC3427">
      <w:pPr>
        <w:pStyle w:val="Heading2"/>
        <w:numPr>
          <w:ilvl w:val="1"/>
          <w:numId w:val="1"/>
        </w:numPr>
        <w:rPr>
          <w:lang w:val="fr-CA"/>
        </w:rPr>
      </w:pPr>
      <w:r>
        <w:rPr>
          <w:lang w:val="fr-CA"/>
        </w:rPr>
        <w:t>Renforcement des capacités des autorités de gérer et de surveiller l’élimination dans le secteur des solvants, notamment les bureaux d’écologie et d’environnement (BEE) locaux et les associations industrielles, au moyen de réunion</w:t>
      </w:r>
      <w:r w:rsidRPr="0097372D">
        <w:rPr>
          <w:lang w:val="fr-CA"/>
        </w:rPr>
        <w:t xml:space="preserve">s </w:t>
      </w:r>
      <w:r>
        <w:rPr>
          <w:lang w:val="fr-CA"/>
        </w:rPr>
        <w:t>et d’ateliers</w:t>
      </w:r>
      <w:r w:rsidRPr="0097372D">
        <w:rPr>
          <w:lang w:val="fr-CA"/>
        </w:rPr>
        <w:t xml:space="preserve"> (200</w:t>
      </w:r>
      <w:r>
        <w:rPr>
          <w:lang w:val="fr-CA"/>
        </w:rPr>
        <w:t> </w:t>
      </w:r>
      <w:r w:rsidRPr="0097372D">
        <w:rPr>
          <w:lang w:val="fr-CA"/>
        </w:rPr>
        <w:t>000</w:t>
      </w:r>
      <w:r>
        <w:rPr>
          <w:lang w:val="fr-CA"/>
        </w:rPr>
        <w:t> $US</w:t>
      </w:r>
      <w:r w:rsidRPr="0097372D">
        <w:rPr>
          <w:lang w:val="fr-CA"/>
        </w:rPr>
        <w:t>)</w:t>
      </w:r>
      <w:r w:rsidR="003E6151">
        <w:rPr>
          <w:lang w:val="fr-CA"/>
        </w:rPr>
        <w:t xml:space="preserve"> </w:t>
      </w:r>
      <w:r w:rsidRPr="0097372D">
        <w:rPr>
          <w:lang w:val="fr-CA"/>
        </w:rPr>
        <w:t>;</w:t>
      </w:r>
    </w:p>
    <w:p w14:paraId="74DFA96C" w14:textId="53282992" w:rsidR="00CC3427" w:rsidRPr="0097372D" w:rsidRDefault="00CC3427" w:rsidP="00CC3427">
      <w:pPr>
        <w:pStyle w:val="Heading2"/>
        <w:keepNext/>
        <w:keepLines/>
        <w:numPr>
          <w:ilvl w:val="1"/>
          <w:numId w:val="1"/>
        </w:numPr>
        <w:rPr>
          <w:lang w:val="fr-CA"/>
        </w:rPr>
      </w:pPr>
      <w:r>
        <w:rPr>
          <w:lang w:val="fr-CA"/>
        </w:rPr>
        <w:t xml:space="preserve">Une agence de soutien à la mise en œuvre (ASM) assurera les services de </w:t>
      </w:r>
      <w:r w:rsidRPr="0097372D">
        <w:rPr>
          <w:lang w:val="fr-CA"/>
        </w:rPr>
        <w:t xml:space="preserve">supervision </w:t>
      </w:r>
      <w:r>
        <w:rPr>
          <w:lang w:val="fr-CA"/>
        </w:rPr>
        <w:t>et de consultation, incluant la sélection et l’é</w:t>
      </w:r>
      <w:r w:rsidRPr="0097372D">
        <w:rPr>
          <w:lang w:val="fr-CA"/>
        </w:rPr>
        <w:t xml:space="preserve">valuation </w:t>
      </w:r>
      <w:r>
        <w:rPr>
          <w:lang w:val="fr-CA"/>
        </w:rPr>
        <w:t>des solutions de remplacement</w:t>
      </w:r>
      <w:r w:rsidR="003E6151">
        <w:rPr>
          <w:lang w:val="fr-CA"/>
        </w:rPr>
        <w:t xml:space="preserve"> </w:t>
      </w:r>
      <w:r w:rsidRPr="0097372D">
        <w:rPr>
          <w:lang w:val="fr-CA"/>
        </w:rPr>
        <w:t>; assist</w:t>
      </w:r>
      <w:r>
        <w:rPr>
          <w:lang w:val="fr-CA"/>
        </w:rPr>
        <w:t>ance aux entreprise</w:t>
      </w:r>
      <w:r w:rsidRPr="0097372D">
        <w:rPr>
          <w:lang w:val="fr-CA"/>
        </w:rPr>
        <w:t xml:space="preserve">s </w:t>
      </w:r>
      <w:r>
        <w:rPr>
          <w:lang w:val="fr-CA"/>
        </w:rPr>
        <w:t>admissibles pour remplir les documents nécessaires aux fins de financement</w:t>
      </w:r>
      <w:r w:rsidR="003E6151">
        <w:rPr>
          <w:lang w:val="fr-CA"/>
        </w:rPr>
        <w:t xml:space="preserve"> </w:t>
      </w:r>
      <w:r w:rsidRPr="0097372D">
        <w:rPr>
          <w:lang w:val="fr-CA"/>
        </w:rPr>
        <w:t>; assist</w:t>
      </w:r>
      <w:r>
        <w:rPr>
          <w:lang w:val="fr-CA"/>
        </w:rPr>
        <w:t>ance à l’équipe de gestion de projet dans la vérification, la supervision et l’évaluation du projet</w:t>
      </w:r>
      <w:r w:rsidR="003E6151">
        <w:rPr>
          <w:lang w:val="fr-CA"/>
        </w:rPr>
        <w:t xml:space="preserve"> </w:t>
      </w:r>
      <w:r w:rsidRPr="0097372D">
        <w:rPr>
          <w:lang w:val="fr-CA"/>
        </w:rPr>
        <w:t xml:space="preserve">; </w:t>
      </w:r>
      <w:r>
        <w:rPr>
          <w:lang w:val="fr-CA"/>
        </w:rPr>
        <w:t xml:space="preserve">et assistance technique aux PME pour les soutenir dans leurs activités d’élimination </w:t>
      </w:r>
      <w:r w:rsidRPr="0097372D">
        <w:rPr>
          <w:lang w:val="fr-CA"/>
        </w:rPr>
        <w:t>(700</w:t>
      </w:r>
      <w:r>
        <w:rPr>
          <w:lang w:val="fr-CA"/>
        </w:rPr>
        <w:t> </w:t>
      </w:r>
      <w:r w:rsidRPr="0097372D">
        <w:rPr>
          <w:lang w:val="fr-CA"/>
        </w:rPr>
        <w:t>000</w:t>
      </w:r>
      <w:r>
        <w:rPr>
          <w:lang w:val="fr-CA"/>
        </w:rPr>
        <w:t> $US</w:t>
      </w:r>
      <w:r w:rsidRPr="0097372D">
        <w:rPr>
          <w:lang w:val="fr-CA"/>
        </w:rPr>
        <w:t>)</w:t>
      </w:r>
      <w:r w:rsidR="003E6151">
        <w:rPr>
          <w:lang w:val="fr-CA"/>
        </w:rPr>
        <w:t xml:space="preserve"> </w:t>
      </w:r>
      <w:r w:rsidRPr="0097372D">
        <w:rPr>
          <w:lang w:val="fr-CA"/>
        </w:rPr>
        <w:t>;</w:t>
      </w:r>
    </w:p>
    <w:p w14:paraId="43738CA5" w14:textId="2F6DDE0A" w:rsidR="00CC3427" w:rsidRPr="0097372D" w:rsidRDefault="00CC3427" w:rsidP="00CC3427">
      <w:pPr>
        <w:pStyle w:val="Heading2"/>
        <w:numPr>
          <w:ilvl w:val="1"/>
          <w:numId w:val="1"/>
        </w:numPr>
        <w:rPr>
          <w:lang w:val="fr-CA"/>
        </w:rPr>
      </w:pPr>
      <w:r>
        <w:rPr>
          <w:lang w:val="fr-CA"/>
        </w:rPr>
        <w:t>Études de marché et évaluation du potentiel de</w:t>
      </w:r>
      <w:r w:rsidRPr="0097372D">
        <w:rPr>
          <w:lang w:val="fr-CA"/>
        </w:rPr>
        <w:t xml:space="preserve"> promotion </w:t>
      </w:r>
      <w:r>
        <w:rPr>
          <w:lang w:val="fr-CA"/>
        </w:rPr>
        <w:t>et d’a</w:t>
      </w:r>
      <w:r w:rsidRPr="0097372D">
        <w:rPr>
          <w:lang w:val="fr-CA"/>
        </w:rPr>
        <w:t xml:space="preserve">pplication </w:t>
      </w:r>
      <w:r>
        <w:rPr>
          <w:lang w:val="fr-CA"/>
        </w:rPr>
        <w:t>de diverses solutions de remplacement disponibles</w:t>
      </w:r>
      <w:r w:rsidRPr="0097372D">
        <w:rPr>
          <w:lang w:val="fr-CA"/>
        </w:rPr>
        <w:t xml:space="preserve">, </w:t>
      </w:r>
      <w:r>
        <w:rPr>
          <w:lang w:val="fr-CA"/>
        </w:rPr>
        <w:t>établissement et mise à jour de normes pertinentes et de critères de sécurité pour les solutions de remplacement</w:t>
      </w:r>
      <w:r w:rsidRPr="0097372D">
        <w:rPr>
          <w:lang w:val="fr-CA"/>
        </w:rPr>
        <w:t xml:space="preserve"> (125</w:t>
      </w:r>
      <w:r>
        <w:rPr>
          <w:lang w:val="fr-CA"/>
        </w:rPr>
        <w:t> </w:t>
      </w:r>
      <w:r w:rsidRPr="0097372D">
        <w:rPr>
          <w:lang w:val="fr-CA"/>
        </w:rPr>
        <w:t>000</w:t>
      </w:r>
      <w:r>
        <w:rPr>
          <w:lang w:val="fr-CA"/>
        </w:rPr>
        <w:t> $US</w:t>
      </w:r>
      <w:r w:rsidRPr="0097372D">
        <w:rPr>
          <w:lang w:val="fr-CA"/>
        </w:rPr>
        <w:t>)</w:t>
      </w:r>
      <w:r w:rsidR="003E6151">
        <w:rPr>
          <w:lang w:val="fr-CA"/>
        </w:rPr>
        <w:t xml:space="preserve"> ;</w:t>
      </w:r>
    </w:p>
    <w:p w14:paraId="42E76BE2" w14:textId="761B6ED4" w:rsidR="00CC3427" w:rsidRPr="0097372D" w:rsidRDefault="00CC3427" w:rsidP="00CC3427">
      <w:pPr>
        <w:pStyle w:val="Heading2"/>
        <w:numPr>
          <w:ilvl w:val="1"/>
          <w:numId w:val="1"/>
        </w:numPr>
        <w:rPr>
          <w:lang w:val="fr-CA"/>
        </w:rPr>
      </w:pPr>
      <w:r w:rsidRPr="0097372D">
        <w:rPr>
          <w:lang w:val="fr-CA"/>
        </w:rPr>
        <w:t>Re</w:t>
      </w:r>
      <w:r>
        <w:rPr>
          <w:lang w:val="fr-CA"/>
        </w:rPr>
        <w:t xml:space="preserve">cherche et analyse de la possibilité pratique d’interdire la consommation de </w:t>
      </w:r>
      <w:r w:rsidRPr="0097372D">
        <w:rPr>
          <w:lang w:val="fr-CA"/>
        </w:rPr>
        <w:t xml:space="preserve">HCFC </w:t>
      </w:r>
      <w:r>
        <w:rPr>
          <w:lang w:val="fr-CA"/>
        </w:rPr>
        <w:t>dans le secteur des solvants</w:t>
      </w:r>
      <w:r w:rsidR="003E6151">
        <w:rPr>
          <w:lang w:val="fr-CA"/>
        </w:rPr>
        <w:t xml:space="preserve"> </w:t>
      </w:r>
      <w:r w:rsidRPr="0097372D">
        <w:rPr>
          <w:lang w:val="fr-CA"/>
        </w:rPr>
        <w:t xml:space="preserve">; </w:t>
      </w:r>
      <w:r>
        <w:rPr>
          <w:lang w:val="fr-CA"/>
        </w:rPr>
        <w:t xml:space="preserve">et les moyens de gérer une telle mesure </w:t>
      </w:r>
      <w:r w:rsidRPr="0097372D">
        <w:rPr>
          <w:lang w:val="fr-CA"/>
        </w:rPr>
        <w:t>(150</w:t>
      </w:r>
      <w:r>
        <w:rPr>
          <w:lang w:val="fr-CA"/>
        </w:rPr>
        <w:t> </w:t>
      </w:r>
      <w:r w:rsidRPr="0097372D">
        <w:rPr>
          <w:lang w:val="fr-CA"/>
        </w:rPr>
        <w:t>000</w:t>
      </w:r>
      <w:r>
        <w:rPr>
          <w:lang w:val="fr-CA"/>
        </w:rPr>
        <w:t> $us</w:t>
      </w:r>
      <w:r w:rsidRPr="0097372D">
        <w:rPr>
          <w:lang w:val="fr-CA"/>
        </w:rPr>
        <w:t>);</w:t>
      </w:r>
    </w:p>
    <w:p w14:paraId="4322A40E" w14:textId="7D945A5E" w:rsidR="00CC3427" w:rsidRPr="0097372D" w:rsidRDefault="00CC3427" w:rsidP="00CC3427">
      <w:pPr>
        <w:pStyle w:val="Heading2"/>
        <w:numPr>
          <w:ilvl w:val="1"/>
          <w:numId w:val="1"/>
        </w:numPr>
        <w:rPr>
          <w:lang w:val="fr-CA"/>
        </w:rPr>
      </w:pPr>
      <w:r w:rsidRPr="0097372D">
        <w:rPr>
          <w:lang w:val="fr-CA"/>
        </w:rPr>
        <w:t xml:space="preserve">Évaluation </w:t>
      </w:r>
      <w:r>
        <w:rPr>
          <w:lang w:val="fr-CA"/>
        </w:rPr>
        <w:t>par des experts du secteur, l’ASM</w:t>
      </w:r>
      <w:r w:rsidRPr="0097372D">
        <w:rPr>
          <w:lang w:val="fr-CA"/>
        </w:rPr>
        <w:t xml:space="preserve">, </w:t>
      </w:r>
      <w:r>
        <w:rPr>
          <w:lang w:val="fr-CA"/>
        </w:rPr>
        <w:t>ou les autorités locales compétentes, au moyen d’études sur place des entreprise</w:t>
      </w:r>
      <w:r w:rsidRPr="0097372D">
        <w:rPr>
          <w:lang w:val="fr-CA"/>
        </w:rPr>
        <w:t xml:space="preserve">s </w:t>
      </w:r>
      <w:r>
        <w:rPr>
          <w:lang w:val="fr-CA"/>
        </w:rPr>
        <w:t xml:space="preserve">qui ont terminé l’élimination de </w:t>
      </w:r>
      <w:r w:rsidRPr="0097372D">
        <w:rPr>
          <w:lang w:val="fr-CA"/>
        </w:rPr>
        <w:t>HCFC</w:t>
      </w:r>
      <w:r>
        <w:rPr>
          <w:lang w:val="fr-CA"/>
        </w:rPr>
        <w:t xml:space="preserve"> dans le secteur des solvants, pour déterminer l’efficacité des mesures d’élimination</w:t>
      </w:r>
      <w:r w:rsidRPr="0097372D">
        <w:rPr>
          <w:lang w:val="fr-CA"/>
        </w:rPr>
        <w:t xml:space="preserve"> (100</w:t>
      </w:r>
      <w:r>
        <w:rPr>
          <w:lang w:val="fr-CA"/>
        </w:rPr>
        <w:t> </w:t>
      </w:r>
      <w:r w:rsidRPr="0097372D">
        <w:rPr>
          <w:lang w:val="fr-CA"/>
        </w:rPr>
        <w:t>000</w:t>
      </w:r>
      <w:r>
        <w:rPr>
          <w:lang w:val="fr-CA"/>
        </w:rPr>
        <w:t> $US</w:t>
      </w:r>
      <w:r w:rsidRPr="0097372D">
        <w:rPr>
          <w:lang w:val="fr-CA"/>
        </w:rPr>
        <w:t>)</w:t>
      </w:r>
      <w:r w:rsidR="003E6151">
        <w:rPr>
          <w:lang w:val="fr-CA"/>
        </w:rPr>
        <w:t> </w:t>
      </w:r>
      <w:r w:rsidRPr="0097372D">
        <w:rPr>
          <w:lang w:val="fr-CA"/>
        </w:rPr>
        <w:t xml:space="preserve">; </w:t>
      </w:r>
      <w:r>
        <w:rPr>
          <w:lang w:val="fr-CA"/>
        </w:rPr>
        <w:t>et</w:t>
      </w:r>
    </w:p>
    <w:p w14:paraId="22FC7698" w14:textId="77777777" w:rsidR="00CC3427" w:rsidRPr="0097372D" w:rsidRDefault="00CC3427" w:rsidP="00CC3427">
      <w:pPr>
        <w:pStyle w:val="Heading2"/>
        <w:numPr>
          <w:ilvl w:val="1"/>
          <w:numId w:val="1"/>
        </w:numPr>
        <w:rPr>
          <w:lang w:val="fr-CA"/>
        </w:rPr>
      </w:pPr>
      <w:r>
        <w:rPr>
          <w:lang w:val="fr-CA"/>
        </w:rPr>
        <w:t>Visites d’étude par le personnel de gestion du projet</w:t>
      </w:r>
      <w:r w:rsidRPr="0097372D">
        <w:rPr>
          <w:lang w:val="fr-CA"/>
        </w:rPr>
        <w:t xml:space="preserve">, </w:t>
      </w:r>
      <w:r>
        <w:rPr>
          <w:lang w:val="fr-CA"/>
        </w:rPr>
        <w:t>les représentants des BEE locaux</w:t>
      </w:r>
      <w:r w:rsidRPr="0097372D">
        <w:rPr>
          <w:lang w:val="fr-CA"/>
        </w:rPr>
        <w:t xml:space="preserve">, </w:t>
      </w:r>
      <w:r>
        <w:rPr>
          <w:lang w:val="fr-CA"/>
        </w:rPr>
        <w:t xml:space="preserve">des </w:t>
      </w:r>
      <w:r w:rsidRPr="0097372D">
        <w:rPr>
          <w:lang w:val="fr-CA"/>
        </w:rPr>
        <w:t xml:space="preserve">associations, </w:t>
      </w:r>
      <w:r>
        <w:rPr>
          <w:lang w:val="fr-CA"/>
        </w:rPr>
        <w:t xml:space="preserve">des instituts de recherche </w:t>
      </w:r>
      <w:r w:rsidRPr="0097372D">
        <w:rPr>
          <w:lang w:val="fr-CA"/>
        </w:rPr>
        <w:t>scientifi</w:t>
      </w:r>
      <w:r>
        <w:rPr>
          <w:lang w:val="fr-CA"/>
        </w:rPr>
        <w:t>que d’autres pays afin de faciliter le partage d’</w:t>
      </w:r>
      <w:r w:rsidRPr="0097372D">
        <w:rPr>
          <w:lang w:val="fr-CA"/>
        </w:rPr>
        <w:t xml:space="preserve">information </w:t>
      </w:r>
      <w:r>
        <w:rPr>
          <w:lang w:val="fr-CA"/>
        </w:rPr>
        <w:t xml:space="preserve">sur les politiques et les </w:t>
      </w:r>
      <w:r w:rsidRPr="0097372D">
        <w:rPr>
          <w:lang w:val="fr-CA"/>
        </w:rPr>
        <w:t xml:space="preserve">technologies </w:t>
      </w:r>
      <w:r>
        <w:rPr>
          <w:lang w:val="fr-CA"/>
        </w:rPr>
        <w:t xml:space="preserve">de remplacement au </w:t>
      </w:r>
      <w:r w:rsidRPr="0097372D">
        <w:rPr>
          <w:lang w:val="fr-CA"/>
        </w:rPr>
        <w:t xml:space="preserve">HCFC-141b </w:t>
      </w:r>
      <w:r>
        <w:rPr>
          <w:lang w:val="fr-CA"/>
        </w:rPr>
        <w:t>et acquérir de l’</w:t>
      </w:r>
      <w:r w:rsidRPr="0097372D">
        <w:rPr>
          <w:lang w:val="fr-CA"/>
        </w:rPr>
        <w:t>expérience</w:t>
      </w:r>
      <w:r>
        <w:rPr>
          <w:lang w:val="fr-CA"/>
        </w:rPr>
        <w:t xml:space="preserve"> dans la </w:t>
      </w:r>
      <w:r w:rsidRPr="0097372D">
        <w:rPr>
          <w:lang w:val="fr-CA"/>
        </w:rPr>
        <w:t>s</w:t>
      </w:r>
      <w:r>
        <w:rPr>
          <w:lang w:val="fr-CA"/>
        </w:rPr>
        <w:t>é</w:t>
      </w:r>
      <w:r w:rsidRPr="0097372D">
        <w:rPr>
          <w:lang w:val="fr-CA"/>
        </w:rPr>
        <w:t xml:space="preserve">lection </w:t>
      </w:r>
      <w:r>
        <w:rPr>
          <w:lang w:val="fr-CA"/>
        </w:rPr>
        <w:t xml:space="preserve">de solutions de rechange, incluant l’organisation et la gestion des activités d’élimination </w:t>
      </w:r>
      <w:r w:rsidRPr="0097372D">
        <w:rPr>
          <w:lang w:val="fr-CA"/>
        </w:rPr>
        <w:t>(50</w:t>
      </w:r>
      <w:r>
        <w:rPr>
          <w:lang w:val="fr-CA"/>
        </w:rPr>
        <w:t> </w:t>
      </w:r>
      <w:r w:rsidRPr="0097372D">
        <w:rPr>
          <w:lang w:val="fr-CA"/>
        </w:rPr>
        <w:t>000</w:t>
      </w:r>
      <w:r>
        <w:rPr>
          <w:lang w:val="fr-CA"/>
        </w:rPr>
        <w:t> $US</w:t>
      </w:r>
      <w:r w:rsidRPr="0097372D">
        <w:rPr>
          <w:lang w:val="fr-CA"/>
        </w:rPr>
        <w:t>).</w:t>
      </w:r>
    </w:p>
    <w:p w14:paraId="219449CB" w14:textId="23A32060" w:rsidR="00CC3427" w:rsidRPr="003E6151" w:rsidRDefault="00CC3427" w:rsidP="003E6151">
      <w:pPr>
        <w:keepNext/>
        <w:keepLines/>
        <w:spacing w:after="240"/>
        <w:rPr>
          <w:i/>
          <w:lang w:val="fr-CA"/>
        </w:rPr>
      </w:pPr>
      <w:r w:rsidRPr="0097372D">
        <w:rPr>
          <w:i/>
          <w:lang w:val="fr-CA"/>
        </w:rPr>
        <w:lastRenderedPageBreak/>
        <w:t>PMU</w:t>
      </w:r>
    </w:p>
    <w:p w14:paraId="50DFBA06" w14:textId="77777777" w:rsidR="00CC3427" w:rsidRPr="0097372D" w:rsidRDefault="00CC3427" w:rsidP="00CC3427">
      <w:pPr>
        <w:pStyle w:val="Heading1"/>
        <w:rPr>
          <w:lang w:val="fr-CA"/>
        </w:rPr>
      </w:pPr>
      <w:r>
        <w:rPr>
          <w:lang w:val="fr-CA"/>
        </w:rPr>
        <w:t>L</w:t>
      </w:r>
      <w:r w:rsidRPr="0097372D">
        <w:rPr>
          <w:lang w:val="fr-CA"/>
        </w:rPr>
        <w:t>e PMU (331</w:t>
      </w:r>
      <w:r>
        <w:rPr>
          <w:lang w:val="fr-CA"/>
        </w:rPr>
        <w:t> </w:t>
      </w:r>
      <w:r w:rsidRPr="0097372D">
        <w:rPr>
          <w:lang w:val="fr-CA"/>
        </w:rPr>
        <w:t>288</w:t>
      </w:r>
      <w:r>
        <w:rPr>
          <w:lang w:val="fr-CA"/>
        </w:rPr>
        <w:t> $US</w:t>
      </w:r>
      <w:r w:rsidRPr="0097372D">
        <w:rPr>
          <w:lang w:val="fr-CA"/>
        </w:rPr>
        <w:t xml:space="preserve">) </w:t>
      </w:r>
      <w:r>
        <w:rPr>
          <w:lang w:val="fr-CA"/>
        </w:rPr>
        <w:t>continuera d’être utilisé pour surveiller la mise en œuvre des sous-accords de subvention et des activités d’AT</w:t>
      </w:r>
      <w:r w:rsidRPr="0097372D">
        <w:rPr>
          <w:lang w:val="fr-CA"/>
        </w:rPr>
        <w:t>; organi</w:t>
      </w:r>
      <w:r>
        <w:rPr>
          <w:lang w:val="fr-CA"/>
        </w:rPr>
        <w:t>sation et participation aux vérification</w:t>
      </w:r>
      <w:r w:rsidRPr="0097372D">
        <w:rPr>
          <w:lang w:val="fr-CA"/>
        </w:rPr>
        <w:t xml:space="preserve">s, </w:t>
      </w:r>
      <w:r>
        <w:rPr>
          <w:lang w:val="fr-CA"/>
        </w:rPr>
        <w:t>aux réunions d’é</w:t>
      </w:r>
      <w:r w:rsidRPr="0097372D">
        <w:rPr>
          <w:lang w:val="fr-CA"/>
        </w:rPr>
        <w:t xml:space="preserve">valuation, </w:t>
      </w:r>
      <w:r>
        <w:rPr>
          <w:lang w:val="fr-CA"/>
        </w:rPr>
        <w:t>et à la mise en service des projets</w:t>
      </w:r>
      <w:r w:rsidRPr="0097372D">
        <w:rPr>
          <w:lang w:val="fr-CA"/>
        </w:rPr>
        <w:t xml:space="preserve">; </w:t>
      </w:r>
      <w:r>
        <w:rPr>
          <w:lang w:val="fr-CA"/>
        </w:rPr>
        <w:t xml:space="preserve">examen des </w:t>
      </w:r>
      <w:r w:rsidRPr="0097372D">
        <w:rPr>
          <w:lang w:val="fr-CA"/>
        </w:rPr>
        <w:t xml:space="preserve">documents </w:t>
      </w:r>
      <w:r>
        <w:rPr>
          <w:lang w:val="fr-CA"/>
        </w:rPr>
        <w:t>de projet soumis par les bénéficiaires et traitement de l’exécution des contrats</w:t>
      </w:r>
      <w:r w:rsidRPr="0097372D">
        <w:rPr>
          <w:lang w:val="fr-CA"/>
        </w:rPr>
        <w:t>; communicati</w:t>
      </w:r>
      <w:r>
        <w:rPr>
          <w:lang w:val="fr-CA"/>
        </w:rPr>
        <w:t xml:space="preserve">on et </w:t>
      </w:r>
      <w:r w:rsidRPr="0097372D">
        <w:rPr>
          <w:lang w:val="fr-CA"/>
        </w:rPr>
        <w:t>coordinati</w:t>
      </w:r>
      <w:r>
        <w:rPr>
          <w:lang w:val="fr-CA"/>
        </w:rPr>
        <w:t>o</w:t>
      </w:r>
      <w:r w:rsidRPr="0097372D">
        <w:rPr>
          <w:lang w:val="fr-CA"/>
        </w:rPr>
        <w:t xml:space="preserve">n </w:t>
      </w:r>
      <w:r>
        <w:rPr>
          <w:lang w:val="fr-CA"/>
        </w:rPr>
        <w:t>avec les agences d’exécution</w:t>
      </w:r>
      <w:r w:rsidRPr="0097372D">
        <w:rPr>
          <w:lang w:val="fr-CA"/>
        </w:rPr>
        <w:t xml:space="preserve">, </w:t>
      </w:r>
      <w:r>
        <w:rPr>
          <w:lang w:val="fr-CA"/>
        </w:rPr>
        <w:t>l’ASM</w:t>
      </w:r>
      <w:r w:rsidRPr="0097372D">
        <w:rPr>
          <w:lang w:val="fr-CA"/>
        </w:rPr>
        <w:t xml:space="preserve">, </w:t>
      </w:r>
      <w:r>
        <w:rPr>
          <w:lang w:val="fr-CA"/>
        </w:rPr>
        <w:t xml:space="preserve">les </w:t>
      </w:r>
      <w:r w:rsidRPr="0097372D">
        <w:rPr>
          <w:lang w:val="fr-CA"/>
        </w:rPr>
        <w:t xml:space="preserve">experts </w:t>
      </w:r>
      <w:r>
        <w:rPr>
          <w:lang w:val="fr-CA"/>
        </w:rPr>
        <w:t>techniques et autres acteurs de la mise en œuvre des projets</w:t>
      </w:r>
      <w:r w:rsidRPr="0097372D">
        <w:rPr>
          <w:lang w:val="fr-CA"/>
        </w:rPr>
        <w:t xml:space="preserve">; </w:t>
      </w:r>
      <w:r>
        <w:rPr>
          <w:lang w:val="fr-CA"/>
        </w:rPr>
        <w:t>établissement d’activités d’AT</w:t>
      </w:r>
      <w:r w:rsidRPr="0097372D">
        <w:rPr>
          <w:lang w:val="fr-CA"/>
        </w:rPr>
        <w:t xml:space="preserve">, </w:t>
      </w:r>
      <w:r>
        <w:rPr>
          <w:lang w:val="fr-CA"/>
        </w:rPr>
        <w:t>élaboration des mandats et sélection des agences d’exécution compétentes</w:t>
      </w:r>
      <w:r w:rsidRPr="0097372D">
        <w:rPr>
          <w:lang w:val="fr-CA"/>
        </w:rPr>
        <w:t xml:space="preserve">; </w:t>
      </w:r>
      <w:r>
        <w:rPr>
          <w:lang w:val="fr-CA"/>
        </w:rPr>
        <w:t>préparation de plans de travail</w:t>
      </w:r>
      <w:r w:rsidRPr="0097372D">
        <w:rPr>
          <w:lang w:val="fr-CA"/>
        </w:rPr>
        <w:t xml:space="preserve">, </w:t>
      </w:r>
      <w:r>
        <w:rPr>
          <w:lang w:val="fr-CA"/>
        </w:rPr>
        <w:t xml:space="preserve">de rapports périodiques et autres </w:t>
      </w:r>
      <w:r w:rsidRPr="0097372D">
        <w:rPr>
          <w:lang w:val="fr-CA"/>
        </w:rPr>
        <w:t xml:space="preserve">documents </w:t>
      </w:r>
      <w:r>
        <w:rPr>
          <w:lang w:val="fr-CA"/>
        </w:rPr>
        <w:t>selon les besoins</w:t>
      </w:r>
      <w:r w:rsidRPr="0097372D">
        <w:rPr>
          <w:lang w:val="fr-CA"/>
        </w:rPr>
        <w:t>.</w:t>
      </w:r>
    </w:p>
    <w:p w14:paraId="31F06ABF" w14:textId="77777777" w:rsidR="00CC3427" w:rsidRPr="0097372D" w:rsidRDefault="00CC3427" w:rsidP="00CC3427">
      <w:pPr>
        <w:pStyle w:val="Heading1"/>
        <w:rPr>
          <w:lang w:val="fr-CA"/>
        </w:rPr>
      </w:pPr>
      <w:r>
        <w:rPr>
          <w:lang w:val="fr-CA"/>
        </w:rPr>
        <w:t xml:space="preserve">Le </w:t>
      </w:r>
      <w:r w:rsidRPr="0097372D">
        <w:rPr>
          <w:lang w:val="fr-CA"/>
        </w:rPr>
        <w:t xml:space="preserve">PMU </w:t>
      </w:r>
      <w:r>
        <w:rPr>
          <w:lang w:val="fr-CA"/>
        </w:rPr>
        <w:t xml:space="preserve">assumera d’autres responsabilités dans le domaine des </w:t>
      </w:r>
      <w:r w:rsidRPr="0097372D">
        <w:rPr>
          <w:lang w:val="fr-CA"/>
        </w:rPr>
        <w:t xml:space="preserve">communications </w:t>
      </w:r>
      <w:r>
        <w:rPr>
          <w:lang w:val="fr-CA"/>
        </w:rPr>
        <w:t xml:space="preserve">et de la </w:t>
      </w:r>
      <w:r w:rsidRPr="0097372D">
        <w:rPr>
          <w:lang w:val="fr-CA"/>
        </w:rPr>
        <w:t>coop</w:t>
      </w:r>
      <w:r>
        <w:rPr>
          <w:lang w:val="fr-CA"/>
        </w:rPr>
        <w:t>é</w:t>
      </w:r>
      <w:r w:rsidRPr="0097372D">
        <w:rPr>
          <w:lang w:val="fr-CA"/>
        </w:rPr>
        <w:t>ration</w:t>
      </w:r>
      <w:r>
        <w:rPr>
          <w:lang w:val="fr-CA"/>
        </w:rPr>
        <w:t xml:space="preserve"> avec les décideurs de politiques et l’industrie dans le cadre de l’organisation des travaux et les réunions de </w:t>
      </w:r>
      <w:r w:rsidRPr="0097372D">
        <w:rPr>
          <w:lang w:val="fr-CA"/>
        </w:rPr>
        <w:t xml:space="preserve">coordination </w:t>
      </w:r>
      <w:r>
        <w:rPr>
          <w:lang w:val="fr-CA"/>
        </w:rPr>
        <w:t xml:space="preserve">avec les décideurs et les associations de l’industrie, afin d’examiner l’avancement de l’élimination des </w:t>
      </w:r>
      <w:r w:rsidRPr="0097372D">
        <w:rPr>
          <w:lang w:val="fr-CA"/>
        </w:rPr>
        <w:t xml:space="preserve">HCFC </w:t>
      </w:r>
      <w:r>
        <w:rPr>
          <w:lang w:val="fr-CA"/>
        </w:rPr>
        <w:t>et les mesures de politique, ainsi que les mesures de promotion de l’adoption de technologies de remplacement</w:t>
      </w:r>
      <w:r w:rsidRPr="0097372D">
        <w:rPr>
          <w:lang w:val="fr-CA"/>
        </w:rPr>
        <w:t xml:space="preserve">; </w:t>
      </w:r>
      <w:r>
        <w:rPr>
          <w:lang w:val="fr-CA"/>
        </w:rPr>
        <w:t>il apportera aux</w:t>
      </w:r>
      <w:r w:rsidRPr="0097372D">
        <w:rPr>
          <w:lang w:val="fr-CA"/>
        </w:rPr>
        <w:t xml:space="preserve"> MEE, </w:t>
      </w:r>
      <w:r>
        <w:rPr>
          <w:lang w:val="fr-CA"/>
        </w:rPr>
        <w:t>BEE</w:t>
      </w:r>
      <w:r w:rsidRPr="0097372D">
        <w:rPr>
          <w:lang w:val="fr-CA"/>
        </w:rPr>
        <w:t xml:space="preserve"> </w:t>
      </w:r>
      <w:r>
        <w:rPr>
          <w:lang w:val="fr-CA"/>
        </w:rPr>
        <w:t>locaux et autres ministères un soutien technique en fonction des informations les plus récentes du secteur</w:t>
      </w:r>
      <w:r w:rsidRPr="0097372D">
        <w:rPr>
          <w:lang w:val="fr-CA"/>
        </w:rPr>
        <w:t>, a</w:t>
      </w:r>
      <w:r>
        <w:rPr>
          <w:lang w:val="fr-CA"/>
        </w:rPr>
        <w:t>idera à l’établissement de règlements et de plans liés à la gestion des SAO pour les entreprise</w:t>
      </w:r>
      <w:r w:rsidRPr="0097372D">
        <w:rPr>
          <w:lang w:val="fr-CA"/>
        </w:rPr>
        <w:t xml:space="preserve">s </w:t>
      </w:r>
      <w:r>
        <w:rPr>
          <w:lang w:val="fr-CA"/>
        </w:rPr>
        <w:t>de solvants à l’échelle locale</w:t>
      </w:r>
      <w:r w:rsidRPr="0097372D">
        <w:rPr>
          <w:lang w:val="fr-CA"/>
        </w:rPr>
        <w:t xml:space="preserve">; </w:t>
      </w:r>
      <w:r>
        <w:rPr>
          <w:lang w:val="fr-CA"/>
        </w:rPr>
        <w:t xml:space="preserve">et offrira un soutien technique et une contribution aux activités de surveillance et de </w:t>
      </w:r>
      <w:r w:rsidRPr="0097372D">
        <w:rPr>
          <w:lang w:val="fr-CA"/>
        </w:rPr>
        <w:t xml:space="preserve">supervision </w:t>
      </w:r>
      <w:r>
        <w:rPr>
          <w:lang w:val="fr-CA"/>
        </w:rPr>
        <w:t xml:space="preserve">organisées par le </w:t>
      </w:r>
      <w:r w:rsidRPr="0097372D">
        <w:rPr>
          <w:lang w:val="fr-CA"/>
        </w:rPr>
        <w:t xml:space="preserve">MEE </w:t>
      </w:r>
      <w:r>
        <w:rPr>
          <w:lang w:val="fr-CA"/>
        </w:rPr>
        <w:t>et les BEE locaux</w:t>
      </w:r>
      <w:r w:rsidRPr="0097372D">
        <w:rPr>
          <w:lang w:val="fr-CA"/>
        </w:rPr>
        <w:t>.</w:t>
      </w:r>
    </w:p>
    <w:p w14:paraId="6F3BF0CF" w14:textId="77777777" w:rsidR="00CC3427" w:rsidRPr="0097372D" w:rsidRDefault="00CC3427" w:rsidP="00CC3427">
      <w:pPr>
        <w:pStyle w:val="Heading1"/>
        <w:numPr>
          <w:ilvl w:val="0"/>
          <w:numId w:val="0"/>
        </w:numPr>
        <w:rPr>
          <w:u w:val="single"/>
          <w:lang w:val="fr-CA"/>
        </w:rPr>
      </w:pPr>
      <w:r>
        <w:rPr>
          <w:u w:val="single"/>
          <w:lang w:val="fr-CA"/>
        </w:rPr>
        <w:t>Financement t</w:t>
      </w:r>
      <w:r w:rsidRPr="0097372D">
        <w:rPr>
          <w:u w:val="single"/>
          <w:lang w:val="fr-CA"/>
        </w:rPr>
        <w:t xml:space="preserve">otal </w:t>
      </w:r>
      <w:r>
        <w:rPr>
          <w:u w:val="single"/>
          <w:lang w:val="fr-CA"/>
        </w:rPr>
        <w:t>de la phase</w:t>
      </w:r>
      <w:r w:rsidRPr="0097372D">
        <w:rPr>
          <w:u w:val="single"/>
          <w:lang w:val="fr-CA"/>
        </w:rPr>
        <w:t xml:space="preserve"> II </w:t>
      </w:r>
      <w:r>
        <w:rPr>
          <w:u w:val="single"/>
          <w:lang w:val="fr-CA"/>
        </w:rPr>
        <w:t>du secteur des solvants</w:t>
      </w:r>
    </w:p>
    <w:p w14:paraId="699223B7" w14:textId="6FC1FAF6" w:rsidR="00CC3427" w:rsidRPr="0097372D" w:rsidRDefault="00CC3427" w:rsidP="00CC3427">
      <w:pPr>
        <w:pStyle w:val="Heading1"/>
        <w:widowControl w:val="0"/>
        <w:rPr>
          <w:lang w:val="fr-CA"/>
        </w:rPr>
      </w:pPr>
      <w:r>
        <w:rPr>
          <w:lang w:val="fr-CA"/>
        </w:rPr>
        <w:t>Conformément à l’accord révisé sur la phase</w:t>
      </w:r>
      <w:r w:rsidRPr="0097372D">
        <w:rPr>
          <w:lang w:val="fr-CA"/>
        </w:rPr>
        <w:t xml:space="preserve"> II </w:t>
      </w:r>
      <w:r>
        <w:rPr>
          <w:lang w:val="fr-CA"/>
        </w:rPr>
        <w:t>du</w:t>
      </w:r>
      <w:r w:rsidRPr="0097372D">
        <w:rPr>
          <w:lang w:val="fr-CA"/>
        </w:rPr>
        <w:t xml:space="preserve"> </w:t>
      </w:r>
      <w:r>
        <w:rPr>
          <w:lang w:val="fr-CA"/>
        </w:rPr>
        <w:t>PGEH</w:t>
      </w:r>
      <w:r w:rsidRPr="0097372D">
        <w:rPr>
          <w:lang w:val="fr-CA"/>
        </w:rPr>
        <w:t xml:space="preserve"> </w:t>
      </w:r>
      <w:r>
        <w:rPr>
          <w:lang w:val="fr-CA"/>
        </w:rPr>
        <w:t xml:space="preserve">à la </w:t>
      </w:r>
      <w:r w:rsidRPr="0097372D">
        <w:rPr>
          <w:lang w:val="fr-CA"/>
        </w:rPr>
        <w:t>84</w:t>
      </w:r>
      <w:r>
        <w:rPr>
          <w:vertAlign w:val="superscript"/>
          <w:lang w:val="fr-CA"/>
        </w:rPr>
        <w:t>e</w:t>
      </w:r>
      <w:r w:rsidRPr="0097372D">
        <w:rPr>
          <w:lang w:val="fr-CA"/>
        </w:rPr>
        <w:t> </w:t>
      </w:r>
      <w:r>
        <w:rPr>
          <w:lang w:val="fr-CA"/>
        </w:rPr>
        <w:t>réunion</w:t>
      </w:r>
      <w:r w:rsidRPr="0097372D">
        <w:rPr>
          <w:lang w:val="fr-CA"/>
        </w:rPr>
        <w:t xml:space="preserve"> </w:t>
      </w:r>
      <w:r w:rsidR="003E6151">
        <w:rPr>
          <w:lang w:val="fr-CA"/>
        </w:rPr>
        <w:t>et le</w:t>
      </w:r>
      <w:r>
        <w:rPr>
          <w:lang w:val="fr-CA"/>
        </w:rPr>
        <w:t xml:space="preserve"> plan de travail modifié</w:t>
      </w:r>
      <w:r w:rsidRPr="0097372D">
        <w:rPr>
          <w:lang w:val="fr-CA"/>
        </w:rPr>
        <w:t xml:space="preserve">, </w:t>
      </w:r>
      <w:r>
        <w:rPr>
          <w:lang w:val="fr-CA"/>
        </w:rPr>
        <w:t xml:space="preserve">le montant de </w:t>
      </w:r>
      <w:r w:rsidRPr="0097372D">
        <w:rPr>
          <w:lang w:val="fr-CA"/>
        </w:rPr>
        <w:t>6</w:t>
      </w:r>
      <w:r>
        <w:rPr>
          <w:lang w:val="fr-CA"/>
        </w:rPr>
        <w:t> </w:t>
      </w:r>
      <w:r w:rsidRPr="0097372D">
        <w:rPr>
          <w:lang w:val="fr-CA"/>
        </w:rPr>
        <w:t>043</w:t>
      </w:r>
      <w:r>
        <w:rPr>
          <w:lang w:val="fr-CA"/>
        </w:rPr>
        <w:t> </w:t>
      </w:r>
      <w:r w:rsidRPr="0097372D">
        <w:rPr>
          <w:lang w:val="fr-CA"/>
        </w:rPr>
        <w:t>431</w:t>
      </w:r>
      <w:r>
        <w:rPr>
          <w:lang w:val="fr-CA"/>
        </w:rPr>
        <w:t xml:space="preserve"> $US, incluant des coûts d’appui de </w:t>
      </w:r>
      <w:r w:rsidRPr="0097372D">
        <w:rPr>
          <w:lang w:val="fr-CA"/>
        </w:rPr>
        <w:t>453</w:t>
      </w:r>
      <w:r>
        <w:rPr>
          <w:lang w:val="fr-CA"/>
        </w:rPr>
        <w:t> </w:t>
      </w:r>
      <w:r w:rsidRPr="0097372D">
        <w:rPr>
          <w:lang w:val="fr-CA"/>
        </w:rPr>
        <w:t>257</w:t>
      </w:r>
      <w:r>
        <w:rPr>
          <w:lang w:val="fr-CA"/>
        </w:rPr>
        <w:t xml:space="preserve"> $US, sera attribué au plan sectoriel pour les solvants, pour la période </w:t>
      </w:r>
      <w:r w:rsidRPr="0097372D">
        <w:rPr>
          <w:lang w:val="fr-CA"/>
        </w:rPr>
        <w:t>2021</w:t>
      </w:r>
      <w:r>
        <w:rPr>
          <w:lang w:val="fr-CA"/>
        </w:rPr>
        <w:t>-</w:t>
      </w:r>
      <w:r w:rsidRPr="0097372D">
        <w:rPr>
          <w:lang w:val="fr-CA"/>
        </w:rPr>
        <w:t xml:space="preserve">2026. </w:t>
      </w:r>
    </w:p>
    <w:p w14:paraId="267120B0" w14:textId="77777777" w:rsidR="00CC3427" w:rsidRPr="0097372D" w:rsidRDefault="00CC3427" w:rsidP="00CC3427">
      <w:pPr>
        <w:pStyle w:val="Heading1"/>
        <w:numPr>
          <w:ilvl w:val="0"/>
          <w:numId w:val="0"/>
        </w:numPr>
        <w:rPr>
          <w:i/>
          <w:lang w:val="fr-CA"/>
        </w:rPr>
      </w:pPr>
      <w:r>
        <w:rPr>
          <w:i/>
          <w:lang w:val="fr-CA"/>
        </w:rPr>
        <w:t>Coût différentiel des reconversions d’entreprises</w:t>
      </w:r>
    </w:p>
    <w:p w14:paraId="5CFFC76B" w14:textId="77777777" w:rsidR="00CC3427" w:rsidRPr="0097372D" w:rsidRDefault="00CC3427" w:rsidP="00CC3427">
      <w:pPr>
        <w:pStyle w:val="Heading1"/>
        <w:rPr>
          <w:lang w:val="fr-CA"/>
        </w:rPr>
      </w:pPr>
      <w:r>
        <w:rPr>
          <w:lang w:val="fr-CA"/>
        </w:rPr>
        <w:t>Les coûts estimatifs des projets d’investissement</w:t>
      </w:r>
      <w:r w:rsidRPr="0097372D">
        <w:rPr>
          <w:lang w:val="fr-CA"/>
        </w:rPr>
        <w:t xml:space="preserve"> </w:t>
      </w:r>
      <w:r>
        <w:rPr>
          <w:lang w:val="fr-CA"/>
        </w:rPr>
        <w:t xml:space="preserve">sont établis à </w:t>
      </w:r>
      <w:r w:rsidRPr="0097372D">
        <w:rPr>
          <w:lang w:val="fr-CA"/>
        </w:rPr>
        <w:t>2</w:t>
      </w:r>
      <w:r>
        <w:rPr>
          <w:lang w:val="fr-CA"/>
        </w:rPr>
        <w:t> </w:t>
      </w:r>
      <w:r w:rsidRPr="0097372D">
        <w:rPr>
          <w:lang w:val="fr-CA"/>
        </w:rPr>
        <w:t>041</w:t>
      </w:r>
      <w:r>
        <w:rPr>
          <w:lang w:val="fr-CA"/>
        </w:rPr>
        <w:t> </w:t>
      </w:r>
      <w:r w:rsidRPr="0097372D">
        <w:rPr>
          <w:lang w:val="fr-CA"/>
        </w:rPr>
        <w:t>421</w:t>
      </w:r>
      <w:r>
        <w:rPr>
          <w:lang w:val="fr-CA"/>
        </w:rPr>
        <w:t> $US pour la re</w:t>
      </w:r>
      <w:r w:rsidRPr="0097372D">
        <w:rPr>
          <w:lang w:val="fr-CA"/>
        </w:rPr>
        <w:t xml:space="preserve">conversion </w:t>
      </w:r>
      <w:r>
        <w:rPr>
          <w:lang w:val="fr-CA"/>
        </w:rPr>
        <w:t>de</w:t>
      </w:r>
      <w:r w:rsidRPr="0097372D">
        <w:rPr>
          <w:lang w:val="fr-CA"/>
        </w:rPr>
        <w:t xml:space="preserve"> 25 </w:t>
      </w:r>
      <w:r>
        <w:rPr>
          <w:lang w:val="fr-CA"/>
        </w:rPr>
        <w:t>entreprise</w:t>
      </w:r>
      <w:r w:rsidRPr="0097372D">
        <w:rPr>
          <w:lang w:val="fr-CA"/>
        </w:rPr>
        <w:t xml:space="preserve">s, </w:t>
      </w:r>
      <w:r>
        <w:rPr>
          <w:lang w:val="fr-CA"/>
        </w:rPr>
        <w:t xml:space="preserve">comme l’indique le </w:t>
      </w:r>
      <w:r w:rsidRPr="0097372D">
        <w:rPr>
          <w:lang w:val="fr-CA"/>
        </w:rPr>
        <w:t>Table 2.</w:t>
      </w:r>
    </w:p>
    <w:p w14:paraId="5B9238A6" w14:textId="2C0F94A8" w:rsidR="00CC3427" w:rsidRPr="0097372D" w:rsidRDefault="00CC3427" w:rsidP="00CC3427">
      <w:pPr>
        <w:keepNext/>
        <w:keepLines/>
        <w:rPr>
          <w:b/>
          <w:lang w:val="fr-CA"/>
        </w:rPr>
      </w:pPr>
      <w:r w:rsidRPr="0097372D">
        <w:rPr>
          <w:b/>
          <w:lang w:val="fr-CA"/>
        </w:rPr>
        <w:t>Table</w:t>
      </w:r>
      <w:r>
        <w:rPr>
          <w:b/>
          <w:lang w:val="fr-CA"/>
        </w:rPr>
        <w:t>au</w:t>
      </w:r>
      <w:r w:rsidRPr="0097372D">
        <w:rPr>
          <w:b/>
          <w:lang w:val="fr-CA"/>
        </w:rPr>
        <w:t> 2</w:t>
      </w:r>
      <w:r w:rsidR="003E6151">
        <w:rPr>
          <w:b/>
          <w:lang w:val="fr-CA"/>
        </w:rPr>
        <w:t xml:space="preserve"> </w:t>
      </w:r>
      <w:r w:rsidRPr="0097372D">
        <w:rPr>
          <w:b/>
          <w:lang w:val="fr-CA"/>
        </w:rPr>
        <w:t xml:space="preserve">: </w:t>
      </w:r>
      <w:r>
        <w:rPr>
          <w:b/>
          <w:lang w:val="fr-CA"/>
        </w:rPr>
        <w:t>Financement estimatif pour la re</w:t>
      </w:r>
      <w:r w:rsidRPr="0097372D">
        <w:rPr>
          <w:b/>
          <w:lang w:val="fr-CA"/>
        </w:rPr>
        <w:t xml:space="preserve">conversion </w:t>
      </w:r>
      <w:r>
        <w:rPr>
          <w:b/>
          <w:lang w:val="fr-CA"/>
        </w:rPr>
        <w:t>de</w:t>
      </w:r>
      <w:r w:rsidRPr="0097372D">
        <w:rPr>
          <w:b/>
          <w:lang w:val="fr-CA"/>
        </w:rPr>
        <w:t xml:space="preserve"> 25 </w:t>
      </w:r>
      <w:r>
        <w:rPr>
          <w:b/>
          <w:lang w:val="fr-CA"/>
        </w:rPr>
        <w:t>entreprise</w:t>
      </w:r>
      <w:r w:rsidRPr="0097372D">
        <w:rPr>
          <w:b/>
          <w:lang w:val="fr-CA"/>
        </w:rPr>
        <w:t xml:space="preserve">s </w:t>
      </w:r>
      <w:r>
        <w:rPr>
          <w:b/>
          <w:lang w:val="fr-CA"/>
        </w:rPr>
        <w:t>dans le secteur des solvants</w:t>
      </w:r>
    </w:p>
    <w:tbl>
      <w:tblPr>
        <w:tblStyle w:val="TableLis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619"/>
        <w:gridCol w:w="3869"/>
      </w:tblGrid>
      <w:tr w:rsidR="003E6151" w:rsidRPr="0097372D" w14:paraId="1C8AAE29" w14:textId="77777777" w:rsidTr="003E6151">
        <w:trPr>
          <w:cnfStyle w:val="100000000000" w:firstRow="1" w:lastRow="0" w:firstColumn="0" w:lastColumn="0" w:oddVBand="0" w:evenVBand="0" w:oddHBand="0" w:evenHBand="0" w:firstRowFirstColumn="0" w:firstRowLastColumn="0" w:lastRowFirstColumn="0" w:lastRowLastColumn="0"/>
          <w:trHeight w:val="20"/>
        </w:trPr>
        <w:tc>
          <w:tcPr>
            <w:tcW w:w="2065" w:type="pct"/>
            <w:tcBorders>
              <w:bottom w:val="single" w:sz="4" w:space="0" w:color="auto"/>
            </w:tcBorders>
          </w:tcPr>
          <w:p w14:paraId="13941DE9" w14:textId="77777777" w:rsidR="00CC3427" w:rsidRPr="0097372D" w:rsidRDefault="00CC3427" w:rsidP="003E6151">
            <w:pPr>
              <w:keepNext/>
              <w:keepLines/>
              <w:spacing w:after="0"/>
              <w:rPr>
                <w:color w:val="auto"/>
                <w:lang w:val="fr-CA"/>
              </w:rPr>
            </w:pPr>
            <w:r w:rsidRPr="0097372D">
              <w:rPr>
                <w:color w:val="auto"/>
                <w:lang w:val="fr-CA"/>
              </w:rPr>
              <w:t>Description</w:t>
            </w:r>
          </w:p>
        </w:tc>
        <w:tc>
          <w:tcPr>
            <w:tcW w:w="866" w:type="pct"/>
            <w:tcBorders>
              <w:bottom w:val="single" w:sz="4" w:space="0" w:color="auto"/>
            </w:tcBorders>
            <w:vAlign w:val="center"/>
          </w:tcPr>
          <w:p w14:paraId="344C32CF" w14:textId="77777777" w:rsidR="00CC3427" w:rsidRPr="0097372D" w:rsidRDefault="00CC3427" w:rsidP="003E6151">
            <w:pPr>
              <w:keepNext/>
              <w:keepLines/>
              <w:spacing w:after="0"/>
              <w:jc w:val="center"/>
              <w:rPr>
                <w:color w:val="auto"/>
                <w:lang w:val="fr-CA"/>
              </w:rPr>
            </w:pPr>
            <w:r>
              <w:rPr>
                <w:color w:val="auto"/>
                <w:lang w:val="fr-CA"/>
              </w:rPr>
              <w:t>MMJ</w:t>
            </w:r>
          </w:p>
        </w:tc>
        <w:tc>
          <w:tcPr>
            <w:tcW w:w="2069" w:type="pct"/>
            <w:tcBorders>
              <w:bottom w:val="single" w:sz="4" w:space="0" w:color="auto"/>
            </w:tcBorders>
            <w:vAlign w:val="center"/>
          </w:tcPr>
          <w:p w14:paraId="6A460DC2" w14:textId="77777777" w:rsidR="00CC3427" w:rsidRPr="0097372D" w:rsidRDefault="00CC3427" w:rsidP="003E6151">
            <w:pPr>
              <w:keepNext/>
              <w:keepLines/>
              <w:spacing w:after="0"/>
              <w:jc w:val="center"/>
              <w:rPr>
                <w:color w:val="auto"/>
                <w:lang w:val="fr-CA"/>
              </w:rPr>
            </w:pPr>
            <w:r>
              <w:rPr>
                <w:color w:val="auto"/>
                <w:lang w:val="fr-CA"/>
              </w:rPr>
              <w:t>Dégraissage d’appareils électroniques</w:t>
            </w:r>
          </w:p>
        </w:tc>
      </w:tr>
      <w:tr w:rsidR="003E6151" w:rsidRPr="0097372D" w14:paraId="2ECC225F" w14:textId="77777777" w:rsidTr="003E6151">
        <w:trPr>
          <w:trHeight w:val="233"/>
        </w:trPr>
        <w:tc>
          <w:tcPr>
            <w:tcW w:w="2065" w:type="pct"/>
          </w:tcPr>
          <w:p w14:paraId="0F4816D7" w14:textId="77777777" w:rsidR="00CC3427" w:rsidRPr="0097372D" w:rsidRDefault="00CC3427" w:rsidP="003E6151">
            <w:pPr>
              <w:spacing w:after="0"/>
              <w:rPr>
                <w:lang w:val="fr-CA"/>
              </w:rPr>
            </w:pPr>
            <w:r w:rsidRPr="0097372D">
              <w:rPr>
                <w:lang w:val="fr-CA"/>
              </w:rPr>
              <w:t xml:space="preserve">HCFC-141b </w:t>
            </w:r>
            <w:r>
              <w:rPr>
                <w:lang w:val="fr-CA"/>
              </w:rPr>
              <w:t xml:space="preserve">à éliminer </w:t>
            </w:r>
            <w:r w:rsidRPr="0097372D">
              <w:rPr>
                <w:lang w:val="fr-CA"/>
              </w:rPr>
              <w:t>2021-2026 (</w:t>
            </w:r>
            <w:r>
              <w:rPr>
                <w:lang w:val="fr-CA"/>
              </w:rPr>
              <w:t>t</w:t>
            </w:r>
            <w:r w:rsidRPr="0097372D">
              <w:rPr>
                <w:lang w:val="fr-CA"/>
              </w:rPr>
              <w:t>m)</w:t>
            </w:r>
          </w:p>
        </w:tc>
        <w:tc>
          <w:tcPr>
            <w:tcW w:w="866" w:type="pct"/>
            <w:vAlign w:val="center"/>
          </w:tcPr>
          <w:p w14:paraId="5BA0F592" w14:textId="77777777" w:rsidR="00CC3427" w:rsidRPr="0097372D" w:rsidRDefault="00CC3427" w:rsidP="003E6151">
            <w:pPr>
              <w:spacing w:after="0"/>
              <w:jc w:val="right"/>
              <w:rPr>
                <w:lang w:val="fr-CA"/>
              </w:rPr>
            </w:pPr>
            <w:r w:rsidRPr="0097372D">
              <w:rPr>
                <w:lang w:val="fr-CA"/>
              </w:rPr>
              <w:t>237</w:t>
            </w:r>
            <w:r>
              <w:rPr>
                <w:lang w:val="fr-CA"/>
              </w:rPr>
              <w:t>,</w:t>
            </w:r>
            <w:r w:rsidRPr="0097372D">
              <w:rPr>
                <w:lang w:val="fr-CA"/>
              </w:rPr>
              <w:t>90</w:t>
            </w:r>
          </w:p>
        </w:tc>
        <w:tc>
          <w:tcPr>
            <w:tcW w:w="2069" w:type="pct"/>
            <w:vAlign w:val="center"/>
          </w:tcPr>
          <w:p w14:paraId="48F9B61C" w14:textId="77777777" w:rsidR="00CC3427" w:rsidRPr="0097372D" w:rsidRDefault="00CC3427" w:rsidP="003E6151">
            <w:pPr>
              <w:spacing w:after="0"/>
              <w:jc w:val="right"/>
              <w:rPr>
                <w:lang w:val="fr-CA"/>
              </w:rPr>
            </w:pPr>
            <w:r w:rsidRPr="0097372D">
              <w:rPr>
                <w:lang w:val="fr-CA"/>
              </w:rPr>
              <w:t>134</w:t>
            </w:r>
            <w:r>
              <w:rPr>
                <w:lang w:val="fr-CA"/>
              </w:rPr>
              <w:t>,</w:t>
            </w:r>
            <w:r w:rsidRPr="0097372D">
              <w:rPr>
                <w:lang w:val="fr-CA"/>
              </w:rPr>
              <w:t>29</w:t>
            </w:r>
          </w:p>
        </w:tc>
      </w:tr>
      <w:tr w:rsidR="003E6151" w:rsidRPr="0097372D" w14:paraId="5FB40082" w14:textId="77777777" w:rsidTr="003E6151">
        <w:trPr>
          <w:trHeight w:val="20"/>
        </w:trPr>
        <w:tc>
          <w:tcPr>
            <w:tcW w:w="2065" w:type="pct"/>
          </w:tcPr>
          <w:p w14:paraId="684F53F3" w14:textId="77777777" w:rsidR="00CC3427" w:rsidRPr="0097372D" w:rsidRDefault="00CC3427" w:rsidP="003E6151">
            <w:pPr>
              <w:spacing w:after="0"/>
              <w:rPr>
                <w:lang w:val="fr-CA"/>
              </w:rPr>
            </w:pPr>
            <w:r w:rsidRPr="0097372D">
              <w:rPr>
                <w:lang w:val="fr-CA"/>
              </w:rPr>
              <w:t>N</w:t>
            </w:r>
            <w:r>
              <w:rPr>
                <w:lang w:val="fr-CA"/>
              </w:rPr>
              <w:t>ombre d’entreprise</w:t>
            </w:r>
            <w:r w:rsidRPr="0097372D">
              <w:rPr>
                <w:lang w:val="fr-CA"/>
              </w:rPr>
              <w:t>s</w:t>
            </w:r>
          </w:p>
        </w:tc>
        <w:tc>
          <w:tcPr>
            <w:tcW w:w="866" w:type="pct"/>
            <w:vAlign w:val="center"/>
          </w:tcPr>
          <w:p w14:paraId="46548F62" w14:textId="77777777" w:rsidR="00CC3427" w:rsidRPr="0097372D" w:rsidRDefault="00CC3427" w:rsidP="003E6151">
            <w:pPr>
              <w:spacing w:after="0"/>
              <w:jc w:val="right"/>
              <w:rPr>
                <w:lang w:val="fr-CA"/>
              </w:rPr>
            </w:pPr>
            <w:r w:rsidRPr="0097372D">
              <w:rPr>
                <w:lang w:val="fr-CA"/>
              </w:rPr>
              <w:t>18</w:t>
            </w:r>
          </w:p>
        </w:tc>
        <w:tc>
          <w:tcPr>
            <w:tcW w:w="2069" w:type="pct"/>
            <w:vAlign w:val="center"/>
          </w:tcPr>
          <w:p w14:paraId="350D70FA" w14:textId="77777777" w:rsidR="00CC3427" w:rsidRPr="0097372D" w:rsidRDefault="00CC3427" w:rsidP="003E6151">
            <w:pPr>
              <w:spacing w:after="0"/>
              <w:jc w:val="right"/>
              <w:rPr>
                <w:lang w:val="fr-CA"/>
              </w:rPr>
            </w:pPr>
            <w:r w:rsidRPr="0097372D">
              <w:rPr>
                <w:lang w:val="fr-CA"/>
              </w:rPr>
              <w:t>7</w:t>
            </w:r>
          </w:p>
        </w:tc>
      </w:tr>
      <w:tr w:rsidR="003E6151" w:rsidRPr="0097372D" w14:paraId="62EB28EE" w14:textId="77777777" w:rsidTr="003E6151">
        <w:trPr>
          <w:trHeight w:val="20"/>
        </w:trPr>
        <w:tc>
          <w:tcPr>
            <w:tcW w:w="2065" w:type="pct"/>
          </w:tcPr>
          <w:p w14:paraId="17846554" w14:textId="77777777" w:rsidR="00CC3427" w:rsidRPr="0097372D" w:rsidRDefault="00CC3427" w:rsidP="003E6151">
            <w:pPr>
              <w:spacing w:after="0"/>
              <w:rPr>
                <w:lang w:val="fr-CA"/>
              </w:rPr>
            </w:pPr>
            <w:r w:rsidRPr="0097372D">
              <w:rPr>
                <w:lang w:val="fr-CA"/>
              </w:rPr>
              <w:t>Pa</w:t>
            </w:r>
            <w:r>
              <w:rPr>
                <w:lang w:val="fr-CA"/>
              </w:rPr>
              <w:t>ie</w:t>
            </w:r>
            <w:r w:rsidRPr="0097372D">
              <w:rPr>
                <w:lang w:val="fr-CA"/>
              </w:rPr>
              <w:t xml:space="preserve">ment </w:t>
            </w:r>
          </w:p>
        </w:tc>
        <w:tc>
          <w:tcPr>
            <w:tcW w:w="866" w:type="pct"/>
            <w:vAlign w:val="center"/>
          </w:tcPr>
          <w:p w14:paraId="4D3002C9" w14:textId="77777777" w:rsidR="00CC3427" w:rsidRPr="0097372D" w:rsidRDefault="00CC3427" w:rsidP="003E6151">
            <w:pPr>
              <w:spacing w:after="0"/>
              <w:jc w:val="right"/>
              <w:rPr>
                <w:lang w:val="fr-CA"/>
              </w:rPr>
            </w:pPr>
            <w:r w:rsidRPr="0097372D">
              <w:rPr>
                <w:lang w:val="fr-CA"/>
              </w:rPr>
              <w:t xml:space="preserve">IOC </w:t>
            </w:r>
            <w:r>
              <w:rPr>
                <w:lang w:val="fr-CA"/>
              </w:rPr>
              <w:t>seulement</w:t>
            </w:r>
          </w:p>
        </w:tc>
        <w:tc>
          <w:tcPr>
            <w:tcW w:w="2069" w:type="pct"/>
            <w:vAlign w:val="center"/>
          </w:tcPr>
          <w:p w14:paraId="45E7A67F" w14:textId="77777777" w:rsidR="00CC3427" w:rsidRPr="0097372D" w:rsidRDefault="00CC3427" w:rsidP="003E6151">
            <w:pPr>
              <w:spacing w:after="0"/>
              <w:jc w:val="right"/>
              <w:rPr>
                <w:lang w:val="fr-CA"/>
              </w:rPr>
            </w:pPr>
            <w:r w:rsidRPr="0097372D">
              <w:rPr>
                <w:lang w:val="fr-CA"/>
              </w:rPr>
              <w:t xml:space="preserve">ICC </w:t>
            </w:r>
            <w:r>
              <w:rPr>
                <w:lang w:val="fr-CA"/>
              </w:rPr>
              <w:t>et</w:t>
            </w:r>
            <w:r w:rsidRPr="0097372D">
              <w:rPr>
                <w:lang w:val="fr-CA"/>
              </w:rPr>
              <w:t xml:space="preserve"> IOC </w:t>
            </w:r>
          </w:p>
        </w:tc>
      </w:tr>
      <w:tr w:rsidR="003E6151" w:rsidRPr="0097372D" w14:paraId="7FD7DAFB" w14:textId="77777777" w:rsidTr="003E6151">
        <w:trPr>
          <w:trHeight w:val="20"/>
        </w:trPr>
        <w:tc>
          <w:tcPr>
            <w:tcW w:w="2065" w:type="pct"/>
          </w:tcPr>
          <w:p w14:paraId="728E27A5" w14:textId="77777777" w:rsidR="00CC3427" w:rsidRPr="0097372D" w:rsidRDefault="00CC3427" w:rsidP="003E6151">
            <w:pPr>
              <w:spacing w:after="0"/>
              <w:rPr>
                <w:lang w:val="fr-CA"/>
              </w:rPr>
            </w:pPr>
            <w:r w:rsidRPr="0097372D">
              <w:rPr>
                <w:lang w:val="fr-CA"/>
              </w:rPr>
              <w:t>Co</w:t>
            </w:r>
            <w:r>
              <w:rPr>
                <w:lang w:val="fr-CA"/>
              </w:rPr>
              <w:t>û</w:t>
            </w:r>
            <w:r w:rsidRPr="0097372D">
              <w:rPr>
                <w:lang w:val="fr-CA"/>
              </w:rPr>
              <w:t>t-eff</w:t>
            </w:r>
            <w:r>
              <w:rPr>
                <w:lang w:val="fr-CA"/>
              </w:rPr>
              <w:t>icacité</w:t>
            </w:r>
            <w:r w:rsidRPr="0097372D">
              <w:rPr>
                <w:lang w:val="fr-CA"/>
              </w:rPr>
              <w:t xml:space="preserve"> (</w:t>
            </w:r>
            <w:r>
              <w:rPr>
                <w:lang w:val="fr-CA"/>
              </w:rPr>
              <w:t>$</w:t>
            </w:r>
            <w:r w:rsidRPr="0097372D">
              <w:rPr>
                <w:lang w:val="fr-CA"/>
              </w:rPr>
              <w:t>US/kg)</w:t>
            </w:r>
          </w:p>
        </w:tc>
        <w:tc>
          <w:tcPr>
            <w:tcW w:w="866" w:type="pct"/>
            <w:vAlign w:val="center"/>
          </w:tcPr>
          <w:p w14:paraId="5293E871" w14:textId="77777777" w:rsidR="00CC3427" w:rsidRPr="0097372D" w:rsidRDefault="00CC3427" w:rsidP="003E6151">
            <w:pPr>
              <w:spacing w:after="0"/>
              <w:jc w:val="right"/>
              <w:rPr>
                <w:lang w:val="fr-CA"/>
              </w:rPr>
            </w:pPr>
            <w:r w:rsidRPr="0097372D">
              <w:rPr>
                <w:lang w:val="fr-CA"/>
              </w:rPr>
              <w:t>2</w:t>
            </w:r>
            <w:r>
              <w:rPr>
                <w:lang w:val="fr-CA"/>
              </w:rPr>
              <w:t>,</w:t>
            </w:r>
            <w:r w:rsidRPr="0097372D">
              <w:rPr>
                <w:lang w:val="fr-CA"/>
              </w:rPr>
              <w:t xml:space="preserve">90 </w:t>
            </w:r>
          </w:p>
        </w:tc>
        <w:tc>
          <w:tcPr>
            <w:tcW w:w="2069" w:type="pct"/>
            <w:vAlign w:val="center"/>
          </w:tcPr>
          <w:p w14:paraId="0F490880" w14:textId="77777777" w:rsidR="00CC3427" w:rsidRPr="0097372D" w:rsidRDefault="00CC3427" w:rsidP="003E6151">
            <w:pPr>
              <w:spacing w:after="0"/>
              <w:jc w:val="right"/>
              <w:rPr>
                <w:lang w:val="fr-CA"/>
              </w:rPr>
            </w:pPr>
            <w:r w:rsidRPr="0097372D">
              <w:rPr>
                <w:lang w:val="fr-CA"/>
              </w:rPr>
              <w:t>9</w:t>
            </w:r>
            <w:r>
              <w:rPr>
                <w:lang w:val="fr-CA"/>
              </w:rPr>
              <w:t>,</w:t>
            </w:r>
            <w:r w:rsidRPr="0097372D">
              <w:rPr>
                <w:lang w:val="fr-CA"/>
              </w:rPr>
              <w:t xml:space="preserve">86 </w:t>
            </w:r>
          </w:p>
        </w:tc>
      </w:tr>
      <w:tr w:rsidR="003E6151" w:rsidRPr="0097372D" w14:paraId="4CE92C74" w14:textId="77777777" w:rsidTr="003E6151">
        <w:trPr>
          <w:trHeight w:val="20"/>
        </w:trPr>
        <w:tc>
          <w:tcPr>
            <w:tcW w:w="2065" w:type="pct"/>
          </w:tcPr>
          <w:p w14:paraId="16F8D023" w14:textId="77777777" w:rsidR="00CC3427" w:rsidRPr="0097372D" w:rsidRDefault="00CC3427" w:rsidP="003E6151">
            <w:pPr>
              <w:spacing w:after="0"/>
              <w:rPr>
                <w:lang w:val="fr-CA"/>
              </w:rPr>
            </w:pPr>
            <w:r>
              <w:rPr>
                <w:lang w:val="fr-CA" w:eastAsia="zh-CN"/>
              </w:rPr>
              <w:t>Coût t</w:t>
            </w:r>
            <w:r w:rsidRPr="0097372D">
              <w:rPr>
                <w:lang w:val="fr-CA" w:eastAsia="zh-CN"/>
              </w:rPr>
              <w:t>otal (</w:t>
            </w:r>
            <w:r>
              <w:rPr>
                <w:lang w:val="fr-CA" w:eastAsia="zh-CN"/>
              </w:rPr>
              <w:t>$</w:t>
            </w:r>
            <w:r w:rsidRPr="0097372D">
              <w:rPr>
                <w:lang w:val="fr-CA" w:eastAsia="zh-CN"/>
              </w:rPr>
              <w:t>US)</w:t>
            </w:r>
          </w:p>
        </w:tc>
        <w:tc>
          <w:tcPr>
            <w:tcW w:w="866" w:type="pct"/>
            <w:vAlign w:val="center"/>
          </w:tcPr>
          <w:p w14:paraId="6255996B" w14:textId="77777777" w:rsidR="00CC3427" w:rsidRPr="0097372D" w:rsidRDefault="00CC3427" w:rsidP="003E6151">
            <w:pPr>
              <w:spacing w:after="0"/>
              <w:jc w:val="right"/>
              <w:rPr>
                <w:lang w:val="fr-CA"/>
              </w:rPr>
            </w:pPr>
            <w:r w:rsidRPr="0097372D">
              <w:rPr>
                <w:lang w:val="fr-CA"/>
              </w:rPr>
              <w:t>689</w:t>
            </w:r>
            <w:r>
              <w:rPr>
                <w:lang w:val="fr-CA"/>
              </w:rPr>
              <w:t> </w:t>
            </w:r>
            <w:r w:rsidRPr="0097372D">
              <w:rPr>
                <w:lang w:val="fr-CA"/>
              </w:rPr>
              <w:t>910</w:t>
            </w:r>
          </w:p>
        </w:tc>
        <w:tc>
          <w:tcPr>
            <w:tcW w:w="2069" w:type="pct"/>
            <w:vAlign w:val="center"/>
          </w:tcPr>
          <w:p w14:paraId="08EB7B63" w14:textId="77777777" w:rsidR="00CC3427" w:rsidRPr="0097372D" w:rsidRDefault="00CC3427" w:rsidP="003E6151">
            <w:pPr>
              <w:spacing w:after="0"/>
              <w:jc w:val="right"/>
              <w:rPr>
                <w:lang w:val="fr-CA"/>
              </w:rPr>
            </w:pPr>
            <w:r w:rsidRPr="0097372D">
              <w:rPr>
                <w:lang w:val="fr-CA"/>
              </w:rPr>
              <w:t>1</w:t>
            </w:r>
            <w:r>
              <w:rPr>
                <w:lang w:val="fr-CA"/>
              </w:rPr>
              <w:t> </w:t>
            </w:r>
            <w:r w:rsidRPr="0097372D">
              <w:rPr>
                <w:lang w:val="fr-CA"/>
              </w:rPr>
              <w:t>324</w:t>
            </w:r>
            <w:r>
              <w:rPr>
                <w:lang w:val="fr-CA"/>
              </w:rPr>
              <w:t> </w:t>
            </w:r>
            <w:r w:rsidRPr="0097372D">
              <w:rPr>
                <w:lang w:val="fr-CA"/>
              </w:rPr>
              <w:t>511</w:t>
            </w:r>
          </w:p>
        </w:tc>
      </w:tr>
    </w:tbl>
    <w:p w14:paraId="285B2D6B" w14:textId="77777777" w:rsidR="00CC3427" w:rsidRPr="0097372D" w:rsidRDefault="00CC3427" w:rsidP="00CC3427">
      <w:pPr>
        <w:rPr>
          <w:lang w:val="fr-CA"/>
        </w:rPr>
      </w:pPr>
    </w:p>
    <w:p w14:paraId="4CEA1C17" w14:textId="77777777" w:rsidR="00CC3427" w:rsidRPr="0097372D" w:rsidRDefault="00CC3427" w:rsidP="00CC3427">
      <w:pPr>
        <w:spacing w:after="240"/>
        <w:rPr>
          <w:i/>
          <w:lang w:val="fr-CA"/>
        </w:rPr>
      </w:pPr>
      <w:r>
        <w:rPr>
          <w:i/>
          <w:lang w:val="fr-CA"/>
        </w:rPr>
        <w:t>Coût révisé de tous les éléments</w:t>
      </w:r>
      <w:r w:rsidRPr="0097372D">
        <w:rPr>
          <w:i/>
          <w:lang w:val="fr-CA"/>
        </w:rPr>
        <w:t xml:space="preserve"> </w:t>
      </w:r>
    </w:p>
    <w:p w14:paraId="4C447D5D" w14:textId="77777777" w:rsidR="00CC3427" w:rsidRPr="0097372D" w:rsidRDefault="00CC3427" w:rsidP="00CC3427">
      <w:pPr>
        <w:pStyle w:val="Heading1"/>
        <w:rPr>
          <w:lang w:val="fr-CA"/>
        </w:rPr>
      </w:pPr>
      <w:r>
        <w:rPr>
          <w:lang w:val="fr-CA"/>
        </w:rPr>
        <w:t xml:space="preserve">Afin d’achever l’élimination du </w:t>
      </w:r>
      <w:r w:rsidRPr="0097372D">
        <w:rPr>
          <w:lang w:val="fr-CA"/>
        </w:rPr>
        <w:t xml:space="preserve">HCFC-141b </w:t>
      </w:r>
      <w:r>
        <w:rPr>
          <w:lang w:val="fr-CA"/>
        </w:rPr>
        <w:t>dans le secteur des solvants</w:t>
      </w:r>
      <w:r w:rsidRPr="0097372D">
        <w:rPr>
          <w:lang w:val="fr-CA"/>
        </w:rPr>
        <w:t xml:space="preserve"> </w:t>
      </w:r>
      <w:r>
        <w:rPr>
          <w:lang w:val="fr-CA"/>
        </w:rPr>
        <w:t xml:space="preserve">d’ici à la fin de </w:t>
      </w:r>
      <w:r w:rsidRPr="0097372D">
        <w:rPr>
          <w:lang w:val="fr-CA"/>
        </w:rPr>
        <w:t xml:space="preserve">2025, </w:t>
      </w:r>
      <w:r>
        <w:rPr>
          <w:lang w:val="fr-CA"/>
        </w:rPr>
        <w:t>l</w:t>
      </w:r>
      <w:r w:rsidRPr="0097372D">
        <w:rPr>
          <w:lang w:val="fr-CA"/>
        </w:rPr>
        <w:t xml:space="preserve">e </w:t>
      </w:r>
      <w:r>
        <w:rPr>
          <w:lang w:val="fr-CA"/>
        </w:rPr>
        <w:t xml:space="preserve">Gouvernement de la Chine a alloué </w:t>
      </w:r>
      <w:r w:rsidRPr="0097372D">
        <w:rPr>
          <w:lang w:val="fr-CA"/>
        </w:rPr>
        <w:t>6</w:t>
      </w:r>
      <w:r>
        <w:rPr>
          <w:lang w:val="fr-CA"/>
        </w:rPr>
        <w:t> </w:t>
      </w:r>
      <w:r w:rsidRPr="0097372D">
        <w:rPr>
          <w:lang w:val="fr-CA"/>
        </w:rPr>
        <w:t>023</w:t>
      </w:r>
      <w:r>
        <w:rPr>
          <w:lang w:val="fr-CA"/>
        </w:rPr>
        <w:t> </w:t>
      </w:r>
      <w:r w:rsidRPr="0097372D">
        <w:rPr>
          <w:lang w:val="fr-CA"/>
        </w:rPr>
        <w:t>431</w:t>
      </w:r>
      <w:r>
        <w:rPr>
          <w:lang w:val="fr-CA"/>
        </w:rPr>
        <w:t> $US au secteur des solvants</w:t>
      </w:r>
      <w:r w:rsidRPr="0097372D">
        <w:rPr>
          <w:lang w:val="fr-CA"/>
        </w:rPr>
        <w:t xml:space="preserve"> </w:t>
      </w:r>
      <w:r>
        <w:rPr>
          <w:lang w:val="fr-CA"/>
        </w:rPr>
        <w:t xml:space="preserve">pour la période </w:t>
      </w:r>
      <w:r w:rsidRPr="0097372D">
        <w:rPr>
          <w:lang w:val="fr-CA"/>
        </w:rPr>
        <w:t>2021</w:t>
      </w:r>
      <w:r>
        <w:rPr>
          <w:lang w:val="fr-CA"/>
        </w:rPr>
        <w:t>-</w:t>
      </w:r>
      <w:r w:rsidRPr="0097372D">
        <w:rPr>
          <w:lang w:val="fr-CA"/>
        </w:rPr>
        <w:t xml:space="preserve">2026, </w:t>
      </w:r>
      <w:r>
        <w:rPr>
          <w:lang w:val="fr-CA"/>
        </w:rPr>
        <w:t xml:space="preserve">tel qu’indiqué dans le </w:t>
      </w:r>
      <w:r w:rsidRPr="0097372D">
        <w:rPr>
          <w:lang w:val="fr-CA"/>
        </w:rPr>
        <w:t>Table</w:t>
      </w:r>
      <w:r>
        <w:rPr>
          <w:lang w:val="fr-CA"/>
        </w:rPr>
        <w:t>au</w:t>
      </w:r>
      <w:r w:rsidRPr="0097372D">
        <w:rPr>
          <w:lang w:val="fr-CA"/>
        </w:rPr>
        <w:t> 3.</w:t>
      </w:r>
    </w:p>
    <w:p w14:paraId="7A8A3EE9" w14:textId="77777777" w:rsidR="00CC3427" w:rsidRPr="0097372D" w:rsidRDefault="00CC3427" w:rsidP="00CC3427">
      <w:pPr>
        <w:tabs>
          <w:tab w:val="num" w:pos="0"/>
          <w:tab w:val="num" w:pos="720"/>
          <w:tab w:val="num" w:pos="902"/>
        </w:tabs>
        <w:jc w:val="left"/>
        <w:rPr>
          <w:b/>
          <w:lang w:val="fr-CA"/>
        </w:rPr>
      </w:pPr>
      <w:r w:rsidRPr="0097372D">
        <w:rPr>
          <w:b/>
          <w:lang w:val="fr-CA"/>
        </w:rPr>
        <w:t>Table</w:t>
      </w:r>
      <w:r>
        <w:rPr>
          <w:b/>
          <w:lang w:val="fr-CA"/>
        </w:rPr>
        <w:t>au</w:t>
      </w:r>
      <w:r w:rsidRPr="0097372D">
        <w:rPr>
          <w:b/>
          <w:lang w:val="fr-CA"/>
        </w:rPr>
        <w:t xml:space="preserve"> 3. </w:t>
      </w:r>
      <w:r>
        <w:rPr>
          <w:b/>
          <w:lang w:val="fr-CA"/>
        </w:rPr>
        <w:t>Ventilation des coûts pour le plan sectoriel des solvants</w:t>
      </w:r>
      <w:r w:rsidRPr="0097372D">
        <w:rPr>
          <w:b/>
          <w:lang w:val="fr-CA"/>
        </w:rPr>
        <w:t xml:space="preserve"> (2021-2026)</w:t>
      </w:r>
    </w:p>
    <w:tbl>
      <w:tblPr>
        <w:tblStyle w:val="TableGrid"/>
        <w:tblW w:w="9445" w:type="dxa"/>
        <w:tblLook w:val="04A0" w:firstRow="1" w:lastRow="0" w:firstColumn="1" w:lastColumn="0" w:noHBand="0" w:noVBand="1"/>
      </w:tblPr>
      <w:tblGrid>
        <w:gridCol w:w="1975"/>
        <w:gridCol w:w="5760"/>
        <w:gridCol w:w="1710"/>
      </w:tblGrid>
      <w:tr w:rsidR="00CC3427" w:rsidRPr="0097372D" w14:paraId="051CCFA0" w14:textId="77777777" w:rsidTr="00387BB8">
        <w:trPr>
          <w:tblHeader/>
        </w:trPr>
        <w:tc>
          <w:tcPr>
            <w:tcW w:w="1975" w:type="dxa"/>
            <w:tcMar>
              <w:left w:w="43" w:type="dxa"/>
              <w:right w:w="0" w:type="dxa"/>
            </w:tcMar>
          </w:tcPr>
          <w:p w14:paraId="249C6097" w14:textId="77777777" w:rsidR="00CC3427" w:rsidRPr="0097372D" w:rsidRDefault="00CC3427" w:rsidP="00387BB8">
            <w:pPr>
              <w:pStyle w:val="Heading1"/>
              <w:numPr>
                <w:ilvl w:val="0"/>
                <w:numId w:val="0"/>
              </w:numPr>
              <w:spacing w:after="0"/>
              <w:outlineLvl w:val="0"/>
              <w:rPr>
                <w:b/>
                <w:lang w:val="fr-CA"/>
              </w:rPr>
            </w:pPr>
            <w:r w:rsidRPr="0097372D">
              <w:rPr>
                <w:b/>
                <w:lang w:val="fr-CA"/>
              </w:rPr>
              <w:t>Description</w:t>
            </w:r>
          </w:p>
        </w:tc>
        <w:tc>
          <w:tcPr>
            <w:tcW w:w="5760" w:type="dxa"/>
          </w:tcPr>
          <w:p w14:paraId="1E3242B8" w14:textId="77777777" w:rsidR="00CC3427" w:rsidRPr="0097372D" w:rsidRDefault="00CC3427" w:rsidP="00387BB8">
            <w:pPr>
              <w:pStyle w:val="Heading1"/>
              <w:numPr>
                <w:ilvl w:val="0"/>
                <w:numId w:val="0"/>
              </w:numPr>
              <w:spacing w:after="0"/>
              <w:jc w:val="center"/>
              <w:outlineLvl w:val="0"/>
              <w:rPr>
                <w:b/>
                <w:lang w:val="fr-CA"/>
              </w:rPr>
            </w:pPr>
            <w:r w:rsidRPr="0097372D">
              <w:rPr>
                <w:b/>
                <w:lang w:val="fr-CA"/>
              </w:rPr>
              <w:t>Activit</w:t>
            </w:r>
            <w:r>
              <w:rPr>
                <w:b/>
                <w:lang w:val="fr-CA"/>
              </w:rPr>
              <w:t>é</w:t>
            </w:r>
            <w:r w:rsidRPr="0097372D">
              <w:rPr>
                <w:b/>
                <w:lang w:val="fr-CA"/>
              </w:rPr>
              <w:t>s</w:t>
            </w:r>
          </w:p>
        </w:tc>
        <w:tc>
          <w:tcPr>
            <w:tcW w:w="1710" w:type="dxa"/>
          </w:tcPr>
          <w:p w14:paraId="093659B9" w14:textId="77777777" w:rsidR="00CC3427" w:rsidRPr="0097372D" w:rsidRDefault="00CC3427" w:rsidP="00387BB8">
            <w:pPr>
              <w:pStyle w:val="Heading1"/>
              <w:numPr>
                <w:ilvl w:val="0"/>
                <w:numId w:val="0"/>
              </w:numPr>
              <w:spacing w:after="0"/>
              <w:jc w:val="center"/>
              <w:outlineLvl w:val="0"/>
              <w:rPr>
                <w:b/>
                <w:lang w:val="fr-CA"/>
              </w:rPr>
            </w:pPr>
            <w:r w:rsidRPr="0097372D">
              <w:rPr>
                <w:b/>
                <w:lang w:val="fr-CA"/>
              </w:rPr>
              <w:t>F</w:t>
            </w:r>
            <w:r>
              <w:rPr>
                <w:b/>
                <w:lang w:val="fr-CA"/>
              </w:rPr>
              <w:t>inancement</w:t>
            </w:r>
            <w:r w:rsidRPr="0097372D">
              <w:rPr>
                <w:b/>
                <w:lang w:val="fr-CA"/>
              </w:rPr>
              <w:t xml:space="preserve"> (</w:t>
            </w:r>
            <w:r>
              <w:rPr>
                <w:b/>
                <w:lang w:val="fr-CA"/>
              </w:rPr>
              <w:t>$</w:t>
            </w:r>
            <w:r w:rsidRPr="0097372D">
              <w:rPr>
                <w:b/>
                <w:lang w:val="fr-CA"/>
              </w:rPr>
              <w:t>US)</w:t>
            </w:r>
          </w:p>
        </w:tc>
      </w:tr>
      <w:tr w:rsidR="00CC3427" w:rsidRPr="0097372D" w14:paraId="24F85234" w14:textId="77777777" w:rsidTr="00387BB8">
        <w:tc>
          <w:tcPr>
            <w:tcW w:w="1975" w:type="dxa"/>
            <w:tcMar>
              <w:left w:w="43" w:type="dxa"/>
              <w:right w:w="0" w:type="dxa"/>
            </w:tcMar>
          </w:tcPr>
          <w:p w14:paraId="3D55D031" w14:textId="77777777" w:rsidR="00CC3427" w:rsidRPr="0097372D" w:rsidRDefault="00CC3427" w:rsidP="00387BB8">
            <w:pPr>
              <w:pStyle w:val="Heading1"/>
              <w:numPr>
                <w:ilvl w:val="0"/>
                <w:numId w:val="0"/>
              </w:numPr>
              <w:spacing w:after="0"/>
              <w:jc w:val="left"/>
              <w:outlineLvl w:val="0"/>
              <w:rPr>
                <w:lang w:val="fr-CA"/>
              </w:rPr>
            </w:pPr>
            <w:r>
              <w:rPr>
                <w:lang w:val="fr-CA"/>
              </w:rPr>
              <w:t>Rec</w:t>
            </w:r>
            <w:r w:rsidRPr="0097372D">
              <w:rPr>
                <w:lang w:val="fr-CA"/>
              </w:rPr>
              <w:t xml:space="preserve">onversion </w:t>
            </w:r>
            <w:r>
              <w:rPr>
                <w:lang w:val="fr-CA"/>
              </w:rPr>
              <w:t>des entreprise</w:t>
            </w:r>
            <w:r w:rsidRPr="0097372D">
              <w:rPr>
                <w:lang w:val="fr-CA"/>
              </w:rPr>
              <w:t>s</w:t>
            </w:r>
          </w:p>
        </w:tc>
        <w:tc>
          <w:tcPr>
            <w:tcW w:w="5760" w:type="dxa"/>
          </w:tcPr>
          <w:p w14:paraId="2020C1F1" w14:textId="77777777" w:rsidR="00CC3427" w:rsidRPr="0097372D" w:rsidRDefault="00CC3427" w:rsidP="00387BB8">
            <w:pPr>
              <w:pStyle w:val="Heading1"/>
              <w:numPr>
                <w:ilvl w:val="0"/>
                <w:numId w:val="0"/>
              </w:numPr>
              <w:spacing w:after="0"/>
              <w:outlineLvl w:val="0"/>
              <w:rPr>
                <w:lang w:val="fr-CA"/>
              </w:rPr>
            </w:pPr>
            <w:r>
              <w:rPr>
                <w:lang w:val="fr-CA"/>
              </w:rPr>
              <w:t>Projets d’investissement</w:t>
            </w:r>
            <w:r w:rsidRPr="0097372D">
              <w:rPr>
                <w:lang w:val="fr-CA"/>
              </w:rPr>
              <w:t xml:space="preserve"> </w:t>
            </w:r>
            <w:r>
              <w:rPr>
                <w:lang w:val="fr-CA"/>
              </w:rPr>
              <w:t xml:space="preserve">pour </w:t>
            </w:r>
            <w:r w:rsidRPr="0097372D">
              <w:rPr>
                <w:lang w:val="fr-CA"/>
              </w:rPr>
              <w:t xml:space="preserve">25 </w:t>
            </w:r>
            <w:r>
              <w:rPr>
                <w:lang w:val="fr-CA"/>
              </w:rPr>
              <w:t>entreprise</w:t>
            </w:r>
            <w:r w:rsidRPr="0097372D">
              <w:rPr>
                <w:lang w:val="fr-CA"/>
              </w:rPr>
              <w:t>s</w:t>
            </w:r>
          </w:p>
        </w:tc>
        <w:tc>
          <w:tcPr>
            <w:tcW w:w="1710" w:type="dxa"/>
          </w:tcPr>
          <w:p w14:paraId="23BD01BC" w14:textId="77777777" w:rsidR="00CC3427" w:rsidRPr="0097372D" w:rsidRDefault="00CC3427" w:rsidP="00387BB8">
            <w:pPr>
              <w:pStyle w:val="Heading1"/>
              <w:numPr>
                <w:ilvl w:val="0"/>
                <w:numId w:val="0"/>
              </w:numPr>
              <w:spacing w:after="0"/>
              <w:jc w:val="right"/>
              <w:outlineLvl w:val="0"/>
              <w:rPr>
                <w:lang w:val="fr-CA"/>
              </w:rPr>
            </w:pPr>
            <w:r w:rsidRPr="0097372D">
              <w:rPr>
                <w:lang w:val="fr-CA"/>
              </w:rPr>
              <w:t>4</w:t>
            </w:r>
            <w:r>
              <w:rPr>
                <w:lang w:val="fr-CA"/>
              </w:rPr>
              <w:t> </w:t>
            </w:r>
            <w:r w:rsidRPr="0097372D">
              <w:rPr>
                <w:lang w:val="fr-CA"/>
              </w:rPr>
              <w:t>292</w:t>
            </w:r>
            <w:r>
              <w:rPr>
                <w:lang w:val="fr-CA"/>
              </w:rPr>
              <w:t> </w:t>
            </w:r>
            <w:r w:rsidRPr="0097372D">
              <w:rPr>
                <w:lang w:val="fr-CA"/>
              </w:rPr>
              <w:t>143</w:t>
            </w:r>
          </w:p>
        </w:tc>
      </w:tr>
      <w:tr w:rsidR="00CC3427" w:rsidRPr="0097372D" w14:paraId="22E231E2" w14:textId="77777777" w:rsidTr="00387BB8">
        <w:tc>
          <w:tcPr>
            <w:tcW w:w="1975" w:type="dxa"/>
            <w:tcMar>
              <w:left w:w="43" w:type="dxa"/>
              <w:right w:w="0" w:type="dxa"/>
            </w:tcMar>
          </w:tcPr>
          <w:p w14:paraId="6576649D" w14:textId="77777777" w:rsidR="00CC3427" w:rsidRPr="0097372D" w:rsidRDefault="00CC3427" w:rsidP="00387BB8">
            <w:pPr>
              <w:pStyle w:val="Heading1"/>
              <w:numPr>
                <w:ilvl w:val="0"/>
                <w:numId w:val="0"/>
              </w:numPr>
              <w:spacing w:after="0"/>
              <w:outlineLvl w:val="0"/>
              <w:rPr>
                <w:lang w:val="fr-CA"/>
              </w:rPr>
            </w:pPr>
            <w:r>
              <w:rPr>
                <w:lang w:val="fr-CA"/>
              </w:rPr>
              <w:t>A</w:t>
            </w:r>
            <w:r w:rsidRPr="0097372D">
              <w:rPr>
                <w:lang w:val="fr-CA"/>
              </w:rPr>
              <w:t>T</w:t>
            </w:r>
          </w:p>
        </w:tc>
        <w:tc>
          <w:tcPr>
            <w:tcW w:w="5760" w:type="dxa"/>
          </w:tcPr>
          <w:p w14:paraId="09FEBF11" w14:textId="77777777" w:rsidR="00CC3427" w:rsidRPr="0097372D" w:rsidRDefault="00CC3427" w:rsidP="00387BB8">
            <w:pPr>
              <w:pStyle w:val="Heading1"/>
              <w:numPr>
                <w:ilvl w:val="0"/>
                <w:numId w:val="0"/>
              </w:numPr>
              <w:spacing w:after="0"/>
              <w:outlineLvl w:val="0"/>
              <w:rPr>
                <w:lang w:val="fr-CA"/>
              </w:rPr>
            </w:pPr>
            <w:r>
              <w:rPr>
                <w:lang w:val="fr-CA"/>
              </w:rPr>
              <w:t>Établissement de politiques, de normes</w:t>
            </w:r>
            <w:r w:rsidRPr="0097372D">
              <w:rPr>
                <w:lang w:val="fr-CA"/>
              </w:rPr>
              <w:t>, etc.</w:t>
            </w:r>
          </w:p>
        </w:tc>
        <w:tc>
          <w:tcPr>
            <w:tcW w:w="1710" w:type="dxa"/>
          </w:tcPr>
          <w:p w14:paraId="0CF4B576" w14:textId="77777777" w:rsidR="00CC3427" w:rsidRPr="0097372D" w:rsidRDefault="00CC3427" w:rsidP="00387BB8">
            <w:pPr>
              <w:pStyle w:val="Heading1"/>
              <w:numPr>
                <w:ilvl w:val="0"/>
                <w:numId w:val="0"/>
              </w:numPr>
              <w:spacing w:after="0"/>
              <w:jc w:val="right"/>
              <w:outlineLvl w:val="0"/>
              <w:rPr>
                <w:lang w:val="fr-CA"/>
              </w:rPr>
            </w:pPr>
            <w:r w:rsidRPr="0097372D">
              <w:rPr>
                <w:lang w:val="fr-CA"/>
              </w:rPr>
              <w:t>1</w:t>
            </w:r>
            <w:r>
              <w:rPr>
                <w:lang w:val="fr-CA"/>
              </w:rPr>
              <w:t> </w:t>
            </w:r>
            <w:r w:rsidRPr="0097372D">
              <w:rPr>
                <w:lang w:val="fr-CA"/>
              </w:rPr>
              <w:t>400</w:t>
            </w:r>
            <w:r>
              <w:rPr>
                <w:lang w:val="fr-CA"/>
              </w:rPr>
              <w:t> </w:t>
            </w:r>
            <w:r w:rsidRPr="0097372D">
              <w:rPr>
                <w:lang w:val="fr-CA"/>
              </w:rPr>
              <w:t>000</w:t>
            </w:r>
          </w:p>
        </w:tc>
      </w:tr>
      <w:tr w:rsidR="00CC3427" w:rsidRPr="0097372D" w14:paraId="740EC720" w14:textId="77777777" w:rsidTr="00387BB8">
        <w:tc>
          <w:tcPr>
            <w:tcW w:w="1975" w:type="dxa"/>
            <w:vMerge w:val="restart"/>
            <w:tcMar>
              <w:left w:w="43" w:type="dxa"/>
              <w:right w:w="0" w:type="dxa"/>
            </w:tcMar>
            <w:vAlign w:val="center"/>
          </w:tcPr>
          <w:p w14:paraId="5AA05F8D" w14:textId="77777777" w:rsidR="00CC3427" w:rsidRPr="0097372D" w:rsidRDefault="00CC3427" w:rsidP="00387BB8">
            <w:pPr>
              <w:pStyle w:val="Heading1"/>
              <w:numPr>
                <w:ilvl w:val="0"/>
                <w:numId w:val="0"/>
              </w:numPr>
              <w:spacing w:after="0"/>
              <w:jc w:val="left"/>
              <w:outlineLvl w:val="0"/>
              <w:rPr>
                <w:lang w:val="fr-CA"/>
              </w:rPr>
            </w:pPr>
            <w:r w:rsidRPr="0097372D">
              <w:rPr>
                <w:lang w:val="fr-CA"/>
              </w:rPr>
              <w:t>PMU</w:t>
            </w:r>
          </w:p>
        </w:tc>
        <w:tc>
          <w:tcPr>
            <w:tcW w:w="5760" w:type="dxa"/>
          </w:tcPr>
          <w:p w14:paraId="557E83C1" w14:textId="77777777" w:rsidR="00CC3427" w:rsidRPr="0097372D" w:rsidRDefault="00CC3427" w:rsidP="00387BB8">
            <w:pPr>
              <w:pStyle w:val="Heading1"/>
              <w:numPr>
                <w:ilvl w:val="0"/>
                <w:numId w:val="0"/>
              </w:numPr>
              <w:spacing w:after="0"/>
              <w:outlineLvl w:val="0"/>
              <w:rPr>
                <w:lang w:val="fr-CA"/>
              </w:rPr>
            </w:pPr>
            <w:r>
              <w:rPr>
                <w:lang w:val="fr-CA"/>
              </w:rPr>
              <w:t>Équipe de gestion du p</w:t>
            </w:r>
            <w:r w:rsidRPr="0097372D">
              <w:rPr>
                <w:lang w:val="fr-CA"/>
              </w:rPr>
              <w:t>rogramme</w:t>
            </w:r>
          </w:p>
        </w:tc>
        <w:tc>
          <w:tcPr>
            <w:tcW w:w="1710" w:type="dxa"/>
          </w:tcPr>
          <w:p w14:paraId="719173A7" w14:textId="77777777" w:rsidR="00CC3427" w:rsidRPr="0097372D" w:rsidRDefault="00CC3427" w:rsidP="00387BB8">
            <w:pPr>
              <w:pStyle w:val="Heading1"/>
              <w:numPr>
                <w:ilvl w:val="0"/>
                <w:numId w:val="0"/>
              </w:numPr>
              <w:spacing w:after="0"/>
              <w:jc w:val="right"/>
              <w:outlineLvl w:val="0"/>
              <w:rPr>
                <w:lang w:val="fr-CA"/>
              </w:rPr>
            </w:pPr>
            <w:r w:rsidRPr="0097372D">
              <w:rPr>
                <w:lang w:val="fr-CA"/>
              </w:rPr>
              <w:t>64</w:t>
            </w:r>
            <w:r>
              <w:rPr>
                <w:lang w:val="fr-CA"/>
              </w:rPr>
              <w:t> </w:t>
            </w:r>
            <w:r w:rsidRPr="0097372D">
              <w:rPr>
                <w:lang w:val="fr-CA"/>
              </w:rPr>
              <w:t>011</w:t>
            </w:r>
          </w:p>
        </w:tc>
      </w:tr>
      <w:tr w:rsidR="00CC3427" w:rsidRPr="0097372D" w14:paraId="05A8FD84" w14:textId="77777777" w:rsidTr="00387BB8">
        <w:tc>
          <w:tcPr>
            <w:tcW w:w="1975" w:type="dxa"/>
            <w:vMerge/>
            <w:tcMar>
              <w:left w:w="43" w:type="dxa"/>
              <w:right w:w="0" w:type="dxa"/>
            </w:tcMar>
          </w:tcPr>
          <w:p w14:paraId="75FA0165" w14:textId="77777777" w:rsidR="00CC3427" w:rsidRPr="0097372D" w:rsidRDefault="00CC3427" w:rsidP="00387BB8">
            <w:pPr>
              <w:pStyle w:val="Heading1"/>
              <w:numPr>
                <w:ilvl w:val="0"/>
                <w:numId w:val="0"/>
              </w:numPr>
              <w:spacing w:after="0"/>
              <w:outlineLvl w:val="0"/>
              <w:rPr>
                <w:lang w:val="fr-CA"/>
              </w:rPr>
            </w:pPr>
          </w:p>
        </w:tc>
        <w:tc>
          <w:tcPr>
            <w:tcW w:w="5760" w:type="dxa"/>
          </w:tcPr>
          <w:p w14:paraId="131479C1" w14:textId="77777777" w:rsidR="00CC3427" w:rsidRPr="0097372D" w:rsidRDefault="00CC3427" w:rsidP="00387BB8">
            <w:pPr>
              <w:pStyle w:val="Heading1"/>
              <w:numPr>
                <w:ilvl w:val="0"/>
                <w:numId w:val="0"/>
              </w:numPr>
              <w:spacing w:after="0"/>
              <w:outlineLvl w:val="0"/>
              <w:rPr>
                <w:lang w:val="fr-CA"/>
              </w:rPr>
            </w:pPr>
            <w:r>
              <w:rPr>
                <w:lang w:val="fr-CA"/>
              </w:rPr>
              <w:t>Déplacements</w:t>
            </w:r>
            <w:r w:rsidRPr="0097372D">
              <w:rPr>
                <w:lang w:val="fr-CA"/>
              </w:rPr>
              <w:t xml:space="preserve"> (</w:t>
            </w:r>
            <w:r>
              <w:rPr>
                <w:lang w:val="fr-CA"/>
              </w:rPr>
              <w:t>internes</w:t>
            </w:r>
            <w:r w:rsidRPr="0097372D">
              <w:rPr>
                <w:lang w:val="fr-CA"/>
              </w:rPr>
              <w:t>/internationa</w:t>
            </w:r>
            <w:r>
              <w:rPr>
                <w:lang w:val="fr-CA"/>
              </w:rPr>
              <w:t>ux</w:t>
            </w:r>
            <w:r w:rsidRPr="0097372D">
              <w:rPr>
                <w:lang w:val="fr-CA"/>
              </w:rPr>
              <w:t>)</w:t>
            </w:r>
          </w:p>
        </w:tc>
        <w:tc>
          <w:tcPr>
            <w:tcW w:w="1710" w:type="dxa"/>
          </w:tcPr>
          <w:p w14:paraId="138F908C" w14:textId="77777777" w:rsidR="00CC3427" w:rsidRPr="0097372D" w:rsidRDefault="00CC3427" w:rsidP="00387BB8">
            <w:pPr>
              <w:pStyle w:val="Heading1"/>
              <w:numPr>
                <w:ilvl w:val="0"/>
                <w:numId w:val="0"/>
              </w:numPr>
              <w:spacing w:after="0"/>
              <w:jc w:val="right"/>
              <w:outlineLvl w:val="0"/>
              <w:rPr>
                <w:lang w:val="fr-CA"/>
              </w:rPr>
            </w:pPr>
            <w:r w:rsidRPr="0097372D">
              <w:rPr>
                <w:lang w:val="fr-CA"/>
              </w:rPr>
              <w:t>17</w:t>
            </w:r>
            <w:r>
              <w:rPr>
                <w:lang w:val="fr-CA"/>
              </w:rPr>
              <w:t> </w:t>
            </w:r>
            <w:r w:rsidRPr="0097372D">
              <w:rPr>
                <w:lang w:val="fr-CA"/>
              </w:rPr>
              <w:t>192</w:t>
            </w:r>
          </w:p>
        </w:tc>
      </w:tr>
      <w:tr w:rsidR="00CC3427" w:rsidRPr="0097372D" w14:paraId="7A774BD9" w14:textId="77777777" w:rsidTr="00387BB8">
        <w:tc>
          <w:tcPr>
            <w:tcW w:w="1975" w:type="dxa"/>
            <w:vMerge/>
            <w:tcMar>
              <w:left w:w="43" w:type="dxa"/>
              <w:right w:w="0" w:type="dxa"/>
            </w:tcMar>
          </w:tcPr>
          <w:p w14:paraId="3F125C56" w14:textId="77777777" w:rsidR="00CC3427" w:rsidRPr="0097372D" w:rsidRDefault="00CC3427" w:rsidP="00387BB8">
            <w:pPr>
              <w:pStyle w:val="Heading1"/>
              <w:numPr>
                <w:ilvl w:val="0"/>
                <w:numId w:val="0"/>
              </w:numPr>
              <w:spacing w:after="0"/>
              <w:outlineLvl w:val="0"/>
              <w:rPr>
                <w:lang w:val="fr-CA"/>
              </w:rPr>
            </w:pPr>
          </w:p>
        </w:tc>
        <w:tc>
          <w:tcPr>
            <w:tcW w:w="5760" w:type="dxa"/>
          </w:tcPr>
          <w:p w14:paraId="3E6D2F9A" w14:textId="77777777" w:rsidR="00CC3427" w:rsidRPr="0097372D" w:rsidRDefault="00CC3427" w:rsidP="00387BB8">
            <w:pPr>
              <w:pStyle w:val="Heading1"/>
              <w:numPr>
                <w:ilvl w:val="0"/>
                <w:numId w:val="0"/>
              </w:numPr>
              <w:spacing w:after="0"/>
              <w:outlineLvl w:val="0"/>
              <w:rPr>
                <w:lang w:val="fr-CA"/>
              </w:rPr>
            </w:pPr>
            <w:r>
              <w:rPr>
                <w:lang w:val="fr-CA"/>
              </w:rPr>
              <w:t>Réunion</w:t>
            </w:r>
            <w:r w:rsidRPr="0097372D">
              <w:rPr>
                <w:lang w:val="fr-CA"/>
              </w:rPr>
              <w:t xml:space="preserve">s </w:t>
            </w:r>
            <w:r>
              <w:rPr>
                <w:lang w:val="fr-CA"/>
              </w:rPr>
              <w:t>et</w:t>
            </w:r>
            <w:r w:rsidRPr="0097372D">
              <w:rPr>
                <w:lang w:val="fr-CA"/>
              </w:rPr>
              <w:t xml:space="preserve"> conférences</w:t>
            </w:r>
          </w:p>
        </w:tc>
        <w:tc>
          <w:tcPr>
            <w:tcW w:w="1710" w:type="dxa"/>
          </w:tcPr>
          <w:p w14:paraId="7DC7F10C" w14:textId="77777777" w:rsidR="00CC3427" w:rsidRPr="0097372D" w:rsidRDefault="00CC3427" w:rsidP="00387BB8">
            <w:pPr>
              <w:pStyle w:val="Heading1"/>
              <w:numPr>
                <w:ilvl w:val="0"/>
                <w:numId w:val="0"/>
              </w:numPr>
              <w:spacing w:after="0"/>
              <w:jc w:val="right"/>
              <w:outlineLvl w:val="0"/>
              <w:rPr>
                <w:lang w:val="fr-CA"/>
              </w:rPr>
            </w:pPr>
            <w:r w:rsidRPr="0097372D">
              <w:rPr>
                <w:lang w:val="fr-CA"/>
              </w:rPr>
              <w:t>15</w:t>
            </w:r>
            <w:r>
              <w:rPr>
                <w:lang w:val="fr-CA"/>
              </w:rPr>
              <w:t> </w:t>
            </w:r>
            <w:r w:rsidRPr="0097372D">
              <w:rPr>
                <w:lang w:val="fr-CA"/>
              </w:rPr>
              <w:t>205</w:t>
            </w:r>
          </w:p>
        </w:tc>
      </w:tr>
      <w:tr w:rsidR="00CC3427" w:rsidRPr="0097372D" w14:paraId="4C19D2A0" w14:textId="77777777" w:rsidTr="00387BB8">
        <w:tc>
          <w:tcPr>
            <w:tcW w:w="1975" w:type="dxa"/>
            <w:vMerge/>
            <w:tcMar>
              <w:left w:w="43" w:type="dxa"/>
              <w:right w:w="0" w:type="dxa"/>
            </w:tcMar>
          </w:tcPr>
          <w:p w14:paraId="4DA5B2A7" w14:textId="77777777" w:rsidR="00CC3427" w:rsidRPr="0097372D" w:rsidRDefault="00CC3427" w:rsidP="00387BB8">
            <w:pPr>
              <w:pStyle w:val="Heading1"/>
              <w:numPr>
                <w:ilvl w:val="0"/>
                <w:numId w:val="0"/>
              </w:numPr>
              <w:spacing w:after="0"/>
              <w:outlineLvl w:val="0"/>
              <w:rPr>
                <w:lang w:val="fr-CA"/>
              </w:rPr>
            </w:pPr>
          </w:p>
        </w:tc>
        <w:tc>
          <w:tcPr>
            <w:tcW w:w="5760" w:type="dxa"/>
          </w:tcPr>
          <w:p w14:paraId="68C37D05" w14:textId="77777777" w:rsidR="00CC3427" w:rsidRPr="0097372D" w:rsidRDefault="00CC3427" w:rsidP="00387BB8">
            <w:pPr>
              <w:pStyle w:val="Heading1"/>
              <w:numPr>
                <w:ilvl w:val="0"/>
                <w:numId w:val="0"/>
              </w:numPr>
              <w:spacing w:after="0"/>
              <w:outlineLvl w:val="0"/>
              <w:rPr>
                <w:lang w:val="fr-CA"/>
              </w:rPr>
            </w:pPr>
            <w:r>
              <w:rPr>
                <w:lang w:val="fr-CA"/>
              </w:rPr>
              <w:t>Frais de services de consultation</w:t>
            </w:r>
          </w:p>
        </w:tc>
        <w:tc>
          <w:tcPr>
            <w:tcW w:w="1710" w:type="dxa"/>
          </w:tcPr>
          <w:p w14:paraId="2EA0062E" w14:textId="77777777" w:rsidR="00CC3427" w:rsidRPr="0097372D" w:rsidRDefault="00CC3427" w:rsidP="00387BB8">
            <w:pPr>
              <w:pStyle w:val="Heading1"/>
              <w:numPr>
                <w:ilvl w:val="0"/>
                <w:numId w:val="0"/>
              </w:numPr>
              <w:spacing w:after="0"/>
              <w:jc w:val="right"/>
              <w:outlineLvl w:val="0"/>
              <w:rPr>
                <w:lang w:val="fr-CA"/>
              </w:rPr>
            </w:pPr>
            <w:r w:rsidRPr="0097372D">
              <w:rPr>
                <w:lang w:val="fr-CA"/>
              </w:rPr>
              <w:t>13</w:t>
            </w:r>
            <w:r>
              <w:rPr>
                <w:lang w:val="fr-CA"/>
              </w:rPr>
              <w:t> </w:t>
            </w:r>
            <w:r w:rsidRPr="0097372D">
              <w:rPr>
                <w:lang w:val="fr-CA"/>
              </w:rPr>
              <w:t>780</w:t>
            </w:r>
          </w:p>
        </w:tc>
      </w:tr>
      <w:tr w:rsidR="00CC3427" w:rsidRPr="0097372D" w14:paraId="4A68134A" w14:textId="77777777" w:rsidTr="00387BB8">
        <w:tc>
          <w:tcPr>
            <w:tcW w:w="1975" w:type="dxa"/>
            <w:vMerge/>
            <w:tcMar>
              <w:left w:w="43" w:type="dxa"/>
              <w:right w:w="0" w:type="dxa"/>
            </w:tcMar>
          </w:tcPr>
          <w:p w14:paraId="15B21BA5" w14:textId="77777777" w:rsidR="00CC3427" w:rsidRPr="0097372D" w:rsidRDefault="00CC3427" w:rsidP="00387BB8">
            <w:pPr>
              <w:pStyle w:val="Heading1"/>
              <w:numPr>
                <w:ilvl w:val="0"/>
                <w:numId w:val="0"/>
              </w:numPr>
              <w:spacing w:after="0"/>
              <w:outlineLvl w:val="0"/>
              <w:rPr>
                <w:lang w:val="fr-CA"/>
              </w:rPr>
            </w:pPr>
          </w:p>
        </w:tc>
        <w:tc>
          <w:tcPr>
            <w:tcW w:w="5760" w:type="dxa"/>
          </w:tcPr>
          <w:p w14:paraId="6CDB4269" w14:textId="77777777" w:rsidR="00CC3427" w:rsidRPr="0097372D" w:rsidRDefault="00CC3427" w:rsidP="00387BB8">
            <w:pPr>
              <w:pStyle w:val="Heading1"/>
              <w:numPr>
                <w:ilvl w:val="0"/>
                <w:numId w:val="0"/>
              </w:numPr>
              <w:spacing w:after="0"/>
              <w:outlineLvl w:val="0"/>
              <w:rPr>
                <w:lang w:val="fr-CA"/>
              </w:rPr>
            </w:pPr>
            <w:r>
              <w:rPr>
                <w:lang w:val="fr-CA"/>
              </w:rPr>
              <w:t xml:space="preserve">Frais du </w:t>
            </w:r>
            <w:r w:rsidRPr="0097372D">
              <w:rPr>
                <w:lang w:val="fr-CA"/>
              </w:rPr>
              <w:t xml:space="preserve">personnel </w:t>
            </w:r>
            <w:r>
              <w:rPr>
                <w:lang w:val="fr-CA"/>
              </w:rPr>
              <w:t>auxiliaire</w:t>
            </w:r>
          </w:p>
        </w:tc>
        <w:tc>
          <w:tcPr>
            <w:tcW w:w="1710" w:type="dxa"/>
          </w:tcPr>
          <w:p w14:paraId="328F9C33" w14:textId="77777777" w:rsidR="00CC3427" w:rsidRPr="0097372D" w:rsidRDefault="00CC3427" w:rsidP="00387BB8">
            <w:pPr>
              <w:pStyle w:val="Heading1"/>
              <w:numPr>
                <w:ilvl w:val="0"/>
                <w:numId w:val="0"/>
              </w:numPr>
              <w:spacing w:after="0"/>
              <w:jc w:val="right"/>
              <w:outlineLvl w:val="0"/>
              <w:rPr>
                <w:lang w:val="fr-CA"/>
              </w:rPr>
            </w:pPr>
            <w:r w:rsidRPr="0097372D">
              <w:rPr>
                <w:lang w:val="fr-CA"/>
              </w:rPr>
              <w:t>114</w:t>
            </w:r>
            <w:r>
              <w:rPr>
                <w:lang w:val="fr-CA"/>
              </w:rPr>
              <w:t> </w:t>
            </w:r>
            <w:r w:rsidRPr="0097372D">
              <w:rPr>
                <w:lang w:val="fr-CA"/>
              </w:rPr>
              <w:t>820</w:t>
            </w:r>
          </w:p>
        </w:tc>
      </w:tr>
      <w:tr w:rsidR="00CC3427" w:rsidRPr="0097372D" w14:paraId="19A799CB" w14:textId="77777777" w:rsidTr="00387BB8">
        <w:tc>
          <w:tcPr>
            <w:tcW w:w="1975" w:type="dxa"/>
            <w:vMerge/>
            <w:tcMar>
              <w:left w:w="43" w:type="dxa"/>
              <w:right w:w="0" w:type="dxa"/>
            </w:tcMar>
          </w:tcPr>
          <w:p w14:paraId="15B8D1A8" w14:textId="77777777" w:rsidR="00CC3427" w:rsidRPr="0097372D" w:rsidRDefault="00CC3427" w:rsidP="00387BB8">
            <w:pPr>
              <w:pStyle w:val="Heading1"/>
              <w:numPr>
                <w:ilvl w:val="0"/>
                <w:numId w:val="0"/>
              </w:numPr>
              <w:spacing w:after="0"/>
              <w:outlineLvl w:val="0"/>
              <w:rPr>
                <w:lang w:val="fr-CA"/>
              </w:rPr>
            </w:pPr>
          </w:p>
        </w:tc>
        <w:tc>
          <w:tcPr>
            <w:tcW w:w="5760" w:type="dxa"/>
          </w:tcPr>
          <w:p w14:paraId="6E4FD05A" w14:textId="77777777" w:rsidR="00CC3427" w:rsidRPr="0097372D" w:rsidRDefault="00CC3427" w:rsidP="00387BB8">
            <w:pPr>
              <w:pStyle w:val="Heading1"/>
              <w:numPr>
                <w:ilvl w:val="0"/>
                <w:numId w:val="0"/>
              </w:numPr>
              <w:spacing w:after="0"/>
              <w:outlineLvl w:val="0"/>
              <w:rPr>
                <w:lang w:val="fr-CA"/>
              </w:rPr>
            </w:pPr>
            <w:r>
              <w:rPr>
                <w:lang w:val="fr-CA"/>
              </w:rPr>
              <w:t>Ordinateurs</w:t>
            </w:r>
            <w:r w:rsidRPr="0097372D">
              <w:rPr>
                <w:lang w:val="fr-CA"/>
              </w:rPr>
              <w:t xml:space="preserve">, Internet, </w:t>
            </w:r>
            <w:r>
              <w:rPr>
                <w:lang w:val="fr-CA"/>
              </w:rPr>
              <w:t>frais postaux</w:t>
            </w:r>
            <w:r w:rsidRPr="0097372D">
              <w:rPr>
                <w:lang w:val="fr-CA"/>
              </w:rPr>
              <w:t>, téléphone</w:t>
            </w:r>
            <w:r>
              <w:rPr>
                <w:lang w:val="fr-CA"/>
              </w:rPr>
              <w:t>s</w:t>
            </w:r>
            <w:r w:rsidRPr="0097372D">
              <w:rPr>
                <w:lang w:val="fr-CA"/>
              </w:rPr>
              <w:t xml:space="preserve">, </w:t>
            </w:r>
            <w:r>
              <w:rPr>
                <w:lang w:val="fr-CA"/>
              </w:rPr>
              <w:t>imprimerie</w:t>
            </w:r>
          </w:p>
        </w:tc>
        <w:tc>
          <w:tcPr>
            <w:tcW w:w="1710" w:type="dxa"/>
          </w:tcPr>
          <w:p w14:paraId="06F900FD" w14:textId="77777777" w:rsidR="00CC3427" w:rsidRPr="0097372D" w:rsidRDefault="00CC3427" w:rsidP="00387BB8">
            <w:pPr>
              <w:pStyle w:val="Heading1"/>
              <w:numPr>
                <w:ilvl w:val="0"/>
                <w:numId w:val="0"/>
              </w:numPr>
              <w:spacing w:after="0"/>
              <w:jc w:val="right"/>
              <w:outlineLvl w:val="0"/>
              <w:rPr>
                <w:lang w:val="fr-CA"/>
              </w:rPr>
            </w:pPr>
            <w:r w:rsidRPr="0097372D">
              <w:rPr>
                <w:lang w:val="fr-CA"/>
              </w:rPr>
              <w:t>28</w:t>
            </w:r>
            <w:r>
              <w:rPr>
                <w:lang w:val="fr-CA"/>
              </w:rPr>
              <w:t> </w:t>
            </w:r>
            <w:r w:rsidRPr="0097372D">
              <w:rPr>
                <w:lang w:val="fr-CA"/>
              </w:rPr>
              <w:t>425</w:t>
            </w:r>
          </w:p>
        </w:tc>
      </w:tr>
      <w:tr w:rsidR="00CC3427" w:rsidRPr="0097372D" w14:paraId="6A363FCF" w14:textId="77777777" w:rsidTr="00387BB8">
        <w:tc>
          <w:tcPr>
            <w:tcW w:w="1975" w:type="dxa"/>
            <w:vMerge/>
            <w:tcMar>
              <w:left w:w="43" w:type="dxa"/>
              <w:right w:w="0" w:type="dxa"/>
            </w:tcMar>
          </w:tcPr>
          <w:p w14:paraId="4DC3B6D8" w14:textId="77777777" w:rsidR="00CC3427" w:rsidRPr="0097372D" w:rsidRDefault="00CC3427" w:rsidP="00387BB8">
            <w:pPr>
              <w:pStyle w:val="Heading1"/>
              <w:numPr>
                <w:ilvl w:val="0"/>
                <w:numId w:val="0"/>
              </w:numPr>
              <w:spacing w:after="0"/>
              <w:outlineLvl w:val="0"/>
              <w:rPr>
                <w:lang w:val="fr-CA"/>
              </w:rPr>
            </w:pPr>
          </w:p>
        </w:tc>
        <w:tc>
          <w:tcPr>
            <w:tcW w:w="5760" w:type="dxa"/>
          </w:tcPr>
          <w:p w14:paraId="684A5BDA" w14:textId="77777777" w:rsidR="00CC3427" w:rsidRPr="0097372D" w:rsidRDefault="00CC3427" w:rsidP="00387BB8">
            <w:pPr>
              <w:pStyle w:val="Heading1"/>
              <w:numPr>
                <w:ilvl w:val="0"/>
                <w:numId w:val="0"/>
              </w:numPr>
              <w:spacing w:after="0"/>
              <w:outlineLvl w:val="0"/>
              <w:rPr>
                <w:lang w:val="fr-CA"/>
              </w:rPr>
            </w:pPr>
            <w:r>
              <w:rPr>
                <w:lang w:val="fr-CA"/>
              </w:rPr>
              <w:t>Activités de bureau et entretien</w:t>
            </w:r>
            <w:r w:rsidRPr="0097372D">
              <w:rPr>
                <w:lang w:val="fr-CA"/>
              </w:rPr>
              <w:t xml:space="preserve">, </w:t>
            </w:r>
            <w:r>
              <w:rPr>
                <w:lang w:val="fr-CA"/>
              </w:rPr>
              <w:t>dépenses d’installations publiques</w:t>
            </w:r>
          </w:p>
        </w:tc>
        <w:tc>
          <w:tcPr>
            <w:tcW w:w="1710" w:type="dxa"/>
          </w:tcPr>
          <w:p w14:paraId="07B29CCE" w14:textId="77777777" w:rsidR="00CC3427" w:rsidRPr="0097372D" w:rsidRDefault="00CC3427" w:rsidP="00387BB8">
            <w:pPr>
              <w:pStyle w:val="Heading1"/>
              <w:numPr>
                <w:ilvl w:val="0"/>
                <w:numId w:val="0"/>
              </w:numPr>
              <w:spacing w:after="0"/>
              <w:jc w:val="right"/>
              <w:outlineLvl w:val="0"/>
              <w:rPr>
                <w:lang w:val="fr-CA"/>
              </w:rPr>
            </w:pPr>
            <w:r w:rsidRPr="0097372D">
              <w:rPr>
                <w:lang w:val="fr-CA"/>
              </w:rPr>
              <w:t>77</w:t>
            </w:r>
            <w:r>
              <w:rPr>
                <w:lang w:val="fr-CA"/>
              </w:rPr>
              <w:t> </w:t>
            </w:r>
            <w:r w:rsidRPr="0097372D">
              <w:rPr>
                <w:lang w:val="fr-CA"/>
              </w:rPr>
              <w:t>855</w:t>
            </w:r>
          </w:p>
        </w:tc>
      </w:tr>
      <w:tr w:rsidR="00CC3427" w:rsidRPr="0097372D" w14:paraId="20403164" w14:textId="77777777" w:rsidTr="00387BB8">
        <w:tc>
          <w:tcPr>
            <w:tcW w:w="1975" w:type="dxa"/>
            <w:tcMar>
              <w:left w:w="43" w:type="dxa"/>
              <w:right w:w="0" w:type="dxa"/>
            </w:tcMar>
          </w:tcPr>
          <w:p w14:paraId="3E3AD226" w14:textId="77777777" w:rsidR="00CC3427" w:rsidRPr="0097372D" w:rsidRDefault="00CC3427" w:rsidP="00387BB8">
            <w:pPr>
              <w:pStyle w:val="Heading1"/>
              <w:numPr>
                <w:ilvl w:val="0"/>
                <w:numId w:val="0"/>
              </w:numPr>
              <w:spacing w:after="0"/>
              <w:outlineLvl w:val="0"/>
              <w:rPr>
                <w:lang w:val="fr-CA"/>
              </w:rPr>
            </w:pPr>
            <w:r w:rsidRPr="0097372D">
              <w:rPr>
                <w:lang w:val="fr-CA"/>
              </w:rPr>
              <w:t>Total</w:t>
            </w:r>
          </w:p>
        </w:tc>
        <w:tc>
          <w:tcPr>
            <w:tcW w:w="5760" w:type="dxa"/>
          </w:tcPr>
          <w:p w14:paraId="719CCF7F" w14:textId="77777777" w:rsidR="00CC3427" w:rsidRPr="0097372D" w:rsidRDefault="00CC3427" w:rsidP="00387BB8">
            <w:pPr>
              <w:pStyle w:val="Heading1"/>
              <w:numPr>
                <w:ilvl w:val="0"/>
                <w:numId w:val="0"/>
              </w:numPr>
              <w:spacing w:after="0"/>
              <w:outlineLvl w:val="0"/>
              <w:rPr>
                <w:lang w:val="fr-CA"/>
              </w:rPr>
            </w:pPr>
          </w:p>
        </w:tc>
        <w:tc>
          <w:tcPr>
            <w:tcW w:w="1710" w:type="dxa"/>
          </w:tcPr>
          <w:p w14:paraId="27D13738" w14:textId="77777777" w:rsidR="00CC3427" w:rsidRPr="0097372D" w:rsidRDefault="00CC3427" w:rsidP="00387BB8">
            <w:pPr>
              <w:pStyle w:val="Heading1"/>
              <w:numPr>
                <w:ilvl w:val="0"/>
                <w:numId w:val="0"/>
              </w:numPr>
              <w:spacing w:after="0"/>
              <w:jc w:val="right"/>
              <w:outlineLvl w:val="0"/>
              <w:rPr>
                <w:b/>
                <w:lang w:val="fr-CA"/>
              </w:rPr>
            </w:pPr>
            <w:r w:rsidRPr="0097372D">
              <w:rPr>
                <w:b/>
                <w:lang w:val="fr-CA"/>
              </w:rPr>
              <w:t>6</w:t>
            </w:r>
            <w:r>
              <w:rPr>
                <w:b/>
                <w:lang w:val="fr-CA"/>
              </w:rPr>
              <w:t> </w:t>
            </w:r>
            <w:r w:rsidRPr="0097372D">
              <w:rPr>
                <w:b/>
                <w:lang w:val="fr-CA"/>
              </w:rPr>
              <w:t>023</w:t>
            </w:r>
            <w:r>
              <w:rPr>
                <w:b/>
                <w:lang w:val="fr-CA"/>
              </w:rPr>
              <w:t> </w:t>
            </w:r>
            <w:r w:rsidRPr="0097372D">
              <w:rPr>
                <w:b/>
                <w:lang w:val="fr-CA"/>
              </w:rPr>
              <w:t>431</w:t>
            </w:r>
          </w:p>
        </w:tc>
      </w:tr>
    </w:tbl>
    <w:p w14:paraId="59B39F32" w14:textId="77777777" w:rsidR="00CC3427" w:rsidRPr="0097372D" w:rsidRDefault="00CC3427" w:rsidP="00CC3427">
      <w:pPr>
        <w:pStyle w:val="Heading1"/>
        <w:numPr>
          <w:ilvl w:val="0"/>
          <w:numId w:val="0"/>
        </w:numPr>
        <w:spacing w:after="0"/>
        <w:rPr>
          <w:i/>
          <w:lang w:val="fr-CA"/>
        </w:rPr>
      </w:pPr>
    </w:p>
    <w:p w14:paraId="5AEF2125" w14:textId="77777777" w:rsidR="00CC3427" w:rsidRPr="0097372D" w:rsidRDefault="00CC3427" w:rsidP="00CC3427">
      <w:pPr>
        <w:pStyle w:val="Heading1"/>
        <w:keepNext/>
        <w:numPr>
          <w:ilvl w:val="0"/>
          <w:numId w:val="0"/>
        </w:numPr>
        <w:rPr>
          <w:i/>
          <w:lang w:val="fr-CA"/>
        </w:rPr>
      </w:pPr>
      <w:r>
        <w:rPr>
          <w:i/>
          <w:lang w:val="fr-CA"/>
        </w:rPr>
        <w:t>Répartition de la t</w:t>
      </w:r>
      <w:r w:rsidRPr="0097372D">
        <w:rPr>
          <w:i/>
          <w:lang w:val="fr-CA"/>
        </w:rPr>
        <w:t>ranche (2021-2026)</w:t>
      </w:r>
    </w:p>
    <w:p w14:paraId="22D77C6F" w14:textId="77777777" w:rsidR="00CC3427" w:rsidRPr="0097372D" w:rsidRDefault="00CC3427" w:rsidP="00CC3427">
      <w:pPr>
        <w:pStyle w:val="Heading1"/>
        <w:keepNext/>
        <w:rPr>
          <w:lang w:val="fr-CA"/>
        </w:rPr>
      </w:pPr>
      <w:r>
        <w:rPr>
          <w:lang w:val="fr-CA"/>
        </w:rPr>
        <w:t xml:space="preserve">Le Tableau 4 présente le calendrier de décaissement des tranches pour les années </w:t>
      </w:r>
      <w:r w:rsidRPr="0097372D">
        <w:rPr>
          <w:lang w:val="fr-CA"/>
        </w:rPr>
        <w:t xml:space="preserve">2021 </w:t>
      </w:r>
      <w:r>
        <w:rPr>
          <w:lang w:val="fr-CA"/>
        </w:rPr>
        <w:t>à</w:t>
      </w:r>
      <w:r w:rsidRPr="0097372D">
        <w:rPr>
          <w:lang w:val="fr-CA"/>
        </w:rPr>
        <w:t xml:space="preserve"> 2026. </w:t>
      </w:r>
      <w:r>
        <w:rPr>
          <w:lang w:val="fr-CA"/>
        </w:rPr>
        <w:t>Dans le cas du plan sectoriel pour les solvants, le calendrier de décaissement complet des tranches pour la phase II est présenté aux lignes</w:t>
      </w:r>
      <w:r w:rsidRPr="0097372D">
        <w:rPr>
          <w:lang w:val="fr-CA"/>
        </w:rPr>
        <w:t xml:space="preserve"> 2.6.1 </w:t>
      </w:r>
      <w:r>
        <w:rPr>
          <w:lang w:val="fr-CA"/>
        </w:rPr>
        <w:t>et</w:t>
      </w:r>
      <w:r w:rsidRPr="0097372D">
        <w:rPr>
          <w:lang w:val="fr-CA"/>
        </w:rPr>
        <w:t xml:space="preserve"> 2.6.2 </w:t>
      </w:r>
      <w:r>
        <w:rPr>
          <w:lang w:val="fr-CA"/>
        </w:rPr>
        <w:t>de l’A</w:t>
      </w:r>
      <w:r w:rsidRPr="0097372D">
        <w:rPr>
          <w:lang w:val="fr-CA"/>
        </w:rPr>
        <w:t>ppendi</w:t>
      </w:r>
      <w:r>
        <w:rPr>
          <w:lang w:val="fr-CA"/>
        </w:rPr>
        <w:t>ce</w:t>
      </w:r>
      <w:r w:rsidRPr="0097372D">
        <w:rPr>
          <w:lang w:val="fr-CA"/>
        </w:rPr>
        <w:t xml:space="preserve"> 2-A </w:t>
      </w:r>
      <w:r>
        <w:rPr>
          <w:lang w:val="fr-CA"/>
        </w:rPr>
        <w:t>du projet d’Accord révisé entre le Gouvernement de la Chine</w:t>
      </w:r>
      <w:r w:rsidRPr="0097372D">
        <w:rPr>
          <w:lang w:val="fr-CA"/>
        </w:rPr>
        <w:t xml:space="preserve"> </w:t>
      </w:r>
      <w:r>
        <w:rPr>
          <w:lang w:val="fr-CA"/>
        </w:rPr>
        <w:t>et le Comité exécutif, tel que soumis par le PNUD</w:t>
      </w:r>
      <w:r w:rsidRPr="0097372D">
        <w:rPr>
          <w:lang w:val="fr-CA"/>
        </w:rPr>
        <w:t xml:space="preserve">, </w:t>
      </w:r>
      <w:r>
        <w:rPr>
          <w:lang w:val="fr-CA"/>
        </w:rPr>
        <w:t>à l’</w:t>
      </w:r>
      <w:r w:rsidRPr="0097372D">
        <w:rPr>
          <w:lang w:val="fr-CA"/>
        </w:rPr>
        <w:t>Annex</w:t>
      </w:r>
      <w:r>
        <w:rPr>
          <w:lang w:val="fr-CA"/>
        </w:rPr>
        <w:t>e</w:t>
      </w:r>
      <w:r w:rsidRPr="0097372D">
        <w:rPr>
          <w:lang w:val="fr-CA"/>
        </w:rPr>
        <w:t xml:space="preserve"> II </w:t>
      </w:r>
    </w:p>
    <w:p w14:paraId="3FCD68B2" w14:textId="77777777" w:rsidR="00CC3427" w:rsidRPr="0097372D" w:rsidRDefault="00CC3427" w:rsidP="00CC3427">
      <w:pPr>
        <w:tabs>
          <w:tab w:val="num" w:pos="0"/>
          <w:tab w:val="num" w:pos="720"/>
          <w:tab w:val="num" w:pos="902"/>
        </w:tabs>
        <w:rPr>
          <w:b/>
          <w:lang w:val="fr-CA"/>
        </w:rPr>
      </w:pPr>
      <w:r w:rsidRPr="0097372D">
        <w:rPr>
          <w:b/>
          <w:lang w:val="fr-CA"/>
        </w:rPr>
        <w:t>Table</w:t>
      </w:r>
      <w:r>
        <w:rPr>
          <w:b/>
          <w:lang w:val="fr-CA"/>
        </w:rPr>
        <w:t>au</w:t>
      </w:r>
      <w:r w:rsidRPr="0097372D">
        <w:rPr>
          <w:b/>
          <w:lang w:val="fr-CA"/>
        </w:rPr>
        <w:t xml:space="preserve"> 4. </w:t>
      </w:r>
      <w:r>
        <w:rPr>
          <w:b/>
          <w:lang w:val="fr-CA"/>
        </w:rPr>
        <w:t xml:space="preserve">Répartition des tranches pour le plan sectoriel des solvants </w:t>
      </w:r>
      <w:r w:rsidRPr="0097372D">
        <w:rPr>
          <w:b/>
          <w:lang w:val="fr-CA"/>
        </w:rPr>
        <w:t>2021-2016 (</w:t>
      </w:r>
      <w:r>
        <w:rPr>
          <w:b/>
          <w:lang w:val="fr-CA"/>
        </w:rPr>
        <w:t>$</w:t>
      </w:r>
      <w:r w:rsidRPr="0097372D">
        <w:rPr>
          <w:b/>
          <w:lang w:val="fr-CA"/>
        </w:rPr>
        <w:t>US)</w:t>
      </w:r>
    </w:p>
    <w:tbl>
      <w:tblPr>
        <w:tblStyle w:val="TableGrid"/>
        <w:tblW w:w="0" w:type="auto"/>
        <w:tblLook w:val="04A0" w:firstRow="1" w:lastRow="0" w:firstColumn="1" w:lastColumn="0" w:noHBand="0" w:noVBand="1"/>
      </w:tblPr>
      <w:tblGrid>
        <w:gridCol w:w="1435"/>
        <w:gridCol w:w="1190"/>
        <w:gridCol w:w="1366"/>
        <w:gridCol w:w="1366"/>
        <w:gridCol w:w="1366"/>
        <w:gridCol w:w="1366"/>
        <w:gridCol w:w="1261"/>
      </w:tblGrid>
      <w:tr w:rsidR="00CC3427" w:rsidRPr="0097372D" w14:paraId="70AE23F3" w14:textId="77777777" w:rsidTr="00387BB8">
        <w:tc>
          <w:tcPr>
            <w:tcW w:w="1435" w:type="dxa"/>
            <w:vAlign w:val="center"/>
          </w:tcPr>
          <w:p w14:paraId="46363B3F" w14:textId="77777777" w:rsidR="00CC3427" w:rsidRPr="0097372D" w:rsidRDefault="00CC3427" w:rsidP="00387BB8">
            <w:pPr>
              <w:tabs>
                <w:tab w:val="num" w:pos="0"/>
                <w:tab w:val="num" w:pos="720"/>
                <w:tab w:val="num" w:pos="902"/>
              </w:tabs>
              <w:jc w:val="left"/>
              <w:rPr>
                <w:b/>
                <w:lang w:val="fr-CA"/>
              </w:rPr>
            </w:pPr>
            <w:r>
              <w:rPr>
                <w:b/>
                <w:lang w:val="fr-CA"/>
              </w:rPr>
              <w:t>Titre</w:t>
            </w:r>
          </w:p>
        </w:tc>
        <w:tc>
          <w:tcPr>
            <w:tcW w:w="1190" w:type="dxa"/>
          </w:tcPr>
          <w:p w14:paraId="298BBDC6" w14:textId="77777777" w:rsidR="00CC3427" w:rsidRPr="0097372D" w:rsidRDefault="00CC3427" w:rsidP="00387BB8">
            <w:pPr>
              <w:tabs>
                <w:tab w:val="num" w:pos="0"/>
                <w:tab w:val="num" w:pos="720"/>
                <w:tab w:val="num" w:pos="902"/>
              </w:tabs>
              <w:jc w:val="center"/>
              <w:rPr>
                <w:b/>
                <w:lang w:val="fr-CA"/>
              </w:rPr>
            </w:pPr>
            <w:r w:rsidRPr="0097372D">
              <w:rPr>
                <w:b/>
                <w:lang w:val="fr-CA"/>
              </w:rPr>
              <w:t>2021</w:t>
            </w:r>
          </w:p>
        </w:tc>
        <w:tc>
          <w:tcPr>
            <w:tcW w:w="1366" w:type="dxa"/>
          </w:tcPr>
          <w:p w14:paraId="70FC1F42" w14:textId="77777777" w:rsidR="00CC3427" w:rsidRPr="0097372D" w:rsidRDefault="00CC3427" w:rsidP="00387BB8">
            <w:pPr>
              <w:tabs>
                <w:tab w:val="num" w:pos="0"/>
                <w:tab w:val="num" w:pos="720"/>
                <w:tab w:val="num" w:pos="902"/>
              </w:tabs>
              <w:jc w:val="center"/>
              <w:rPr>
                <w:b/>
                <w:lang w:val="fr-CA"/>
              </w:rPr>
            </w:pPr>
            <w:r w:rsidRPr="0097372D">
              <w:rPr>
                <w:b/>
                <w:lang w:val="fr-CA"/>
              </w:rPr>
              <w:t>2022</w:t>
            </w:r>
          </w:p>
        </w:tc>
        <w:tc>
          <w:tcPr>
            <w:tcW w:w="1366" w:type="dxa"/>
          </w:tcPr>
          <w:p w14:paraId="13480803" w14:textId="77777777" w:rsidR="00CC3427" w:rsidRPr="0097372D" w:rsidRDefault="00CC3427" w:rsidP="00387BB8">
            <w:pPr>
              <w:tabs>
                <w:tab w:val="num" w:pos="0"/>
                <w:tab w:val="num" w:pos="720"/>
                <w:tab w:val="num" w:pos="902"/>
              </w:tabs>
              <w:jc w:val="center"/>
              <w:rPr>
                <w:b/>
                <w:lang w:val="fr-CA"/>
              </w:rPr>
            </w:pPr>
            <w:r w:rsidRPr="0097372D">
              <w:rPr>
                <w:b/>
                <w:lang w:val="fr-CA"/>
              </w:rPr>
              <w:t>2023</w:t>
            </w:r>
          </w:p>
        </w:tc>
        <w:tc>
          <w:tcPr>
            <w:tcW w:w="1366" w:type="dxa"/>
          </w:tcPr>
          <w:p w14:paraId="4D681742" w14:textId="77777777" w:rsidR="00CC3427" w:rsidRPr="0097372D" w:rsidRDefault="00CC3427" w:rsidP="00387BB8">
            <w:pPr>
              <w:tabs>
                <w:tab w:val="num" w:pos="0"/>
                <w:tab w:val="num" w:pos="720"/>
                <w:tab w:val="num" w:pos="902"/>
              </w:tabs>
              <w:jc w:val="center"/>
              <w:rPr>
                <w:b/>
                <w:lang w:val="fr-CA"/>
              </w:rPr>
            </w:pPr>
            <w:r w:rsidRPr="0097372D">
              <w:rPr>
                <w:b/>
                <w:lang w:val="fr-CA"/>
              </w:rPr>
              <w:t>2024</w:t>
            </w:r>
          </w:p>
        </w:tc>
        <w:tc>
          <w:tcPr>
            <w:tcW w:w="1366" w:type="dxa"/>
          </w:tcPr>
          <w:p w14:paraId="2D511359" w14:textId="77777777" w:rsidR="00CC3427" w:rsidRPr="0097372D" w:rsidRDefault="00CC3427" w:rsidP="00387BB8">
            <w:pPr>
              <w:tabs>
                <w:tab w:val="num" w:pos="0"/>
                <w:tab w:val="num" w:pos="720"/>
                <w:tab w:val="num" w:pos="902"/>
              </w:tabs>
              <w:jc w:val="center"/>
              <w:rPr>
                <w:b/>
                <w:lang w:val="fr-CA"/>
              </w:rPr>
            </w:pPr>
            <w:r w:rsidRPr="0097372D">
              <w:rPr>
                <w:b/>
                <w:lang w:val="fr-CA"/>
              </w:rPr>
              <w:t>2025</w:t>
            </w:r>
          </w:p>
        </w:tc>
        <w:tc>
          <w:tcPr>
            <w:tcW w:w="1261" w:type="dxa"/>
          </w:tcPr>
          <w:p w14:paraId="1A60050B" w14:textId="77777777" w:rsidR="00CC3427" w:rsidRPr="0097372D" w:rsidRDefault="00CC3427" w:rsidP="00387BB8">
            <w:pPr>
              <w:tabs>
                <w:tab w:val="num" w:pos="0"/>
                <w:tab w:val="num" w:pos="720"/>
                <w:tab w:val="num" w:pos="902"/>
              </w:tabs>
              <w:jc w:val="center"/>
              <w:rPr>
                <w:b/>
                <w:lang w:val="fr-CA"/>
              </w:rPr>
            </w:pPr>
            <w:r w:rsidRPr="0097372D">
              <w:rPr>
                <w:b/>
                <w:lang w:val="fr-CA"/>
              </w:rPr>
              <w:t>2026</w:t>
            </w:r>
          </w:p>
        </w:tc>
      </w:tr>
      <w:tr w:rsidR="00CC3427" w:rsidRPr="0097372D" w14:paraId="6B3EE900" w14:textId="77777777" w:rsidTr="00387BB8">
        <w:tc>
          <w:tcPr>
            <w:tcW w:w="1435" w:type="dxa"/>
          </w:tcPr>
          <w:p w14:paraId="63A620E1" w14:textId="77777777" w:rsidR="00CC3427" w:rsidRPr="0097372D" w:rsidRDefault="00CC3427" w:rsidP="00387BB8">
            <w:pPr>
              <w:tabs>
                <w:tab w:val="num" w:pos="0"/>
                <w:tab w:val="num" w:pos="720"/>
                <w:tab w:val="num" w:pos="902"/>
              </w:tabs>
              <w:rPr>
                <w:lang w:val="fr-CA"/>
              </w:rPr>
            </w:pPr>
            <w:r>
              <w:rPr>
                <w:lang w:val="fr-CA"/>
              </w:rPr>
              <w:t>Quantité</w:t>
            </w:r>
          </w:p>
        </w:tc>
        <w:tc>
          <w:tcPr>
            <w:tcW w:w="1190" w:type="dxa"/>
          </w:tcPr>
          <w:p w14:paraId="77483E76" w14:textId="77777777" w:rsidR="00CC3427" w:rsidRPr="0097372D" w:rsidRDefault="00CC3427" w:rsidP="00387BB8">
            <w:pPr>
              <w:tabs>
                <w:tab w:val="num" w:pos="0"/>
                <w:tab w:val="num" w:pos="720"/>
                <w:tab w:val="num" w:pos="902"/>
              </w:tabs>
              <w:jc w:val="right"/>
              <w:rPr>
                <w:lang w:val="fr-CA"/>
              </w:rPr>
            </w:pPr>
            <w:r w:rsidRPr="0097372D">
              <w:rPr>
                <w:lang w:val="fr-CA"/>
              </w:rPr>
              <w:t>2</w:t>
            </w:r>
            <w:r>
              <w:rPr>
                <w:lang w:val="fr-CA"/>
              </w:rPr>
              <w:t> </w:t>
            </w:r>
            <w:r w:rsidRPr="0097372D">
              <w:rPr>
                <w:lang w:val="fr-CA"/>
              </w:rPr>
              <w:t>500</w:t>
            </w:r>
            <w:r>
              <w:rPr>
                <w:lang w:val="fr-CA"/>
              </w:rPr>
              <w:t> </w:t>
            </w:r>
            <w:r w:rsidRPr="0097372D">
              <w:rPr>
                <w:lang w:val="fr-CA"/>
              </w:rPr>
              <w:t>000</w:t>
            </w:r>
          </w:p>
        </w:tc>
        <w:tc>
          <w:tcPr>
            <w:tcW w:w="1366" w:type="dxa"/>
          </w:tcPr>
          <w:p w14:paraId="29913632" w14:textId="77777777" w:rsidR="00CC3427" w:rsidRPr="0097372D" w:rsidRDefault="00CC3427" w:rsidP="00387BB8">
            <w:pPr>
              <w:tabs>
                <w:tab w:val="num" w:pos="0"/>
                <w:tab w:val="num" w:pos="720"/>
                <w:tab w:val="num" w:pos="902"/>
              </w:tabs>
              <w:jc w:val="right"/>
              <w:rPr>
                <w:lang w:val="fr-CA"/>
              </w:rPr>
            </w:pPr>
            <w:r w:rsidRPr="0097372D">
              <w:rPr>
                <w:lang w:val="fr-CA"/>
              </w:rPr>
              <w:t>1</w:t>
            </w:r>
            <w:r>
              <w:rPr>
                <w:lang w:val="fr-CA"/>
              </w:rPr>
              <w:t> </w:t>
            </w:r>
            <w:r w:rsidRPr="0097372D">
              <w:rPr>
                <w:lang w:val="fr-CA"/>
              </w:rPr>
              <w:t>000</w:t>
            </w:r>
            <w:r>
              <w:rPr>
                <w:lang w:val="fr-CA"/>
              </w:rPr>
              <w:t> </w:t>
            </w:r>
            <w:r w:rsidRPr="0097372D">
              <w:rPr>
                <w:lang w:val="fr-CA"/>
              </w:rPr>
              <w:t>000</w:t>
            </w:r>
          </w:p>
        </w:tc>
        <w:tc>
          <w:tcPr>
            <w:tcW w:w="1366" w:type="dxa"/>
          </w:tcPr>
          <w:p w14:paraId="42D8E36C" w14:textId="77777777" w:rsidR="00CC3427" w:rsidRPr="0097372D" w:rsidRDefault="00CC3427" w:rsidP="00387BB8">
            <w:pPr>
              <w:tabs>
                <w:tab w:val="num" w:pos="0"/>
                <w:tab w:val="num" w:pos="720"/>
                <w:tab w:val="num" w:pos="902"/>
              </w:tabs>
              <w:jc w:val="right"/>
              <w:rPr>
                <w:lang w:val="fr-CA"/>
              </w:rPr>
            </w:pPr>
            <w:r w:rsidRPr="0097372D">
              <w:rPr>
                <w:lang w:val="fr-CA"/>
              </w:rPr>
              <w:t>2</w:t>
            </w:r>
            <w:r>
              <w:rPr>
                <w:lang w:val="fr-CA"/>
              </w:rPr>
              <w:t> </w:t>
            </w:r>
            <w:r w:rsidRPr="0097372D">
              <w:rPr>
                <w:lang w:val="fr-CA"/>
              </w:rPr>
              <w:t>000</w:t>
            </w:r>
            <w:r>
              <w:rPr>
                <w:lang w:val="fr-CA"/>
              </w:rPr>
              <w:t> </w:t>
            </w:r>
            <w:r w:rsidRPr="0097372D">
              <w:rPr>
                <w:lang w:val="fr-CA"/>
              </w:rPr>
              <w:t>000</w:t>
            </w:r>
          </w:p>
        </w:tc>
        <w:tc>
          <w:tcPr>
            <w:tcW w:w="1366" w:type="dxa"/>
          </w:tcPr>
          <w:p w14:paraId="1599761C" w14:textId="77777777" w:rsidR="00CC3427" w:rsidRPr="0097372D" w:rsidRDefault="00CC3427" w:rsidP="00387BB8">
            <w:pPr>
              <w:tabs>
                <w:tab w:val="num" w:pos="0"/>
                <w:tab w:val="num" w:pos="720"/>
                <w:tab w:val="num" w:pos="902"/>
              </w:tabs>
              <w:jc w:val="right"/>
              <w:rPr>
                <w:lang w:val="fr-CA"/>
              </w:rPr>
            </w:pPr>
            <w:r w:rsidRPr="0097372D">
              <w:rPr>
                <w:lang w:val="fr-CA"/>
              </w:rPr>
              <w:t>0</w:t>
            </w:r>
            <w:r>
              <w:rPr>
                <w:lang w:val="fr-CA"/>
              </w:rPr>
              <w:t>,</w:t>
            </w:r>
            <w:r w:rsidRPr="0097372D">
              <w:rPr>
                <w:lang w:val="fr-CA"/>
              </w:rPr>
              <w:t>00</w:t>
            </w:r>
          </w:p>
        </w:tc>
        <w:tc>
          <w:tcPr>
            <w:tcW w:w="1366" w:type="dxa"/>
          </w:tcPr>
          <w:p w14:paraId="3B54DBC6" w14:textId="77777777" w:rsidR="00CC3427" w:rsidRPr="0097372D" w:rsidRDefault="00CC3427" w:rsidP="00387BB8">
            <w:pPr>
              <w:tabs>
                <w:tab w:val="num" w:pos="0"/>
                <w:tab w:val="num" w:pos="720"/>
                <w:tab w:val="num" w:pos="902"/>
              </w:tabs>
              <w:jc w:val="right"/>
              <w:rPr>
                <w:lang w:val="fr-CA"/>
              </w:rPr>
            </w:pPr>
            <w:r w:rsidRPr="0097372D">
              <w:rPr>
                <w:lang w:val="fr-CA"/>
              </w:rPr>
              <w:t>523</w:t>
            </w:r>
            <w:r>
              <w:rPr>
                <w:lang w:val="fr-CA"/>
              </w:rPr>
              <w:t> </w:t>
            </w:r>
            <w:r w:rsidRPr="0097372D">
              <w:rPr>
                <w:lang w:val="fr-CA"/>
              </w:rPr>
              <w:t>431</w:t>
            </w:r>
          </w:p>
        </w:tc>
        <w:tc>
          <w:tcPr>
            <w:tcW w:w="1261" w:type="dxa"/>
          </w:tcPr>
          <w:p w14:paraId="41801F55" w14:textId="77777777" w:rsidR="00CC3427" w:rsidRPr="0097372D" w:rsidRDefault="00CC3427" w:rsidP="00387BB8">
            <w:pPr>
              <w:tabs>
                <w:tab w:val="num" w:pos="0"/>
                <w:tab w:val="num" w:pos="720"/>
                <w:tab w:val="num" w:pos="902"/>
              </w:tabs>
              <w:jc w:val="right"/>
              <w:rPr>
                <w:lang w:val="fr-CA"/>
              </w:rPr>
            </w:pPr>
            <w:r w:rsidRPr="0097372D">
              <w:rPr>
                <w:lang w:val="fr-CA"/>
              </w:rPr>
              <w:t>0</w:t>
            </w:r>
            <w:r>
              <w:rPr>
                <w:lang w:val="fr-CA"/>
              </w:rPr>
              <w:t>,</w:t>
            </w:r>
            <w:r w:rsidRPr="0097372D">
              <w:rPr>
                <w:lang w:val="fr-CA"/>
              </w:rPr>
              <w:t>00</w:t>
            </w:r>
          </w:p>
        </w:tc>
      </w:tr>
    </w:tbl>
    <w:p w14:paraId="677D9F22" w14:textId="77777777" w:rsidR="00CC3427" w:rsidRPr="0097372D" w:rsidRDefault="00CC3427" w:rsidP="00CC3427">
      <w:pPr>
        <w:tabs>
          <w:tab w:val="num" w:pos="0"/>
          <w:tab w:val="num" w:pos="720"/>
          <w:tab w:val="num" w:pos="902"/>
        </w:tabs>
        <w:rPr>
          <w:lang w:val="fr-CA"/>
        </w:rPr>
      </w:pPr>
    </w:p>
    <w:p w14:paraId="594EB830" w14:textId="77777777" w:rsidR="00CC3427" w:rsidRPr="0097372D" w:rsidRDefault="00CC3427" w:rsidP="00CC3427">
      <w:pPr>
        <w:keepNext/>
        <w:tabs>
          <w:tab w:val="num" w:pos="0"/>
          <w:tab w:val="num" w:pos="720"/>
          <w:tab w:val="num" w:pos="902"/>
        </w:tabs>
        <w:spacing w:after="240"/>
        <w:rPr>
          <w:b/>
          <w:lang w:val="fr-CA"/>
        </w:rPr>
      </w:pPr>
      <w:r>
        <w:rPr>
          <w:b/>
          <w:lang w:val="fr-CA"/>
        </w:rPr>
        <w:t>Observations du Secrétariat</w:t>
      </w:r>
    </w:p>
    <w:p w14:paraId="3BFCE54D" w14:textId="1EF5F764" w:rsidR="00CC3427" w:rsidRPr="009608C8" w:rsidRDefault="00CC3427" w:rsidP="00CC3427">
      <w:pPr>
        <w:pStyle w:val="Heading1"/>
        <w:rPr>
          <w:lang w:val="fr-CA"/>
        </w:rPr>
      </w:pPr>
      <w:r>
        <w:rPr>
          <w:lang w:val="fr-CA"/>
        </w:rPr>
        <w:t>L</w:t>
      </w:r>
      <w:r w:rsidRPr="0097372D">
        <w:rPr>
          <w:lang w:val="fr-CA"/>
        </w:rPr>
        <w:t xml:space="preserve">e </w:t>
      </w:r>
      <w:r>
        <w:rPr>
          <w:lang w:val="fr-CA"/>
        </w:rPr>
        <w:t>Secrétariat</w:t>
      </w:r>
      <w:r w:rsidRPr="0097372D">
        <w:rPr>
          <w:lang w:val="fr-CA"/>
        </w:rPr>
        <w:t xml:space="preserve"> </w:t>
      </w:r>
      <w:r>
        <w:rPr>
          <w:lang w:val="fr-CA"/>
        </w:rPr>
        <w:t>a noté que le coût global de la phase</w:t>
      </w:r>
      <w:r w:rsidRPr="0097372D">
        <w:rPr>
          <w:lang w:val="fr-CA"/>
        </w:rPr>
        <w:t xml:space="preserve"> II </w:t>
      </w:r>
      <w:r>
        <w:rPr>
          <w:lang w:val="fr-CA"/>
        </w:rPr>
        <w:t>du plan sectoriel</w:t>
      </w:r>
      <w:r w:rsidRPr="0097372D">
        <w:rPr>
          <w:lang w:val="fr-CA"/>
        </w:rPr>
        <w:t xml:space="preserve"> </w:t>
      </w:r>
      <w:r>
        <w:rPr>
          <w:lang w:val="fr-CA"/>
        </w:rPr>
        <w:t xml:space="preserve">pour les solvants a été modifié, passant du montant de </w:t>
      </w:r>
      <w:r w:rsidRPr="0097372D">
        <w:rPr>
          <w:lang w:val="fr-CA"/>
        </w:rPr>
        <w:t>44</w:t>
      </w:r>
      <w:r>
        <w:rPr>
          <w:lang w:val="fr-CA"/>
        </w:rPr>
        <w:t> </w:t>
      </w:r>
      <w:r w:rsidRPr="0097372D">
        <w:rPr>
          <w:lang w:val="fr-CA"/>
        </w:rPr>
        <w:t>800</w:t>
      </w:r>
      <w:r>
        <w:rPr>
          <w:lang w:val="fr-CA"/>
        </w:rPr>
        <w:t> </w:t>
      </w:r>
      <w:r w:rsidRPr="0097372D">
        <w:rPr>
          <w:lang w:val="fr-CA"/>
        </w:rPr>
        <w:t>000</w:t>
      </w:r>
      <w:r>
        <w:rPr>
          <w:lang w:val="fr-CA"/>
        </w:rPr>
        <w:t xml:space="preserve"> $US initialement approuvé à </w:t>
      </w:r>
      <w:r w:rsidRPr="0097372D">
        <w:rPr>
          <w:lang w:val="fr-CA"/>
        </w:rPr>
        <w:t>25</w:t>
      </w:r>
      <w:r>
        <w:rPr>
          <w:lang w:val="fr-CA"/>
        </w:rPr>
        <w:t> </w:t>
      </w:r>
      <w:r w:rsidRPr="0097372D">
        <w:rPr>
          <w:lang w:val="fr-CA"/>
        </w:rPr>
        <w:t>589</w:t>
      </w:r>
      <w:r>
        <w:rPr>
          <w:lang w:val="fr-CA"/>
        </w:rPr>
        <w:t> </w:t>
      </w:r>
      <w:r w:rsidRPr="0097372D">
        <w:rPr>
          <w:lang w:val="fr-CA"/>
        </w:rPr>
        <w:t>340</w:t>
      </w:r>
      <w:r>
        <w:rPr>
          <w:lang w:val="fr-CA"/>
        </w:rPr>
        <w:t> $US</w:t>
      </w:r>
      <w:r w:rsidR="003E6151">
        <w:rPr>
          <w:lang w:val="fr-CA"/>
        </w:rPr>
        <w:t xml:space="preserve"> </w:t>
      </w:r>
      <w:r w:rsidRPr="0097372D">
        <w:rPr>
          <w:lang w:val="fr-CA"/>
        </w:rPr>
        <w:t xml:space="preserve">; </w:t>
      </w:r>
      <w:r>
        <w:rPr>
          <w:lang w:val="fr-CA"/>
        </w:rPr>
        <w:t>et que le</w:t>
      </w:r>
      <w:r w:rsidRPr="0097372D">
        <w:rPr>
          <w:lang w:val="fr-CA"/>
        </w:rPr>
        <w:t xml:space="preserve"> </w:t>
      </w:r>
      <w:r>
        <w:rPr>
          <w:lang w:val="fr-CA"/>
        </w:rPr>
        <w:t xml:space="preserve">Gouvernement de la Chine s’est engagé, avec le montant révisé, à réaliser l’élimination complète du </w:t>
      </w:r>
      <w:r w:rsidRPr="009608C8">
        <w:rPr>
          <w:lang w:val="fr-CA"/>
        </w:rPr>
        <w:t xml:space="preserve">HCFC-141b </w:t>
      </w:r>
      <w:r>
        <w:rPr>
          <w:lang w:val="fr-CA"/>
        </w:rPr>
        <w:t>dans le</w:t>
      </w:r>
      <w:r w:rsidRPr="009608C8">
        <w:rPr>
          <w:lang w:val="fr-CA"/>
        </w:rPr>
        <w:t xml:space="preserve"> secteur des solvants</w:t>
      </w:r>
      <w:r>
        <w:rPr>
          <w:lang w:val="fr-CA"/>
        </w:rPr>
        <w:t>, en adoptant des solutions de remplacement à faible PRG</w:t>
      </w:r>
      <w:r w:rsidRPr="009608C8">
        <w:rPr>
          <w:lang w:val="fr-CA"/>
        </w:rPr>
        <w:t>. I</w:t>
      </w:r>
      <w:r>
        <w:rPr>
          <w:lang w:val="fr-CA"/>
        </w:rPr>
        <w:t xml:space="preserve">l a été expliqué que le financement réduit ne permettra d’apporter une </w:t>
      </w:r>
      <w:r w:rsidRPr="009608C8">
        <w:rPr>
          <w:lang w:val="fr-CA"/>
        </w:rPr>
        <w:t xml:space="preserve">assistance </w:t>
      </w:r>
      <w:r>
        <w:rPr>
          <w:lang w:val="fr-CA"/>
        </w:rPr>
        <w:t>qu’à un nombre limité de bénéficiaires</w:t>
      </w:r>
      <w:r w:rsidRPr="009608C8">
        <w:rPr>
          <w:lang w:val="fr-CA"/>
        </w:rPr>
        <w:t xml:space="preserve">, </w:t>
      </w:r>
      <w:r>
        <w:rPr>
          <w:lang w:val="fr-CA"/>
        </w:rPr>
        <w:t xml:space="preserve">mais que le </w:t>
      </w:r>
      <w:r w:rsidRPr="009608C8">
        <w:rPr>
          <w:lang w:val="fr-CA"/>
        </w:rPr>
        <w:t>Gouvernement</w:t>
      </w:r>
      <w:r>
        <w:rPr>
          <w:lang w:val="fr-CA"/>
        </w:rPr>
        <w:t xml:space="preserve"> a néanmoins l’intention de mettre en œuvre une série de politiques, de règlements et  </w:t>
      </w:r>
      <w:r w:rsidRPr="009608C8">
        <w:rPr>
          <w:lang w:val="fr-CA"/>
        </w:rPr>
        <w:t xml:space="preserve">  </w:t>
      </w:r>
      <w:r>
        <w:rPr>
          <w:lang w:val="fr-CA"/>
        </w:rPr>
        <w:t>d’activités d’AT pour encourager et soutenir l’élimination dans ce secteur</w:t>
      </w:r>
      <w:r w:rsidRPr="009608C8">
        <w:rPr>
          <w:lang w:val="fr-CA"/>
        </w:rPr>
        <w:t xml:space="preserve">. </w:t>
      </w:r>
      <w:r>
        <w:rPr>
          <w:lang w:val="fr-CA"/>
        </w:rPr>
        <w:t xml:space="preserve">Ces mesures incluront la stricte application des </w:t>
      </w:r>
      <w:r w:rsidRPr="009608C8">
        <w:rPr>
          <w:lang w:val="fr-CA"/>
        </w:rPr>
        <w:t>quota</w:t>
      </w:r>
      <w:r>
        <w:rPr>
          <w:lang w:val="fr-CA"/>
        </w:rPr>
        <w:t xml:space="preserve">s et la gestion de l’enregistrement des </w:t>
      </w:r>
      <w:r w:rsidRPr="009608C8">
        <w:rPr>
          <w:lang w:val="fr-CA"/>
        </w:rPr>
        <w:t xml:space="preserve">entreprises, </w:t>
      </w:r>
      <w:r>
        <w:rPr>
          <w:lang w:val="fr-CA"/>
        </w:rPr>
        <w:t xml:space="preserve">ainsi que l’interdiction éventuelles de la consommation de </w:t>
      </w:r>
      <w:r w:rsidRPr="009608C8">
        <w:rPr>
          <w:lang w:val="fr-CA"/>
        </w:rPr>
        <w:t xml:space="preserve">HCFC-141b </w:t>
      </w:r>
      <w:r>
        <w:rPr>
          <w:lang w:val="fr-CA"/>
        </w:rPr>
        <w:t xml:space="preserve">dans le </w:t>
      </w:r>
      <w:r w:rsidRPr="009608C8">
        <w:rPr>
          <w:lang w:val="fr-CA"/>
        </w:rPr>
        <w:t xml:space="preserve">secteur des solvants. </w:t>
      </w:r>
      <w:r>
        <w:rPr>
          <w:lang w:val="fr-CA"/>
        </w:rPr>
        <w:t>L</w:t>
      </w:r>
      <w:r w:rsidRPr="009608C8">
        <w:rPr>
          <w:lang w:val="fr-CA"/>
        </w:rPr>
        <w:t>e Gouvernement</w:t>
      </w:r>
      <w:r>
        <w:rPr>
          <w:lang w:val="fr-CA"/>
        </w:rPr>
        <w:t xml:space="preserve"> avait en outre pris des engagements auprès des entreprises de solvants pour qu’elles apportent un financement de contrepartie qui permettrait de reconvertir un grand nombre de PME</w:t>
      </w:r>
      <w:r w:rsidRPr="009608C8">
        <w:rPr>
          <w:lang w:val="fr-CA"/>
        </w:rPr>
        <w:t xml:space="preserve">. </w:t>
      </w:r>
    </w:p>
    <w:p w14:paraId="6FF588F8" w14:textId="77777777" w:rsidR="00CC3427" w:rsidRPr="0097372D" w:rsidRDefault="00CC3427" w:rsidP="00CC3427">
      <w:pPr>
        <w:pStyle w:val="Heading1"/>
        <w:rPr>
          <w:lang w:val="fr-CA"/>
        </w:rPr>
      </w:pPr>
      <w:r>
        <w:rPr>
          <w:lang w:val="fr-CA"/>
        </w:rPr>
        <w:t>Le PNUD</w:t>
      </w:r>
      <w:r w:rsidRPr="0097372D">
        <w:rPr>
          <w:lang w:val="fr-CA"/>
        </w:rPr>
        <w:t xml:space="preserve"> </w:t>
      </w:r>
      <w:r>
        <w:rPr>
          <w:lang w:val="fr-CA"/>
        </w:rPr>
        <w:t>a expliqué par ailleurs que l’élimination dans ces entreprises de solvants fera l’objet d’une surveillance étroite, notamment par le renforcement des capacités des BEE locaux</w:t>
      </w:r>
      <w:r w:rsidRPr="0097372D">
        <w:rPr>
          <w:lang w:val="fr-CA"/>
        </w:rPr>
        <w:t xml:space="preserve"> (</w:t>
      </w:r>
      <w:r>
        <w:rPr>
          <w:lang w:val="fr-CA"/>
        </w:rPr>
        <w:t xml:space="preserve">la formation et le renforcement des capacités des BEE aux fins de supervision et d’inspection des activités liées aux SAO sont prévus pour </w:t>
      </w:r>
      <w:r w:rsidRPr="0097372D">
        <w:rPr>
          <w:lang w:val="fr-CA"/>
        </w:rPr>
        <w:t xml:space="preserve">2021). </w:t>
      </w:r>
      <w:r>
        <w:rPr>
          <w:lang w:val="fr-CA"/>
        </w:rPr>
        <w:t xml:space="preserve">Le </w:t>
      </w:r>
      <w:r w:rsidRPr="0097372D">
        <w:rPr>
          <w:lang w:val="fr-CA"/>
        </w:rPr>
        <w:t xml:space="preserve">MEE </w:t>
      </w:r>
      <w:r>
        <w:rPr>
          <w:lang w:val="fr-CA"/>
        </w:rPr>
        <w:t xml:space="preserve">a également publié à titre d’essai des lignes directrices sur la </w:t>
      </w:r>
      <w:r w:rsidRPr="0097372D">
        <w:rPr>
          <w:lang w:val="fr-CA"/>
        </w:rPr>
        <w:t xml:space="preserve">supervision </w:t>
      </w:r>
      <w:r>
        <w:rPr>
          <w:lang w:val="fr-CA"/>
        </w:rPr>
        <w:t xml:space="preserve">des SAO et la formation d’administrateurs des gouvernements provinciaux, municipaux et de comtés, à la gestion et au suivi de l’élimination des </w:t>
      </w:r>
      <w:r w:rsidRPr="0097372D">
        <w:rPr>
          <w:lang w:val="fr-CA"/>
        </w:rPr>
        <w:t>HCFC.</w:t>
      </w:r>
    </w:p>
    <w:p w14:paraId="399495AB" w14:textId="77777777" w:rsidR="00CC3427" w:rsidRPr="0097372D" w:rsidRDefault="00CC3427" w:rsidP="00CC3427">
      <w:pPr>
        <w:pStyle w:val="Heading1"/>
        <w:rPr>
          <w:lang w:val="fr-CA"/>
        </w:rPr>
      </w:pPr>
      <w:r>
        <w:rPr>
          <w:lang w:val="fr-CA"/>
        </w:rPr>
        <w:t xml:space="preserve">Le PNUD a expliqué la différence entre le coût des services de consultation au titre de l’AT et le même coût qui est inclus dans le budget du </w:t>
      </w:r>
      <w:r w:rsidRPr="0097372D">
        <w:rPr>
          <w:lang w:val="fr-CA"/>
        </w:rPr>
        <w:t xml:space="preserve">PMU, </w:t>
      </w:r>
      <w:r>
        <w:rPr>
          <w:lang w:val="fr-CA"/>
        </w:rPr>
        <w:t>en précisant que les services de consultation qui font partie de l’AT sont axés principalement sur les conseils apportés aux entreprise</w:t>
      </w:r>
      <w:r w:rsidRPr="0097372D">
        <w:rPr>
          <w:lang w:val="fr-CA"/>
        </w:rPr>
        <w:t xml:space="preserve">s </w:t>
      </w:r>
      <w:r>
        <w:rPr>
          <w:lang w:val="fr-CA"/>
        </w:rPr>
        <w:t>dans le secteur des solvants</w:t>
      </w:r>
      <w:r w:rsidRPr="0097372D">
        <w:rPr>
          <w:lang w:val="fr-CA"/>
        </w:rPr>
        <w:t>,</w:t>
      </w:r>
      <w:r>
        <w:rPr>
          <w:lang w:val="fr-CA"/>
        </w:rPr>
        <w:t xml:space="preserve"> tandis que le coût inclus dans le PMU couvre les conseils apportés au personnel du </w:t>
      </w:r>
      <w:r w:rsidRPr="0097372D">
        <w:rPr>
          <w:lang w:val="fr-CA"/>
        </w:rPr>
        <w:t>FECO</w:t>
      </w:r>
      <w:r>
        <w:rPr>
          <w:lang w:val="fr-CA"/>
        </w:rPr>
        <w:t xml:space="preserve"> durant la gestion et la supervision du projet</w:t>
      </w:r>
      <w:r w:rsidRPr="0097372D">
        <w:rPr>
          <w:lang w:val="fr-CA"/>
        </w:rPr>
        <w:t>.</w:t>
      </w:r>
    </w:p>
    <w:p w14:paraId="143E9977" w14:textId="77777777" w:rsidR="00CC3427" w:rsidRPr="0097372D" w:rsidRDefault="00CC3427" w:rsidP="003E6151">
      <w:pPr>
        <w:pStyle w:val="Heading1"/>
        <w:keepNext/>
        <w:keepLines/>
        <w:numPr>
          <w:ilvl w:val="0"/>
          <w:numId w:val="0"/>
        </w:numPr>
        <w:rPr>
          <w:lang w:val="fr-CA"/>
        </w:rPr>
      </w:pPr>
      <w:r w:rsidRPr="0097372D">
        <w:rPr>
          <w:b/>
          <w:lang w:val="fr-CA"/>
        </w:rPr>
        <w:lastRenderedPageBreak/>
        <w:t>Recomm</w:t>
      </w:r>
      <w:r>
        <w:rPr>
          <w:b/>
          <w:lang w:val="fr-CA"/>
        </w:rPr>
        <w:t>a</w:t>
      </w:r>
      <w:r w:rsidRPr="0097372D">
        <w:rPr>
          <w:b/>
          <w:lang w:val="fr-CA"/>
        </w:rPr>
        <w:t>ndation</w:t>
      </w:r>
    </w:p>
    <w:p w14:paraId="409223A0" w14:textId="13E10A45" w:rsidR="00CC3427" w:rsidRPr="0097372D" w:rsidRDefault="00CC3427" w:rsidP="00CC3427">
      <w:pPr>
        <w:pStyle w:val="Heading1"/>
        <w:rPr>
          <w:lang w:val="fr-CA"/>
        </w:rPr>
      </w:pPr>
      <w:r>
        <w:rPr>
          <w:lang w:val="fr-CA"/>
        </w:rPr>
        <w:t>L</w:t>
      </w:r>
      <w:r w:rsidRPr="0097372D">
        <w:rPr>
          <w:lang w:val="fr-CA"/>
        </w:rPr>
        <w:t xml:space="preserve">e </w:t>
      </w:r>
      <w:r>
        <w:rPr>
          <w:lang w:val="fr-CA"/>
        </w:rPr>
        <w:t>Comité exécutif</w:t>
      </w:r>
      <w:r w:rsidRPr="0097372D">
        <w:rPr>
          <w:lang w:val="fr-CA"/>
        </w:rPr>
        <w:t xml:space="preserve"> </w:t>
      </w:r>
      <w:r>
        <w:rPr>
          <w:lang w:val="fr-CA"/>
        </w:rPr>
        <w:t>est invité à approuver le plan d’action révisé de la phase</w:t>
      </w:r>
      <w:r w:rsidRPr="0097372D">
        <w:rPr>
          <w:lang w:val="fr-CA"/>
        </w:rPr>
        <w:t xml:space="preserve"> II </w:t>
      </w:r>
      <w:r>
        <w:rPr>
          <w:lang w:val="fr-CA"/>
        </w:rPr>
        <w:t>du plan sectoriel pour les solvants, soumis par le PNUD</w:t>
      </w:r>
      <w:r w:rsidRPr="0097372D">
        <w:rPr>
          <w:lang w:val="fr-CA"/>
        </w:rPr>
        <w:t xml:space="preserve"> </w:t>
      </w:r>
      <w:r>
        <w:rPr>
          <w:lang w:val="fr-CA"/>
        </w:rPr>
        <w:t>conformément à la décision</w:t>
      </w:r>
      <w:r w:rsidRPr="0097372D">
        <w:rPr>
          <w:lang w:val="fr-CA"/>
        </w:rPr>
        <w:t> 84/69(a)(iv)b</w:t>
      </w:r>
      <w:r w:rsidR="003E6151">
        <w:rPr>
          <w:lang w:val="fr-CA"/>
        </w:rPr>
        <w:t>.</w:t>
      </w:r>
      <w:r w:rsidRPr="0097372D">
        <w:rPr>
          <w:lang w:val="fr-CA"/>
        </w:rPr>
        <w:t xml:space="preserve"> </w:t>
      </w:r>
      <w:r>
        <w:rPr>
          <w:lang w:val="fr-CA"/>
        </w:rPr>
        <w:t>et</w:t>
      </w:r>
      <w:r w:rsidRPr="0097372D">
        <w:rPr>
          <w:lang w:val="fr-CA"/>
        </w:rPr>
        <w:t xml:space="preserve"> (v)</w:t>
      </w:r>
      <w:r>
        <w:rPr>
          <w:lang w:val="fr-CA"/>
        </w:rPr>
        <w:t xml:space="preserve">, tel que décrit dans le </w:t>
      </w:r>
      <w:r w:rsidRPr="0097372D">
        <w:rPr>
          <w:lang w:val="fr-CA"/>
        </w:rPr>
        <w:t>document UNEP/OzL.Pro/ExCom/86/21/Add.1.</w:t>
      </w:r>
    </w:p>
    <w:p w14:paraId="416D9036" w14:textId="77777777" w:rsidR="00CC3427" w:rsidRPr="0097372D" w:rsidRDefault="00CC3427" w:rsidP="00CC3427">
      <w:pPr>
        <w:jc w:val="left"/>
        <w:rPr>
          <w:lang w:val="fr-CA"/>
        </w:rPr>
      </w:pPr>
      <w:r w:rsidRPr="0097372D">
        <w:rPr>
          <w:lang w:val="fr-CA"/>
        </w:rPr>
        <w:br w:type="page"/>
      </w:r>
    </w:p>
    <w:p w14:paraId="3654D89E" w14:textId="3B1D12C9" w:rsidR="00CC3427" w:rsidRPr="0097372D" w:rsidRDefault="00CC3427" w:rsidP="00CC3427">
      <w:pPr>
        <w:spacing w:after="240"/>
        <w:ind w:left="1440" w:hanging="1440"/>
        <w:rPr>
          <w:lang w:val="fr-CA"/>
        </w:rPr>
      </w:pPr>
      <w:r w:rsidRPr="0097372D">
        <w:rPr>
          <w:b/>
          <w:lang w:val="fr-CA"/>
        </w:rPr>
        <w:lastRenderedPageBreak/>
        <w:t>PART</w:t>
      </w:r>
      <w:r>
        <w:rPr>
          <w:b/>
          <w:lang w:val="fr-CA"/>
        </w:rPr>
        <w:t xml:space="preserve">IE </w:t>
      </w:r>
      <w:r w:rsidRPr="0097372D">
        <w:rPr>
          <w:b/>
          <w:lang w:val="fr-CA"/>
        </w:rPr>
        <w:t>IV</w:t>
      </w:r>
      <w:r w:rsidR="003E6151">
        <w:rPr>
          <w:b/>
          <w:lang w:val="fr-CA"/>
        </w:rPr>
        <w:t xml:space="preserve"> </w:t>
      </w:r>
      <w:r w:rsidRPr="0097372D">
        <w:rPr>
          <w:b/>
          <w:lang w:val="fr-CA"/>
        </w:rPr>
        <w:t xml:space="preserve">: </w:t>
      </w:r>
      <w:r w:rsidRPr="0097372D">
        <w:rPr>
          <w:b/>
          <w:lang w:val="fr-CA"/>
        </w:rPr>
        <w:tab/>
        <w:t>R</w:t>
      </w:r>
      <w:r>
        <w:rPr>
          <w:b/>
          <w:lang w:val="fr-CA"/>
        </w:rPr>
        <w:t>AP</w:t>
      </w:r>
      <w:r w:rsidRPr="0097372D">
        <w:rPr>
          <w:b/>
          <w:lang w:val="fr-CA"/>
        </w:rPr>
        <w:t xml:space="preserve">PORT </w:t>
      </w:r>
      <w:r>
        <w:rPr>
          <w:b/>
          <w:lang w:val="fr-CA"/>
        </w:rPr>
        <w:t>PÉRIODIQUE SUR LA MISE EN ŒUVRE DES ACTIVITÉS ÉNUMÉRÉES DANS LA DÉCISION</w:t>
      </w:r>
      <w:r w:rsidRPr="0097372D">
        <w:rPr>
          <w:b/>
          <w:lang w:val="fr-CA"/>
        </w:rPr>
        <w:t> 83/41(e)</w:t>
      </w:r>
    </w:p>
    <w:p w14:paraId="7007072D" w14:textId="77777777" w:rsidR="00CC3427" w:rsidRPr="0097372D" w:rsidRDefault="00CC3427" w:rsidP="00CC3427">
      <w:pPr>
        <w:rPr>
          <w:b/>
          <w:lang w:val="fr-CA"/>
        </w:rPr>
      </w:pPr>
      <w:r>
        <w:rPr>
          <w:b/>
          <w:lang w:val="fr-CA"/>
        </w:rPr>
        <w:t>Historique</w:t>
      </w:r>
      <w:r w:rsidRPr="0097372D">
        <w:rPr>
          <w:b/>
          <w:lang w:val="fr-CA"/>
        </w:rPr>
        <w:t xml:space="preserve"> </w:t>
      </w:r>
    </w:p>
    <w:p w14:paraId="58AB4B1F" w14:textId="77777777" w:rsidR="00CC3427" w:rsidRPr="0097372D" w:rsidRDefault="00CC3427" w:rsidP="00CC3427">
      <w:pPr>
        <w:rPr>
          <w:lang w:val="fr-CA"/>
        </w:rPr>
      </w:pPr>
    </w:p>
    <w:p w14:paraId="3E6DD52E" w14:textId="7BA4D8CD" w:rsidR="00CC3427" w:rsidRPr="0097372D" w:rsidRDefault="00CC3427" w:rsidP="00CC3427">
      <w:pPr>
        <w:pStyle w:val="Heading1"/>
        <w:rPr>
          <w:lang w:val="fr-CA"/>
        </w:rPr>
      </w:pPr>
      <w:r>
        <w:rPr>
          <w:lang w:val="fr-CA"/>
        </w:rPr>
        <w:t xml:space="preserve">À sa </w:t>
      </w:r>
      <w:r w:rsidRPr="0097372D">
        <w:rPr>
          <w:lang w:val="fr-CA"/>
        </w:rPr>
        <w:t>83</w:t>
      </w:r>
      <w:r>
        <w:rPr>
          <w:vertAlign w:val="superscript"/>
          <w:lang w:val="fr-CA"/>
        </w:rPr>
        <w:t>e</w:t>
      </w:r>
      <w:r w:rsidRPr="0097372D">
        <w:rPr>
          <w:lang w:val="fr-CA"/>
        </w:rPr>
        <w:t> </w:t>
      </w:r>
      <w:r>
        <w:rPr>
          <w:lang w:val="fr-CA"/>
        </w:rPr>
        <w:t>réunion</w:t>
      </w:r>
      <w:r w:rsidRPr="0097372D">
        <w:rPr>
          <w:lang w:val="fr-CA"/>
        </w:rPr>
        <w:t xml:space="preserve">, </w:t>
      </w:r>
      <w:r>
        <w:rPr>
          <w:lang w:val="fr-CA"/>
        </w:rPr>
        <w:t>l</w:t>
      </w:r>
      <w:r w:rsidRPr="0097372D">
        <w:rPr>
          <w:lang w:val="fr-CA"/>
        </w:rPr>
        <w:t xml:space="preserve">e </w:t>
      </w:r>
      <w:r>
        <w:rPr>
          <w:lang w:val="fr-CA"/>
        </w:rPr>
        <w:t>Comité exécutif</w:t>
      </w:r>
      <w:r w:rsidRPr="0097372D">
        <w:rPr>
          <w:lang w:val="fr-CA"/>
        </w:rPr>
        <w:t xml:space="preserve"> </w:t>
      </w:r>
      <w:r>
        <w:rPr>
          <w:lang w:val="fr-CA"/>
        </w:rPr>
        <w:t xml:space="preserve">a examiné les deux </w:t>
      </w:r>
      <w:r w:rsidRPr="0097372D">
        <w:rPr>
          <w:lang w:val="fr-CA"/>
        </w:rPr>
        <w:t>documents</w:t>
      </w:r>
      <w:r>
        <w:rPr>
          <w:lang w:val="fr-CA"/>
        </w:rPr>
        <w:t xml:space="preserve"> ci-après</w:t>
      </w:r>
      <w:r w:rsidR="003E6151">
        <w:rPr>
          <w:lang w:val="fr-CA"/>
        </w:rPr>
        <w:t xml:space="preserve"> </w:t>
      </w:r>
      <w:r w:rsidRPr="0097372D">
        <w:rPr>
          <w:lang w:val="fr-CA"/>
        </w:rPr>
        <w:t>:</w:t>
      </w:r>
    </w:p>
    <w:p w14:paraId="1698154A" w14:textId="56770993" w:rsidR="00CC3427" w:rsidRPr="0097372D" w:rsidRDefault="00CC3427" w:rsidP="00CC3427">
      <w:pPr>
        <w:pStyle w:val="Heading2"/>
        <w:numPr>
          <w:ilvl w:val="1"/>
          <w:numId w:val="1"/>
        </w:numPr>
        <w:rPr>
          <w:lang w:val="fr-CA"/>
        </w:rPr>
      </w:pPr>
      <w:r>
        <w:rPr>
          <w:lang w:val="fr-CA"/>
        </w:rPr>
        <w:t>Examen des systèmes actuels de surveillance, de compte rendu, de vérification</w:t>
      </w:r>
      <w:r w:rsidRPr="0097372D">
        <w:rPr>
          <w:lang w:val="fr-CA"/>
        </w:rPr>
        <w:t xml:space="preserve"> </w:t>
      </w:r>
      <w:r>
        <w:rPr>
          <w:lang w:val="fr-CA"/>
        </w:rPr>
        <w:t xml:space="preserve">et d’application </w:t>
      </w:r>
      <w:r w:rsidRPr="0097372D">
        <w:rPr>
          <w:lang w:val="fr-CA"/>
        </w:rPr>
        <w:t>(MRVE)</w:t>
      </w:r>
      <w:r>
        <w:rPr>
          <w:lang w:val="fr-CA"/>
        </w:rPr>
        <w:t>,</w:t>
      </w:r>
      <w:r w:rsidRPr="0097372D">
        <w:rPr>
          <w:lang w:val="fr-CA"/>
        </w:rPr>
        <w:t xml:space="preserve"> </w:t>
      </w:r>
      <w:r>
        <w:rPr>
          <w:lang w:val="fr-CA"/>
        </w:rPr>
        <w:t xml:space="preserve">conformément aux Accords conclus entre le Gouvernement chinois et le Comité exécutif sur le plan de gestion de l’élimination de la consommation et de la production de </w:t>
      </w:r>
      <w:r w:rsidRPr="0097372D">
        <w:rPr>
          <w:lang w:val="fr-CA"/>
        </w:rPr>
        <w:t>HCFC</w:t>
      </w:r>
      <w:r>
        <w:rPr>
          <w:lang w:val="fr-CA"/>
        </w:rPr>
        <w:t>, soumis par le PNUD</w:t>
      </w:r>
      <w:r w:rsidRPr="0097372D">
        <w:rPr>
          <w:lang w:val="fr-CA"/>
        </w:rPr>
        <w:t xml:space="preserve"> </w:t>
      </w:r>
      <w:r>
        <w:rPr>
          <w:lang w:val="fr-CA"/>
        </w:rPr>
        <w:t>au nom du Gouvernement de la Chine</w:t>
      </w:r>
      <w:r w:rsidRPr="0097372D">
        <w:rPr>
          <w:lang w:val="fr-CA"/>
        </w:rPr>
        <w:t xml:space="preserve">, </w:t>
      </w:r>
      <w:r>
        <w:rPr>
          <w:lang w:val="fr-CA"/>
        </w:rPr>
        <w:t>en application des décision</w:t>
      </w:r>
      <w:r w:rsidRPr="0097372D">
        <w:rPr>
          <w:lang w:val="fr-CA"/>
        </w:rPr>
        <w:t xml:space="preserve">s 82/65 </w:t>
      </w:r>
      <w:r>
        <w:rPr>
          <w:lang w:val="fr-CA"/>
        </w:rPr>
        <w:t>et</w:t>
      </w:r>
      <w:r w:rsidRPr="0097372D">
        <w:rPr>
          <w:lang w:val="fr-CA"/>
        </w:rPr>
        <w:t xml:space="preserve"> 82/71(a)</w:t>
      </w:r>
      <w:r w:rsidR="003E6151">
        <w:rPr>
          <w:lang w:val="fr-CA"/>
        </w:rPr>
        <w:t xml:space="preserve"> </w:t>
      </w:r>
      <w:r w:rsidRPr="0097372D">
        <w:rPr>
          <w:lang w:val="fr-CA"/>
        </w:rPr>
        <w:t>;</w:t>
      </w:r>
      <w:r w:rsidR="003E6151">
        <w:rPr>
          <w:lang w:val="fr-CA"/>
        </w:rPr>
        <w:t xml:space="preserve"> et</w:t>
      </w:r>
      <w:r w:rsidRPr="0097372D">
        <w:rPr>
          <w:lang w:val="fr-CA"/>
        </w:rPr>
        <w:t xml:space="preserve"> </w:t>
      </w:r>
    </w:p>
    <w:p w14:paraId="6375679C" w14:textId="77777777" w:rsidR="00CC3427" w:rsidRPr="0097372D" w:rsidRDefault="00CC3427" w:rsidP="00CC3427">
      <w:pPr>
        <w:pStyle w:val="Heading2"/>
        <w:numPr>
          <w:ilvl w:val="1"/>
          <w:numId w:val="1"/>
        </w:numPr>
        <w:rPr>
          <w:lang w:val="fr-CA"/>
        </w:rPr>
      </w:pPr>
      <w:r>
        <w:rPr>
          <w:lang w:val="fr-CA"/>
        </w:rPr>
        <w:t>Étude documentaire sur le système actuel de surveillance de la consommation</w:t>
      </w:r>
      <w:r w:rsidRPr="0097372D">
        <w:rPr>
          <w:lang w:val="fr-CA"/>
        </w:rPr>
        <w:t xml:space="preserve"> </w:t>
      </w:r>
      <w:r>
        <w:rPr>
          <w:lang w:val="fr-CA"/>
        </w:rPr>
        <w:t>d’agents de gonflage des mousses par les entreprises recevant une assistance durant la phase</w:t>
      </w:r>
      <w:r w:rsidRPr="0097372D">
        <w:rPr>
          <w:lang w:val="fr-CA"/>
        </w:rPr>
        <w:t xml:space="preserve"> I </w:t>
      </w:r>
      <w:r>
        <w:rPr>
          <w:lang w:val="fr-CA"/>
        </w:rPr>
        <w:t xml:space="preserve">du de gestion de l’élimination de </w:t>
      </w:r>
      <w:r w:rsidRPr="0097372D">
        <w:rPr>
          <w:lang w:val="fr-CA"/>
        </w:rPr>
        <w:t xml:space="preserve">HCFC </w:t>
      </w:r>
      <w:r>
        <w:rPr>
          <w:lang w:val="fr-CA"/>
        </w:rPr>
        <w:t>et méthodologie de vérification</w:t>
      </w:r>
      <w:r w:rsidRPr="0097372D">
        <w:rPr>
          <w:lang w:val="fr-CA"/>
        </w:rPr>
        <w:t xml:space="preserve"> </w:t>
      </w:r>
      <w:r>
        <w:rPr>
          <w:lang w:val="fr-CA"/>
        </w:rPr>
        <w:t>soumise par la Banque mondiale</w:t>
      </w:r>
      <w:r w:rsidRPr="0097372D">
        <w:rPr>
          <w:lang w:val="fr-CA"/>
        </w:rPr>
        <w:t xml:space="preserve"> </w:t>
      </w:r>
      <w:r>
        <w:rPr>
          <w:lang w:val="fr-CA"/>
        </w:rPr>
        <w:t>au nom du Gouvernement de la Chine, en application de la décision</w:t>
      </w:r>
      <w:r w:rsidRPr="0097372D">
        <w:rPr>
          <w:lang w:val="fr-CA"/>
        </w:rPr>
        <w:t xml:space="preserve"> 82/67(c). </w:t>
      </w:r>
    </w:p>
    <w:p w14:paraId="2A14C090" w14:textId="663229B3" w:rsidR="00CC3427" w:rsidRPr="0097372D" w:rsidRDefault="00CC3427" w:rsidP="00CC3427">
      <w:pPr>
        <w:pStyle w:val="Heading1"/>
        <w:rPr>
          <w:lang w:val="fr-CA"/>
        </w:rPr>
      </w:pPr>
      <w:r>
        <w:rPr>
          <w:lang w:val="fr-CA"/>
        </w:rPr>
        <w:t xml:space="preserve">Dans ses </w:t>
      </w:r>
      <w:r w:rsidRPr="0097372D">
        <w:rPr>
          <w:lang w:val="fr-CA"/>
        </w:rPr>
        <w:t xml:space="preserve">délibérations, </w:t>
      </w:r>
      <w:r>
        <w:rPr>
          <w:lang w:val="fr-CA"/>
        </w:rPr>
        <w:t>le Comité a, entre autres, noté avec satisfaction plusieurs mesures de réglementation et d’application que le Gouvernement devait prendre</w:t>
      </w:r>
      <w:r w:rsidR="003E6151">
        <w:rPr>
          <w:lang w:val="fr-CA"/>
        </w:rPr>
        <w:t xml:space="preserve"> </w:t>
      </w:r>
      <w:r w:rsidRPr="0097372D">
        <w:rPr>
          <w:lang w:val="fr-CA"/>
        </w:rPr>
        <w:t xml:space="preserve">; </w:t>
      </w:r>
      <w:r>
        <w:rPr>
          <w:lang w:val="fr-CA"/>
        </w:rPr>
        <w:t>il a aussi noté avec satisfaction que le Gouvernement prendra d’autres mesures à l’appui de mesures d’application</w:t>
      </w:r>
      <w:r w:rsidR="003E6151">
        <w:rPr>
          <w:lang w:val="fr-CA"/>
        </w:rPr>
        <w:t xml:space="preserve"> </w:t>
      </w:r>
      <w:r w:rsidRPr="0097372D">
        <w:rPr>
          <w:lang w:val="fr-CA"/>
        </w:rPr>
        <w:t xml:space="preserve">; </w:t>
      </w:r>
      <w:r>
        <w:rPr>
          <w:lang w:val="fr-CA"/>
        </w:rPr>
        <w:t>enfin, il a noté avec satisfaction que le Gouvernement sera saisi d’une série de suggestions pour compléter et renforcer ses mesures de règlementation et d’application</w:t>
      </w:r>
      <w:r w:rsidRPr="0097372D">
        <w:rPr>
          <w:lang w:val="fr-CA"/>
        </w:rPr>
        <w:t xml:space="preserve">s. </w:t>
      </w:r>
      <w:r>
        <w:rPr>
          <w:lang w:val="fr-CA"/>
        </w:rPr>
        <w:t>Enfin, le Comité exécutif</w:t>
      </w:r>
      <w:r w:rsidRPr="0097372D">
        <w:rPr>
          <w:lang w:val="fr-CA"/>
        </w:rPr>
        <w:t xml:space="preserve"> a</w:t>
      </w:r>
      <w:r>
        <w:rPr>
          <w:lang w:val="fr-CA"/>
        </w:rPr>
        <w:t xml:space="preserve"> noté que le Gouvernement de la Chine</w:t>
      </w:r>
      <w:r w:rsidRPr="0097372D">
        <w:rPr>
          <w:lang w:val="fr-CA"/>
        </w:rPr>
        <w:t xml:space="preserve"> </w:t>
      </w:r>
      <w:r>
        <w:rPr>
          <w:lang w:val="fr-CA"/>
        </w:rPr>
        <w:t xml:space="preserve">soumettra à la </w:t>
      </w:r>
      <w:r w:rsidRPr="0097372D">
        <w:rPr>
          <w:lang w:val="fr-CA"/>
        </w:rPr>
        <w:t>84</w:t>
      </w:r>
      <w:r>
        <w:rPr>
          <w:vertAlign w:val="superscript"/>
          <w:lang w:val="fr-CA"/>
        </w:rPr>
        <w:t>e</w:t>
      </w:r>
      <w:r w:rsidRPr="0097372D">
        <w:rPr>
          <w:lang w:val="fr-CA"/>
        </w:rPr>
        <w:t> </w:t>
      </w:r>
      <w:r>
        <w:rPr>
          <w:lang w:val="fr-CA"/>
        </w:rPr>
        <w:t xml:space="preserve">réunion et à la </w:t>
      </w:r>
      <w:r w:rsidRPr="0097372D">
        <w:rPr>
          <w:lang w:val="fr-CA"/>
        </w:rPr>
        <w:t>86</w:t>
      </w:r>
      <w:r>
        <w:rPr>
          <w:vertAlign w:val="superscript"/>
          <w:lang w:val="fr-CA"/>
        </w:rPr>
        <w:t>e</w:t>
      </w:r>
      <w:r w:rsidRPr="0097372D">
        <w:rPr>
          <w:lang w:val="fr-CA"/>
        </w:rPr>
        <w:t> </w:t>
      </w:r>
      <w:r>
        <w:rPr>
          <w:lang w:val="fr-CA"/>
        </w:rPr>
        <w:t xml:space="preserve">réunion un rapport d’avancement sur la mise en œuvre des activités décrites dans les alinéas </w:t>
      </w:r>
      <w:r w:rsidRPr="0097372D">
        <w:rPr>
          <w:lang w:val="fr-CA"/>
        </w:rPr>
        <w:t>(a) </w:t>
      </w:r>
      <w:r>
        <w:rPr>
          <w:lang w:val="fr-CA"/>
        </w:rPr>
        <w:t>à</w:t>
      </w:r>
      <w:r w:rsidRPr="0097372D">
        <w:rPr>
          <w:lang w:val="fr-CA"/>
        </w:rPr>
        <w:t xml:space="preserve"> (d) </w:t>
      </w:r>
      <w:r>
        <w:rPr>
          <w:lang w:val="fr-CA"/>
        </w:rPr>
        <w:t>de la</w:t>
      </w:r>
      <w:r w:rsidRPr="0097372D">
        <w:rPr>
          <w:lang w:val="fr-CA"/>
        </w:rPr>
        <w:t xml:space="preserve"> </w:t>
      </w:r>
      <w:r>
        <w:rPr>
          <w:lang w:val="fr-CA"/>
        </w:rPr>
        <w:t>décision</w:t>
      </w:r>
      <w:r w:rsidRPr="0097372D">
        <w:rPr>
          <w:lang w:val="fr-CA"/>
        </w:rPr>
        <w:t> 83/41.</w:t>
      </w:r>
    </w:p>
    <w:p w14:paraId="792C1592" w14:textId="77777777" w:rsidR="00CC3427" w:rsidRPr="0097372D" w:rsidRDefault="00CC3427" w:rsidP="00CC3427">
      <w:pPr>
        <w:pStyle w:val="Heading1"/>
        <w:rPr>
          <w:lang w:val="fr-CA"/>
        </w:rPr>
      </w:pPr>
      <w:r>
        <w:rPr>
          <w:lang w:val="fr-CA"/>
        </w:rPr>
        <w:t xml:space="preserve">À sa </w:t>
      </w:r>
      <w:r w:rsidRPr="0097372D">
        <w:rPr>
          <w:lang w:val="fr-CA"/>
        </w:rPr>
        <w:t>84</w:t>
      </w:r>
      <w:r>
        <w:rPr>
          <w:vertAlign w:val="superscript"/>
          <w:lang w:val="fr-CA"/>
        </w:rPr>
        <w:t>e</w:t>
      </w:r>
      <w:r w:rsidRPr="0097372D">
        <w:rPr>
          <w:lang w:val="fr-CA"/>
        </w:rPr>
        <w:t> </w:t>
      </w:r>
      <w:r>
        <w:rPr>
          <w:lang w:val="fr-CA"/>
        </w:rPr>
        <w:t>réunion</w:t>
      </w:r>
      <w:r w:rsidRPr="0097372D">
        <w:rPr>
          <w:lang w:val="fr-CA"/>
        </w:rPr>
        <w:t xml:space="preserve">, </w:t>
      </w:r>
      <w:r>
        <w:rPr>
          <w:lang w:val="fr-CA"/>
        </w:rPr>
        <w:t>l</w:t>
      </w:r>
      <w:r w:rsidRPr="0097372D">
        <w:rPr>
          <w:lang w:val="fr-CA"/>
        </w:rPr>
        <w:t xml:space="preserve">e </w:t>
      </w:r>
      <w:r>
        <w:rPr>
          <w:lang w:val="fr-CA"/>
        </w:rPr>
        <w:t>Comité exécutif</w:t>
      </w:r>
      <w:r w:rsidRPr="0097372D">
        <w:rPr>
          <w:lang w:val="fr-CA"/>
        </w:rPr>
        <w:t xml:space="preserve"> </w:t>
      </w:r>
      <w:r>
        <w:rPr>
          <w:lang w:val="fr-CA"/>
        </w:rPr>
        <w:t>a été saisi du rapport périodique soumis par le Gouvernement de la Chine</w:t>
      </w:r>
      <w:r w:rsidRPr="0097372D">
        <w:rPr>
          <w:lang w:val="fr-CA"/>
        </w:rPr>
        <w:t xml:space="preserve"> </w:t>
      </w:r>
      <w:r>
        <w:rPr>
          <w:lang w:val="fr-CA"/>
        </w:rPr>
        <w:t>en application de la décision</w:t>
      </w:r>
      <w:r w:rsidRPr="0097372D">
        <w:rPr>
          <w:lang w:val="fr-CA"/>
        </w:rPr>
        <w:t> 83/41(e).</w:t>
      </w:r>
      <w:r w:rsidRPr="00463B04">
        <w:rPr>
          <w:vertAlign w:val="superscript"/>
          <w:lang w:val="fr-CA"/>
        </w:rPr>
        <w:footnoteReference w:id="29"/>
      </w:r>
      <w:r w:rsidRPr="0097372D" w:rsidDel="00D959A4">
        <w:rPr>
          <w:lang w:val="fr-CA"/>
        </w:rPr>
        <w:t xml:space="preserve"> </w:t>
      </w:r>
      <w:r>
        <w:rPr>
          <w:lang w:val="fr-CA"/>
        </w:rPr>
        <w:t>À l’issue de ses débats, le Comité exécutif</w:t>
      </w:r>
      <w:r w:rsidRPr="0097372D">
        <w:rPr>
          <w:lang w:val="fr-CA"/>
        </w:rPr>
        <w:t xml:space="preserve"> </w:t>
      </w:r>
      <w:r>
        <w:rPr>
          <w:lang w:val="fr-CA"/>
        </w:rPr>
        <w:t xml:space="preserve">a pris note des </w:t>
      </w:r>
      <w:r w:rsidRPr="0097372D">
        <w:rPr>
          <w:lang w:val="fr-CA"/>
        </w:rPr>
        <w:t>information</w:t>
      </w:r>
      <w:r>
        <w:rPr>
          <w:lang w:val="fr-CA"/>
        </w:rPr>
        <w:t>s</w:t>
      </w:r>
      <w:r w:rsidRPr="0097372D">
        <w:rPr>
          <w:lang w:val="fr-CA"/>
        </w:rPr>
        <w:t xml:space="preserve"> </w:t>
      </w:r>
      <w:r>
        <w:rPr>
          <w:lang w:val="fr-CA"/>
        </w:rPr>
        <w:t>fournies par le représentant du Gouvernement de la Chine</w:t>
      </w:r>
      <w:r w:rsidRPr="0097372D">
        <w:rPr>
          <w:lang w:val="fr-CA"/>
        </w:rPr>
        <w:t xml:space="preserve"> </w:t>
      </w:r>
      <w:r>
        <w:rPr>
          <w:lang w:val="fr-CA"/>
        </w:rPr>
        <w:t>sur l’exécution des activités décrites dans la décision</w:t>
      </w:r>
      <w:r w:rsidRPr="0097372D">
        <w:rPr>
          <w:lang w:val="fr-CA"/>
        </w:rPr>
        <w:t> 83/41.</w:t>
      </w:r>
    </w:p>
    <w:p w14:paraId="2B448A43" w14:textId="77777777" w:rsidR="00CC3427" w:rsidRPr="0097372D" w:rsidRDefault="00CC3427" w:rsidP="00CC3427">
      <w:pPr>
        <w:pStyle w:val="Heading1"/>
        <w:rPr>
          <w:lang w:val="fr-CA"/>
        </w:rPr>
      </w:pPr>
      <w:r>
        <w:rPr>
          <w:lang w:val="fr-CA"/>
        </w:rPr>
        <w:t>L</w:t>
      </w:r>
      <w:r w:rsidRPr="0097372D">
        <w:rPr>
          <w:lang w:val="fr-CA"/>
        </w:rPr>
        <w:t xml:space="preserve">e </w:t>
      </w:r>
      <w:r>
        <w:rPr>
          <w:lang w:val="fr-CA"/>
        </w:rPr>
        <w:t>Gouvernement de la Chine</w:t>
      </w:r>
      <w:r w:rsidRPr="0097372D">
        <w:rPr>
          <w:lang w:val="fr-CA"/>
        </w:rPr>
        <w:t xml:space="preserve"> </w:t>
      </w:r>
      <w:r>
        <w:rPr>
          <w:lang w:val="fr-CA"/>
        </w:rPr>
        <w:t xml:space="preserve">a soumis à la </w:t>
      </w:r>
      <w:r w:rsidRPr="0097372D">
        <w:rPr>
          <w:lang w:val="fr-CA"/>
        </w:rPr>
        <w:t>86</w:t>
      </w:r>
      <w:r>
        <w:rPr>
          <w:vertAlign w:val="superscript"/>
          <w:lang w:val="fr-CA"/>
        </w:rPr>
        <w:t>e</w:t>
      </w:r>
      <w:r w:rsidRPr="0097372D">
        <w:rPr>
          <w:lang w:val="fr-CA"/>
        </w:rPr>
        <w:t> </w:t>
      </w:r>
      <w:r>
        <w:rPr>
          <w:lang w:val="fr-CA"/>
        </w:rPr>
        <w:t>réunion</w:t>
      </w:r>
      <w:r w:rsidRPr="0097372D">
        <w:rPr>
          <w:lang w:val="fr-CA"/>
        </w:rPr>
        <w:t xml:space="preserve"> </w:t>
      </w:r>
      <w:r>
        <w:rPr>
          <w:lang w:val="fr-CA"/>
        </w:rPr>
        <w:t>un rapport périodique en application de la décision</w:t>
      </w:r>
      <w:r w:rsidRPr="0097372D">
        <w:rPr>
          <w:lang w:val="fr-CA"/>
        </w:rPr>
        <w:t> 83/41 (“</w:t>
      </w:r>
      <w:r w:rsidRPr="00463B04">
        <w:rPr>
          <w:i/>
          <w:iCs/>
          <w:lang w:val="fr-CA"/>
        </w:rPr>
        <w:t>Rapport périodique</w:t>
      </w:r>
      <w:r w:rsidRPr="0097372D">
        <w:rPr>
          <w:lang w:val="fr-CA"/>
        </w:rPr>
        <w:t xml:space="preserve">”). </w:t>
      </w:r>
      <w:r>
        <w:rPr>
          <w:lang w:val="fr-CA"/>
        </w:rPr>
        <w:t>Le rapport périodique est reproduit intégralement dans la pièce jointe au pré</w:t>
      </w:r>
      <w:r w:rsidRPr="0097372D">
        <w:rPr>
          <w:lang w:val="fr-CA"/>
        </w:rPr>
        <w:t xml:space="preserve">sent document </w:t>
      </w:r>
      <w:r>
        <w:rPr>
          <w:lang w:val="fr-CA"/>
        </w:rPr>
        <w:t>sans modification ni révision</w:t>
      </w:r>
      <w:r w:rsidRPr="0097372D">
        <w:rPr>
          <w:lang w:val="fr-CA"/>
        </w:rPr>
        <w:t>.</w:t>
      </w:r>
    </w:p>
    <w:p w14:paraId="7F78E881" w14:textId="77777777" w:rsidR="00CC3427" w:rsidRPr="0097372D" w:rsidRDefault="00CC3427" w:rsidP="00CC3427">
      <w:pPr>
        <w:jc w:val="left"/>
        <w:rPr>
          <w:lang w:val="fr-CA"/>
        </w:rPr>
      </w:pPr>
      <w:r w:rsidRPr="0097372D">
        <w:rPr>
          <w:lang w:val="fr-CA"/>
        </w:rPr>
        <w:br w:type="page"/>
      </w:r>
    </w:p>
    <w:p w14:paraId="0641F9F3" w14:textId="62A78D7E" w:rsidR="00CC3427" w:rsidRPr="0097372D" w:rsidRDefault="00CC3427" w:rsidP="00CC3427">
      <w:pPr>
        <w:spacing w:after="240"/>
        <w:ind w:left="1440" w:hanging="1440"/>
        <w:rPr>
          <w:b/>
          <w:lang w:val="fr-CA"/>
        </w:rPr>
      </w:pPr>
      <w:r w:rsidRPr="0097372D">
        <w:rPr>
          <w:b/>
          <w:lang w:val="fr-CA"/>
        </w:rPr>
        <w:lastRenderedPageBreak/>
        <w:t>PART</w:t>
      </w:r>
      <w:r>
        <w:rPr>
          <w:b/>
          <w:lang w:val="fr-CA"/>
        </w:rPr>
        <w:t>IE</w:t>
      </w:r>
      <w:r w:rsidRPr="0097372D">
        <w:rPr>
          <w:b/>
          <w:lang w:val="fr-CA"/>
        </w:rPr>
        <w:t xml:space="preserve"> V</w:t>
      </w:r>
      <w:r w:rsidR="003E6151">
        <w:rPr>
          <w:b/>
          <w:lang w:val="fr-CA"/>
        </w:rPr>
        <w:t xml:space="preserve"> </w:t>
      </w:r>
      <w:r w:rsidRPr="0097372D">
        <w:rPr>
          <w:b/>
          <w:lang w:val="fr-CA"/>
        </w:rPr>
        <w:t xml:space="preserve">: </w:t>
      </w:r>
      <w:r w:rsidRPr="0097372D">
        <w:rPr>
          <w:b/>
          <w:lang w:val="fr-CA"/>
        </w:rPr>
        <w:tab/>
      </w:r>
      <w:r>
        <w:rPr>
          <w:b/>
          <w:lang w:val="fr-CA"/>
        </w:rPr>
        <w:t xml:space="preserve">ÉTUDE </w:t>
      </w:r>
      <w:bookmarkStart w:id="24" w:name="_Hlk56464438"/>
      <w:r w:rsidRPr="00ED515B">
        <w:rPr>
          <w:b/>
          <w:lang w:val="fr-CA"/>
        </w:rPr>
        <w:t xml:space="preserve">POUR DÉTERMINER LES CIRCONSTANCES RÉGLEMENTAIRES, D’EXÉCUTION, D’ORIENTATION OU DE MARCHÉ POUVANT AVOIR MENÉ À UNE UTILISATION ET UNE PRODUCTION ILLICITES DE CFC-11 ET DE CFC-12 </w:t>
      </w:r>
      <w:r w:rsidRPr="0097372D">
        <w:rPr>
          <w:b/>
          <w:lang w:val="fr-CA"/>
        </w:rPr>
        <w:t>(</w:t>
      </w:r>
      <w:r>
        <w:rPr>
          <w:b/>
          <w:lang w:val="fr-CA"/>
        </w:rPr>
        <w:t>DÉCISION</w:t>
      </w:r>
      <w:r w:rsidRPr="0097372D">
        <w:rPr>
          <w:b/>
          <w:lang w:val="fr-CA"/>
        </w:rPr>
        <w:t> 83/41(d))</w:t>
      </w:r>
      <w:bookmarkEnd w:id="24"/>
    </w:p>
    <w:p w14:paraId="2C1E89EA" w14:textId="77777777" w:rsidR="00CC3427" w:rsidRPr="0097372D" w:rsidRDefault="00CC3427" w:rsidP="00CC3427">
      <w:pPr>
        <w:rPr>
          <w:b/>
          <w:lang w:val="fr-CA"/>
        </w:rPr>
      </w:pPr>
      <w:r>
        <w:rPr>
          <w:b/>
          <w:lang w:val="fr-CA"/>
        </w:rPr>
        <w:t>Historique</w:t>
      </w:r>
      <w:r w:rsidRPr="0097372D">
        <w:rPr>
          <w:b/>
          <w:lang w:val="fr-CA"/>
        </w:rPr>
        <w:t xml:space="preserve"> </w:t>
      </w:r>
    </w:p>
    <w:p w14:paraId="2A9D970C" w14:textId="77777777" w:rsidR="00CC3427" w:rsidRPr="0097372D" w:rsidRDefault="00CC3427" w:rsidP="00CC3427">
      <w:pPr>
        <w:rPr>
          <w:lang w:val="fr-CA"/>
        </w:rPr>
      </w:pPr>
    </w:p>
    <w:p w14:paraId="7AB8744F" w14:textId="77777777" w:rsidR="00CC3427" w:rsidRPr="0097372D" w:rsidRDefault="00CC3427" w:rsidP="00CC3427">
      <w:pPr>
        <w:pStyle w:val="Heading1"/>
        <w:rPr>
          <w:lang w:val="fr-CA"/>
        </w:rPr>
      </w:pPr>
      <w:r>
        <w:rPr>
          <w:lang w:val="fr-CA"/>
        </w:rPr>
        <w:t xml:space="preserve">Dans le contexte de ses délibérations à la </w:t>
      </w:r>
      <w:r w:rsidRPr="0097372D">
        <w:rPr>
          <w:lang w:val="fr-CA"/>
        </w:rPr>
        <w:t>83</w:t>
      </w:r>
      <w:r>
        <w:rPr>
          <w:vertAlign w:val="superscript"/>
          <w:lang w:val="fr-CA"/>
        </w:rPr>
        <w:t>e</w:t>
      </w:r>
      <w:r w:rsidRPr="0097372D">
        <w:rPr>
          <w:lang w:val="fr-CA"/>
        </w:rPr>
        <w:t> </w:t>
      </w:r>
      <w:r>
        <w:rPr>
          <w:lang w:val="fr-CA"/>
        </w:rPr>
        <w:t>réunion</w:t>
      </w:r>
      <w:r w:rsidRPr="0097372D">
        <w:rPr>
          <w:lang w:val="fr-CA"/>
        </w:rPr>
        <w:t xml:space="preserve"> </w:t>
      </w:r>
      <w:r>
        <w:rPr>
          <w:lang w:val="fr-CA"/>
        </w:rPr>
        <w:t>sur les systèmes de MRVE de la Chine</w:t>
      </w:r>
      <w:r w:rsidRPr="0097372D">
        <w:rPr>
          <w:lang w:val="fr-CA"/>
        </w:rPr>
        <w:t xml:space="preserve">, </w:t>
      </w:r>
      <w:r>
        <w:rPr>
          <w:lang w:val="fr-CA"/>
        </w:rPr>
        <w:t>l</w:t>
      </w:r>
      <w:r w:rsidRPr="0097372D">
        <w:rPr>
          <w:lang w:val="fr-CA"/>
        </w:rPr>
        <w:t xml:space="preserve">e </w:t>
      </w:r>
      <w:r>
        <w:rPr>
          <w:lang w:val="fr-CA"/>
        </w:rPr>
        <w:t xml:space="preserve">Comité exécutif a décidé entre autres de </w:t>
      </w:r>
      <w:r w:rsidRPr="00AA2E12">
        <w:rPr>
          <w:lang w:val="fr-CA"/>
        </w:rPr>
        <w:t xml:space="preserve">prendre note que le </w:t>
      </w:r>
      <w:r>
        <w:rPr>
          <w:lang w:val="fr-CA"/>
        </w:rPr>
        <w:t>G</w:t>
      </w:r>
      <w:r w:rsidRPr="00AA2E12">
        <w:rPr>
          <w:lang w:val="fr-CA"/>
        </w:rPr>
        <w:t>ouvernement de la Chine envisagera d’embaucher un consultant non gouvernemental pour entreprendre une étude (comprenant les données quantitatives, lorsqu’elles existent, et des renseignements qualitatifs sur le marché)</w:t>
      </w:r>
      <w:r w:rsidRPr="0097372D">
        <w:rPr>
          <w:lang w:val="fr-CA"/>
        </w:rPr>
        <w:t xml:space="preserve"> </w:t>
      </w:r>
      <w:r w:rsidRPr="00AA2E12">
        <w:rPr>
          <w:lang w:val="fr-CA"/>
        </w:rPr>
        <w:t>pour déterminer les circonstances réglementaires, d’exécution, d’orientation ou de marché pouvant avoir mené à une utilisation et une production illicites de CFC-11 et de CFC-12 (décision 83/41(d))</w:t>
      </w:r>
      <w:r>
        <w:rPr>
          <w:lang w:val="fr-CA"/>
        </w:rPr>
        <w:t>.</w:t>
      </w:r>
    </w:p>
    <w:p w14:paraId="1152E972" w14:textId="77777777" w:rsidR="00CC3427" w:rsidRPr="0097372D" w:rsidRDefault="00CC3427" w:rsidP="00CC3427">
      <w:pPr>
        <w:pStyle w:val="Heading1"/>
        <w:rPr>
          <w:lang w:val="fr-CA"/>
        </w:rPr>
      </w:pPr>
      <w:r>
        <w:rPr>
          <w:lang w:val="fr-CA"/>
        </w:rPr>
        <w:t>En application de la décision</w:t>
      </w:r>
      <w:r w:rsidRPr="0097372D">
        <w:rPr>
          <w:lang w:val="fr-CA"/>
        </w:rPr>
        <w:t xml:space="preserve"> 83/41(d), </w:t>
      </w:r>
      <w:r>
        <w:rPr>
          <w:lang w:val="fr-CA"/>
        </w:rPr>
        <w:t>le Gouvernement de la Chine</w:t>
      </w:r>
      <w:r w:rsidRPr="0097372D">
        <w:rPr>
          <w:lang w:val="fr-CA"/>
        </w:rPr>
        <w:t xml:space="preserve"> </w:t>
      </w:r>
      <w:r>
        <w:rPr>
          <w:lang w:val="fr-CA"/>
        </w:rPr>
        <w:t xml:space="preserve">a soumis à la </w:t>
      </w:r>
      <w:r w:rsidRPr="0097372D">
        <w:rPr>
          <w:lang w:val="fr-CA"/>
        </w:rPr>
        <w:t>86</w:t>
      </w:r>
      <w:r>
        <w:rPr>
          <w:vertAlign w:val="superscript"/>
          <w:lang w:val="fr-CA"/>
        </w:rPr>
        <w:t>e</w:t>
      </w:r>
      <w:r w:rsidRPr="0097372D">
        <w:rPr>
          <w:lang w:val="fr-CA"/>
        </w:rPr>
        <w:t> </w:t>
      </w:r>
      <w:r>
        <w:rPr>
          <w:lang w:val="fr-CA"/>
        </w:rPr>
        <w:t>réunion</w:t>
      </w:r>
      <w:r w:rsidRPr="0097372D">
        <w:rPr>
          <w:lang w:val="fr-CA"/>
        </w:rPr>
        <w:t xml:space="preserve"> </w:t>
      </w:r>
      <w:r>
        <w:rPr>
          <w:lang w:val="fr-CA"/>
        </w:rPr>
        <w:t>l’étude sur la supervision, l’application de la loi, les politiques et la situation de marché pour les substances appauvrissant la couche d’ozone e</w:t>
      </w:r>
      <w:r w:rsidRPr="0097372D">
        <w:rPr>
          <w:lang w:val="fr-CA"/>
        </w:rPr>
        <w:t xml:space="preserve">n </w:t>
      </w:r>
      <w:r>
        <w:rPr>
          <w:lang w:val="fr-CA"/>
        </w:rPr>
        <w:t>Chine</w:t>
      </w:r>
      <w:r w:rsidRPr="0097372D">
        <w:rPr>
          <w:lang w:val="fr-CA"/>
        </w:rPr>
        <w:t xml:space="preserve"> </w:t>
      </w:r>
      <w:r>
        <w:rPr>
          <w:lang w:val="fr-CA"/>
        </w:rPr>
        <w:t>préparée par un consultant non gouvernemental</w:t>
      </w:r>
      <w:r w:rsidRPr="0097372D">
        <w:rPr>
          <w:lang w:val="fr-CA"/>
        </w:rPr>
        <w:t xml:space="preserve">. </w:t>
      </w:r>
      <w:r>
        <w:rPr>
          <w:lang w:val="fr-CA"/>
        </w:rPr>
        <w:t xml:space="preserve">L’étude en question est reproduite intégralement en pièce jointe au présent </w:t>
      </w:r>
      <w:r w:rsidRPr="0097372D">
        <w:rPr>
          <w:lang w:val="fr-CA"/>
        </w:rPr>
        <w:t>document</w:t>
      </w:r>
      <w:r>
        <w:rPr>
          <w:lang w:val="fr-CA"/>
        </w:rPr>
        <w:t>, sans modification ni révision</w:t>
      </w:r>
      <w:r w:rsidRPr="0097372D">
        <w:rPr>
          <w:lang w:val="fr-CA"/>
        </w:rPr>
        <w:t>.</w:t>
      </w:r>
    </w:p>
    <w:p w14:paraId="34D27FE0" w14:textId="77777777" w:rsidR="00CC3427" w:rsidRPr="0097372D" w:rsidRDefault="00CC3427" w:rsidP="00CC3427">
      <w:pPr>
        <w:jc w:val="left"/>
        <w:rPr>
          <w:b/>
          <w:caps/>
          <w:lang w:val="fr-CA"/>
        </w:rPr>
      </w:pPr>
      <w:r w:rsidRPr="0097372D">
        <w:rPr>
          <w:b/>
          <w:caps/>
          <w:lang w:val="fr-CA"/>
        </w:rPr>
        <w:br w:type="page"/>
      </w:r>
    </w:p>
    <w:p w14:paraId="1E9AB1B8" w14:textId="70367C72" w:rsidR="00CC3427" w:rsidRPr="0097372D" w:rsidRDefault="00CC3427" w:rsidP="00CC3427">
      <w:pPr>
        <w:keepNext/>
        <w:spacing w:after="240"/>
        <w:ind w:left="1440" w:hanging="1440"/>
        <w:jc w:val="left"/>
        <w:rPr>
          <w:b/>
          <w:caps/>
          <w:lang w:val="fr-CA"/>
        </w:rPr>
      </w:pPr>
      <w:r w:rsidRPr="0097372D">
        <w:rPr>
          <w:b/>
          <w:caps/>
          <w:lang w:val="fr-CA"/>
        </w:rPr>
        <w:lastRenderedPageBreak/>
        <w:t>Part</w:t>
      </w:r>
      <w:r>
        <w:rPr>
          <w:b/>
          <w:caps/>
          <w:lang w:val="fr-CA"/>
        </w:rPr>
        <w:t>IE</w:t>
      </w:r>
      <w:r w:rsidRPr="0097372D">
        <w:rPr>
          <w:b/>
          <w:caps/>
          <w:lang w:val="fr-CA"/>
        </w:rPr>
        <w:t xml:space="preserve"> VI</w:t>
      </w:r>
      <w:r w:rsidR="00066F58">
        <w:rPr>
          <w:b/>
          <w:caps/>
          <w:lang w:val="fr-CA"/>
        </w:rPr>
        <w:t xml:space="preserve"> </w:t>
      </w:r>
      <w:r w:rsidRPr="0097372D">
        <w:rPr>
          <w:b/>
          <w:caps/>
          <w:lang w:val="fr-CA"/>
        </w:rPr>
        <w:t>:</w:t>
      </w:r>
      <w:r w:rsidRPr="0097372D">
        <w:rPr>
          <w:b/>
          <w:caps/>
          <w:lang w:val="fr-CA"/>
        </w:rPr>
        <w:tab/>
      </w:r>
      <w:r>
        <w:rPr>
          <w:b/>
          <w:caps/>
          <w:lang w:val="fr-CA"/>
        </w:rPr>
        <w:t>RAPPORTS D’AUDITS FINANCIERS DE LA PRODUCTION DE CFC</w:t>
      </w:r>
      <w:r w:rsidRPr="0097372D">
        <w:rPr>
          <w:b/>
          <w:caps/>
          <w:lang w:val="fr-CA"/>
        </w:rPr>
        <w:t xml:space="preserve">, </w:t>
      </w:r>
      <w:r w:rsidRPr="00121E52">
        <w:rPr>
          <w:b/>
          <w:caps/>
          <w:lang w:val="fr-CA"/>
        </w:rPr>
        <w:t xml:space="preserve">les halons, la mousse de polyuréthane (PU), l’agent de transformation II, l’entretien en réfrigération </w:t>
      </w:r>
      <w:r>
        <w:rPr>
          <w:b/>
          <w:caps/>
          <w:lang w:val="fr-CA"/>
        </w:rPr>
        <w:t>ET</w:t>
      </w:r>
      <w:r w:rsidRPr="00121E52">
        <w:rPr>
          <w:b/>
          <w:caps/>
          <w:lang w:val="fr-CA"/>
        </w:rPr>
        <w:t xml:space="preserve"> le secteur des solvants</w:t>
      </w:r>
    </w:p>
    <w:p w14:paraId="2FA0AA66" w14:textId="77777777" w:rsidR="00CC3427" w:rsidRPr="0097372D" w:rsidRDefault="00CC3427" w:rsidP="00CC3427">
      <w:pPr>
        <w:spacing w:after="240"/>
        <w:rPr>
          <w:b/>
          <w:lang w:val="fr-CA"/>
        </w:rPr>
      </w:pPr>
      <w:r w:rsidRPr="0097372D">
        <w:rPr>
          <w:b/>
          <w:lang w:val="fr-CA"/>
        </w:rPr>
        <w:t xml:space="preserve">Note </w:t>
      </w:r>
      <w:r>
        <w:rPr>
          <w:b/>
          <w:lang w:val="fr-CA"/>
        </w:rPr>
        <w:t>du Secrétariat</w:t>
      </w:r>
    </w:p>
    <w:p w14:paraId="41B5DAA1" w14:textId="255F845E" w:rsidR="00CC3427" w:rsidRPr="0097372D" w:rsidRDefault="00CC3427" w:rsidP="00CC3427">
      <w:pPr>
        <w:numPr>
          <w:ilvl w:val="0"/>
          <w:numId w:val="1"/>
        </w:numPr>
        <w:spacing w:after="240"/>
        <w:outlineLvl w:val="0"/>
        <w:rPr>
          <w:lang w:val="fr-CA"/>
        </w:rPr>
      </w:pPr>
      <w:r>
        <w:rPr>
          <w:lang w:val="fr-CA"/>
        </w:rPr>
        <w:t>Les rapports d’audits financiers au 31 décembre</w:t>
      </w:r>
      <w:r w:rsidRPr="0097372D">
        <w:rPr>
          <w:lang w:val="fr-CA"/>
        </w:rPr>
        <w:t xml:space="preserve"> 2019 </w:t>
      </w:r>
      <w:r>
        <w:rPr>
          <w:lang w:val="fr-CA"/>
        </w:rPr>
        <w:t xml:space="preserve">pour la production de </w:t>
      </w:r>
      <w:r w:rsidRPr="0097372D">
        <w:rPr>
          <w:lang w:val="fr-CA"/>
        </w:rPr>
        <w:t xml:space="preserve">C, </w:t>
      </w:r>
      <w:r>
        <w:rPr>
          <w:lang w:val="fr-CA"/>
        </w:rPr>
        <w:t xml:space="preserve">les </w:t>
      </w:r>
      <w:r w:rsidRPr="0097372D">
        <w:rPr>
          <w:lang w:val="fr-CA"/>
        </w:rPr>
        <w:t>halon</w:t>
      </w:r>
      <w:r>
        <w:rPr>
          <w:lang w:val="fr-CA"/>
        </w:rPr>
        <w:t>s</w:t>
      </w:r>
      <w:r w:rsidRPr="0097372D">
        <w:rPr>
          <w:lang w:val="fr-CA"/>
        </w:rPr>
        <w:t xml:space="preserve">, </w:t>
      </w:r>
      <w:r>
        <w:rPr>
          <w:lang w:val="fr-CA"/>
        </w:rPr>
        <w:t xml:space="preserve">la mousse de </w:t>
      </w:r>
      <w:r w:rsidRPr="0097372D">
        <w:rPr>
          <w:lang w:val="fr-CA"/>
        </w:rPr>
        <w:t xml:space="preserve">polyuréthane (PU), </w:t>
      </w:r>
      <w:r>
        <w:rPr>
          <w:lang w:val="fr-CA"/>
        </w:rPr>
        <w:t xml:space="preserve">l’agent de transformation </w:t>
      </w:r>
      <w:r w:rsidRPr="0097372D">
        <w:rPr>
          <w:lang w:val="fr-CA"/>
        </w:rPr>
        <w:t xml:space="preserve">II, </w:t>
      </w:r>
      <w:r>
        <w:rPr>
          <w:lang w:val="fr-CA"/>
        </w:rPr>
        <w:t xml:space="preserve">l’entretien en </w:t>
      </w:r>
      <w:r w:rsidRPr="0097372D">
        <w:rPr>
          <w:lang w:val="fr-CA"/>
        </w:rPr>
        <w:t xml:space="preserve">réfrigération </w:t>
      </w:r>
      <w:r>
        <w:rPr>
          <w:lang w:val="fr-CA"/>
        </w:rPr>
        <w:t>and le secteur des solvant</w:t>
      </w:r>
      <w:r w:rsidRPr="0097372D">
        <w:rPr>
          <w:lang w:val="fr-CA"/>
        </w:rPr>
        <w:t xml:space="preserve">s, </w:t>
      </w:r>
      <w:r>
        <w:rPr>
          <w:lang w:val="fr-CA"/>
        </w:rPr>
        <w:t>ont été soumis à la 85</w:t>
      </w:r>
      <w:r w:rsidRPr="00121E52">
        <w:rPr>
          <w:vertAlign w:val="superscript"/>
          <w:lang w:val="fr-CA"/>
        </w:rPr>
        <w:t>e</w:t>
      </w:r>
      <w:r>
        <w:rPr>
          <w:lang w:val="fr-CA"/>
        </w:rPr>
        <w:t> réunion conformément à la décision</w:t>
      </w:r>
      <w:r w:rsidRPr="0097372D">
        <w:rPr>
          <w:lang w:val="fr-CA"/>
        </w:rPr>
        <w:t> 84/39(c)</w:t>
      </w:r>
      <w:r w:rsidR="00066F58">
        <w:rPr>
          <w:lang w:val="fr-CA"/>
        </w:rPr>
        <w:t xml:space="preserve"> </w:t>
      </w:r>
      <w:r>
        <w:rPr>
          <w:lang w:val="fr-CA"/>
        </w:rPr>
        <w:t xml:space="preserve">; ils sont inclus dans le </w:t>
      </w:r>
      <w:r w:rsidRPr="0097372D">
        <w:rPr>
          <w:lang w:val="fr-CA"/>
        </w:rPr>
        <w:t xml:space="preserve">document UNEP/OzL.Pro/ExCom/85/9. </w:t>
      </w:r>
    </w:p>
    <w:p w14:paraId="78912894" w14:textId="77777777" w:rsidR="00CC3427" w:rsidRPr="0097372D" w:rsidRDefault="00CC3427" w:rsidP="00CC3427">
      <w:pPr>
        <w:pStyle w:val="Heading1"/>
        <w:rPr>
          <w:lang w:val="fr-CA"/>
        </w:rPr>
      </w:pPr>
      <w:r>
        <w:rPr>
          <w:lang w:val="fr-CA"/>
        </w:rPr>
        <w:t xml:space="preserve">Cette question n’a pas été considérée dans la procédure d’approbation intersession établie pour la </w:t>
      </w:r>
      <w:r w:rsidRPr="0097372D">
        <w:rPr>
          <w:lang w:val="fr-CA"/>
        </w:rPr>
        <w:t>85</w:t>
      </w:r>
      <w:r>
        <w:rPr>
          <w:vertAlign w:val="superscript"/>
          <w:lang w:val="fr-CA"/>
        </w:rPr>
        <w:t>e</w:t>
      </w:r>
      <w:r w:rsidRPr="0097372D">
        <w:rPr>
          <w:vertAlign w:val="superscript"/>
          <w:lang w:val="fr-CA"/>
        </w:rPr>
        <w:t> </w:t>
      </w:r>
      <w:r>
        <w:rPr>
          <w:lang w:val="fr-CA"/>
        </w:rPr>
        <w:t>réunion</w:t>
      </w:r>
      <w:r w:rsidRPr="0097372D">
        <w:rPr>
          <w:lang w:val="fr-CA"/>
        </w:rPr>
        <w:t xml:space="preserve">. </w:t>
      </w:r>
      <w:r>
        <w:rPr>
          <w:lang w:val="fr-CA"/>
        </w:rPr>
        <w:t xml:space="preserve">Compte tenu du report de la réunion en raison des restrictions dues à la pandémie de </w:t>
      </w:r>
      <w:r w:rsidRPr="0097372D">
        <w:rPr>
          <w:lang w:val="fr-CA"/>
        </w:rPr>
        <w:t xml:space="preserve">COVID-19, </w:t>
      </w:r>
      <w:r>
        <w:rPr>
          <w:lang w:val="fr-CA"/>
        </w:rPr>
        <w:t xml:space="preserve">la question est incluse de nouveau dans le présent </w:t>
      </w:r>
      <w:r w:rsidRPr="0097372D">
        <w:rPr>
          <w:lang w:val="fr-CA"/>
        </w:rPr>
        <w:t xml:space="preserve">document </w:t>
      </w:r>
      <w:r>
        <w:rPr>
          <w:lang w:val="fr-CA"/>
        </w:rPr>
        <w:t xml:space="preserve">à soumettre à la </w:t>
      </w:r>
      <w:r w:rsidRPr="0097372D">
        <w:rPr>
          <w:lang w:val="fr-CA"/>
        </w:rPr>
        <w:t>86</w:t>
      </w:r>
      <w:r>
        <w:rPr>
          <w:vertAlign w:val="superscript"/>
          <w:lang w:val="fr-CA"/>
        </w:rPr>
        <w:t>e</w:t>
      </w:r>
      <w:r w:rsidRPr="0097372D">
        <w:rPr>
          <w:lang w:val="fr-CA"/>
        </w:rPr>
        <w:t> </w:t>
      </w:r>
      <w:r>
        <w:rPr>
          <w:lang w:val="fr-CA"/>
        </w:rPr>
        <w:t>réunion</w:t>
      </w:r>
      <w:r w:rsidRPr="0097372D">
        <w:rPr>
          <w:lang w:val="fr-CA"/>
        </w:rPr>
        <w:t xml:space="preserve">. </w:t>
      </w:r>
      <w:r>
        <w:rPr>
          <w:lang w:val="fr-CA"/>
        </w:rPr>
        <w:t xml:space="preserve">Comme il n’y a pas eu de </w:t>
      </w:r>
      <w:r w:rsidRPr="0097372D">
        <w:rPr>
          <w:lang w:val="fr-CA"/>
        </w:rPr>
        <w:t>modifications o</w:t>
      </w:r>
      <w:r>
        <w:rPr>
          <w:lang w:val="fr-CA"/>
        </w:rPr>
        <w:t xml:space="preserve">u d’ajouts d’informations nouvelles, la </w:t>
      </w:r>
      <w:r w:rsidRPr="0097372D">
        <w:rPr>
          <w:lang w:val="fr-CA"/>
        </w:rPr>
        <w:t xml:space="preserve">section </w:t>
      </w:r>
      <w:r>
        <w:rPr>
          <w:lang w:val="fr-CA"/>
        </w:rPr>
        <w:t xml:space="preserve">présentée à la </w:t>
      </w:r>
      <w:r w:rsidRPr="0097372D">
        <w:rPr>
          <w:lang w:val="fr-CA"/>
        </w:rPr>
        <w:t>85</w:t>
      </w:r>
      <w:r>
        <w:rPr>
          <w:vertAlign w:val="superscript"/>
          <w:lang w:val="fr-CA"/>
        </w:rPr>
        <w:t>e</w:t>
      </w:r>
      <w:r w:rsidRPr="0097372D">
        <w:rPr>
          <w:lang w:val="fr-CA"/>
        </w:rPr>
        <w:t> </w:t>
      </w:r>
      <w:r>
        <w:rPr>
          <w:lang w:val="fr-CA"/>
        </w:rPr>
        <w:t>réunion</w:t>
      </w:r>
      <w:r w:rsidRPr="0097372D">
        <w:rPr>
          <w:lang w:val="fr-CA"/>
        </w:rPr>
        <w:t xml:space="preserve"> </w:t>
      </w:r>
      <w:r>
        <w:rPr>
          <w:lang w:val="fr-CA"/>
        </w:rPr>
        <w:t>est reproduite intégralement et soumise à l’examen du Comité exécutif</w:t>
      </w:r>
      <w:r w:rsidRPr="0097372D">
        <w:rPr>
          <w:lang w:val="fr-CA"/>
        </w:rPr>
        <w:t xml:space="preserve">. </w:t>
      </w:r>
      <w:r>
        <w:rPr>
          <w:lang w:val="fr-CA"/>
        </w:rPr>
        <w:t xml:space="preserve"> Le t</w:t>
      </w:r>
      <w:r w:rsidRPr="0097372D">
        <w:rPr>
          <w:lang w:val="fr-CA"/>
        </w:rPr>
        <w:t>ext</w:t>
      </w:r>
      <w:r>
        <w:rPr>
          <w:lang w:val="fr-CA"/>
        </w:rPr>
        <w:t>e</w:t>
      </w:r>
      <w:r w:rsidRPr="0097372D">
        <w:rPr>
          <w:lang w:val="fr-CA"/>
        </w:rPr>
        <w:t xml:space="preserve"> </w:t>
      </w:r>
      <w:r>
        <w:rPr>
          <w:lang w:val="fr-CA"/>
        </w:rPr>
        <w:t xml:space="preserve">mis à jour dans deux </w:t>
      </w:r>
      <w:r w:rsidRPr="0097372D">
        <w:rPr>
          <w:lang w:val="fr-CA"/>
        </w:rPr>
        <w:t>paragraph</w:t>
      </w:r>
      <w:r>
        <w:rPr>
          <w:lang w:val="fr-CA"/>
        </w:rPr>
        <w:t>e</w:t>
      </w:r>
      <w:r w:rsidRPr="0097372D">
        <w:rPr>
          <w:lang w:val="fr-CA"/>
        </w:rPr>
        <w:t xml:space="preserve">s </w:t>
      </w:r>
      <w:r>
        <w:rPr>
          <w:lang w:val="fr-CA"/>
        </w:rPr>
        <w:t xml:space="preserve">et dans la </w:t>
      </w:r>
      <w:r w:rsidRPr="0097372D">
        <w:rPr>
          <w:lang w:val="fr-CA"/>
        </w:rPr>
        <w:t>recomm</w:t>
      </w:r>
      <w:r>
        <w:rPr>
          <w:lang w:val="fr-CA"/>
        </w:rPr>
        <w:t>a</w:t>
      </w:r>
      <w:r w:rsidRPr="0097372D">
        <w:rPr>
          <w:lang w:val="fr-CA"/>
        </w:rPr>
        <w:t xml:space="preserve">ndation </w:t>
      </w:r>
      <w:r>
        <w:rPr>
          <w:lang w:val="fr-CA"/>
        </w:rPr>
        <w:t xml:space="preserve">est souligné en caractères </w:t>
      </w:r>
      <w:r>
        <w:rPr>
          <w:b/>
          <w:lang w:val="fr-CA"/>
        </w:rPr>
        <w:t>gras</w:t>
      </w:r>
      <w:r w:rsidRPr="0097372D">
        <w:rPr>
          <w:lang w:val="fr-CA"/>
        </w:rPr>
        <w:t xml:space="preserve"> </w:t>
      </w:r>
      <w:r>
        <w:rPr>
          <w:lang w:val="fr-CA"/>
        </w:rPr>
        <w:t>pour en faciliter la lecture</w:t>
      </w:r>
      <w:r w:rsidRPr="0097372D">
        <w:rPr>
          <w:lang w:val="fr-CA"/>
        </w:rPr>
        <w:t xml:space="preserve">. </w:t>
      </w:r>
    </w:p>
    <w:p w14:paraId="73CEAAA7" w14:textId="77777777" w:rsidR="00CC3427" w:rsidRPr="0097372D" w:rsidRDefault="00CC3427" w:rsidP="00CC3427">
      <w:pPr>
        <w:spacing w:after="240"/>
        <w:rPr>
          <w:b/>
          <w:lang w:val="fr-CA"/>
        </w:rPr>
      </w:pPr>
      <w:r>
        <w:rPr>
          <w:b/>
          <w:lang w:val="fr-CA"/>
        </w:rPr>
        <w:t>Historique</w:t>
      </w:r>
    </w:p>
    <w:p w14:paraId="5A75B04B" w14:textId="77777777" w:rsidR="00CC3427" w:rsidRPr="0097372D" w:rsidRDefault="00CC3427" w:rsidP="00CC3427">
      <w:pPr>
        <w:widowControl w:val="0"/>
        <w:numPr>
          <w:ilvl w:val="0"/>
          <w:numId w:val="1"/>
        </w:numPr>
        <w:spacing w:after="240"/>
        <w:outlineLvl w:val="0"/>
        <w:rPr>
          <w:lang w:val="fr-CA"/>
        </w:rPr>
      </w:pPr>
      <w:r>
        <w:rPr>
          <w:lang w:val="fr-CA"/>
        </w:rPr>
        <w:t xml:space="preserve">À sa </w:t>
      </w:r>
      <w:r w:rsidRPr="0097372D">
        <w:rPr>
          <w:lang w:val="fr-CA"/>
        </w:rPr>
        <w:t>84</w:t>
      </w:r>
      <w:r>
        <w:rPr>
          <w:vertAlign w:val="superscript"/>
          <w:lang w:val="fr-CA"/>
        </w:rPr>
        <w:t>e</w:t>
      </w:r>
      <w:r w:rsidRPr="0097372D">
        <w:rPr>
          <w:lang w:val="fr-CA"/>
        </w:rPr>
        <w:t> </w:t>
      </w:r>
      <w:r>
        <w:rPr>
          <w:lang w:val="fr-CA"/>
        </w:rPr>
        <w:t>réunion</w:t>
      </w:r>
      <w:r w:rsidRPr="0097372D">
        <w:rPr>
          <w:lang w:val="fr-CA"/>
        </w:rPr>
        <w:t xml:space="preserve">, </w:t>
      </w:r>
      <w:r>
        <w:rPr>
          <w:lang w:val="fr-CA"/>
        </w:rPr>
        <w:t>l</w:t>
      </w:r>
      <w:r w:rsidRPr="0097372D">
        <w:rPr>
          <w:lang w:val="fr-CA"/>
        </w:rPr>
        <w:t xml:space="preserve">e </w:t>
      </w:r>
      <w:r>
        <w:rPr>
          <w:lang w:val="fr-CA"/>
        </w:rPr>
        <w:t>Comité exécutif</w:t>
      </w:r>
      <w:r w:rsidRPr="0097372D">
        <w:rPr>
          <w:lang w:val="fr-CA"/>
        </w:rPr>
        <w:t xml:space="preserve"> </w:t>
      </w:r>
      <w:r>
        <w:rPr>
          <w:lang w:val="fr-CA"/>
        </w:rPr>
        <w:t xml:space="preserve">a examiné les rapports d’audits financiers </w:t>
      </w:r>
      <w:bookmarkStart w:id="25" w:name="_Hlk56502982"/>
      <w:r>
        <w:rPr>
          <w:lang w:val="fr-CA"/>
        </w:rPr>
        <w:t xml:space="preserve">sur la production de </w:t>
      </w:r>
      <w:r w:rsidRPr="0097372D">
        <w:rPr>
          <w:lang w:val="fr-CA"/>
        </w:rPr>
        <w:t xml:space="preserve">CFC, </w:t>
      </w:r>
      <w:r>
        <w:rPr>
          <w:lang w:val="fr-CA"/>
        </w:rPr>
        <w:t xml:space="preserve">les </w:t>
      </w:r>
      <w:r w:rsidRPr="0097372D">
        <w:rPr>
          <w:lang w:val="fr-CA"/>
        </w:rPr>
        <w:t>halon</w:t>
      </w:r>
      <w:r>
        <w:rPr>
          <w:lang w:val="fr-CA"/>
        </w:rPr>
        <w:t>s</w:t>
      </w:r>
      <w:r w:rsidRPr="0097372D">
        <w:rPr>
          <w:lang w:val="fr-CA"/>
        </w:rPr>
        <w:t xml:space="preserve">, </w:t>
      </w:r>
      <w:r>
        <w:rPr>
          <w:lang w:val="fr-CA"/>
        </w:rPr>
        <w:t xml:space="preserve">la mousse de </w:t>
      </w:r>
      <w:r w:rsidRPr="0097372D">
        <w:rPr>
          <w:lang w:val="fr-CA"/>
        </w:rPr>
        <w:t>polyur</w:t>
      </w:r>
      <w:r>
        <w:rPr>
          <w:lang w:val="fr-CA"/>
        </w:rPr>
        <w:t>é</w:t>
      </w:r>
      <w:r w:rsidRPr="0097372D">
        <w:rPr>
          <w:lang w:val="fr-CA"/>
        </w:rPr>
        <w:t xml:space="preserve">thane (PU), </w:t>
      </w:r>
      <w:r>
        <w:rPr>
          <w:lang w:val="fr-CA"/>
        </w:rPr>
        <w:t xml:space="preserve">l’agent de transformation </w:t>
      </w:r>
      <w:r w:rsidRPr="0097372D">
        <w:rPr>
          <w:lang w:val="fr-CA"/>
        </w:rPr>
        <w:t xml:space="preserve">II, </w:t>
      </w:r>
      <w:r>
        <w:rPr>
          <w:lang w:val="fr-CA"/>
        </w:rPr>
        <w:t xml:space="preserve">l’entretien en </w:t>
      </w:r>
      <w:r w:rsidRPr="0097372D">
        <w:rPr>
          <w:lang w:val="fr-CA"/>
        </w:rPr>
        <w:t xml:space="preserve">réfrigération </w:t>
      </w:r>
      <w:r>
        <w:rPr>
          <w:lang w:val="fr-CA"/>
        </w:rPr>
        <w:t>et le secteur des solvants</w:t>
      </w:r>
      <w:bookmarkEnd w:id="25"/>
      <w:r w:rsidRPr="0097372D">
        <w:rPr>
          <w:lang w:val="fr-CA"/>
        </w:rPr>
        <w:t xml:space="preserve">, </w:t>
      </w:r>
      <w:r>
        <w:rPr>
          <w:lang w:val="fr-CA"/>
        </w:rPr>
        <w:t>avec en supplément une mise à jour des activités exécutées dans chaque plan sectoriel</w:t>
      </w:r>
      <w:r w:rsidRPr="0097372D">
        <w:rPr>
          <w:lang w:val="fr-CA"/>
        </w:rPr>
        <w:t>.</w:t>
      </w:r>
      <w:r w:rsidRPr="0097372D">
        <w:rPr>
          <w:vertAlign w:val="superscript"/>
          <w:lang w:val="fr-CA"/>
        </w:rPr>
        <w:footnoteReference w:id="30"/>
      </w:r>
      <w:r w:rsidRPr="0097372D">
        <w:rPr>
          <w:lang w:val="fr-CA"/>
        </w:rPr>
        <w:t xml:space="preserve"> </w:t>
      </w:r>
      <w:r>
        <w:rPr>
          <w:lang w:val="fr-CA"/>
        </w:rPr>
        <w:t xml:space="preserve">En conséquence, le Comité exécutif a, entre autres, </w:t>
      </w:r>
      <w:r w:rsidRPr="00386880">
        <w:rPr>
          <w:iCs/>
          <w:lang w:val="fr-CA"/>
        </w:rPr>
        <w:t>demandé au</w:t>
      </w:r>
      <w:r>
        <w:rPr>
          <w:i/>
          <w:lang w:val="fr-CA"/>
        </w:rPr>
        <w:t xml:space="preserve"> </w:t>
      </w:r>
      <w:r>
        <w:rPr>
          <w:lang w:val="fr-CA"/>
        </w:rPr>
        <w:t>Gouvernement de la Chine</w:t>
      </w:r>
      <w:r w:rsidRPr="0097372D">
        <w:rPr>
          <w:lang w:val="fr-CA"/>
        </w:rPr>
        <w:t xml:space="preserve">, </w:t>
      </w:r>
      <w:r>
        <w:rPr>
          <w:lang w:val="fr-CA"/>
        </w:rPr>
        <w:t xml:space="preserve">par l’intermédiaire de l’agence d’exécution responsable, de soumettre à la </w:t>
      </w:r>
      <w:r w:rsidRPr="0097372D">
        <w:rPr>
          <w:lang w:val="fr-CA"/>
        </w:rPr>
        <w:t>85</w:t>
      </w:r>
      <w:r>
        <w:rPr>
          <w:vertAlign w:val="superscript"/>
          <w:lang w:val="fr-CA"/>
        </w:rPr>
        <w:t>e</w:t>
      </w:r>
      <w:r w:rsidRPr="0097372D">
        <w:rPr>
          <w:lang w:val="fr-CA"/>
        </w:rPr>
        <w:t> </w:t>
      </w:r>
      <w:r>
        <w:rPr>
          <w:lang w:val="fr-CA"/>
        </w:rPr>
        <w:t>réunion</w:t>
      </w:r>
      <w:r w:rsidRPr="0097372D">
        <w:rPr>
          <w:lang w:val="fr-CA"/>
        </w:rPr>
        <w:t xml:space="preserve"> </w:t>
      </w:r>
      <w:r>
        <w:rPr>
          <w:lang w:val="fr-CA"/>
        </w:rPr>
        <w:t xml:space="preserve">les rapports d’audits financiers au </w:t>
      </w:r>
      <w:r w:rsidRPr="0097372D">
        <w:rPr>
          <w:lang w:val="fr-CA"/>
        </w:rPr>
        <w:t xml:space="preserve">31 </w:t>
      </w:r>
      <w:r>
        <w:rPr>
          <w:lang w:val="fr-CA"/>
        </w:rPr>
        <w:t xml:space="preserve">décembre </w:t>
      </w:r>
      <w:r w:rsidRPr="0097372D">
        <w:rPr>
          <w:lang w:val="fr-CA"/>
        </w:rPr>
        <w:t xml:space="preserve">2019 </w:t>
      </w:r>
      <w:r w:rsidRPr="00386880">
        <w:rPr>
          <w:lang w:val="fr-CA"/>
        </w:rPr>
        <w:t>sur la production de CFC, les halons, la mousse de polyuréthane (PU), l’agent de transformation II, l’entretien en réfrigération et le secteur des solvants</w:t>
      </w:r>
      <w:r>
        <w:rPr>
          <w:lang w:val="fr-CA"/>
        </w:rPr>
        <w:t xml:space="preserve">, ainsi que les rapports d’achèvement de projet </w:t>
      </w:r>
      <w:r w:rsidRPr="0097372D">
        <w:rPr>
          <w:lang w:val="fr-CA"/>
        </w:rPr>
        <w:t>(</w:t>
      </w:r>
      <w:r>
        <w:rPr>
          <w:lang w:val="fr-CA"/>
        </w:rPr>
        <w:t>RAP</w:t>
      </w:r>
      <w:r w:rsidRPr="0097372D">
        <w:rPr>
          <w:lang w:val="fr-CA"/>
        </w:rPr>
        <w:t xml:space="preserve">) </w:t>
      </w:r>
      <w:r>
        <w:rPr>
          <w:lang w:val="fr-CA"/>
        </w:rPr>
        <w:t>po</w:t>
      </w:r>
      <w:r w:rsidRPr="000C4632">
        <w:rPr>
          <w:lang w:val="fr-CA"/>
        </w:rPr>
        <w:t xml:space="preserve">ur </w:t>
      </w:r>
      <w:bookmarkStart w:id="26" w:name="_Hlk56503576"/>
      <w:r w:rsidRPr="000C4632">
        <w:rPr>
          <w:lang w:val="fr-CA"/>
        </w:rPr>
        <w:t>la production de CFC, la mousse de polyuréthane (PU), l’entretien en réfrigération et le</w:t>
      </w:r>
      <w:r>
        <w:rPr>
          <w:lang w:val="fr-CA"/>
        </w:rPr>
        <w:t>s plans sectoriels pour l</w:t>
      </w:r>
      <w:r w:rsidRPr="000C4632">
        <w:rPr>
          <w:lang w:val="fr-CA"/>
        </w:rPr>
        <w:t>es solvants</w:t>
      </w:r>
      <w:bookmarkEnd w:id="26"/>
      <w:r w:rsidRPr="0097372D">
        <w:rPr>
          <w:lang w:val="fr-CA"/>
        </w:rPr>
        <w:t xml:space="preserve">; </w:t>
      </w:r>
      <w:r>
        <w:rPr>
          <w:lang w:val="fr-CA"/>
        </w:rPr>
        <w:t>et de restituer au Fonds multilatéral</w:t>
      </w:r>
      <w:r w:rsidRPr="0097372D">
        <w:rPr>
          <w:lang w:val="fr-CA"/>
        </w:rPr>
        <w:t xml:space="preserve"> </w:t>
      </w:r>
      <w:r>
        <w:rPr>
          <w:lang w:val="fr-CA"/>
        </w:rPr>
        <w:t xml:space="preserve">à la </w:t>
      </w:r>
      <w:r w:rsidRPr="0097372D">
        <w:rPr>
          <w:lang w:val="fr-CA"/>
        </w:rPr>
        <w:t>85</w:t>
      </w:r>
      <w:r>
        <w:rPr>
          <w:vertAlign w:val="superscript"/>
          <w:lang w:val="fr-CA"/>
        </w:rPr>
        <w:t>e</w:t>
      </w:r>
      <w:r w:rsidRPr="0097372D">
        <w:rPr>
          <w:lang w:val="fr-CA"/>
        </w:rPr>
        <w:t> </w:t>
      </w:r>
      <w:r>
        <w:rPr>
          <w:lang w:val="fr-CA"/>
        </w:rPr>
        <w:t>réunion</w:t>
      </w:r>
      <w:r w:rsidRPr="0097372D">
        <w:rPr>
          <w:lang w:val="fr-CA"/>
        </w:rPr>
        <w:t xml:space="preserve"> </w:t>
      </w:r>
      <w:r>
        <w:rPr>
          <w:lang w:val="fr-CA"/>
        </w:rPr>
        <w:t xml:space="preserve">les soldes des fonds disponibles au </w:t>
      </w:r>
      <w:r w:rsidRPr="0097372D">
        <w:rPr>
          <w:lang w:val="fr-CA"/>
        </w:rPr>
        <w:t>31 </w:t>
      </w:r>
      <w:r>
        <w:rPr>
          <w:lang w:val="fr-CA"/>
        </w:rPr>
        <w:t xml:space="preserve">décembre </w:t>
      </w:r>
      <w:r w:rsidRPr="0097372D">
        <w:rPr>
          <w:lang w:val="fr-CA"/>
        </w:rPr>
        <w:t xml:space="preserve">2019 </w:t>
      </w:r>
      <w:r>
        <w:rPr>
          <w:lang w:val="fr-CA"/>
        </w:rPr>
        <w:t xml:space="preserve">liés à </w:t>
      </w:r>
      <w:r w:rsidRPr="000C4632">
        <w:rPr>
          <w:lang w:val="fr-CA"/>
        </w:rPr>
        <w:t xml:space="preserve">la production de CFC, </w:t>
      </w:r>
      <w:r>
        <w:rPr>
          <w:lang w:val="fr-CA"/>
        </w:rPr>
        <w:t xml:space="preserve">à </w:t>
      </w:r>
      <w:r w:rsidRPr="000C4632">
        <w:rPr>
          <w:lang w:val="fr-CA"/>
        </w:rPr>
        <w:t xml:space="preserve">la mousse de polyuréthane (PU), </w:t>
      </w:r>
      <w:r>
        <w:rPr>
          <w:lang w:val="fr-CA"/>
        </w:rPr>
        <w:t xml:space="preserve">à </w:t>
      </w:r>
      <w:r w:rsidRPr="000C4632">
        <w:rPr>
          <w:lang w:val="fr-CA"/>
        </w:rPr>
        <w:t xml:space="preserve">l’entretien en réfrigération et </w:t>
      </w:r>
      <w:r>
        <w:rPr>
          <w:lang w:val="fr-CA"/>
        </w:rPr>
        <w:t>aux</w:t>
      </w:r>
      <w:r w:rsidRPr="000C4632">
        <w:rPr>
          <w:lang w:val="fr-CA"/>
        </w:rPr>
        <w:t xml:space="preserve"> plans sectoriels pour les solvants </w:t>
      </w:r>
      <w:r w:rsidRPr="0097372D">
        <w:rPr>
          <w:lang w:val="fr-CA"/>
        </w:rPr>
        <w:t>(</w:t>
      </w:r>
      <w:r>
        <w:rPr>
          <w:lang w:val="fr-CA"/>
        </w:rPr>
        <w:t>décision</w:t>
      </w:r>
      <w:r w:rsidRPr="0097372D">
        <w:rPr>
          <w:lang w:val="fr-CA"/>
        </w:rPr>
        <w:t xml:space="preserve"> 84/39(c)(i) </w:t>
      </w:r>
      <w:r>
        <w:rPr>
          <w:lang w:val="fr-CA"/>
        </w:rPr>
        <w:t>et</w:t>
      </w:r>
      <w:r w:rsidRPr="0097372D">
        <w:rPr>
          <w:lang w:val="fr-CA"/>
        </w:rPr>
        <w:t xml:space="preserve"> (c)(ii)).</w:t>
      </w:r>
    </w:p>
    <w:p w14:paraId="6FF90F2D" w14:textId="77777777" w:rsidR="00CC3427" w:rsidRPr="0097372D" w:rsidRDefault="00CC3427" w:rsidP="00CC3427">
      <w:pPr>
        <w:widowControl w:val="0"/>
        <w:numPr>
          <w:ilvl w:val="0"/>
          <w:numId w:val="1"/>
        </w:numPr>
        <w:spacing w:after="240"/>
        <w:outlineLvl w:val="0"/>
        <w:rPr>
          <w:lang w:val="fr-CA"/>
        </w:rPr>
      </w:pPr>
      <w:r>
        <w:rPr>
          <w:lang w:val="fr-CA"/>
        </w:rPr>
        <w:t>En application de la décision</w:t>
      </w:r>
      <w:r w:rsidRPr="0097372D">
        <w:rPr>
          <w:lang w:val="fr-CA"/>
        </w:rPr>
        <w:t xml:space="preserve"> 84/39(c)(i), </w:t>
      </w:r>
      <w:r>
        <w:rPr>
          <w:lang w:val="fr-CA"/>
        </w:rPr>
        <w:t>les agences d’exécution responsables ont soumis, au nom du Gouvernement de la Chine</w:t>
      </w:r>
      <w:r w:rsidRPr="0097372D">
        <w:rPr>
          <w:lang w:val="fr-CA"/>
        </w:rPr>
        <w:t xml:space="preserve">, </w:t>
      </w:r>
      <w:r>
        <w:rPr>
          <w:lang w:val="fr-CA"/>
        </w:rPr>
        <w:t xml:space="preserve">les rapports d’audits financiers en date du </w:t>
      </w:r>
      <w:r w:rsidRPr="0097372D">
        <w:rPr>
          <w:lang w:val="fr-CA"/>
        </w:rPr>
        <w:t xml:space="preserve">31 </w:t>
      </w:r>
      <w:r>
        <w:rPr>
          <w:lang w:val="fr-CA"/>
        </w:rPr>
        <w:t>décembre</w:t>
      </w:r>
      <w:r w:rsidRPr="0097372D">
        <w:rPr>
          <w:lang w:val="fr-CA"/>
        </w:rPr>
        <w:t xml:space="preserve"> 2019 </w:t>
      </w:r>
      <w:r>
        <w:rPr>
          <w:lang w:val="fr-CA"/>
        </w:rPr>
        <w:t>et les RAP</w:t>
      </w:r>
      <w:r w:rsidRPr="0097372D">
        <w:rPr>
          <w:lang w:val="fr-CA"/>
        </w:rPr>
        <w:t xml:space="preserve"> </w:t>
      </w:r>
      <w:r>
        <w:rPr>
          <w:lang w:val="fr-CA"/>
        </w:rPr>
        <w:t xml:space="preserve">pour </w:t>
      </w:r>
      <w:r w:rsidRPr="00C40C10">
        <w:rPr>
          <w:lang w:val="fr-CA"/>
        </w:rPr>
        <w:t>la production de CFC, la mousse de polyuréthane (PU), l’entretien en réfrigération et le secteur des solvants</w:t>
      </w:r>
      <w:r w:rsidRPr="0097372D">
        <w:rPr>
          <w:lang w:val="fr-CA"/>
        </w:rPr>
        <w:t xml:space="preserve">. </w:t>
      </w:r>
      <w:r>
        <w:rPr>
          <w:lang w:val="fr-CA"/>
        </w:rPr>
        <w:t>Des rapports finaux supplémentaires ont également été soumis pour l’entretien en réfrigération et le secteur des solvants</w:t>
      </w:r>
      <w:r w:rsidRPr="0097372D">
        <w:rPr>
          <w:lang w:val="fr-CA"/>
        </w:rPr>
        <w:t xml:space="preserve">. </w:t>
      </w:r>
      <w:r>
        <w:rPr>
          <w:lang w:val="fr-CA"/>
        </w:rPr>
        <w:t xml:space="preserve">Une mise à jour sur les progrès réalisés dans le secteur de l’agent de transformation </w:t>
      </w:r>
      <w:r w:rsidRPr="0097372D">
        <w:rPr>
          <w:lang w:val="fr-CA"/>
        </w:rPr>
        <w:t xml:space="preserve">II </w:t>
      </w:r>
      <w:r>
        <w:rPr>
          <w:lang w:val="fr-CA"/>
        </w:rPr>
        <w:t xml:space="preserve">figure aux </w:t>
      </w:r>
      <w:r w:rsidRPr="0097372D">
        <w:rPr>
          <w:lang w:val="fr-CA"/>
        </w:rPr>
        <w:t>paragraph</w:t>
      </w:r>
      <w:r>
        <w:rPr>
          <w:lang w:val="fr-CA"/>
        </w:rPr>
        <w:t>e</w:t>
      </w:r>
      <w:r w:rsidRPr="0097372D">
        <w:rPr>
          <w:lang w:val="fr-CA"/>
        </w:rPr>
        <w:t xml:space="preserve">s 218 to 230 </w:t>
      </w:r>
      <w:r>
        <w:rPr>
          <w:lang w:val="fr-CA"/>
        </w:rPr>
        <w:t>du</w:t>
      </w:r>
      <w:r w:rsidRPr="0097372D">
        <w:rPr>
          <w:lang w:val="fr-CA"/>
        </w:rPr>
        <w:t xml:space="preserve"> </w:t>
      </w:r>
      <w:r w:rsidRPr="0097372D">
        <w:rPr>
          <w:b/>
          <w:strike/>
          <w:lang w:val="fr-CA"/>
        </w:rPr>
        <w:t>pr</w:t>
      </w:r>
      <w:r>
        <w:rPr>
          <w:b/>
          <w:strike/>
          <w:lang w:val="fr-CA"/>
        </w:rPr>
        <w:t>é</w:t>
      </w:r>
      <w:r w:rsidRPr="0097372D">
        <w:rPr>
          <w:b/>
          <w:strike/>
          <w:lang w:val="fr-CA"/>
        </w:rPr>
        <w:t>sent</w:t>
      </w:r>
      <w:r w:rsidRPr="0097372D">
        <w:rPr>
          <w:lang w:val="fr-CA"/>
        </w:rPr>
        <w:t xml:space="preserve"> document </w:t>
      </w:r>
      <w:r w:rsidRPr="0097372D">
        <w:rPr>
          <w:b/>
          <w:lang w:val="fr-CA"/>
        </w:rPr>
        <w:t>UNEP/OzL.Pro/ExCom/85/9</w:t>
      </w:r>
      <w:r w:rsidRPr="0097372D">
        <w:rPr>
          <w:lang w:val="fr-CA"/>
        </w:rPr>
        <w:t xml:space="preserve">. </w:t>
      </w:r>
    </w:p>
    <w:p w14:paraId="40C81AB2" w14:textId="77777777" w:rsidR="00CC3427" w:rsidRPr="0097372D" w:rsidRDefault="00CC3427" w:rsidP="00CC3427">
      <w:pPr>
        <w:numPr>
          <w:ilvl w:val="0"/>
          <w:numId w:val="1"/>
        </w:numPr>
        <w:spacing w:after="240"/>
        <w:outlineLvl w:val="0"/>
        <w:rPr>
          <w:lang w:val="fr-CA"/>
        </w:rPr>
      </w:pPr>
      <w:r>
        <w:rPr>
          <w:lang w:val="fr-CA"/>
        </w:rPr>
        <w:t>Les données financières dans le présent rapport sont fondées sur le rapport d’audit soumis par le Gouvernement de la Chine</w:t>
      </w:r>
      <w:r w:rsidRPr="0097372D">
        <w:rPr>
          <w:lang w:val="fr-CA"/>
        </w:rPr>
        <w:t xml:space="preserve"> </w:t>
      </w:r>
      <w:r>
        <w:rPr>
          <w:lang w:val="fr-CA"/>
        </w:rPr>
        <w:t xml:space="preserve">en date du </w:t>
      </w:r>
      <w:r w:rsidRPr="0097372D">
        <w:rPr>
          <w:lang w:val="fr-CA"/>
        </w:rPr>
        <w:t xml:space="preserve">31 </w:t>
      </w:r>
      <w:r>
        <w:rPr>
          <w:lang w:val="fr-CA"/>
        </w:rPr>
        <w:t>décembre</w:t>
      </w:r>
      <w:r w:rsidRPr="0097372D">
        <w:rPr>
          <w:lang w:val="fr-CA"/>
        </w:rPr>
        <w:t xml:space="preserve"> 2019, </w:t>
      </w:r>
      <w:r>
        <w:rPr>
          <w:lang w:val="fr-CA"/>
        </w:rPr>
        <w:t xml:space="preserve">tenant compte des soldes restants de </w:t>
      </w:r>
      <w:r w:rsidRPr="0097372D">
        <w:rPr>
          <w:lang w:val="fr-CA"/>
        </w:rPr>
        <w:t>11</w:t>
      </w:r>
      <w:r>
        <w:rPr>
          <w:lang w:val="fr-CA"/>
        </w:rPr>
        <w:t> </w:t>
      </w:r>
      <w:r w:rsidRPr="0097372D">
        <w:rPr>
          <w:lang w:val="fr-CA"/>
        </w:rPr>
        <w:t>309</w:t>
      </w:r>
      <w:r>
        <w:rPr>
          <w:lang w:val="fr-CA"/>
        </w:rPr>
        <w:t> </w:t>
      </w:r>
      <w:r w:rsidRPr="0097372D">
        <w:rPr>
          <w:lang w:val="fr-CA"/>
        </w:rPr>
        <w:t>628</w:t>
      </w:r>
      <w:r>
        <w:rPr>
          <w:lang w:val="fr-CA"/>
        </w:rPr>
        <w:t> $US</w:t>
      </w:r>
      <w:r w:rsidRPr="0097372D">
        <w:rPr>
          <w:lang w:val="fr-CA"/>
        </w:rPr>
        <w:t xml:space="preserve"> (Table</w:t>
      </w:r>
      <w:r>
        <w:rPr>
          <w:lang w:val="fr-CA"/>
        </w:rPr>
        <w:t>au</w:t>
      </w:r>
      <w:r w:rsidRPr="0097372D">
        <w:rPr>
          <w:lang w:val="fr-CA"/>
        </w:rPr>
        <w:t xml:space="preserve"> 1). </w:t>
      </w:r>
      <w:r>
        <w:rPr>
          <w:lang w:val="fr-CA"/>
        </w:rPr>
        <w:t xml:space="preserve">Les soldes restants des plans sectoriels achevés </w:t>
      </w:r>
      <w:r w:rsidRPr="0097372D">
        <w:rPr>
          <w:lang w:val="fr-CA"/>
        </w:rPr>
        <w:t>(</w:t>
      </w:r>
      <w:r>
        <w:rPr>
          <w:lang w:val="fr-CA"/>
        </w:rPr>
        <w:t xml:space="preserve">c’est-à-dire </w:t>
      </w:r>
      <w:r w:rsidRPr="0097372D">
        <w:rPr>
          <w:lang w:val="fr-CA"/>
        </w:rPr>
        <w:t>production</w:t>
      </w:r>
      <w:r>
        <w:rPr>
          <w:lang w:val="fr-CA"/>
        </w:rPr>
        <w:t xml:space="preserve"> de </w:t>
      </w:r>
      <w:r w:rsidRPr="0097372D">
        <w:rPr>
          <w:lang w:val="fr-CA"/>
        </w:rPr>
        <w:t xml:space="preserve">CFC, </w:t>
      </w:r>
      <w:r>
        <w:rPr>
          <w:lang w:val="fr-CA"/>
        </w:rPr>
        <w:t xml:space="preserve">mousse </w:t>
      </w:r>
      <w:r w:rsidRPr="0097372D">
        <w:rPr>
          <w:lang w:val="fr-CA"/>
        </w:rPr>
        <w:t xml:space="preserve">PU, </w:t>
      </w:r>
      <w:r>
        <w:rPr>
          <w:lang w:val="fr-CA"/>
        </w:rPr>
        <w:t xml:space="preserve">entretien en </w:t>
      </w:r>
      <w:r w:rsidRPr="0097372D">
        <w:rPr>
          <w:lang w:val="fr-CA"/>
        </w:rPr>
        <w:t xml:space="preserve">réfrigération </w:t>
      </w:r>
      <w:r>
        <w:rPr>
          <w:lang w:val="fr-CA"/>
        </w:rPr>
        <w:t xml:space="preserve">et </w:t>
      </w:r>
      <w:r w:rsidRPr="0097372D">
        <w:rPr>
          <w:lang w:val="fr-CA"/>
        </w:rPr>
        <w:t>solv</w:t>
      </w:r>
      <w:r>
        <w:rPr>
          <w:lang w:val="fr-CA"/>
        </w:rPr>
        <w:t>a</w:t>
      </w:r>
      <w:r w:rsidRPr="0097372D">
        <w:rPr>
          <w:lang w:val="fr-CA"/>
        </w:rPr>
        <w:t>nt</w:t>
      </w:r>
      <w:r>
        <w:rPr>
          <w:lang w:val="fr-CA"/>
        </w:rPr>
        <w:t>s</w:t>
      </w:r>
      <w:r w:rsidRPr="0097372D">
        <w:rPr>
          <w:lang w:val="fr-CA"/>
        </w:rPr>
        <w:t xml:space="preserve">) </w:t>
      </w:r>
      <w:r>
        <w:rPr>
          <w:lang w:val="fr-CA"/>
        </w:rPr>
        <w:t xml:space="preserve">s’élèvent à </w:t>
      </w:r>
      <w:r w:rsidRPr="0097372D">
        <w:rPr>
          <w:lang w:val="fr-CA"/>
        </w:rPr>
        <w:t>792</w:t>
      </w:r>
      <w:r>
        <w:rPr>
          <w:lang w:val="fr-CA"/>
        </w:rPr>
        <w:t> </w:t>
      </w:r>
      <w:r w:rsidRPr="0097372D">
        <w:rPr>
          <w:lang w:val="fr-CA"/>
        </w:rPr>
        <w:t>215</w:t>
      </w:r>
      <w:r>
        <w:rPr>
          <w:lang w:val="fr-CA"/>
        </w:rPr>
        <w:t> $US</w:t>
      </w:r>
      <w:r w:rsidRPr="0097372D">
        <w:rPr>
          <w:lang w:val="fr-CA"/>
        </w:rPr>
        <w:t xml:space="preserve"> (</w:t>
      </w:r>
      <w:r>
        <w:rPr>
          <w:lang w:val="fr-CA"/>
        </w:rPr>
        <w:t xml:space="preserve">soit </w:t>
      </w:r>
      <w:r w:rsidRPr="0097372D">
        <w:rPr>
          <w:lang w:val="fr-CA"/>
        </w:rPr>
        <w:t>311</w:t>
      </w:r>
      <w:r>
        <w:rPr>
          <w:lang w:val="fr-CA"/>
        </w:rPr>
        <w:t> </w:t>
      </w:r>
      <w:r w:rsidRPr="0097372D">
        <w:rPr>
          <w:lang w:val="fr-CA"/>
        </w:rPr>
        <w:t>653</w:t>
      </w:r>
      <w:r>
        <w:rPr>
          <w:lang w:val="fr-CA"/>
        </w:rPr>
        <w:t xml:space="preserve"> $US des soldes et </w:t>
      </w:r>
      <w:r w:rsidRPr="0097372D">
        <w:rPr>
          <w:lang w:val="fr-CA"/>
        </w:rPr>
        <w:t>480</w:t>
      </w:r>
      <w:r>
        <w:rPr>
          <w:lang w:val="fr-CA"/>
        </w:rPr>
        <w:t> </w:t>
      </w:r>
      <w:r w:rsidRPr="0097372D">
        <w:rPr>
          <w:lang w:val="fr-CA"/>
        </w:rPr>
        <w:t>561</w:t>
      </w:r>
      <w:r>
        <w:rPr>
          <w:lang w:val="fr-CA"/>
        </w:rPr>
        <w:t> $US d’intérêts cumulatifs</w:t>
      </w:r>
      <w:r w:rsidRPr="0097372D">
        <w:rPr>
          <w:lang w:val="fr-CA"/>
        </w:rPr>
        <w:t xml:space="preserve">). </w:t>
      </w:r>
      <w:r>
        <w:rPr>
          <w:lang w:val="fr-CA"/>
        </w:rPr>
        <w:t>Conformément à la décision</w:t>
      </w:r>
      <w:r w:rsidRPr="0097372D">
        <w:rPr>
          <w:lang w:val="fr-CA"/>
        </w:rPr>
        <w:t xml:space="preserve"> 84/39(c)(ii), </w:t>
      </w:r>
      <w:r>
        <w:rPr>
          <w:lang w:val="fr-CA"/>
        </w:rPr>
        <w:t xml:space="preserve">les soldes sont restitués à la </w:t>
      </w:r>
      <w:r w:rsidRPr="0097372D">
        <w:rPr>
          <w:lang w:val="fr-CA"/>
        </w:rPr>
        <w:t>85</w:t>
      </w:r>
      <w:r>
        <w:rPr>
          <w:vertAlign w:val="superscript"/>
          <w:lang w:val="fr-CA"/>
        </w:rPr>
        <w:t>e</w:t>
      </w:r>
      <w:r w:rsidRPr="0097372D">
        <w:rPr>
          <w:lang w:val="fr-CA"/>
        </w:rPr>
        <w:t> </w:t>
      </w:r>
      <w:r>
        <w:rPr>
          <w:lang w:val="fr-CA"/>
        </w:rPr>
        <w:t xml:space="preserve">réunion, soit </w:t>
      </w:r>
      <w:r w:rsidRPr="0097372D">
        <w:rPr>
          <w:lang w:val="fr-CA"/>
        </w:rPr>
        <w:t>792</w:t>
      </w:r>
      <w:r>
        <w:rPr>
          <w:lang w:val="fr-CA"/>
        </w:rPr>
        <w:t> </w:t>
      </w:r>
      <w:r w:rsidRPr="0097372D">
        <w:rPr>
          <w:lang w:val="fr-CA"/>
        </w:rPr>
        <w:t>215</w:t>
      </w:r>
      <w:r>
        <w:rPr>
          <w:lang w:val="fr-CA"/>
        </w:rPr>
        <w:t> $us</w:t>
      </w:r>
      <w:r w:rsidRPr="0097372D">
        <w:rPr>
          <w:lang w:val="fr-CA"/>
        </w:rPr>
        <w:t xml:space="preserve">. </w:t>
      </w:r>
    </w:p>
    <w:p w14:paraId="57B5077D" w14:textId="27021BF1" w:rsidR="00CC3427" w:rsidRPr="0097372D" w:rsidRDefault="00CC3427" w:rsidP="00BC5440">
      <w:pPr>
        <w:keepNext/>
        <w:contextualSpacing/>
        <w:rPr>
          <w:b/>
          <w:sz w:val="21"/>
          <w:szCs w:val="21"/>
          <w:lang w:val="fr-CA"/>
        </w:rPr>
      </w:pPr>
      <w:r w:rsidRPr="0097372D">
        <w:rPr>
          <w:b/>
          <w:sz w:val="21"/>
          <w:szCs w:val="21"/>
          <w:lang w:val="fr-CA"/>
        </w:rPr>
        <w:lastRenderedPageBreak/>
        <w:t>Table</w:t>
      </w:r>
      <w:r w:rsidR="00BC5440">
        <w:rPr>
          <w:b/>
          <w:sz w:val="21"/>
          <w:szCs w:val="21"/>
          <w:lang w:val="fr-CA"/>
        </w:rPr>
        <w:t>au</w:t>
      </w:r>
      <w:r w:rsidRPr="0097372D">
        <w:rPr>
          <w:b/>
          <w:sz w:val="21"/>
          <w:szCs w:val="21"/>
          <w:lang w:val="fr-CA"/>
        </w:rPr>
        <w:t xml:space="preserve"> 1. </w:t>
      </w:r>
      <w:r>
        <w:rPr>
          <w:b/>
          <w:sz w:val="21"/>
          <w:szCs w:val="21"/>
          <w:lang w:val="fr-CA"/>
        </w:rPr>
        <w:t>Soldes restants et intérêts pour la production de</w:t>
      </w:r>
      <w:r w:rsidRPr="0097372D">
        <w:rPr>
          <w:b/>
          <w:sz w:val="21"/>
          <w:szCs w:val="21"/>
          <w:lang w:val="fr-CA"/>
        </w:rPr>
        <w:t xml:space="preserve"> CFC, </w:t>
      </w:r>
      <w:r>
        <w:rPr>
          <w:b/>
          <w:sz w:val="21"/>
          <w:szCs w:val="21"/>
          <w:lang w:val="fr-CA"/>
        </w:rPr>
        <w:t xml:space="preserve">les </w:t>
      </w:r>
      <w:r w:rsidRPr="0097372D">
        <w:rPr>
          <w:b/>
          <w:sz w:val="21"/>
          <w:szCs w:val="21"/>
          <w:lang w:val="fr-CA"/>
        </w:rPr>
        <w:t>halon</w:t>
      </w:r>
      <w:r>
        <w:rPr>
          <w:b/>
          <w:sz w:val="21"/>
          <w:szCs w:val="21"/>
          <w:lang w:val="fr-CA"/>
        </w:rPr>
        <w:t>s</w:t>
      </w:r>
      <w:r w:rsidRPr="0097372D">
        <w:rPr>
          <w:b/>
          <w:sz w:val="21"/>
          <w:szCs w:val="21"/>
          <w:lang w:val="fr-CA"/>
        </w:rPr>
        <w:t xml:space="preserve">, </w:t>
      </w:r>
      <w:r>
        <w:rPr>
          <w:b/>
          <w:sz w:val="21"/>
          <w:szCs w:val="21"/>
          <w:lang w:val="fr-CA"/>
        </w:rPr>
        <w:t xml:space="preserve">la mousse </w:t>
      </w:r>
      <w:r w:rsidRPr="0097372D">
        <w:rPr>
          <w:b/>
          <w:sz w:val="21"/>
          <w:szCs w:val="21"/>
          <w:lang w:val="fr-CA"/>
        </w:rPr>
        <w:t xml:space="preserve">PU, </w:t>
      </w:r>
      <w:r>
        <w:rPr>
          <w:b/>
          <w:sz w:val="21"/>
          <w:szCs w:val="21"/>
          <w:lang w:val="fr-CA"/>
        </w:rPr>
        <w:t xml:space="preserve">l’agent de transformation </w:t>
      </w:r>
      <w:r w:rsidRPr="0097372D">
        <w:rPr>
          <w:b/>
          <w:sz w:val="21"/>
          <w:szCs w:val="21"/>
          <w:lang w:val="fr-CA"/>
        </w:rPr>
        <w:t xml:space="preserve">II, </w:t>
      </w:r>
      <w:r>
        <w:rPr>
          <w:b/>
          <w:sz w:val="21"/>
          <w:szCs w:val="21"/>
          <w:lang w:val="fr-CA"/>
        </w:rPr>
        <w:t xml:space="preserve">l’entretien en </w:t>
      </w:r>
      <w:r w:rsidRPr="0097372D">
        <w:rPr>
          <w:b/>
          <w:sz w:val="21"/>
          <w:szCs w:val="21"/>
          <w:lang w:val="fr-CA"/>
        </w:rPr>
        <w:t>réfrigération</w:t>
      </w:r>
      <w:r>
        <w:rPr>
          <w:b/>
          <w:sz w:val="21"/>
          <w:szCs w:val="21"/>
          <w:lang w:val="fr-CA"/>
        </w:rPr>
        <w:t>, et les plans sectoriels pour les solvants</w:t>
      </w:r>
      <w:r w:rsidRPr="0097372D">
        <w:rPr>
          <w:b/>
          <w:sz w:val="21"/>
          <w:szCs w:val="21"/>
          <w:lang w:val="fr-CA"/>
        </w:rPr>
        <w:t xml:space="preserve"> (</w:t>
      </w:r>
      <w:r>
        <w:rPr>
          <w:b/>
          <w:sz w:val="21"/>
          <w:szCs w:val="21"/>
          <w:lang w:val="fr-CA"/>
        </w:rPr>
        <w:t>$</w:t>
      </w:r>
      <w:r w:rsidRPr="0097372D">
        <w:rPr>
          <w:b/>
          <w:sz w:val="21"/>
          <w:szCs w:val="21"/>
          <w:lang w:val="fr-CA"/>
        </w:rPr>
        <w:t>US)</w:t>
      </w:r>
    </w:p>
    <w:tbl>
      <w:tblPr>
        <w:tblW w:w="5070" w:type="pct"/>
        <w:tblLook w:val="04A0" w:firstRow="1" w:lastRow="0" w:firstColumn="1" w:lastColumn="0" w:noHBand="0" w:noVBand="1"/>
      </w:tblPr>
      <w:tblGrid>
        <w:gridCol w:w="3007"/>
        <w:gridCol w:w="1913"/>
        <w:gridCol w:w="1914"/>
        <w:gridCol w:w="1242"/>
        <w:gridCol w:w="1405"/>
      </w:tblGrid>
      <w:tr w:rsidR="00CC3427" w:rsidRPr="0097372D" w14:paraId="7237779B" w14:textId="77777777" w:rsidTr="00387BB8">
        <w:trPr>
          <w:tblHeader/>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D24AB" w14:textId="77777777" w:rsidR="00CC3427" w:rsidRPr="0097372D" w:rsidRDefault="00CC3427" w:rsidP="00387BB8">
            <w:pPr>
              <w:jc w:val="left"/>
              <w:rPr>
                <w:b/>
                <w:color w:val="000000"/>
                <w:sz w:val="20"/>
                <w:szCs w:val="20"/>
                <w:lang w:val="fr-CA" w:eastAsia="en-CA"/>
              </w:rPr>
            </w:pPr>
            <w:r w:rsidRPr="0097372D">
              <w:rPr>
                <w:b/>
                <w:color w:val="000000"/>
                <w:sz w:val="20"/>
                <w:szCs w:val="20"/>
                <w:lang w:val="fr-CA" w:eastAsia="en-CA"/>
              </w:rPr>
              <w:t>Activit</w:t>
            </w:r>
            <w:r>
              <w:rPr>
                <w:b/>
                <w:color w:val="000000"/>
                <w:sz w:val="20"/>
                <w:szCs w:val="20"/>
                <w:lang w:val="fr-CA" w:eastAsia="en-CA"/>
              </w:rPr>
              <w:t>é</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14:paraId="62A4A14A" w14:textId="77777777" w:rsidR="00CC3427" w:rsidRPr="0097372D" w:rsidRDefault="00CC3427" w:rsidP="00387BB8">
            <w:pPr>
              <w:jc w:val="center"/>
              <w:rPr>
                <w:b/>
                <w:color w:val="000000"/>
                <w:sz w:val="20"/>
                <w:szCs w:val="20"/>
                <w:lang w:val="fr-CA" w:eastAsia="en-CA"/>
              </w:rPr>
            </w:pPr>
            <w:r>
              <w:rPr>
                <w:b/>
                <w:color w:val="000000"/>
                <w:sz w:val="20"/>
                <w:szCs w:val="20"/>
                <w:lang w:val="fr-CA" w:eastAsia="en-CA"/>
              </w:rPr>
              <w:t>Solde au</w:t>
            </w:r>
            <w:r w:rsidRPr="0097372D">
              <w:rPr>
                <w:b/>
                <w:color w:val="000000"/>
                <w:sz w:val="20"/>
                <w:szCs w:val="20"/>
                <w:lang w:val="fr-CA" w:eastAsia="en-CA"/>
              </w:rPr>
              <w:t xml:space="preserve"> 30 </w:t>
            </w:r>
            <w:r>
              <w:rPr>
                <w:b/>
                <w:color w:val="000000"/>
                <w:sz w:val="20"/>
                <w:szCs w:val="20"/>
                <w:lang w:val="fr-CA" w:eastAsia="en-CA"/>
              </w:rPr>
              <w:t>juin</w:t>
            </w:r>
            <w:r w:rsidRPr="0097372D">
              <w:rPr>
                <w:b/>
                <w:color w:val="000000"/>
                <w:sz w:val="20"/>
                <w:szCs w:val="20"/>
                <w:lang w:val="fr-CA" w:eastAsia="en-CA"/>
              </w:rPr>
              <w:t> 2019</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14:paraId="60CC86AC" w14:textId="77777777" w:rsidR="00CC3427" w:rsidRDefault="00CC3427" w:rsidP="00387BB8">
            <w:pPr>
              <w:jc w:val="center"/>
              <w:rPr>
                <w:b/>
                <w:color w:val="000000"/>
                <w:sz w:val="20"/>
                <w:szCs w:val="20"/>
                <w:lang w:val="fr-CA" w:eastAsia="en-CA"/>
              </w:rPr>
            </w:pPr>
            <w:r>
              <w:rPr>
                <w:b/>
                <w:color w:val="000000"/>
                <w:sz w:val="20"/>
                <w:szCs w:val="20"/>
                <w:lang w:val="fr-CA" w:eastAsia="en-CA"/>
              </w:rPr>
              <w:t>Solde au</w:t>
            </w:r>
          </w:p>
          <w:p w14:paraId="215758D1" w14:textId="77777777" w:rsidR="00CC3427" w:rsidRPr="0097372D" w:rsidRDefault="00CC3427" w:rsidP="00387BB8">
            <w:pPr>
              <w:jc w:val="center"/>
              <w:rPr>
                <w:b/>
                <w:color w:val="000000"/>
                <w:sz w:val="20"/>
                <w:szCs w:val="20"/>
                <w:lang w:val="fr-CA" w:eastAsia="en-CA"/>
              </w:rPr>
            </w:pPr>
            <w:r>
              <w:rPr>
                <w:b/>
                <w:color w:val="000000"/>
                <w:sz w:val="20"/>
                <w:szCs w:val="20"/>
                <w:lang w:val="fr-CA" w:eastAsia="en-CA"/>
              </w:rPr>
              <w:t xml:space="preserve"> </w:t>
            </w:r>
            <w:r w:rsidRPr="0097372D">
              <w:rPr>
                <w:b/>
                <w:color w:val="000000"/>
                <w:sz w:val="20"/>
                <w:szCs w:val="20"/>
                <w:lang w:val="fr-CA" w:eastAsia="en-CA"/>
              </w:rPr>
              <w:t>31 </w:t>
            </w:r>
            <w:r>
              <w:rPr>
                <w:b/>
                <w:color w:val="000000"/>
                <w:sz w:val="20"/>
                <w:szCs w:val="20"/>
                <w:lang w:val="fr-CA" w:eastAsia="en-CA"/>
              </w:rPr>
              <w:t>Déc</w:t>
            </w:r>
            <w:r w:rsidRPr="0097372D">
              <w:rPr>
                <w:b/>
                <w:color w:val="000000"/>
                <w:sz w:val="20"/>
                <w:szCs w:val="20"/>
                <w:lang w:val="fr-CA" w:eastAsia="en-CA"/>
              </w:rPr>
              <w:t>. 2019</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2EF705B8" w14:textId="77777777" w:rsidR="00CC3427" w:rsidRPr="0097372D" w:rsidRDefault="00CC3427" w:rsidP="00387BB8">
            <w:pPr>
              <w:jc w:val="center"/>
              <w:rPr>
                <w:b/>
                <w:color w:val="000000"/>
                <w:sz w:val="20"/>
                <w:szCs w:val="20"/>
                <w:lang w:val="fr-CA" w:eastAsia="en-CA"/>
              </w:rPr>
            </w:pPr>
            <w:r>
              <w:rPr>
                <w:b/>
                <w:color w:val="000000"/>
                <w:sz w:val="20"/>
                <w:szCs w:val="20"/>
                <w:lang w:val="fr-CA" w:eastAsia="en-CA"/>
              </w:rPr>
              <w:t>Intérêts cumulatifs</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55A33BBC" w14:textId="77777777" w:rsidR="00CC3427" w:rsidRPr="0097372D" w:rsidRDefault="00CC3427" w:rsidP="00387BB8">
            <w:pPr>
              <w:jc w:val="center"/>
              <w:rPr>
                <w:b/>
                <w:color w:val="000000"/>
                <w:sz w:val="20"/>
                <w:szCs w:val="20"/>
                <w:lang w:val="fr-CA" w:eastAsia="en-CA"/>
              </w:rPr>
            </w:pPr>
            <w:r>
              <w:rPr>
                <w:b/>
                <w:color w:val="000000"/>
                <w:sz w:val="20"/>
                <w:szCs w:val="20"/>
                <w:lang w:val="fr-CA" w:eastAsia="en-CA"/>
              </w:rPr>
              <w:t>Date d’achèvement</w:t>
            </w:r>
          </w:p>
        </w:tc>
      </w:tr>
      <w:tr w:rsidR="00CC3427" w:rsidRPr="0097372D" w14:paraId="05E690AC"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54F46D1E" w14:textId="77777777" w:rsidR="00CC3427" w:rsidRPr="0097372D" w:rsidRDefault="00CC3427" w:rsidP="00387BB8">
            <w:pPr>
              <w:jc w:val="left"/>
              <w:rPr>
                <w:color w:val="000000"/>
                <w:sz w:val="20"/>
                <w:szCs w:val="20"/>
                <w:lang w:val="fr-CA" w:eastAsia="en-CA"/>
              </w:rPr>
            </w:pPr>
            <w:r>
              <w:rPr>
                <w:color w:val="000000"/>
                <w:sz w:val="20"/>
                <w:szCs w:val="20"/>
                <w:lang w:val="fr-CA" w:eastAsia="en-CA"/>
              </w:rPr>
              <w:t xml:space="preserve">Production de </w:t>
            </w:r>
            <w:r w:rsidRPr="0097372D">
              <w:rPr>
                <w:color w:val="000000"/>
                <w:sz w:val="20"/>
                <w:szCs w:val="20"/>
                <w:lang w:val="fr-CA" w:eastAsia="en-CA"/>
              </w:rPr>
              <w:t>CFC (</w:t>
            </w:r>
            <w:r>
              <w:rPr>
                <w:color w:val="000000"/>
                <w:sz w:val="20"/>
                <w:szCs w:val="20"/>
                <w:lang w:val="fr-CA" w:eastAsia="en-CA"/>
              </w:rPr>
              <w:t>Banque mondiale</w:t>
            </w:r>
            <w:r w:rsidRPr="0097372D">
              <w:rPr>
                <w:color w:val="000000"/>
                <w:sz w:val="20"/>
                <w:szCs w:val="20"/>
                <w:lang w:val="fr-CA" w:eastAsia="en-CA"/>
              </w:rPr>
              <w:t>) </w:t>
            </w:r>
          </w:p>
        </w:tc>
        <w:tc>
          <w:tcPr>
            <w:tcW w:w="1034" w:type="pct"/>
            <w:tcBorders>
              <w:top w:val="nil"/>
              <w:left w:val="nil"/>
              <w:bottom w:val="single" w:sz="4" w:space="0" w:color="auto"/>
              <w:right w:val="single" w:sz="4" w:space="0" w:color="auto"/>
            </w:tcBorders>
            <w:shd w:val="clear" w:color="auto" w:fill="auto"/>
            <w:noWrap/>
            <w:vAlign w:val="center"/>
            <w:hideMark/>
          </w:tcPr>
          <w:p w14:paraId="400B02D2"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179</w:t>
            </w:r>
            <w:r>
              <w:rPr>
                <w:color w:val="000000"/>
                <w:sz w:val="20"/>
                <w:szCs w:val="20"/>
                <w:lang w:val="fr-CA" w:eastAsia="en-CA"/>
              </w:rPr>
              <w:t> </w:t>
            </w:r>
            <w:r w:rsidRPr="0097372D">
              <w:rPr>
                <w:color w:val="000000"/>
                <w:sz w:val="20"/>
                <w:szCs w:val="20"/>
                <w:lang w:val="fr-CA" w:eastAsia="en-CA"/>
              </w:rPr>
              <w:t>878</w:t>
            </w:r>
          </w:p>
        </w:tc>
        <w:tc>
          <w:tcPr>
            <w:tcW w:w="1034" w:type="pct"/>
            <w:tcBorders>
              <w:top w:val="nil"/>
              <w:left w:val="nil"/>
              <w:bottom w:val="single" w:sz="4" w:space="0" w:color="auto"/>
              <w:right w:val="single" w:sz="4" w:space="0" w:color="auto"/>
            </w:tcBorders>
            <w:shd w:val="clear" w:color="auto" w:fill="auto"/>
            <w:noWrap/>
            <w:vAlign w:val="center"/>
            <w:hideMark/>
          </w:tcPr>
          <w:p w14:paraId="017813DA"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33</w:t>
            </w:r>
            <w:r>
              <w:rPr>
                <w:color w:val="000000"/>
                <w:sz w:val="20"/>
                <w:szCs w:val="20"/>
                <w:lang w:val="fr-CA" w:eastAsia="en-CA"/>
              </w:rPr>
              <w:t> </w:t>
            </w:r>
            <w:r w:rsidRPr="0097372D">
              <w:rPr>
                <w:color w:val="000000"/>
                <w:sz w:val="20"/>
                <w:szCs w:val="20"/>
                <w:lang w:val="fr-CA" w:eastAsia="en-CA"/>
              </w:rPr>
              <w:t>907</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9E3256"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22</w:t>
            </w:r>
            <w:r>
              <w:rPr>
                <w:color w:val="000000"/>
                <w:sz w:val="20"/>
                <w:szCs w:val="20"/>
                <w:lang w:val="fr-CA" w:eastAsia="en-CA"/>
              </w:rPr>
              <w:t> </w:t>
            </w:r>
            <w:r w:rsidRPr="0097372D">
              <w:rPr>
                <w:color w:val="000000"/>
                <w:sz w:val="20"/>
                <w:szCs w:val="20"/>
                <w:lang w:val="fr-CA" w:eastAsia="en-CA"/>
              </w:rPr>
              <w:t>119</w:t>
            </w:r>
          </w:p>
        </w:tc>
        <w:tc>
          <w:tcPr>
            <w:tcW w:w="641" w:type="pct"/>
            <w:tcBorders>
              <w:top w:val="nil"/>
              <w:left w:val="nil"/>
              <w:bottom w:val="single" w:sz="4" w:space="0" w:color="auto"/>
              <w:right w:val="single" w:sz="4" w:space="0" w:color="auto"/>
            </w:tcBorders>
            <w:shd w:val="clear" w:color="auto" w:fill="auto"/>
            <w:noWrap/>
            <w:vAlign w:val="center"/>
            <w:hideMark/>
          </w:tcPr>
          <w:p w14:paraId="2DFE0A86" w14:textId="77777777" w:rsidR="00CC3427" w:rsidRPr="0097372D" w:rsidRDefault="00CC3427" w:rsidP="00387BB8">
            <w:pPr>
              <w:jc w:val="center"/>
              <w:rPr>
                <w:color w:val="000000"/>
                <w:sz w:val="20"/>
                <w:szCs w:val="20"/>
                <w:lang w:val="fr-CA" w:eastAsia="en-CA"/>
              </w:rPr>
            </w:pPr>
            <w:r>
              <w:rPr>
                <w:color w:val="000000"/>
                <w:sz w:val="20"/>
                <w:szCs w:val="20"/>
                <w:lang w:val="fr-CA" w:eastAsia="en-CA"/>
              </w:rPr>
              <w:t>Déc</w:t>
            </w:r>
            <w:r w:rsidRPr="0097372D">
              <w:rPr>
                <w:color w:val="000000"/>
                <w:sz w:val="20"/>
                <w:szCs w:val="20"/>
                <w:lang w:val="fr-CA" w:eastAsia="en-CA"/>
              </w:rPr>
              <w:t>. 2019</w:t>
            </w:r>
          </w:p>
        </w:tc>
      </w:tr>
      <w:tr w:rsidR="00CC3427" w:rsidRPr="0097372D" w14:paraId="0D9B4F83"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7948CFBA" w14:textId="77777777" w:rsidR="00CC3427" w:rsidRPr="0097372D" w:rsidRDefault="00CC3427" w:rsidP="00387BB8">
            <w:pPr>
              <w:jc w:val="left"/>
              <w:rPr>
                <w:color w:val="000000"/>
                <w:sz w:val="20"/>
                <w:szCs w:val="20"/>
                <w:lang w:val="fr-CA" w:eastAsia="en-CA"/>
              </w:rPr>
            </w:pPr>
            <w:r>
              <w:rPr>
                <w:color w:val="000000"/>
                <w:sz w:val="20"/>
                <w:szCs w:val="20"/>
                <w:lang w:val="fr-CA" w:eastAsia="en-CA"/>
              </w:rPr>
              <w:t>Secteur des h</w:t>
            </w:r>
            <w:r w:rsidRPr="0097372D">
              <w:rPr>
                <w:color w:val="000000"/>
                <w:sz w:val="20"/>
                <w:szCs w:val="20"/>
                <w:lang w:val="fr-CA" w:eastAsia="en-CA"/>
              </w:rPr>
              <w:t>alons (</w:t>
            </w:r>
            <w:r>
              <w:rPr>
                <w:color w:val="000000"/>
                <w:sz w:val="20"/>
                <w:szCs w:val="20"/>
                <w:lang w:val="fr-CA" w:eastAsia="en-CA"/>
              </w:rPr>
              <w:t>Banque mondiale</w:t>
            </w:r>
            <w:r w:rsidRPr="0097372D">
              <w:rPr>
                <w:color w:val="000000"/>
                <w:sz w:val="20"/>
                <w:szCs w:val="20"/>
                <w:lang w:val="fr-CA" w:eastAsia="en-CA"/>
              </w:rPr>
              <w:t>)</w:t>
            </w:r>
          </w:p>
        </w:tc>
        <w:tc>
          <w:tcPr>
            <w:tcW w:w="1034" w:type="pct"/>
            <w:tcBorders>
              <w:top w:val="nil"/>
              <w:left w:val="nil"/>
              <w:bottom w:val="single" w:sz="4" w:space="0" w:color="auto"/>
              <w:right w:val="single" w:sz="4" w:space="0" w:color="auto"/>
            </w:tcBorders>
            <w:shd w:val="clear" w:color="auto" w:fill="auto"/>
            <w:noWrap/>
            <w:vAlign w:val="center"/>
            <w:hideMark/>
          </w:tcPr>
          <w:p w14:paraId="79560A14"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9</w:t>
            </w:r>
            <w:r>
              <w:rPr>
                <w:color w:val="000000"/>
                <w:sz w:val="20"/>
                <w:szCs w:val="20"/>
                <w:lang w:val="fr-CA" w:eastAsia="en-CA"/>
              </w:rPr>
              <w:t> </w:t>
            </w:r>
            <w:r w:rsidRPr="0097372D">
              <w:rPr>
                <w:color w:val="000000"/>
                <w:sz w:val="20"/>
                <w:szCs w:val="20"/>
                <w:lang w:val="fr-CA" w:eastAsia="en-CA"/>
              </w:rPr>
              <w:t>154</w:t>
            </w:r>
            <w:r>
              <w:rPr>
                <w:color w:val="000000"/>
                <w:sz w:val="20"/>
                <w:szCs w:val="20"/>
                <w:lang w:val="fr-CA" w:eastAsia="en-CA"/>
              </w:rPr>
              <w:t> </w:t>
            </w:r>
            <w:r w:rsidRPr="0097372D">
              <w:rPr>
                <w:color w:val="000000"/>
                <w:sz w:val="20"/>
                <w:szCs w:val="20"/>
                <w:lang w:val="fr-CA" w:eastAsia="en-CA"/>
              </w:rPr>
              <w:t>827</w:t>
            </w:r>
          </w:p>
        </w:tc>
        <w:tc>
          <w:tcPr>
            <w:tcW w:w="1034" w:type="pct"/>
            <w:tcBorders>
              <w:top w:val="nil"/>
              <w:left w:val="nil"/>
              <w:bottom w:val="single" w:sz="4" w:space="0" w:color="auto"/>
              <w:right w:val="single" w:sz="4" w:space="0" w:color="auto"/>
            </w:tcBorders>
            <w:shd w:val="clear" w:color="auto" w:fill="auto"/>
            <w:noWrap/>
            <w:vAlign w:val="center"/>
            <w:hideMark/>
          </w:tcPr>
          <w:p w14:paraId="74CD96AD"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8</w:t>
            </w:r>
            <w:r>
              <w:rPr>
                <w:color w:val="000000"/>
                <w:sz w:val="20"/>
                <w:szCs w:val="20"/>
                <w:lang w:val="fr-CA" w:eastAsia="en-CA"/>
              </w:rPr>
              <w:t> </w:t>
            </w:r>
            <w:r w:rsidRPr="0097372D">
              <w:rPr>
                <w:color w:val="000000"/>
                <w:sz w:val="20"/>
                <w:szCs w:val="20"/>
                <w:lang w:val="fr-CA" w:eastAsia="en-CA"/>
              </w:rPr>
              <w:t>913</w:t>
            </w:r>
            <w:r>
              <w:rPr>
                <w:color w:val="000000"/>
                <w:sz w:val="20"/>
                <w:szCs w:val="20"/>
                <w:lang w:val="fr-CA" w:eastAsia="en-CA"/>
              </w:rPr>
              <w:t> </w:t>
            </w:r>
            <w:r w:rsidRPr="0097372D">
              <w:rPr>
                <w:color w:val="000000"/>
                <w:sz w:val="20"/>
                <w:szCs w:val="20"/>
                <w:lang w:val="fr-CA" w:eastAsia="en-CA"/>
              </w:rPr>
              <w:t>167</w:t>
            </w:r>
          </w:p>
        </w:tc>
        <w:tc>
          <w:tcPr>
            <w:tcW w:w="680" w:type="pct"/>
            <w:vMerge/>
            <w:tcBorders>
              <w:top w:val="nil"/>
              <w:left w:val="single" w:sz="4" w:space="0" w:color="auto"/>
              <w:bottom w:val="single" w:sz="4" w:space="0" w:color="000000"/>
              <w:right w:val="single" w:sz="4" w:space="0" w:color="auto"/>
            </w:tcBorders>
            <w:vAlign w:val="center"/>
            <w:hideMark/>
          </w:tcPr>
          <w:p w14:paraId="0E1A5CF8" w14:textId="77777777" w:rsidR="00CC3427" w:rsidRPr="0097372D" w:rsidRDefault="00CC3427" w:rsidP="00387BB8">
            <w:pPr>
              <w:jc w:val="left"/>
              <w:rPr>
                <w:color w:val="000000"/>
                <w:sz w:val="20"/>
                <w:szCs w:val="20"/>
                <w:lang w:val="fr-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14:paraId="246D3BC9" w14:textId="77777777" w:rsidR="00CC3427" w:rsidRPr="0097372D" w:rsidRDefault="00CC3427" w:rsidP="00387BB8">
            <w:pPr>
              <w:jc w:val="center"/>
              <w:rPr>
                <w:color w:val="000000"/>
                <w:sz w:val="20"/>
                <w:szCs w:val="20"/>
                <w:lang w:val="fr-CA" w:eastAsia="en-CA"/>
              </w:rPr>
            </w:pPr>
            <w:r>
              <w:rPr>
                <w:color w:val="000000"/>
                <w:sz w:val="20"/>
                <w:szCs w:val="20"/>
                <w:lang w:val="fr-CA" w:eastAsia="en-CA"/>
              </w:rPr>
              <w:t>Déc</w:t>
            </w:r>
            <w:r w:rsidRPr="0097372D">
              <w:rPr>
                <w:color w:val="000000"/>
                <w:sz w:val="20"/>
                <w:szCs w:val="20"/>
                <w:lang w:val="fr-CA" w:eastAsia="en-CA"/>
              </w:rPr>
              <w:t>. 2020</w:t>
            </w:r>
          </w:p>
        </w:tc>
      </w:tr>
      <w:tr w:rsidR="00CC3427" w:rsidRPr="0097372D" w14:paraId="4856FA88"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1A45FEA1" w14:textId="77777777" w:rsidR="00CC3427" w:rsidRPr="0097372D" w:rsidRDefault="00CC3427" w:rsidP="00387BB8">
            <w:pPr>
              <w:jc w:val="left"/>
              <w:rPr>
                <w:color w:val="000000"/>
                <w:sz w:val="20"/>
                <w:szCs w:val="20"/>
                <w:lang w:val="fr-CA" w:eastAsia="en-CA"/>
              </w:rPr>
            </w:pPr>
            <w:r>
              <w:rPr>
                <w:color w:val="000000"/>
                <w:sz w:val="20"/>
                <w:szCs w:val="20"/>
                <w:lang w:val="fr-CA" w:eastAsia="en-CA"/>
              </w:rPr>
              <w:t>Agent de transformation</w:t>
            </w:r>
            <w:r w:rsidRPr="0097372D">
              <w:rPr>
                <w:color w:val="000000"/>
                <w:sz w:val="20"/>
                <w:szCs w:val="20"/>
                <w:lang w:val="fr-CA" w:eastAsia="en-CA"/>
              </w:rPr>
              <w:t xml:space="preserve"> II (</w:t>
            </w:r>
            <w:r>
              <w:rPr>
                <w:color w:val="000000"/>
                <w:sz w:val="20"/>
                <w:szCs w:val="20"/>
                <w:lang w:val="fr-CA" w:eastAsia="en-CA"/>
              </w:rPr>
              <w:t>Banque mondiale</w:t>
            </w:r>
            <w:r w:rsidRPr="0097372D">
              <w:rPr>
                <w:color w:val="000000"/>
                <w:sz w:val="20"/>
                <w:szCs w:val="20"/>
                <w:lang w:val="fr-CA" w:eastAsia="en-CA"/>
              </w:rPr>
              <w:t>)</w:t>
            </w:r>
          </w:p>
        </w:tc>
        <w:tc>
          <w:tcPr>
            <w:tcW w:w="1034" w:type="pct"/>
            <w:tcBorders>
              <w:top w:val="nil"/>
              <w:left w:val="nil"/>
              <w:bottom w:val="single" w:sz="4" w:space="0" w:color="auto"/>
              <w:right w:val="single" w:sz="4" w:space="0" w:color="auto"/>
            </w:tcBorders>
            <w:shd w:val="clear" w:color="auto" w:fill="auto"/>
            <w:noWrap/>
            <w:vAlign w:val="center"/>
            <w:hideMark/>
          </w:tcPr>
          <w:p w14:paraId="0A461625"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3</w:t>
            </w:r>
            <w:r>
              <w:rPr>
                <w:color w:val="000000"/>
                <w:sz w:val="20"/>
                <w:szCs w:val="20"/>
                <w:lang w:val="fr-CA" w:eastAsia="en-CA"/>
              </w:rPr>
              <w:t> </w:t>
            </w:r>
            <w:r w:rsidRPr="0097372D">
              <w:rPr>
                <w:color w:val="000000"/>
                <w:sz w:val="20"/>
                <w:szCs w:val="20"/>
                <w:lang w:val="fr-CA" w:eastAsia="en-CA"/>
              </w:rPr>
              <w:t>076</w:t>
            </w:r>
            <w:r>
              <w:rPr>
                <w:color w:val="000000"/>
                <w:sz w:val="20"/>
                <w:szCs w:val="20"/>
                <w:lang w:val="fr-CA" w:eastAsia="en-CA"/>
              </w:rPr>
              <w:t> </w:t>
            </w:r>
            <w:r w:rsidRPr="0097372D">
              <w:rPr>
                <w:color w:val="000000"/>
                <w:sz w:val="20"/>
                <w:szCs w:val="20"/>
                <w:lang w:val="fr-CA" w:eastAsia="en-CA"/>
              </w:rPr>
              <w:t>109</w:t>
            </w:r>
          </w:p>
        </w:tc>
        <w:tc>
          <w:tcPr>
            <w:tcW w:w="1034" w:type="pct"/>
            <w:tcBorders>
              <w:top w:val="nil"/>
              <w:left w:val="nil"/>
              <w:bottom w:val="single" w:sz="4" w:space="0" w:color="auto"/>
              <w:right w:val="single" w:sz="4" w:space="0" w:color="auto"/>
            </w:tcBorders>
            <w:shd w:val="clear" w:color="auto" w:fill="auto"/>
            <w:noWrap/>
            <w:vAlign w:val="center"/>
            <w:hideMark/>
          </w:tcPr>
          <w:p w14:paraId="3DCC5100"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2</w:t>
            </w:r>
            <w:r>
              <w:rPr>
                <w:color w:val="000000"/>
                <w:sz w:val="20"/>
                <w:szCs w:val="20"/>
                <w:lang w:val="fr-CA" w:eastAsia="en-CA"/>
              </w:rPr>
              <w:t> </w:t>
            </w:r>
            <w:r w:rsidRPr="0097372D">
              <w:rPr>
                <w:color w:val="000000"/>
                <w:sz w:val="20"/>
                <w:szCs w:val="20"/>
                <w:lang w:val="fr-CA" w:eastAsia="en-CA"/>
              </w:rPr>
              <w:t>084</w:t>
            </w:r>
            <w:r>
              <w:rPr>
                <w:color w:val="000000"/>
                <w:sz w:val="20"/>
                <w:szCs w:val="20"/>
                <w:lang w:val="fr-CA" w:eastAsia="en-CA"/>
              </w:rPr>
              <w:t> </w:t>
            </w:r>
            <w:r w:rsidRPr="0097372D">
              <w:rPr>
                <w:color w:val="000000"/>
                <w:sz w:val="20"/>
                <w:szCs w:val="20"/>
                <w:lang w:val="fr-CA" w:eastAsia="en-CA"/>
              </w:rPr>
              <w:t>808</w:t>
            </w:r>
          </w:p>
        </w:tc>
        <w:tc>
          <w:tcPr>
            <w:tcW w:w="680" w:type="pct"/>
            <w:vMerge/>
            <w:tcBorders>
              <w:top w:val="nil"/>
              <w:left w:val="single" w:sz="4" w:space="0" w:color="auto"/>
              <w:bottom w:val="single" w:sz="4" w:space="0" w:color="000000"/>
              <w:right w:val="single" w:sz="4" w:space="0" w:color="auto"/>
            </w:tcBorders>
            <w:vAlign w:val="center"/>
            <w:hideMark/>
          </w:tcPr>
          <w:p w14:paraId="624C3262" w14:textId="77777777" w:rsidR="00CC3427" w:rsidRPr="0097372D" w:rsidRDefault="00CC3427" w:rsidP="00387BB8">
            <w:pPr>
              <w:jc w:val="left"/>
              <w:rPr>
                <w:color w:val="000000"/>
                <w:sz w:val="20"/>
                <w:szCs w:val="20"/>
                <w:lang w:val="fr-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14:paraId="2035BB16" w14:textId="77777777" w:rsidR="00CC3427" w:rsidRPr="0097372D" w:rsidRDefault="00CC3427" w:rsidP="00387BB8">
            <w:pPr>
              <w:jc w:val="center"/>
              <w:rPr>
                <w:color w:val="000000"/>
                <w:sz w:val="20"/>
                <w:szCs w:val="20"/>
                <w:lang w:val="fr-CA" w:eastAsia="en-CA"/>
              </w:rPr>
            </w:pPr>
            <w:r>
              <w:rPr>
                <w:color w:val="000000"/>
                <w:sz w:val="20"/>
                <w:szCs w:val="20"/>
                <w:lang w:val="fr-CA" w:eastAsia="en-CA"/>
              </w:rPr>
              <w:t>Déc</w:t>
            </w:r>
            <w:r w:rsidRPr="0097372D">
              <w:rPr>
                <w:color w:val="000000"/>
                <w:sz w:val="20"/>
                <w:szCs w:val="20"/>
                <w:lang w:val="fr-CA" w:eastAsia="en-CA"/>
              </w:rPr>
              <w:t>. 2020</w:t>
            </w:r>
          </w:p>
        </w:tc>
      </w:tr>
      <w:tr w:rsidR="00CC3427" w:rsidRPr="0097372D" w14:paraId="38BD14B9"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4BD60E72" w14:textId="77777777" w:rsidR="00CC3427" w:rsidRPr="0097372D" w:rsidRDefault="00CC3427" w:rsidP="00387BB8">
            <w:pPr>
              <w:jc w:val="left"/>
              <w:rPr>
                <w:color w:val="000000"/>
                <w:sz w:val="20"/>
                <w:szCs w:val="20"/>
                <w:lang w:val="fr-CA" w:eastAsia="en-CA"/>
              </w:rPr>
            </w:pPr>
            <w:r>
              <w:rPr>
                <w:color w:val="000000"/>
                <w:sz w:val="20"/>
                <w:szCs w:val="20"/>
                <w:lang w:val="fr-CA" w:eastAsia="en-CA"/>
              </w:rPr>
              <w:t xml:space="preserve">Mousse </w:t>
            </w:r>
            <w:r w:rsidRPr="0097372D">
              <w:rPr>
                <w:color w:val="000000"/>
                <w:sz w:val="20"/>
                <w:szCs w:val="20"/>
                <w:lang w:val="fr-CA" w:eastAsia="en-CA"/>
              </w:rPr>
              <w:t>PU (</w:t>
            </w:r>
            <w:r>
              <w:rPr>
                <w:color w:val="000000"/>
                <w:sz w:val="20"/>
                <w:szCs w:val="20"/>
                <w:lang w:val="fr-CA" w:eastAsia="en-CA"/>
              </w:rPr>
              <w:t>Banque mondiale</w:t>
            </w:r>
            <w:r w:rsidRPr="0097372D">
              <w:rPr>
                <w:color w:val="000000"/>
                <w:sz w:val="20"/>
                <w:szCs w:val="20"/>
                <w:lang w:val="fr-CA" w:eastAsia="en-CA"/>
              </w:rPr>
              <w:t>)</w:t>
            </w:r>
          </w:p>
        </w:tc>
        <w:tc>
          <w:tcPr>
            <w:tcW w:w="1034" w:type="pct"/>
            <w:tcBorders>
              <w:top w:val="nil"/>
              <w:left w:val="nil"/>
              <w:bottom w:val="single" w:sz="4" w:space="0" w:color="auto"/>
              <w:right w:val="single" w:sz="4" w:space="0" w:color="auto"/>
            </w:tcBorders>
            <w:shd w:val="clear" w:color="auto" w:fill="auto"/>
            <w:noWrap/>
            <w:vAlign w:val="center"/>
            <w:hideMark/>
          </w:tcPr>
          <w:p w14:paraId="6DF4F97D"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897</w:t>
            </w:r>
            <w:r>
              <w:rPr>
                <w:color w:val="000000"/>
                <w:sz w:val="20"/>
                <w:szCs w:val="20"/>
                <w:lang w:val="fr-CA" w:eastAsia="en-CA"/>
              </w:rPr>
              <w:t> </w:t>
            </w:r>
            <w:r w:rsidRPr="0097372D">
              <w:rPr>
                <w:color w:val="000000"/>
                <w:sz w:val="20"/>
                <w:szCs w:val="20"/>
                <w:lang w:val="fr-CA" w:eastAsia="en-CA"/>
              </w:rPr>
              <w:t>009</w:t>
            </w:r>
          </w:p>
        </w:tc>
        <w:tc>
          <w:tcPr>
            <w:tcW w:w="1034" w:type="pct"/>
            <w:tcBorders>
              <w:top w:val="nil"/>
              <w:left w:val="nil"/>
              <w:bottom w:val="single" w:sz="4" w:space="0" w:color="auto"/>
              <w:right w:val="single" w:sz="4" w:space="0" w:color="auto"/>
            </w:tcBorders>
            <w:shd w:val="clear" w:color="auto" w:fill="auto"/>
            <w:noWrap/>
            <w:vAlign w:val="center"/>
            <w:hideMark/>
          </w:tcPr>
          <w:p w14:paraId="6A141496"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280</w:t>
            </w:r>
            <w:r>
              <w:rPr>
                <w:color w:val="000000"/>
                <w:sz w:val="20"/>
                <w:szCs w:val="20"/>
                <w:lang w:val="fr-CA" w:eastAsia="en-CA"/>
              </w:rPr>
              <w:t> </w:t>
            </w:r>
            <w:r w:rsidRPr="0097372D">
              <w:rPr>
                <w:color w:val="000000"/>
                <w:sz w:val="20"/>
                <w:szCs w:val="20"/>
                <w:lang w:val="fr-CA" w:eastAsia="en-CA"/>
              </w:rPr>
              <w:t>108</w:t>
            </w:r>
          </w:p>
        </w:tc>
        <w:tc>
          <w:tcPr>
            <w:tcW w:w="680" w:type="pct"/>
            <w:vMerge/>
            <w:tcBorders>
              <w:top w:val="nil"/>
              <w:left w:val="single" w:sz="4" w:space="0" w:color="auto"/>
              <w:bottom w:val="single" w:sz="4" w:space="0" w:color="000000"/>
              <w:right w:val="single" w:sz="4" w:space="0" w:color="auto"/>
            </w:tcBorders>
            <w:vAlign w:val="center"/>
            <w:hideMark/>
          </w:tcPr>
          <w:p w14:paraId="1F66B927" w14:textId="77777777" w:rsidR="00CC3427" w:rsidRPr="0097372D" w:rsidRDefault="00CC3427" w:rsidP="00387BB8">
            <w:pPr>
              <w:jc w:val="left"/>
              <w:rPr>
                <w:color w:val="000000"/>
                <w:sz w:val="20"/>
                <w:szCs w:val="20"/>
                <w:lang w:val="fr-CA" w:eastAsia="en-CA"/>
              </w:rPr>
            </w:pPr>
          </w:p>
        </w:tc>
        <w:tc>
          <w:tcPr>
            <w:tcW w:w="641" w:type="pct"/>
            <w:tcBorders>
              <w:top w:val="nil"/>
              <w:left w:val="nil"/>
              <w:bottom w:val="single" w:sz="4" w:space="0" w:color="auto"/>
              <w:right w:val="single" w:sz="4" w:space="0" w:color="auto"/>
            </w:tcBorders>
            <w:shd w:val="clear" w:color="auto" w:fill="auto"/>
            <w:noWrap/>
            <w:vAlign w:val="center"/>
            <w:hideMark/>
          </w:tcPr>
          <w:p w14:paraId="42D9CDE8" w14:textId="77777777" w:rsidR="00CC3427" w:rsidRPr="0097372D" w:rsidRDefault="00CC3427" w:rsidP="00387BB8">
            <w:pPr>
              <w:jc w:val="center"/>
              <w:rPr>
                <w:color w:val="000000"/>
                <w:sz w:val="20"/>
                <w:szCs w:val="20"/>
                <w:lang w:val="fr-CA" w:eastAsia="en-CA"/>
              </w:rPr>
            </w:pPr>
            <w:r>
              <w:rPr>
                <w:color w:val="000000"/>
                <w:sz w:val="20"/>
                <w:szCs w:val="20"/>
                <w:lang w:val="fr-CA" w:eastAsia="en-CA"/>
              </w:rPr>
              <w:t>Déc</w:t>
            </w:r>
            <w:r w:rsidRPr="0097372D">
              <w:rPr>
                <w:color w:val="000000"/>
                <w:sz w:val="20"/>
                <w:szCs w:val="20"/>
                <w:lang w:val="fr-CA" w:eastAsia="en-CA"/>
              </w:rPr>
              <w:t>. 2019</w:t>
            </w:r>
          </w:p>
        </w:tc>
      </w:tr>
      <w:tr w:rsidR="00CC3427" w:rsidRPr="0097372D" w14:paraId="2D967555"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48D0D612" w14:textId="77777777" w:rsidR="00CC3427" w:rsidRPr="0097372D" w:rsidRDefault="00CC3427" w:rsidP="00387BB8">
            <w:pPr>
              <w:jc w:val="left"/>
              <w:rPr>
                <w:color w:val="000000"/>
                <w:sz w:val="20"/>
                <w:szCs w:val="20"/>
                <w:lang w:val="fr-CA" w:eastAsia="en-CA"/>
              </w:rPr>
            </w:pPr>
            <w:r>
              <w:rPr>
                <w:color w:val="000000"/>
                <w:sz w:val="20"/>
                <w:szCs w:val="20"/>
                <w:lang w:val="fr-CA" w:eastAsia="en-CA"/>
              </w:rPr>
              <w:t>Entretien</w:t>
            </w:r>
            <w:r w:rsidRPr="0097372D">
              <w:rPr>
                <w:color w:val="000000"/>
                <w:sz w:val="20"/>
                <w:szCs w:val="20"/>
                <w:lang w:val="fr-CA" w:eastAsia="en-CA"/>
              </w:rPr>
              <w:t xml:space="preserve"> (Jap</w:t>
            </w:r>
            <w:r>
              <w:rPr>
                <w:color w:val="000000"/>
                <w:sz w:val="20"/>
                <w:szCs w:val="20"/>
                <w:lang w:val="fr-CA" w:eastAsia="en-CA"/>
              </w:rPr>
              <w:t>o</w:t>
            </w:r>
            <w:r w:rsidRPr="0097372D">
              <w:rPr>
                <w:color w:val="000000"/>
                <w:sz w:val="20"/>
                <w:szCs w:val="20"/>
                <w:lang w:val="fr-CA" w:eastAsia="en-CA"/>
              </w:rPr>
              <w:t xml:space="preserve">n, </w:t>
            </w:r>
            <w:r>
              <w:rPr>
                <w:color w:val="000000"/>
                <w:sz w:val="20"/>
                <w:szCs w:val="20"/>
                <w:lang w:val="fr-CA" w:eastAsia="en-CA"/>
              </w:rPr>
              <w:t>PNUE</w:t>
            </w:r>
            <w:r w:rsidRPr="0097372D">
              <w:rPr>
                <w:color w:val="000000"/>
                <w:sz w:val="20"/>
                <w:szCs w:val="20"/>
                <w:lang w:val="fr-CA" w:eastAsia="en-CA"/>
              </w:rPr>
              <w:t xml:space="preserve">, </w:t>
            </w:r>
            <w:r>
              <w:rPr>
                <w:color w:val="000000"/>
                <w:sz w:val="20"/>
                <w:szCs w:val="20"/>
                <w:lang w:val="fr-CA" w:eastAsia="en-CA"/>
              </w:rPr>
              <w:t>ONUDI</w:t>
            </w:r>
            <w:r w:rsidRPr="0097372D">
              <w:rPr>
                <w:color w:val="000000"/>
                <w:sz w:val="20"/>
                <w:szCs w:val="20"/>
                <w:lang w:val="fr-CA" w:eastAsia="en-CA"/>
              </w:rPr>
              <w:t>)</w:t>
            </w:r>
          </w:p>
        </w:tc>
        <w:tc>
          <w:tcPr>
            <w:tcW w:w="1034" w:type="pct"/>
            <w:tcBorders>
              <w:top w:val="nil"/>
              <w:left w:val="nil"/>
              <w:bottom w:val="single" w:sz="4" w:space="0" w:color="auto"/>
              <w:right w:val="single" w:sz="4" w:space="0" w:color="auto"/>
            </w:tcBorders>
            <w:shd w:val="clear" w:color="auto" w:fill="auto"/>
            <w:noWrap/>
            <w:vAlign w:val="center"/>
            <w:hideMark/>
          </w:tcPr>
          <w:p w14:paraId="0EB15AB7"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735</w:t>
            </w:r>
            <w:r>
              <w:rPr>
                <w:color w:val="000000"/>
                <w:sz w:val="20"/>
                <w:szCs w:val="20"/>
                <w:lang w:val="fr-CA" w:eastAsia="en-CA"/>
              </w:rPr>
              <w:t> </w:t>
            </w:r>
            <w:r w:rsidRPr="0097372D">
              <w:rPr>
                <w:color w:val="000000"/>
                <w:sz w:val="20"/>
                <w:szCs w:val="20"/>
                <w:lang w:val="fr-CA" w:eastAsia="en-CA"/>
              </w:rPr>
              <w:t>791</w:t>
            </w:r>
          </w:p>
        </w:tc>
        <w:tc>
          <w:tcPr>
            <w:tcW w:w="1034" w:type="pct"/>
            <w:tcBorders>
              <w:top w:val="nil"/>
              <w:left w:val="nil"/>
              <w:bottom w:val="single" w:sz="4" w:space="0" w:color="auto"/>
              <w:right w:val="single" w:sz="4" w:space="0" w:color="auto"/>
            </w:tcBorders>
            <w:shd w:val="clear" w:color="auto" w:fill="auto"/>
            <w:noWrap/>
            <w:vAlign w:val="center"/>
            <w:hideMark/>
          </w:tcPr>
          <w:p w14:paraId="44F1E0B8"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752</w:t>
            </w:r>
          </w:p>
        </w:tc>
        <w:tc>
          <w:tcPr>
            <w:tcW w:w="680" w:type="pct"/>
            <w:tcBorders>
              <w:top w:val="nil"/>
              <w:left w:val="nil"/>
              <w:bottom w:val="single" w:sz="4" w:space="0" w:color="auto"/>
              <w:right w:val="single" w:sz="4" w:space="0" w:color="auto"/>
            </w:tcBorders>
            <w:shd w:val="clear" w:color="auto" w:fill="auto"/>
            <w:noWrap/>
            <w:vAlign w:val="center"/>
            <w:hideMark/>
          </w:tcPr>
          <w:p w14:paraId="0E46BC34"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99</w:t>
            </w:r>
            <w:r>
              <w:rPr>
                <w:color w:val="000000"/>
                <w:sz w:val="20"/>
                <w:szCs w:val="20"/>
                <w:lang w:val="fr-CA" w:eastAsia="en-CA"/>
              </w:rPr>
              <w:t> </w:t>
            </w:r>
            <w:r w:rsidRPr="0097372D">
              <w:rPr>
                <w:color w:val="000000"/>
                <w:sz w:val="20"/>
                <w:szCs w:val="20"/>
                <w:lang w:val="fr-CA" w:eastAsia="en-CA"/>
              </w:rPr>
              <w:t>178</w:t>
            </w:r>
          </w:p>
        </w:tc>
        <w:tc>
          <w:tcPr>
            <w:tcW w:w="641" w:type="pct"/>
            <w:tcBorders>
              <w:top w:val="nil"/>
              <w:left w:val="nil"/>
              <w:bottom w:val="single" w:sz="4" w:space="0" w:color="auto"/>
              <w:right w:val="single" w:sz="4" w:space="0" w:color="auto"/>
            </w:tcBorders>
            <w:shd w:val="clear" w:color="auto" w:fill="auto"/>
            <w:noWrap/>
            <w:vAlign w:val="center"/>
            <w:hideMark/>
          </w:tcPr>
          <w:p w14:paraId="4AAEC3B3" w14:textId="77777777" w:rsidR="00CC3427" w:rsidRPr="0097372D" w:rsidRDefault="00CC3427" w:rsidP="00387BB8">
            <w:pPr>
              <w:jc w:val="center"/>
              <w:rPr>
                <w:color w:val="000000"/>
                <w:sz w:val="20"/>
                <w:szCs w:val="20"/>
                <w:lang w:val="fr-CA" w:eastAsia="en-CA"/>
              </w:rPr>
            </w:pPr>
            <w:r>
              <w:rPr>
                <w:color w:val="000000"/>
                <w:sz w:val="20"/>
                <w:szCs w:val="20"/>
                <w:lang w:val="fr-CA" w:eastAsia="en-CA"/>
              </w:rPr>
              <w:t>Déc</w:t>
            </w:r>
            <w:r w:rsidRPr="0097372D">
              <w:rPr>
                <w:color w:val="000000"/>
                <w:sz w:val="20"/>
                <w:szCs w:val="20"/>
                <w:lang w:val="fr-CA" w:eastAsia="en-CA"/>
              </w:rPr>
              <w:t>. 2019</w:t>
            </w:r>
          </w:p>
        </w:tc>
      </w:tr>
      <w:tr w:rsidR="00CC3427" w:rsidRPr="0097372D" w14:paraId="441615F8"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0020066A" w14:textId="77777777" w:rsidR="00CC3427" w:rsidRPr="0097372D" w:rsidRDefault="00CC3427" w:rsidP="00387BB8">
            <w:pPr>
              <w:jc w:val="left"/>
              <w:rPr>
                <w:color w:val="000000"/>
                <w:sz w:val="20"/>
                <w:szCs w:val="20"/>
                <w:lang w:val="fr-CA" w:eastAsia="en-CA"/>
              </w:rPr>
            </w:pPr>
            <w:r w:rsidRPr="0097372D">
              <w:rPr>
                <w:color w:val="000000"/>
                <w:sz w:val="20"/>
                <w:szCs w:val="20"/>
                <w:lang w:val="fr-CA" w:eastAsia="en-CA"/>
              </w:rPr>
              <w:t>Solv</w:t>
            </w:r>
            <w:r>
              <w:rPr>
                <w:color w:val="000000"/>
                <w:sz w:val="20"/>
                <w:szCs w:val="20"/>
                <w:lang w:val="fr-CA" w:eastAsia="en-CA"/>
              </w:rPr>
              <w:t>a</w:t>
            </w:r>
            <w:r w:rsidRPr="0097372D">
              <w:rPr>
                <w:color w:val="000000"/>
                <w:sz w:val="20"/>
                <w:szCs w:val="20"/>
                <w:lang w:val="fr-CA" w:eastAsia="en-CA"/>
              </w:rPr>
              <w:t>nt</w:t>
            </w:r>
            <w:r>
              <w:rPr>
                <w:color w:val="000000"/>
                <w:sz w:val="20"/>
                <w:szCs w:val="20"/>
                <w:lang w:val="fr-CA" w:eastAsia="en-CA"/>
              </w:rPr>
              <w:t>s</w:t>
            </w:r>
            <w:r w:rsidRPr="0097372D">
              <w:rPr>
                <w:color w:val="000000"/>
                <w:sz w:val="20"/>
                <w:szCs w:val="20"/>
                <w:lang w:val="fr-CA" w:eastAsia="en-CA"/>
              </w:rPr>
              <w:t xml:space="preserve"> (</w:t>
            </w:r>
            <w:r>
              <w:rPr>
                <w:color w:val="000000"/>
                <w:sz w:val="20"/>
                <w:szCs w:val="20"/>
                <w:lang w:val="fr-CA" w:eastAsia="en-CA"/>
              </w:rPr>
              <w:t>PNUD</w:t>
            </w:r>
            <w:r w:rsidRPr="0097372D">
              <w:rPr>
                <w:color w:val="000000"/>
                <w:sz w:val="20"/>
                <w:szCs w:val="20"/>
                <w:lang w:val="fr-CA" w:eastAsia="en-CA"/>
              </w:rPr>
              <w:t>)</w:t>
            </w:r>
          </w:p>
        </w:tc>
        <w:tc>
          <w:tcPr>
            <w:tcW w:w="1034" w:type="pct"/>
            <w:tcBorders>
              <w:top w:val="nil"/>
              <w:left w:val="nil"/>
              <w:bottom w:val="single" w:sz="4" w:space="0" w:color="auto"/>
              <w:right w:val="single" w:sz="4" w:space="0" w:color="auto"/>
            </w:tcBorders>
            <w:shd w:val="clear" w:color="auto" w:fill="auto"/>
            <w:noWrap/>
            <w:vAlign w:val="center"/>
            <w:hideMark/>
          </w:tcPr>
          <w:p w14:paraId="67A2BD63"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708</w:t>
            </w:r>
            <w:r>
              <w:rPr>
                <w:color w:val="000000"/>
                <w:sz w:val="20"/>
                <w:szCs w:val="20"/>
                <w:lang w:val="fr-CA" w:eastAsia="en-CA"/>
              </w:rPr>
              <w:t> </w:t>
            </w:r>
            <w:r w:rsidRPr="0097372D">
              <w:rPr>
                <w:color w:val="000000"/>
                <w:sz w:val="20"/>
                <w:szCs w:val="20"/>
                <w:lang w:val="fr-CA" w:eastAsia="en-CA"/>
              </w:rPr>
              <w:t>822</w:t>
            </w:r>
          </w:p>
        </w:tc>
        <w:tc>
          <w:tcPr>
            <w:tcW w:w="1034" w:type="pct"/>
            <w:tcBorders>
              <w:top w:val="nil"/>
              <w:left w:val="nil"/>
              <w:bottom w:val="single" w:sz="4" w:space="0" w:color="auto"/>
              <w:right w:val="single" w:sz="4" w:space="0" w:color="auto"/>
            </w:tcBorders>
            <w:shd w:val="clear" w:color="auto" w:fill="auto"/>
            <w:noWrap/>
            <w:vAlign w:val="center"/>
            <w:hideMark/>
          </w:tcPr>
          <w:p w14:paraId="69487799"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-3</w:t>
            </w:r>
            <w:r>
              <w:rPr>
                <w:color w:val="000000"/>
                <w:sz w:val="20"/>
                <w:szCs w:val="20"/>
                <w:lang w:val="fr-CA" w:eastAsia="en-CA"/>
              </w:rPr>
              <w:t> </w:t>
            </w:r>
            <w:r w:rsidRPr="0097372D">
              <w:rPr>
                <w:color w:val="000000"/>
                <w:sz w:val="20"/>
                <w:szCs w:val="20"/>
                <w:lang w:val="fr-CA" w:eastAsia="en-CA"/>
              </w:rPr>
              <w:t>114*</w:t>
            </w:r>
          </w:p>
        </w:tc>
        <w:tc>
          <w:tcPr>
            <w:tcW w:w="680" w:type="pct"/>
            <w:tcBorders>
              <w:top w:val="nil"/>
              <w:left w:val="nil"/>
              <w:bottom w:val="single" w:sz="4" w:space="0" w:color="auto"/>
              <w:right w:val="single" w:sz="4" w:space="0" w:color="auto"/>
            </w:tcBorders>
            <w:shd w:val="clear" w:color="auto" w:fill="auto"/>
            <w:noWrap/>
            <w:vAlign w:val="center"/>
            <w:hideMark/>
          </w:tcPr>
          <w:p w14:paraId="1C2121BE" w14:textId="77777777" w:rsidR="00CC3427" w:rsidRPr="0097372D" w:rsidRDefault="00CC3427" w:rsidP="00387BB8">
            <w:pPr>
              <w:jc w:val="right"/>
              <w:rPr>
                <w:color w:val="000000"/>
                <w:sz w:val="20"/>
                <w:szCs w:val="20"/>
                <w:lang w:val="fr-CA" w:eastAsia="en-CA"/>
              </w:rPr>
            </w:pPr>
            <w:r w:rsidRPr="0097372D">
              <w:rPr>
                <w:color w:val="000000"/>
                <w:sz w:val="20"/>
                <w:szCs w:val="20"/>
                <w:lang w:val="fr-CA" w:eastAsia="en-CA"/>
              </w:rPr>
              <w:t>359</w:t>
            </w:r>
            <w:r>
              <w:rPr>
                <w:color w:val="000000"/>
                <w:sz w:val="20"/>
                <w:szCs w:val="20"/>
                <w:lang w:val="fr-CA" w:eastAsia="en-CA"/>
              </w:rPr>
              <w:t> </w:t>
            </w:r>
            <w:r w:rsidRPr="0097372D">
              <w:rPr>
                <w:color w:val="000000"/>
                <w:sz w:val="20"/>
                <w:szCs w:val="20"/>
                <w:lang w:val="fr-CA" w:eastAsia="en-CA"/>
              </w:rPr>
              <w:t>265*</w:t>
            </w:r>
          </w:p>
        </w:tc>
        <w:tc>
          <w:tcPr>
            <w:tcW w:w="641" w:type="pct"/>
            <w:tcBorders>
              <w:top w:val="nil"/>
              <w:left w:val="nil"/>
              <w:bottom w:val="single" w:sz="4" w:space="0" w:color="auto"/>
              <w:right w:val="single" w:sz="4" w:space="0" w:color="auto"/>
            </w:tcBorders>
            <w:shd w:val="clear" w:color="auto" w:fill="auto"/>
            <w:noWrap/>
            <w:vAlign w:val="center"/>
            <w:hideMark/>
          </w:tcPr>
          <w:p w14:paraId="3E1844D9" w14:textId="77777777" w:rsidR="00CC3427" w:rsidRPr="0097372D" w:rsidRDefault="00CC3427" w:rsidP="00387BB8">
            <w:pPr>
              <w:jc w:val="center"/>
              <w:rPr>
                <w:color w:val="000000"/>
                <w:sz w:val="20"/>
                <w:szCs w:val="20"/>
                <w:lang w:val="fr-CA" w:eastAsia="en-CA"/>
              </w:rPr>
            </w:pPr>
            <w:r>
              <w:rPr>
                <w:color w:val="000000"/>
                <w:sz w:val="20"/>
                <w:szCs w:val="20"/>
                <w:lang w:val="fr-CA" w:eastAsia="en-CA"/>
              </w:rPr>
              <w:t>Déc</w:t>
            </w:r>
            <w:r w:rsidRPr="0097372D">
              <w:rPr>
                <w:color w:val="000000"/>
                <w:sz w:val="20"/>
                <w:szCs w:val="20"/>
                <w:lang w:val="fr-CA" w:eastAsia="en-CA"/>
              </w:rPr>
              <w:t>. 2019</w:t>
            </w:r>
          </w:p>
        </w:tc>
      </w:tr>
      <w:tr w:rsidR="00CC3427" w:rsidRPr="0097372D" w14:paraId="2C1681B6" w14:textId="77777777" w:rsidTr="00387BB8">
        <w:tc>
          <w:tcPr>
            <w:tcW w:w="1611" w:type="pct"/>
            <w:tcBorders>
              <w:top w:val="nil"/>
              <w:left w:val="single" w:sz="4" w:space="0" w:color="auto"/>
              <w:bottom w:val="single" w:sz="4" w:space="0" w:color="auto"/>
              <w:right w:val="single" w:sz="4" w:space="0" w:color="auto"/>
            </w:tcBorders>
            <w:shd w:val="clear" w:color="auto" w:fill="auto"/>
            <w:vAlign w:val="center"/>
            <w:hideMark/>
          </w:tcPr>
          <w:p w14:paraId="1E559C78" w14:textId="77777777" w:rsidR="00CC3427" w:rsidRPr="0097372D" w:rsidRDefault="00CC3427" w:rsidP="00387BB8">
            <w:pPr>
              <w:jc w:val="left"/>
              <w:rPr>
                <w:b/>
                <w:bCs/>
                <w:color w:val="000000"/>
                <w:sz w:val="20"/>
                <w:szCs w:val="20"/>
                <w:lang w:val="fr-CA" w:eastAsia="en-CA"/>
              </w:rPr>
            </w:pPr>
            <w:r w:rsidRPr="0097372D">
              <w:rPr>
                <w:b/>
                <w:bCs/>
                <w:color w:val="000000"/>
                <w:sz w:val="20"/>
                <w:szCs w:val="20"/>
                <w:lang w:val="fr-CA" w:eastAsia="en-CA"/>
              </w:rPr>
              <w:t>Total</w:t>
            </w:r>
          </w:p>
        </w:tc>
        <w:tc>
          <w:tcPr>
            <w:tcW w:w="1034" w:type="pct"/>
            <w:tcBorders>
              <w:top w:val="nil"/>
              <w:left w:val="nil"/>
              <w:bottom w:val="single" w:sz="4" w:space="0" w:color="auto"/>
              <w:right w:val="single" w:sz="4" w:space="0" w:color="auto"/>
            </w:tcBorders>
            <w:shd w:val="clear" w:color="auto" w:fill="auto"/>
            <w:noWrap/>
            <w:vAlign w:val="center"/>
            <w:hideMark/>
          </w:tcPr>
          <w:p w14:paraId="5560651C" w14:textId="77777777" w:rsidR="00CC3427" w:rsidRPr="0097372D" w:rsidRDefault="00CC3427" w:rsidP="00387BB8">
            <w:pPr>
              <w:jc w:val="right"/>
              <w:rPr>
                <w:b/>
                <w:bCs/>
                <w:color w:val="000000"/>
                <w:sz w:val="20"/>
                <w:szCs w:val="20"/>
                <w:lang w:val="fr-CA" w:eastAsia="en-CA"/>
              </w:rPr>
            </w:pPr>
            <w:r w:rsidRPr="0097372D">
              <w:rPr>
                <w:b/>
                <w:bCs/>
                <w:color w:val="000000"/>
                <w:sz w:val="20"/>
                <w:szCs w:val="20"/>
                <w:lang w:val="fr-CA" w:eastAsia="en-CA"/>
              </w:rPr>
              <w:t>14</w:t>
            </w:r>
            <w:r>
              <w:rPr>
                <w:b/>
                <w:bCs/>
                <w:color w:val="000000"/>
                <w:sz w:val="20"/>
                <w:szCs w:val="20"/>
                <w:lang w:val="fr-CA" w:eastAsia="en-CA"/>
              </w:rPr>
              <w:t> </w:t>
            </w:r>
            <w:r w:rsidRPr="0097372D">
              <w:rPr>
                <w:b/>
                <w:bCs/>
                <w:color w:val="000000"/>
                <w:sz w:val="20"/>
                <w:szCs w:val="20"/>
                <w:lang w:val="fr-CA" w:eastAsia="en-CA"/>
              </w:rPr>
              <w:t>752</w:t>
            </w:r>
            <w:r>
              <w:rPr>
                <w:b/>
                <w:bCs/>
                <w:color w:val="000000"/>
                <w:sz w:val="20"/>
                <w:szCs w:val="20"/>
                <w:lang w:val="fr-CA" w:eastAsia="en-CA"/>
              </w:rPr>
              <w:t> </w:t>
            </w:r>
            <w:r w:rsidRPr="0097372D">
              <w:rPr>
                <w:b/>
                <w:bCs/>
                <w:color w:val="000000"/>
                <w:sz w:val="20"/>
                <w:szCs w:val="20"/>
                <w:lang w:val="fr-CA" w:eastAsia="en-CA"/>
              </w:rPr>
              <w:t>436</w:t>
            </w:r>
          </w:p>
        </w:tc>
        <w:tc>
          <w:tcPr>
            <w:tcW w:w="1034" w:type="pct"/>
            <w:tcBorders>
              <w:top w:val="nil"/>
              <w:left w:val="nil"/>
              <w:bottom w:val="single" w:sz="4" w:space="0" w:color="auto"/>
              <w:right w:val="single" w:sz="4" w:space="0" w:color="auto"/>
            </w:tcBorders>
            <w:shd w:val="clear" w:color="auto" w:fill="auto"/>
            <w:noWrap/>
            <w:vAlign w:val="center"/>
            <w:hideMark/>
          </w:tcPr>
          <w:p w14:paraId="6E13C1E1" w14:textId="77777777" w:rsidR="00CC3427" w:rsidRPr="0097372D" w:rsidRDefault="00CC3427" w:rsidP="00387BB8">
            <w:pPr>
              <w:jc w:val="right"/>
              <w:rPr>
                <w:b/>
                <w:bCs/>
                <w:color w:val="000000"/>
                <w:sz w:val="20"/>
                <w:szCs w:val="20"/>
                <w:lang w:val="fr-CA" w:eastAsia="en-CA"/>
              </w:rPr>
            </w:pPr>
            <w:r w:rsidRPr="0097372D">
              <w:rPr>
                <w:b/>
                <w:bCs/>
                <w:color w:val="000000"/>
                <w:sz w:val="20"/>
                <w:szCs w:val="20"/>
                <w:lang w:val="fr-CA" w:eastAsia="en-CA"/>
              </w:rPr>
              <w:t>11</w:t>
            </w:r>
            <w:r>
              <w:rPr>
                <w:b/>
                <w:bCs/>
                <w:color w:val="000000"/>
                <w:sz w:val="20"/>
                <w:szCs w:val="20"/>
                <w:lang w:val="fr-CA" w:eastAsia="en-CA"/>
              </w:rPr>
              <w:t> </w:t>
            </w:r>
            <w:r w:rsidRPr="0097372D">
              <w:rPr>
                <w:b/>
                <w:bCs/>
                <w:color w:val="000000"/>
                <w:sz w:val="20"/>
                <w:szCs w:val="20"/>
                <w:lang w:val="fr-CA" w:eastAsia="en-CA"/>
              </w:rPr>
              <w:t>309</w:t>
            </w:r>
            <w:r>
              <w:rPr>
                <w:b/>
                <w:bCs/>
                <w:color w:val="000000"/>
                <w:sz w:val="20"/>
                <w:szCs w:val="20"/>
                <w:lang w:val="fr-CA" w:eastAsia="en-CA"/>
              </w:rPr>
              <w:t> </w:t>
            </w:r>
            <w:r w:rsidRPr="0097372D">
              <w:rPr>
                <w:b/>
                <w:bCs/>
                <w:color w:val="000000"/>
                <w:sz w:val="20"/>
                <w:szCs w:val="20"/>
                <w:lang w:val="fr-CA" w:eastAsia="en-CA"/>
              </w:rPr>
              <w:t>628</w:t>
            </w:r>
          </w:p>
        </w:tc>
        <w:tc>
          <w:tcPr>
            <w:tcW w:w="680" w:type="pct"/>
            <w:tcBorders>
              <w:top w:val="nil"/>
              <w:left w:val="nil"/>
              <w:bottom w:val="single" w:sz="4" w:space="0" w:color="auto"/>
              <w:right w:val="single" w:sz="4" w:space="0" w:color="auto"/>
            </w:tcBorders>
            <w:shd w:val="clear" w:color="auto" w:fill="auto"/>
            <w:noWrap/>
            <w:vAlign w:val="center"/>
            <w:hideMark/>
          </w:tcPr>
          <w:p w14:paraId="0701C55C" w14:textId="77777777" w:rsidR="00CC3427" w:rsidRPr="0097372D" w:rsidRDefault="00CC3427" w:rsidP="00387BB8">
            <w:pPr>
              <w:jc w:val="right"/>
              <w:rPr>
                <w:b/>
                <w:bCs/>
                <w:color w:val="000000"/>
                <w:sz w:val="20"/>
                <w:szCs w:val="20"/>
                <w:lang w:val="fr-CA" w:eastAsia="en-CA"/>
              </w:rPr>
            </w:pPr>
            <w:r w:rsidRPr="0097372D">
              <w:rPr>
                <w:b/>
                <w:bCs/>
                <w:color w:val="000000"/>
                <w:sz w:val="20"/>
                <w:szCs w:val="20"/>
                <w:lang w:val="fr-CA" w:eastAsia="en-CA"/>
              </w:rPr>
              <w:t>480</w:t>
            </w:r>
            <w:r>
              <w:rPr>
                <w:b/>
                <w:bCs/>
                <w:color w:val="000000"/>
                <w:sz w:val="20"/>
                <w:szCs w:val="20"/>
                <w:lang w:val="fr-CA" w:eastAsia="en-CA"/>
              </w:rPr>
              <w:t> </w:t>
            </w:r>
            <w:r w:rsidRPr="0097372D">
              <w:rPr>
                <w:b/>
                <w:bCs/>
                <w:color w:val="000000"/>
                <w:sz w:val="20"/>
                <w:szCs w:val="20"/>
                <w:lang w:val="fr-CA" w:eastAsia="en-CA"/>
              </w:rPr>
              <w:t>561</w:t>
            </w:r>
          </w:p>
        </w:tc>
        <w:tc>
          <w:tcPr>
            <w:tcW w:w="641" w:type="pct"/>
            <w:tcBorders>
              <w:top w:val="nil"/>
              <w:left w:val="nil"/>
              <w:bottom w:val="single" w:sz="4" w:space="0" w:color="auto"/>
              <w:right w:val="single" w:sz="4" w:space="0" w:color="auto"/>
            </w:tcBorders>
            <w:shd w:val="clear" w:color="auto" w:fill="auto"/>
            <w:noWrap/>
            <w:vAlign w:val="center"/>
            <w:hideMark/>
          </w:tcPr>
          <w:p w14:paraId="69FD0E32" w14:textId="77777777" w:rsidR="00CC3427" w:rsidRPr="0097372D" w:rsidRDefault="00CC3427" w:rsidP="00387BB8">
            <w:pPr>
              <w:jc w:val="left"/>
              <w:rPr>
                <w:color w:val="000000"/>
                <w:sz w:val="20"/>
                <w:szCs w:val="20"/>
                <w:lang w:val="fr-CA" w:eastAsia="en-CA"/>
              </w:rPr>
            </w:pPr>
            <w:r w:rsidRPr="0097372D">
              <w:rPr>
                <w:color w:val="000000"/>
                <w:sz w:val="20"/>
                <w:szCs w:val="20"/>
                <w:lang w:val="fr-CA" w:eastAsia="en-CA"/>
              </w:rPr>
              <w:t> </w:t>
            </w:r>
          </w:p>
        </w:tc>
      </w:tr>
    </w:tbl>
    <w:p w14:paraId="767AEC05" w14:textId="77777777" w:rsidR="00CC3427" w:rsidRPr="0097372D" w:rsidRDefault="00CC3427" w:rsidP="00CC3427">
      <w:pPr>
        <w:rPr>
          <w:sz w:val="18"/>
          <w:szCs w:val="18"/>
          <w:lang w:val="fr-CA"/>
        </w:rPr>
      </w:pPr>
      <w:r w:rsidRPr="0097372D">
        <w:rPr>
          <w:sz w:val="18"/>
          <w:szCs w:val="18"/>
          <w:lang w:val="fr-CA"/>
        </w:rPr>
        <w:t>*</w:t>
      </w:r>
      <w:r>
        <w:rPr>
          <w:sz w:val="18"/>
          <w:szCs w:val="18"/>
          <w:lang w:val="fr-CA"/>
        </w:rPr>
        <w:t>Le solde total à restituer par le PNUD</w:t>
      </w:r>
      <w:r w:rsidRPr="0097372D">
        <w:rPr>
          <w:sz w:val="18"/>
          <w:szCs w:val="18"/>
          <w:lang w:val="fr-CA"/>
        </w:rPr>
        <w:t xml:space="preserve"> </w:t>
      </w:r>
      <w:r>
        <w:rPr>
          <w:sz w:val="18"/>
          <w:szCs w:val="18"/>
          <w:lang w:val="fr-CA"/>
        </w:rPr>
        <w:t xml:space="preserve">a été établi à </w:t>
      </w:r>
      <w:r w:rsidRPr="0097372D">
        <w:rPr>
          <w:sz w:val="18"/>
          <w:szCs w:val="18"/>
          <w:lang w:val="fr-CA"/>
        </w:rPr>
        <w:t>356</w:t>
      </w:r>
      <w:r>
        <w:rPr>
          <w:sz w:val="18"/>
          <w:szCs w:val="18"/>
          <w:lang w:val="fr-CA"/>
        </w:rPr>
        <w:t> </w:t>
      </w:r>
      <w:r w:rsidRPr="0097372D">
        <w:rPr>
          <w:sz w:val="18"/>
          <w:szCs w:val="18"/>
          <w:lang w:val="fr-CA"/>
        </w:rPr>
        <w:t>151</w:t>
      </w:r>
      <w:r>
        <w:rPr>
          <w:sz w:val="18"/>
          <w:szCs w:val="18"/>
          <w:lang w:val="fr-CA"/>
        </w:rPr>
        <w:t> $US</w:t>
      </w:r>
      <w:r w:rsidRPr="0097372D">
        <w:rPr>
          <w:sz w:val="18"/>
          <w:szCs w:val="18"/>
          <w:lang w:val="fr-CA"/>
        </w:rPr>
        <w:t>.</w:t>
      </w:r>
    </w:p>
    <w:p w14:paraId="64BD71E7" w14:textId="77777777" w:rsidR="00CC3427" w:rsidRPr="0097372D" w:rsidRDefault="00CC3427" w:rsidP="00CC3427">
      <w:pPr>
        <w:rPr>
          <w:lang w:val="fr-CA"/>
        </w:rPr>
      </w:pPr>
    </w:p>
    <w:p w14:paraId="52C78EF2" w14:textId="77777777" w:rsidR="00CC3427" w:rsidRPr="0097372D" w:rsidRDefault="00CC3427" w:rsidP="00CC3427">
      <w:pPr>
        <w:spacing w:after="240"/>
        <w:rPr>
          <w:b/>
          <w:lang w:val="fr-CA"/>
        </w:rPr>
      </w:pPr>
      <w:r>
        <w:rPr>
          <w:b/>
          <w:lang w:val="fr-CA"/>
        </w:rPr>
        <w:t>Observations du Secrétariat</w:t>
      </w:r>
    </w:p>
    <w:p w14:paraId="4CC3C68F" w14:textId="77777777" w:rsidR="00CC3427" w:rsidRPr="0097372D" w:rsidRDefault="00CC3427" w:rsidP="00CC3427">
      <w:pPr>
        <w:widowControl w:val="0"/>
        <w:numPr>
          <w:ilvl w:val="0"/>
          <w:numId w:val="1"/>
        </w:numPr>
        <w:spacing w:after="240"/>
        <w:outlineLvl w:val="0"/>
        <w:rPr>
          <w:lang w:val="fr-CA"/>
        </w:rPr>
      </w:pPr>
      <w:r>
        <w:rPr>
          <w:lang w:val="fr-CA"/>
        </w:rPr>
        <w:t xml:space="preserve">Les plans sectoriels pour la </w:t>
      </w:r>
      <w:r w:rsidRPr="0097372D">
        <w:rPr>
          <w:lang w:val="fr-CA"/>
        </w:rPr>
        <w:t>production</w:t>
      </w:r>
      <w:r>
        <w:rPr>
          <w:lang w:val="fr-CA"/>
        </w:rPr>
        <w:t xml:space="preserve"> de CFC</w:t>
      </w:r>
      <w:r w:rsidRPr="0097372D">
        <w:rPr>
          <w:lang w:val="fr-CA"/>
        </w:rPr>
        <w:t xml:space="preserve">, </w:t>
      </w:r>
      <w:r>
        <w:rPr>
          <w:lang w:val="fr-CA"/>
        </w:rPr>
        <w:t xml:space="preserve">la mousse </w:t>
      </w:r>
      <w:r w:rsidRPr="0097372D">
        <w:rPr>
          <w:lang w:val="fr-CA"/>
        </w:rPr>
        <w:t xml:space="preserve">PU, </w:t>
      </w:r>
      <w:r>
        <w:rPr>
          <w:lang w:val="fr-CA"/>
        </w:rPr>
        <w:t xml:space="preserve">l’entretien en </w:t>
      </w:r>
      <w:r w:rsidRPr="0097372D">
        <w:rPr>
          <w:lang w:val="fr-CA"/>
        </w:rPr>
        <w:t xml:space="preserve">réfrigération, </w:t>
      </w:r>
      <w:r>
        <w:rPr>
          <w:lang w:val="fr-CA"/>
        </w:rPr>
        <w:t xml:space="preserve">et les </w:t>
      </w:r>
      <w:r w:rsidRPr="0097372D">
        <w:rPr>
          <w:lang w:val="fr-CA"/>
        </w:rPr>
        <w:t>and solv</w:t>
      </w:r>
      <w:r>
        <w:rPr>
          <w:lang w:val="fr-CA"/>
        </w:rPr>
        <w:t>a</w:t>
      </w:r>
      <w:r w:rsidRPr="0097372D">
        <w:rPr>
          <w:lang w:val="fr-CA"/>
        </w:rPr>
        <w:t>nt</w:t>
      </w:r>
      <w:r>
        <w:rPr>
          <w:lang w:val="fr-CA"/>
        </w:rPr>
        <w:t>s ont été achevés</w:t>
      </w:r>
      <w:r w:rsidRPr="0097372D">
        <w:rPr>
          <w:lang w:val="fr-CA"/>
        </w:rPr>
        <w:t xml:space="preserve">. </w:t>
      </w:r>
      <w:r>
        <w:rPr>
          <w:lang w:val="fr-CA"/>
        </w:rPr>
        <w:t xml:space="preserve">Bien que des RAP préliminaires aient été soumis, les données financières qu’ils </w:t>
      </w:r>
      <w:r w:rsidRPr="00CD0354">
        <w:rPr>
          <w:b/>
          <w:bCs/>
          <w:lang w:val="fr-CA"/>
        </w:rPr>
        <w:t xml:space="preserve">contiennent </w:t>
      </w:r>
      <w:r>
        <w:rPr>
          <w:lang w:val="fr-CA"/>
        </w:rPr>
        <w:t>ne tiennent pas encore compte des décaissements finaux aux bénéficiaires</w:t>
      </w:r>
      <w:r w:rsidRPr="0097372D">
        <w:rPr>
          <w:lang w:val="fr-CA"/>
        </w:rPr>
        <w:t xml:space="preserve">, </w:t>
      </w:r>
      <w:r>
        <w:rPr>
          <w:lang w:val="fr-CA"/>
        </w:rPr>
        <w:t xml:space="preserve">ni des restitutions à la </w:t>
      </w:r>
      <w:r w:rsidRPr="0097372D">
        <w:rPr>
          <w:lang w:val="fr-CA"/>
        </w:rPr>
        <w:t>85</w:t>
      </w:r>
      <w:r>
        <w:rPr>
          <w:vertAlign w:val="superscript"/>
          <w:lang w:val="fr-CA"/>
        </w:rPr>
        <w:t>e</w:t>
      </w:r>
      <w:r w:rsidRPr="0097372D">
        <w:rPr>
          <w:lang w:val="fr-CA"/>
        </w:rPr>
        <w:t> </w:t>
      </w:r>
      <w:r>
        <w:rPr>
          <w:lang w:val="fr-CA"/>
        </w:rPr>
        <w:t>réunion</w:t>
      </w:r>
      <w:r w:rsidRPr="0097372D">
        <w:rPr>
          <w:lang w:val="fr-CA"/>
        </w:rPr>
        <w:t xml:space="preserve">. </w:t>
      </w:r>
      <w:r>
        <w:rPr>
          <w:lang w:val="fr-CA"/>
        </w:rPr>
        <w:t>L</w:t>
      </w:r>
      <w:r w:rsidRPr="0097372D">
        <w:rPr>
          <w:lang w:val="fr-CA"/>
        </w:rPr>
        <w:t xml:space="preserve">e </w:t>
      </w:r>
      <w:r w:rsidRPr="00CD0354">
        <w:rPr>
          <w:lang w:val="fr-CA"/>
        </w:rPr>
        <w:t xml:space="preserve">Conseiller principal du suivi et de l’évaluation </w:t>
      </w:r>
      <w:r>
        <w:rPr>
          <w:lang w:val="fr-CA"/>
        </w:rPr>
        <w:t>coopère avec les agences d’exécution responsables pour assurer l’inclusion des données financières dans les RAP respectifs</w:t>
      </w:r>
      <w:r w:rsidRPr="0097372D">
        <w:rPr>
          <w:lang w:val="fr-CA"/>
        </w:rPr>
        <w:t xml:space="preserve">. </w:t>
      </w:r>
    </w:p>
    <w:p w14:paraId="0DA54454" w14:textId="77777777" w:rsidR="00CC3427" w:rsidRPr="0097372D" w:rsidRDefault="00CC3427" w:rsidP="00CC3427">
      <w:pPr>
        <w:numPr>
          <w:ilvl w:val="0"/>
          <w:numId w:val="1"/>
        </w:numPr>
        <w:spacing w:after="240"/>
        <w:outlineLvl w:val="0"/>
        <w:rPr>
          <w:lang w:val="fr-CA"/>
        </w:rPr>
      </w:pPr>
      <w:r>
        <w:rPr>
          <w:lang w:val="fr-CA"/>
        </w:rPr>
        <w:t xml:space="preserve">Comme il a été convenu à la </w:t>
      </w:r>
      <w:r w:rsidRPr="0097372D">
        <w:rPr>
          <w:lang w:val="fr-CA"/>
        </w:rPr>
        <w:t>84</w:t>
      </w:r>
      <w:r>
        <w:rPr>
          <w:vertAlign w:val="superscript"/>
          <w:lang w:val="fr-CA"/>
        </w:rPr>
        <w:t>E</w:t>
      </w:r>
      <w:r w:rsidRPr="0097372D">
        <w:rPr>
          <w:lang w:val="fr-CA"/>
        </w:rPr>
        <w:t> </w:t>
      </w:r>
      <w:r>
        <w:rPr>
          <w:lang w:val="fr-CA"/>
        </w:rPr>
        <w:t>réunion</w:t>
      </w:r>
      <w:r w:rsidRPr="0097372D">
        <w:rPr>
          <w:lang w:val="fr-CA"/>
        </w:rPr>
        <w:t xml:space="preserve">, </w:t>
      </w:r>
      <w:r>
        <w:rPr>
          <w:lang w:val="fr-CA"/>
        </w:rPr>
        <w:t xml:space="preserve">les plans sectoriels pour les </w:t>
      </w:r>
      <w:r w:rsidRPr="0097372D">
        <w:rPr>
          <w:lang w:val="fr-CA"/>
        </w:rPr>
        <w:t>halon</w:t>
      </w:r>
      <w:r>
        <w:rPr>
          <w:lang w:val="fr-CA"/>
        </w:rPr>
        <w:t xml:space="preserve">s et l’agent de transformation II seront terminés d’ici au </w:t>
      </w:r>
      <w:r w:rsidRPr="0097372D">
        <w:rPr>
          <w:lang w:val="fr-CA"/>
        </w:rPr>
        <w:t>31 </w:t>
      </w:r>
      <w:r>
        <w:rPr>
          <w:lang w:val="fr-CA"/>
        </w:rPr>
        <w:t xml:space="preserve">décembre </w:t>
      </w:r>
      <w:r w:rsidRPr="0097372D">
        <w:rPr>
          <w:lang w:val="fr-CA"/>
        </w:rPr>
        <w:t xml:space="preserve">2020, </w:t>
      </w:r>
      <w:r>
        <w:rPr>
          <w:lang w:val="fr-CA"/>
        </w:rPr>
        <w:t xml:space="preserve">et tout solde restant à cette date sera restitué à la </w:t>
      </w:r>
      <w:r w:rsidRPr="0097372D">
        <w:rPr>
          <w:lang w:val="fr-CA"/>
        </w:rPr>
        <w:t>87</w:t>
      </w:r>
      <w:r>
        <w:rPr>
          <w:vertAlign w:val="superscript"/>
          <w:lang w:val="fr-CA"/>
        </w:rPr>
        <w:t>e</w:t>
      </w:r>
      <w:r w:rsidRPr="0097372D">
        <w:rPr>
          <w:lang w:val="fr-CA"/>
        </w:rPr>
        <w:t> </w:t>
      </w:r>
      <w:r>
        <w:rPr>
          <w:lang w:val="fr-CA"/>
        </w:rPr>
        <w:t>réunion</w:t>
      </w:r>
      <w:r w:rsidRPr="0097372D">
        <w:rPr>
          <w:lang w:val="fr-CA"/>
        </w:rPr>
        <w:t xml:space="preserve">, </w:t>
      </w:r>
      <w:r>
        <w:rPr>
          <w:lang w:val="fr-CA"/>
        </w:rPr>
        <w:t>en application de la décision</w:t>
      </w:r>
      <w:r w:rsidRPr="0097372D">
        <w:rPr>
          <w:lang w:val="fr-CA"/>
        </w:rPr>
        <w:t> 84/39(b).</w:t>
      </w:r>
    </w:p>
    <w:p w14:paraId="183AFEF8" w14:textId="77777777" w:rsidR="00CC3427" w:rsidRPr="0097372D" w:rsidRDefault="00CC3427" w:rsidP="00CC3427">
      <w:pPr>
        <w:keepNext/>
        <w:keepLines/>
        <w:spacing w:after="240"/>
        <w:rPr>
          <w:b/>
          <w:bCs/>
          <w:lang w:val="fr-CA"/>
        </w:rPr>
      </w:pPr>
      <w:r w:rsidRPr="0097372D">
        <w:rPr>
          <w:b/>
          <w:bCs/>
          <w:lang w:val="fr-CA"/>
        </w:rPr>
        <w:t>Recomm</w:t>
      </w:r>
      <w:r>
        <w:rPr>
          <w:b/>
          <w:bCs/>
          <w:lang w:val="fr-CA"/>
        </w:rPr>
        <w:t>a</w:t>
      </w:r>
      <w:r w:rsidRPr="0097372D">
        <w:rPr>
          <w:b/>
          <w:bCs/>
          <w:lang w:val="fr-CA"/>
        </w:rPr>
        <w:t>ndation</w:t>
      </w:r>
    </w:p>
    <w:p w14:paraId="2A542944" w14:textId="44C8C44F" w:rsidR="00CC3427" w:rsidRPr="0097372D" w:rsidRDefault="00CC3427" w:rsidP="00CC3427">
      <w:pPr>
        <w:numPr>
          <w:ilvl w:val="0"/>
          <w:numId w:val="1"/>
        </w:numPr>
        <w:spacing w:after="240"/>
        <w:outlineLvl w:val="0"/>
        <w:rPr>
          <w:lang w:val="fr-CA"/>
        </w:rPr>
      </w:pPr>
      <w:r>
        <w:rPr>
          <w:lang w:val="fr-CA"/>
        </w:rPr>
        <w:t>Le</w:t>
      </w:r>
      <w:r w:rsidRPr="0097372D">
        <w:rPr>
          <w:lang w:val="fr-CA"/>
        </w:rPr>
        <w:t xml:space="preserve"> </w:t>
      </w:r>
      <w:r>
        <w:rPr>
          <w:lang w:val="fr-CA"/>
        </w:rPr>
        <w:t>Comité exécutif</w:t>
      </w:r>
      <w:r w:rsidRPr="0097372D">
        <w:rPr>
          <w:lang w:val="fr-CA"/>
        </w:rPr>
        <w:t xml:space="preserve"> </w:t>
      </w:r>
      <w:r>
        <w:rPr>
          <w:lang w:val="fr-CA"/>
        </w:rPr>
        <w:t>est invité</w:t>
      </w:r>
      <w:r w:rsidR="00BC5440">
        <w:rPr>
          <w:lang w:val="fr-CA"/>
        </w:rPr>
        <w:t xml:space="preserve"> </w:t>
      </w:r>
      <w:r w:rsidRPr="0097372D">
        <w:rPr>
          <w:lang w:val="fr-CA"/>
        </w:rPr>
        <w:t>:</w:t>
      </w:r>
    </w:p>
    <w:p w14:paraId="79BFDFE1" w14:textId="1EA9E5A7" w:rsidR="00CC3427" w:rsidRPr="0097372D" w:rsidRDefault="00CC3427" w:rsidP="00CC3427">
      <w:pPr>
        <w:keepNext/>
        <w:keepLines/>
        <w:widowControl w:val="0"/>
        <w:numPr>
          <w:ilvl w:val="1"/>
          <w:numId w:val="1"/>
        </w:numPr>
        <w:spacing w:after="240"/>
        <w:outlineLvl w:val="1"/>
        <w:rPr>
          <w:lang w:val="fr-CA"/>
        </w:rPr>
      </w:pPr>
      <w:r>
        <w:rPr>
          <w:lang w:val="fr-CA"/>
        </w:rPr>
        <w:t xml:space="preserve">À prendre </w:t>
      </w:r>
      <w:r w:rsidRPr="0097372D">
        <w:rPr>
          <w:lang w:val="fr-CA"/>
        </w:rPr>
        <w:t>note</w:t>
      </w:r>
      <w:r w:rsidR="00BC5440">
        <w:rPr>
          <w:lang w:val="fr-CA"/>
        </w:rPr>
        <w:t xml:space="preserve"> </w:t>
      </w:r>
      <w:r w:rsidRPr="0097372D">
        <w:rPr>
          <w:lang w:val="fr-CA"/>
        </w:rPr>
        <w:t>:</w:t>
      </w:r>
    </w:p>
    <w:p w14:paraId="50FCB432" w14:textId="28360149" w:rsidR="00CC3427" w:rsidRPr="0097372D" w:rsidRDefault="00CC3427" w:rsidP="00CC3427">
      <w:pPr>
        <w:widowControl w:val="0"/>
        <w:numPr>
          <w:ilvl w:val="2"/>
          <w:numId w:val="1"/>
        </w:numPr>
        <w:tabs>
          <w:tab w:val="left" w:pos="6521"/>
        </w:tabs>
        <w:spacing w:after="240"/>
        <w:outlineLvl w:val="2"/>
        <w:rPr>
          <w:lang w:val="fr-CA"/>
        </w:rPr>
      </w:pPr>
      <w:r>
        <w:rPr>
          <w:lang w:val="fr-CA"/>
        </w:rPr>
        <w:t xml:space="preserve">Des rapports d’audit financier sur la production de </w:t>
      </w:r>
      <w:r w:rsidRPr="0097372D">
        <w:rPr>
          <w:lang w:val="fr-CA"/>
        </w:rPr>
        <w:t xml:space="preserve">CFC, </w:t>
      </w:r>
      <w:r>
        <w:rPr>
          <w:lang w:val="fr-CA"/>
        </w:rPr>
        <w:t xml:space="preserve">les secteurs des </w:t>
      </w:r>
      <w:r w:rsidRPr="0097372D">
        <w:rPr>
          <w:lang w:val="fr-CA"/>
        </w:rPr>
        <w:t>halon</w:t>
      </w:r>
      <w:r>
        <w:rPr>
          <w:lang w:val="fr-CA"/>
        </w:rPr>
        <w:t>s</w:t>
      </w:r>
      <w:r w:rsidRPr="0097372D">
        <w:rPr>
          <w:lang w:val="fr-CA"/>
        </w:rPr>
        <w:t xml:space="preserve">, </w:t>
      </w:r>
      <w:r>
        <w:rPr>
          <w:lang w:val="fr-CA"/>
        </w:rPr>
        <w:t xml:space="preserve">de la mousse de </w:t>
      </w:r>
      <w:r w:rsidRPr="0097372D">
        <w:rPr>
          <w:lang w:val="fr-CA"/>
        </w:rPr>
        <w:t>polyur</w:t>
      </w:r>
      <w:r>
        <w:rPr>
          <w:lang w:val="fr-CA"/>
        </w:rPr>
        <w:t>é</w:t>
      </w:r>
      <w:r w:rsidRPr="0097372D">
        <w:rPr>
          <w:lang w:val="fr-CA"/>
        </w:rPr>
        <w:t xml:space="preserve">thane (PU), </w:t>
      </w:r>
      <w:r>
        <w:rPr>
          <w:lang w:val="fr-CA"/>
        </w:rPr>
        <w:t>de l’agent de transformation</w:t>
      </w:r>
      <w:r w:rsidRPr="0097372D">
        <w:rPr>
          <w:lang w:val="fr-CA"/>
        </w:rPr>
        <w:t xml:space="preserve"> II, </w:t>
      </w:r>
      <w:r>
        <w:rPr>
          <w:lang w:val="fr-CA"/>
        </w:rPr>
        <w:t xml:space="preserve">des </w:t>
      </w:r>
      <w:r w:rsidRPr="0097372D">
        <w:rPr>
          <w:lang w:val="fr-CA"/>
        </w:rPr>
        <w:t>solv</w:t>
      </w:r>
      <w:r>
        <w:rPr>
          <w:lang w:val="fr-CA"/>
        </w:rPr>
        <w:t>a</w:t>
      </w:r>
      <w:r w:rsidRPr="0097372D">
        <w:rPr>
          <w:lang w:val="fr-CA"/>
        </w:rPr>
        <w:t>nt</w:t>
      </w:r>
      <w:r>
        <w:rPr>
          <w:lang w:val="fr-CA"/>
        </w:rPr>
        <w:t>s et de</w:t>
      </w:r>
      <w:r w:rsidRPr="0097372D">
        <w:rPr>
          <w:lang w:val="fr-CA"/>
        </w:rPr>
        <w:t xml:space="preserve"> </w:t>
      </w:r>
      <w:r>
        <w:rPr>
          <w:lang w:val="fr-CA"/>
        </w:rPr>
        <w:t>l’entretien en Chine</w:t>
      </w:r>
      <w:r w:rsidRPr="0097372D">
        <w:rPr>
          <w:lang w:val="fr-CA"/>
        </w:rPr>
        <w:t xml:space="preserve">, </w:t>
      </w:r>
      <w:r>
        <w:rPr>
          <w:lang w:val="fr-CA"/>
        </w:rPr>
        <w:t xml:space="preserve">figurant dans le </w:t>
      </w:r>
      <w:r w:rsidRPr="0097372D">
        <w:rPr>
          <w:lang w:val="fr-CA"/>
        </w:rPr>
        <w:t>document UNEP/OzL.Pro/ExCom/85/9</w:t>
      </w:r>
      <w:r w:rsidR="00BC5440">
        <w:rPr>
          <w:lang w:val="fr-CA"/>
        </w:rPr>
        <w:t> ;</w:t>
      </w:r>
      <w:r w:rsidRPr="0097372D">
        <w:rPr>
          <w:lang w:val="fr-CA"/>
        </w:rPr>
        <w:t xml:space="preserve"> </w:t>
      </w:r>
    </w:p>
    <w:p w14:paraId="0999CCF1" w14:textId="3FC5BC65" w:rsidR="00CC3427" w:rsidRPr="0097372D" w:rsidRDefault="00CC3427" w:rsidP="00CC3427">
      <w:pPr>
        <w:pStyle w:val="Heading3"/>
        <w:numPr>
          <w:ilvl w:val="2"/>
          <w:numId w:val="1"/>
        </w:numPr>
        <w:rPr>
          <w:lang w:val="fr-CA"/>
        </w:rPr>
      </w:pPr>
      <w:r>
        <w:rPr>
          <w:lang w:val="fr-CA"/>
        </w:rPr>
        <w:t>Que la Banque mondiale</w:t>
      </w:r>
      <w:r w:rsidRPr="0097372D">
        <w:rPr>
          <w:lang w:val="fr-CA"/>
        </w:rPr>
        <w:t xml:space="preserve"> </w:t>
      </w:r>
      <w:r>
        <w:rPr>
          <w:lang w:val="fr-CA"/>
        </w:rPr>
        <w:t xml:space="preserve">restituera </w:t>
      </w:r>
      <w:bookmarkStart w:id="27" w:name="_Hlk56468865"/>
      <w:r>
        <w:rPr>
          <w:lang w:val="fr-CA"/>
        </w:rPr>
        <w:t xml:space="preserve">à la </w:t>
      </w:r>
      <w:r w:rsidRPr="001044AC">
        <w:rPr>
          <w:b/>
          <w:bCs/>
          <w:lang w:val="fr-CA"/>
        </w:rPr>
        <w:t>86</w:t>
      </w:r>
      <w:r w:rsidRPr="001044AC">
        <w:rPr>
          <w:b/>
          <w:bCs/>
          <w:vertAlign w:val="superscript"/>
          <w:lang w:val="fr-CA"/>
        </w:rPr>
        <w:t>e</w:t>
      </w:r>
      <w:r>
        <w:rPr>
          <w:lang w:val="fr-CA"/>
        </w:rPr>
        <w:t xml:space="preserve"> réunion les soldes restants dans </w:t>
      </w:r>
      <w:bookmarkEnd w:id="27"/>
      <w:r>
        <w:rPr>
          <w:lang w:val="fr-CA"/>
        </w:rPr>
        <w:t xml:space="preserve">les secteurs de la production de CFC et de la mousse PU, d’une valeur de </w:t>
      </w:r>
      <w:r w:rsidRPr="0097372D">
        <w:rPr>
          <w:lang w:val="fr-CA"/>
        </w:rPr>
        <w:t>314</w:t>
      </w:r>
      <w:r>
        <w:rPr>
          <w:lang w:val="fr-CA"/>
        </w:rPr>
        <w:t> </w:t>
      </w:r>
      <w:r w:rsidRPr="0097372D">
        <w:rPr>
          <w:lang w:val="fr-CA"/>
        </w:rPr>
        <w:t>015</w:t>
      </w:r>
      <w:r>
        <w:rPr>
          <w:lang w:val="fr-CA"/>
        </w:rPr>
        <w:t> $US</w:t>
      </w:r>
      <w:r w:rsidRPr="0097372D">
        <w:rPr>
          <w:lang w:val="fr-CA"/>
        </w:rPr>
        <w:t xml:space="preserve">, </w:t>
      </w:r>
      <w:r>
        <w:rPr>
          <w:lang w:val="fr-CA"/>
        </w:rPr>
        <w:t xml:space="preserve">et les intérêts accrus de </w:t>
      </w:r>
      <w:r w:rsidRPr="0097372D">
        <w:rPr>
          <w:lang w:val="fr-CA"/>
        </w:rPr>
        <w:t>22</w:t>
      </w:r>
      <w:r>
        <w:rPr>
          <w:lang w:val="fr-CA"/>
        </w:rPr>
        <w:t> </w:t>
      </w:r>
      <w:r w:rsidRPr="0097372D">
        <w:rPr>
          <w:lang w:val="fr-CA"/>
        </w:rPr>
        <w:t>119</w:t>
      </w:r>
      <w:r>
        <w:rPr>
          <w:lang w:val="fr-CA"/>
        </w:rPr>
        <w:t> $US</w:t>
      </w:r>
      <w:r w:rsidR="00BC5440">
        <w:rPr>
          <w:lang w:val="fr-CA"/>
        </w:rPr>
        <w:t xml:space="preserve"> </w:t>
      </w:r>
      <w:r w:rsidRPr="0097372D">
        <w:rPr>
          <w:lang w:val="fr-CA"/>
        </w:rPr>
        <w:t>;</w:t>
      </w:r>
    </w:p>
    <w:p w14:paraId="6C57E6CE" w14:textId="487EA6B8" w:rsidR="00CC3427" w:rsidRPr="0097372D" w:rsidRDefault="00CC3427" w:rsidP="00CC3427">
      <w:pPr>
        <w:widowControl w:val="0"/>
        <w:numPr>
          <w:ilvl w:val="2"/>
          <w:numId w:val="1"/>
        </w:numPr>
        <w:spacing w:after="240"/>
        <w:outlineLvl w:val="2"/>
        <w:rPr>
          <w:lang w:val="fr-CA"/>
        </w:rPr>
      </w:pPr>
      <w:r>
        <w:rPr>
          <w:lang w:val="fr-CA"/>
        </w:rPr>
        <w:t xml:space="preserve">Que l’ONUDI restituera </w:t>
      </w:r>
      <w:r w:rsidRPr="001044AC">
        <w:rPr>
          <w:lang w:val="fr-CA"/>
        </w:rPr>
        <w:t xml:space="preserve">à la </w:t>
      </w:r>
      <w:r w:rsidRPr="001044AC">
        <w:rPr>
          <w:b/>
          <w:bCs/>
          <w:lang w:val="fr-CA"/>
        </w:rPr>
        <w:t>86</w:t>
      </w:r>
      <w:r w:rsidRPr="001044AC">
        <w:rPr>
          <w:b/>
          <w:bCs/>
          <w:vertAlign w:val="superscript"/>
          <w:lang w:val="fr-CA"/>
        </w:rPr>
        <w:t>e</w:t>
      </w:r>
      <w:r w:rsidRPr="001044AC">
        <w:rPr>
          <w:lang w:val="fr-CA"/>
        </w:rPr>
        <w:t xml:space="preserve"> réunion les soldes restants dans </w:t>
      </w:r>
      <w:r>
        <w:rPr>
          <w:lang w:val="fr-CA"/>
        </w:rPr>
        <w:t xml:space="preserve">le plan sectoriel pour l’entretien en réfrigération, d’une valeur de </w:t>
      </w:r>
      <w:r w:rsidRPr="0097372D">
        <w:rPr>
          <w:lang w:val="fr-CA"/>
        </w:rPr>
        <w:t>752</w:t>
      </w:r>
      <w:r>
        <w:rPr>
          <w:lang w:val="fr-CA"/>
        </w:rPr>
        <w:t> $US</w:t>
      </w:r>
      <w:r w:rsidRPr="0097372D">
        <w:rPr>
          <w:lang w:val="fr-CA"/>
        </w:rPr>
        <w:t xml:space="preserve">, plus </w:t>
      </w:r>
      <w:r>
        <w:rPr>
          <w:lang w:val="fr-CA"/>
        </w:rPr>
        <w:t xml:space="preserve">les intérêts accrus de </w:t>
      </w:r>
      <w:r w:rsidRPr="0097372D">
        <w:rPr>
          <w:lang w:val="fr-CA"/>
        </w:rPr>
        <w:t>99</w:t>
      </w:r>
      <w:r>
        <w:rPr>
          <w:lang w:val="fr-CA"/>
        </w:rPr>
        <w:t> </w:t>
      </w:r>
      <w:r w:rsidRPr="0097372D">
        <w:rPr>
          <w:lang w:val="fr-CA"/>
        </w:rPr>
        <w:t>178</w:t>
      </w:r>
      <w:r>
        <w:rPr>
          <w:lang w:val="fr-CA"/>
        </w:rPr>
        <w:t> $US</w:t>
      </w:r>
      <w:r w:rsidR="00BC5440">
        <w:rPr>
          <w:lang w:val="fr-CA"/>
        </w:rPr>
        <w:t xml:space="preserve"> </w:t>
      </w:r>
      <w:r w:rsidRPr="0097372D">
        <w:rPr>
          <w:lang w:val="fr-CA"/>
        </w:rPr>
        <w:t xml:space="preserve">; </w:t>
      </w:r>
    </w:p>
    <w:p w14:paraId="033E61F4" w14:textId="3E21D541" w:rsidR="00CC3427" w:rsidRPr="0097372D" w:rsidRDefault="00CC3427" w:rsidP="00CC3427">
      <w:pPr>
        <w:widowControl w:val="0"/>
        <w:numPr>
          <w:ilvl w:val="2"/>
          <w:numId w:val="1"/>
        </w:numPr>
        <w:spacing w:after="240"/>
        <w:outlineLvl w:val="2"/>
        <w:rPr>
          <w:lang w:val="fr-CA"/>
        </w:rPr>
      </w:pPr>
      <w:r>
        <w:rPr>
          <w:lang w:val="fr-CA"/>
        </w:rPr>
        <w:t>Que le PNUD</w:t>
      </w:r>
      <w:r w:rsidRPr="0097372D">
        <w:rPr>
          <w:lang w:val="fr-CA"/>
        </w:rPr>
        <w:t xml:space="preserve"> </w:t>
      </w:r>
      <w:r w:rsidRPr="001044AC">
        <w:rPr>
          <w:lang w:val="fr-CA"/>
        </w:rPr>
        <w:t xml:space="preserve">restituera à la </w:t>
      </w:r>
      <w:r w:rsidRPr="001044AC">
        <w:rPr>
          <w:b/>
          <w:bCs/>
          <w:lang w:val="fr-CA"/>
        </w:rPr>
        <w:t>86</w:t>
      </w:r>
      <w:r w:rsidRPr="001044AC">
        <w:rPr>
          <w:b/>
          <w:bCs/>
          <w:vertAlign w:val="superscript"/>
          <w:lang w:val="fr-CA"/>
        </w:rPr>
        <w:t>e</w:t>
      </w:r>
      <w:r w:rsidRPr="001044AC">
        <w:rPr>
          <w:lang w:val="fr-CA"/>
        </w:rPr>
        <w:t xml:space="preserve"> réunion </w:t>
      </w:r>
      <w:r>
        <w:rPr>
          <w:lang w:val="fr-CA"/>
        </w:rPr>
        <w:t xml:space="preserve">le montant de </w:t>
      </w:r>
      <w:r w:rsidRPr="0097372D">
        <w:rPr>
          <w:lang w:val="fr-CA"/>
        </w:rPr>
        <w:t>356</w:t>
      </w:r>
      <w:r>
        <w:rPr>
          <w:lang w:val="fr-CA"/>
        </w:rPr>
        <w:t> </w:t>
      </w:r>
      <w:r w:rsidRPr="0097372D">
        <w:rPr>
          <w:lang w:val="fr-CA"/>
        </w:rPr>
        <w:t>151</w:t>
      </w:r>
      <w:r>
        <w:rPr>
          <w:lang w:val="fr-CA"/>
        </w:rPr>
        <w:t> $US</w:t>
      </w:r>
      <w:r w:rsidRPr="0097372D">
        <w:rPr>
          <w:lang w:val="fr-CA"/>
        </w:rPr>
        <w:t xml:space="preserve">, </w:t>
      </w:r>
      <w:r>
        <w:rPr>
          <w:lang w:val="fr-CA"/>
        </w:rPr>
        <w:t>représentant les intérêts accrus du plan sectoriel</w:t>
      </w:r>
      <w:r w:rsidRPr="0097372D">
        <w:rPr>
          <w:lang w:val="fr-CA"/>
        </w:rPr>
        <w:t xml:space="preserve"> </w:t>
      </w:r>
      <w:r>
        <w:rPr>
          <w:lang w:val="fr-CA"/>
        </w:rPr>
        <w:t>pour les solvants</w:t>
      </w:r>
      <w:r w:rsidR="00BC5440">
        <w:rPr>
          <w:lang w:val="fr-CA"/>
        </w:rPr>
        <w:t xml:space="preserve"> </w:t>
      </w:r>
      <w:r w:rsidRPr="0097372D">
        <w:rPr>
          <w:lang w:val="fr-CA"/>
        </w:rPr>
        <w:t xml:space="preserve">; </w:t>
      </w:r>
    </w:p>
    <w:p w14:paraId="0B407D86" w14:textId="6E5D176B" w:rsidR="00CC3427" w:rsidRPr="0097372D" w:rsidRDefault="00CC3427" w:rsidP="00E3303D">
      <w:pPr>
        <w:keepNext/>
        <w:keepLines/>
        <w:widowControl w:val="0"/>
        <w:numPr>
          <w:ilvl w:val="1"/>
          <w:numId w:val="1"/>
        </w:numPr>
        <w:spacing w:after="240"/>
        <w:outlineLvl w:val="1"/>
        <w:rPr>
          <w:lang w:val="fr-CA"/>
        </w:rPr>
      </w:pPr>
      <w:r>
        <w:rPr>
          <w:lang w:val="fr-CA"/>
        </w:rPr>
        <w:lastRenderedPageBreak/>
        <w:t>À demander à la Banque mondiale</w:t>
      </w:r>
      <w:r w:rsidRPr="0097372D">
        <w:rPr>
          <w:lang w:val="fr-CA"/>
        </w:rPr>
        <w:t xml:space="preserve"> </w:t>
      </w:r>
      <w:r>
        <w:rPr>
          <w:lang w:val="fr-CA"/>
        </w:rPr>
        <w:t>de soumettre à la 87</w:t>
      </w:r>
      <w:r w:rsidRPr="00D56E8F">
        <w:rPr>
          <w:vertAlign w:val="superscript"/>
          <w:lang w:val="fr-CA"/>
        </w:rPr>
        <w:t>e</w:t>
      </w:r>
      <w:r>
        <w:rPr>
          <w:lang w:val="fr-CA"/>
        </w:rPr>
        <w:t> réunion les rapports d’audit financier des plans sectoriels pour les halons et l’agent de transformation II qui seraient achevés</w:t>
      </w:r>
      <w:r w:rsidRPr="0097372D">
        <w:rPr>
          <w:lang w:val="fr-CA"/>
        </w:rPr>
        <w:t xml:space="preserve"> </w:t>
      </w:r>
      <w:r>
        <w:rPr>
          <w:lang w:val="fr-CA"/>
        </w:rPr>
        <w:t xml:space="preserve">d’ici au </w:t>
      </w:r>
      <w:r w:rsidRPr="0097372D">
        <w:rPr>
          <w:lang w:val="fr-CA"/>
        </w:rPr>
        <w:t>31</w:t>
      </w:r>
      <w:r>
        <w:rPr>
          <w:lang w:val="fr-CA"/>
        </w:rPr>
        <w:t> dé</w:t>
      </w:r>
      <w:r w:rsidRPr="0097372D">
        <w:rPr>
          <w:lang w:val="fr-CA"/>
        </w:rPr>
        <w:t>ce</w:t>
      </w:r>
      <w:r>
        <w:rPr>
          <w:lang w:val="fr-CA"/>
        </w:rPr>
        <w:t>mbre</w:t>
      </w:r>
      <w:r w:rsidRPr="0097372D">
        <w:rPr>
          <w:lang w:val="fr-CA"/>
        </w:rPr>
        <w:t xml:space="preserve"> 2020, </w:t>
      </w:r>
      <w:r>
        <w:rPr>
          <w:lang w:val="fr-CA"/>
        </w:rPr>
        <w:t>conformément à la décision</w:t>
      </w:r>
      <w:r w:rsidRPr="0097372D">
        <w:rPr>
          <w:lang w:val="fr-CA"/>
        </w:rPr>
        <w:t> 84/39(b)</w:t>
      </w:r>
      <w:r>
        <w:rPr>
          <w:lang w:val="fr-CA"/>
        </w:rPr>
        <w:t xml:space="preserve">, ainsi que les rapports d’achèvement de projet (RAP) correspondants, et tout solde restant au </w:t>
      </w:r>
      <w:r w:rsidRPr="0097372D">
        <w:rPr>
          <w:lang w:val="fr-CA"/>
        </w:rPr>
        <w:t>31</w:t>
      </w:r>
      <w:r>
        <w:rPr>
          <w:lang w:val="fr-CA"/>
        </w:rPr>
        <w:t> dé</w:t>
      </w:r>
      <w:r w:rsidRPr="0097372D">
        <w:rPr>
          <w:lang w:val="fr-CA"/>
        </w:rPr>
        <w:t>ce</w:t>
      </w:r>
      <w:r>
        <w:rPr>
          <w:lang w:val="fr-CA"/>
        </w:rPr>
        <w:t>mbre</w:t>
      </w:r>
      <w:r w:rsidRPr="0097372D">
        <w:rPr>
          <w:lang w:val="fr-CA"/>
        </w:rPr>
        <w:t xml:space="preserve"> 2020</w:t>
      </w:r>
      <w:r w:rsidR="00BC5440">
        <w:rPr>
          <w:lang w:val="fr-CA"/>
        </w:rPr>
        <w:t xml:space="preserve"> </w:t>
      </w:r>
      <w:r w:rsidRPr="0097372D">
        <w:rPr>
          <w:lang w:val="fr-CA"/>
        </w:rPr>
        <w:t xml:space="preserve">; </w:t>
      </w:r>
      <w:r>
        <w:rPr>
          <w:lang w:val="fr-CA"/>
        </w:rPr>
        <w:t>et</w:t>
      </w:r>
    </w:p>
    <w:p w14:paraId="441C33C8" w14:textId="77777777" w:rsidR="00CC3427" w:rsidRPr="00CD0354" w:rsidRDefault="00CC3427" w:rsidP="00CC3427">
      <w:pPr>
        <w:widowControl w:val="0"/>
        <w:numPr>
          <w:ilvl w:val="1"/>
          <w:numId w:val="1"/>
        </w:numPr>
        <w:spacing w:after="240"/>
        <w:jc w:val="left"/>
        <w:outlineLvl w:val="1"/>
        <w:rPr>
          <w:lang w:val="fr-CA"/>
        </w:rPr>
      </w:pPr>
      <w:r w:rsidRPr="00CD0354">
        <w:rPr>
          <w:lang w:val="fr-CA"/>
        </w:rPr>
        <w:t xml:space="preserve">À demander au Conseiller principal du suivi et de l’évaluation de travailler avec l’agence d’exécution responsable pour assurer que les RAP soumis sur les plans sectoriels pour la production de CFC, la mousse PU, l’entretien en réfrigération, et les solvants tiennent compte des décaissements aux bénéficiaires ultimes, conformément aux informations figurant dans les rapports d’audit financier soumis à la </w:t>
      </w:r>
      <w:r w:rsidRPr="00CD0354">
        <w:rPr>
          <w:b/>
          <w:lang w:val="fr-CA"/>
        </w:rPr>
        <w:t>86</w:t>
      </w:r>
      <w:r w:rsidRPr="00CD0354">
        <w:rPr>
          <w:b/>
          <w:vertAlign w:val="superscript"/>
          <w:lang w:val="fr-CA"/>
        </w:rPr>
        <w:t>e</w:t>
      </w:r>
      <w:r w:rsidRPr="00CD0354">
        <w:rPr>
          <w:lang w:val="fr-CA"/>
        </w:rPr>
        <w:t> réunion.</w:t>
      </w:r>
      <w:r w:rsidRPr="00CD0354">
        <w:rPr>
          <w:lang w:val="fr-CA"/>
        </w:rPr>
        <w:br w:type="page"/>
      </w:r>
    </w:p>
    <w:p w14:paraId="08FB4FAD" w14:textId="597D1000" w:rsidR="00CC3427" w:rsidRPr="0097372D" w:rsidRDefault="00CC3427" w:rsidP="00CC3427">
      <w:pPr>
        <w:ind w:left="1440" w:hanging="1440"/>
        <w:rPr>
          <w:rFonts w:eastAsiaTheme="minorEastAsia"/>
          <w:b/>
          <w:lang w:val="fr-CA"/>
        </w:rPr>
      </w:pPr>
      <w:r w:rsidRPr="0097372D">
        <w:rPr>
          <w:rFonts w:eastAsiaTheme="minorEastAsia"/>
          <w:b/>
          <w:lang w:val="fr-CA"/>
        </w:rPr>
        <w:lastRenderedPageBreak/>
        <w:t>PART</w:t>
      </w:r>
      <w:r>
        <w:rPr>
          <w:rFonts w:eastAsiaTheme="minorEastAsia"/>
          <w:b/>
          <w:lang w:val="fr-CA"/>
        </w:rPr>
        <w:t>IE</w:t>
      </w:r>
      <w:r w:rsidRPr="0097372D">
        <w:rPr>
          <w:rFonts w:eastAsiaTheme="minorEastAsia"/>
          <w:b/>
          <w:lang w:val="fr-CA"/>
        </w:rPr>
        <w:t xml:space="preserve"> VII</w:t>
      </w:r>
      <w:r w:rsidR="00BC5440">
        <w:rPr>
          <w:rFonts w:eastAsiaTheme="minorEastAsia"/>
          <w:b/>
          <w:lang w:val="fr-CA"/>
        </w:rPr>
        <w:t xml:space="preserve"> </w:t>
      </w:r>
      <w:r w:rsidRPr="0097372D">
        <w:rPr>
          <w:rFonts w:eastAsiaTheme="minorEastAsia"/>
          <w:b/>
          <w:lang w:val="fr-CA"/>
        </w:rPr>
        <w:t>:</w:t>
      </w:r>
      <w:r w:rsidRPr="0097372D">
        <w:rPr>
          <w:rFonts w:eastAsiaTheme="minorEastAsia"/>
          <w:b/>
          <w:lang w:val="fr-CA"/>
        </w:rPr>
        <w:tab/>
      </w:r>
      <w:r>
        <w:rPr>
          <w:rFonts w:eastAsiaTheme="minorEastAsia"/>
          <w:b/>
          <w:lang w:val="fr-CA"/>
        </w:rPr>
        <w:t>PLAN SECTORIEL</w:t>
      </w:r>
      <w:r w:rsidRPr="0097372D">
        <w:rPr>
          <w:rFonts w:eastAsiaTheme="minorEastAsia"/>
          <w:b/>
          <w:lang w:val="fr-CA"/>
        </w:rPr>
        <w:t xml:space="preserve"> </w:t>
      </w:r>
      <w:r>
        <w:rPr>
          <w:rFonts w:eastAsiaTheme="minorEastAsia"/>
          <w:b/>
          <w:lang w:val="fr-CA"/>
        </w:rPr>
        <w:t xml:space="preserve">POUR L’ÉLIMINATION DE LA PRODUCTION DE BROMURE DE MÉTHYLE </w:t>
      </w:r>
      <w:r w:rsidRPr="0097372D">
        <w:rPr>
          <w:rFonts w:eastAsiaTheme="minorEastAsia"/>
          <w:b/>
          <w:lang w:val="fr-CA"/>
        </w:rPr>
        <w:t>(</w:t>
      </w:r>
      <w:r>
        <w:rPr>
          <w:rFonts w:eastAsiaTheme="minorEastAsia"/>
          <w:b/>
          <w:lang w:val="fr-CA"/>
        </w:rPr>
        <w:t>BM</w:t>
      </w:r>
      <w:r w:rsidRPr="0097372D">
        <w:rPr>
          <w:rFonts w:eastAsiaTheme="minorEastAsia"/>
          <w:b/>
          <w:lang w:val="fr-CA"/>
        </w:rPr>
        <w:t xml:space="preserve">) </w:t>
      </w:r>
    </w:p>
    <w:p w14:paraId="2C2C43BD" w14:textId="77777777" w:rsidR="00CC3427" w:rsidRPr="0097372D" w:rsidRDefault="00CC3427" w:rsidP="00CC3427">
      <w:pPr>
        <w:ind w:left="1440" w:hanging="1440"/>
        <w:rPr>
          <w:rFonts w:eastAsiaTheme="minorEastAsia"/>
          <w:b/>
          <w:lang w:val="fr-CA"/>
        </w:rPr>
      </w:pPr>
    </w:p>
    <w:p w14:paraId="392F83BA" w14:textId="77777777" w:rsidR="00CC3427" w:rsidRPr="0097372D" w:rsidRDefault="00CC3427" w:rsidP="00CC3427">
      <w:pPr>
        <w:ind w:left="1440" w:hanging="1440"/>
        <w:rPr>
          <w:rFonts w:eastAsiaTheme="minorEastAsia"/>
          <w:b/>
          <w:lang w:val="fr-CA"/>
        </w:rPr>
      </w:pPr>
      <w:r>
        <w:rPr>
          <w:rFonts w:eastAsiaTheme="minorEastAsia"/>
          <w:b/>
          <w:lang w:val="fr-CA"/>
        </w:rPr>
        <w:t>Historique</w:t>
      </w:r>
    </w:p>
    <w:p w14:paraId="6EDD36C8" w14:textId="77777777" w:rsidR="00CC3427" w:rsidRPr="0097372D" w:rsidRDefault="00CC3427" w:rsidP="00CC3427">
      <w:pPr>
        <w:ind w:left="1440" w:hanging="1440"/>
        <w:rPr>
          <w:rFonts w:eastAsiaTheme="minorEastAsia"/>
          <w:b/>
          <w:lang w:val="fr-CA"/>
        </w:rPr>
      </w:pPr>
    </w:p>
    <w:p w14:paraId="378B8A0C" w14:textId="77777777" w:rsidR="00CC3427" w:rsidRPr="0097372D" w:rsidRDefault="00CC3427" w:rsidP="00CC3427">
      <w:pPr>
        <w:pStyle w:val="Heading1"/>
        <w:rPr>
          <w:rFonts w:eastAsiaTheme="minorEastAsia"/>
          <w:lang w:val="fr-CA"/>
        </w:rPr>
      </w:pPr>
      <w:r>
        <w:rPr>
          <w:rFonts w:eastAsiaTheme="minorEastAsia"/>
          <w:lang w:val="fr-CA"/>
        </w:rPr>
        <w:t xml:space="preserve">À sa </w:t>
      </w:r>
      <w:r w:rsidRPr="0097372D">
        <w:rPr>
          <w:rFonts w:eastAsiaTheme="minorEastAsia"/>
          <w:lang w:val="fr-CA"/>
        </w:rPr>
        <w:t>84</w:t>
      </w:r>
      <w:r>
        <w:rPr>
          <w:rFonts w:eastAsiaTheme="minorEastAsia"/>
          <w:vertAlign w:val="superscript"/>
          <w:lang w:val="fr-CA"/>
        </w:rPr>
        <w:t>e</w:t>
      </w:r>
      <w:r w:rsidRPr="0097372D">
        <w:rPr>
          <w:rFonts w:eastAsiaTheme="minorEastAsia"/>
          <w:vertAlign w:val="superscript"/>
          <w:lang w:val="fr-CA"/>
        </w:rPr>
        <w:t> </w:t>
      </w:r>
      <w:r>
        <w:rPr>
          <w:rFonts w:eastAsiaTheme="minorEastAsia"/>
          <w:lang w:val="fr-CA"/>
        </w:rPr>
        <w:t>réunion</w:t>
      </w:r>
      <w:r w:rsidRPr="0097372D">
        <w:rPr>
          <w:rFonts w:eastAsiaTheme="minorEastAsia"/>
          <w:lang w:val="fr-CA"/>
        </w:rPr>
        <w:t xml:space="preserve">, </w:t>
      </w:r>
      <w:r>
        <w:rPr>
          <w:rFonts w:eastAsiaTheme="minorEastAsia"/>
          <w:lang w:val="fr-CA"/>
        </w:rPr>
        <w:t>l</w:t>
      </w:r>
      <w:r w:rsidRPr="0097372D">
        <w:rPr>
          <w:rFonts w:eastAsiaTheme="minorEastAsia"/>
          <w:lang w:val="fr-CA"/>
        </w:rPr>
        <w:t xml:space="preserve">e </w:t>
      </w:r>
      <w:r>
        <w:rPr>
          <w:rFonts w:eastAsiaTheme="minorEastAsia"/>
          <w:lang w:val="fr-CA"/>
        </w:rPr>
        <w:t>Comité exécutif</w:t>
      </w:r>
      <w:r w:rsidRPr="0097372D">
        <w:rPr>
          <w:rFonts w:eastAsiaTheme="minorEastAsia"/>
          <w:lang w:val="fr-CA"/>
        </w:rPr>
        <w:t xml:space="preserve"> </w:t>
      </w:r>
      <w:r>
        <w:rPr>
          <w:rFonts w:eastAsiaTheme="minorEastAsia"/>
          <w:lang w:val="fr-CA"/>
        </w:rPr>
        <w:t>a pris note du rapport sur l’état de la mise en œuvre du plan sectoriel</w:t>
      </w:r>
      <w:r w:rsidRPr="0097372D">
        <w:rPr>
          <w:rFonts w:eastAsiaTheme="minorEastAsia"/>
          <w:lang w:val="fr-CA"/>
        </w:rPr>
        <w:t xml:space="preserve"> </w:t>
      </w:r>
      <w:r>
        <w:rPr>
          <w:rFonts w:eastAsiaTheme="minorEastAsia"/>
          <w:lang w:val="fr-CA"/>
        </w:rPr>
        <w:t xml:space="preserve">pour l’élimination de la production du bromure de méthyle </w:t>
      </w:r>
      <w:r w:rsidRPr="0097372D">
        <w:rPr>
          <w:rFonts w:eastAsiaTheme="minorEastAsia"/>
          <w:lang w:val="fr-CA"/>
        </w:rPr>
        <w:t>(</w:t>
      </w:r>
      <w:r>
        <w:rPr>
          <w:rFonts w:eastAsiaTheme="minorEastAsia"/>
          <w:lang w:val="fr-CA"/>
        </w:rPr>
        <w:t>BM</w:t>
      </w:r>
      <w:r w:rsidRPr="0097372D">
        <w:rPr>
          <w:rFonts w:eastAsiaTheme="minorEastAsia"/>
          <w:lang w:val="fr-CA"/>
        </w:rPr>
        <w:t xml:space="preserve">) </w:t>
      </w:r>
      <w:r>
        <w:rPr>
          <w:rFonts w:eastAsiaTheme="minorEastAsia"/>
          <w:lang w:val="fr-CA"/>
        </w:rPr>
        <w:t>e</w:t>
      </w:r>
      <w:r w:rsidRPr="0097372D">
        <w:rPr>
          <w:rFonts w:eastAsiaTheme="minorEastAsia"/>
          <w:lang w:val="fr-CA"/>
        </w:rPr>
        <w:t xml:space="preserve">n </w:t>
      </w:r>
      <w:r>
        <w:rPr>
          <w:rFonts w:eastAsiaTheme="minorEastAsia"/>
          <w:lang w:val="fr-CA"/>
        </w:rPr>
        <w:t>Chine</w:t>
      </w:r>
      <w:r w:rsidRPr="0097372D">
        <w:rPr>
          <w:rFonts w:eastAsiaTheme="minorEastAsia"/>
          <w:lang w:val="fr-CA"/>
        </w:rPr>
        <w:t xml:space="preserve">, </w:t>
      </w:r>
      <w:r>
        <w:rPr>
          <w:rFonts w:eastAsiaTheme="minorEastAsia"/>
          <w:lang w:val="fr-CA"/>
        </w:rPr>
        <w:t xml:space="preserve">de la mise à jour du contrat pour le programme de surveillance et de </w:t>
      </w:r>
      <w:r w:rsidRPr="0097372D">
        <w:rPr>
          <w:rFonts w:eastAsiaTheme="minorEastAsia"/>
          <w:lang w:val="fr-CA"/>
        </w:rPr>
        <w:t xml:space="preserve">supervision </w:t>
      </w:r>
      <w:r>
        <w:rPr>
          <w:rFonts w:eastAsiaTheme="minorEastAsia"/>
          <w:lang w:val="fr-CA"/>
        </w:rPr>
        <w:t>que les Autorités douanières devaient mettre en œuvre</w:t>
      </w:r>
      <w:r w:rsidRPr="0097372D">
        <w:rPr>
          <w:rFonts w:eastAsiaTheme="minorEastAsia"/>
          <w:lang w:val="fr-CA"/>
        </w:rPr>
        <w:t xml:space="preserve">, </w:t>
      </w:r>
      <w:r>
        <w:rPr>
          <w:rFonts w:eastAsiaTheme="minorEastAsia"/>
          <w:lang w:val="fr-CA"/>
        </w:rPr>
        <w:t>ainsi que de la mise à jour du système d’étiquetage et de traçabilité du BM</w:t>
      </w:r>
      <w:r w:rsidRPr="0097372D">
        <w:rPr>
          <w:rFonts w:eastAsiaTheme="minorEastAsia"/>
          <w:lang w:val="fr-CA"/>
        </w:rPr>
        <w:t xml:space="preserve">, </w:t>
      </w:r>
      <w:r>
        <w:rPr>
          <w:rFonts w:eastAsiaTheme="minorEastAsia"/>
          <w:lang w:val="fr-CA"/>
        </w:rPr>
        <w:t>soumis par l’ONUDI</w:t>
      </w:r>
      <w:r w:rsidRPr="0097372D">
        <w:rPr>
          <w:rFonts w:eastAsiaTheme="minorEastAsia"/>
          <w:lang w:val="fr-CA"/>
        </w:rPr>
        <w:t xml:space="preserve">; </w:t>
      </w:r>
      <w:r>
        <w:rPr>
          <w:rFonts w:eastAsiaTheme="minorEastAsia"/>
          <w:lang w:val="fr-CA"/>
        </w:rPr>
        <w:t>il a demandé au Gouvernement de la Chine</w:t>
      </w:r>
      <w:r w:rsidRPr="0097372D">
        <w:rPr>
          <w:rFonts w:eastAsiaTheme="minorEastAsia"/>
          <w:lang w:val="fr-CA"/>
        </w:rPr>
        <w:t xml:space="preserve">, </w:t>
      </w:r>
      <w:r>
        <w:rPr>
          <w:rFonts w:eastAsiaTheme="minorEastAsia"/>
          <w:lang w:val="fr-CA"/>
        </w:rPr>
        <w:t>par l’intermédiaire de l’ONUDI</w:t>
      </w:r>
      <w:r w:rsidRPr="0097372D">
        <w:rPr>
          <w:rFonts w:eastAsiaTheme="minorEastAsia"/>
          <w:lang w:val="fr-CA"/>
        </w:rPr>
        <w:t xml:space="preserve">, </w:t>
      </w:r>
      <w:r>
        <w:rPr>
          <w:rFonts w:eastAsiaTheme="minorEastAsia"/>
          <w:lang w:val="fr-CA"/>
        </w:rPr>
        <w:t>d’inclure une mise à jour sur le système d’étiquetage et de traçabilité du BM</w:t>
      </w:r>
      <w:r w:rsidRPr="0097372D">
        <w:rPr>
          <w:rFonts w:eastAsiaTheme="minorEastAsia"/>
          <w:lang w:val="fr-CA"/>
        </w:rPr>
        <w:t> </w:t>
      </w:r>
      <w:r>
        <w:rPr>
          <w:rFonts w:eastAsiaTheme="minorEastAsia"/>
          <w:lang w:val="fr-CA"/>
        </w:rPr>
        <w:t>dans le rapport annuel sur l’état de la mise en œuvre du plan sectoriel</w:t>
      </w:r>
      <w:r w:rsidRPr="0097372D">
        <w:rPr>
          <w:rFonts w:eastAsiaTheme="minorEastAsia"/>
          <w:lang w:val="fr-CA"/>
        </w:rPr>
        <w:t xml:space="preserve"> </w:t>
      </w:r>
      <w:r>
        <w:rPr>
          <w:rFonts w:eastAsiaTheme="minorEastAsia"/>
          <w:lang w:val="fr-CA"/>
        </w:rPr>
        <w:t>pour l’élimination de la production de BM</w:t>
      </w:r>
      <w:r w:rsidRPr="0097372D">
        <w:rPr>
          <w:rFonts w:eastAsiaTheme="minorEastAsia"/>
          <w:lang w:val="fr-CA"/>
        </w:rPr>
        <w:t xml:space="preserve"> </w:t>
      </w:r>
      <w:r>
        <w:rPr>
          <w:rFonts w:eastAsiaTheme="minorEastAsia"/>
          <w:lang w:val="fr-CA"/>
        </w:rPr>
        <w:t xml:space="preserve">en Chine, à soumettre à la </w:t>
      </w:r>
      <w:r w:rsidRPr="0097372D">
        <w:rPr>
          <w:rFonts w:eastAsiaTheme="minorEastAsia"/>
          <w:lang w:val="fr-CA"/>
        </w:rPr>
        <w:t>86</w:t>
      </w:r>
      <w:r>
        <w:rPr>
          <w:rFonts w:eastAsiaTheme="minorEastAsia"/>
          <w:vertAlign w:val="superscript"/>
          <w:lang w:val="fr-CA"/>
        </w:rPr>
        <w:t>e</w:t>
      </w:r>
      <w:r w:rsidRPr="0097372D">
        <w:rPr>
          <w:rFonts w:eastAsiaTheme="minorEastAsia"/>
          <w:lang w:val="fr-CA"/>
        </w:rPr>
        <w:t> </w:t>
      </w:r>
      <w:r>
        <w:rPr>
          <w:rFonts w:eastAsiaTheme="minorEastAsia"/>
          <w:lang w:val="fr-CA"/>
        </w:rPr>
        <w:t>réunion</w:t>
      </w:r>
      <w:r w:rsidRPr="0097372D">
        <w:rPr>
          <w:rFonts w:eastAsiaTheme="minorEastAsia"/>
          <w:lang w:val="fr-CA"/>
        </w:rPr>
        <w:t xml:space="preserve"> (</w:t>
      </w:r>
      <w:r>
        <w:rPr>
          <w:rFonts w:eastAsiaTheme="minorEastAsia"/>
          <w:lang w:val="fr-CA"/>
        </w:rPr>
        <w:t>décision</w:t>
      </w:r>
      <w:r w:rsidRPr="0097372D">
        <w:rPr>
          <w:rFonts w:eastAsiaTheme="minorEastAsia"/>
          <w:lang w:val="fr-CA"/>
        </w:rPr>
        <w:t xml:space="preserve"> 84/40(a) </w:t>
      </w:r>
      <w:r>
        <w:rPr>
          <w:rFonts w:eastAsiaTheme="minorEastAsia"/>
          <w:lang w:val="fr-CA"/>
        </w:rPr>
        <w:t>et</w:t>
      </w:r>
      <w:r w:rsidRPr="0097372D">
        <w:rPr>
          <w:rFonts w:eastAsiaTheme="minorEastAsia"/>
          <w:lang w:val="fr-CA"/>
        </w:rPr>
        <w:t xml:space="preserve"> (b)). </w:t>
      </w:r>
    </w:p>
    <w:p w14:paraId="3E6E3971" w14:textId="77777777" w:rsidR="00BC5440" w:rsidRDefault="00CC3427" w:rsidP="00BC5440">
      <w:pPr>
        <w:pStyle w:val="Heading1"/>
        <w:rPr>
          <w:rFonts w:eastAsiaTheme="minorEastAsia"/>
          <w:lang w:val="fr-CA"/>
        </w:rPr>
      </w:pPr>
      <w:r>
        <w:rPr>
          <w:rFonts w:eastAsiaTheme="minorEastAsia"/>
          <w:lang w:val="fr-CA"/>
        </w:rPr>
        <w:t>L’ONUDI a soumis à la 86</w:t>
      </w:r>
      <w:r w:rsidRPr="00E81810">
        <w:rPr>
          <w:rFonts w:eastAsiaTheme="minorEastAsia"/>
          <w:vertAlign w:val="superscript"/>
          <w:lang w:val="fr-CA"/>
        </w:rPr>
        <w:t>e</w:t>
      </w:r>
      <w:r>
        <w:rPr>
          <w:rFonts w:eastAsiaTheme="minorEastAsia"/>
          <w:lang w:val="fr-CA"/>
        </w:rPr>
        <w:t> réunion, au nom du Gouvernement de la Chine</w:t>
      </w:r>
      <w:r w:rsidRPr="0097372D">
        <w:rPr>
          <w:rFonts w:eastAsiaTheme="minorEastAsia"/>
          <w:lang w:val="fr-CA"/>
        </w:rPr>
        <w:t xml:space="preserve">, </w:t>
      </w:r>
      <w:r>
        <w:rPr>
          <w:rFonts w:eastAsiaTheme="minorEastAsia"/>
          <w:lang w:val="fr-CA"/>
        </w:rPr>
        <w:t>le rapport périodique demandé et une mise à jour, conformément à la décision</w:t>
      </w:r>
      <w:r w:rsidRPr="0097372D">
        <w:rPr>
          <w:rFonts w:eastAsiaTheme="minorEastAsia"/>
          <w:lang w:val="fr-CA"/>
        </w:rPr>
        <w:t xml:space="preserve"> 84/40(a) </w:t>
      </w:r>
      <w:r>
        <w:rPr>
          <w:rFonts w:eastAsiaTheme="minorEastAsia"/>
          <w:lang w:val="fr-CA"/>
        </w:rPr>
        <w:t>et</w:t>
      </w:r>
      <w:r w:rsidRPr="0097372D">
        <w:rPr>
          <w:rFonts w:eastAsiaTheme="minorEastAsia"/>
          <w:lang w:val="fr-CA"/>
        </w:rPr>
        <w:t xml:space="preserve"> (b).</w:t>
      </w:r>
    </w:p>
    <w:p w14:paraId="31E9B04E" w14:textId="68632423" w:rsidR="00CC3427" w:rsidRPr="00BC5440" w:rsidRDefault="00CC3427" w:rsidP="00BC5440">
      <w:pPr>
        <w:pStyle w:val="Heading1"/>
        <w:rPr>
          <w:rFonts w:eastAsiaTheme="minorEastAsia"/>
          <w:lang w:val="fr-CA"/>
        </w:rPr>
      </w:pPr>
      <w:r w:rsidRPr="00BC5440">
        <w:rPr>
          <w:rFonts w:eastAsiaTheme="minorEastAsia"/>
          <w:lang w:val="fr-CA"/>
        </w:rPr>
        <w:t>L’Accord conclus entre le Gouvernement de la Chine et le Comité exécutif établissait une production annuelle maximale admissible de BM de zéro aux fins d’utilisation réglementée pour 2015 et les années ultérieures, sauf pour les applications de quarantaine préalables à l’expédition (QPE), les matières premières et les utilisations critiques sujettes à l’approbation des Parties. Le Gouvernement de la Chine n’a pas soumis d’exemples d’utilisation critique pour la production de 2019. Le rapport de vérification de 2019 a confirmé que la production de la Chine pour des utilisations réglementées était nulle</w:t>
      </w:r>
      <w:r w:rsidR="00BC5440" w:rsidRPr="00BC5440">
        <w:rPr>
          <w:rFonts w:eastAsiaTheme="minorEastAsia"/>
          <w:lang w:val="fr-CA"/>
        </w:rPr>
        <w:t xml:space="preserve"> </w:t>
      </w:r>
      <w:r w:rsidRPr="00BC5440">
        <w:rPr>
          <w:rFonts w:eastAsiaTheme="minorEastAsia"/>
          <w:lang w:val="fr-CA"/>
        </w:rPr>
        <w:t>; le Gouvernement n’a pas signalé de consommation de BM au titre de l’Article 7 du Protocole de Montréal ni au titre du rapport de données du programme de pays.</w:t>
      </w:r>
    </w:p>
    <w:p w14:paraId="6D1D7B5F" w14:textId="77777777" w:rsidR="00CC3427" w:rsidRPr="0097372D" w:rsidRDefault="00CC3427" w:rsidP="00CC3427">
      <w:pPr>
        <w:spacing w:after="240"/>
        <w:outlineLvl w:val="0"/>
        <w:rPr>
          <w:rFonts w:eastAsiaTheme="minorEastAsia"/>
          <w:u w:val="single"/>
          <w:lang w:val="fr-CA"/>
        </w:rPr>
      </w:pPr>
      <w:r>
        <w:rPr>
          <w:rFonts w:eastAsiaTheme="minorEastAsia"/>
          <w:u w:val="single"/>
          <w:lang w:val="fr-CA"/>
        </w:rPr>
        <w:t>Vérification</w:t>
      </w:r>
      <w:r w:rsidRPr="0097372D">
        <w:rPr>
          <w:rFonts w:eastAsiaTheme="minorEastAsia"/>
          <w:u w:val="single"/>
          <w:lang w:val="fr-CA"/>
        </w:rPr>
        <w:t xml:space="preserve"> </w:t>
      </w:r>
      <w:r>
        <w:rPr>
          <w:rFonts w:eastAsiaTheme="minorEastAsia"/>
          <w:u w:val="single"/>
          <w:lang w:val="fr-CA"/>
        </w:rPr>
        <w:t>de la production de BM de</w:t>
      </w:r>
      <w:r w:rsidRPr="0097372D">
        <w:rPr>
          <w:rFonts w:eastAsiaTheme="minorEastAsia"/>
          <w:u w:val="single"/>
          <w:lang w:val="fr-CA"/>
        </w:rPr>
        <w:t xml:space="preserve"> 2019</w:t>
      </w:r>
    </w:p>
    <w:p w14:paraId="1F12DFF4" w14:textId="77777777" w:rsidR="00CC3427" w:rsidRPr="0097372D" w:rsidRDefault="00CC3427" w:rsidP="00CC3427">
      <w:pPr>
        <w:pStyle w:val="Heading1"/>
        <w:rPr>
          <w:rFonts w:eastAsiaTheme="minorEastAsia"/>
          <w:lang w:val="fr-CA"/>
        </w:rPr>
      </w:pPr>
      <w:r>
        <w:rPr>
          <w:rFonts w:eastAsiaTheme="minorEastAsia"/>
          <w:lang w:val="fr-CA"/>
        </w:rPr>
        <w:t xml:space="preserve">La vérification des données de </w:t>
      </w:r>
      <w:r w:rsidRPr="0097372D">
        <w:rPr>
          <w:rFonts w:eastAsiaTheme="minorEastAsia"/>
          <w:lang w:val="fr-CA"/>
        </w:rPr>
        <w:t xml:space="preserve">production </w:t>
      </w:r>
      <w:r>
        <w:rPr>
          <w:rFonts w:eastAsiaTheme="minorEastAsia"/>
          <w:lang w:val="fr-CA"/>
        </w:rPr>
        <w:t>de trois producteurs de BM</w:t>
      </w:r>
      <w:r w:rsidRPr="0097372D">
        <w:rPr>
          <w:rFonts w:eastAsiaTheme="minorEastAsia"/>
          <w:lang w:val="fr-CA"/>
        </w:rPr>
        <w:t xml:space="preserve"> </w:t>
      </w:r>
      <w:r>
        <w:rPr>
          <w:rFonts w:eastAsiaTheme="minorEastAsia"/>
          <w:lang w:val="fr-CA"/>
        </w:rPr>
        <w:t xml:space="preserve">a été menée en août </w:t>
      </w:r>
      <w:r w:rsidRPr="0097372D">
        <w:rPr>
          <w:rFonts w:eastAsiaTheme="minorEastAsia"/>
          <w:lang w:val="fr-CA"/>
        </w:rPr>
        <w:t xml:space="preserve">2020. </w:t>
      </w:r>
      <w:r>
        <w:rPr>
          <w:rFonts w:eastAsiaTheme="minorEastAsia"/>
          <w:lang w:val="fr-CA"/>
        </w:rPr>
        <w:t xml:space="preserve">Les données de production de </w:t>
      </w:r>
      <w:r w:rsidRPr="0097372D">
        <w:rPr>
          <w:rFonts w:eastAsiaTheme="minorEastAsia"/>
          <w:lang w:val="fr-CA"/>
        </w:rPr>
        <w:t xml:space="preserve">2019 </w:t>
      </w:r>
      <w:r>
        <w:rPr>
          <w:rFonts w:eastAsiaTheme="minorEastAsia"/>
          <w:lang w:val="fr-CA"/>
        </w:rPr>
        <w:t>ont été recueillies et vérifiées, incluant les éléments suivants : identité de l’usine</w:t>
      </w:r>
      <w:r w:rsidRPr="0097372D">
        <w:rPr>
          <w:rFonts w:eastAsiaTheme="minorEastAsia"/>
          <w:lang w:val="fr-CA"/>
        </w:rPr>
        <w:t xml:space="preserve">, </w:t>
      </w:r>
      <w:r>
        <w:rPr>
          <w:rFonts w:eastAsiaTheme="minorEastAsia"/>
          <w:lang w:val="fr-CA"/>
        </w:rPr>
        <w:t>historique de l’usine, détails sur l’exploitation de l’usine</w:t>
      </w:r>
      <w:r w:rsidRPr="0097372D">
        <w:rPr>
          <w:rFonts w:eastAsiaTheme="minorEastAsia"/>
          <w:lang w:val="fr-CA"/>
        </w:rPr>
        <w:t xml:space="preserve">, </w:t>
      </w:r>
      <w:r>
        <w:rPr>
          <w:rFonts w:eastAsiaTheme="minorEastAsia"/>
          <w:lang w:val="fr-CA"/>
        </w:rPr>
        <w:t>chiffres de vente, inventaires au début et à la fin de l’année</w:t>
      </w:r>
      <w:r w:rsidRPr="0097372D">
        <w:rPr>
          <w:rFonts w:eastAsiaTheme="minorEastAsia"/>
          <w:lang w:val="fr-CA"/>
        </w:rPr>
        <w:t xml:space="preserve">. </w:t>
      </w:r>
      <w:r>
        <w:rPr>
          <w:rFonts w:eastAsiaTheme="minorEastAsia"/>
          <w:lang w:val="fr-CA"/>
        </w:rPr>
        <w:t>L’équipe de vérificateurs a conclu qu’aucune des trois entreprise</w:t>
      </w:r>
      <w:r w:rsidRPr="0097372D">
        <w:rPr>
          <w:rFonts w:eastAsiaTheme="minorEastAsia"/>
          <w:lang w:val="fr-CA"/>
        </w:rPr>
        <w:t xml:space="preserve">s </w:t>
      </w:r>
      <w:r>
        <w:rPr>
          <w:rFonts w:eastAsiaTheme="minorEastAsia"/>
          <w:lang w:val="fr-CA"/>
        </w:rPr>
        <w:t>n’avait produit de BM</w:t>
      </w:r>
      <w:r w:rsidRPr="0097372D">
        <w:rPr>
          <w:rFonts w:eastAsiaTheme="minorEastAsia"/>
          <w:lang w:val="fr-CA"/>
        </w:rPr>
        <w:t xml:space="preserve"> </w:t>
      </w:r>
      <w:r>
        <w:rPr>
          <w:rFonts w:eastAsiaTheme="minorEastAsia"/>
          <w:lang w:val="fr-CA"/>
        </w:rPr>
        <w:t>aux fins d’utilisations réglementées</w:t>
      </w:r>
      <w:r w:rsidRPr="0097372D">
        <w:rPr>
          <w:rFonts w:eastAsiaTheme="minorEastAsia"/>
          <w:lang w:val="fr-CA"/>
        </w:rPr>
        <w:t>.</w:t>
      </w:r>
    </w:p>
    <w:p w14:paraId="3226519C" w14:textId="77777777" w:rsidR="00CC3427" w:rsidRPr="0097372D" w:rsidRDefault="00CC3427" w:rsidP="00CC3427">
      <w:pPr>
        <w:rPr>
          <w:rFonts w:eastAsiaTheme="minorEastAsia"/>
          <w:u w:val="single"/>
          <w:lang w:val="fr-CA"/>
        </w:rPr>
      </w:pPr>
      <w:r>
        <w:rPr>
          <w:rFonts w:eastAsiaTheme="minorEastAsia"/>
          <w:u w:val="single"/>
          <w:lang w:val="fr-CA"/>
        </w:rPr>
        <w:t>Rapport périodique</w:t>
      </w:r>
    </w:p>
    <w:p w14:paraId="03158978" w14:textId="77777777" w:rsidR="00CC3427" w:rsidRPr="0097372D" w:rsidRDefault="00CC3427" w:rsidP="00CC3427">
      <w:pPr>
        <w:rPr>
          <w:rFonts w:eastAsiaTheme="minorEastAsia"/>
          <w:lang w:val="fr-CA"/>
        </w:rPr>
      </w:pPr>
    </w:p>
    <w:p w14:paraId="6C47721E" w14:textId="77777777" w:rsidR="00CC3427" w:rsidRPr="0097372D" w:rsidRDefault="00CC3427" w:rsidP="00CC3427">
      <w:pPr>
        <w:pStyle w:val="Heading1"/>
        <w:rPr>
          <w:rFonts w:eastAsiaTheme="minorEastAsia"/>
          <w:lang w:val="fr-CA"/>
        </w:rPr>
      </w:pPr>
      <w:r>
        <w:rPr>
          <w:rFonts w:eastAsiaTheme="minorEastAsia"/>
          <w:lang w:val="fr-CA"/>
        </w:rPr>
        <w:t xml:space="preserve">À sa </w:t>
      </w:r>
      <w:r w:rsidRPr="0097372D">
        <w:rPr>
          <w:rFonts w:eastAsiaTheme="minorEastAsia"/>
          <w:lang w:val="fr-CA"/>
        </w:rPr>
        <w:t>82</w:t>
      </w:r>
      <w:r>
        <w:rPr>
          <w:rFonts w:eastAsiaTheme="minorEastAsia"/>
          <w:vertAlign w:val="superscript"/>
          <w:lang w:val="fr-CA"/>
        </w:rPr>
        <w:t>e</w:t>
      </w:r>
      <w:r w:rsidRPr="0097372D">
        <w:rPr>
          <w:rFonts w:eastAsiaTheme="minorEastAsia"/>
          <w:vertAlign w:val="superscript"/>
          <w:lang w:val="fr-CA"/>
        </w:rPr>
        <w:t> </w:t>
      </w:r>
      <w:r>
        <w:rPr>
          <w:rFonts w:eastAsiaTheme="minorEastAsia"/>
          <w:lang w:val="fr-CA"/>
        </w:rPr>
        <w:t>réunion</w:t>
      </w:r>
      <w:r w:rsidRPr="0097372D">
        <w:rPr>
          <w:rFonts w:eastAsiaTheme="minorEastAsia"/>
          <w:lang w:val="fr-CA"/>
        </w:rPr>
        <w:t xml:space="preserve">, </w:t>
      </w:r>
      <w:r>
        <w:rPr>
          <w:rFonts w:eastAsiaTheme="minorEastAsia"/>
          <w:lang w:val="fr-CA"/>
        </w:rPr>
        <w:t>l</w:t>
      </w:r>
      <w:r w:rsidRPr="0097372D">
        <w:rPr>
          <w:rFonts w:eastAsiaTheme="minorEastAsia"/>
          <w:lang w:val="fr-CA"/>
        </w:rPr>
        <w:t xml:space="preserve">e </w:t>
      </w:r>
      <w:r>
        <w:rPr>
          <w:rFonts w:eastAsiaTheme="minorEastAsia"/>
          <w:lang w:val="fr-CA"/>
        </w:rPr>
        <w:t>Comité exécutif</w:t>
      </w:r>
      <w:r w:rsidRPr="0097372D">
        <w:rPr>
          <w:rFonts w:eastAsiaTheme="minorEastAsia"/>
          <w:lang w:val="fr-CA"/>
        </w:rPr>
        <w:t xml:space="preserve"> </w:t>
      </w:r>
      <w:r>
        <w:rPr>
          <w:rFonts w:eastAsiaTheme="minorEastAsia"/>
          <w:lang w:val="fr-CA"/>
        </w:rPr>
        <w:t xml:space="preserve">a pris note du plan de travail pour </w:t>
      </w:r>
      <w:r w:rsidRPr="0097372D">
        <w:rPr>
          <w:rFonts w:eastAsiaTheme="minorEastAsia"/>
          <w:lang w:val="fr-CA"/>
        </w:rPr>
        <w:t xml:space="preserve">2019-2021, </w:t>
      </w:r>
      <w:r>
        <w:rPr>
          <w:rFonts w:eastAsiaTheme="minorEastAsia"/>
          <w:lang w:val="fr-CA"/>
        </w:rPr>
        <w:t xml:space="preserve">comprenant les activités à court terme portant sur la surveillance et la </w:t>
      </w:r>
      <w:r w:rsidRPr="0097372D">
        <w:rPr>
          <w:rFonts w:eastAsiaTheme="minorEastAsia"/>
          <w:lang w:val="fr-CA"/>
        </w:rPr>
        <w:t xml:space="preserve">supervision </w:t>
      </w:r>
      <w:r>
        <w:rPr>
          <w:rFonts w:eastAsiaTheme="minorEastAsia"/>
          <w:lang w:val="fr-CA"/>
        </w:rPr>
        <w:t>de la production de BM</w:t>
      </w:r>
      <w:r w:rsidRPr="0097372D">
        <w:rPr>
          <w:rFonts w:eastAsiaTheme="minorEastAsia"/>
          <w:lang w:val="fr-CA"/>
        </w:rPr>
        <w:t xml:space="preserve"> </w:t>
      </w:r>
      <w:r>
        <w:rPr>
          <w:rFonts w:eastAsiaTheme="minorEastAsia"/>
          <w:lang w:val="fr-CA"/>
        </w:rPr>
        <w:t>e</w:t>
      </w:r>
      <w:r w:rsidRPr="0097372D">
        <w:rPr>
          <w:rFonts w:eastAsiaTheme="minorEastAsia"/>
          <w:lang w:val="fr-CA"/>
        </w:rPr>
        <w:t xml:space="preserve">n 2019 to 2021, </w:t>
      </w:r>
      <w:r>
        <w:rPr>
          <w:rFonts w:eastAsiaTheme="minorEastAsia"/>
          <w:lang w:val="fr-CA"/>
        </w:rPr>
        <w:t>ainsi que les activités visant à assurer la conformité à long terme, par l’établissement et l’exécution des programmes et des outils de surveillance et de supervision du BM</w:t>
      </w:r>
      <w:r w:rsidRPr="0097372D">
        <w:rPr>
          <w:rFonts w:eastAsiaTheme="minorEastAsia"/>
          <w:lang w:val="fr-CA"/>
        </w:rPr>
        <w:t xml:space="preserve">. </w:t>
      </w:r>
    </w:p>
    <w:p w14:paraId="0BF1EB94" w14:textId="77777777" w:rsidR="00CC3427" w:rsidRPr="0097372D" w:rsidRDefault="00CC3427" w:rsidP="00CC3427">
      <w:pPr>
        <w:pStyle w:val="Heading1"/>
        <w:rPr>
          <w:rFonts w:eastAsiaTheme="minorEastAsia"/>
          <w:lang w:val="fr-CA"/>
        </w:rPr>
      </w:pPr>
      <w:r w:rsidRPr="0097372D">
        <w:rPr>
          <w:rFonts w:eastAsiaTheme="minorEastAsia"/>
          <w:lang w:val="fr-CA"/>
        </w:rPr>
        <w:t xml:space="preserve">FECO </w:t>
      </w:r>
      <w:r>
        <w:rPr>
          <w:rFonts w:eastAsiaTheme="minorEastAsia"/>
          <w:lang w:val="fr-CA"/>
        </w:rPr>
        <w:t>a mis la dernière touche au mandat de l’établissement du système d’étiquetage et de traçabilité du BM</w:t>
      </w:r>
      <w:r w:rsidRPr="0097372D">
        <w:rPr>
          <w:rFonts w:eastAsiaTheme="minorEastAsia"/>
          <w:lang w:val="fr-CA"/>
        </w:rPr>
        <w:t xml:space="preserve"> </w:t>
      </w:r>
      <w:r>
        <w:rPr>
          <w:rFonts w:eastAsiaTheme="minorEastAsia"/>
          <w:lang w:val="fr-CA"/>
        </w:rPr>
        <w:t>et a choisi le Centre d’inspection zoosanitaire, phytosanitaire et alimentaire des Douanes de Tianjin pour établir un tel système en se basant sur le système existant de compte rendu de données de production</w:t>
      </w:r>
      <w:r w:rsidRPr="0097372D">
        <w:rPr>
          <w:rFonts w:eastAsiaTheme="minorEastAsia"/>
          <w:lang w:val="fr-CA"/>
        </w:rPr>
        <w:t xml:space="preserve">. </w:t>
      </w:r>
      <w:r>
        <w:rPr>
          <w:rFonts w:eastAsiaTheme="minorEastAsia"/>
          <w:lang w:val="fr-CA"/>
        </w:rPr>
        <w:t>Chacun des conteneurs de BM</w:t>
      </w:r>
      <w:r w:rsidRPr="0097372D">
        <w:rPr>
          <w:rFonts w:eastAsiaTheme="minorEastAsia"/>
          <w:lang w:val="fr-CA"/>
        </w:rPr>
        <w:t xml:space="preserve"> </w:t>
      </w:r>
      <w:r>
        <w:rPr>
          <w:rFonts w:eastAsiaTheme="minorEastAsia"/>
          <w:lang w:val="fr-CA"/>
        </w:rPr>
        <w:t>produits par les trois producteurs de BM sera étiqueté et retracé par l’utilisation comme QPE</w:t>
      </w:r>
      <w:r w:rsidRPr="0097372D">
        <w:rPr>
          <w:rFonts w:eastAsiaTheme="minorEastAsia"/>
          <w:lang w:val="fr-CA"/>
        </w:rPr>
        <w:t xml:space="preserve"> o</w:t>
      </w:r>
      <w:r>
        <w:rPr>
          <w:rFonts w:eastAsiaTheme="minorEastAsia"/>
          <w:lang w:val="fr-CA"/>
        </w:rPr>
        <w:t>u matières premières</w:t>
      </w:r>
      <w:r w:rsidRPr="0097372D">
        <w:rPr>
          <w:rFonts w:eastAsiaTheme="minorEastAsia"/>
          <w:lang w:val="fr-CA"/>
        </w:rPr>
        <w:t xml:space="preserve">, </w:t>
      </w:r>
      <w:r>
        <w:rPr>
          <w:rFonts w:eastAsiaTheme="minorEastAsia"/>
          <w:lang w:val="fr-CA"/>
        </w:rPr>
        <w:t>établissant ainsi une traçabilité dynamique du BM</w:t>
      </w:r>
      <w:r w:rsidRPr="0097372D">
        <w:rPr>
          <w:rFonts w:eastAsiaTheme="minorEastAsia"/>
          <w:lang w:val="fr-CA"/>
        </w:rPr>
        <w:t xml:space="preserve"> </w:t>
      </w:r>
      <w:r>
        <w:rPr>
          <w:rFonts w:eastAsiaTheme="minorEastAsia"/>
          <w:lang w:val="fr-CA"/>
        </w:rPr>
        <w:t>pour un système de gestion de données sur la</w:t>
      </w:r>
      <w:r w:rsidRPr="0097372D">
        <w:rPr>
          <w:rFonts w:eastAsiaTheme="minorEastAsia"/>
          <w:lang w:val="fr-CA"/>
        </w:rPr>
        <w:t xml:space="preserve"> production </w:t>
      </w:r>
      <w:r>
        <w:rPr>
          <w:rFonts w:eastAsiaTheme="minorEastAsia"/>
          <w:lang w:val="fr-CA"/>
        </w:rPr>
        <w:t>et la consommation</w:t>
      </w:r>
      <w:r w:rsidRPr="0097372D">
        <w:rPr>
          <w:rFonts w:eastAsiaTheme="minorEastAsia"/>
          <w:lang w:val="fr-CA"/>
        </w:rPr>
        <w:t xml:space="preserve">. </w:t>
      </w:r>
      <w:r>
        <w:rPr>
          <w:rFonts w:eastAsiaTheme="minorEastAsia"/>
          <w:lang w:val="fr-CA"/>
        </w:rPr>
        <w:t xml:space="preserve">Par ailleurs, le </w:t>
      </w:r>
      <w:r w:rsidRPr="0097372D">
        <w:rPr>
          <w:rFonts w:eastAsiaTheme="minorEastAsia"/>
          <w:lang w:val="fr-CA"/>
        </w:rPr>
        <w:t xml:space="preserve">Centre </w:t>
      </w:r>
      <w:r>
        <w:rPr>
          <w:rFonts w:eastAsiaTheme="minorEastAsia"/>
          <w:lang w:val="fr-CA"/>
        </w:rPr>
        <w:t xml:space="preserve">mettra à jour la </w:t>
      </w:r>
      <w:r w:rsidRPr="0097372D">
        <w:rPr>
          <w:rFonts w:eastAsiaTheme="minorEastAsia"/>
          <w:lang w:val="fr-CA"/>
        </w:rPr>
        <w:t xml:space="preserve">publication </w:t>
      </w:r>
      <w:r>
        <w:rPr>
          <w:rFonts w:eastAsiaTheme="minorEastAsia"/>
          <w:lang w:val="fr-CA"/>
        </w:rPr>
        <w:t xml:space="preserve">sur les </w:t>
      </w:r>
      <w:r w:rsidRPr="0097372D">
        <w:rPr>
          <w:rFonts w:eastAsiaTheme="minorEastAsia"/>
          <w:lang w:val="fr-CA"/>
        </w:rPr>
        <w:t xml:space="preserve">principes </w:t>
      </w:r>
      <w:r>
        <w:rPr>
          <w:rFonts w:eastAsiaTheme="minorEastAsia"/>
          <w:lang w:val="fr-CA"/>
        </w:rPr>
        <w:t>et les techniques appliquées de traitement de quarantaine zoosanitaire et phytosanitaire, reposant sur les nouvelles recherches sur les produits de remplacement du BM</w:t>
      </w:r>
      <w:r w:rsidRPr="0097372D">
        <w:rPr>
          <w:rFonts w:eastAsiaTheme="minorEastAsia"/>
          <w:lang w:val="fr-CA"/>
        </w:rPr>
        <w:t xml:space="preserve"> </w:t>
      </w:r>
      <w:r>
        <w:rPr>
          <w:rFonts w:eastAsiaTheme="minorEastAsia"/>
          <w:lang w:val="fr-CA"/>
        </w:rPr>
        <w:t>et les méthodes d’</w:t>
      </w:r>
      <w:r w:rsidRPr="0097372D">
        <w:rPr>
          <w:rFonts w:eastAsiaTheme="minorEastAsia"/>
          <w:lang w:val="fr-CA"/>
        </w:rPr>
        <w:t>application (3</w:t>
      </w:r>
      <w:r>
        <w:rPr>
          <w:rFonts w:eastAsiaTheme="minorEastAsia"/>
          <w:lang w:val="fr-CA"/>
        </w:rPr>
        <w:t> </w:t>
      </w:r>
      <w:r w:rsidRPr="0097372D">
        <w:rPr>
          <w:rFonts w:eastAsiaTheme="minorEastAsia"/>
          <w:lang w:val="fr-CA"/>
        </w:rPr>
        <w:t>489</w:t>
      </w:r>
      <w:r>
        <w:rPr>
          <w:rFonts w:eastAsiaTheme="minorEastAsia"/>
          <w:lang w:val="fr-CA"/>
        </w:rPr>
        <w:t> </w:t>
      </w:r>
      <w:r w:rsidRPr="0097372D">
        <w:rPr>
          <w:rFonts w:eastAsiaTheme="minorEastAsia"/>
          <w:lang w:val="fr-CA"/>
        </w:rPr>
        <w:t>686</w:t>
      </w:r>
      <w:r>
        <w:rPr>
          <w:rFonts w:eastAsiaTheme="minorEastAsia"/>
          <w:lang w:val="fr-CA"/>
        </w:rPr>
        <w:t> RMB</w:t>
      </w:r>
      <w:r w:rsidRPr="0097372D">
        <w:rPr>
          <w:rFonts w:eastAsiaTheme="minorEastAsia"/>
          <w:lang w:val="fr-CA"/>
        </w:rPr>
        <w:t>).</w:t>
      </w:r>
    </w:p>
    <w:p w14:paraId="5AE74EED" w14:textId="74B45242" w:rsidR="00CC3427" w:rsidRPr="0097372D" w:rsidRDefault="00CC3427" w:rsidP="00CC3427">
      <w:pPr>
        <w:pStyle w:val="Heading1"/>
        <w:rPr>
          <w:rFonts w:eastAsiaTheme="minorEastAsia"/>
          <w:lang w:val="fr-CA"/>
        </w:rPr>
      </w:pPr>
      <w:r>
        <w:rPr>
          <w:rFonts w:eastAsiaTheme="minorEastAsia"/>
          <w:lang w:val="fr-CA"/>
        </w:rPr>
        <w:t xml:space="preserve">La collecte de données sur les usages du BM comme matières premières pour </w:t>
      </w:r>
      <w:r w:rsidRPr="0097372D">
        <w:rPr>
          <w:rFonts w:eastAsiaTheme="minorEastAsia"/>
          <w:lang w:val="fr-CA"/>
        </w:rPr>
        <w:t xml:space="preserve">2017-2018 </w:t>
      </w:r>
      <w:r>
        <w:rPr>
          <w:rFonts w:eastAsiaTheme="minorEastAsia"/>
          <w:lang w:val="fr-CA"/>
        </w:rPr>
        <w:t xml:space="preserve">a été retardée en raison de la pandémie de </w:t>
      </w:r>
      <w:r w:rsidRPr="0097372D">
        <w:rPr>
          <w:rFonts w:eastAsiaTheme="minorEastAsia"/>
          <w:lang w:val="fr-CA"/>
        </w:rPr>
        <w:t>COVID-19</w:t>
      </w:r>
      <w:r w:rsidR="00BC5440">
        <w:rPr>
          <w:rFonts w:eastAsiaTheme="minorEastAsia"/>
          <w:lang w:val="fr-CA"/>
        </w:rPr>
        <w:t xml:space="preserve"> </w:t>
      </w:r>
      <w:r w:rsidRPr="0097372D">
        <w:rPr>
          <w:rFonts w:eastAsiaTheme="minorEastAsia"/>
          <w:lang w:val="fr-CA"/>
        </w:rPr>
        <w:t xml:space="preserve">; </w:t>
      </w:r>
      <w:r>
        <w:rPr>
          <w:rFonts w:eastAsiaTheme="minorEastAsia"/>
          <w:lang w:val="fr-CA"/>
        </w:rPr>
        <w:t xml:space="preserve">les données pour la période </w:t>
      </w:r>
      <w:r w:rsidRPr="0097372D">
        <w:rPr>
          <w:rFonts w:eastAsiaTheme="minorEastAsia"/>
          <w:lang w:val="fr-CA"/>
        </w:rPr>
        <w:t xml:space="preserve">2017-2019 </w:t>
      </w:r>
      <w:r>
        <w:rPr>
          <w:rFonts w:eastAsiaTheme="minorEastAsia"/>
          <w:lang w:val="fr-CA"/>
        </w:rPr>
        <w:t xml:space="preserve">sont en cours de </w:t>
      </w:r>
      <w:r>
        <w:rPr>
          <w:rFonts w:eastAsiaTheme="minorEastAsia"/>
          <w:lang w:val="fr-CA"/>
        </w:rPr>
        <w:lastRenderedPageBreak/>
        <w:t xml:space="preserve">collecte et seront combinées avec des données de </w:t>
      </w:r>
      <w:r w:rsidRPr="0097372D">
        <w:rPr>
          <w:rFonts w:eastAsiaTheme="minorEastAsia"/>
          <w:lang w:val="fr-CA"/>
        </w:rPr>
        <w:t xml:space="preserve">2020 </w:t>
      </w:r>
      <w:r>
        <w:rPr>
          <w:rFonts w:eastAsiaTheme="minorEastAsia"/>
          <w:lang w:val="fr-CA"/>
        </w:rPr>
        <w:t xml:space="preserve">pour un rapport de collecte pour la période </w:t>
      </w:r>
      <w:r w:rsidRPr="0097372D">
        <w:rPr>
          <w:rFonts w:eastAsiaTheme="minorEastAsia"/>
          <w:lang w:val="fr-CA"/>
        </w:rPr>
        <w:t xml:space="preserve">2017-2020 </w:t>
      </w:r>
      <w:r>
        <w:rPr>
          <w:rFonts w:eastAsiaTheme="minorEastAsia"/>
          <w:lang w:val="fr-CA"/>
        </w:rPr>
        <w:t xml:space="preserve">qui sera terminé en </w:t>
      </w:r>
      <w:r w:rsidRPr="0097372D">
        <w:rPr>
          <w:rFonts w:eastAsiaTheme="minorEastAsia"/>
          <w:lang w:val="fr-CA"/>
        </w:rPr>
        <w:t xml:space="preserve">2021. </w:t>
      </w:r>
    </w:p>
    <w:p w14:paraId="76CBC2D8" w14:textId="77777777" w:rsidR="00CC3427" w:rsidRPr="0097372D" w:rsidRDefault="00CC3427" w:rsidP="00CC3427">
      <w:pPr>
        <w:keepNext/>
        <w:keepLines/>
        <w:widowControl w:val="0"/>
        <w:spacing w:after="240"/>
        <w:outlineLvl w:val="0"/>
        <w:rPr>
          <w:rFonts w:eastAsiaTheme="minorEastAsia"/>
          <w:b/>
          <w:noProof/>
          <w:lang w:val="fr-CA"/>
        </w:rPr>
      </w:pPr>
      <w:r>
        <w:rPr>
          <w:rFonts w:eastAsiaTheme="minorEastAsia"/>
          <w:b/>
          <w:noProof/>
          <w:lang w:val="fr-CA"/>
        </w:rPr>
        <w:t>Observations du Secrétariat</w:t>
      </w:r>
    </w:p>
    <w:p w14:paraId="01FED621" w14:textId="77777777" w:rsidR="00CC3427" w:rsidRPr="0097372D" w:rsidRDefault="00CC3427" w:rsidP="00CC3427">
      <w:pPr>
        <w:pStyle w:val="Heading1"/>
        <w:keepNext/>
        <w:keepLines/>
        <w:widowControl w:val="0"/>
        <w:rPr>
          <w:rFonts w:eastAsiaTheme="minorEastAsia"/>
          <w:lang w:val="fr-CA"/>
        </w:rPr>
      </w:pPr>
      <w:r>
        <w:rPr>
          <w:lang w:val="fr-CA"/>
        </w:rPr>
        <w:t>Aucune</w:t>
      </w:r>
      <w:r w:rsidRPr="0097372D">
        <w:rPr>
          <w:lang w:val="fr-CA"/>
        </w:rPr>
        <w:t xml:space="preserve"> information </w:t>
      </w:r>
      <w:r>
        <w:rPr>
          <w:lang w:val="fr-CA"/>
        </w:rPr>
        <w:t xml:space="preserve">n’était disponible sur le cas de production illégale de BM en </w:t>
      </w:r>
      <w:r w:rsidRPr="0097372D">
        <w:rPr>
          <w:lang w:val="fr-CA"/>
        </w:rPr>
        <w:t>2014</w:t>
      </w:r>
      <w:r>
        <w:rPr>
          <w:lang w:val="fr-CA"/>
        </w:rPr>
        <w:t xml:space="preserve">, mentionné dans le </w:t>
      </w:r>
      <w:r w:rsidRPr="0097372D">
        <w:rPr>
          <w:lang w:val="fr-CA"/>
        </w:rPr>
        <w:t>document UNEP/OzL.Pro/ExCom/84/22/Add.1 (</w:t>
      </w:r>
      <w:r>
        <w:rPr>
          <w:lang w:val="fr-CA"/>
        </w:rPr>
        <w:t>décision</w:t>
      </w:r>
      <w:r w:rsidRPr="0097372D">
        <w:rPr>
          <w:lang w:val="fr-CA"/>
        </w:rPr>
        <w:t> 84/40(c)).</w:t>
      </w:r>
      <w:r>
        <w:rPr>
          <w:lang w:val="fr-CA"/>
        </w:rPr>
        <w:t xml:space="preserve"> Par ailleurs, aucune autre </w:t>
      </w:r>
      <w:r w:rsidRPr="0097372D">
        <w:rPr>
          <w:lang w:val="fr-CA"/>
        </w:rPr>
        <w:t xml:space="preserve">information </w:t>
      </w:r>
      <w:r>
        <w:rPr>
          <w:lang w:val="fr-CA"/>
        </w:rPr>
        <w:t xml:space="preserve">n’était disponible sur la possibilité d’établir des stations de surveillance atmosphérique dans les provinces de </w:t>
      </w:r>
      <w:r w:rsidRPr="0097372D">
        <w:rPr>
          <w:rFonts w:eastAsiaTheme="minorEastAsia"/>
          <w:lang w:val="fr-CA"/>
        </w:rPr>
        <w:t xml:space="preserve">Jiangsu, Shandong, Shanghai </w:t>
      </w:r>
      <w:r>
        <w:rPr>
          <w:rFonts w:eastAsiaTheme="minorEastAsia"/>
          <w:lang w:val="fr-CA"/>
        </w:rPr>
        <w:t>et</w:t>
      </w:r>
      <w:r w:rsidRPr="0097372D">
        <w:rPr>
          <w:rFonts w:eastAsiaTheme="minorEastAsia"/>
          <w:lang w:val="fr-CA"/>
        </w:rPr>
        <w:t xml:space="preserve"> Zhejiang, </w:t>
      </w:r>
      <w:r w:rsidRPr="00A463BA">
        <w:rPr>
          <w:rFonts w:eastAsiaTheme="minorEastAsia"/>
          <w:lang w:val="fr-CA"/>
        </w:rPr>
        <w:t xml:space="preserve">où </w:t>
      </w:r>
      <w:r>
        <w:rPr>
          <w:rFonts w:eastAsiaTheme="minorEastAsia"/>
          <w:lang w:val="fr-CA"/>
        </w:rPr>
        <w:t>était concentrée l’utilisation du BM comme matière première</w:t>
      </w:r>
      <w:r w:rsidRPr="0097372D">
        <w:rPr>
          <w:rFonts w:eastAsiaTheme="minorEastAsia"/>
          <w:lang w:val="fr-CA"/>
        </w:rPr>
        <w:t xml:space="preserve">, </w:t>
      </w:r>
      <w:r>
        <w:rPr>
          <w:rFonts w:eastAsiaTheme="minorEastAsia"/>
          <w:lang w:val="fr-CA"/>
        </w:rPr>
        <w:t xml:space="preserve">et requérant des </w:t>
      </w:r>
      <w:r w:rsidRPr="0097372D">
        <w:rPr>
          <w:rFonts w:eastAsiaTheme="minorEastAsia"/>
          <w:lang w:val="fr-CA"/>
        </w:rPr>
        <w:t xml:space="preserve">instruments </w:t>
      </w:r>
      <w:r>
        <w:rPr>
          <w:rFonts w:eastAsiaTheme="minorEastAsia"/>
          <w:lang w:val="fr-CA"/>
        </w:rPr>
        <w:t>pour mesurer les quantités de BM dans l’atmosphère</w:t>
      </w:r>
      <w:r w:rsidRPr="0097372D">
        <w:rPr>
          <w:rFonts w:eastAsiaTheme="minorEastAsia"/>
          <w:lang w:val="fr-CA"/>
        </w:rPr>
        <w:t>.</w:t>
      </w:r>
    </w:p>
    <w:p w14:paraId="286954A1" w14:textId="77777777" w:rsidR="00CC3427" w:rsidRPr="0097372D" w:rsidRDefault="00CC3427" w:rsidP="00CC3427">
      <w:pPr>
        <w:rPr>
          <w:rFonts w:eastAsiaTheme="minorEastAsia"/>
          <w:b/>
          <w:lang w:val="fr-CA"/>
        </w:rPr>
      </w:pPr>
      <w:r w:rsidRPr="0097372D">
        <w:rPr>
          <w:rFonts w:eastAsiaTheme="minorEastAsia"/>
          <w:b/>
          <w:lang w:val="fr-CA"/>
        </w:rPr>
        <w:t>Recomm</w:t>
      </w:r>
      <w:r>
        <w:rPr>
          <w:rFonts w:eastAsiaTheme="minorEastAsia"/>
          <w:b/>
          <w:lang w:val="fr-CA"/>
        </w:rPr>
        <w:t>a</w:t>
      </w:r>
      <w:r w:rsidRPr="0097372D">
        <w:rPr>
          <w:rFonts w:eastAsiaTheme="minorEastAsia"/>
          <w:b/>
          <w:lang w:val="fr-CA"/>
        </w:rPr>
        <w:t>ndation</w:t>
      </w:r>
    </w:p>
    <w:p w14:paraId="6BE07782" w14:textId="77777777" w:rsidR="00CC3427" w:rsidRPr="0097372D" w:rsidRDefault="00CC3427" w:rsidP="00CC3427">
      <w:pPr>
        <w:rPr>
          <w:rFonts w:eastAsiaTheme="minorEastAsia"/>
          <w:lang w:val="fr-CA"/>
        </w:rPr>
      </w:pPr>
    </w:p>
    <w:p w14:paraId="1D55B0F6" w14:textId="77777777" w:rsidR="00CC3427" w:rsidRPr="0097372D" w:rsidRDefault="00CC3427" w:rsidP="00CC3427">
      <w:pPr>
        <w:pStyle w:val="Heading1"/>
        <w:rPr>
          <w:rFonts w:eastAsiaTheme="minorEastAsia"/>
          <w:lang w:val="fr-CA"/>
        </w:rPr>
      </w:pPr>
      <w:r>
        <w:rPr>
          <w:rFonts w:eastAsiaTheme="minorEastAsia"/>
          <w:lang w:val="fr-CA"/>
        </w:rPr>
        <w:t>L</w:t>
      </w:r>
      <w:r w:rsidRPr="0097372D">
        <w:rPr>
          <w:rFonts w:eastAsiaTheme="minorEastAsia"/>
          <w:lang w:val="fr-CA"/>
        </w:rPr>
        <w:t xml:space="preserve">e </w:t>
      </w:r>
      <w:r>
        <w:rPr>
          <w:rFonts w:eastAsiaTheme="minorEastAsia"/>
          <w:lang w:val="fr-CA"/>
        </w:rPr>
        <w:t>Comité exécutif</w:t>
      </w:r>
      <w:r w:rsidRPr="0097372D">
        <w:rPr>
          <w:rFonts w:eastAsiaTheme="minorEastAsia"/>
          <w:lang w:val="fr-CA"/>
        </w:rPr>
        <w:t xml:space="preserve"> </w:t>
      </w:r>
      <w:r>
        <w:rPr>
          <w:rFonts w:eastAsiaTheme="minorEastAsia"/>
          <w:lang w:val="fr-CA"/>
        </w:rPr>
        <w:t>est invité à envisager de prendre note du rapport sur l’état de la mise en œuvre du plan sectoriel</w:t>
      </w:r>
      <w:r w:rsidRPr="0097372D">
        <w:rPr>
          <w:rFonts w:eastAsiaTheme="minorEastAsia"/>
          <w:lang w:val="fr-CA"/>
        </w:rPr>
        <w:t xml:space="preserve"> </w:t>
      </w:r>
      <w:r>
        <w:rPr>
          <w:rFonts w:eastAsiaTheme="minorEastAsia"/>
          <w:lang w:val="fr-CA"/>
        </w:rPr>
        <w:t xml:space="preserve">pour l’élimination de la production de bromure de méthyle </w:t>
      </w:r>
      <w:r w:rsidRPr="0097372D">
        <w:rPr>
          <w:rFonts w:eastAsiaTheme="minorEastAsia"/>
          <w:lang w:val="fr-CA"/>
        </w:rPr>
        <w:t>(B</w:t>
      </w:r>
      <w:r>
        <w:rPr>
          <w:rFonts w:eastAsiaTheme="minorEastAsia"/>
          <w:lang w:val="fr-CA"/>
        </w:rPr>
        <w:t>M</w:t>
      </w:r>
      <w:r w:rsidRPr="0097372D">
        <w:rPr>
          <w:rFonts w:eastAsiaTheme="minorEastAsia"/>
          <w:lang w:val="fr-CA"/>
        </w:rPr>
        <w:t xml:space="preserve">) </w:t>
      </w:r>
      <w:r>
        <w:rPr>
          <w:rFonts w:eastAsiaTheme="minorEastAsia"/>
          <w:lang w:val="fr-CA"/>
        </w:rPr>
        <w:t>e</w:t>
      </w:r>
      <w:r w:rsidRPr="0097372D">
        <w:rPr>
          <w:rFonts w:eastAsiaTheme="minorEastAsia"/>
          <w:lang w:val="fr-CA"/>
        </w:rPr>
        <w:t xml:space="preserve">n </w:t>
      </w:r>
      <w:r>
        <w:rPr>
          <w:rFonts w:eastAsiaTheme="minorEastAsia"/>
          <w:lang w:val="fr-CA"/>
        </w:rPr>
        <w:t>Chine</w:t>
      </w:r>
      <w:r w:rsidRPr="0097372D">
        <w:rPr>
          <w:rFonts w:eastAsiaTheme="minorEastAsia"/>
          <w:lang w:val="fr-CA"/>
        </w:rPr>
        <w:t xml:space="preserve">, </w:t>
      </w:r>
      <w:r>
        <w:rPr>
          <w:rFonts w:eastAsiaTheme="minorEastAsia"/>
          <w:lang w:val="fr-CA"/>
        </w:rPr>
        <w:t>ainsi que de la mise à jour sur le système d’étiquetage et de traçabilité du BM soumise par l’ONUDI</w:t>
      </w:r>
      <w:r w:rsidRPr="0097372D">
        <w:rPr>
          <w:rFonts w:eastAsiaTheme="minorEastAsia"/>
          <w:lang w:val="fr-CA"/>
        </w:rPr>
        <w:t xml:space="preserve">, </w:t>
      </w:r>
      <w:r>
        <w:rPr>
          <w:rFonts w:eastAsiaTheme="minorEastAsia"/>
          <w:lang w:val="fr-CA"/>
        </w:rPr>
        <w:t xml:space="preserve">et figurant dans le </w:t>
      </w:r>
      <w:r w:rsidRPr="0097372D">
        <w:rPr>
          <w:rFonts w:eastAsiaTheme="minorEastAsia"/>
          <w:lang w:val="fr-CA"/>
        </w:rPr>
        <w:t xml:space="preserve">document UNEP/OzL.Pro/ExCom/86/21/Add.1. </w:t>
      </w:r>
    </w:p>
    <w:p w14:paraId="16CE62D0" w14:textId="77777777" w:rsidR="00720BA7" w:rsidRPr="00CC3427" w:rsidRDefault="00720BA7">
      <w:pPr>
        <w:rPr>
          <w:b/>
          <w:lang w:val="fr-CA"/>
        </w:rPr>
      </w:pPr>
    </w:p>
    <w:sectPr w:rsidR="00720BA7" w:rsidRPr="00CC3427">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A621" w14:textId="77777777" w:rsidR="00E10085" w:rsidRDefault="00E10085">
      <w:r>
        <w:separator/>
      </w:r>
    </w:p>
  </w:endnote>
  <w:endnote w:type="continuationSeparator" w:id="0">
    <w:p w14:paraId="31C11B99" w14:textId="77777777" w:rsidR="00E10085" w:rsidRDefault="00E1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9A07" w14:textId="3365C6E0" w:rsidR="00DD32D0" w:rsidRDefault="00DD32D0">
    <w:pPr>
      <w:jc w:val="center"/>
    </w:pPr>
    <w:r>
      <w:fldChar w:fldCharType="begin"/>
    </w:r>
    <w:r>
      <w:instrText xml:space="preserve"> PAGE </w:instrText>
    </w:r>
    <w:r>
      <w:fldChar w:fldCharType="separate"/>
    </w:r>
    <w:r w:rsidR="00A10ACC">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03A0" w14:textId="5FFD699A" w:rsidR="00DD32D0" w:rsidRDefault="00DD32D0">
    <w:pPr>
      <w:jc w:val="center"/>
    </w:pPr>
    <w:r>
      <w:fldChar w:fldCharType="begin"/>
    </w:r>
    <w:r>
      <w:instrText xml:space="preserve"> PAGE </w:instrText>
    </w:r>
    <w:r>
      <w:fldChar w:fldCharType="separate"/>
    </w:r>
    <w:r w:rsidR="00A10ACC">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5737" w14:textId="77777777" w:rsidR="00DD32D0" w:rsidRDefault="00DD32D0">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20D32199" w14:textId="71148EC6" w:rsidR="00DD32D0" w:rsidRPr="0053421C" w:rsidRDefault="00DD32D0" w:rsidP="0053421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D32DD" w14:textId="77777777" w:rsidR="00E10085" w:rsidRDefault="00E10085">
      <w:r>
        <w:separator/>
      </w:r>
    </w:p>
  </w:footnote>
  <w:footnote w:type="continuationSeparator" w:id="0">
    <w:p w14:paraId="1EE88A81" w14:textId="77777777" w:rsidR="00E10085" w:rsidRDefault="00E10085">
      <w:r>
        <w:continuationSeparator/>
      </w:r>
    </w:p>
  </w:footnote>
  <w:footnote w:id="1">
    <w:p w14:paraId="11783245" w14:textId="0891F846" w:rsidR="00DD32D0" w:rsidRDefault="00DD32D0">
      <w:pPr>
        <w:pStyle w:val="FootnoteText"/>
        <w:rPr>
          <w:lang w:val="fr-CA"/>
        </w:rPr>
      </w:pPr>
      <w:r>
        <w:rPr>
          <w:rStyle w:val="FootnoteReference"/>
        </w:rPr>
        <w:footnoteRef/>
      </w:r>
      <w:r w:rsidRPr="0053421C">
        <w:rPr>
          <w:lang w:val="fr-CA"/>
        </w:rPr>
        <w:t xml:space="preserve"> </w:t>
      </w:r>
      <w:r w:rsidRPr="00A43AB8">
        <w:rPr>
          <w:lang w:val="fr-CA"/>
        </w:rPr>
        <w:t>A cause du coronavirus (COVID-19)</w:t>
      </w:r>
    </w:p>
    <w:p w14:paraId="62EE3A98" w14:textId="77777777" w:rsidR="00E3303D" w:rsidRPr="0053421C" w:rsidRDefault="00E3303D">
      <w:pPr>
        <w:pStyle w:val="FootnoteText"/>
        <w:rPr>
          <w:lang w:val="fr-CA"/>
        </w:rPr>
      </w:pPr>
    </w:p>
  </w:footnote>
  <w:footnote w:id="2">
    <w:p w14:paraId="29187FC2" w14:textId="2BF5C7D9" w:rsidR="00DD32D0" w:rsidRPr="00731A32" w:rsidRDefault="00DD32D0" w:rsidP="0029763D">
      <w:pPr>
        <w:pStyle w:val="FootnoteText"/>
        <w:rPr>
          <w:lang w:val="fr-CA"/>
        </w:rPr>
      </w:pPr>
      <w:r>
        <w:rPr>
          <w:rStyle w:val="FootnoteReference"/>
        </w:rPr>
        <w:footnoteRef/>
      </w:r>
      <w:r w:rsidRPr="0070425F">
        <w:rPr>
          <w:lang w:val="fr-CA"/>
        </w:rPr>
        <w:t xml:space="preserve"> </w:t>
      </w:r>
      <w:r w:rsidRPr="00731A32">
        <w:rPr>
          <w:lang w:val="fr-CA"/>
        </w:rPr>
        <w:t>Lignes 1.3.1, 1.3.2, 1.3.3, 1.3.4 et 1.3.5 de l’Appendice 2</w:t>
      </w:r>
      <w:r w:rsidRPr="00731A32">
        <w:rPr>
          <w:lang w:val="fr-CA"/>
        </w:rPr>
        <w:noBreakHyphen/>
        <w:t>A de l’Accord.</w:t>
      </w:r>
    </w:p>
  </w:footnote>
  <w:footnote w:id="3">
    <w:p w14:paraId="2BE9F41E" w14:textId="0D1EC4F0" w:rsidR="00DD32D0" w:rsidRPr="008645AE" w:rsidRDefault="00DD32D0" w:rsidP="0029763D">
      <w:pPr>
        <w:pStyle w:val="FootnoteText"/>
        <w:rPr>
          <w:lang w:val="fr-CA"/>
        </w:rPr>
      </w:pPr>
      <w:r w:rsidRPr="00D1617B">
        <w:rPr>
          <w:rStyle w:val="FootnoteReference"/>
        </w:rPr>
        <w:footnoteRef/>
      </w:r>
      <w:r w:rsidRPr="0070425F">
        <w:rPr>
          <w:lang w:val="fr-CA"/>
        </w:rPr>
        <w:t xml:space="preserve"> </w:t>
      </w:r>
      <w:r>
        <w:rPr>
          <w:lang w:val="fr-CA"/>
        </w:rPr>
        <w:t>Les</w:t>
      </w:r>
      <w:r w:rsidRPr="008645AE">
        <w:rPr>
          <w:lang w:val="fr-CA"/>
        </w:rPr>
        <w:t xml:space="preserve"> rapport</w:t>
      </w:r>
      <w:r>
        <w:rPr>
          <w:lang w:val="fr-CA"/>
        </w:rPr>
        <w:t>s</w:t>
      </w:r>
      <w:r w:rsidRPr="008645AE">
        <w:rPr>
          <w:lang w:val="fr-CA"/>
        </w:rPr>
        <w:t xml:space="preserve"> périodique</w:t>
      </w:r>
      <w:r>
        <w:rPr>
          <w:lang w:val="fr-CA"/>
        </w:rPr>
        <w:t>s</w:t>
      </w:r>
      <w:r w:rsidRPr="008645AE">
        <w:rPr>
          <w:lang w:val="fr-CA"/>
        </w:rPr>
        <w:t xml:space="preserve"> sur les plans sectoriels concernant l</w:t>
      </w:r>
      <w:r>
        <w:rPr>
          <w:lang w:val="fr-CA"/>
        </w:rPr>
        <w:t>es</w:t>
      </w:r>
      <w:r w:rsidRPr="008645AE">
        <w:rPr>
          <w:lang w:val="fr-CA"/>
        </w:rPr>
        <w:t xml:space="preserve"> </w:t>
      </w:r>
      <w:r>
        <w:rPr>
          <w:lang w:val="fr-CA"/>
        </w:rPr>
        <w:t>mousses</w:t>
      </w:r>
      <w:r w:rsidRPr="008645AE">
        <w:rPr>
          <w:lang w:val="fr-CA"/>
        </w:rPr>
        <w:t xml:space="preserve"> XPS, l</w:t>
      </w:r>
      <w:r>
        <w:rPr>
          <w:lang w:val="fr-CA"/>
        </w:rPr>
        <w:t>es</w:t>
      </w:r>
      <w:r w:rsidRPr="008645AE">
        <w:rPr>
          <w:lang w:val="fr-CA"/>
        </w:rPr>
        <w:t xml:space="preserve"> </w:t>
      </w:r>
      <w:r>
        <w:rPr>
          <w:lang w:val="fr-CA"/>
        </w:rPr>
        <w:t>mousses</w:t>
      </w:r>
      <w:r w:rsidRPr="008645AE">
        <w:rPr>
          <w:lang w:val="fr-CA"/>
        </w:rPr>
        <w:t xml:space="preserve"> PU, l’ICR, les solvants, et </w:t>
      </w:r>
      <w:r>
        <w:rPr>
          <w:lang w:val="fr-CA"/>
        </w:rPr>
        <w:t>l’entretien, ne sont pas inclus, car la phase I pour ces secteurs est déjà achevée</w:t>
      </w:r>
      <w:r w:rsidRPr="008645AE">
        <w:rPr>
          <w:lang w:val="fr-CA"/>
        </w:rPr>
        <w:t>.</w:t>
      </w:r>
    </w:p>
  </w:footnote>
  <w:footnote w:id="4">
    <w:p w14:paraId="4946F70B" w14:textId="2CD7E2D0" w:rsidR="00DD32D0" w:rsidRPr="00A3748F" w:rsidRDefault="00DD32D0" w:rsidP="0029763D">
      <w:pPr>
        <w:pStyle w:val="FootnoteText"/>
        <w:rPr>
          <w:lang w:val="fr-CA"/>
        </w:rPr>
      </w:pPr>
      <w:r>
        <w:rPr>
          <w:rStyle w:val="FootnoteReference"/>
        </w:rPr>
        <w:footnoteRef/>
      </w:r>
      <w:r w:rsidRPr="0070425F">
        <w:rPr>
          <w:lang w:val="fr-CA"/>
        </w:rPr>
        <w:t xml:space="preserve"> </w:t>
      </w:r>
      <w:r w:rsidRPr="00A3748F">
        <w:rPr>
          <w:lang w:val="fr-CA"/>
        </w:rPr>
        <w:t>À la 84</w:t>
      </w:r>
      <w:r w:rsidRPr="00A3748F">
        <w:rPr>
          <w:vertAlign w:val="superscript"/>
          <w:lang w:val="fr-CA"/>
        </w:rPr>
        <w:t>e</w:t>
      </w:r>
      <w:r w:rsidRPr="00A3748F">
        <w:rPr>
          <w:lang w:val="fr-CA"/>
        </w:rPr>
        <w:t> réunion, i</w:t>
      </w:r>
      <w:r>
        <w:rPr>
          <w:lang w:val="fr-CA"/>
        </w:rPr>
        <w:t xml:space="preserve">l a été indiqué qu’en date d’août 2019, </w:t>
      </w:r>
      <w:r w:rsidRPr="00A3748F">
        <w:rPr>
          <w:lang w:val="fr-CA"/>
        </w:rPr>
        <w:t>178</w:t>
      </w:r>
      <w:r>
        <w:rPr>
          <w:lang w:val="fr-CA"/>
        </w:rPr>
        <w:t> </w:t>
      </w:r>
      <w:r w:rsidRPr="00A3748F">
        <w:rPr>
          <w:lang w:val="fr-CA"/>
        </w:rPr>
        <w:t>163 </w:t>
      </w:r>
      <w:r>
        <w:rPr>
          <w:lang w:val="fr-CA"/>
        </w:rPr>
        <w:t xml:space="preserve">unités bi-bloc à base de </w:t>
      </w:r>
      <w:r w:rsidRPr="00A3748F">
        <w:rPr>
          <w:lang w:val="fr-CA"/>
        </w:rPr>
        <w:t xml:space="preserve">R-290 </w:t>
      </w:r>
      <w:r>
        <w:rPr>
          <w:lang w:val="fr-CA"/>
        </w:rPr>
        <w:t xml:space="preserve">et </w:t>
      </w:r>
      <w:r w:rsidRPr="00A3748F">
        <w:rPr>
          <w:lang w:val="fr-CA"/>
        </w:rPr>
        <w:t>550</w:t>
      </w:r>
      <w:r>
        <w:rPr>
          <w:lang w:val="fr-CA"/>
        </w:rPr>
        <w:t> </w:t>
      </w:r>
      <w:r w:rsidRPr="00A3748F">
        <w:rPr>
          <w:lang w:val="fr-CA"/>
        </w:rPr>
        <w:t>000</w:t>
      </w:r>
      <w:r>
        <w:rPr>
          <w:lang w:val="fr-CA"/>
        </w:rPr>
        <w:t xml:space="preserve"> unités à base de </w:t>
      </w:r>
      <w:r w:rsidRPr="00A3748F">
        <w:rPr>
          <w:lang w:val="fr-CA"/>
        </w:rPr>
        <w:t xml:space="preserve">R-290 </w:t>
      </w:r>
      <w:r>
        <w:rPr>
          <w:lang w:val="fr-CA"/>
        </w:rPr>
        <w:t>scellés en usine avaient été fabriquées</w:t>
      </w:r>
      <w:r w:rsidRPr="00A3748F">
        <w:rPr>
          <w:lang w:val="fr-CA"/>
        </w:rPr>
        <w:t xml:space="preserve">. </w:t>
      </w:r>
      <w:r>
        <w:rPr>
          <w:lang w:val="fr-CA"/>
        </w:rPr>
        <w:t xml:space="preserve">Ces chiffres ont été mis à jour à la suite de la vérification </w:t>
      </w:r>
      <w:r w:rsidRPr="00A379D7">
        <w:rPr>
          <w:lang w:val="fr-CA"/>
        </w:rPr>
        <w:t xml:space="preserve">entreprise </w:t>
      </w:r>
      <w:r>
        <w:rPr>
          <w:lang w:val="fr-CA"/>
        </w:rPr>
        <w:t xml:space="preserve">par une tierce partie pour la </w:t>
      </w:r>
      <w:r w:rsidRPr="00A3748F">
        <w:rPr>
          <w:lang w:val="fr-CA"/>
        </w:rPr>
        <w:t>86</w:t>
      </w:r>
      <w:r>
        <w:rPr>
          <w:vertAlign w:val="superscript"/>
          <w:lang w:val="fr-CA"/>
        </w:rPr>
        <w:t>e</w:t>
      </w:r>
      <w:r w:rsidRPr="00A3748F">
        <w:rPr>
          <w:lang w:val="fr-CA"/>
        </w:rPr>
        <w:t xml:space="preserve"> réunion. </w:t>
      </w:r>
    </w:p>
  </w:footnote>
  <w:footnote w:id="5">
    <w:p w14:paraId="42803A29" w14:textId="27BFC7C6" w:rsidR="00DD32D0" w:rsidRPr="00A3748F" w:rsidRDefault="00DD32D0" w:rsidP="0029763D">
      <w:pPr>
        <w:pStyle w:val="FootnoteText"/>
        <w:rPr>
          <w:lang w:val="fr-CA"/>
        </w:rPr>
      </w:pPr>
      <w:r w:rsidRPr="00A3748F">
        <w:rPr>
          <w:rStyle w:val="FootnoteReference"/>
          <w:lang w:val="fr-CA"/>
        </w:rPr>
        <w:footnoteRef/>
      </w:r>
      <w:r w:rsidRPr="00A3748F">
        <w:rPr>
          <w:lang w:val="fr-CA"/>
        </w:rPr>
        <w:t xml:space="preserve"> </w:t>
      </w:r>
      <w:r>
        <w:rPr>
          <w:lang w:val="fr-CA"/>
        </w:rPr>
        <w:t>L’</w:t>
      </w:r>
      <w:r w:rsidRPr="00A3748F">
        <w:rPr>
          <w:lang w:val="fr-CA"/>
        </w:rPr>
        <w:t xml:space="preserve">IOC </w:t>
      </w:r>
      <w:r>
        <w:rPr>
          <w:lang w:val="fr-CA"/>
        </w:rPr>
        <w:t xml:space="preserve">ne sera fourni qu’en fonction de la vente de climatiseurs bi-bloc à base de </w:t>
      </w:r>
      <w:r w:rsidRPr="00A3748F">
        <w:rPr>
          <w:lang w:val="fr-CA"/>
        </w:rPr>
        <w:t>R-290</w:t>
      </w:r>
      <w:r>
        <w:rPr>
          <w:lang w:val="fr-CA"/>
        </w:rPr>
        <w:t xml:space="preserve"> à la </w:t>
      </w:r>
      <w:r w:rsidRPr="00A3748F">
        <w:rPr>
          <w:lang w:val="fr-CA"/>
        </w:rPr>
        <w:t xml:space="preserve">Chine </w:t>
      </w:r>
      <w:r>
        <w:rPr>
          <w:lang w:val="fr-CA"/>
        </w:rPr>
        <w:t>et à d’autres pays visés à l’</w:t>
      </w:r>
      <w:r w:rsidRPr="00A3748F">
        <w:rPr>
          <w:lang w:val="fr-CA"/>
        </w:rPr>
        <w:t xml:space="preserve">Article 5. </w:t>
      </w:r>
      <w:r>
        <w:rPr>
          <w:lang w:val="fr-CA"/>
        </w:rPr>
        <w:t xml:space="preserve">Les </w:t>
      </w:r>
      <w:r w:rsidRPr="00A3748F">
        <w:rPr>
          <w:lang w:val="fr-CA"/>
        </w:rPr>
        <w:t>IOC</w:t>
      </w:r>
      <w:r>
        <w:rPr>
          <w:lang w:val="fr-CA"/>
        </w:rPr>
        <w:t xml:space="preserve"> ne seront pas payés dans les cas de ventes d’unités scellées en usine, telles que les climatiseurs portatifs</w:t>
      </w:r>
      <w:r w:rsidRPr="00A3748F">
        <w:rPr>
          <w:lang w:val="fr-CA"/>
        </w:rPr>
        <w:t xml:space="preserve">, </w:t>
      </w:r>
      <w:r>
        <w:rPr>
          <w:lang w:val="fr-CA"/>
        </w:rPr>
        <w:t>les climatiseurs de fenêtre et les déshumidificateurs</w:t>
      </w:r>
      <w:r w:rsidRPr="00A3748F">
        <w:rPr>
          <w:lang w:val="fr-CA"/>
        </w:rPr>
        <w:t xml:space="preserve">, </w:t>
      </w:r>
      <w:r>
        <w:rPr>
          <w:lang w:val="fr-CA"/>
        </w:rPr>
        <w:t>qui sont déjà bien établis sur le marché</w:t>
      </w:r>
      <w:r w:rsidRPr="00A3748F">
        <w:rPr>
          <w:lang w:val="fr-CA"/>
        </w:rPr>
        <w:t>.</w:t>
      </w:r>
    </w:p>
  </w:footnote>
  <w:footnote w:id="6">
    <w:p w14:paraId="4C441694" w14:textId="211A643E" w:rsidR="00DD32D0" w:rsidRPr="00A3748F" w:rsidRDefault="00DD32D0" w:rsidP="0029763D">
      <w:pPr>
        <w:pStyle w:val="FootnoteText"/>
        <w:rPr>
          <w:lang w:val="fr-CA"/>
        </w:rPr>
      </w:pPr>
      <w:r w:rsidRPr="00A3748F">
        <w:rPr>
          <w:rStyle w:val="FootnoteReference"/>
          <w:lang w:val="fr-CA"/>
        </w:rPr>
        <w:footnoteRef/>
      </w:r>
      <w:r w:rsidRPr="00A3748F">
        <w:rPr>
          <w:lang w:val="fr-CA"/>
        </w:rPr>
        <w:t xml:space="preserve"> </w:t>
      </w:r>
      <w:r>
        <w:rPr>
          <w:lang w:val="fr-CA"/>
        </w:rPr>
        <w:t xml:space="preserve">Les décaissements par la </w:t>
      </w:r>
      <w:r w:rsidRPr="00A3748F">
        <w:rPr>
          <w:lang w:val="fr-CA"/>
        </w:rPr>
        <w:t xml:space="preserve">CCEE </w:t>
      </w:r>
      <w:r>
        <w:rPr>
          <w:lang w:val="fr-CA"/>
        </w:rPr>
        <w:t>sont supérieurs à ceux de l’</w:t>
      </w:r>
      <w:r w:rsidRPr="00A3748F">
        <w:rPr>
          <w:lang w:val="fr-CA"/>
        </w:rPr>
        <w:t>ONUDI</w:t>
      </w:r>
      <w:r>
        <w:rPr>
          <w:lang w:val="fr-CA"/>
        </w:rPr>
        <w:t xml:space="preserve">, étant donné que la </w:t>
      </w:r>
      <w:r w:rsidRPr="00A3748F">
        <w:rPr>
          <w:lang w:val="fr-CA"/>
        </w:rPr>
        <w:t xml:space="preserve">CCEE </w:t>
      </w:r>
      <w:r>
        <w:rPr>
          <w:lang w:val="fr-CA"/>
        </w:rPr>
        <w:t>dispose de ses propres ressources pour les paiements de l’</w:t>
      </w:r>
      <w:r w:rsidRPr="00A3748F">
        <w:rPr>
          <w:lang w:val="fr-CA"/>
        </w:rPr>
        <w:t xml:space="preserve">IOC </w:t>
      </w:r>
      <w:r>
        <w:rPr>
          <w:lang w:val="fr-CA"/>
        </w:rPr>
        <w:t>e</w:t>
      </w:r>
      <w:r w:rsidRPr="00A3748F">
        <w:rPr>
          <w:lang w:val="fr-CA"/>
        </w:rPr>
        <w:t xml:space="preserve">n 2020; </w:t>
      </w:r>
      <w:r>
        <w:rPr>
          <w:lang w:val="fr-CA"/>
        </w:rPr>
        <w:t xml:space="preserve">la </w:t>
      </w:r>
      <w:r w:rsidRPr="00A3748F">
        <w:rPr>
          <w:lang w:val="fr-CA"/>
        </w:rPr>
        <w:t xml:space="preserve">CCEE </w:t>
      </w:r>
      <w:r>
        <w:rPr>
          <w:lang w:val="fr-CA"/>
        </w:rPr>
        <w:t>envisage de demander d’autres décaissements de l’</w:t>
      </w:r>
      <w:r w:rsidRPr="00A3748F">
        <w:rPr>
          <w:lang w:val="fr-CA"/>
        </w:rPr>
        <w:t xml:space="preserve">ONUDI. </w:t>
      </w:r>
    </w:p>
  </w:footnote>
  <w:footnote w:id="7">
    <w:p w14:paraId="6B2303E1" w14:textId="1C5499B1" w:rsidR="00DD32D0" w:rsidRPr="00A3748F" w:rsidRDefault="00DD32D0" w:rsidP="0029763D">
      <w:pPr>
        <w:pStyle w:val="FootnoteText"/>
        <w:rPr>
          <w:lang w:val="fr-CA"/>
        </w:rPr>
      </w:pPr>
      <w:r w:rsidRPr="00A3748F">
        <w:rPr>
          <w:rStyle w:val="FootnoteReference"/>
          <w:lang w:val="fr-CA"/>
        </w:rPr>
        <w:footnoteRef/>
      </w:r>
      <w:r w:rsidRPr="00A3748F">
        <w:rPr>
          <w:lang w:val="fr-CA"/>
        </w:rPr>
        <w:t xml:space="preserve"> </w:t>
      </w:r>
      <w:r>
        <w:rPr>
          <w:lang w:val="fr-CA"/>
        </w:rPr>
        <w:t>D’autres activités d’</w:t>
      </w:r>
      <w:r w:rsidRPr="00A3748F">
        <w:rPr>
          <w:lang w:val="fr-CA"/>
        </w:rPr>
        <w:t xml:space="preserve">assistance </w:t>
      </w:r>
      <w:r>
        <w:rPr>
          <w:lang w:val="fr-CA"/>
        </w:rPr>
        <w:t>techniques seront menées pour faciliter l’</w:t>
      </w:r>
      <w:r w:rsidRPr="00A3748F">
        <w:rPr>
          <w:lang w:val="fr-CA"/>
        </w:rPr>
        <w:t xml:space="preserve">introduction </w:t>
      </w:r>
      <w:r>
        <w:rPr>
          <w:lang w:val="fr-CA"/>
        </w:rPr>
        <w:t xml:space="preserve">de la technologie R&amp;C à base de </w:t>
      </w:r>
      <w:r w:rsidRPr="00A3748F">
        <w:rPr>
          <w:lang w:val="fr-CA"/>
        </w:rPr>
        <w:t xml:space="preserve">R-290 </w:t>
      </w:r>
      <w:r>
        <w:rPr>
          <w:lang w:val="fr-CA"/>
        </w:rPr>
        <w:t xml:space="preserve">durant la </w:t>
      </w:r>
      <w:r w:rsidRPr="00A3748F">
        <w:rPr>
          <w:lang w:val="fr-CA"/>
        </w:rPr>
        <w:t xml:space="preserve">phase II </w:t>
      </w:r>
      <w:r>
        <w:rPr>
          <w:lang w:val="fr-CA"/>
        </w:rPr>
        <w:t>du</w:t>
      </w:r>
      <w:r w:rsidRPr="00A3748F">
        <w:rPr>
          <w:lang w:val="fr-CA"/>
        </w:rPr>
        <w:t xml:space="preserve"> plan sectoriel</w:t>
      </w:r>
      <w:r>
        <w:rPr>
          <w:lang w:val="fr-CA"/>
        </w:rPr>
        <w:t xml:space="preserve"> R&amp;C</w:t>
      </w:r>
      <w:r w:rsidRPr="00A3748F">
        <w:rPr>
          <w:lang w:val="fr-CA"/>
        </w:rPr>
        <w:t xml:space="preserve">. </w:t>
      </w:r>
    </w:p>
  </w:footnote>
  <w:footnote w:id="8">
    <w:p w14:paraId="3958BFF5" w14:textId="499737AA" w:rsidR="00DD32D0" w:rsidRPr="00A3748F" w:rsidRDefault="00DD32D0" w:rsidP="0029763D">
      <w:pPr>
        <w:pStyle w:val="FootnoteText"/>
        <w:rPr>
          <w:lang w:val="fr-CA"/>
        </w:rPr>
      </w:pPr>
      <w:r w:rsidRPr="00A3748F">
        <w:rPr>
          <w:rStyle w:val="FootnoteReference"/>
          <w:lang w:val="fr-CA"/>
        </w:rPr>
        <w:footnoteRef/>
      </w:r>
      <w:r w:rsidRPr="00A3748F">
        <w:rPr>
          <w:lang w:val="fr-CA"/>
        </w:rPr>
        <w:t xml:space="preserve"> Paragraph</w:t>
      </w:r>
      <w:r>
        <w:rPr>
          <w:lang w:val="fr-CA"/>
        </w:rPr>
        <w:t>e</w:t>
      </w:r>
      <w:r w:rsidRPr="00A3748F">
        <w:rPr>
          <w:lang w:val="fr-CA"/>
        </w:rPr>
        <w:t xml:space="preserve">s 105-108 </w:t>
      </w:r>
      <w:r>
        <w:rPr>
          <w:lang w:val="fr-CA"/>
        </w:rPr>
        <w:t>du document</w:t>
      </w:r>
      <w:r w:rsidRPr="00A3748F">
        <w:rPr>
          <w:lang w:val="fr-CA"/>
        </w:rPr>
        <w:t xml:space="preserve"> PNUE/OzL.Pro/ExCom/81/29.</w:t>
      </w:r>
    </w:p>
  </w:footnote>
  <w:footnote w:id="9">
    <w:p w14:paraId="1CC8DF2A" w14:textId="49088565" w:rsidR="00DD32D0" w:rsidRPr="0070425F" w:rsidRDefault="00DD32D0" w:rsidP="0029763D">
      <w:pPr>
        <w:pStyle w:val="FootnoteText"/>
        <w:rPr>
          <w:lang w:val="fr-CA"/>
        </w:rPr>
      </w:pPr>
      <w:r>
        <w:rPr>
          <w:rStyle w:val="FootnoteReference"/>
        </w:rPr>
        <w:footnoteRef/>
      </w:r>
      <w:r w:rsidRPr="0070425F">
        <w:rPr>
          <w:lang w:val="fr-CA"/>
        </w:rPr>
        <w:t xml:space="preserve"> </w:t>
      </w:r>
      <w:r w:rsidRPr="00CE16CF">
        <w:rPr>
          <w:lang w:val="fr-CA"/>
        </w:rPr>
        <w:t xml:space="preserve">La capacité de fabrication </w:t>
      </w:r>
      <w:r>
        <w:rPr>
          <w:lang w:val="fr-CA"/>
        </w:rPr>
        <w:t xml:space="preserve">des </w:t>
      </w:r>
      <w:r w:rsidRPr="00CE16CF">
        <w:rPr>
          <w:lang w:val="fr-CA"/>
        </w:rPr>
        <w:t xml:space="preserve">17 </w:t>
      </w:r>
      <w:r>
        <w:rPr>
          <w:lang w:val="fr-CA"/>
        </w:rPr>
        <w:t xml:space="preserve">chaines reconverties est d’environ </w:t>
      </w:r>
      <w:r w:rsidRPr="00CE16CF">
        <w:rPr>
          <w:lang w:val="fr-CA"/>
        </w:rPr>
        <w:t>7 million</w:t>
      </w:r>
      <w:r>
        <w:rPr>
          <w:lang w:val="fr-CA"/>
        </w:rPr>
        <w:t>s</w:t>
      </w:r>
      <w:r w:rsidRPr="00CE16CF">
        <w:rPr>
          <w:lang w:val="fr-CA"/>
        </w:rPr>
        <w:t xml:space="preserve"> </w:t>
      </w:r>
      <w:r>
        <w:rPr>
          <w:lang w:val="fr-CA"/>
        </w:rPr>
        <w:t>d’</w:t>
      </w:r>
      <w:r w:rsidRPr="00CE16CF">
        <w:rPr>
          <w:lang w:val="fr-CA"/>
        </w:rPr>
        <w:t>unit</w:t>
      </w:r>
      <w:r>
        <w:rPr>
          <w:lang w:val="fr-CA"/>
        </w:rPr>
        <w:t>é</w:t>
      </w:r>
      <w:r w:rsidRPr="00CE16CF">
        <w:rPr>
          <w:lang w:val="fr-CA"/>
        </w:rPr>
        <w:t>s/</w:t>
      </w:r>
      <w:r>
        <w:rPr>
          <w:lang w:val="fr-CA"/>
        </w:rPr>
        <w:t>an</w:t>
      </w:r>
      <w:r w:rsidRPr="00CE16CF">
        <w:rPr>
          <w:lang w:val="fr-CA"/>
        </w:rPr>
        <w:t xml:space="preserve">. </w:t>
      </w:r>
      <w:r>
        <w:rPr>
          <w:lang w:val="fr-CA"/>
        </w:rPr>
        <w:t>En conséquence, la capacité d’utilisation entre le 1</w:t>
      </w:r>
      <w:r w:rsidRPr="00CE16CF">
        <w:rPr>
          <w:vertAlign w:val="superscript"/>
          <w:lang w:val="fr-CA"/>
        </w:rPr>
        <w:t>er</w:t>
      </w:r>
      <w:r>
        <w:rPr>
          <w:lang w:val="fr-CA"/>
        </w:rPr>
        <w:t xml:space="preserve"> septembre </w:t>
      </w:r>
      <w:r w:rsidRPr="00CE16CF">
        <w:rPr>
          <w:lang w:val="fr-CA"/>
        </w:rPr>
        <w:t xml:space="preserve">2019 </w:t>
      </w:r>
      <w:r>
        <w:rPr>
          <w:lang w:val="fr-CA"/>
        </w:rPr>
        <w:t xml:space="preserve">et le </w:t>
      </w:r>
      <w:r w:rsidRPr="00CE16CF">
        <w:rPr>
          <w:lang w:val="fr-CA"/>
        </w:rPr>
        <w:t xml:space="preserve">31 </w:t>
      </w:r>
      <w:r>
        <w:rPr>
          <w:lang w:val="fr-CA"/>
        </w:rPr>
        <w:t>a</w:t>
      </w:r>
      <w:r w:rsidRPr="00CE16CF">
        <w:rPr>
          <w:lang w:val="fr-CA"/>
        </w:rPr>
        <w:t xml:space="preserve">oût 2020 </w:t>
      </w:r>
      <w:r w:rsidR="002531EB">
        <w:rPr>
          <w:lang w:val="fr-CA"/>
        </w:rPr>
        <w:t>est d’environ 1 pour cent</w:t>
      </w:r>
      <w:r w:rsidRPr="00CE16CF">
        <w:rPr>
          <w:lang w:val="fr-CA"/>
        </w:rPr>
        <w:t>.</w:t>
      </w:r>
      <w:r w:rsidRPr="0070425F">
        <w:rPr>
          <w:lang w:val="fr-CA"/>
        </w:rPr>
        <w:t xml:space="preserve"> </w:t>
      </w:r>
    </w:p>
  </w:footnote>
  <w:footnote w:id="10">
    <w:p w14:paraId="61F50733" w14:textId="77777777" w:rsidR="00DD32D0" w:rsidRPr="00720BA7" w:rsidRDefault="00DD32D0" w:rsidP="00720BA7">
      <w:pPr>
        <w:pStyle w:val="FootnoteText"/>
        <w:rPr>
          <w:szCs w:val="18"/>
          <w:lang w:val="fr-CA"/>
        </w:rPr>
      </w:pPr>
      <w:r w:rsidRPr="00B1591E">
        <w:rPr>
          <w:rStyle w:val="FootnoteReference"/>
          <w:sz w:val="18"/>
          <w:szCs w:val="18"/>
        </w:rPr>
        <w:footnoteRef/>
      </w:r>
      <w:r w:rsidRPr="00720BA7">
        <w:rPr>
          <w:sz w:val="18"/>
          <w:szCs w:val="18"/>
          <w:lang w:val="fr-CA"/>
        </w:rPr>
        <w:t xml:space="preserve"> </w:t>
      </w:r>
      <w:r w:rsidRPr="005753D7">
        <w:rPr>
          <w:lang w:val="fr-FR"/>
        </w:rPr>
        <w:t>Selon la lettre du</w:t>
      </w:r>
      <w:r>
        <w:rPr>
          <w:lang w:val="fr-FR"/>
        </w:rPr>
        <w:t xml:space="preserve"> </w:t>
      </w:r>
      <w:r w:rsidRPr="005753D7">
        <w:rPr>
          <w:lang w:val="fr-FR"/>
        </w:rPr>
        <w:t>7 septembre 2020 du ministère de l</w:t>
      </w:r>
      <w:r>
        <w:rPr>
          <w:lang w:val="fr-FR"/>
        </w:rPr>
        <w:t>’</w:t>
      </w:r>
      <w:r w:rsidRPr="005753D7">
        <w:rPr>
          <w:lang w:val="fr-FR"/>
        </w:rPr>
        <w:t xml:space="preserve">Écologie et de </w:t>
      </w:r>
      <w:r>
        <w:rPr>
          <w:lang w:val="fr-FR"/>
        </w:rPr>
        <w:t>l’</w:t>
      </w:r>
      <w:r w:rsidRPr="005753D7">
        <w:rPr>
          <w:lang w:val="fr-FR"/>
        </w:rPr>
        <w:t>Environnement de</w:t>
      </w:r>
      <w:r>
        <w:rPr>
          <w:lang w:val="fr-FR"/>
        </w:rPr>
        <w:t xml:space="preserve"> </w:t>
      </w:r>
      <w:r w:rsidRPr="005753D7">
        <w:rPr>
          <w:lang w:val="fr-FR"/>
        </w:rPr>
        <w:t>la Chine adressée au PNUD.</w:t>
      </w:r>
    </w:p>
  </w:footnote>
  <w:footnote w:id="11">
    <w:p w14:paraId="1022112A" w14:textId="77777777" w:rsidR="00DD32D0" w:rsidRPr="00720BA7" w:rsidRDefault="00DD32D0" w:rsidP="00720BA7">
      <w:pPr>
        <w:pStyle w:val="FootnoteText"/>
        <w:rPr>
          <w:sz w:val="18"/>
          <w:lang w:val="fr-CA"/>
        </w:rPr>
      </w:pPr>
      <w:r w:rsidRPr="00B1591E">
        <w:rPr>
          <w:rStyle w:val="FootnoteReference"/>
          <w:sz w:val="18"/>
          <w:szCs w:val="18"/>
        </w:rPr>
        <w:footnoteRef/>
      </w:r>
      <w:r w:rsidRPr="00720BA7">
        <w:rPr>
          <w:sz w:val="18"/>
          <w:szCs w:val="18"/>
          <w:lang w:val="fr-CA"/>
        </w:rPr>
        <w:t xml:space="preserve"> </w:t>
      </w:r>
      <w:r w:rsidRPr="005753D7">
        <w:rPr>
          <w:sz w:val="18"/>
          <w:szCs w:val="18"/>
          <w:lang w:val="fr-FR"/>
        </w:rPr>
        <w:t xml:space="preserve">Paragraphes 55 à 61 du document </w:t>
      </w:r>
      <w:r w:rsidRPr="005753D7">
        <w:rPr>
          <w:sz w:val="18"/>
          <w:szCs w:val="18"/>
          <w:lang w:val="fr-FR"/>
        </w:rPr>
        <w:fldChar w:fldCharType="begin"/>
      </w:r>
      <w:r w:rsidRPr="005753D7">
        <w:rPr>
          <w:sz w:val="18"/>
          <w:szCs w:val="18"/>
          <w:lang w:val="fr-FR"/>
        </w:rPr>
        <w:instrText xml:space="preserve"> DOCPROPERTY  "Document number"  \* MERGEFORMAT </w:instrText>
      </w:r>
      <w:r w:rsidRPr="005753D7">
        <w:rPr>
          <w:sz w:val="18"/>
          <w:szCs w:val="18"/>
          <w:lang w:val="fr-FR"/>
        </w:rPr>
        <w:fldChar w:fldCharType="separate"/>
      </w:r>
      <w:r w:rsidRPr="005753D7">
        <w:rPr>
          <w:sz w:val="18"/>
          <w:szCs w:val="18"/>
          <w:lang w:val="fr-FR"/>
        </w:rPr>
        <w:t>UNEP/OzL.Pro/ExCom/85/21</w:t>
      </w:r>
      <w:r w:rsidRPr="005753D7">
        <w:rPr>
          <w:sz w:val="18"/>
          <w:szCs w:val="18"/>
          <w:lang w:val="fr-FR"/>
        </w:rPr>
        <w:fldChar w:fldCharType="end"/>
      </w:r>
      <w:r w:rsidRPr="005753D7">
        <w:rPr>
          <w:sz w:val="18"/>
          <w:szCs w:val="18"/>
          <w:lang w:val="fr-FR"/>
        </w:rPr>
        <w:t>.</w:t>
      </w:r>
    </w:p>
  </w:footnote>
  <w:footnote w:id="12">
    <w:p w14:paraId="05F91F60" w14:textId="77777777" w:rsidR="00DD32D0" w:rsidRPr="00720BA7" w:rsidRDefault="00DD32D0" w:rsidP="00720BA7">
      <w:pPr>
        <w:pStyle w:val="FootnoteText"/>
        <w:rPr>
          <w:lang w:val="fr-CA"/>
        </w:rPr>
      </w:pPr>
      <w:r>
        <w:rPr>
          <w:rStyle w:val="FootnoteReference"/>
        </w:rPr>
        <w:footnoteRef/>
      </w:r>
      <w:r w:rsidRPr="00720BA7">
        <w:rPr>
          <w:lang w:val="fr-CA"/>
        </w:rPr>
        <w:t xml:space="preserve"> </w:t>
      </w:r>
      <w:r w:rsidRPr="005753D7">
        <w:rPr>
          <w:lang w:val="fr-FR"/>
        </w:rPr>
        <w:t>Paragraphes 143 à 145 du document UNEP/OzL.Pro/ExCom/80/37 pour le R-513A et paragraphes 89 à 92 du document UNEP/OzL.Pro/ExCom/83/22 pour le CO</w:t>
      </w:r>
      <w:r w:rsidRPr="005753D7">
        <w:rPr>
          <w:vertAlign w:val="subscript"/>
          <w:lang w:val="fr-FR"/>
        </w:rPr>
        <w:t>2</w:t>
      </w:r>
      <w:r w:rsidRPr="005753D7">
        <w:rPr>
          <w:lang w:val="fr-FR"/>
        </w:rPr>
        <w:t>/HFC-134a.</w:t>
      </w:r>
    </w:p>
  </w:footnote>
  <w:footnote w:id="13">
    <w:p w14:paraId="680F140D" w14:textId="77777777" w:rsidR="00DD32D0" w:rsidRPr="009552EF" w:rsidRDefault="00DD32D0" w:rsidP="00045AA9">
      <w:pPr>
        <w:pStyle w:val="FootnoteText"/>
        <w:rPr>
          <w:lang w:val="fr-FR"/>
        </w:rPr>
      </w:pPr>
      <w:r>
        <w:rPr>
          <w:rStyle w:val="FootnoteReference"/>
        </w:rPr>
        <w:footnoteRef/>
      </w:r>
      <w:r w:rsidRPr="00FF5AD6">
        <w:rPr>
          <w:lang w:val="fr-CA"/>
        </w:rPr>
        <w:t xml:space="preserve"> </w:t>
      </w:r>
      <w:r>
        <w:rPr>
          <w:lang w:val="fr-FR"/>
        </w:rPr>
        <w:t xml:space="preserve">Selon la lettre </w:t>
      </w:r>
      <w:r w:rsidRPr="009552EF">
        <w:rPr>
          <w:lang w:val="fr-FR"/>
        </w:rPr>
        <w:t>du 7 septembre 2020 adressée à l’ONUDI par le ministère de l’Écologie et de l’Environnement de la Chine.</w:t>
      </w:r>
    </w:p>
  </w:footnote>
  <w:footnote w:id="14">
    <w:p w14:paraId="25812133" w14:textId="77777777" w:rsidR="00DD32D0" w:rsidRPr="00F96EC4" w:rsidRDefault="00DD32D0" w:rsidP="00045AA9">
      <w:pPr>
        <w:pStyle w:val="FootnoteText"/>
        <w:rPr>
          <w:lang w:val="fr-FR"/>
        </w:rPr>
      </w:pPr>
      <w:r w:rsidRPr="009552EF">
        <w:rPr>
          <w:rStyle w:val="FootnoteReference"/>
          <w:lang w:val="fr-FR"/>
        </w:rPr>
        <w:footnoteRef/>
      </w:r>
      <w:r w:rsidRPr="009552EF">
        <w:rPr>
          <w:lang w:val="fr-FR"/>
        </w:rPr>
        <w:t xml:space="preserve"> Incluant </w:t>
      </w:r>
      <w:r>
        <w:rPr>
          <w:lang w:val="fr-FR"/>
        </w:rPr>
        <w:t xml:space="preserve">les montants de </w:t>
      </w:r>
      <w:r w:rsidRPr="009552EF">
        <w:rPr>
          <w:lang w:val="fr-FR"/>
        </w:rPr>
        <w:t>31 562 981 $US, plus 2 066 976 $US pour l’ONUDI et 108 108 $US pour le gouvernement de l’Italie, déjà approuvés aux 7</w:t>
      </w:r>
      <w:r>
        <w:rPr>
          <w:lang w:val="fr-FR"/>
        </w:rPr>
        <w:t>7</w:t>
      </w:r>
      <w:r w:rsidRPr="009552EF">
        <w:rPr>
          <w:vertAlign w:val="superscript"/>
          <w:lang w:val="fr-FR"/>
        </w:rPr>
        <w:t>e</w:t>
      </w:r>
      <w:r w:rsidRPr="009552EF">
        <w:rPr>
          <w:lang w:val="fr-FR"/>
        </w:rPr>
        <w:t xml:space="preserve"> et 8</w:t>
      </w:r>
      <w:r>
        <w:rPr>
          <w:lang w:val="fr-FR"/>
        </w:rPr>
        <w:t>1</w:t>
      </w:r>
      <w:r w:rsidRPr="009552EF">
        <w:rPr>
          <w:vertAlign w:val="superscript"/>
          <w:lang w:val="fr-FR"/>
        </w:rPr>
        <w:t>e</w:t>
      </w:r>
      <w:r w:rsidRPr="009552EF">
        <w:rPr>
          <w:lang w:val="fr-FR"/>
        </w:rPr>
        <w:t xml:space="preserve"> réunions</w:t>
      </w:r>
      <w:r>
        <w:rPr>
          <w:lang w:val="fr-FR"/>
        </w:rPr>
        <w:t>.</w:t>
      </w:r>
    </w:p>
  </w:footnote>
  <w:footnote w:id="15">
    <w:p w14:paraId="65E35946" w14:textId="77777777" w:rsidR="00DD32D0" w:rsidRPr="00123D18" w:rsidRDefault="00DD32D0" w:rsidP="00045AA9">
      <w:pPr>
        <w:pStyle w:val="FootnoteText"/>
        <w:rPr>
          <w:lang w:val="fr-FR"/>
        </w:rPr>
      </w:pPr>
      <w:r w:rsidRPr="00123D18">
        <w:rPr>
          <w:rStyle w:val="FootnoteReference"/>
          <w:lang w:val="fr-FR"/>
        </w:rPr>
        <w:footnoteRef/>
      </w:r>
      <w:r w:rsidRPr="00123D18">
        <w:rPr>
          <w:lang w:val="fr-FR"/>
        </w:rPr>
        <w:t xml:space="preserve"> </w:t>
      </w:r>
      <w:r>
        <w:rPr>
          <w:lang w:val="fr-FR"/>
        </w:rPr>
        <w:t>Avec</w:t>
      </w:r>
      <w:r w:rsidRPr="00123D18">
        <w:rPr>
          <w:lang w:val="fr-FR"/>
        </w:rPr>
        <w:t xml:space="preserve"> un niveau de financement total de 31 562 981 $US, plus 2 066 976 $US pour l’ONUDI et 108 108 $US pour le gouvernement de l’Italie, déjà approuvé aux 7</w:t>
      </w:r>
      <w:r>
        <w:rPr>
          <w:lang w:val="fr-FR"/>
        </w:rPr>
        <w:t>7</w:t>
      </w:r>
      <w:r w:rsidRPr="00123D18">
        <w:rPr>
          <w:vertAlign w:val="superscript"/>
          <w:lang w:val="fr-FR"/>
        </w:rPr>
        <w:t>e</w:t>
      </w:r>
      <w:r w:rsidRPr="00123D18">
        <w:rPr>
          <w:lang w:val="fr-FR"/>
        </w:rPr>
        <w:t xml:space="preserve"> et 8</w:t>
      </w:r>
      <w:r>
        <w:rPr>
          <w:lang w:val="fr-FR"/>
        </w:rPr>
        <w:t>1</w:t>
      </w:r>
      <w:r w:rsidRPr="00123D18">
        <w:rPr>
          <w:vertAlign w:val="superscript"/>
          <w:lang w:val="fr-FR"/>
        </w:rPr>
        <w:t>e</w:t>
      </w:r>
      <w:r>
        <w:rPr>
          <w:lang w:val="fr-FR"/>
        </w:rPr>
        <w:t xml:space="preserve"> ré</w:t>
      </w:r>
      <w:r w:rsidRPr="00123D18">
        <w:rPr>
          <w:lang w:val="fr-FR"/>
        </w:rPr>
        <w:t>unions.</w:t>
      </w:r>
    </w:p>
  </w:footnote>
  <w:footnote w:id="16">
    <w:p w14:paraId="5DE4B1A9" w14:textId="77777777" w:rsidR="00DD32D0" w:rsidRPr="00123D18" w:rsidRDefault="00DD32D0" w:rsidP="00045AA9">
      <w:pPr>
        <w:pStyle w:val="FootnoteText"/>
        <w:rPr>
          <w:lang w:val="fr-FR"/>
        </w:rPr>
      </w:pPr>
      <w:r w:rsidRPr="00123D18">
        <w:rPr>
          <w:rStyle w:val="FootnoteReference"/>
          <w:lang w:val="fr-FR"/>
        </w:rPr>
        <w:footnoteRef/>
      </w:r>
      <w:r w:rsidRPr="00123D18">
        <w:rPr>
          <w:lang w:val="fr-FR"/>
        </w:rPr>
        <w:t xml:space="preserve"> À la 7</w:t>
      </w:r>
      <w:r>
        <w:rPr>
          <w:lang w:val="fr-FR"/>
        </w:rPr>
        <w:t>7</w:t>
      </w:r>
      <w:r w:rsidRPr="00123D18">
        <w:rPr>
          <w:vertAlign w:val="superscript"/>
          <w:lang w:val="fr-FR"/>
        </w:rPr>
        <w:t>e</w:t>
      </w:r>
      <w:r w:rsidRPr="00123D18">
        <w:rPr>
          <w:lang w:val="fr-FR"/>
        </w:rPr>
        <w:t xml:space="preserve"> réunion, le gouvernement de la Chine a</w:t>
      </w:r>
      <w:r>
        <w:rPr>
          <w:lang w:val="fr-FR"/>
        </w:rPr>
        <w:t>vait</w:t>
      </w:r>
      <w:r w:rsidRPr="00123D18">
        <w:rPr>
          <w:lang w:val="fr-FR"/>
        </w:rPr>
        <w:t xml:space="preserve"> accepté d’éliminer</w:t>
      </w:r>
      <w:r>
        <w:rPr>
          <w:lang w:val="fr-FR"/>
        </w:rPr>
        <w:t xml:space="preserve"> 10 505 tm de HCFC-22, sans aucun financement du Fonds multilatéral, entre 2016 et 2021.</w:t>
      </w:r>
    </w:p>
  </w:footnote>
  <w:footnote w:id="17">
    <w:p w14:paraId="29809B6E" w14:textId="5040922E" w:rsidR="00DD32D0" w:rsidRPr="00051046" w:rsidRDefault="00DD32D0" w:rsidP="00045AA9">
      <w:pPr>
        <w:pStyle w:val="FootnoteText"/>
        <w:rPr>
          <w:lang w:val="fr-FR"/>
        </w:rPr>
      </w:pPr>
      <w:r w:rsidRPr="00051046">
        <w:rPr>
          <w:rStyle w:val="FootnoteReference"/>
          <w:lang w:val="fr-FR"/>
        </w:rPr>
        <w:footnoteRef/>
      </w:r>
      <w:r w:rsidRPr="00051046">
        <w:rPr>
          <w:lang w:val="fr-FR"/>
        </w:rPr>
        <w:t xml:space="preserve"> La capacité annuelle des 18 chaines de fabrication de </w:t>
      </w:r>
      <w:r>
        <w:rPr>
          <w:lang w:val="fr-FR"/>
        </w:rPr>
        <w:t>RAC</w:t>
      </w:r>
      <w:r w:rsidRPr="00051046">
        <w:rPr>
          <w:lang w:val="fr-FR"/>
        </w:rPr>
        <w:t xml:space="preserve"> reconverties au R-290 durant la phase</w:t>
      </w:r>
      <w:r>
        <w:rPr>
          <w:lang w:val="fr-FR"/>
        </w:rPr>
        <w:t xml:space="preserve"> I est de 6 738 455 unités/an. </w:t>
      </w:r>
      <w:r w:rsidRPr="00051046">
        <w:rPr>
          <w:lang w:val="fr-FR"/>
        </w:rPr>
        <w:t xml:space="preserve">D’ici la fin de la phase II, dix </w:t>
      </w:r>
      <w:r>
        <w:rPr>
          <w:lang w:val="fr-FR"/>
        </w:rPr>
        <w:t xml:space="preserve">autres </w:t>
      </w:r>
      <w:r w:rsidRPr="00051046">
        <w:rPr>
          <w:lang w:val="fr-FR"/>
        </w:rPr>
        <w:t>chaine</w:t>
      </w:r>
      <w:r>
        <w:rPr>
          <w:lang w:val="fr-FR"/>
        </w:rPr>
        <w:t xml:space="preserve">s de fabrication </w:t>
      </w:r>
      <w:r w:rsidRPr="00051046">
        <w:rPr>
          <w:lang w:val="fr-FR"/>
        </w:rPr>
        <w:t xml:space="preserve">seront reconverties au R-290, ce qui portera la capacité totale de fabrication à </w:t>
      </w:r>
      <w:r>
        <w:rPr>
          <w:lang w:val="fr-FR"/>
        </w:rPr>
        <w:t>près de</w:t>
      </w:r>
      <w:r w:rsidRPr="00051046">
        <w:rPr>
          <w:lang w:val="fr-FR"/>
        </w:rPr>
        <w:t xml:space="preserve"> 10 millions d’unités/</w:t>
      </w:r>
      <w:r>
        <w:rPr>
          <w:lang w:val="fr-FR"/>
        </w:rPr>
        <w:t xml:space="preserve">an. </w:t>
      </w:r>
      <w:r w:rsidRPr="00051046">
        <w:rPr>
          <w:lang w:val="fr-FR"/>
        </w:rPr>
        <w:t xml:space="preserve">En 2019, la capacité de fabrication de </w:t>
      </w:r>
      <w:r>
        <w:rPr>
          <w:lang w:val="fr-FR"/>
        </w:rPr>
        <w:t>RAC</w:t>
      </w:r>
      <w:r w:rsidRPr="00051046">
        <w:rPr>
          <w:lang w:val="fr-FR"/>
        </w:rPr>
        <w:t xml:space="preserve"> de la Chi</w:t>
      </w:r>
      <w:r>
        <w:rPr>
          <w:lang w:val="fr-FR"/>
        </w:rPr>
        <w:t xml:space="preserve">ne était d’environ 154 millions </w:t>
      </w:r>
      <w:r w:rsidRPr="00051046">
        <w:rPr>
          <w:lang w:val="fr-FR"/>
        </w:rPr>
        <w:t>d’unités</w:t>
      </w:r>
      <w:r>
        <w:rPr>
          <w:lang w:val="fr-FR"/>
        </w:rPr>
        <w:t>/an ; d’ici 2026 cette capacité serait d</w:t>
      </w:r>
      <w:r w:rsidRPr="00051046">
        <w:rPr>
          <w:lang w:val="fr-FR"/>
        </w:rPr>
        <w:t>e 232 millions d’unités/an environ</w:t>
      </w:r>
      <w:r>
        <w:rPr>
          <w:lang w:val="fr-FR"/>
        </w:rPr>
        <w:t>,</w:t>
      </w:r>
      <w:r w:rsidRPr="00051046">
        <w:rPr>
          <w:lang w:val="fr-FR"/>
        </w:rPr>
        <w:t xml:space="preserve"> en supposant une croissance continue d’environ 6 pour cent par an. </w:t>
      </w:r>
    </w:p>
  </w:footnote>
  <w:footnote w:id="18">
    <w:p w14:paraId="45D7882D" w14:textId="77777777" w:rsidR="00DD32D0" w:rsidRPr="00493242" w:rsidRDefault="00DD32D0" w:rsidP="00045AA9">
      <w:pPr>
        <w:pStyle w:val="FootnoteText"/>
        <w:rPr>
          <w:lang w:val="fr-FR"/>
        </w:rPr>
      </w:pPr>
      <w:r>
        <w:rPr>
          <w:rStyle w:val="FootnoteReference"/>
        </w:rPr>
        <w:footnoteRef/>
      </w:r>
      <w:r w:rsidRPr="00FF5AD6">
        <w:rPr>
          <w:lang w:val="fr-CA"/>
        </w:rPr>
        <w:t xml:space="preserve"> </w:t>
      </w:r>
      <w:r>
        <w:rPr>
          <w:lang w:val="fr-FR"/>
        </w:rPr>
        <w:t>Conformément au paragraphe 17 de la décision XXVIII/2, toute capacité de production de RAC à base de R-410A et HFC-32, installée après la date-limite d’éligibilité du 1</w:t>
      </w:r>
      <w:r w:rsidRPr="00BE5D89">
        <w:rPr>
          <w:vertAlign w:val="superscript"/>
          <w:lang w:val="fr-FR"/>
        </w:rPr>
        <w:t>er</w:t>
      </w:r>
      <w:r>
        <w:rPr>
          <w:lang w:val="fr-FR"/>
        </w:rPr>
        <w:t xml:space="preserve"> janvier 2020, ne sera pas admissible au financement dans le cadre de la réduction progressive des HFC.</w:t>
      </w:r>
    </w:p>
  </w:footnote>
  <w:footnote w:id="19">
    <w:p w14:paraId="78900F8B" w14:textId="77777777" w:rsidR="00DD32D0" w:rsidRPr="003A091D" w:rsidRDefault="00DD32D0" w:rsidP="00045AA9">
      <w:pPr>
        <w:pStyle w:val="FootnoteText"/>
        <w:rPr>
          <w:lang w:val="fr-FR"/>
        </w:rPr>
      </w:pPr>
      <w:r>
        <w:rPr>
          <w:rStyle w:val="FootnoteReference"/>
        </w:rPr>
        <w:footnoteRef/>
      </w:r>
      <w:r w:rsidRPr="00FF5AD6">
        <w:rPr>
          <w:lang w:val="fr-CA"/>
        </w:rPr>
        <w:t xml:space="preserve"> </w:t>
      </w:r>
      <w:r>
        <w:rPr>
          <w:lang w:val="fr-FR"/>
        </w:rPr>
        <w:t>Paragraphe 205 de UNEP/OzL.Pro/ExCom/80/59.</w:t>
      </w:r>
    </w:p>
  </w:footnote>
  <w:footnote w:id="20">
    <w:p w14:paraId="49B14899" w14:textId="77777777" w:rsidR="00DD32D0" w:rsidRPr="001217B5" w:rsidRDefault="00DD32D0" w:rsidP="00045AA9">
      <w:pPr>
        <w:pStyle w:val="FootnoteText"/>
        <w:rPr>
          <w:lang w:val="fr-FR"/>
        </w:rPr>
      </w:pPr>
      <w:r>
        <w:rPr>
          <w:rStyle w:val="FootnoteReference"/>
        </w:rPr>
        <w:footnoteRef/>
      </w:r>
      <w:r w:rsidRPr="00FF5AD6">
        <w:rPr>
          <w:lang w:val="fr-CA"/>
        </w:rPr>
        <w:t xml:space="preserve"> </w:t>
      </w:r>
      <w:r>
        <w:rPr>
          <w:lang w:val="fr-FR"/>
        </w:rPr>
        <w:t>Paragraphe 62 du document UNEP/OzL.Pro/84/42.</w:t>
      </w:r>
    </w:p>
  </w:footnote>
  <w:footnote w:id="21">
    <w:p w14:paraId="313AEE39" w14:textId="77777777" w:rsidR="00DD32D0" w:rsidRPr="001217B5" w:rsidRDefault="00DD32D0" w:rsidP="00045AA9">
      <w:pPr>
        <w:pStyle w:val="FootnoteText"/>
        <w:rPr>
          <w:lang w:val="fr-FR"/>
        </w:rPr>
      </w:pPr>
      <w:r>
        <w:rPr>
          <w:rStyle w:val="FootnoteReference"/>
        </w:rPr>
        <w:footnoteRef/>
      </w:r>
      <w:r w:rsidRPr="00FF5AD6">
        <w:rPr>
          <w:lang w:val="fr-CA"/>
        </w:rPr>
        <w:t xml:space="preserve"> </w:t>
      </w:r>
      <w:r>
        <w:rPr>
          <w:lang w:val="fr-FR"/>
        </w:rPr>
        <w:t xml:space="preserve">Les surcoûts d’exploitation ne seraient pas alloués pour de l ‘équipement RAC à base de R-290 vendu à des pays non visés à l’article 5. </w:t>
      </w:r>
    </w:p>
  </w:footnote>
  <w:footnote w:id="22">
    <w:p w14:paraId="3CD1D5FA" w14:textId="77777777" w:rsidR="00DD32D0" w:rsidRPr="00157483" w:rsidRDefault="00DD32D0" w:rsidP="00045AA9">
      <w:pPr>
        <w:pStyle w:val="FootnoteText"/>
        <w:rPr>
          <w:lang w:val="fr-FR"/>
        </w:rPr>
      </w:pPr>
      <w:r>
        <w:rPr>
          <w:rStyle w:val="FootnoteReference"/>
        </w:rPr>
        <w:footnoteRef/>
      </w:r>
      <w:r w:rsidRPr="00FF5AD6">
        <w:rPr>
          <w:lang w:val="fr-CA"/>
        </w:rPr>
        <w:t xml:space="preserve"> </w:t>
      </w:r>
      <w:r>
        <w:rPr>
          <w:lang w:val="fr-FR"/>
        </w:rPr>
        <w:t>Paragraphe 100 et tableau 2 du document UNEP/OzL.Pro/ExCom/81/29.</w:t>
      </w:r>
    </w:p>
  </w:footnote>
  <w:footnote w:id="23">
    <w:p w14:paraId="590AA66B" w14:textId="77777777" w:rsidR="00DD32D0" w:rsidRPr="00CF6E15" w:rsidRDefault="00DD32D0" w:rsidP="00045AA9">
      <w:pPr>
        <w:pStyle w:val="FootnoteText"/>
        <w:rPr>
          <w:sz w:val="18"/>
          <w:szCs w:val="18"/>
          <w:lang w:val="fr-FR"/>
        </w:rPr>
      </w:pPr>
      <w:r w:rsidRPr="00AD47A9">
        <w:rPr>
          <w:rStyle w:val="FootnoteReference"/>
          <w:sz w:val="18"/>
          <w:szCs w:val="18"/>
        </w:rPr>
        <w:footnoteRef/>
      </w:r>
      <w:r w:rsidRPr="00FF5AD6">
        <w:rPr>
          <w:sz w:val="18"/>
          <w:szCs w:val="18"/>
          <w:lang w:val="fr-CA"/>
        </w:rPr>
        <w:t xml:space="preserve"> </w:t>
      </w:r>
      <w:r w:rsidRPr="00AD47A9">
        <w:rPr>
          <w:sz w:val="18"/>
          <w:szCs w:val="18"/>
          <w:lang w:val="fr-FR"/>
        </w:rPr>
        <w:t xml:space="preserve">Selon la lettre du 7 septembre 2020 adressée au PNUE par le ministère de l’Écologie et de l’Environnement de la </w:t>
      </w:r>
      <w:r w:rsidRPr="00CF6E15">
        <w:rPr>
          <w:sz w:val="18"/>
          <w:szCs w:val="18"/>
          <w:lang w:val="fr-FR"/>
        </w:rPr>
        <w:t>Chine.</w:t>
      </w:r>
    </w:p>
  </w:footnote>
  <w:footnote w:id="24">
    <w:p w14:paraId="089F4578" w14:textId="77777777" w:rsidR="00DD32D0" w:rsidRPr="00CF6E15" w:rsidRDefault="00DD32D0" w:rsidP="00045AA9">
      <w:pPr>
        <w:pStyle w:val="FootnoteText"/>
        <w:rPr>
          <w:sz w:val="18"/>
          <w:szCs w:val="18"/>
          <w:lang w:val="fr-FR"/>
        </w:rPr>
      </w:pPr>
      <w:r w:rsidRPr="00CF6E15">
        <w:rPr>
          <w:rStyle w:val="FootnoteReference"/>
          <w:sz w:val="18"/>
          <w:szCs w:val="18"/>
        </w:rPr>
        <w:footnoteRef/>
      </w:r>
      <w:r w:rsidRPr="00FF5AD6">
        <w:rPr>
          <w:sz w:val="18"/>
          <w:szCs w:val="18"/>
          <w:lang w:val="fr-CA"/>
        </w:rPr>
        <w:t xml:space="preserve"> </w:t>
      </w:r>
      <w:r w:rsidRPr="00CF6E15">
        <w:rPr>
          <w:sz w:val="18"/>
          <w:szCs w:val="18"/>
          <w:lang w:val="fr-FR"/>
        </w:rPr>
        <w:t xml:space="preserve">Selon la présentation de la Chine, </w:t>
      </w:r>
      <w:r>
        <w:rPr>
          <w:sz w:val="18"/>
          <w:szCs w:val="18"/>
          <w:lang w:val="fr-FR"/>
        </w:rPr>
        <w:t xml:space="preserve">il s’agira de </w:t>
      </w:r>
      <w:r w:rsidRPr="00CF6E15">
        <w:rPr>
          <w:sz w:val="18"/>
          <w:szCs w:val="18"/>
          <w:lang w:val="fr-FR"/>
        </w:rPr>
        <w:t xml:space="preserve">la phase II révisée du PGEH afin de la distinguer de la phase II initiale pour le secteur </w:t>
      </w:r>
      <w:r>
        <w:rPr>
          <w:sz w:val="18"/>
          <w:szCs w:val="18"/>
          <w:lang w:val="fr-FR"/>
        </w:rPr>
        <w:t>pour</w:t>
      </w:r>
      <w:r w:rsidRPr="00CF6E15">
        <w:rPr>
          <w:sz w:val="18"/>
          <w:szCs w:val="18"/>
          <w:lang w:val="fr-FR"/>
        </w:rPr>
        <w:t xml:space="preserve"> laquelle des fonds avaient été approuvés jusqu’en 2020 (à savoir, aux 77</w:t>
      </w:r>
      <w:r w:rsidRPr="00CF6E15">
        <w:rPr>
          <w:sz w:val="18"/>
          <w:szCs w:val="18"/>
          <w:vertAlign w:val="superscript"/>
          <w:lang w:val="fr-FR"/>
        </w:rPr>
        <w:t>e</w:t>
      </w:r>
      <w:r w:rsidRPr="00CF6E15">
        <w:rPr>
          <w:sz w:val="18"/>
          <w:szCs w:val="18"/>
          <w:lang w:val="fr-FR"/>
        </w:rPr>
        <w:t xml:space="preserve"> et 81</w:t>
      </w:r>
      <w:r w:rsidRPr="00CF6E15">
        <w:rPr>
          <w:sz w:val="18"/>
          <w:szCs w:val="18"/>
          <w:vertAlign w:val="superscript"/>
          <w:lang w:val="fr-FR"/>
        </w:rPr>
        <w:t>e</w:t>
      </w:r>
      <w:r w:rsidRPr="00CF6E15">
        <w:rPr>
          <w:sz w:val="18"/>
          <w:szCs w:val="18"/>
          <w:lang w:val="fr-FR"/>
        </w:rPr>
        <w:t xml:space="preserve"> réunions, respectivement)</w:t>
      </w:r>
      <w:r>
        <w:rPr>
          <w:sz w:val="18"/>
          <w:szCs w:val="18"/>
          <w:lang w:val="fr-FR"/>
        </w:rPr>
        <w:t>.</w:t>
      </w:r>
    </w:p>
  </w:footnote>
  <w:footnote w:id="25">
    <w:p w14:paraId="1F1E4161" w14:textId="77777777" w:rsidR="00DD32D0" w:rsidRPr="004315D4" w:rsidRDefault="00DD32D0" w:rsidP="004315D4">
      <w:pPr>
        <w:pStyle w:val="FootnoteText"/>
        <w:rPr>
          <w:lang w:val="fr-CA"/>
        </w:rPr>
      </w:pPr>
      <w:r>
        <w:rPr>
          <w:rStyle w:val="FootnoteReference"/>
        </w:rPr>
        <w:footnoteRef/>
      </w:r>
      <w:r w:rsidRPr="004315D4">
        <w:rPr>
          <w:lang w:val="fr-CA"/>
        </w:rPr>
        <w:t xml:space="preserve"> Conformément à la lettre adressée à l’ONUDI par le Ministère chinois de l’écologie et de l’environnement en date du 7 septembre 2020.</w:t>
      </w:r>
    </w:p>
  </w:footnote>
  <w:footnote w:id="26">
    <w:p w14:paraId="66BEDB96" w14:textId="77777777" w:rsidR="00DD32D0" w:rsidRPr="004315D4" w:rsidRDefault="00DD32D0" w:rsidP="004315D4">
      <w:pPr>
        <w:pStyle w:val="FootnoteText"/>
        <w:rPr>
          <w:lang w:val="fr-CA"/>
        </w:rPr>
      </w:pPr>
      <w:r>
        <w:rPr>
          <w:rStyle w:val="FootnoteReference"/>
        </w:rPr>
        <w:footnoteRef/>
      </w:r>
      <w:r w:rsidRPr="004315D4">
        <w:rPr>
          <w:lang w:val="fr-CA"/>
        </w:rPr>
        <w:t xml:space="preserve"> Conformément à la lettre adressée à la Banque mondiale par le Ministère chinois de l’écologie et de l’environnement en date du 7 septembre 2020.</w:t>
      </w:r>
    </w:p>
  </w:footnote>
  <w:footnote w:id="27">
    <w:p w14:paraId="7B729538" w14:textId="77777777" w:rsidR="00CC3427" w:rsidRPr="003A49AC" w:rsidRDefault="00CC3427" w:rsidP="00CC3427">
      <w:pPr>
        <w:pStyle w:val="FootnoteText"/>
        <w:rPr>
          <w:lang w:val="fr-CA"/>
        </w:rPr>
      </w:pPr>
      <w:r w:rsidRPr="003A49AC">
        <w:rPr>
          <w:rStyle w:val="FootnoteReference"/>
          <w:lang w:val="fr-CA"/>
        </w:rPr>
        <w:footnoteRef/>
      </w:r>
      <w:r w:rsidRPr="003A49AC">
        <w:rPr>
          <w:lang w:val="fr-CA"/>
        </w:rPr>
        <w:t xml:space="preserve"> Paragraphe 94(b) du document UNEP/OzL.Pro/ExCom/85/IAP/3 (Projets approuvés </w:t>
      </w:r>
      <w:r>
        <w:rPr>
          <w:lang w:val="fr-CA"/>
        </w:rPr>
        <w:t>d</w:t>
      </w:r>
      <w:r w:rsidRPr="003A49AC">
        <w:rPr>
          <w:lang w:val="fr-CA"/>
        </w:rPr>
        <w:t>urant l’intersession).</w:t>
      </w:r>
    </w:p>
  </w:footnote>
  <w:footnote w:id="28">
    <w:p w14:paraId="75D38CF6" w14:textId="77777777" w:rsidR="00CC3427" w:rsidRPr="003A49AC" w:rsidRDefault="00CC3427" w:rsidP="00CC3427">
      <w:pPr>
        <w:pStyle w:val="FootnoteText"/>
        <w:rPr>
          <w:lang w:val="fr-CA"/>
        </w:rPr>
      </w:pPr>
      <w:r w:rsidRPr="003A49AC">
        <w:rPr>
          <w:rStyle w:val="FootnoteReference"/>
          <w:lang w:val="fr-CA"/>
        </w:rPr>
        <w:footnoteRef/>
      </w:r>
      <w:r w:rsidRPr="003A49AC">
        <w:rPr>
          <w:lang w:val="fr-CA"/>
        </w:rPr>
        <w:t xml:space="preserve"> </w:t>
      </w:r>
      <w:r>
        <w:rPr>
          <w:lang w:val="fr-CA"/>
        </w:rPr>
        <w:t xml:space="preserve">Conformément à la lettre du </w:t>
      </w:r>
      <w:r w:rsidRPr="003A49AC">
        <w:rPr>
          <w:lang w:val="fr-CA"/>
        </w:rPr>
        <w:t xml:space="preserve">7 </w:t>
      </w:r>
      <w:r>
        <w:rPr>
          <w:lang w:val="fr-CA"/>
        </w:rPr>
        <w:t>s</w:t>
      </w:r>
      <w:r w:rsidRPr="003A49AC">
        <w:rPr>
          <w:lang w:val="fr-CA"/>
        </w:rPr>
        <w:t>epte</w:t>
      </w:r>
      <w:r>
        <w:rPr>
          <w:lang w:val="fr-CA"/>
        </w:rPr>
        <w:t>mbr</w:t>
      </w:r>
      <w:r w:rsidRPr="003A49AC">
        <w:rPr>
          <w:lang w:val="fr-CA"/>
        </w:rPr>
        <w:t xml:space="preserve">e 2020 </w:t>
      </w:r>
      <w:r>
        <w:rPr>
          <w:lang w:val="fr-CA"/>
        </w:rPr>
        <w:t xml:space="preserve">du Ministère de l’Écologie et de l’Environnement de la </w:t>
      </w:r>
      <w:r w:rsidRPr="003A49AC">
        <w:rPr>
          <w:lang w:val="fr-CA"/>
        </w:rPr>
        <w:t xml:space="preserve">Chine </w:t>
      </w:r>
      <w:r>
        <w:rPr>
          <w:lang w:val="fr-CA"/>
        </w:rPr>
        <w:t>au</w:t>
      </w:r>
      <w:r w:rsidRPr="003A49AC">
        <w:rPr>
          <w:lang w:val="fr-CA"/>
        </w:rPr>
        <w:t xml:space="preserve"> PNUD.</w:t>
      </w:r>
    </w:p>
  </w:footnote>
  <w:footnote w:id="29">
    <w:p w14:paraId="4FD3B0E1" w14:textId="77777777" w:rsidR="00CC3427" w:rsidRPr="00D959A4" w:rsidRDefault="00CC3427" w:rsidP="00CC3427">
      <w:pPr>
        <w:pStyle w:val="FootnoteText"/>
        <w:rPr>
          <w:lang w:val="en-CA"/>
        </w:rPr>
      </w:pPr>
      <w:r>
        <w:rPr>
          <w:rStyle w:val="FootnoteReference"/>
        </w:rPr>
        <w:footnoteRef/>
      </w:r>
      <w:r>
        <w:t xml:space="preserve"> </w:t>
      </w:r>
      <w:r w:rsidRPr="00D959A4">
        <w:t>UNEP/OzL.Pro/ExCom/84/22/Add.1</w:t>
      </w:r>
      <w:r>
        <w:t>.</w:t>
      </w:r>
    </w:p>
  </w:footnote>
  <w:footnote w:id="30">
    <w:p w14:paraId="073576CB" w14:textId="77777777" w:rsidR="00CC3427" w:rsidRPr="00CC3427" w:rsidRDefault="00CC3427" w:rsidP="00CC3427">
      <w:pPr>
        <w:pStyle w:val="FootnoteText"/>
        <w:rPr>
          <w:lang w:val="fr-CA"/>
        </w:rPr>
      </w:pPr>
      <w:r w:rsidRPr="00AD7926">
        <w:rPr>
          <w:rStyle w:val="FootnoteReference"/>
          <w:lang w:val="fr-CA"/>
        </w:rPr>
        <w:footnoteRef/>
      </w:r>
      <w:r w:rsidRPr="00AD7926">
        <w:rPr>
          <w:lang w:val="fr-CA"/>
        </w:rPr>
        <w:t xml:space="preserve"> Paragraphes 6-105 du document UNEP/OzL.Pro/ExCom/84/22/Add.1</w:t>
      </w:r>
      <w:r w:rsidRPr="00CC3427">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1EF4" w14:textId="08F50A5A" w:rsidR="00DD32D0" w:rsidRDefault="00DD32D0">
    <w:fldSimple w:instr=" DOCPROPERTY &quot;Document number&quot;  \* MERGEFORMAT ">
      <w:r>
        <w:t>UNEP/OzL.Pro/ExCom/86/21/Add.1</w:t>
      </w:r>
    </w:fldSimple>
  </w:p>
  <w:p w14:paraId="0D813B81" w14:textId="77777777" w:rsidR="00DD32D0" w:rsidRDefault="00DD32D0"/>
  <w:p w14:paraId="31D47491" w14:textId="77777777" w:rsidR="00DD32D0" w:rsidRDefault="00DD32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2D3B" w14:textId="05796E4E" w:rsidR="00DD32D0" w:rsidRDefault="00DD32D0">
    <w:pPr>
      <w:jc w:val="right"/>
    </w:pPr>
    <w:fldSimple w:instr=" DOCPROPERTY &quot;Document number&quot;  \* MERGEFORMAT ">
      <w:r>
        <w:t>UNEP/OzL.Pro/ExCom/86/21/Add.1</w:t>
      </w:r>
    </w:fldSimple>
  </w:p>
  <w:p w14:paraId="433CF0CC" w14:textId="77777777" w:rsidR="00DD32D0" w:rsidRDefault="00DD32D0"/>
  <w:p w14:paraId="13EE9D13" w14:textId="77777777" w:rsidR="00DD32D0" w:rsidRDefault="00DD32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E121300"/>
    <w:lvl w:ilvl="0">
      <w:start w:val="1"/>
      <w:numFmt w:val="decimal"/>
      <w:pStyle w:val="Heading1"/>
      <w:lvlText w:val="%1."/>
      <w:lvlJc w:val="left"/>
      <w:pPr>
        <w:tabs>
          <w:tab w:val="num" w:pos="0"/>
        </w:tabs>
        <w:ind w:left="0" w:firstLine="0"/>
      </w:pPr>
      <w:rPr>
        <w:rFonts w:ascii="Times New Roman" w:hAnsi="Times New Roman" w:cs="Times New Roman" w:hint="default"/>
        <w:b w:val="0"/>
        <w:color w:val="auto"/>
        <w:sz w:val="22"/>
        <w:szCs w:val="22"/>
        <w:vertAlign w:val="baseline"/>
      </w:rPr>
    </w:lvl>
    <w:lvl w:ilvl="1">
      <w:start w:val="1"/>
      <w:numFmt w:val="lowerLetter"/>
      <w:pStyle w:val="Heading2"/>
      <w:lvlText w:val="(%2)"/>
      <w:lvlJc w:val="left"/>
      <w:pPr>
        <w:tabs>
          <w:tab w:val="num" w:pos="0"/>
        </w:tabs>
        <w:ind w:left="1440" w:hanging="720"/>
      </w:pPr>
      <w:rPr>
        <w:rFonts w:ascii="Times New Roman" w:hAnsi="Times New Roman" w:cs="Times New Roman" w:hint="default"/>
        <w:color w:val="auto"/>
        <w:sz w:val="22"/>
        <w:vertAlign w:val="baseline"/>
      </w:rPr>
    </w:lvl>
    <w:lvl w:ilvl="2">
      <w:start w:val="1"/>
      <w:numFmt w:val="lowerRoman"/>
      <w:pStyle w:val="Heading3"/>
      <w:lvlText w:val="(%3)"/>
      <w:lvlJc w:val="left"/>
      <w:pPr>
        <w:tabs>
          <w:tab w:val="num" w:pos="0"/>
        </w:tabs>
        <w:ind w:left="2160" w:hanging="720"/>
      </w:pPr>
      <w:rPr>
        <w:rFonts w:ascii="Times New Roman" w:hAnsi="Times New Roman" w:cs="Times New Roman" w:hint="default"/>
        <w:sz w:val="22"/>
        <w:vertAlign w:val="baseline"/>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C9C5C2E"/>
    <w:multiLevelType w:val="hybridMultilevel"/>
    <w:tmpl w:val="AC6058F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 w15:restartNumberingAfterBreak="0">
    <w:nsid w:val="24F163A3"/>
    <w:multiLevelType w:val="hybridMultilevel"/>
    <w:tmpl w:val="EBB669C6"/>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20B15E3"/>
    <w:multiLevelType w:val="hybridMultilevel"/>
    <w:tmpl w:val="A3546888"/>
    <w:lvl w:ilvl="0" w:tplc="1B7A7666">
      <w:start w:val="1"/>
      <w:numFmt w:val="decimal"/>
      <w:pStyle w:val="5"/>
      <w:lvlText w:val="5.%1 "/>
      <w:lvlJc w:val="left"/>
      <w:pPr>
        <w:tabs>
          <w:tab w:val="num" w:pos="720"/>
        </w:tabs>
        <w:ind w:left="0" w:firstLine="0"/>
      </w:pPr>
      <w:rPr>
        <w:rFonts w:hint="eastAsia"/>
      </w:rPr>
    </w:lvl>
    <w:lvl w:ilvl="1" w:tplc="D5D62738"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7" w15:restartNumberingAfterBreak="0">
    <w:nsid w:val="3F611D5B"/>
    <w:multiLevelType w:val="hybridMultilevel"/>
    <w:tmpl w:val="6FE64710"/>
    <w:lvl w:ilvl="0" w:tplc="41CC9FFE">
      <w:start w:val="226"/>
      <w:numFmt w:val="decimal"/>
      <w:lvlText w:val="%1."/>
      <w:lvlJc w:val="left"/>
      <w:pPr>
        <w:ind w:left="744" w:hanging="3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484B23"/>
    <w:multiLevelType w:val="hybridMultilevel"/>
    <w:tmpl w:val="44BAF2F0"/>
    <w:lvl w:ilvl="0" w:tplc="CF7C7710">
      <w:start w:val="228"/>
      <w:numFmt w:val="decimal"/>
      <w:lvlText w:val="%1."/>
      <w:lvlJc w:val="left"/>
      <w:pPr>
        <w:ind w:left="744" w:hanging="3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BA2559F"/>
    <w:multiLevelType w:val="hybridMultilevel"/>
    <w:tmpl w:val="559E239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5C06E2C"/>
    <w:multiLevelType w:val="hybridMultilevel"/>
    <w:tmpl w:val="73482FB4"/>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81341"/>
    <w:multiLevelType w:val="hybridMultilevel"/>
    <w:tmpl w:val="B7E0939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EC862A1"/>
    <w:multiLevelType w:val="hybridMultilevel"/>
    <w:tmpl w:val="7C46F368"/>
    <w:lvl w:ilvl="0" w:tplc="8E4097A8">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2AA4D9E"/>
    <w:multiLevelType w:val="hybridMultilevel"/>
    <w:tmpl w:val="57480108"/>
    <w:lvl w:ilvl="0" w:tplc="C9EE276E">
      <w:start w:val="1"/>
      <w:numFmt w:val="decimal"/>
      <w:pStyle w:val="Paragraph"/>
      <w:lvlText w:val="%1."/>
      <w:lvlJc w:val="left"/>
      <w:pPr>
        <w:ind w:left="1267" w:hanging="360"/>
      </w:pPr>
      <w:rPr>
        <w:rFonts w:hint="default"/>
      </w:rPr>
    </w:lvl>
    <w:lvl w:ilvl="1" w:tplc="04090003" w:tentative="1">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4"/>
  </w:num>
  <w:num w:numId="6">
    <w:abstractNumId w:val="10"/>
  </w:num>
  <w:num w:numId="7">
    <w:abstractNumId w:val="11"/>
  </w:num>
  <w:num w:numId="8">
    <w:abstractNumId w:val="16"/>
  </w:num>
  <w:num w:numId="9">
    <w:abstractNumId w:val="6"/>
  </w:num>
  <w:num w:numId="10">
    <w:abstractNumId w:val="2"/>
  </w:num>
  <w:num w:numId="11">
    <w:abstractNumId w:val="5"/>
  </w:num>
  <w:num w:numId="12">
    <w:abstractNumId w:val="15"/>
  </w:num>
  <w:num w:numId="13">
    <w:abstractNumId w:val="16"/>
    <w:lvlOverride w:ilvl="0">
      <w:startOverride w:val="1"/>
    </w:lvlOverride>
  </w:num>
  <w:num w:numId="14">
    <w:abstractNumId w:val="13"/>
  </w:num>
  <w:num w:numId="15">
    <w:abstractNumId w:val="0"/>
    <w:lvlOverride w:ilvl="0">
      <w:startOverride w:val="102"/>
    </w:lvlOverride>
  </w:num>
  <w:num w:numId="16">
    <w:abstractNumId w:val="0"/>
    <w:lvlOverride w:ilvl="0">
      <w:startOverride w:val="113"/>
    </w:lvlOverride>
  </w:num>
  <w:num w:numId="17">
    <w:abstractNumId w:val="14"/>
  </w:num>
  <w:num w:numId="18">
    <w:abstractNumId w:val="3"/>
  </w:num>
  <w:num w:numId="19">
    <w:abstractNumId w:val="12"/>
  </w:num>
  <w:num w:numId="20">
    <w:abstractNumId w:val="9"/>
  </w:num>
  <w:num w:numId="21">
    <w:abstractNumId w:val="1"/>
  </w:num>
  <w:num w:numId="22">
    <w:abstractNumId w:val="8"/>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38"/>
    <w:rsid w:val="00045AA9"/>
    <w:rsid w:val="00066F58"/>
    <w:rsid w:val="000852F2"/>
    <w:rsid w:val="000F1DD3"/>
    <w:rsid w:val="000F6C8E"/>
    <w:rsid w:val="00125F83"/>
    <w:rsid w:val="0014063A"/>
    <w:rsid w:val="00157567"/>
    <w:rsid w:val="00180937"/>
    <w:rsid w:val="001C3D0C"/>
    <w:rsid w:val="001D4CE7"/>
    <w:rsid w:val="001E34A3"/>
    <w:rsid w:val="00202E1D"/>
    <w:rsid w:val="002531EB"/>
    <w:rsid w:val="00265AF0"/>
    <w:rsid w:val="002807D2"/>
    <w:rsid w:val="0029763D"/>
    <w:rsid w:val="002A109F"/>
    <w:rsid w:val="002B3100"/>
    <w:rsid w:val="002C24B1"/>
    <w:rsid w:val="002F0B57"/>
    <w:rsid w:val="0036161D"/>
    <w:rsid w:val="00393030"/>
    <w:rsid w:val="003A04A5"/>
    <w:rsid w:val="003A0CA4"/>
    <w:rsid w:val="003E6151"/>
    <w:rsid w:val="003F073E"/>
    <w:rsid w:val="003F444E"/>
    <w:rsid w:val="004315D4"/>
    <w:rsid w:val="00441083"/>
    <w:rsid w:val="00452FD9"/>
    <w:rsid w:val="00494A38"/>
    <w:rsid w:val="004A2A85"/>
    <w:rsid w:val="004B0B2D"/>
    <w:rsid w:val="004C201B"/>
    <w:rsid w:val="004C2C87"/>
    <w:rsid w:val="004E3A36"/>
    <w:rsid w:val="00524711"/>
    <w:rsid w:val="0053421C"/>
    <w:rsid w:val="00545827"/>
    <w:rsid w:val="00550D9B"/>
    <w:rsid w:val="005920A5"/>
    <w:rsid w:val="005B3CAD"/>
    <w:rsid w:val="005C278F"/>
    <w:rsid w:val="00605093"/>
    <w:rsid w:val="00605FD3"/>
    <w:rsid w:val="0063050C"/>
    <w:rsid w:val="00661CF2"/>
    <w:rsid w:val="0068497B"/>
    <w:rsid w:val="006A10C7"/>
    <w:rsid w:val="006A23C7"/>
    <w:rsid w:val="006B6E38"/>
    <w:rsid w:val="006C698B"/>
    <w:rsid w:val="006E1759"/>
    <w:rsid w:val="006E1DC9"/>
    <w:rsid w:val="006E51DD"/>
    <w:rsid w:val="007034FA"/>
    <w:rsid w:val="0070425F"/>
    <w:rsid w:val="00706695"/>
    <w:rsid w:val="00720BA7"/>
    <w:rsid w:val="00731A32"/>
    <w:rsid w:val="0075750B"/>
    <w:rsid w:val="007E3AF7"/>
    <w:rsid w:val="00802AF9"/>
    <w:rsid w:val="00812387"/>
    <w:rsid w:val="00825570"/>
    <w:rsid w:val="008645AE"/>
    <w:rsid w:val="00866EB5"/>
    <w:rsid w:val="00895D1B"/>
    <w:rsid w:val="008A31BD"/>
    <w:rsid w:val="008E3A0C"/>
    <w:rsid w:val="00907891"/>
    <w:rsid w:val="0091161A"/>
    <w:rsid w:val="009568BB"/>
    <w:rsid w:val="009666A1"/>
    <w:rsid w:val="00972E99"/>
    <w:rsid w:val="009A1251"/>
    <w:rsid w:val="009A5180"/>
    <w:rsid w:val="00A01E03"/>
    <w:rsid w:val="00A10ACC"/>
    <w:rsid w:val="00A3748F"/>
    <w:rsid w:val="00A379D7"/>
    <w:rsid w:val="00A43AB8"/>
    <w:rsid w:val="00A77483"/>
    <w:rsid w:val="00A8096B"/>
    <w:rsid w:val="00A91976"/>
    <w:rsid w:val="00AC013C"/>
    <w:rsid w:val="00AE63D8"/>
    <w:rsid w:val="00B6667F"/>
    <w:rsid w:val="00B811F2"/>
    <w:rsid w:val="00B83F35"/>
    <w:rsid w:val="00BA5233"/>
    <w:rsid w:val="00BA63AB"/>
    <w:rsid w:val="00BC3C7D"/>
    <w:rsid w:val="00BC5440"/>
    <w:rsid w:val="00C02497"/>
    <w:rsid w:val="00C05DD5"/>
    <w:rsid w:val="00C15BC7"/>
    <w:rsid w:val="00C27322"/>
    <w:rsid w:val="00C322D3"/>
    <w:rsid w:val="00C6443E"/>
    <w:rsid w:val="00C709F6"/>
    <w:rsid w:val="00C816AC"/>
    <w:rsid w:val="00CC3427"/>
    <w:rsid w:val="00CE16CF"/>
    <w:rsid w:val="00D32352"/>
    <w:rsid w:val="00D46BEA"/>
    <w:rsid w:val="00D75337"/>
    <w:rsid w:val="00D7654A"/>
    <w:rsid w:val="00DB344C"/>
    <w:rsid w:val="00DB4E64"/>
    <w:rsid w:val="00DB75C7"/>
    <w:rsid w:val="00DC4453"/>
    <w:rsid w:val="00DC713F"/>
    <w:rsid w:val="00DD32D0"/>
    <w:rsid w:val="00DD3433"/>
    <w:rsid w:val="00E10085"/>
    <w:rsid w:val="00E2701B"/>
    <w:rsid w:val="00E3303D"/>
    <w:rsid w:val="00E348C6"/>
    <w:rsid w:val="00E5163D"/>
    <w:rsid w:val="00E54871"/>
    <w:rsid w:val="00E60D9C"/>
    <w:rsid w:val="00EB2067"/>
    <w:rsid w:val="00F21458"/>
    <w:rsid w:val="00F37A42"/>
    <w:rsid w:val="00F44EF3"/>
    <w:rsid w:val="00F557F5"/>
    <w:rsid w:val="00F67AF9"/>
    <w:rsid w:val="00F91819"/>
    <w:rsid w:val="00FB33E8"/>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B2D4D"/>
  <w15:docId w15:val="{CA563605-F001-4346-B6C6-12FD779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pPr>
      <w:widowControl w:val="0"/>
      <w:numPr>
        <w:ilvl w:val="2"/>
        <w:numId w:val="3"/>
      </w:numPr>
      <w:spacing w:after="240"/>
      <w:outlineLvl w:val="2"/>
    </w:pPr>
  </w:style>
  <w:style w:type="paragraph" w:styleId="Heading4">
    <w:name w:val="heading 4"/>
    <w:aliases w:val="Heading 11,para 4,Título 41,Heading 41,heading 4,标题 41"/>
    <w:basedOn w:val="Normal"/>
    <w:next w:val="Heading9"/>
    <w:link w:val="Heading4Char"/>
    <w:uiPriority w:val="9"/>
    <w:qFormat/>
    <w:pPr>
      <w:keepNext/>
      <w:numPr>
        <w:ilvl w:val="3"/>
        <w:numId w:val="4"/>
      </w:numPr>
      <w:spacing w:before="240" w:after="60"/>
      <w:outlineLvl w:val="3"/>
    </w:pPr>
  </w:style>
  <w:style w:type="paragraph" w:styleId="Heading5">
    <w:name w:val="heading 5"/>
    <w:basedOn w:val="Normal"/>
    <w:next w:val="Normal"/>
    <w:link w:val="Heading5Char"/>
    <w:qFormat/>
    <w:pPr>
      <w:keepNext/>
      <w:numPr>
        <w:numId w:val="9"/>
      </w:numPr>
      <w:spacing w:after="240"/>
      <w:ind w:left="3600" w:hanging="72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qFormat/>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unhideWhenUsed/>
    <w:qFormat/>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9763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9763D"/>
    <w:rPr>
      <w:lang w:val="en-GB"/>
    </w:rPr>
  </w:style>
  <w:style w:type="character" w:styleId="FootnoteReference">
    <w:name w:val="footnote reference"/>
    <w:aliases w:val="Footnote text,Footnote Text1,Footnote Text2"/>
    <w:basedOn w:val="DefaultParagraphFont"/>
    <w:uiPriority w:val="99"/>
    <w:unhideWhenUsed/>
    <w:rsid w:val="0029763D"/>
    <w:rPr>
      <w:vertAlign w:val="superscript"/>
    </w:rPr>
  </w:style>
  <w:style w:type="paragraph" w:styleId="ListParagraph">
    <w:name w:val="List Paragraph"/>
    <w:basedOn w:val="Normal"/>
    <w:link w:val="ListParagraphChar"/>
    <w:uiPriority w:val="34"/>
    <w:qFormat/>
    <w:rsid w:val="0029763D"/>
    <w:pPr>
      <w:ind w:left="720"/>
      <w:contextualSpacing/>
    </w:pPr>
    <w:rPr>
      <w:lang w:val="en-US"/>
    </w:rPr>
  </w:style>
  <w:style w:type="character" w:customStyle="1" w:styleId="ListParagraphChar">
    <w:name w:val="List Paragraph Char"/>
    <w:basedOn w:val="DefaultParagraphFont"/>
    <w:link w:val="ListParagraph"/>
    <w:uiPriority w:val="34"/>
    <w:rsid w:val="0029763D"/>
    <w:rPr>
      <w:sz w:val="22"/>
      <w:szCs w:val="2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29763D"/>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uiPriority w:val="9"/>
    <w:qFormat/>
    <w:rsid w:val="0029763D"/>
    <w:rPr>
      <w:sz w:val="22"/>
      <w:szCs w:val="22"/>
      <w:lang w:val="en-GB"/>
    </w:rPr>
  </w:style>
  <w:style w:type="paragraph" w:customStyle="1" w:styleId="Style1">
    <w:name w:val="Style1"/>
    <w:basedOn w:val="ListParagraph"/>
    <w:link w:val="Style1Char"/>
    <w:qFormat/>
    <w:rsid w:val="0029763D"/>
    <w:pPr>
      <w:numPr>
        <w:numId w:val="10"/>
      </w:numPr>
      <w:spacing w:line="360" w:lineRule="auto"/>
    </w:pPr>
    <w:rPr>
      <w:rFonts w:eastAsia="SimSun"/>
      <w:lang w:val="en-GB"/>
    </w:rPr>
  </w:style>
  <w:style w:type="character" w:customStyle="1" w:styleId="Style1Char">
    <w:name w:val="Style1 Char"/>
    <w:basedOn w:val="ListParagraphChar"/>
    <w:link w:val="Style1"/>
    <w:rsid w:val="0029763D"/>
    <w:rPr>
      <w:rFonts w:eastAsia="SimSun"/>
      <w:sz w:val="22"/>
      <w:szCs w:val="22"/>
      <w:lang w:val="en-GB"/>
    </w:rPr>
  </w:style>
  <w:style w:type="paragraph" w:styleId="NoSpacing">
    <w:name w:val="No Spacing"/>
    <w:uiPriority w:val="1"/>
    <w:qFormat/>
    <w:rsid w:val="0029763D"/>
    <w:pPr>
      <w:widowControl w:val="0"/>
      <w:jc w:val="both"/>
    </w:pPr>
    <w:rPr>
      <w:rFonts w:eastAsia="SimSun" w:cstheme="minorBidi"/>
      <w:kern w:val="2"/>
      <w:sz w:val="24"/>
      <w:szCs w:val="22"/>
      <w:lang w:eastAsia="zh-CN"/>
    </w:rPr>
  </w:style>
  <w:style w:type="paragraph" w:styleId="Caption">
    <w:name w:val="caption"/>
    <w:basedOn w:val="Normal"/>
    <w:next w:val="Normal"/>
    <w:unhideWhenUsed/>
    <w:qFormat/>
    <w:rsid w:val="0029763D"/>
    <w:pPr>
      <w:widowControl w:val="0"/>
      <w:spacing w:afterLines="100" w:after="100"/>
      <w:jc w:val="center"/>
    </w:pPr>
    <w:rPr>
      <w:rFonts w:eastAsia="SimSun" w:cstheme="majorBidi"/>
      <w:kern w:val="2"/>
      <w:sz w:val="24"/>
      <w:szCs w:val="20"/>
      <w:lang w:val="en-US" w:eastAsia="zh-CN"/>
    </w:rPr>
  </w:style>
  <w:style w:type="paragraph" w:customStyle="1" w:styleId="NormalIndent1">
    <w:name w:val="Normal Indent1"/>
    <w:basedOn w:val="Normal"/>
    <w:rsid w:val="0029763D"/>
    <w:pPr>
      <w:widowControl w:val="0"/>
      <w:ind w:firstLineChars="200" w:firstLine="420"/>
    </w:pPr>
    <w:rPr>
      <w:rFonts w:eastAsia="SimSun"/>
      <w:kern w:val="2"/>
      <w:sz w:val="21"/>
      <w:szCs w:val="20"/>
      <w:lang w:val="en-US" w:eastAsia="zh-CN"/>
    </w:rPr>
  </w:style>
  <w:style w:type="paragraph" w:styleId="Revision">
    <w:name w:val="Revision"/>
    <w:hidden/>
    <w:uiPriority w:val="99"/>
    <w:semiHidden/>
    <w:rsid w:val="0029763D"/>
    <w:rPr>
      <w:rFonts w:eastAsia="SimSun"/>
      <w:sz w:val="22"/>
      <w:szCs w:val="22"/>
      <w:lang w:val="en-GB"/>
    </w:rPr>
  </w:style>
  <w:style w:type="character" w:customStyle="1" w:styleId="Heading4Char">
    <w:name w:val="Heading 4 Char"/>
    <w:aliases w:val="Heading 11 Char,para 4 Char,Título 41 Char,Heading 41 Char,heading 4 Char,标题 41 Char"/>
    <w:basedOn w:val="DefaultParagraphFont"/>
    <w:link w:val="Heading4"/>
    <w:uiPriority w:val="9"/>
    <w:rsid w:val="0029763D"/>
    <w:rPr>
      <w:sz w:val="22"/>
      <w:szCs w:val="22"/>
      <w:lang w:val="en-GB"/>
    </w:rPr>
  </w:style>
  <w:style w:type="character" w:customStyle="1" w:styleId="Heading5Char">
    <w:name w:val="Heading 5 Char"/>
    <w:basedOn w:val="DefaultParagraphFont"/>
    <w:link w:val="Heading5"/>
    <w:rsid w:val="0029763D"/>
    <w:rPr>
      <w:sz w:val="22"/>
      <w:szCs w:val="22"/>
      <w:lang w:val="en-GB"/>
    </w:rPr>
  </w:style>
  <w:style w:type="character" w:customStyle="1" w:styleId="Heading6Char">
    <w:name w:val="Heading 6 Char"/>
    <w:basedOn w:val="DefaultParagraphFont"/>
    <w:link w:val="Heading6"/>
    <w:uiPriority w:val="9"/>
    <w:rsid w:val="0029763D"/>
    <w:rPr>
      <w:rFonts w:ascii="Arial" w:hAnsi="Arial"/>
      <w:i/>
      <w:sz w:val="22"/>
      <w:szCs w:val="22"/>
      <w:lang w:val="en-GB"/>
    </w:rPr>
  </w:style>
  <w:style w:type="character" w:customStyle="1" w:styleId="Heading7Char">
    <w:name w:val="Heading 7 Char"/>
    <w:basedOn w:val="DefaultParagraphFont"/>
    <w:link w:val="Heading7"/>
    <w:uiPriority w:val="9"/>
    <w:rsid w:val="0029763D"/>
    <w:rPr>
      <w:rFonts w:ascii="Arial" w:hAnsi="Arial"/>
      <w:sz w:val="22"/>
      <w:szCs w:val="22"/>
      <w:lang w:val="en-GB"/>
    </w:rPr>
  </w:style>
  <w:style w:type="character" w:customStyle="1" w:styleId="Heading8Char">
    <w:name w:val="Heading 8 Char"/>
    <w:basedOn w:val="DefaultParagraphFont"/>
    <w:link w:val="Heading8"/>
    <w:rsid w:val="0029763D"/>
    <w:rPr>
      <w:b/>
      <w:sz w:val="22"/>
      <w:szCs w:val="22"/>
      <w:lang w:val="en-GB"/>
    </w:rPr>
  </w:style>
  <w:style w:type="character" w:customStyle="1" w:styleId="Heading9Char">
    <w:name w:val="Heading 9 Char"/>
    <w:basedOn w:val="DefaultParagraphFont"/>
    <w:link w:val="Heading9"/>
    <w:uiPriority w:val="9"/>
    <w:rsid w:val="0029763D"/>
    <w:rPr>
      <w:rFonts w:ascii="Arial" w:hAnsi="Arial"/>
      <w:i/>
      <w:sz w:val="18"/>
      <w:szCs w:val="22"/>
      <w:lang w:val="en-GB"/>
    </w:rPr>
  </w:style>
  <w:style w:type="character" w:customStyle="1" w:styleId="HeaderChar">
    <w:name w:val="Header Char"/>
    <w:basedOn w:val="DefaultParagraphFont"/>
    <w:link w:val="Header"/>
    <w:rsid w:val="0029763D"/>
    <w:rPr>
      <w:sz w:val="22"/>
      <w:szCs w:val="22"/>
      <w:lang w:val="en-GB"/>
    </w:rPr>
  </w:style>
  <w:style w:type="character" w:customStyle="1" w:styleId="BodyText3Char">
    <w:name w:val="Body Text 3 Char"/>
    <w:basedOn w:val="DefaultParagraphFont"/>
    <w:link w:val="BodyText3"/>
    <w:semiHidden/>
    <w:rsid w:val="0029763D"/>
    <w:rPr>
      <w:sz w:val="16"/>
      <w:szCs w:val="16"/>
      <w:lang w:val="en-GB"/>
    </w:rPr>
  </w:style>
  <w:style w:type="character" w:customStyle="1" w:styleId="BodyTextIndent3Char">
    <w:name w:val="Body Text Indent 3 Char"/>
    <w:basedOn w:val="DefaultParagraphFont"/>
    <w:link w:val="BodyTextIndent3"/>
    <w:semiHidden/>
    <w:rsid w:val="0029763D"/>
    <w:rPr>
      <w:sz w:val="16"/>
      <w:szCs w:val="16"/>
      <w:lang w:val="en-GB"/>
    </w:rPr>
  </w:style>
  <w:style w:type="character" w:customStyle="1" w:styleId="PlainTextChar">
    <w:name w:val="Plain Text Char"/>
    <w:basedOn w:val="DefaultParagraphFont"/>
    <w:link w:val="PlainText"/>
    <w:qFormat/>
    <w:rsid w:val="0029763D"/>
    <w:rPr>
      <w:rFonts w:ascii="Courier New" w:hAnsi="Courier New" w:cs="Courier New"/>
      <w:szCs w:val="22"/>
      <w:lang w:val="en-GB"/>
    </w:rPr>
  </w:style>
  <w:style w:type="character" w:customStyle="1" w:styleId="SubtitleChar">
    <w:name w:val="Subtitle Char"/>
    <w:basedOn w:val="DefaultParagraphFont"/>
    <w:link w:val="Subtitle"/>
    <w:rsid w:val="0029763D"/>
    <w:rPr>
      <w:rFonts w:ascii="Arial" w:hAnsi="Arial" w:cs="Arial"/>
      <w:sz w:val="22"/>
      <w:szCs w:val="22"/>
      <w:lang w:val="en-GB"/>
    </w:rPr>
  </w:style>
  <w:style w:type="character" w:customStyle="1" w:styleId="TitleChar">
    <w:name w:val="Title Char"/>
    <w:basedOn w:val="DefaultParagraphFont"/>
    <w:link w:val="Title"/>
    <w:rsid w:val="0029763D"/>
    <w:rPr>
      <w:rFonts w:ascii="Arial" w:hAnsi="Arial" w:cs="Arial"/>
      <w:b/>
      <w:bCs/>
      <w:kern w:val="28"/>
      <w:sz w:val="22"/>
      <w:szCs w:val="22"/>
      <w:lang w:val="en-GB"/>
    </w:rPr>
  </w:style>
  <w:style w:type="character" w:customStyle="1" w:styleId="DateChar">
    <w:name w:val="Date Char"/>
    <w:basedOn w:val="DefaultParagraphFont"/>
    <w:link w:val="Date"/>
    <w:rsid w:val="0029763D"/>
    <w:rPr>
      <w:sz w:val="22"/>
      <w:szCs w:val="22"/>
      <w:lang w:val="en-GB"/>
    </w:rPr>
  </w:style>
  <w:style w:type="paragraph" w:customStyle="1" w:styleId="3a">
    <w:name w:val="标题3a"/>
    <w:basedOn w:val="Heading3"/>
    <w:next w:val="PlainText"/>
    <w:qFormat/>
    <w:rsid w:val="0029763D"/>
    <w:pPr>
      <w:keepNext/>
      <w:keepLines/>
      <w:numPr>
        <w:ilvl w:val="0"/>
        <w:numId w:val="0"/>
      </w:numPr>
      <w:spacing w:beforeLines="100" w:before="240" w:after="160"/>
    </w:pPr>
    <w:rPr>
      <w:rFonts w:eastAsia="SimSun"/>
      <w:b/>
      <w:bCs/>
      <w:kern w:val="2"/>
      <w:sz w:val="24"/>
      <w:szCs w:val="32"/>
      <w:lang w:val="en-US" w:eastAsia="zh-CN"/>
    </w:rPr>
  </w:style>
  <w:style w:type="paragraph" w:customStyle="1" w:styleId="output-val">
    <w:name w:val="output-val"/>
    <w:basedOn w:val="Normal"/>
    <w:rsid w:val="0029763D"/>
    <w:pPr>
      <w:spacing w:beforeLines="100"/>
      <w:jc w:val="left"/>
    </w:pPr>
    <w:rPr>
      <w:rFonts w:ascii="SimSun" w:eastAsia="SimSun" w:hAnsi="SimSun" w:cs="SimSun"/>
      <w:sz w:val="24"/>
      <w:szCs w:val="24"/>
      <w:lang w:val="en-US" w:eastAsia="zh-CN"/>
    </w:rPr>
  </w:style>
  <w:style w:type="paragraph" w:customStyle="1" w:styleId="2a">
    <w:name w:val="标题2a"/>
    <w:basedOn w:val="Heading2"/>
    <w:next w:val="PlainText"/>
    <w:qFormat/>
    <w:rsid w:val="0029763D"/>
    <w:pPr>
      <w:keepNext/>
      <w:keepLines/>
      <w:numPr>
        <w:ilvl w:val="0"/>
        <w:numId w:val="0"/>
      </w:numPr>
      <w:spacing w:beforeLines="100" w:before="360"/>
      <w:jc w:val="left"/>
    </w:pPr>
    <w:rPr>
      <w:rFonts w:eastAsia="SimSun"/>
      <w:b/>
      <w:bCs/>
      <w:kern w:val="2"/>
      <w:sz w:val="28"/>
      <w:szCs w:val="32"/>
      <w:lang w:val="en-US" w:eastAsia="zh-CN"/>
    </w:rPr>
  </w:style>
  <w:style w:type="paragraph" w:customStyle="1" w:styleId="1">
    <w:name w:val="列出段落1"/>
    <w:basedOn w:val="Normal"/>
    <w:qFormat/>
    <w:rsid w:val="0029763D"/>
    <w:pPr>
      <w:widowControl w:val="0"/>
      <w:ind w:firstLineChars="200" w:firstLine="420"/>
    </w:pPr>
    <w:rPr>
      <w:rFonts w:ascii="DengXian" w:eastAsia="DengXian" w:hAnsi="DengXian" w:cs="Cordia New"/>
      <w:kern w:val="2"/>
      <w:sz w:val="21"/>
      <w:szCs w:val="24"/>
      <w:lang w:val="en-US" w:eastAsia="zh-CN"/>
    </w:rPr>
  </w:style>
  <w:style w:type="character" w:styleId="Emphasis">
    <w:name w:val="Emphasis"/>
    <w:basedOn w:val="DefaultParagraphFont"/>
    <w:uiPriority w:val="20"/>
    <w:qFormat/>
    <w:rsid w:val="0029763D"/>
    <w:rPr>
      <w:i/>
      <w:iCs/>
    </w:rPr>
  </w:style>
  <w:style w:type="paragraph" w:customStyle="1" w:styleId="ListParagraph1">
    <w:name w:val="List Paragraph1"/>
    <w:basedOn w:val="Normal"/>
    <w:rsid w:val="0029763D"/>
    <w:pPr>
      <w:widowControl w:val="0"/>
      <w:ind w:firstLineChars="200" w:firstLine="420"/>
    </w:pPr>
    <w:rPr>
      <w:rFonts w:ascii="Calibri" w:eastAsia="SimSun" w:hAnsi="Calibri"/>
      <w:kern w:val="2"/>
      <w:sz w:val="21"/>
      <w:szCs w:val="20"/>
      <w:lang w:val="en-US" w:eastAsia="zh-CN"/>
    </w:rPr>
  </w:style>
  <w:style w:type="table" w:customStyle="1" w:styleId="ListTable3-Accent51">
    <w:name w:val="List Table 3 - Accent 51"/>
    <w:basedOn w:val="TableNormal"/>
    <w:uiPriority w:val="48"/>
    <w:rsid w:val="0029763D"/>
    <w:rPr>
      <w:rFonts w:asciiTheme="minorHAnsi" w:eastAsia="SimSun"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29763D"/>
    <w:pPr>
      <w:widowControl w:val="0"/>
      <w:autoSpaceDE w:val="0"/>
      <w:autoSpaceDN w:val="0"/>
      <w:adjustRightInd w:val="0"/>
    </w:pPr>
    <w:rPr>
      <w:rFonts w:eastAsia="SimSun"/>
      <w:color w:val="000000"/>
      <w:sz w:val="24"/>
      <w:szCs w:val="24"/>
      <w:lang w:eastAsia="zh-CN"/>
    </w:rPr>
  </w:style>
  <w:style w:type="paragraph" w:customStyle="1" w:styleId="5">
    <w:name w:val="正文首行缩进 5"/>
    <w:basedOn w:val="Normal"/>
    <w:rsid w:val="0029763D"/>
    <w:pPr>
      <w:widowControl w:val="0"/>
      <w:numPr>
        <w:numId w:val="11"/>
      </w:numPr>
      <w:spacing w:before="100" w:beforeAutospacing="1" w:after="100" w:afterAutospacing="1" w:line="340" w:lineRule="exact"/>
    </w:pPr>
    <w:rPr>
      <w:rFonts w:eastAsia="SimSun"/>
      <w:kern w:val="2"/>
      <w:sz w:val="24"/>
      <w:szCs w:val="20"/>
      <w:lang w:val="en-US" w:eastAsia="zh-CN" w:bidi="he-IL"/>
    </w:rPr>
  </w:style>
  <w:style w:type="paragraph" w:customStyle="1" w:styleId="Paragraph">
    <w:name w:val="Paragraph"/>
    <w:basedOn w:val="NormalIndent"/>
    <w:link w:val="ParagraphChar"/>
    <w:autoRedefine/>
    <w:qFormat/>
    <w:rsid w:val="0029763D"/>
    <w:pPr>
      <w:numPr>
        <w:numId w:val="12"/>
      </w:numPr>
      <w:spacing w:before="120" w:after="120"/>
      <w:ind w:left="0" w:firstLine="0"/>
    </w:pPr>
    <w:rPr>
      <w:rFonts w:eastAsia="MS Mincho" w:cs="Arial"/>
      <w:sz w:val="24"/>
      <w:lang w:val="en-US" w:eastAsia="zh-CN"/>
    </w:rPr>
  </w:style>
  <w:style w:type="character" w:customStyle="1" w:styleId="ParagraphChar">
    <w:name w:val="Paragraph Char"/>
    <w:link w:val="Paragraph"/>
    <w:rsid w:val="0029763D"/>
    <w:rPr>
      <w:rFonts w:eastAsia="MS Mincho" w:cs="Arial"/>
      <w:sz w:val="24"/>
      <w:szCs w:val="22"/>
      <w:lang w:eastAsia="zh-CN"/>
    </w:rPr>
  </w:style>
  <w:style w:type="paragraph" w:styleId="NormalIndent">
    <w:name w:val="Normal Indent"/>
    <w:basedOn w:val="Normal"/>
    <w:uiPriority w:val="99"/>
    <w:semiHidden/>
    <w:unhideWhenUsed/>
    <w:rsid w:val="0029763D"/>
    <w:pPr>
      <w:ind w:left="720"/>
    </w:pPr>
  </w:style>
  <w:style w:type="paragraph" w:styleId="ListBullet">
    <w:name w:val="List Bullet"/>
    <w:basedOn w:val="Normal"/>
    <w:autoRedefine/>
    <w:semiHidden/>
    <w:rsid w:val="0029763D"/>
    <w:pPr>
      <w:tabs>
        <w:tab w:val="num" w:pos="360"/>
      </w:tabs>
      <w:ind w:left="360" w:hanging="360"/>
    </w:pPr>
  </w:style>
  <w:style w:type="table" w:customStyle="1" w:styleId="TableList31">
    <w:name w:val="Table List 31"/>
    <w:basedOn w:val="TableNormal"/>
    <w:next w:val="TableList3"/>
    <w:qFormat/>
    <w:rsid w:val="0029763D"/>
    <w:pPr>
      <w:widowControl w:val="0"/>
      <w:spacing w:after="160" w:line="259" w:lineRule="auto"/>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10">
    <w:name w:val="Table Grid1"/>
    <w:basedOn w:val="TableNormal"/>
    <w:next w:val="TableGrid"/>
    <w:uiPriority w:val="59"/>
    <w:qFormat/>
    <w:rsid w:val="002976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basedOn w:val="DefaultParagraphFont"/>
    <w:rsid w:val="00720BA7"/>
    <w:rPr>
      <w:rFonts w:ascii="Courier New" w:hAnsi="Courier New" w:cs="Courier New"/>
      <w:b w:val="0"/>
      <w:i w:val="0"/>
      <w:dstrike w:val="0"/>
      <w:noProof/>
      <w:vanish/>
      <w:color w:val="800080"/>
      <w:spacing w:val="0"/>
      <w:kern w:val="30"/>
      <w:sz w:val="18"/>
      <w:effect w:val="none"/>
      <w:vertAlign w:val="subscript"/>
      <w:lang w:val="en-CA"/>
    </w:rPr>
  </w:style>
  <w:style w:type="character" w:customStyle="1" w:styleId="tlid-translation">
    <w:name w:val="tlid-translation"/>
    <w:basedOn w:val="DefaultParagraphFont"/>
    <w:rsid w:val="0072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AppData\Local\Temp\F86-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UNEP/OzL.Pro/ExCom/86/21/Add.1</Document_x0020_Number>
    <Posted_x0020_after_x0020_IAP xmlns="5ee7b459-7658-46de-b3a9-b270cabc2a0e">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EA19AB-76DE-45AB-898E-AC751ACBA6FC}"/>
</file>

<file path=customXml/itemProps2.xml><?xml version="1.0" encoding="utf-8"?>
<ds:datastoreItem xmlns:ds="http://schemas.openxmlformats.org/officeDocument/2006/customXml" ds:itemID="{1847F953-8E2C-4A5B-B251-1A87F34DE1A2}"/>
</file>

<file path=customXml/itemProps3.xml><?xml version="1.0" encoding="utf-8"?>
<ds:datastoreItem xmlns:ds="http://schemas.openxmlformats.org/officeDocument/2006/customXml" ds:itemID="{4B031648-7392-48C3-98F1-F6B0954BCD19}"/>
</file>

<file path=customXml/itemProps4.xml><?xml version="1.0" encoding="utf-8"?>
<ds:datastoreItem xmlns:ds="http://schemas.openxmlformats.org/officeDocument/2006/customXml" ds:itemID="{3339C0D0-4CE7-4086-8F81-18699D72F739}"/>
</file>

<file path=docProps/app.xml><?xml version="1.0" encoding="utf-8"?>
<Properties xmlns="http://schemas.openxmlformats.org/officeDocument/2006/extended-properties" xmlns:vt="http://schemas.openxmlformats.org/officeDocument/2006/docPropsVTypes">
  <Template>F86-Template-1</Template>
  <TotalTime>1113</TotalTime>
  <Pages>1</Pages>
  <Words>35524</Words>
  <Characters>202492</Characters>
  <Application>Microsoft Office Word</Application>
  <DocSecurity>0</DocSecurity>
  <Lines>1687</Lines>
  <Paragraphs>475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Rapports sur les projets comportant des exigences particulières pour la remise des rapports - Addendum</vt:lpstr>
      <vt:lpstr>Ordre du jour provisoire</vt:lpstr>
    </vt:vector>
  </TitlesOfParts>
  <Company>UNMFS</Company>
  <LinksUpToDate>false</LinksUpToDate>
  <CharactersWithSpaces>237541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sur les projets comportant des exigences particulières pour la remise des rapports - Addendum p1</dc:title>
  <dc:creator>NGUYEN</dc:creator>
  <cp:lastModifiedBy>HB</cp:lastModifiedBy>
  <cp:revision>18</cp:revision>
  <cp:lastPrinted>2001-05-26T16:40:00Z</cp:lastPrinted>
  <dcterms:created xsi:type="dcterms:W3CDTF">2020-11-26T16:33:00Z</dcterms:created>
  <dcterms:modified xsi:type="dcterms:W3CDTF">2020-12-08T20:14:00Z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UNEP/OzL.Pro/ExCom/86/21/Add.1</vt:lpwstr>
  </property>
  <property fmtid="{D5CDD505-2E9C-101B-9397-08002B2CF9AE}" pid="3" name="Revision date">
    <vt:lpwstr>11/6/2020</vt:lpwstr>
  </property>
  <property fmtid="{D5CDD505-2E9C-101B-9397-08002B2CF9AE}" pid="4" name="ContentTypeId">
    <vt:lpwstr>0x01010021475DA1A9724F448487545E7E03A732</vt:lpwstr>
  </property>
</Properties>
</file>