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432" w:type="dxa"/>
        <w:tblLayout w:type="fixed"/>
        <w:tblLook w:val="0000" w:firstRow="0" w:lastRow="0" w:firstColumn="0" w:lastColumn="0" w:noHBand="0" w:noVBand="0"/>
      </w:tblPr>
      <w:tblGrid>
        <w:gridCol w:w="1692"/>
        <w:gridCol w:w="4032"/>
        <w:gridCol w:w="4590"/>
      </w:tblGrid>
      <w:tr w:rsidR="00C15867" w:rsidRPr="004C7828" w:rsidTr="00755FF1">
        <w:trPr>
          <w:trHeight w:val="720"/>
        </w:trPr>
        <w:tc>
          <w:tcPr>
            <w:tcW w:w="5722" w:type="dxa"/>
            <w:gridSpan w:val="2"/>
            <w:tcBorders>
              <w:bottom w:val="single" w:sz="18" w:space="0" w:color="auto"/>
            </w:tcBorders>
          </w:tcPr>
          <w:p w:rsidR="00C15867" w:rsidRPr="004C7828" w:rsidRDefault="004C7828" w:rsidP="0019279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4C7828">
              <w:rPr>
                <w:rFonts w:ascii="Univers" w:hAnsi="Univers"/>
                <w:b/>
                <w:sz w:val="28"/>
                <w:szCs w:val="28"/>
                <w:lang w:val="fr-CA"/>
              </w:rPr>
              <w:t>NATIONS</w:t>
            </w:r>
          </w:p>
          <w:p w:rsidR="004C7828" w:rsidRPr="004C7828" w:rsidRDefault="004C7828" w:rsidP="0019279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4C7828">
              <w:rPr>
                <w:rFonts w:ascii="Univers" w:hAnsi="Univers"/>
                <w:b/>
                <w:sz w:val="28"/>
                <w:szCs w:val="28"/>
                <w:lang w:val="fr-CA"/>
              </w:rPr>
              <w:t>UNIES</w:t>
            </w:r>
          </w:p>
        </w:tc>
        <w:tc>
          <w:tcPr>
            <w:tcW w:w="4590" w:type="dxa"/>
            <w:tcBorders>
              <w:bottom w:val="single" w:sz="18" w:space="0" w:color="auto"/>
            </w:tcBorders>
          </w:tcPr>
          <w:p w:rsidR="00C15867" w:rsidRPr="004C7828" w:rsidRDefault="00C15867" w:rsidP="00192798">
            <w:pPr>
              <w:jc w:val="right"/>
              <w:rPr>
                <w:sz w:val="52"/>
                <w:szCs w:val="52"/>
                <w:lang w:val="fr-CA"/>
              </w:rPr>
            </w:pPr>
            <w:r w:rsidRPr="004C7828">
              <w:rPr>
                <w:rFonts w:ascii="Univers Bold" w:hAnsi="Univers Bold"/>
                <w:b/>
                <w:sz w:val="72"/>
                <w:lang w:val="fr-CA"/>
              </w:rPr>
              <w:t>EP</w:t>
            </w:r>
          </w:p>
        </w:tc>
      </w:tr>
      <w:tr w:rsidR="00C15867" w:rsidRPr="004C7828" w:rsidTr="00755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1692" w:type="dxa"/>
            <w:tcBorders>
              <w:top w:val="nil"/>
              <w:left w:val="nil"/>
              <w:bottom w:val="single" w:sz="36" w:space="0" w:color="auto"/>
              <w:right w:val="nil"/>
            </w:tcBorders>
          </w:tcPr>
          <w:p w:rsidR="00C15867" w:rsidRPr="004C7828" w:rsidRDefault="00E52838" w:rsidP="00192798">
            <w:pPr>
              <w:spacing w:before="120"/>
              <w:rPr>
                <w:lang w:val="fr-CA"/>
              </w:rPr>
            </w:pPr>
            <w:r w:rsidRPr="004C7828">
              <w:rPr>
                <w:noProof/>
                <w:lang w:val="en-US"/>
              </w:rPr>
              <mc:AlternateContent>
                <mc:Choice Requires="wpg">
                  <w:drawing>
                    <wp:anchor distT="0" distB="0" distL="114300" distR="114300" simplePos="0" relativeHeight="251660288" behindDoc="0" locked="0" layoutInCell="1" allowOverlap="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18B69930"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4032" w:type="dxa"/>
            <w:tcBorders>
              <w:top w:val="nil"/>
              <w:left w:val="nil"/>
              <w:bottom w:val="single" w:sz="36" w:space="0" w:color="auto"/>
              <w:right w:val="nil"/>
            </w:tcBorders>
          </w:tcPr>
          <w:p w:rsidR="00755FF1" w:rsidRDefault="00755FF1" w:rsidP="004C782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755FF1" w:rsidRDefault="004C7828" w:rsidP="00755FF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4C7828">
              <w:rPr>
                <w:rFonts w:ascii="Univers" w:hAnsi="Univers"/>
                <w:b/>
                <w:sz w:val="32"/>
                <w:lang w:val="fr-CA"/>
              </w:rPr>
              <w:t>Programme des</w:t>
            </w:r>
          </w:p>
          <w:p w:rsidR="004C7828" w:rsidRPr="004C7828" w:rsidRDefault="004C7828" w:rsidP="00755FF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4C7828">
              <w:rPr>
                <w:rFonts w:ascii="Univers" w:hAnsi="Univers"/>
                <w:b/>
                <w:sz w:val="32"/>
                <w:lang w:val="fr-CA"/>
              </w:rPr>
              <w:t>Nations Unies pour l’environnement</w:t>
            </w:r>
          </w:p>
          <w:p w:rsidR="00C15867" w:rsidRPr="004C7828" w:rsidRDefault="00C15867" w:rsidP="00192798">
            <w:pPr>
              <w:spacing w:before="720"/>
              <w:ind w:left="158"/>
              <w:rPr>
                <w:lang w:val="fr-CA"/>
              </w:rPr>
            </w:pPr>
          </w:p>
        </w:tc>
        <w:tc>
          <w:tcPr>
            <w:tcW w:w="4590" w:type="dxa"/>
            <w:tcBorders>
              <w:top w:val="nil"/>
              <w:left w:val="nil"/>
              <w:bottom w:val="single" w:sz="36" w:space="0" w:color="auto"/>
              <w:right w:val="nil"/>
            </w:tcBorders>
          </w:tcPr>
          <w:p w:rsidR="00755FF1" w:rsidRDefault="00755FF1" w:rsidP="00192798">
            <w:pPr>
              <w:rPr>
                <w:lang w:val="fr-CA"/>
              </w:rPr>
            </w:pPr>
          </w:p>
          <w:p w:rsidR="00C15867" w:rsidRPr="004C7828" w:rsidRDefault="00C15867" w:rsidP="00192798">
            <w:pPr>
              <w:rPr>
                <w:lang w:val="fr-CA"/>
              </w:rPr>
            </w:pPr>
            <w:proofErr w:type="spellStart"/>
            <w:r w:rsidRPr="004C7828">
              <w:rPr>
                <w:lang w:val="fr-CA"/>
              </w:rPr>
              <w:t>Distr</w:t>
            </w:r>
            <w:proofErr w:type="spellEnd"/>
            <w:r w:rsidRPr="004C7828">
              <w:rPr>
                <w:lang w:val="fr-CA"/>
              </w:rPr>
              <w:t>.</w:t>
            </w:r>
          </w:p>
          <w:p w:rsidR="00923540" w:rsidRPr="004C7828" w:rsidRDefault="004C7828" w:rsidP="00923540">
            <w:pPr>
              <w:rPr>
                <w:lang w:val="fr-CA"/>
              </w:rPr>
            </w:pPr>
            <w:r w:rsidRPr="004C7828">
              <w:rPr>
                <w:lang w:val="fr-CA"/>
              </w:rPr>
              <w:t>GÉNÉRALE</w:t>
            </w:r>
          </w:p>
          <w:p w:rsidR="00C15867" w:rsidRPr="004C7828" w:rsidRDefault="00C15867" w:rsidP="00192798">
            <w:pPr>
              <w:rPr>
                <w:lang w:val="fr-CA"/>
              </w:rPr>
            </w:pPr>
          </w:p>
          <w:p w:rsidR="00C15867" w:rsidRPr="004C7828" w:rsidRDefault="003C2AB2" w:rsidP="00192798">
            <w:pPr>
              <w:rPr>
                <w:lang w:val="fr-CA"/>
              </w:rPr>
            </w:pPr>
            <w:r w:rsidRPr="004C7828">
              <w:rPr>
                <w:lang w:val="fr-CA"/>
              </w:rPr>
              <w:fldChar w:fldCharType="begin"/>
            </w:r>
            <w:r w:rsidRPr="004C7828">
              <w:rPr>
                <w:lang w:val="fr-CA"/>
              </w:rPr>
              <w:instrText xml:space="preserve"> DOCPROPERTY "Document number"  \* MERGEFORMAT </w:instrText>
            </w:r>
            <w:r w:rsidRPr="004C7828">
              <w:rPr>
                <w:lang w:val="fr-CA"/>
              </w:rPr>
              <w:fldChar w:fldCharType="separate"/>
            </w:r>
            <w:r w:rsidR="009A60CA">
              <w:rPr>
                <w:lang w:val="fr-CA"/>
              </w:rPr>
              <w:t>UNEP/</w:t>
            </w:r>
            <w:proofErr w:type="spellStart"/>
            <w:r w:rsidR="009A60CA">
              <w:rPr>
                <w:lang w:val="fr-CA"/>
              </w:rPr>
              <w:t>OzL.Pro</w:t>
            </w:r>
            <w:proofErr w:type="spellEnd"/>
            <w:r w:rsidR="009A60CA">
              <w:rPr>
                <w:lang w:val="fr-CA"/>
              </w:rPr>
              <w:t>/</w:t>
            </w:r>
            <w:proofErr w:type="spellStart"/>
            <w:r w:rsidR="009A60CA">
              <w:rPr>
                <w:lang w:val="fr-CA"/>
              </w:rPr>
              <w:t>ExCom</w:t>
            </w:r>
            <w:proofErr w:type="spellEnd"/>
            <w:r w:rsidR="009A60CA">
              <w:rPr>
                <w:lang w:val="fr-CA"/>
              </w:rPr>
              <w:t>/86/2</w:t>
            </w:r>
            <w:r w:rsidRPr="004C7828">
              <w:rPr>
                <w:lang w:val="fr-CA"/>
              </w:rPr>
              <w:fldChar w:fldCharType="end"/>
            </w:r>
          </w:p>
          <w:p w:rsidR="00C15867" w:rsidRPr="004C7828" w:rsidRDefault="00BC2495" w:rsidP="00192798">
            <w:pPr>
              <w:rPr>
                <w:lang w:val="fr-CA"/>
              </w:rPr>
            </w:pPr>
            <w:r w:rsidRPr="004C7828">
              <w:rPr>
                <w:lang w:val="fr-CA"/>
              </w:rPr>
              <w:fldChar w:fldCharType="begin"/>
            </w:r>
            <w:r w:rsidR="00851352" w:rsidRPr="004C7828">
              <w:rPr>
                <w:lang w:val="fr-CA"/>
              </w:rPr>
              <w:instrText xml:space="preserve"> DOCPROPERTY "Revision date" \@ "d MMMM YYYY"  \* MERGEFORMAT </w:instrText>
            </w:r>
            <w:r w:rsidRPr="004C7828">
              <w:rPr>
                <w:lang w:val="fr-CA"/>
              </w:rPr>
              <w:fldChar w:fldCharType="separate"/>
            </w:r>
            <w:r w:rsidR="009A60CA">
              <w:rPr>
                <w:lang w:val="fr-CA"/>
              </w:rPr>
              <w:t>9 novembre 2020</w:t>
            </w:r>
            <w:r w:rsidRPr="004C7828">
              <w:rPr>
                <w:lang w:val="fr-CA"/>
              </w:rPr>
              <w:fldChar w:fldCharType="end"/>
            </w:r>
          </w:p>
          <w:p w:rsidR="00C15867" w:rsidRPr="004C7828" w:rsidRDefault="00C15867" w:rsidP="00192798">
            <w:pPr>
              <w:rPr>
                <w:caps/>
                <w:lang w:val="fr-CA"/>
              </w:rPr>
            </w:pPr>
          </w:p>
          <w:p w:rsidR="004C7828" w:rsidRPr="004C7828" w:rsidRDefault="004C7828" w:rsidP="00192798">
            <w:pPr>
              <w:rPr>
                <w:lang w:val="fr-CA"/>
              </w:rPr>
            </w:pPr>
            <w:r w:rsidRPr="004C7828">
              <w:rPr>
                <w:lang w:val="fr-CA"/>
              </w:rPr>
              <w:t>FRANÇAIS</w:t>
            </w:r>
          </w:p>
          <w:p w:rsidR="00C15867" w:rsidRPr="004C7828" w:rsidRDefault="00C15867" w:rsidP="004C7828">
            <w:pPr>
              <w:rPr>
                <w:lang w:val="fr-CA"/>
              </w:rPr>
            </w:pPr>
            <w:r w:rsidRPr="004C7828">
              <w:rPr>
                <w:lang w:val="fr-CA"/>
              </w:rPr>
              <w:t>ORIGINAL</w:t>
            </w:r>
            <w:r w:rsidR="004C7828" w:rsidRPr="004C7828">
              <w:rPr>
                <w:lang w:val="fr-CA"/>
              </w:rPr>
              <w:t xml:space="preserve"> </w:t>
            </w:r>
            <w:r w:rsidRPr="004C7828">
              <w:rPr>
                <w:lang w:val="fr-CA"/>
              </w:rPr>
              <w:t xml:space="preserve">: </w:t>
            </w:r>
            <w:r w:rsidR="004C7828" w:rsidRPr="004C7828">
              <w:rPr>
                <w:lang w:val="fr-CA"/>
              </w:rPr>
              <w:t>ANGLAIS</w:t>
            </w:r>
          </w:p>
        </w:tc>
      </w:tr>
    </w:tbl>
    <w:p w:rsidR="004C7828" w:rsidRPr="00096290" w:rsidRDefault="004C7828" w:rsidP="004C7828">
      <w:pPr>
        <w:jc w:val="left"/>
        <w:rPr>
          <w:lang w:val="fr-CA"/>
        </w:rPr>
      </w:pPr>
      <w:r w:rsidRPr="00096290">
        <w:rPr>
          <w:lang w:val="fr-CA"/>
        </w:rPr>
        <w:t xml:space="preserve">COMITÉ EXÉCUTIF </w:t>
      </w:r>
      <w:r w:rsidRPr="00096290">
        <w:rPr>
          <w:lang w:val="fr-CA"/>
        </w:rPr>
        <w:br/>
        <w:t xml:space="preserve"> DU FONDS MULTILATÉRAL AUX FINS </w:t>
      </w:r>
      <w:r w:rsidRPr="00096290">
        <w:rPr>
          <w:lang w:val="fr-CA"/>
        </w:rPr>
        <w:br/>
        <w:t xml:space="preserve"> D’APPLICATION DU PROTOCOLE DE MONTRÉAL</w:t>
      </w:r>
      <w:r w:rsidRPr="00096290">
        <w:rPr>
          <w:lang w:val="fr-CA"/>
        </w:rPr>
        <w:br/>
        <w:t>Quatre-vingt-sixième réunion</w:t>
      </w:r>
    </w:p>
    <w:p w:rsidR="004C7828" w:rsidRPr="00096290" w:rsidRDefault="004C7828" w:rsidP="004C7828">
      <w:pPr>
        <w:jc w:val="left"/>
        <w:rPr>
          <w:lang w:val="fr-CA"/>
        </w:rPr>
      </w:pPr>
      <w:r w:rsidRPr="00096290">
        <w:rPr>
          <w:lang w:val="fr-CA"/>
        </w:rPr>
        <w:t>Montréal, 2 – 6 novembre 2020</w:t>
      </w:r>
    </w:p>
    <w:p w:rsidR="004C7828" w:rsidRPr="00096290" w:rsidRDefault="004C7828" w:rsidP="004C7828">
      <w:pPr>
        <w:jc w:val="left"/>
        <w:rPr>
          <w:lang w:val="fr-CA"/>
        </w:rPr>
      </w:pPr>
      <w:r w:rsidRPr="00096290">
        <w:rPr>
          <w:lang w:val="fr-CA"/>
        </w:rPr>
        <w:t>Reportée : 8 – 12 mars 2021</w:t>
      </w:r>
      <w:r w:rsidRPr="00096290">
        <w:rPr>
          <w:rStyle w:val="FootnoteReference"/>
          <w:lang w:val="fr-CA"/>
        </w:rPr>
        <w:footnoteReference w:id="1"/>
      </w:r>
    </w:p>
    <w:p w:rsidR="00857077" w:rsidRPr="00096290" w:rsidRDefault="00857077" w:rsidP="00704CE9">
      <w:pPr>
        <w:jc w:val="left"/>
        <w:rPr>
          <w:lang w:val="fr-CA"/>
        </w:rPr>
      </w:pPr>
    </w:p>
    <w:p w:rsidR="00C15867" w:rsidRPr="00096290" w:rsidRDefault="00C15867" w:rsidP="00857077">
      <w:pPr>
        <w:jc w:val="left"/>
        <w:rPr>
          <w:lang w:val="fr-CA"/>
        </w:rPr>
      </w:pPr>
    </w:p>
    <w:p w:rsidR="00E4797C" w:rsidRDefault="009A60CA" w:rsidP="00E4797C">
      <w:pPr>
        <w:pStyle w:val="Title1"/>
        <w:rPr>
          <w:caps w:val="0"/>
          <w:lang w:val="fr-CA"/>
        </w:rPr>
      </w:pPr>
      <w:r w:rsidRPr="00096290">
        <w:rPr>
          <w:caps w:val="0"/>
          <w:lang w:val="fr-CA"/>
        </w:rPr>
        <w:t>ACTIVITÉS DU SECRÉTARIAT</w:t>
      </w:r>
    </w:p>
    <w:p w:rsidR="00755FF1" w:rsidRPr="00096290" w:rsidRDefault="00755FF1" w:rsidP="00E4797C">
      <w:pPr>
        <w:pStyle w:val="Title1"/>
        <w:rPr>
          <w:lang w:val="fr-CA"/>
        </w:rPr>
      </w:pPr>
    </w:p>
    <w:p w:rsidR="00E4797C" w:rsidRPr="00096290" w:rsidRDefault="00E4797C" w:rsidP="00E4797C">
      <w:pPr>
        <w:pStyle w:val="Heading1"/>
        <w:numPr>
          <w:ilvl w:val="0"/>
          <w:numId w:val="0"/>
        </w:numPr>
        <w:spacing w:after="0"/>
        <w:rPr>
          <w:b/>
          <w:color w:val="000000" w:themeColor="text1"/>
          <w:lang w:val="fr-CA"/>
        </w:rPr>
      </w:pPr>
    </w:p>
    <w:p w:rsidR="00E4797C" w:rsidRPr="00096290" w:rsidRDefault="00E4797C" w:rsidP="00E4797C">
      <w:pPr>
        <w:pStyle w:val="Heading1"/>
        <w:numPr>
          <w:ilvl w:val="0"/>
          <w:numId w:val="0"/>
        </w:numPr>
        <w:rPr>
          <w:b/>
          <w:color w:val="000000" w:themeColor="text1"/>
          <w:lang w:val="fr-CA"/>
        </w:rPr>
      </w:pPr>
      <w:r w:rsidRPr="00096290">
        <w:rPr>
          <w:b/>
          <w:color w:val="000000" w:themeColor="text1"/>
          <w:lang w:val="fr-CA"/>
        </w:rPr>
        <w:t>Introduction</w:t>
      </w:r>
    </w:p>
    <w:p w:rsidR="00E4797C" w:rsidRPr="00096290" w:rsidRDefault="007D0616" w:rsidP="00E4797C">
      <w:pPr>
        <w:pStyle w:val="Heading1"/>
        <w:rPr>
          <w:lang w:val="fr-CA"/>
        </w:rPr>
      </w:pPr>
      <w:r w:rsidRPr="00096290">
        <w:rPr>
          <w:lang w:val="fr-CA"/>
        </w:rPr>
        <w:t>Ce document présente les activités du Secrétariat depuis la conclusion du processus d’approbation intersessions (PAI) créé pour la 85</w:t>
      </w:r>
      <w:r w:rsidRPr="00096290">
        <w:rPr>
          <w:vertAlign w:val="superscript"/>
          <w:lang w:val="fr-CA"/>
        </w:rPr>
        <w:t>e</w:t>
      </w:r>
      <w:r w:rsidRPr="00096290">
        <w:rPr>
          <w:lang w:val="fr-CA"/>
        </w:rPr>
        <w:t xml:space="preserve"> réunion du Comité exécutif</w:t>
      </w:r>
      <w:r w:rsidR="00E4797C" w:rsidRPr="00096290">
        <w:rPr>
          <w:lang w:val="fr-CA"/>
        </w:rPr>
        <w:t>.</w:t>
      </w:r>
      <w:r w:rsidR="00BF23E0" w:rsidRPr="00096290">
        <w:rPr>
          <w:rStyle w:val="FootnoteReference"/>
          <w:lang w:val="fr-CA"/>
        </w:rPr>
        <w:footnoteReference w:id="2"/>
      </w:r>
    </w:p>
    <w:p w:rsidR="00E4797C" w:rsidRPr="00096290" w:rsidRDefault="007D0616" w:rsidP="00E4797C">
      <w:pPr>
        <w:widowControl w:val="0"/>
        <w:spacing w:after="240"/>
        <w:outlineLvl w:val="0"/>
        <w:rPr>
          <w:b/>
          <w:color w:val="000000" w:themeColor="text1"/>
          <w:lang w:val="fr-CA"/>
        </w:rPr>
      </w:pPr>
      <w:r w:rsidRPr="00096290">
        <w:rPr>
          <w:b/>
          <w:color w:val="000000" w:themeColor="text1"/>
          <w:lang w:val="fr-CA"/>
        </w:rPr>
        <w:t>Notification des résultats du processus d’approbation intersessions (PAI) de la 85</w:t>
      </w:r>
      <w:r w:rsidRPr="00096290">
        <w:rPr>
          <w:b/>
          <w:color w:val="000000" w:themeColor="text1"/>
          <w:vertAlign w:val="superscript"/>
          <w:lang w:val="fr-CA"/>
        </w:rPr>
        <w:t>e</w:t>
      </w:r>
      <w:r w:rsidRPr="00096290">
        <w:rPr>
          <w:b/>
          <w:color w:val="000000" w:themeColor="text1"/>
          <w:lang w:val="fr-CA"/>
        </w:rPr>
        <w:t xml:space="preserve"> réunion du Comité exécutif</w:t>
      </w:r>
    </w:p>
    <w:p w:rsidR="00E4797C" w:rsidRPr="00096290" w:rsidRDefault="007D0616" w:rsidP="00E4797C">
      <w:pPr>
        <w:pStyle w:val="Heading1"/>
        <w:rPr>
          <w:lang w:val="fr-CA"/>
        </w:rPr>
      </w:pPr>
      <w:r w:rsidRPr="00096290">
        <w:rPr>
          <w:lang w:val="fr-CA"/>
        </w:rPr>
        <w:t xml:space="preserve">Le document </w:t>
      </w:r>
      <w:r w:rsidR="00931865">
        <w:rPr>
          <w:lang w:val="fr-CA"/>
        </w:rPr>
        <w:t>sur l</w:t>
      </w:r>
      <w:r w:rsidRPr="00096290">
        <w:rPr>
          <w:lang w:val="fr-CA"/>
        </w:rPr>
        <w:t>es projets approuvés entre les sessions</w:t>
      </w:r>
      <w:r w:rsidR="00E4797C" w:rsidRPr="00096290">
        <w:rPr>
          <w:rStyle w:val="FootnoteReference"/>
          <w:color w:val="000000" w:themeColor="text1"/>
          <w:lang w:val="fr-CA"/>
        </w:rPr>
        <w:footnoteReference w:id="3"/>
      </w:r>
      <w:r w:rsidR="00E4797C" w:rsidRPr="00096290">
        <w:rPr>
          <w:lang w:val="fr-CA"/>
        </w:rPr>
        <w:t xml:space="preserve"> </w:t>
      </w:r>
      <w:r w:rsidRPr="00096290">
        <w:rPr>
          <w:lang w:val="fr-CA"/>
        </w:rPr>
        <w:t xml:space="preserve">a été transmis à tous les membres du Comité exécutif, aux agences d’exécution et au Secrétariat de l’ozone, et a été publié dans la section réservée du site Web du Fonds multilatéral. </w:t>
      </w:r>
      <w:r w:rsidR="00B41DC5" w:rsidRPr="00096290">
        <w:rPr>
          <w:lang w:val="fr-CA"/>
        </w:rPr>
        <w:t>Les résultats du PAI de la 85</w:t>
      </w:r>
      <w:r w:rsidR="00B41DC5" w:rsidRPr="00096290">
        <w:rPr>
          <w:vertAlign w:val="superscript"/>
          <w:lang w:val="fr-CA"/>
        </w:rPr>
        <w:t>e</w:t>
      </w:r>
      <w:r w:rsidR="00B41DC5" w:rsidRPr="00096290">
        <w:rPr>
          <w:lang w:val="fr-CA"/>
        </w:rPr>
        <w:t xml:space="preserve"> réunion concernant l’approbation des projets et le report de l’échéance des projets ont été communiqués à 76 pays visés à l</w:t>
      </w:r>
      <w:r w:rsidR="003D5ABC">
        <w:rPr>
          <w:lang w:val="fr-CA"/>
        </w:rPr>
        <w:t>’</w:t>
      </w:r>
      <w:r w:rsidR="00B41DC5" w:rsidRPr="00096290">
        <w:rPr>
          <w:lang w:val="fr-CA"/>
        </w:rPr>
        <w:t>article 5 et aux agences bilatérales et d’exécution concernées</w:t>
      </w:r>
      <w:r w:rsidR="00E4797C" w:rsidRPr="00096290">
        <w:rPr>
          <w:lang w:val="fr-CA"/>
        </w:rPr>
        <w:t>.</w:t>
      </w:r>
    </w:p>
    <w:p w:rsidR="00755FF1" w:rsidRDefault="00755FF1">
      <w:pPr>
        <w:jc w:val="left"/>
        <w:rPr>
          <w:b/>
          <w:color w:val="000000" w:themeColor="text1"/>
          <w:lang w:val="fr-CA"/>
        </w:rPr>
      </w:pPr>
      <w:r>
        <w:rPr>
          <w:b/>
          <w:color w:val="000000" w:themeColor="text1"/>
          <w:lang w:val="fr-CA"/>
        </w:rPr>
        <w:br w:type="page"/>
      </w:r>
    </w:p>
    <w:p w:rsidR="00E4797C" w:rsidRPr="00096290" w:rsidRDefault="00B41DC5" w:rsidP="00E4797C">
      <w:pPr>
        <w:widowControl w:val="0"/>
        <w:spacing w:after="240"/>
        <w:outlineLvl w:val="0"/>
        <w:rPr>
          <w:b/>
          <w:color w:val="000000" w:themeColor="text1"/>
          <w:lang w:val="fr-CA"/>
        </w:rPr>
      </w:pPr>
      <w:r w:rsidRPr="00096290">
        <w:rPr>
          <w:b/>
          <w:color w:val="000000" w:themeColor="text1"/>
          <w:lang w:val="fr-CA"/>
        </w:rPr>
        <w:lastRenderedPageBreak/>
        <w:t>Mesures prises après le PAI de la 85</w:t>
      </w:r>
      <w:r w:rsidRPr="00096290">
        <w:rPr>
          <w:b/>
          <w:color w:val="000000" w:themeColor="text1"/>
          <w:vertAlign w:val="superscript"/>
          <w:lang w:val="fr-CA"/>
        </w:rPr>
        <w:t>e</w:t>
      </w:r>
      <w:r w:rsidRPr="00096290">
        <w:rPr>
          <w:b/>
          <w:color w:val="000000" w:themeColor="text1"/>
          <w:lang w:val="fr-CA"/>
        </w:rPr>
        <w:t xml:space="preserve"> réunion</w:t>
      </w:r>
    </w:p>
    <w:p w:rsidR="00E4797C" w:rsidRPr="00096290" w:rsidRDefault="00B41DC5" w:rsidP="00E4797C">
      <w:pPr>
        <w:pStyle w:val="Heading1"/>
        <w:tabs>
          <w:tab w:val="clear" w:pos="0"/>
        </w:tabs>
        <w:rPr>
          <w:color w:val="000000" w:themeColor="text1"/>
          <w:lang w:val="fr-CA"/>
        </w:rPr>
      </w:pPr>
      <w:r w:rsidRPr="00096290">
        <w:rPr>
          <w:color w:val="000000" w:themeColor="text1"/>
          <w:lang w:val="fr-CA"/>
        </w:rPr>
        <w:t>Le Chef du Secrét</w:t>
      </w:r>
      <w:r w:rsidR="007E543F" w:rsidRPr="00096290">
        <w:rPr>
          <w:color w:val="000000" w:themeColor="text1"/>
          <w:lang w:val="fr-CA"/>
        </w:rPr>
        <w:t>ariat a fait parvenir une lettre</w:t>
      </w:r>
      <w:r w:rsidRPr="00096290">
        <w:rPr>
          <w:color w:val="000000" w:themeColor="text1"/>
          <w:lang w:val="fr-CA"/>
        </w:rPr>
        <w:t xml:space="preserve"> aux gouvernements des pays donateurs</w:t>
      </w:r>
      <w:r w:rsidR="00E4797C" w:rsidRPr="00096290">
        <w:rPr>
          <w:rStyle w:val="FootnoteReference"/>
          <w:lang w:val="fr-CA"/>
        </w:rPr>
        <w:footnoteReference w:id="4"/>
      </w:r>
      <w:r w:rsidR="00E4797C" w:rsidRPr="00096290">
        <w:rPr>
          <w:lang w:val="fr-CA"/>
        </w:rPr>
        <w:t xml:space="preserve"> </w:t>
      </w:r>
      <w:r w:rsidRPr="00096290">
        <w:rPr>
          <w:color w:val="000000" w:themeColor="text1"/>
          <w:lang w:val="fr-CA"/>
        </w:rPr>
        <w:t>s’étant engagés à offrir un soutien pour le démarrage rapide de la mise en œuvre</w:t>
      </w:r>
      <w:r w:rsidR="007E543F" w:rsidRPr="00096290">
        <w:rPr>
          <w:color w:val="000000" w:themeColor="text1"/>
          <w:lang w:val="fr-CA"/>
        </w:rPr>
        <w:t xml:space="preserve"> de la réduction p</w:t>
      </w:r>
      <w:r w:rsidRPr="00096290">
        <w:rPr>
          <w:color w:val="000000" w:themeColor="text1"/>
          <w:lang w:val="fr-CA"/>
        </w:rPr>
        <w:t>rogressive des HFC</w:t>
      </w:r>
      <w:r w:rsidR="00471CFE">
        <w:rPr>
          <w:color w:val="000000" w:themeColor="text1"/>
          <w:lang w:val="fr-CA"/>
        </w:rPr>
        <w:t>,</w:t>
      </w:r>
      <w:r w:rsidR="007E543F" w:rsidRPr="00096290">
        <w:rPr>
          <w:color w:val="000000" w:themeColor="text1"/>
          <w:lang w:val="fr-CA"/>
        </w:rPr>
        <w:t xml:space="preserve"> qui contenait un rapport supplémentaire sur les progrès accomplis dans la mise en œuvre d</w:t>
      </w:r>
      <w:r w:rsidR="00471CFE">
        <w:rPr>
          <w:color w:val="000000" w:themeColor="text1"/>
          <w:lang w:val="fr-CA"/>
        </w:rPr>
        <w:t>es projets d’investissement et d</w:t>
      </w:r>
      <w:r w:rsidR="007E543F" w:rsidRPr="00096290">
        <w:rPr>
          <w:color w:val="000000" w:themeColor="text1"/>
          <w:lang w:val="fr-CA"/>
        </w:rPr>
        <w:t>es activités de facilitation en lien avec les HFC, conformément à la décision 84/12 b)</w:t>
      </w:r>
      <w:r w:rsidR="00815E21" w:rsidRPr="00096290">
        <w:rPr>
          <w:color w:val="000000" w:themeColor="text1"/>
          <w:lang w:val="fr-CA"/>
        </w:rPr>
        <w:t>).</w:t>
      </w:r>
      <w:r w:rsidR="00815E21" w:rsidRPr="00096290">
        <w:rPr>
          <w:rStyle w:val="FootnoteReference"/>
          <w:color w:val="000000" w:themeColor="text1"/>
          <w:lang w:val="fr-CA"/>
        </w:rPr>
        <w:footnoteReference w:id="5"/>
      </w:r>
      <w:r w:rsidR="00E4797C" w:rsidRPr="00096290">
        <w:rPr>
          <w:color w:val="000000" w:themeColor="text1"/>
          <w:lang w:val="fr-CA"/>
        </w:rPr>
        <w:t xml:space="preserve"> </w:t>
      </w:r>
    </w:p>
    <w:p w:rsidR="00E4797C" w:rsidRPr="00096290" w:rsidRDefault="00C2303C" w:rsidP="00E4797C">
      <w:pPr>
        <w:pStyle w:val="Heading1"/>
        <w:rPr>
          <w:color w:val="000000"/>
          <w:kern w:val="36"/>
          <w:lang w:val="fr-CA"/>
        </w:rPr>
      </w:pPr>
      <w:r w:rsidRPr="00096290">
        <w:rPr>
          <w:color w:val="000000"/>
          <w:kern w:val="36"/>
          <w:lang w:val="fr-CA"/>
        </w:rPr>
        <w:t xml:space="preserve">En réponse à la décision 81/16 b), le Secrétariat continue à </w:t>
      </w:r>
      <w:r w:rsidR="0044076B">
        <w:rPr>
          <w:color w:val="000000"/>
          <w:kern w:val="36"/>
          <w:lang w:val="fr-CA"/>
        </w:rPr>
        <w:t xml:space="preserve">préparer et à </w:t>
      </w:r>
      <w:r w:rsidRPr="00096290">
        <w:rPr>
          <w:color w:val="000000"/>
          <w:kern w:val="36"/>
          <w:lang w:val="fr-CA"/>
        </w:rPr>
        <w:t>extraire des renseignements pertinents des fiches de renseignements pour les rappo</w:t>
      </w:r>
      <w:r w:rsidR="00C80719" w:rsidRPr="00096290">
        <w:rPr>
          <w:color w:val="000000"/>
          <w:kern w:val="36"/>
          <w:lang w:val="fr-CA"/>
        </w:rPr>
        <w:t>rts finaux des projets de démon</w:t>
      </w:r>
      <w:r w:rsidRPr="00096290">
        <w:rPr>
          <w:color w:val="000000"/>
          <w:kern w:val="36"/>
          <w:lang w:val="fr-CA"/>
        </w:rPr>
        <w:t xml:space="preserve">stration achevés sur les substances de remplacement possibles </w:t>
      </w:r>
      <w:r w:rsidR="00C80719" w:rsidRPr="00096290">
        <w:rPr>
          <w:color w:val="000000"/>
          <w:kern w:val="36"/>
          <w:lang w:val="fr-CA"/>
        </w:rPr>
        <w:t xml:space="preserve">des HCFC </w:t>
      </w:r>
      <w:r w:rsidRPr="00096290">
        <w:rPr>
          <w:color w:val="000000"/>
          <w:kern w:val="36"/>
          <w:lang w:val="fr-CA"/>
        </w:rPr>
        <w:t xml:space="preserve">à faible potentiel de réchauffement de </w:t>
      </w:r>
      <w:r w:rsidR="00C80719" w:rsidRPr="00096290">
        <w:rPr>
          <w:color w:val="000000"/>
          <w:kern w:val="36"/>
          <w:lang w:val="fr-CA"/>
        </w:rPr>
        <w:t>la planè</w:t>
      </w:r>
      <w:r w:rsidRPr="00096290">
        <w:rPr>
          <w:color w:val="000000"/>
          <w:kern w:val="36"/>
          <w:lang w:val="fr-CA"/>
        </w:rPr>
        <w:t xml:space="preserve">te </w:t>
      </w:r>
      <w:r w:rsidR="00C80719" w:rsidRPr="00096290">
        <w:rPr>
          <w:color w:val="000000"/>
          <w:kern w:val="36"/>
          <w:lang w:val="fr-CA"/>
        </w:rPr>
        <w:t>(PRG) et les études de faisabilité sur le refroidissement urbain présenté</w:t>
      </w:r>
      <w:r w:rsidR="0044076B">
        <w:rPr>
          <w:color w:val="000000"/>
          <w:kern w:val="36"/>
          <w:lang w:val="fr-CA"/>
        </w:rPr>
        <w:t>e</w:t>
      </w:r>
      <w:r w:rsidR="00C80719" w:rsidRPr="00096290">
        <w:rPr>
          <w:color w:val="000000"/>
          <w:kern w:val="36"/>
          <w:lang w:val="fr-CA"/>
        </w:rPr>
        <w:t>s au Comité exécutif, et les téléversera lorsqu’ils seront prêts</w:t>
      </w:r>
      <w:r w:rsidR="00E4797C" w:rsidRPr="00096290">
        <w:rPr>
          <w:color w:val="000000"/>
          <w:kern w:val="36"/>
          <w:lang w:val="fr-CA"/>
        </w:rPr>
        <w:t>.</w:t>
      </w:r>
    </w:p>
    <w:p w:rsidR="00E4797C" w:rsidRPr="00096290" w:rsidRDefault="00C80719" w:rsidP="00E4797C">
      <w:pPr>
        <w:pStyle w:val="Heading1"/>
        <w:rPr>
          <w:color w:val="000000" w:themeColor="text1"/>
          <w:lang w:val="fr-CA"/>
        </w:rPr>
      </w:pPr>
      <w:r w:rsidRPr="00096290">
        <w:rPr>
          <w:color w:val="000000" w:themeColor="text1"/>
          <w:lang w:val="fr-CA"/>
        </w:rPr>
        <w:t>Le Secrétariat poursuit son analyse et la mise à jour des bases de données, des documents sommaires et des lignes directrices opérationnelles</w:t>
      </w:r>
      <w:r w:rsidR="006A0B78" w:rsidRPr="00096290">
        <w:rPr>
          <w:color w:val="000000" w:themeColor="text1"/>
          <w:lang w:val="fr-CA"/>
        </w:rPr>
        <w:t>,</w:t>
      </w:r>
      <w:r w:rsidR="00E4797C" w:rsidRPr="00096290">
        <w:rPr>
          <w:rStyle w:val="FootnoteReference"/>
          <w:color w:val="000000" w:themeColor="text1"/>
          <w:lang w:val="fr-CA"/>
        </w:rPr>
        <w:footnoteReference w:id="6"/>
      </w:r>
      <w:r w:rsidR="006A0B78" w:rsidRPr="00096290">
        <w:rPr>
          <w:color w:val="000000" w:themeColor="text1"/>
          <w:lang w:val="fr-CA"/>
        </w:rPr>
        <w:t xml:space="preserve"> </w:t>
      </w:r>
      <w:r w:rsidRPr="00096290">
        <w:rPr>
          <w:color w:val="000000" w:themeColor="text1"/>
          <w:lang w:val="fr-CA"/>
        </w:rPr>
        <w:t>s’il y a lieu</w:t>
      </w:r>
      <w:r w:rsidR="006A0B78" w:rsidRPr="00096290">
        <w:rPr>
          <w:color w:val="000000" w:themeColor="text1"/>
          <w:lang w:val="fr-CA"/>
        </w:rPr>
        <w:t>.</w:t>
      </w:r>
    </w:p>
    <w:p w:rsidR="00E4797C" w:rsidRPr="00096290" w:rsidRDefault="00C80719" w:rsidP="00E4797C">
      <w:pPr>
        <w:widowControl w:val="0"/>
        <w:spacing w:after="240"/>
        <w:outlineLvl w:val="0"/>
        <w:rPr>
          <w:b/>
          <w:color w:val="000000" w:themeColor="text1"/>
          <w:lang w:val="fr-CA"/>
        </w:rPr>
      </w:pPr>
      <w:r w:rsidRPr="00096290">
        <w:rPr>
          <w:b/>
          <w:color w:val="000000" w:themeColor="text1"/>
          <w:lang w:val="fr-CA"/>
        </w:rPr>
        <w:t>Préparation des 85</w:t>
      </w:r>
      <w:r w:rsidRPr="00096290">
        <w:rPr>
          <w:b/>
          <w:color w:val="000000" w:themeColor="text1"/>
          <w:vertAlign w:val="superscript"/>
          <w:lang w:val="fr-CA"/>
        </w:rPr>
        <w:t>e</w:t>
      </w:r>
      <w:r w:rsidRPr="00096290">
        <w:rPr>
          <w:b/>
          <w:color w:val="000000" w:themeColor="text1"/>
          <w:lang w:val="fr-CA"/>
        </w:rPr>
        <w:t xml:space="preserve"> et 86</w:t>
      </w:r>
      <w:r w:rsidRPr="00096290">
        <w:rPr>
          <w:b/>
          <w:color w:val="000000" w:themeColor="text1"/>
          <w:vertAlign w:val="superscript"/>
          <w:lang w:val="fr-CA"/>
        </w:rPr>
        <w:t>e</w:t>
      </w:r>
      <w:r w:rsidRPr="00096290">
        <w:rPr>
          <w:b/>
          <w:color w:val="000000" w:themeColor="text1"/>
          <w:lang w:val="fr-CA"/>
        </w:rPr>
        <w:t xml:space="preserve"> réunions du Comité exécutif et du PAI</w:t>
      </w:r>
    </w:p>
    <w:p w:rsidR="00506012" w:rsidRPr="00096290" w:rsidRDefault="00C80719" w:rsidP="00506012">
      <w:pPr>
        <w:pStyle w:val="Heading1"/>
        <w:widowControl w:val="0"/>
        <w:tabs>
          <w:tab w:val="clear" w:pos="0"/>
        </w:tabs>
        <w:rPr>
          <w:lang w:val="fr-CA"/>
        </w:rPr>
      </w:pPr>
      <w:r w:rsidRPr="00096290">
        <w:rPr>
          <w:color w:val="000000" w:themeColor="text1"/>
          <w:lang w:val="fr-CA"/>
        </w:rPr>
        <w:t xml:space="preserve">Le Secrétariat continue à suivre l’évolution de la </w:t>
      </w:r>
      <w:r w:rsidR="00F7276E" w:rsidRPr="00096290">
        <w:rPr>
          <w:color w:val="000000" w:themeColor="text1"/>
          <w:lang w:val="fr-CA"/>
        </w:rPr>
        <w:t>pandémie de la COVID-19</w:t>
      </w:r>
      <w:r w:rsidRPr="00096290">
        <w:rPr>
          <w:color w:val="000000" w:themeColor="text1"/>
          <w:lang w:val="fr-CA"/>
        </w:rPr>
        <w:t xml:space="preserve"> autour du monde. </w:t>
      </w:r>
      <w:r w:rsidR="00F7276E" w:rsidRPr="00096290">
        <w:rPr>
          <w:color w:val="000000" w:themeColor="text1"/>
          <w:lang w:val="fr-CA"/>
        </w:rPr>
        <w:t xml:space="preserve">Le Comité exécutif a été informé le 2 juin 2020 </w:t>
      </w:r>
      <w:r w:rsidR="0044076B">
        <w:rPr>
          <w:color w:val="000000" w:themeColor="text1"/>
          <w:lang w:val="fr-CA"/>
        </w:rPr>
        <w:t xml:space="preserve">que </w:t>
      </w:r>
      <w:r w:rsidR="000D1A7E">
        <w:rPr>
          <w:color w:val="000000" w:themeColor="text1"/>
          <w:lang w:val="fr-CA"/>
        </w:rPr>
        <w:t>le siège de</w:t>
      </w:r>
      <w:r w:rsidR="00F7276E" w:rsidRPr="00096290">
        <w:rPr>
          <w:color w:val="000000" w:themeColor="text1"/>
          <w:lang w:val="fr-CA"/>
        </w:rPr>
        <w:t xml:space="preserve"> l’Organisation de l’aviation civile internationale </w:t>
      </w:r>
      <w:r w:rsidR="0044076B">
        <w:rPr>
          <w:color w:val="000000" w:themeColor="text1"/>
          <w:lang w:val="fr-CA"/>
        </w:rPr>
        <w:t xml:space="preserve">ne serait pas disponible </w:t>
      </w:r>
      <w:r w:rsidR="00F7276E" w:rsidRPr="00096290">
        <w:rPr>
          <w:color w:val="000000" w:themeColor="text1"/>
          <w:lang w:val="fr-CA"/>
        </w:rPr>
        <w:t>pour la 85</w:t>
      </w:r>
      <w:r w:rsidR="00F7276E" w:rsidRPr="00096290">
        <w:rPr>
          <w:color w:val="000000" w:themeColor="text1"/>
          <w:vertAlign w:val="superscript"/>
          <w:lang w:val="fr-CA"/>
        </w:rPr>
        <w:t>e</w:t>
      </w:r>
      <w:r w:rsidR="00F7276E" w:rsidRPr="00096290">
        <w:rPr>
          <w:color w:val="000000" w:themeColor="text1"/>
          <w:lang w:val="fr-CA"/>
        </w:rPr>
        <w:t xml:space="preserve"> réunion en juillet 2020. Le 17 juin 2020, le Secrétariat a préparé un docume</w:t>
      </w:r>
      <w:r w:rsidR="000D1A7E">
        <w:rPr>
          <w:color w:val="000000" w:themeColor="text1"/>
          <w:lang w:val="fr-CA"/>
        </w:rPr>
        <w:t xml:space="preserve">nt proposant les solutions les </w:t>
      </w:r>
      <w:r w:rsidR="00F7276E" w:rsidRPr="00096290">
        <w:rPr>
          <w:color w:val="000000" w:themeColor="text1"/>
          <w:lang w:val="fr-CA"/>
        </w:rPr>
        <w:t>plus efficaces pour la tenue des 85</w:t>
      </w:r>
      <w:r w:rsidR="00F7276E" w:rsidRPr="00096290">
        <w:rPr>
          <w:color w:val="000000" w:themeColor="text1"/>
          <w:vertAlign w:val="superscript"/>
          <w:lang w:val="fr-CA"/>
        </w:rPr>
        <w:t>e</w:t>
      </w:r>
      <w:r w:rsidR="00F7276E" w:rsidRPr="00096290">
        <w:rPr>
          <w:color w:val="000000" w:themeColor="text1"/>
          <w:lang w:val="fr-CA"/>
        </w:rPr>
        <w:t xml:space="preserve"> et 86</w:t>
      </w:r>
      <w:r w:rsidR="00F7276E" w:rsidRPr="00096290">
        <w:rPr>
          <w:color w:val="000000" w:themeColor="text1"/>
          <w:vertAlign w:val="superscript"/>
          <w:lang w:val="fr-CA"/>
        </w:rPr>
        <w:t>e</w:t>
      </w:r>
      <w:r w:rsidR="00F7276E" w:rsidRPr="00096290">
        <w:rPr>
          <w:color w:val="000000" w:themeColor="text1"/>
          <w:lang w:val="fr-CA"/>
        </w:rPr>
        <w:t xml:space="preserve"> réunions</w:t>
      </w:r>
      <w:r w:rsidR="000D1A7E">
        <w:rPr>
          <w:color w:val="000000" w:themeColor="text1"/>
          <w:lang w:val="fr-CA"/>
        </w:rPr>
        <w:t>,</w:t>
      </w:r>
      <w:r w:rsidR="00F7276E" w:rsidRPr="00096290">
        <w:rPr>
          <w:color w:val="000000" w:themeColor="text1"/>
          <w:lang w:val="fr-CA"/>
        </w:rPr>
        <w:t xml:space="preserve"> conformément à la procédure établie préalablement par le Comité exécutif</w:t>
      </w:r>
      <w:r w:rsidR="000E40A7" w:rsidRPr="00096290">
        <w:rPr>
          <w:color w:val="000000" w:themeColor="text1"/>
          <w:lang w:val="fr-CA"/>
        </w:rPr>
        <w:t xml:space="preserve"> </w:t>
      </w:r>
      <w:r w:rsidR="000D1A7E">
        <w:rPr>
          <w:color w:val="000000" w:themeColor="text1"/>
          <w:lang w:val="fr-CA"/>
        </w:rPr>
        <w:t>à cet égard,</w:t>
      </w:r>
      <w:r w:rsidR="000E40A7" w:rsidRPr="00096290">
        <w:rPr>
          <w:color w:val="000000" w:themeColor="text1"/>
          <w:lang w:val="fr-CA"/>
        </w:rPr>
        <w:t xml:space="preserve"> pour examen par le Comité exécutif. Après avoir pris connaissance des commentaires reçus, le Secrétariat a proposé, le 20 juillet 2020, un plan d’action détaillé, dans l’éventualité où les 85</w:t>
      </w:r>
      <w:r w:rsidR="000E40A7" w:rsidRPr="00096290">
        <w:rPr>
          <w:color w:val="000000" w:themeColor="text1"/>
          <w:vertAlign w:val="superscript"/>
          <w:lang w:val="fr-CA"/>
        </w:rPr>
        <w:t>e</w:t>
      </w:r>
      <w:r w:rsidR="000E40A7" w:rsidRPr="00096290">
        <w:rPr>
          <w:color w:val="000000" w:themeColor="text1"/>
          <w:lang w:val="fr-CA"/>
        </w:rPr>
        <w:t xml:space="preserve"> et 86</w:t>
      </w:r>
      <w:r w:rsidR="000E40A7" w:rsidRPr="00096290">
        <w:rPr>
          <w:color w:val="000000" w:themeColor="text1"/>
          <w:vertAlign w:val="superscript"/>
          <w:lang w:val="fr-CA"/>
        </w:rPr>
        <w:t>e</w:t>
      </w:r>
      <w:r w:rsidR="000E40A7" w:rsidRPr="00096290">
        <w:rPr>
          <w:color w:val="000000" w:themeColor="text1"/>
          <w:lang w:val="fr-CA"/>
        </w:rPr>
        <w:t xml:space="preserve"> réunions seraient reportées au mois de mars 2021, pour examen par les membres du Comité exécutif</w:t>
      </w:r>
      <w:r w:rsidR="00506012" w:rsidRPr="00096290">
        <w:rPr>
          <w:color w:val="000000" w:themeColor="text1"/>
          <w:lang w:val="fr-CA"/>
        </w:rPr>
        <w:t>.</w:t>
      </w:r>
    </w:p>
    <w:p w:rsidR="00E4797C" w:rsidRPr="00096290" w:rsidRDefault="000E40A7" w:rsidP="00E4797C">
      <w:pPr>
        <w:pStyle w:val="Heading1"/>
        <w:widowControl w:val="0"/>
        <w:tabs>
          <w:tab w:val="clear" w:pos="0"/>
        </w:tabs>
        <w:rPr>
          <w:lang w:val="fr-CA"/>
        </w:rPr>
      </w:pPr>
      <w:r w:rsidRPr="00096290">
        <w:rPr>
          <w:lang w:val="fr-CA"/>
        </w:rPr>
        <w:t>Par la suite, le Chef du Secrétariat a informé le président et le vice-président du Comité exécutif de la procédure qui s’appliquera aux 85</w:t>
      </w:r>
      <w:r w:rsidRPr="00096290">
        <w:rPr>
          <w:vertAlign w:val="superscript"/>
          <w:lang w:val="fr-CA"/>
        </w:rPr>
        <w:t>e</w:t>
      </w:r>
      <w:r w:rsidRPr="00096290">
        <w:rPr>
          <w:lang w:val="fr-CA"/>
        </w:rPr>
        <w:t xml:space="preserve"> et 86</w:t>
      </w:r>
      <w:r w:rsidRPr="00096290">
        <w:rPr>
          <w:vertAlign w:val="superscript"/>
          <w:lang w:val="fr-CA"/>
        </w:rPr>
        <w:t>e</w:t>
      </w:r>
      <w:r w:rsidRPr="00096290">
        <w:rPr>
          <w:lang w:val="fr-CA"/>
        </w:rPr>
        <w:t xml:space="preserve"> réunions, qui </w:t>
      </w:r>
      <w:r w:rsidR="000D1A7E">
        <w:rPr>
          <w:lang w:val="fr-CA"/>
        </w:rPr>
        <w:t>tient</w:t>
      </w:r>
      <w:r w:rsidRPr="00096290">
        <w:rPr>
          <w:lang w:val="fr-CA"/>
        </w:rPr>
        <w:t xml:space="preserve"> compte des réponses reçues des membres du Comité exécutif. </w:t>
      </w:r>
      <w:r w:rsidR="00354A8F" w:rsidRPr="00096290">
        <w:rPr>
          <w:lang w:val="fr-CA"/>
        </w:rPr>
        <w:t>Après l’acceptation de la procédure suggérée par le président, le Chef du Secrétariat a informé les membres du Comité, le 10 août 2020, de la procédure ci-dessous qui s’appliquera aux 85</w:t>
      </w:r>
      <w:r w:rsidR="00354A8F" w:rsidRPr="00096290">
        <w:rPr>
          <w:vertAlign w:val="superscript"/>
          <w:lang w:val="fr-CA"/>
        </w:rPr>
        <w:t>e</w:t>
      </w:r>
      <w:r w:rsidR="00354A8F" w:rsidRPr="00096290">
        <w:rPr>
          <w:lang w:val="fr-CA"/>
        </w:rPr>
        <w:t xml:space="preserve"> et 86</w:t>
      </w:r>
      <w:r w:rsidR="00354A8F" w:rsidRPr="00096290">
        <w:rPr>
          <w:vertAlign w:val="superscript"/>
          <w:lang w:val="fr-CA"/>
        </w:rPr>
        <w:t>e</w:t>
      </w:r>
      <w:r w:rsidR="00354A8F" w:rsidRPr="00096290">
        <w:rPr>
          <w:lang w:val="fr-CA"/>
        </w:rPr>
        <w:t xml:space="preserve"> réunions</w:t>
      </w:r>
      <w:r w:rsidR="003D5ABC">
        <w:rPr>
          <w:lang w:val="fr-CA"/>
        </w:rPr>
        <w:t> </w:t>
      </w:r>
      <w:r w:rsidR="00E4797C" w:rsidRPr="00096290">
        <w:rPr>
          <w:lang w:val="fr-CA"/>
        </w:rPr>
        <w:t>:</w:t>
      </w:r>
    </w:p>
    <w:p w:rsidR="00540481" w:rsidRPr="00096290" w:rsidRDefault="00354A8F" w:rsidP="00354A8F">
      <w:pPr>
        <w:pStyle w:val="Heading2"/>
        <w:rPr>
          <w:lang w:val="fr-CA"/>
        </w:rPr>
      </w:pPr>
      <w:r w:rsidRPr="00096290">
        <w:rPr>
          <w:lang w:val="fr-CA"/>
        </w:rPr>
        <w:t>La procédure extraordinaire mise en place pour les 85</w:t>
      </w:r>
      <w:r w:rsidRPr="00096290">
        <w:rPr>
          <w:vertAlign w:val="superscript"/>
          <w:lang w:val="fr-CA"/>
        </w:rPr>
        <w:t>e</w:t>
      </w:r>
      <w:r w:rsidRPr="00096290">
        <w:rPr>
          <w:lang w:val="fr-CA"/>
        </w:rPr>
        <w:t xml:space="preserve"> et 86</w:t>
      </w:r>
      <w:r w:rsidRPr="00096290">
        <w:rPr>
          <w:vertAlign w:val="superscript"/>
          <w:lang w:val="fr-CA"/>
        </w:rPr>
        <w:t>e</w:t>
      </w:r>
      <w:r w:rsidRPr="00096290">
        <w:rPr>
          <w:lang w:val="fr-CA"/>
        </w:rPr>
        <w:t xml:space="preserve"> réunions existe à cause des circonstances exceptionnelles liées à la pandémie COVID-19</w:t>
      </w:r>
      <w:r w:rsidR="00B36659" w:rsidRPr="00096290">
        <w:rPr>
          <w:lang w:val="fr-CA"/>
        </w:rPr>
        <w:t xml:space="preserve">. Elle ne sera </w:t>
      </w:r>
      <w:r w:rsidR="0038123A">
        <w:rPr>
          <w:lang w:val="fr-CA"/>
        </w:rPr>
        <w:t>appliquée</w:t>
      </w:r>
      <w:r w:rsidR="00B36659" w:rsidRPr="00096290">
        <w:rPr>
          <w:lang w:val="fr-CA"/>
        </w:rPr>
        <w:t xml:space="preserve"> qu’une fois et n’établira aucun précédent pour le futur fonctionnement du Comité exécutif</w:t>
      </w:r>
      <w:r w:rsidR="003D5ABC">
        <w:rPr>
          <w:lang w:val="fr-CA"/>
        </w:rPr>
        <w:t> </w:t>
      </w:r>
      <w:r w:rsidR="00540481" w:rsidRPr="00096290">
        <w:rPr>
          <w:lang w:val="fr-CA"/>
        </w:rPr>
        <w:t>;</w:t>
      </w:r>
    </w:p>
    <w:p w:rsidR="00540481" w:rsidRPr="00096290" w:rsidRDefault="00B36659" w:rsidP="00540481">
      <w:pPr>
        <w:pStyle w:val="Heading2"/>
        <w:numPr>
          <w:ilvl w:val="1"/>
          <w:numId w:val="1"/>
        </w:numPr>
        <w:rPr>
          <w:lang w:val="fr-CA"/>
        </w:rPr>
      </w:pPr>
      <w:r w:rsidRPr="00096290">
        <w:rPr>
          <w:lang w:val="fr-CA"/>
        </w:rPr>
        <w:lastRenderedPageBreak/>
        <w:t>Les 85</w:t>
      </w:r>
      <w:r w:rsidRPr="00096290">
        <w:rPr>
          <w:vertAlign w:val="superscript"/>
          <w:lang w:val="fr-CA"/>
        </w:rPr>
        <w:t>e</w:t>
      </w:r>
      <w:r w:rsidRPr="00096290">
        <w:rPr>
          <w:lang w:val="fr-CA"/>
        </w:rPr>
        <w:t xml:space="preserve"> et 86</w:t>
      </w:r>
      <w:r w:rsidRPr="00096290">
        <w:rPr>
          <w:vertAlign w:val="superscript"/>
          <w:lang w:val="fr-CA"/>
        </w:rPr>
        <w:t>e</w:t>
      </w:r>
      <w:r w:rsidRPr="00096290">
        <w:rPr>
          <w:lang w:val="fr-CA"/>
        </w:rPr>
        <w:t xml:space="preserve"> réunions seront présentées l’une à la suite de l’autre à Montréal, au Canada, du 8 au 12 mars, étant entendu que</w:t>
      </w:r>
      <w:r w:rsidR="003D5ABC">
        <w:rPr>
          <w:lang w:val="fr-CA"/>
        </w:rPr>
        <w:t> </w:t>
      </w:r>
      <w:r w:rsidR="00540481" w:rsidRPr="00096290">
        <w:rPr>
          <w:lang w:val="fr-CA"/>
        </w:rPr>
        <w:t>:</w:t>
      </w:r>
    </w:p>
    <w:p w:rsidR="00540481" w:rsidRPr="00096290" w:rsidRDefault="00B36659" w:rsidP="004D4715">
      <w:pPr>
        <w:pStyle w:val="Heading3"/>
        <w:widowControl/>
        <w:numPr>
          <w:ilvl w:val="2"/>
          <w:numId w:val="21"/>
        </w:numPr>
        <w:rPr>
          <w:lang w:val="fr-CA"/>
        </w:rPr>
      </w:pPr>
      <w:r w:rsidRPr="00096290">
        <w:rPr>
          <w:lang w:val="fr-CA"/>
        </w:rPr>
        <w:t>La 85</w:t>
      </w:r>
      <w:r w:rsidRPr="00096290">
        <w:rPr>
          <w:vertAlign w:val="superscript"/>
          <w:lang w:val="fr-CA"/>
        </w:rPr>
        <w:t>e</w:t>
      </w:r>
      <w:r w:rsidRPr="00096290">
        <w:rPr>
          <w:lang w:val="fr-CA"/>
        </w:rPr>
        <w:t xml:space="preserve"> réunion sera de courte durée (maximum de deux heures) et aura pour but d’adopter un ordre du jour provisoire révisé, de prendre note des activités du Secrétariat et de l’état des contributions et des décaissements du Fonds multilatéral (au 31 mai 2020) et d’adopter le rapport provisoire de la réunion, qui comprendra les points approuvés</w:t>
      </w:r>
      <w:r w:rsidR="00FF3DEF" w:rsidRPr="00096290">
        <w:rPr>
          <w:lang w:val="fr-CA"/>
        </w:rPr>
        <w:t xml:space="preserve"> au titre du PAI créé pour la 85</w:t>
      </w:r>
      <w:r w:rsidR="00FF3DEF" w:rsidRPr="00096290">
        <w:rPr>
          <w:vertAlign w:val="superscript"/>
          <w:lang w:val="fr-CA"/>
        </w:rPr>
        <w:t>e</w:t>
      </w:r>
      <w:r w:rsidR="00FF3DEF" w:rsidRPr="00096290">
        <w:rPr>
          <w:lang w:val="fr-CA"/>
        </w:rPr>
        <w:t xml:space="preserve"> réunion, présenté dans le document </w:t>
      </w:r>
      <w:r w:rsidR="00540481" w:rsidRPr="00096290">
        <w:rPr>
          <w:lang w:val="fr-CA"/>
        </w:rPr>
        <w:t>UNEP/</w:t>
      </w:r>
      <w:proofErr w:type="spellStart"/>
      <w:r w:rsidR="00540481" w:rsidRPr="00096290">
        <w:rPr>
          <w:lang w:val="fr-CA"/>
        </w:rPr>
        <w:t>OzL.Pro</w:t>
      </w:r>
      <w:proofErr w:type="spellEnd"/>
      <w:r w:rsidR="00540481" w:rsidRPr="00096290">
        <w:rPr>
          <w:lang w:val="fr-CA"/>
        </w:rPr>
        <w:t>/</w:t>
      </w:r>
      <w:proofErr w:type="spellStart"/>
      <w:r w:rsidR="00540481" w:rsidRPr="00096290">
        <w:rPr>
          <w:lang w:val="fr-CA"/>
        </w:rPr>
        <w:t>ExCom</w:t>
      </w:r>
      <w:proofErr w:type="spellEnd"/>
      <w:r w:rsidR="00540481" w:rsidRPr="00096290">
        <w:rPr>
          <w:lang w:val="fr-CA"/>
        </w:rPr>
        <w:t>/85/IAP/3</w:t>
      </w:r>
      <w:r w:rsidR="003D5ABC">
        <w:rPr>
          <w:lang w:val="fr-CA"/>
        </w:rPr>
        <w:t> </w:t>
      </w:r>
      <w:r w:rsidR="00540481" w:rsidRPr="00096290">
        <w:rPr>
          <w:lang w:val="fr-CA"/>
        </w:rPr>
        <w:t>;</w:t>
      </w:r>
    </w:p>
    <w:p w:rsidR="00540481" w:rsidRPr="00096290" w:rsidRDefault="004D4715" w:rsidP="00540481">
      <w:pPr>
        <w:pStyle w:val="Heading3"/>
        <w:numPr>
          <w:ilvl w:val="2"/>
          <w:numId w:val="21"/>
        </w:numPr>
        <w:rPr>
          <w:lang w:val="fr-CA"/>
        </w:rPr>
      </w:pPr>
      <w:r w:rsidRPr="00096290">
        <w:rPr>
          <w:lang w:val="fr-CA"/>
        </w:rPr>
        <w:t>La 86</w:t>
      </w:r>
      <w:r w:rsidRPr="00096290">
        <w:rPr>
          <w:vertAlign w:val="superscript"/>
          <w:lang w:val="fr-CA"/>
        </w:rPr>
        <w:t>e</w:t>
      </w:r>
      <w:r w:rsidRPr="00096290">
        <w:rPr>
          <w:lang w:val="fr-CA"/>
        </w:rPr>
        <w:t xml:space="preserve"> réunion </w:t>
      </w:r>
      <w:r w:rsidR="003905DD">
        <w:rPr>
          <w:lang w:val="fr-CA"/>
        </w:rPr>
        <w:t>commencera</w:t>
      </w:r>
      <w:r w:rsidRPr="00096290">
        <w:rPr>
          <w:lang w:val="fr-CA"/>
        </w:rPr>
        <w:t xml:space="preserve"> immédiatement après la clôture de la 85</w:t>
      </w:r>
      <w:r w:rsidRPr="00096290">
        <w:rPr>
          <w:vertAlign w:val="superscript"/>
          <w:lang w:val="fr-CA"/>
        </w:rPr>
        <w:t>e</w:t>
      </w:r>
      <w:r w:rsidRPr="00096290">
        <w:rPr>
          <w:lang w:val="fr-CA"/>
        </w:rPr>
        <w:t xml:space="preserve"> réunion e</w:t>
      </w:r>
      <w:r w:rsidR="003905DD">
        <w:rPr>
          <w:lang w:val="fr-CA"/>
        </w:rPr>
        <w:t>t portera</w:t>
      </w:r>
      <w:r w:rsidRPr="00096290">
        <w:rPr>
          <w:lang w:val="fr-CA"/>
        </w:rPr>
        <w:t xml:space="preserve"> sur les points restants de l’ordre du jour de la 85</w:t>
      </w:r>
      <w:r w:rsidRPr="00096290">
        <w:rPr>
          <w:vertAlign w:val="superscript"/>
          <w:lang w:val="fr-CA"/>
        </w:rPr>
        <w:t>e</w:t>
      </w:r>
      <w:r w:rsidRPr="00096290">
        <w:rPr>
          <w:lang w:val="fr-CA"/>
        </w:rPr>
        <w:t xml:space="preserve"> réunion ainsi que tous les points à l’ordre du jour de la 86</w:t>
      </w:r>
      <w:r w:rsidRPr="00096290">
        <w:rPr>
          <w:vertAlign w:val="superscript"/>
          <w:lang w:val="fr-CA"/>
        </w:rPr>
        <w:t>e</w:t>
      </w:r>
      <w:r w:rsidRPr="00096290">
        <w:rPr>
          <w:lang w:val="fr-CA"/>
        </w:rPr>
        <w:t xml:space="preserve"> réunion</w:t>
      </w:r>
      <w:r w:rsidR="003D5ABC">
        <w:rPr>
          <w:lang w:val="fr-CA"/>
        </w:rPr>
        <w:t> </w:t>
      </w:r>
      <w:r w:rsidR="00540481" w:rsidRPr="00096290">
        <w:rPr>
          <w:lang w:val="fr-CA"/>
        </w:rPr>
        <w:t>;</w:t>
      </w:r>
    </w:p>
    <w:p w:rsidR="00540481" w:rsidRPr="00096290" w:rsidRDefault="004D4715" w:rsidP="00540481">
      <w:pPr>
        <w:pStyle w:val="Heading3"/>
        <w:numPr>
          <w:ilvl w:val="2"/>
          <w:numId w:val="21"/>
        </w:numPr>
        <w:rPr>
          <w:lang w:val="fr-CA"/>
        </w:rPr>
      </w:pPr>
      <w:r w:rsidRPr="00096290">
        <w:rPr>
          <w:lang w:val="fr-CA"/>
        </w:rPr>
        <w:t>Tous les documents d’orientation seront téléversés sur le site Web du Secrétariat dès qu’ils seront disponibles</w:t>
      </w:r>
      <w:r w:rsidR="003905DD">
        <w:rPr>
          <w:lang w:val="fr-CA"/>
        </w:rPr>
        <w:t xml:space="preserve"> et au plus tard le 1</w:t>
      </w:r>
      <w:r w:rsidR="00CD4296">
        <w:rPr>
          <w:lang w:val="fr-CA"/>
        </w:rPr>
        <w:t>4 décembre 20</w:t>
      </w:r>
      <w:r w:rsidR="003960A2" w:rsidRPr="00096290">
        <w:rPr>
          <w:lang w:val="fr-CA"/>
        </w:rPr>
        <w:t>20</w:t>
      </w:r>
      <w:r w:rsidR="003D5ABC">
        <w:rPr>
          <w:lang w:val="fr-CA"/>
        </w:rPr>
        <w:t> </w:t>
      </w:r>
      <w:r w:rsidR="003960A2" w:rsidRPr="00096290">
        <w:rPr>
          <w:lang w:val="fr-CA"/>
        </w:rPr>
        <w:t xml:space="preserve">; tous les documents restants (sauf ceux abordés dans le cadre du PAI, dont il est question à l’alinéa c), ci-dessous) seront téléversés conformément aux décisions pertinentes du Comité exécutif, </w:t>
      </w:r>
      <w:r w:rsidR="003905DD">
        <w:rPr>
          <w:lang w:val="fr-CA"/>
        </w:rPr>
        <w:t>c’est-à-dire</w:t>
      </w:r>
      <w:r w:rsidR="003960A2" w:rsidRPr="00096290">
        <w:rPr>
          <w:lang w:val="fr-CA"/>
        </w:rPr>
        <w:t xml:space="preserve"> quatre semaines avant la 86</w:t>
      </w:r>
      <w:r w:rsidR="003960A2" w:rsidRPr="00096290">
        <w:rPr>
          <w:vertAlign w:val="superscript"/>
          <w:lang w:val="fr-CA"/>
        </w:rPr>
        <w:t>e</w:t>
      </w:r>
      <w:r w:rsidR="003960A2" w:rsidRPr="00096290">
        <w:rPr>
          <w:lang w:val="fr-CA"/>
        </w:rPr>
        <w:t xml:space="preserve"> réunion reportée</w:t>
      </w:r>
      <w:r w:rsidR="003D5ABC">
        <w:rPr>
          <w:lang w:val="fr-CA"/>
        </w:rPr>
        <w:t> </w:t>
      </w:r>
      <w:r w:rsidR="00540481" w:rsidRPr="00096290">
        <w:rPr>
          <w:lang w:val="fr-CA"/>
        </w:rPr>
        <w:t>;</w:t>
      </w:r>
    </w:p>
    <w:p w:rsidR="00540481" w:rsidRPr="00096290" w:rsidRDefault="003960A2" w:rsidP="00540481">
      <w:pPr>
        <w:pStyle w:val="Heading2"/>
        <w:numPr>
          <w:ilvl w:val="1"/>
          <w:numId w:val="1"/>
        </w:numPr>
        <w:rPr>
          <w:lang w:val="fr-CA"/>
        </w:rPr>
      </w:pPr>
      <w:r w:rsidRPr="00096290">
        <w:rPr>
          <w:lang w:val="fr-CA"/>
        </w:rPr>
        <w:t>Un PAI pour la 86</w:t>
      </w:r>
      <w:r w:rsidRPr="00096290">
        <w:rPr>
          <w:vertAlign w:val="superscript"/>
          <w:lang w:val="fr-CA"/>
        </w:rPr>
        <w:t>e</w:t>
      </w:r>
      <w:r w:rsidR="003905DD">
        <w:rPr>
          <w:lang w:val="fr-CA"/>
        </w:rPr>
        <w:t xml:space="preserve"> réunion sera mis en place du</w:t>
      </w:r>
      <w:r w:rsidRPr="00096290">
        <w:rPr>
          <w:lang w:val="fr-CA"/>
        </w:rPr>
        <w:t xml:space="preserve"> 16 au 27 novembre 2020, à </w:t>
      </w:r>
      <w:r w:rsidR="00B10EE7" w:rsidRPr="00096290">
        <w:rPr>
          <w:lang w:val="fr-CA"/>
        </w:rPr>
        <w:t>titr</w:t>
      </w:r>
      <w:r w:rsidR="003905DD">
        <w:rPr>
          <w:lang w:val="fr-CA"/>
        </w:rPr>
        <w:t>e exceptionnel,</w:t>
      </w:r>
      <w:r w:rsidRPr="00096290">
        <w:rPr>
          <w:lang w:val="fr-CA"/>
        </w:rPr>
        <w:t xml:space="preserve"> à ca</w:t>
      </w:r>
      <w:r w:rsidR="003905DD">
        <w:rPr>
          <w:lang w:val="fr-CA"/>
        </w:rPr>
        <w:t>u</w:t>
      </w:r>
      <w:r w:rsidRPr="00096290">
        <w:rPr>
          <w:lang w:val="fr-CA"/>
        </w:rPr>
        <w:t>se de la pand</w:t>
      </w:r>
      <w:r w:rsidR="00B10EE7" w:rsidRPr="00096290">
        <w:rPr>
          <w:lang w:val="fr-CA"/>
        </w:rPr>
        <w:t>émie de la COVID-19 et sans cré</w:t>
      </w:r>
      <w:r w:rsidRPr="00096290">
        <w:rPr>
          <w:lang w:val="fr-CA"/>
        </w:rPr>
        <w:t xml:space="preserve">er de précédent, et </w:t>
      </w:r>
      <w:r w:rsidR="00B10EE7" w:rsidRPr="00096290">
        <w:rPr>
          <w:lang w:val="fr-CA"/>
        </w:rPr>
        <w:t>portera sur les points suivants, étant entendu que tous les documents pour le PAI seront publiés dès qu’ils seront disponibles et au plus tard le 19 octobre 2020</w:t>
      </w:r>
      <w:r w:rsidR="003D5ABC">
        <w:rPr>
          <w:lang w:val="fr-CA"/>
        </w:rPr>
        <w:t> </w:t>
      </w:r>
      <w:r w:rsidR="00540481" w:rsidRPr="00096290">
        <w:rPr>
          <w:lang w:val="fr-CA"/>
        </w:rPr>
        <w:t>:</w:t>
      </w:r>
      <w:r w:rsidR="00540481" w:rsidRPr="00096290">
        <w:rPr>
          <w:rStyle w:val="FootnoteReference"/>
          <w:lang w:val="fr-CA"/>
        </w:rPr>
        <w:footnoteReference w:id="7"/>
      </w:r>
    </w:p>
    <w:p w:rsidR="00540481" w:rsidRPr="00096290" w:rsidRDefault="00B10EE7" w:rsidP="00540481">
      <w:pPr>
        <w:pStyle w:val="Heading3"/>
        <w:numPr>
          <w:ilvl w:val="2"/>
          <w:numId w:val="21"/>
        </w:numPr>
        <w:rPr>
          <w:lang w:val="fr-CA"/>
        </w:rPr>
      </w:pPr>
      <w:r w:rsidRPr="00096290">
        <w:rPr>
          <w:lang w:val="fr-CA"/>
        </w:rPr>
        <w:t>Activités du Secrétariat</w:t>
      </w:r>
      <w:r w:rsidR="003D5ABC">
        <w:rPr>
          <w:lang w:val="fr-CA"/>
        </w:rPr>
        <w:t> </w:t>
      </w:r>
      <w:r w:rsidR="00540481" w:rsidRPr="00096290">
        <w:rPr>
          <w:lang w:val="fr-CA"/>
        </w:rPr>
        <w:t>;</w:t>
      </w:r>
    </w:p>
    <w:p w:rsidR="00540481" w:rsidRPr="00096290" w:rsidRDefault="00B10EE7" w:rsidP="00540481">
      <w:pPr>
        <w:pStyle w:val="Heading3"/>
        <w:numPr>
          <w:ilvl w:val="2"/>
          <w:numId w:val="21"/>
        </w:numPr>
        <w:rPr>
          <w:lang w:val="fr-CA"/>
        </w:rPr>
      </w:pPr>
      <w:r w:rsidRPr="00096290">
        <w:rPr>
          <w:lang w:val="fr-CA"/>
        </w:rPr>
        <w:t>État des contributions et des décaissements</w:t>
      </w:r>
      <w:r w:rsidR="003D5ABC">
        <w:rPr>
          <w:lang w:val="fr-CA"/>
        </w:rPr>
        <w:t> </w:t>
      </w:r>
      <w:r w:rsidR="00540481" w:rsidRPr="00096290">
        <w:rPr>
          <w:lang w:val="fr-CA"/>
        </w:rPr>
        <w:t>;</w:t>
      </w:r>
    </w:p>
    <w:p w:rsidR="00540481" w:rsidRPr="00096290" w:rsidRDefault="00B10EE7" w:rsidP="00540481">
      <w:pPr>
        <w:pStyle w:val="Heading3"/>
        <w:numPr>
          <w:ilvl w:val="2"/>
          <w:numId w:val="21"/>
        </w:numPr>
        <w:rPr>
          <w:lang w:val="fr-CA"/>
        </w:rPr>
      </w:pPr>
      <w:r w:rsidRPr="00096290">
        <w:rPr>
          <w:lang w:val="fr-CA"/>
        </w:rPr>
        <w:t>Rapport sur les soldes et la disponibilité des ressources</w:t>
      </w:r>
      <w:r w:rsidR="003D5ABC">
        <w:rPr>
          <w:lang w:val="fr-CA"/>
        </w:rPr>
        <w:t> </w:t>
      </w:r>
      <w:r w:rsidR="00540481" w:rsidRPr="00096290">
        <w:rPr>
          <w:lang w:val="fr-CA"/>
        </w:rPr>
        <w:t>;</w:t>
      </w:r>
    </w:p>
    <w:p w:rsidR="00540481" w:rsidRPr="00096290" w:rsidRDefault="00B10EE7" w:rsidP="00540481">
      <w:pPr>
        <w:pStyle w:val="Heading3"/>
        <w:numPr>
          <w:ilvl w:val="2"/>
          <w:numId w:val="21"/>
        </w:numPr>
        <w:rPr>
          <w:lang w:val="fr-CA"/>
        </w:rPr>
      </w:pPr>
      <w:r w:rsidRPr="00096290">
        <w:rPr>
          <w:lang w:val="fr-CA"/>
        </w:rPr>
        <w:t>Comptes finaux de 2019</w:t>
      </w:r>
      <w:r w:rsidR="003D5ABC">
        <w:rPr>
          <w:lang w:val="fr-CA"/>
        </w:rPr>
        <w:t> </w:t>
      </w:r>
      <w:r w:rsidR="00540481" w:rsidRPr="00096290">
        <w:rPr>
          <w:lang w:val="fr-CA"/>
        </w:rPr>
        <w:t>;</w:t>
      </w:r>
    </w:p>
    <w:p w:rsidR="00540481" w:rsidRPr="00096290" w:rsidRDefault="00B10EE7" w:rsidP="00540481">
      <w:pPr>
        <w:pStyle w:val="Heading3"/>
        <w:numPr>
          <w:ilvl w:val="2"/>
          <w:numId w:val="21"/>
        </w:numPr>
        <w:rPr>
          <w:lang w:val="fr-CA"/>
        </w:rPr>
      </w:pPr>
      <w:r w:rsidRPr="00096290">
        <w:rPr>
          <w:lang w:val="fr-CA"/>
        </w:rPr>
        <w:t>Rapprochement des comptes de 2019</w:t>
      </w:r>
      <w:r w:rsidR="003D5ABC">
        <w:rPr>
          <w:lang w:val="fr-CA"/>
        </w:rPr>
        <w:t> </w:t>
      </w:r>
      <w:r w:rsidR="00540481" w:rsidRPr="00096290">
        <w:rPr>
          <w:lang w:val="fr-CA"/>
        </w:rPr>
        <w:t>;</w:t>
      </w:r>
    </w:p>
    <w:p w:rsidR="00540481" w:rsidRPr="00096290" w:rsidRDefault="00B10EE7" w:rsidP="00540481">
      <w:pPr>
        <w:pStyle w:val="Heading3"/>
        <w:numPr>
          <w:ilvl w:val="2"/>
          <w:numId w:val="21"/>
        </w:numPr>
        <w:rPr>
          <w:lang w:val="fr-CA"/>
        </w:rPr>
      </w:pPr>
      <w:r w:rsidRPr="00096290">
        <w:rPr>
          <w:lang w:val="fr-CA"/>
        </w:rPr>
        <w:t>Rapports périodiques au 31 décembre 2019</w:t>
      </w:r>
      <w:r w:rsidR="003D5ABC">
        <w:rPr>
          <w:lang w:val="fr-CA"/>
        </w:rPr>
        <w:t> </w:t>
      </w:r>
      <w:r w:rsidR="00540481" w:rsidRPr="00096290">
        <w:rPr>
          <w:lang w:val="fr-CA"/>
        </w:rPr>
        <w:t>;</w:t>
      </w:r>
    </w:p>
    <w:p w:rsidR="00540481" w:rsidRPr="00096290" w:rsidRDefault="00B10EE7" w:rsidP="00540481">
      <w:pPr>
        <w:pStyle w:val="Heading3"/>
        <w:numPr>
          <w:ilvl w:val="2"/>
          <w:numId w:val="1"/>
        </w:numPr>
        <w:rPr>
          <w:lang w:val="fr-CA"/>
        </w:rPr>
      </w:pPr>
      <w:r w:rsidRPr="00096290">
        <w:rPr>
          <w:lang w:val="fr-CA"/>
        </w:rPr>
        <w:t>Rapports sur les projets comportant des exigences particulières de remise de rapports</w:t>
      </w:r>
      <w:r w:rsidR="003D5ABC">
        <w:rPr>
          <w:lang w:val="fr-CA"/>
        </w:rPr>
        <w:t> </w:t>
      </w:r>
      <w:r w:rsidR="00540481" w:rsidRPr="00096290">
        <w:rPr>
          <w:lang w:val="fr-CA"/>
        </w:rPr>
        <w:t>;</w:t>
      </w:r>
    </w:p>
    <w:p w:rsidR="00540481" w:rsidRPr="00096290" w:rsidRDefault="00B10EE7" w:rsidP="00540481">
      <w:pPr>
        <w:pStyle w:val="Heading3"/>
        <w:numPr>
          <w:ilvl w:val="2"/>
          <w:numId w:val="21"/>
        </w:numPr>
        <w:rPr>
          <w:lang w:val="fr-CA"/>
        </w:rPr>
      </w:pPr>
      <w:r w:rsidRPr="00096290">
        <w:rPr>
          <w:lang w:val="fr-CA"/>
        </w:rPr>
        <w:t>Rapport global d’achèvement de projets de 2020</w:t>
      </w:r>
      <w:r w:rsidR="003D5ABC">
        <w:rPr>
          <w:lang w:val="fr-CA"/>
        </w:rPr>
        <w:t> </w:t>
      </w:r>
      <w:r w:rsidR="00540481" w:rsidRPr="00096290">
        <w:rPr>
          <w:lang w:val="fr-CA"/>
        </w:rPr>
        <w:t>;</w:t>
      </w:r>
    </w:p>
    <w:p w:rsidR="00540481" w:rsidRPr="00096290" w:rsidRDefault="00B10EE7" w:rsidP="00540481">
      <w:pPr>
        <w:pStyle w:val="Heading3"/>
        <w:numPr>
          <w:ilvl w:val="2"/>
          <w:numId w:val="21"/>
        </w:numPr>
        <w:rPr>
          <w:lang w:val="fr-CA"/>
        </w:rPr>
      </w:pPr>
      <w:r w:rsidRPr="00096290">
        <w:rPr>
          <w:lang w:val="fr-CA"/>
        </w:rPr>
        <w:t>Retard dans la proposition des tranches</w:t>
      </w:r>
      <w:r w:rsidR="003D5ABC">
        <w:rPr>
          <w:lang w:val="fr-CA"/>
        </w:rPr>
        <w:t> </w:t>
      </w:r>
      <w:r w:rsidR="00540481" w:rsidRPr="00096290">
        <w:rPr>
          <w:lang w:val="fr-CA"/>
        </w:rPr>
        <w:t>;</w:t>
      </w:r>
    </w:p>
    <w:p w:rsidR="00540481" w:rsidRPr="00096290" w:rsidRDefault="00B10EE7" w:rsidP="00540481">
      <w:pPr>
        <w:pStyle w:val="Heading3"/>
        <w:numPr>
          <w:ilvl w:val="2"/>
          <w:numId w:val="1"/>
        </w:numPr>
        <w:rPr>
          <w:lang w:val="fr-CA"/>
        </w:rPr>
      </w:pPr>
      <w:r w:rsidRPr="00096290">
        <w:rPr>
          <w:lang w:val="fr-CA"/>
        </w:rPr>
        <w:t>Aperçu des questions soulevées pendant l’examen des projets</w:t>
      </w:r>
      <w:r w:rsidR="003D5ABC">
        <w:rPr>
          <w:lang w:val="fr-CA"/>
        </w:rPr>
        <w:t> </w:t>
      </w:r>
      <w:r w:rsidR="00540481" w:rsidRPr="00096290">
        <w:rPr>
          <w:lang w:val="fr-CA"/>
        </w:rPr>
        <w:t>;</w:t>
      </w:r>
    </w:p>
    <w:p w:rsidR="00540481" w:rsidRPr="00096290" w:rsidRDefault="00B10EE7" w:rsidP="00755FF1">
      <w:pPr>
        <w:pStyle w:val="Heading3"/>
        <w:keepNext/>
        <w:keepLines/>
        <w:numPr>
          <w:ilvl w:val="2"/>
          <w:numId w:val="1"/>
        </w:numPr>
        <w:rPr>
          <w:lang w:val="fr-CA"/>
        </w:rPr>
      </w:pPr>
      <w:bookmarkStart w:id="0" w:name="_GoBack"/>
      <w:r w:rsidRPr="00096290">
        <w:rPr>
          <w:lang w:val="fr-CA"/>
        </w:rPr>
        <w:lastRenderedPageBreak/>
        <w:t>P</w:t>
      </w:r>
      <w:r w:rsidR="007041CB" w:rsidRPr="00096290">
        <w:rPr>
          <w:lang w:val="fr-CA"/>
        </w:rPr>
        <w:t>ropos</w:t>
      </w:r>
      <w:r w:rsidRPr="00096290">
        <w:rPr>
          <w:lang w:val="fr-CA"/>
        </w:rPr>
        <w:t>itions de projets</w:t>
      </w:r>
      <w:r w:rsidR="007041CB" w:rsidRPr="00096290">
        <w:rPr>
          <w:lang w:val="fr-CA"/>
        </w:rPr>
        <w:t xml:space="preserve"> au titre de la coopération bilatérale figurant dans les amendements au programme de travail des agences d’exécution pour l’année 2020 et dans les documents sur les programmes de</w:t>
      </w:r>
      <w:bookmarkEnd w:id="0"/>
      <w:r w:rsidR="007041CB" w:rsidRPr="00096290">
        <w:rPr>
          <w:lang w:val="fr-CA"/>
        </w:rPr>
        <w:t xml:space="preserve"> pays</w:t>
      </w:r>
      <w:r w:rsidR="003D5ABC">
        <w:rPr>
          <w:lang w:val="fr-CA"/>
        </w:rPr>
        <w:t> </w:t>
      </w:r>
      <w:r w:rsidR="00EE0C0D">
        <w:rPr>
          <w:lang w:val="fr-CA"/>
        </w:rPr>
        <w:t>;</w:t>
      </w:r>
    </w:p>
    <w:p w:rsidR="00540481" w:rsidRPr="00096290" w:rsidRDefault="007041CB" w:rsidP="00540481">
      <w:pPr>
        <w:pStyle w:val="Heading3"/>
        <w:numPr>
          <w:ilvl w:val="2"/>
          <w:numId w:val="1"/>
        </w:numPr>
        <w:rPr>
          <w:lang w:val="fr-CA"/>
        </w:rPr>
      </w:pPr>
      <w:r w:rsidRPr="00096290">
        <w:rPr>
          <w:lang w:val="fr-CA"/>
        </w:rPr>
        <w:t>Budget du Programme d’aide à la conformité du PNUE et coûts de base du PNUD, de l’ONUDI et de la Banque mondiale</w:t>
      </w:r>
      <w:r w:rsidR="003D5ABC">
        <w:rPr>
          <w:lang w:val="fr-CA"/>
        </w:rPr>
        <w:t> </w:t>
      </w:r>
      <w:r w:rsidR="00540481" w:rsidRPr="00096290">
        <w:rPr>
          <w:lang w:val="fr-CA"/>
        </w:rPr>
        <w:t>;</w:t>
      </w:r>
    </w:p>
    <w:p w:rsidR="00540481" w:rsidRPr="00096290" w:rsidRDefault="007041CB" w:rsidP="00540481">
      <w:pPr>
        <w:pStyle w:val="Heading2"/>
        <w:numPr>
          <w:ilvl w:val="1"/>
          <w:numId w:val="1"/>
        </w:numPr>
        <w:rPr>
          <w:lang w:val="fr-CA"/>
        </w:rPr>
      </w:pPr>
      <w:r w:rsidRPr="00096290">
        <w:rPr>
          <w:lang w:val="fr-CA"/>
        </w:rPr>
        <w:t>Le Secrétariat fera parvenir un message séparé aux chefs de délégations comprenant des instructions précises sur le PAI de la 86</w:t>
      </w:r>
      <w:r w:rsidRPr="00096290">
        <w:rPr>
          <w:vertAlign w:val="superscript"/>
          <w:lang w:val="fr-CA"/>
        </w:rPr>
        <w:t>e</w:t>
      </w:r>
      <w:r w:rsidRPr="00096290">
        <w:rPr>
          <w:lang w:val="fr-CA"/>
        </w:rPr>
        <w:t xml:space="preserve"> réunion</w:t>
      </w:r>
      <w:r w:rsidR="003D5ABC">
        <w:rPr>
          <w:lang w:val="fr-CA"/>
        </w:rPr>
        <w:t> </w:t>
      </w:r>
      <w:r w:rsidRPr="00096290">
        <w:rPr>
          <w:lang w:val="fr-CA"/>
        </w:rPr>
        <w:t>;</w:t>
      </w:r>
    </w:p>
    <w:p w:rsidR="00540481" w:rsidRPr="00096290" w:rsidRDefault="007041CB" w:rsidP="00540481">
      <w:pPr>
        <w:pStyle w:val="Heading2"/>
        <w:numPr>
          <w:ilvl w:val="1"/>
          <w:numId w:val="1"/>
        </w:numPr>
        <w:rPr>
          <w:lang w:val="fr-CA"/>
        </w:rPr>
      </w:pPr>
      <w:r w:rsidRPr="00096290">
        <w:rPr>
          <w:lang w:val="fr-CA"/>
        </w:rPr>
        <w:t>Des réunions virtuelles seront organisées pour les membres du Sous-groupe sur le secteur de la production afin de tenir des échanges informels sur la phase II du plan de gestion de l</w:t>
      </w:r>
      <w:r w:rsidR="003D5ABC">
        <w:rPr>
          <w:lang w:val="fr-CA"/>
        </w:rPr>
        <w:t>’</w:t>
      </w:r>
      <w:r w:rsidRPr="00096290">
        <w:rPr>
          <w:lang w:val="fr-CA"/>
        </w:rPr>
        <w:t>élimination de la production de HCFC</w:t>
      </w:r>
      <w:r w:rsidR="007839CB" w:rsidRPr="00096290">
        <w:rPr>
          <w:lang w:val="fr-CA"/>
        </w:rPr>
        <w:t xml:space="preserve"> (PGEPH) pour la Chine, étant entendu que le président du Comité exécutif, par l’entremise du Secrétariat, transmettrait une communication aux chefs de délégation</w:t>
      </w:r>
      <w:r w:rsidR="005741F4">
        <w:rPr>
          <w:lang w:val="fr-CA"/>
        </w:rPr>
        <w:t>s</w:t>
      </w:r>
      <w:r w:rsidR="007839CB" w:rsidRPr="00096290">
        <w:rPr>
          <w:lang w:val="fr-CA"/>
        </w:rPr>
        <w:t xml:space="preserve"> sur la procédure à respecter</w:t>
      </w:r>
      <w:r w:rsidR="00501BB4">
        <w:rPr>
          <w:lang w:val="fr-CA"/>
        </w:rPr>
        <w:t xml:space="preserve"> pour constituer le Sous-groupe</w:t>
      </w:r>
      <w:r w:rsidR="00540481" w:rsidRPr="00096290">
        <w:rPr>
          <w:rStyle w:val="FootnoteReference"/>
          <w:lang w:val="fr-CA"/>
        </w:rPr>
        <w:footnoteReference w:id="8"/>
      </w:r>
      <w:r w:rsidR="00540481" w:rsidRPr="00096290">
        <w:rPr>
          <w:lang w:val="fr-CA"/>
        </w:rPr>
        <w:t xml:space="preserve"> </w:t>
      </w:r>
      <w:r w:rsidR="007839CB" w:rsidRPr="00096290">
        <w:rPr>
          <w:lang w:val="fr-CA"/>
        </w:rPr>
        <w:t>et choisir un facilitateur, étant entendu également que les</w:t>
      </w:r>
      <w:r w:rsidR="00501BB4">
        <w:rPr>
          <w:lang w:val="fr-CA"/>
        </w:rPr>
        <w:t xml:space="preserve"> documents pertinent</w:t>
      </w:r>
      <w:r w:rsidR="007839CB" w:rsidRPr="00096290">
        <w:rPr>
          <w:lang w:val="fr-CA"/>
        </w:rPr>
        <w:t>s seront mis à la disposition des membres du Sous-groupe d’ici le 19 octobre 2020</w:t>
      </w:r>
      <w:r w:rsidR="00540481" w:rsidRPr="00096290">
        <w:rPr>
          <w:lang w:val="fr-CA"/>
        </w:rPr>
        <w:t>.</w:t>
      </w:r>
      <w:r w:rsidR="00540481" w:rsidRPr="00096290">
        <w:rPr>
          <w:rStyle w:val="FootnoteReference"/>
          <w:lang w:val="fr-CA"/>
        </w:rPr>
        <w:footnoteReference w:id="9"/>
      </w:r>
    </w:p>
    <w:p w:rsidR="00E4797C" w:rsidRPr="00096290" w:rsidRDefault="00E3060C" w:rsidP="00192798">
      <w:pPr>
        <w:pStyle w:val="Heading1"/>
        <w:rPr>
          <w:lang w:val="fr-CA"/>
        </w:rPr>
      </w:pPr>
      <w:r w:rsidRPr="00096290">
        <w:rPr>
          <w:lang w:val="fr-CA"/>
        </w:rPr>
        <w:t>Le Secrétariat a préparé les documents de la 86</w:t>
      </w:r>
      <w:r w:rsidRPr="00096290">
        <w:rPr>
          <w:vertAlign w:val="superscript"/>
          <w:lang w:val="fr-CA"/>
        </w:rPr>
        <w:t>e</w:t>
      </w:r>
      <w:r w:rsidRPr="00096290">
        <w:rPr>
          <w:lang w:val="fr-CA"/>
        </w:rPr>
        <w:t xml:space="preserve"> réunion qui seront examinés au titre du PAI</w:t>
      </w:r>
      <w:r w:rsidR="003D5ABC">
        <w:rPr>
          <w:lang w:val="fr-CA"/>
        </w:rPr>
        <w:t> </w:t>
      </w:r>
      <w:r w:rsidR="00192798" w:rsidRPr="00096290">
        <w:rPr>
          <w:lang w:val="fr-CA"/>
        </w:rPr>
        <w:t>;</w:t>
      </w:r>
      <w:r w:rsidR="00E4797C" w:rsidRPr="00096290">
        <w:rPr>
          <w:rStyle w:val="FootnoteReference"/>
          <w:color w:val="000000" w:themeColor="text1"/>
          <w:lang w:val="fr-CA"/>
        </w:rPr>
        <w:footnoteReference w:id="10"/>
      </w:r>
      <w:r w:rsidR="00192798" w:rsidRPr="00096290">
        <w:rPr>
          <w:lang w:val="fr-CA"/>
        </w:rPr>
        <w:t xml:space="preserve"> </w:t>
      </w:r>
      <w:r w:rsidRPr="00096290">
        <w:rPr>
          <w:lang w:val="fr-CA"/>
        </w:rPr>
        <w:t>un site contenant ces documents de réunion en arabe, en anglais, en fran</w:t>
      </w:r>
      <w:r w:rsidR="00432029" w:rsidRPr="00096290">
        <w:rPr>
          <w:lang w:val="fr-CA"/>
        </w:rPr>
        <w:t>çai</w:t>
      </w:r>
      <w:r w:rsidRPr="00096290">
        <w:rPr>
          <w:lang w:val="fr-CA"/>
        </w:rPr>
        <w:t>s et en espagnol a été</w:t>
      </w:r>
      <w:r w:rsidR="00432029" w:rsidRPr="00096290">
        <w:rPr>
          <w:lang w:val="fr-CA"/>
        </w:rPr>
        <w:t xml:space="preserve"> créé sur le site Web du Fonds multilatéral. Le Secrétariat a mis au point un forum protégé par un mot de passe et préparé le document sur la procédure d’approbation intersessions créé pour la 86</w:t>
      </w:r>
      <w:r w:rsidR="00432029" w:rsidRPr="00096290">
        <w:rPr>
          <w:vertAlign w:val="superscript"/>
          <w:lang w:val="fr-CA"/>
        </w:rPr>
        <w:t>e</w:t>
      </w:r>
      <w:r w:rsidR="00432029" w:rsidRPr="00096290">
        <w:rPr>
          <w:lang w:val="fr-CA"/>
        </w:rPr>
        <w:t xml:space="preserve"> réunion, afin de faciliter le PAI de la 86</w:t>
      </w:r>
      <w:r w:rsidR="00432029" w:rsidRPr="00096290">
        <w:rPr>
          <w:vertAlign w:val="superscript"/>
          <w:lang w:val="fr-CA"/>
        </w:rPr>
        <w:t>e</w:t>
      </w:r>
      <w:r w:rsidR="00432029" w:rsidRPr="00096290">
        <w:rPr>
          <w:lang w:val="fr-CA"/>
        </w:rPr>
        <w:t xml:space="preserve"> réunion</w:t>
      </w:r>
      <w:r w:rsidR="00806C70" w:rsidRPr="00096290">
        <w:rPr>
          <w:lang w:val="fr-CA"/>
        </w:rPr>
        <w:t>.</w:t>
      </w:r>
      <w:r w:rsidR="00806C70" w:rsidRPr="00096290">
        <w:rPr>
          <w:rStyle w:val="FootnoteReference"/>
          <w:lang w:val="en-CA"/>
        </w:rPr>
        <w:footnoteReference w:id="11"/>
      </w:r>
    </w:p>
    <w:p w:rsidR="00E4797C" w:rsidRPr="00096290" w:rsidRDefault="00432029" w:rsidP="00E4797C">
      <w:pPr>
        <w:pStyle w:val="StyleHeader4Para4Left0Firstline0"/>
        <w:numPr>
          <w:ilvl w:val="0"/>
          <w:numId w:val="0"/>
        </w:numPr>
        <w:rPr>
          <w:b/>
          <w:color w:val="000000" w:themeColor="text1"/>
          <w:sz w:val="22"/>
          <w:lang w:val="fr-CA"/>
        </w:rPr>
      </w:pPr>
      <w:r w:rsidRPr="00096290">
        <w:rPr>
          <w:b/>
          <w:color w:val="000000" w:themeColor="text1"/>
          <w:sz w:val="22"/>
          <w:lang w:val="fr-CA"/>
        </w:rPr>
        <w:t>Présence aux réunions et missions entreprises</w:t>
      </w:r>
    </w:p>
    <w:p w:rsidR="008E41EF" w:rsidRPr="00096290" w:rsidRDefault="00432029" w:rsidP="00E4797C">
      <w:pPr>
        <w:pStyle w:val="Heading1"/>
        <w:rPr>
          <w:lang w:val="fr-CA"/>
        </w:rPr>
      </w:pPr>
      <w:r w:rsidRPr="00096290">
        <w:rPr>
          <w:lang w:val="fr-CA"/>
        </w:rPr>
        <w:t>Aucune mission n’a été entreprise à cause de l’éclosion de la COVID-19</w:t>
      </w:r>
      <w:r w:rsidR="00806C70" w:rsidRPr="00096290">
        <w:rPr>
          <w:lang w:val="fr-CA"/>
        </w:rPr>
        <w:t>.</w:t>
      </w:r>
    </w:p>
    <w:p w:rsidR="008E41EF" w:rsidRPr="00096290" w:rsidRDefault="00501BB4" w:rsidP="008E41EF">
      <w:pPr>
        <w:rPr>
          <w:i/>
          <w:lang w:val="fr-CA"/>
        </w:rPr>
      </w:pPr>
      <w:r>
        <w:rPr>
          <w:i/>
          <w:lang w:val="fr-CA"/>
        </w:rPr>
        <w:t>Virtuelle, du 7 au 9 juillet 20</w:t>
      </w:r>
      <w:r w:rsidR="00432029" w:rsidRPr="00096290">
        <w:rPr>
          <w:i/>
          <w:lang w:val="fr-CA"/>
        </w:rPr>
        <w:t>20 et du 14 au 16 juillet 2020</w:t>
      </w:r>
    </w:p>
    <w:p w:rsidR="008E41EF" w:rsidRPr="00096290" w:rsidRDefault="008E41EF" w:rsidP="008E41EF">
      <w:pPr>
        <w:rPr>
          <w:lang w:val="fr-CA"/>
        </w:rPr>
      </w:pPr>
    </w:p>
    <w:p w:rsidR="008E41EF" w:rsidRPr="00096290" w:rsidRDefault="00ED4AE5" w:rsidP="008E41EF">
      <w:pPr>
        <w:pStyle w:val="Heading1"/>
        <w:rPr>
          <w:lang w:val="fr-CA"/>
        </w:rPr>
      </w:pPr>
      <w:r w:rsidRPr="00096290">
        <w:rPr>
          <w:lang w:val="fr-CA"/>
        </w:rPr>
        <w:t>Le Chef du Secrétariat</w:t>
      </w:r>
      <w:r w:rsidR="00501BB4">
        <w:rPr>
          <w:lang w:val="fr-CA"/>
        </w:rPr>
        <w:t>,</w:t>
      </w:r>
      <w:r w:rsidR="00614C9B" w:rsidRPr="00096290">
        <w:rPr>
          <w:lang w:val="fr-CA"/>
        </w:rPr>
        <w:t xml:space="preserve"> accompagné de</w:t>
      </w:r>
      <w:r w:rsidRPr="00096290">
        <w:rPr>
          <w:lang w:val="fr-CA"/>
        </w:rPr>
        <w:t xml:space="preserve"> trois </w:t>
      </w:r>
      <w:r w:rsidR="00614C9B" w:rsidRPr="00096290">
        <w:rPr>
          <w:lang w:val="fr-CA"/>
        </w:rPr>
        <w:t>spécialistes hors classe de la gestion des programmes</w:t>
      </w:r>
      <w:r w:rsidRPr="00096290">
        <w:rPr>
          <w:lang w:val="fr-CA"/>
        </w:rPr>
        <w:t>, a assisté à la 64</w:t>
      </w:r>
      <w:r w:rsidRPr="00096290">
        <w:rPr>
          <w:vertAlign w:val="superscript"/>
          <w:lang w:val="fr-CA"/>
        </w:rPr>
        <w:t>e</w:t>
      </w:r>
      <w:r w:rsidRPr="00096290">
        <w:rPr>
          <w:lang w:val="fr-CA"/>
        </w:rPr>
        <w:t xml:space="preserve"> réunion du Comité d’application au titre de la procédure de non-conformité du Protocole de Montréal, où il a fait une présentation, et a assisté à la 42</w:t>
      </w:r>
      <w:r w:rsidRPr="00096290">
        <w:rPr>
          <w:vertAlign w:val="superscript"/>
          <w:lang w:val="fr-CA"/>
        </w:rPr>
        <w:t>e</w:t>
      </w:r>
      <w:r w:rsidRPr="00096290">
        <w:rPr>
          <w:lang w:val="fr-CA"/>
        </w:rPr>
        <w:t xml:space="preserve"> réunion du Groupe de travail à composition non limitée des Parties avec d’autres membres du personnel</w:t>
      </w:r>
      <w:r w:rsidR="008E41EF" w:rsidRPr="00096290">
        <w:rPr>
          <w:lang w:val="fr-CA"/>
        </w:rPr>
        <w:t>.</w:t>
      </w:r>
    </w:p>
    <w:p w:rsidR="00B26C8D" w:rsidRPr="00096290" w:rsidRDefault="00ED4AE5" w:rsidP="00B26C8D">
      <w:pPr>
        <w:rPr>
          <w:i/>
          <w:lang w:val="fr-CA"/>
        </w:rPr>
      </w:pPr>
      <w:r w:rsidRPr="00096290">
        <w:rPr>
          <w:i/>
          <w:lang w:val="fr-CA"/>
        </w:rPr>
        <w:t>Virtuelle, le 6-7 octobre 2020</w:t>
      </w:r>
    </w:p>
    <w:p w:rsidR="00B26C8D" w:rsidRPr="00096290" w:rsidRDefault="00B26C8D" w:rsidP="00B26C8D">
      <w:pPr>
        <w:rPr>
          <w:lang w:val="fr-CA"/>
        </w:rPr>
      </w:pPr>
    </w:p>
    <w:p w:rsidR="00B26C8D" w:rsidRPr="00096290" w:rsidRDefault="00ED4AE5" w:rsidP="00B26C8D">
      <w:pPr>
        <w:pStyle w:val="Heading1"/>
        <w:rPr>
          <w:lang w:val="fr-CA"/>
        </w:rPr>
      </w:pPr>
      <w:r w:rsidRPr="00096290">
        <w:rPr>
          <w:lang w:val="fr-CA"/>
        </w:rPr>
        <w:t xml:space="preserve">Le Chef du Secrétariat et les </w:t>
      </w:r>
      <w:r w:rsidR="00614C9B" w:rsidRPr="00096290">
        <w:rPr>
          <w:lang w:val="fr-CA"/>
        </w:rPr>
        <w:t>spécialistes hors classe de la gestion des programmes on</w:t>
      </w:r>
      <w:r w:rsidR="00940F98">
        <w:rPr>
          <w:lang w:val="fr-CA"/>
        </w:rPr>
        <w:t>t participé à l’atelier sur la R</w:t>
      </w:r>
      <w:r w:rsidR="00614C9B" w:rsidRPr="00096290">
        <w:rPr>
          <w:lang w:val="fr-CA"/>
        </w:rPr>
        <w:t>éalisation de nombreux bienfaits environnementaux mondiaux grâce à la bonne gestion des produits chimiques et des déchets</w:t>
      </w:r>
      <w:r w:rsidR="00940F98">
        <w:rPr>
          <w:lang w:val="fr-CA"/>
        </w:rPr>
        <w:t>,</w:t>
      </w:r>
      <w:r w:rsidR="00614C9B" w:rsidRPr="00096290">
        <w:rPr>
          <w:lang w:val="fr-CA"/>
        </w:rPr>
        <w:t xml:space="preserve"> organisé par </w:t>
      </w:r>
      <w:r w:rsidR="00926F68" w:rsidRPr="00096290">
        <w:rPr>
          <w:lang w:val="fr-CA"/>
        </w:rPr>
        <w:t xml:space="preserve">le Groupe consultatif scientifique et technique du Fonds pour l’environnement mondial (FEM). Le Secrétariat a été invité à participer </w:t>
      </w:r>
      <w:r w:rsidR="00940F98">
        <w:rPr>
          <w:lang w:val="fr-CA"/>
        </w:rPr>
        <w:t>aux</w:t>
      </w:r>
      <w:r w:rsidR="00926F68" w:rsidRPr="00096290">
        <w:rPr>
          <w:lang w:val="fr-CA"/>
        </w:rPr>
        <w:t xml:space="preserve"> échanges sur les liens reconnus, surtout en ce qui concerne l’appauvrissement de la couche d’ozone</w:t>
      </w:r>
      <w:r w:rsidR="00421E07" w:rsidRPr="00096290">
        <w:rPr>
          <w:lang w:val="fr-CA"/>
        </w:rPr>
        <w:t>.</w:t>
      </w:r>
    </w:p>
    <w:p w:rsidR="00E4797C" w:rsidRPr="00096290" w:rsidRDefault="00926F68" w:rsidP="00E4797C">
      <w:pPr>
        <w:pStyle w:val="StyleHeader4Para4Left0Firstline0"/>
        <w:numPr>
          <w:ilvl w:val="0"/>
          <w:numId w:val="0"/>
        </w:numPr>
        <w:rPr>
          <w:b/>
          <w:sz w:val="22"/>
          <w:lang w:val="fr-CA"/>
        </w:rPr>
      </w:pPr>
      <w:r w:rsidRPr="00096290">
        <w:rPr>
          <w:b/>
          <w:sz w:val="22"/>
          <w:lang w:val="fr-CA"/>
        </w:rPr>
        <w:lastRenderedPageBreak/>
        <w:t>Réunion de coordination interagences</w:t>
      </w:r>
    </w:p>
    <w:p w:rsidR="00E4797C" w:rsidRPr="00096290" w:rsidRDefault="00926F68" w:rsidP="00B41DC5">
      <w:pPr>
        <w:pStyle w:val="Heading1"/>
        <w:rPr>
          <w:lang w:val="fr-CA"/>
        </w:rPr>
      </w:pPr>
      <w:r w:rsidRPr="00096290">
        <w:rPr>
          <w:lang w:val="fr-CA"/>
        </w:rPr>
        <w:t>Le Secrétariat a été incapable de convoquer une réunion de coordination interagences à cause des restrictions imposées par la pandémie de la COVID-19, du manque de temps et de la charge de travail de la 86</w:t>
      </w:r>
      <w:r w:rsidRPr="00096290">
        <w:rPr>
          <w:vertAlign w:val="superscript"/>
          <w:lang w:val="fr-CA"/>
        </w:rPr>
        <w:t>e</w:t>
      </w:r>
      <w:r w:rsidRPr="00096290">
        <w:rPr>
          <w:lang w:val="fr-CA"/>
        </w:rPr>
        <w:t xml:space="preserve"> réunion</w:t>
      </w:r>
      <w:r w:rsidR="00FC64DE" w:rsidRPr="00096290">
        <w:rPr>
          <w:lang w:val="fr-CA"/>
        </w:rPr>
        <w:t>.</w:t>
      </w:r>
      <w:r w:rsidRPr="00096290">
        <w:rPr>
          <w:lang w:val="fr-CA"/>
        </w:rPr>
        <w:t xml:space="preserve"> Le Secrétariat </w:t>
      </w:r>
      <w:r w:rsidR="007B3934" w:rsidRPr="00096290">
        <w:rPr>
          <w:lang w:val="fr-CA"/>
        </w:rPr>
        <w:t>précise toutefois que tous les documents préparés pour le PAI de la 86</w:t>
      </w:r>
      <w:r w:rsidR="007B3934" w:rsidRPr="00096290">
        <w:rPr>
          <w:vertAlign w:val="superscript"/>
          <w:lang w:val="fr-CA"/>
        </w:rPr>
        <w:t>e</w:t>
      </w:r>
      <w:r w:rsidR="007B3934" w:rsidRPr="00096290">
        <w:rPr>
          <w:lang w:val="fr-CA"/>
        </w:rPr>
        <w:t xml:space="preserve"> réunion sont le </w:t>
      </w:r>
      <w:r w:rsidR="00940F98">
        <w:rPr>
          <w:lang w:val="fr-CA"/>
        </w:rPr>
        <w:t>fruit</w:t>
      </w:r>
      <w:r w:rsidR="007B3934" w:rsidRPr="00096290">
        <w:rPr>
          <w:lang w:val="fr-CA"/>
        </w:rPr>
        <w:t xml:space="preserve"> d’une collaboration et d’une coopération continues des agences bilatérales et d’exécution au cours du processus d’examen</w:t>
      </w:r>
      <w:r w:rsidR="00940F98">
        <w:rPr>
          <w:lang w:val="fr-CA"/>
        </w:rPr>
        <w:t>,</w:t>
      </w:r>
      <w:r w:rsidR="007B3934" w:rsidRPr="00096290">
        <w:rPr>
          <w:lang w:val="fr-CA"/>
        </w:rPr>
        <w:t xml:space="preserve"> où toutes les questions complexes ont été débattues en détail et réglées de manière satisfaisante, et un accord commun a été convenu.</w:t>
      </w:r>
    </w:p>
    <w:p w:rsidR="00E4797C" w:rsidRPr="00096290" w:rsidRDefault="001446EF" w:rsidP="00E9576D">
      <w:pPr>
        <w:pStyle w:val="Heading1"/>
        <w:keepNext/>
        <w:numPr>
          <w:ilvl w:val="0"/>
          <w:numId w:val="0"/>
        </w:numPr>
        <w:rPr>
          <w:b/>
          <w:color w:val="000000" w:themeColor="text1"/>
          <w:lang w:val="fr-CA"/>
        </w:rPr>
      </w:pPr>
      <w:r w:rsidRPr="00096290">
        <w:rPr>
          <w:b/>
          <w:color w:val="000000" w:themeColor="text1"/>
          <w:lang w:val="fr-CA"/>
        </w:rPr>
        <w:t>Dotation en personnel et recrutement</w:t>
      </w:r>
    </w:p>
    <w:p w:rsidR="00E4797C" w:rsidRPr="00096290" w:rsidRDefault="00A324C4" w:rsidP="00E9576D">
      <w:pPr>
        <w:pStyle w:val="Heading1"/>
        <w:tabs>
          <w:tab w:val="clear" w:pos="0"/>
        </w:tabs>
        <w:rPr>
          <w:color w:val="000000" w:themeColor="text1"/>
          <w:lang w:val="fr-CA"/>
        </w:rPr>
      </w:pPr>
      <w:r w:rsidRPr="00096290">
        <w:rPr>
          <w:color w:val="000000" w:themeColor="text1"/>
          <w:lang w:val="fr-CA"/>
        </w:rPr>
        <w:t>Les processus de sélection pour deux postes d’adjoints à la gestion des programmes (BL 1305 et 1313) sont te</w:t>
      </w:r>
      <w:r w:rsidR="00DA5614">
        <w:rPr>
          <w:color w:val="000000" w:themeColor="text1"/>
          <w:lang w:val="fr-CA"/>
        </w:rPr>
        <w:t xml:space="preserve">rminés et un poste a été </w:t>
      </w:r>
      <w:proofErr w:type="gramStart"/>
      <w:r w:rsidR="00DA5614">
        <w:rPr>
          <w:color w:val="000000" w:themeColor="text1"/>
          <w:lang w:val="fr-CA"/>
        </w:rPr>
        <w:t>pourvu;</w:t>
      </w:r>
      <w:proofErr w:type="gramEnd"/>
      <w:r w:rsidRPr="00096290">
        <w:rPr>
          <w:color w:val="000000" w:themeColor="text1"/>
          <w:lang w:val="fr-CA"/>
        </w:rPr>
        <w:t xml:space="preserve"> le poste de spécialiste de la gestion de l’information (BL 1198) (P-4) a </w:t>
      </w:r>
      <w:r w:rsidR="00DA5614">
        <w:rPr>
          <w:color w:val="000000" w:themeColor="text1"/>
          <w:lang w:val="fr-CA"/>
        </w:rPr>
        <w:t xml:space="preserve">également </w:t>
      </w:r>
      <w:r w:rsidRPr="00096290">
        <w:rPr>
          <w:color w:val="000000" w:themeColor="text1"/>
          <w:lang w:val="fr-CA"/>
        </w:rPr>
        <w:t>été pourvu</w:t>
      </w:r>
      <w:r w:rsidR="00E4797C" w:rsidRPr="00096290">
        <w:rPr>
          <w:color w:val="000000" w:themeColor="text1"/>
          <w:lang w:val="fr-CA"/>
        </w:rPr>
        <w:t>.</w:t>
      </w:r>
    </w:p>
    <w:p w:rsidR="00E4797C" w:rsidRPr="00096290" w:rsidRDefault="00A324C4" w:rsidP="00E4797C">
      <w:pPr>
        <w:pStyle w:val="Heading1"/>
        <w:tabs>
          <w:tab w:val="clear" w:pos="0"/>
        </w:tabs>
        <w:rPr>
          <w:color w:val="000000" w:themeColor="text1"/>
          <w:lang w:val="fr-CA"/>
        </w:rPr>
      </w:pPr>
      <w:r w:rsidRPr="00096290">
        <w:rPr>
          <w:color w:val="000000" w:themeColor="text1"/>
          <w:lang w:val="fr-CA"/>
        </w:rPr>
        <w:t xml:space="preserve">Le processus </w:t>
      </w:r>
      <w:r w:rsidR="005E6C78">
        <w:rPr>
          <w:color w:val="000000" w:themeColor="text1"/>
          <w:lang w:val="fr-CA"/>
        </w:rPr>
        <w:t>de sélection pour le poste de C</w:t>
      </w:r>
      <w:r w:rsidRPr="00096290">
        <w:rPr>
          <w:color w:val="000000" w:themeColor="text1"/>
          <w:lang w:val="fr-CA"/>
        </w:rPr>
        <w:t>hef adjo</w:t>
      </w:r>
      <w:r w:rsidR="005E6C78">
        <w:rPr>
          <w:color w:val="000000" w:themeColor="text1"/>
          <w:lang w:val="fr-CA"/>
        </w:rPr>
        <w:t>int du Secrétariat (D-1) est un cours</w:t>
      </w:r>
      <w:r w:rsidRPr="00096290">
        <w:rPr>
          <w:color w:val="000000" w:themeColor="text1"/>
          <w:lang w:val="fr-CA"/>
        </w:rPr>
        <w:t xml:space="preserve">. Les entretiens en ligne sont terminés et le rapport du comité est en voie d’être </w:t>
      </w:r>
      <w:r w:rsidR="005E6C78">
        <w:rPr>
          <w:color w:val="000000" w:themeColor="text1"/>
          <w:lang w:val="fr-CA"/>
        </w:rPr>
        <w:t>mis au point</w:t>
      </w:r>
      <w:r w:rsidRPr="00096290">
        <w:rPr>
          <w:color w:val="000000" w:themeColor="text1"/>
          <w:lang w:val="fr-CA"/>
        </w:rPr>
        <w:t>.</w:t>
      </w:r>
    </w:p>
    <w:p w:rsidR="00E4797C" w:rsidRPr="00096290" w:rsidRDefault="000F1AD6" w:rsidP="00E4797C">
      <w:pPr>
        <w:pStyle w:val="Heading1"/>
        <w:tabs>
          <w:tab w:val="clear" w:pos="0"/>
        </w:tabs>
        <w:rPr>
          <w:color w:val="000000" w:themeColor="text1"/>
          <w:lang w:val="fr-CA"/>
        </w:rPr>
      </w:pPr>
      <w:r w:rsidRPr="00096290">
        <w:rPr>
          <w:color w:val="000000" w:themeColor="text1"/>
          <w:lang w:val="fr-CA"/>
        </w:rPr>
        <w:t>La reclassification de</w:t>
      </w:r>
      <w:r w:rsidR="005E6C78">
        <w:rPr>
          <w:color w:val="000000" w:themeColor="text1"/>
          <w:lang w:val="fr-CA"/>
        </w:rPr>
        <w:t xml:space="preserve"> troi</w:t>
      </w:r>
      <w:r w:rsidRPr="00096290">
        <w:rPr>
          <w:color w:val="000000" w:themeColor="text1"/>
          <w:lang w:val="fr-CA"/>
        </w:rPr>
        <w:t>s postes a été menée à terme en réponse à la décision 84/6 d’actualiser les postes d’adjoint aux bases de données (BL</w:t>
      </w:r>
      <w:r w:rsidR="005E6C78">
        <w:rPr>
          <w:color w:val="000000" w:themeColor="text1"/>
          <w:lang w:val="fr-CA"/>
        </w:rPr>
        <w:t xml:space="preserve"> 1116)</w:t>
      </w:r>
      <w:r w:rsidRPr="00096290">
        <w:rPr>
          <w:color w:val="000000" w:themeColor="text1"/>
          <w:lang w:val="fr-CA"/>
        </w:rPr>
        <w:t xml:space="preserve"> </w:t>
      </w:r>
      <w:r w:rsidRPr="00096290">
        <w:rPr>
          <w:lang w:val="fr-CA"/>
        </w:rPr>
        <w:t>de P2 à P3, d’adjoint d’équipe (BL 1309) de G4 à G5, et d’adjoint (finances et budget) (BL 1312) de G6 à G7. Les trois postes ont été affichés et des entretiens ont été effectués. Le mandat de dix ans de l’Administrateur principal, Suivi et éval</w:t>
      </w:r>
      <w:r w:rsidR="00181B97">
        <w:rPr>
          <w:lang w:val="fr-CA"/>
        </w:rPr>
        <w:t>uation a pris fin de 24 octobre </w:t>
      </w:r>
      <w:r w:rsidRPr="00096290">
        <w:rPr>
          <w:lang w:val="fr-CA"/>
        </w:rPr>
        <w:t>2020. Le processus de sélection est en cours et l’affichage du poste prendra fin en septembre 2020</w:t>
      </w:r>
      <w:r w:rsidR="00486925" w:rsidRPr="00096290">
        <w:rPr>
          <w:color w:val="000000" w:themeColor="text1"/>
          <w:lang w:val="fr-CA"/>
        </w:rPr>
        <w:t>.</w:t>
      </w:r>
    </w:p>
    <w:p w:rsidR="00930573" w:rsidRPr="00096290" w:rsidRDefault="00444A3D" w:rsidP="00930573">
      <w:pPr>
        <w:pStyle w:val="Heading1"/>
        <w:rPr>
          <w:lang w:val="fr-CA"/>
        </w:rPr>
      </w:pPr>
      <w:r w:rsidRPr="00096290">
        <w:rPr>
          <w:lang w:val="fr-CA"/>
        </w:rPr>
        <w:t xml:space="preserve">Le Chef du Secrétariat prendra sa retraite en janvier 2022. Le Comité exécutif pourrait souhaiter prendre note que le Secrétariat lancera et suivra le processus de recrutement </w:t>
      </w:r>
      <w:r w:rsidR="00181B97">
        <w:rPr>
          <w:lang w:val="fr-CA"/>
        </w:rPr>
        <w:t xml:space="preserve">contenu </w:t>
      </w:r>
      <w:r w:rsidRPr="00096290">
        <w:rPr>
          <w:lang w:val="fr-CA"/>
        </w:rPr>
        <w:t>dans les documents sur le processus de recrutement du Chef du Secrétariat du Fonds multilatéral</w:t>
      </w:r>
      <w:r w:rsidR="00426919" w:rsidRPr="00096290">
        <w:rPr>
          <w:rStyle w:val="FootnoteReference"/>
          <w:lang w:val="fr-CA"/>
        </w:rPr>
        <w:footnoteReference w:id="12"/>
      </w:r>
      <w:r w:rsidR="00426919" w:rsidRPr="00096290">
        <w:rPr>
          <w:lang w:val="fr-CA"/>
        </w:rPr>
        <w:t xml:space="preserve"> </w:t>
      </w:r>
      <w:r w:rsidRPr="00096290">
        <w:rPr>
          <w:lang w:val="fr-CA"/>
        </w:rPr>
        <w:t xml:space="preserve">et continuera </w:t>
      </w:r>
      <w:r w:rsidR="00181B97">
        <w:rPr>
          <w:lang w:val="fr-CA"/>
        </w:rPr>
        <w:t>à faire</w:t>
      </w:r>
      <w:r w:rsidRPr="00096290">
        <w:rPr>
          <w:lang w:val="fr-CA"/>
        </w:rPr>
        <w:t xml:space="preserve"> rapport au Comité exécutif sur la question</w:t>
      </w:r>
      <w:r w:rsidR="00426919" w:rsidRPr="00096290">
        <w:rPr>
          <w:lang w:val="fr-CA"/>
        </w:rPr>
        <w:t>.</w:t>
      </w:r>
    </w:p>
    <w:p w:rsidR="00930573" w:rsidRPr="00096290" w:rsidRDefault="00444A3D" w:rsidP="00930573">
      <w:pPr>
        <w:pStyle w:val="Heading1"/>
        <w:tabs>
          <w:tab w:val="clear" w:pos="0"/>
        </w:tabs>
        <w:rPr>
          <w:color w:val="000000" w:themeColor="text1"/>
          <w:lang w:val="fr-CA"/>
        </w:rPr>
      </w:pPr>
      <w:r w:rsidRPr="00096290">
        <w:rPr>
          <w:color w:val="000000" w:themeColor="text1"/>
          <w:lang w:val="fr-CA"/>
        </w:rPr>
        <w:t xml:space="preserve">Le recrutement et les arrangements contractuels </w:t>
      </w:r>
      <w:r w:rsidR="00181B97">
        <w:rPr>
          <w:color w:val="000000" w:themeColor="text1"/>
          <w:lang w:val="fr-CA"/>
        </w:rPr>
        <w:t>de</w:t>
      </w:r>
      <w:r w:rsidRPr="00096290">
        <w:rPr>
          <w:color w:val="000000" w:themeColor="text1"/>
          <w:lang w:val="fr-CA"/>
        </w:rPr>
        <w:t xml:space="preserve"> deux consultants en suivi et évaluation du programme de travail, </w:t>
      </w:r>
      <w:r w:rsidR="00DA5614">
        <w:rPr>
          <w:color w:val="000000" w:themeColor="text1"/>
          <w:lang w:val="fr-CA"/>
        </w:rPr>
        <w:t>d’</w:t>
      </w:r>
      <w:r w:rsidRPr="00096290">
        <w:rPr>
          <w:color w:val="000000" w:themeColor="text1"/>
          <w:lang w:val="fr-CA"/>
        </w:rPr>
        <w:t xml:space="preserve">un consultant et </w:t>
      </w:r>
      <w:r w:rsidR="00DA5614">
        <w:rPr>
          <w:color w:val="000000" w:themeColor="text1"/>
          <w:lang w:val="fr-CA"/>
        </w:rPr>
        <w:t xml:space="preserve">de </w:t>
      </w:r>
      <w:r w:rsidRPr="00096290">
        <w:rPr>
          <w:color w:val="000000" w:themeColor="text1"/>
          <w:lang w:val="fr-CA"/>
        </w:rPr>
        <w:t>deux entrepre</w:t>
      </w:r>
      <w:r w:rsidR="00C168C3" w:rsidRPr="00096290">
        <w:rPr>
          <w:color w:val="000000" w:themeColor="text1"/>
          <w:lang w:val="fr-CA"/>
        </w:rPr>
        <w:t>neurs i</w:t>
      </w:r>
      <w:r w:rsidRPr="00096290">
        <w:rPr>
          <w:color w:val="000000" w:themeColor="text1"/>
          <w:lang w:val="fr-CA"/>
        </w:rPr>
        <w:t xml:space="preserve">ndividuels pour l’examen des projets et de traducteurs pour aider </w:t>
      </w:r>
      <w:r w:rsidR="00C168C3" w:rsidRPr="00096290">
        <w:rPr>
          <w:color w:val="000000" w:themeColor="text1"/>
          <w:lang w:val="fr-CA"/>
        </w:rPr>
        <w:t>à l</w:t>
      </w:r>
      <w:r w:rsidRPr="00096290">
        <w:rPr>
          <w:color w:val="000000" w:themeColor="text1"/>
          <w:lang w:val="fr-CA"/>
        </w:rPr>
        <w:t xml:space="preserve">a traduction de documents de réunion </w:t>
      </w:r>
      <w:r w:rsidR="00181B97">
        <w:rPr>
          <w:color w:val="000000" w:themeColor="text1"/>
          <w:lang w:val="fr-CA"/>
        </w:rPr>
        <w:t>ont été mis au point</w:t>
      </w:r>
      <w:r w:rsidR="00E4797C" w:rsidRPr="00096290">
        <w:rPr>
          <w:color w:val="000000" w:themeColor="text1"/>
          <w:lang w:val="fr-CA"/>
        </w:rPr>
        <w:t>.</w:t>
      </w:r>
      <w:r w:rsidR="00C168C3" w:rsidRPr="00096290">
        <w:rPr>
          <w:color w:val="000000" w:themeColor="text1"/>
          <w:lang w:val="fr-CA"/>
        </w:rPr>
        <w:t xml:space="preserve"> Les arrangements contractuels pour les interprètes et les rédacteurs de rapports pour les 85</w:t>
      </w:r>
      <w:r w:rsidR="00C168C3" w:rsidRPr="00096290">
        <w:rPr>
          <w:color w:val="000000" w:themeColor="text1"/>
          <w:vertAlign w:val="superscript"/>
          <w:lang w:val="fr-CA"/>
        </w:rPr>
        <w:t>e</w:t>
      </w:r>
      <w:r w:rsidR="00C168C3" w:rsidRPr="00096290">
        <w:rPr>
          <w:color w:val="000000" w:themeColor="text1"/>
          <w:lang w:val="fr-CA"/>
        </w:rPr>
        <w:t xml:space="preserve"> et 86</w:t>
      </w:r>
      <w:r w:rsidR="00C168C3" w:rsidRPr="00096290">
        <w:rPr>
          <w:color w:val="000000" w:themeColor="text1"/>
          <w:vertAlign w:val="superscript"/>
          <w:lang w:val="fr-CA"/>
        </w:rPr>
        <w:t>e</w:t>
      </w:r>
      <w:r w:rsidR="00C168C3" w:rsidRPr="00096290">
        <w:rPr>
          <w:color w:val="000000" w:themeColor="text1"/>
          <w:lang w:val="fr-CA"/>
        </w:rPr>
        <w:t xml:space="preserve"> réunions reportées ont été coordonnés avec le PNUE et le Bureau des Nations Unies à Nairobi, mais n’ont pas été exécutés à cause du report des réunions.</w:t>
      </w:r>
    </w:p>
    <w:p w:rsidR="00E4797C" w:rsidRPr="00096290" w:rsidRDefault="00C168C3" w:rsidP="00E4797C">
      <w:pPr>
        <w:pStyle w:val="Heading1"/>
        <w:keepNext/>
        <w:numPr>
          <w:ilvl w:val="0"/>
          <w:numId w:val="0"/>
        </w:numPr>
        <w:rPr>
          <w:b/>
          <w:color w:val="000000" w:themeColor="text1"/>
          <w:lang w:val="fr-CA"/>
        </w:rPr>
      </w:pPr>
      <w:r w:rsidRPr="00096290">
        <w:rPr>
          <w:b/>
          <w:color w:val="000000" w:themeColor="text1"/>
          <w:lang w:val="fr-CA"/>
        </w:rPr>
        <w:t xml:space="preserve">Formation et </w:t>
      </w:r>
      <w:r w:rsidR="00214C40" w:rsidRPr="00096290">
        <w:rPr>
          <w:b/>
          <w:color w:val="000000" w:themeColor="text1"/>
          <w:lang w:val="fr-CA"/>
        </w:rPr>
        <w:t>perfectionnement</w:t>
      </w:r>
      <w:r w:rsidRPr="00096290">
        <w:rPr>
          <w:b/>
          <w:color w:val="000000" w:themeColor="text1"/>
          <w:lang w:val="fr-CA"/>
        </w:rPr>
        <w:t xml:space="preserve"> du personnel</w:t>
      </w:r>
    </w:p>
    <w:p w:rsidR="00E4797C" w:rsidRPr="00096290" w:rsidRDefault="00214C40" w:rsidP="00E4797C">
      <w:pPr>
        <w:pStyle w:val="Heading1"/>
        <w:tabs>
          <w:tab w:val="clear" w:pos="0"/>
        </w:tabs>
        <w:rPr>
          <w:color w:val="000000" w:themeColor="text1"/>
          <w:lang w:val="fr-CA"/>
        </w:rPr>
      </w:pPr>
      <w:r w:rsidRPr="00096290">
        <w:rPr>
          <w:color w:val="000000" w:themeColor="text1"/>
          <w:lang w:val="fr-CA"/>
        </w:rPr>
        <w:t xml:space="preserve">Tous les membres du personnel ont suivi plusieurs cours de formation en ligne obligatoires des Nations Unies. </w:t>
      </w:r>
      <w:r w:rsidR="0035613A">
        <w:rPr>
          <w:color w:val="000000" w:themeColor="text1"/>
          <w:lang w:val="fr-CA"/>
        </w:rPr>
        <w:t xml:space="preserve">Le spécialiste hors classe de la gestion et de l’administration </w:t>
      </w:r>
      <w:r w:rsidR="00195028" w:rsidRPr="00096290">
        <w:rPr>
          <w:color w:val="000000" w:themeColor="text1"/>
          <w:lang w:val="fr-CA"/>
        </w:rPr>
        <w:t xml:space="preserve">du Fonds a </w:t>
      </w:r>
      <w:r w:rsidR="004D618D">
        <w:rPr>
          <w:color w:val="000000" w:themeColor="text1"/>
          <w:lang w:val="fr-CA"/>
        </w:rPr>
        <w:t>participé</w:t>
      </w:r>
      <w:r w:rsidR="00195028" w:rsidRPr="00096290">
        <w:rPr>
          <w:color w:val="000000" w:themeColor="text1"/>
          <w:lang w:val="fr-CA"/>
        </w:rPr>
        <w:t xml:space="preserve"> à un programme de leadership en ligne organisé par les Nations Unies</w:t>
      </w:r>
      <w:r w:rsidR="00F15CA4" w:rsidRPr="00096290">
        <w:rPr>
          <w:color w:val="000000" w:themeColor="text1"/>
          <w:lang w:val="fr-CA"/>
        </w:rPr>
        <w:t>.</w:t>
      </w:r>
    </w:p>
    <w:p w:rsidR="004F4AC6" w:rsidRPr="00096290" w:rsidRDefault="00195028" w:rsidP="004F4AC6">
      <w:pPr>
        <w:pStyle w:val="Heading1"/>
        <w:autoSpaceDE w:val="0"/>
        <w:autoSpaceDN w:val="0"/>
        <w:adjustRightInd w:val="0"/>
        <w:rPr>
          <w:lang w:val="fr-CA"/>
        </w:rPr>
      </w:pPr>
      <w:r w:rsidRPr="00096290">
        <w:rPr>
          <w:lang w:val="fr-CA"/>
        </w:rPr>
        <w:t xml:space="preserve">L’équipe régionale </w:t>
      </w:r>
      <w:r w:rsidR="004D618D">
        <w:rPr>
          <w:lang w:val="fr-CA"/>
        </w:rPr>
        <w:t>de l’O</w:t>
      </w:r>
      <w:r w:rsidR="00720E7F" w:rsidRPr="00096290">
        <w:rPr>
          <w:lang w:val="fr-CA"/>
        </w:rPr>
        <w:t>mbudsman</w:t>
      </w:r>
      <w:r w:rsidRPr="00096290">
        <w:rPr>
          <w:lang w:val="fr-CA"/>
        </w:rPr>
        <w:t xml:space="preserve"> a organisé une réunion-débat virtuelle</w:t>
      </w:r>
      <w:r w:rsidR="00720E7F" w:rsidRPr="00096290">
        <w:rPr>
          <w:lang w:val="fr-CA"/>
        </w:rPr>
        <w:t xml:space="preserve"> avec le Secrétariat le 4 novembre 2020</w:t>
      </w:r>
      <w:r w:rsidR="00985420">
        <w:rPr>
          <w:lang w:val="fr-CA"/>
        </w:rPr>
        <w:t>,</w:t>
      </w:r>
      <w:r w:rsidR="00720E7F" w:rsidRPr="00096290">
        <w:rPr>
          <w:lang w:val="fr-CA"/>
        </w:rPr>
        <w:t xml:space="preserve"> afin de présenter les services informels de règlement des différends offerts par l</w:t>
      </w:r>
      <w:r w:rsidR="00EF6C29" w:rsidRPr="00096290">
        <w:rPr>
          <w:lang w:val="fr-CA"/>
        </w:rPr>
        <w:t>e Bureau de l’Ombudsman et services de médiation. La réunion-débat sera suivie d’un atelier sur la civilité et la dignité au travail qui sera présenté le 30 novembre 2020</w:t>
      </w:r>
      <w:r w:rsidR="004F4AC6" w:rsidRPr="00096290">
        <w:rPr>
          <w:lang w:val="fr-CA"/>
        </w:rPr>
        <w:t>.</w:t>
      </w:r>
    </w:p>
    <w:p w:rsidR="00B40F4A" w:rsidRPr="00096290" w:rsidRDefault="00EF6C29" w:rsidP="00B40F4A">
      <w:pPr>
        <w:pStyle w:val="Heading1"/>
        <w:rPr>
          <w:lang w:val="fr-CA"/>
        </w:rPr>
      </w:pPr>
      <w:r w:rsidRPr="00096290">
        <w:rPr>
          <w:lang w:val="fr-CA"/>
        </w:rPr>
        <w:t>Plusieurs spécialistes hors classe de la gestion des programmes ont assisté à des webinaires, comme indiqué dans le tableau ci-dessous</w:t>
      </w:r>
      <w:r w:rsidR="00B40F4A" w:rsidRPr="00096290">
        <w:rPr>
          <w:lang w:val="fr-CA"/>
        </w:rPr>
        <w:t>.</w:t>
      </w:r>
    </w:p>
    <w:tbl>
      <w:tblPr>
        <w:tblStyle w:val="TableGrid"/>
        <w:tblW w:w="9445" w:type="dxa"/>
        <w:tblLook w:val="04A0" w:firstRow="1" w:lastRow="0" w:firstColumn="1" w:lastColumn="0" w:noHBand="0" w:noVBand="1"/>
      </w:tblPr>
      <w:tblGrid>
        <w:gridCol w:w="4855"/>
        <w:gridCol w:w="4590"/>
      </w:tblGrid>
      <w:tr w:rsidR="00B40F4A" w:rsidRPr="00096290" w:rsidTr="000E14E6">
        <w:trPr>
          <w:tblHeader/>
        </w:trPr>
        <w:tc>
          <w:tcPr>
            <w:tcW w:w="4855" w:type="dxa"/>
          </w:tcPr>
          <w:p w:rsidR="00B40F4A" w:rsidRPr="00096290" w:rsidRDefault="00EF6C29" w:rsidP="00B41DC5">
            <w:pPr>
              <w:jc w:val="left"/>
              <w:rPr>
                <w:b/>
                <w:sz w:val="20"/>
                <w:szCs w:val="20"/>
                <w:lang w:val="fr-CA"/>
              </w:rPr>
            </w:pPr>
            <w:r w:rsidRPr="00096290">
              <w:rPr>
                <w:b/>
                <w:sz w:val="20"/>
                <w:szCs w:val="20"/>
                <w:lang w:val="fr-CA"/>
              </w:rPr>
              <w:lastRenderedPageBreak/>
              <w:t>Titre</w:t>
            </w:r>
          </w:p>
        </w:tc>
        <w:tc>
          <w:tcPr>
            <w:tcW w:w="4590" w:type="dxa"/>
          </w:tcPr>
          <w:p w:rsidR="00B40F4A" w:rsidRPr="00096290" w:rsidRDefault="00EF6C29" w:rsidP="00B41DC5">
            <w:pPr>
              <w:jc w:val="left"/>
              <w:rPr>
                <w:b/>
                <w:sz w:val="20"/>
                <w:szCs w:val="20"/>
                <w:lang w:val="fr-CA"/>
              </w:rPr>
            </w:pPr>
            <w:r w:rsidRPr="00096290">
              <w:rPr>
                <w:b/>
                <w:sz w:val="20"/>
                <w:szCs w:val="20"/>
                <w:lang w:val="fr-CA"/>
              </w:rPr>
              <w:t>Organisateur</w:t>
            </w:r>
          </w:p>
        </w:tc>
      </w:tr>
      <w:tr w:rsidR="00B40F4A" w:rsidRPr="00096290" w:rsidTr="00B41DC5">
        <w:tc>
          <w:tcPr>
            <w:tcW w:w="4855" w:type="dxa"/>
          </w:tcPr>
          <w:p w:rsidR="00B40F4A" w:rsidRPr="00096290" w:rsidRDefault="00EF6C29" w:rsidP="00EF6C29">
            <w:pPr>
              <w:jc w:val="left"/>
              <w:rPr>
                <w:bCs/>
                <w:color w:val="000000"/>
                <w:sz w:val="20"/>
                <w:szCs w:val="20"/>
                <w:shd w:val="clear" w:color="auto" w:fill="FFFFFF"/>
                <w:lang w:val="fr-CA"/>
              </w:rPr>
            </w:pPr>
            <w:r w:rsidRPr="00096290">
              <w:rPr>
                <w:bCs/>
                <w:color w:val="000000"/>
                <w:sz w:val="20"/>
                <w:szCs w:val="20"/>
                <w:shd w:val="clear" w:color="auto" w:fill="FFFFFF"/>
                <w:lang w:val="fr-CA"/>
              </w:rPr>
              <w:t>Refroidissement indirect par évaporation : Approche plus sécuritaire et éconergétique en matière de chauffage, ventilation et climatisation</w:t>
            </w:r>
          </w:p>
        </w:tc>
        <w:tc>
          <w:tcPr>
            <w:tcW w:w="4590" w:type="dxa"/>
          </w:tcPr>
          <w:p w:rsidR="00B40F4A" w:rsidRPr="00096290" w:rsidRDefault="00B40F4A" w:rsidP="00B41DC5">
            <w:pPr>
              <w:jc w:val="left"/>
              <w:rPr>
                <w:sz w:val="20"/>
                <w:szCs w:val="20"/>
                <w:lang w:val="en-US"/>
              </w:rPr>
            </w:pPr>
            <w:r w:rsidRPr="00096290">
              <w:rPr>
                <w:bCs/>
                <w:color w:val="000000"/>
                <w:sz w:val="20"/>
                <w:szCs w:val="20"/>
                <w:shd w:val="clear" w:color="auto" w:fill="FFFFFF"/>
                <w:lang w:val="en-US"/>
              </w:rPr>
              <w:t>HMX Cooling and Heating/ATE Group</w:t>
            </w:r>
          </w:p>
        </w:tc>
      </w:tr>
      <w:tr w:rsidR="00B40F4A" w:rsidRPr="00096290" w:rsidTr="00B41DC5">
        <w:tc>
          <w:tcPr>
            <w:tcW w:w="4855" w:type="dxa"/>
          </w:tcPr>
          <w:p w:rsidR="00B40F4A" w:rsidRPr="00096290" w:rsidRDefault="00AF5C97" w:rsidP="00B41DC5">
            <w:pPr>
              <w:jc w:val="left"/>
              <w:rPr>
                <w:bCs/>
                <w:color w:val="000000"/>
                <w:sz w:val="20"/>
                <w:szCs w:val="20"/>
                <w:shd w:val="clear" w:color="auto" w:fill="FFFFFF"/>
                <w:lang w:val="fr-CA"/>
              </w:rPr>
            </w:pPr>
            <w:r w:rsidRPr="00096290">
              <w:rPr>
                <w:bCs/>
                <w:color w:val="000000"/>
                <w:sz w:val="20"/>
                <w:szCs w:val="20"/>
                <w:shd w:val="clear" w:color="auto" w:fill="FFFFFF"/>
                <w:lang w:val="fr-CA"/>
              </w:rPr>
              <w:t>Frigorigènes de remplacement pour les pays à température ambiante élevée</w:t>
            </w:r>
          </w:p>
        </w:tc>
        <w:tc>
          <w:tcPr>
            <w:tcW w:w="4590" w:type="dxa"/>
          </w:tcPr>
          <w:p w:rsidR="00B40F4A" w:rsidRPr="00096290" w:rsidRDefault="00AF5C97" w:rsidP="00B41DC5">
            <w:pPr>
              <w:jc w:val="left"/>
              <w:rPr>
                <w:sz w:val="20"/>
                <w:szCs w:val="20"/>
                <w:lang w:val="fr-CA"/>
              </w:rPr>
            </w:pPr>
            <w:r w:rsidRPr="00096290">
              <w:rPr>
                <w:sz w:val="20"/>
                <w:szCs w:val="20"/>
                <w:lang w:val="fr-CA"/>
              </w:rPr>
              <w:t>PNUE, ONUDI</w:t>
            </w:r>
          </w:p>
        </w:tc>
      </w:tr>
      <w:tr w:rsidR="00B40F4A" w:rsidRPr="00755FF1" w:rsidTr="00B41DC5">
        <w:tc>
          <w:tcPr>
            <w:tcW w:w="4855" w:type="dxa"/>
          </w:tcPr>
          <w:p w:rsidR="00B40F4A" w:rsidRPr="00096290" w:rsidRDefault="00AF5C97" w:rsidP="003D5ABC">
            <w:pPr>
              <w:jc w:val="left"/>
              <w:rPr>
                <w:bCs/>
                <w:color w:val="000000"/>
                <w:sz w:val="20"/>
                <w:szCs w:val="20"/>
                <w:shd w:val="clear" w:color="auto" w:fill="FFFFFF"/>
                <w:lang w:val="fr-CA"/>
              </w:rPr>
            </w:pPr>
            <w:r w:rsidRPr="00096290">
              <w:rPr>
                <w:bCs/>
                <w:color w:val="000000"/>
                <w:sz w:val="20"/>
                <w:szCs w:val="20"/>
                <w:shd w:val="clear" w:color="auto" w:fill="FFFFFF"/>
                <w:lang w:val="fr-CA"/>
              </w:rPr>
              <w:t>Voies menant au refroidissement sans émission de gaz à effet de serre</w:t>
            </w:r>
          </w:p>
        </w:tc>
        <w:tc>
          <w:tcPr>
            <w:tcW w:w="4590" w:type="dxa"/>
          </w:tcPr>
          <w:p w:rsidR="00B40F4A" w:rsidRPr="00096290" w:rsidRDefault="00AF5C97" w:rsidP="00B41DC5">
            <w:pPr>
              <w:jc w:val="left"/>
              <w:rPr>
                <w:sz w:val="20"/>
                <w:szCs w:val="20"/>
                <w:lang w:val="fr-CA"/>
              </w:rPr>
            </w:pPr>
            <w:r w:rsidRPr="00096290">
              <w:rPr>
                <w:sz w:val="20"/>
                <w:szCs w:val="20"/>
                <w:lang w:val="fr-CA"/>
              </w:rPr>
              <w:t>Coalition du froid du PNUE</w:t>
            </w:r>
          </w:p>
        </w:tc>
      </w:tr>
      <w:tr w:rsidR="00B40F4A" w:rsidRPr="00755FF1" w:rsidTr="00B41DC5">
        <w:tc>
          <w:tcPr>
            <w:tcW w:w="4855" w:type="dxa"/>
          </w:tcPr>
          <w:p w:rsidR="00B40F4A" w:rsidRPr="00096290" w:rsidRDefault="00AF5C97" w:rsidP="00B41DC5">
            <w:pPr>
              <w:jc w:val="left"/>
              <w:rPr>
                <w:bCs/>
                <w:color w:val="000000"/>
                <w:sz w:val="20"/>
                <w:szCs w:val="20"/>
                <w:shd w:val="clear" w:color="auto" w:fill="FFFFFF"/>
                <w:lang w:val="fr-CA"/>
              </w:rPr>
            </w:pPr>
            <w:r w:rsidRPr="00096290">
              <w:rPr>
                <w:bCs/>
                <w:color w:val="000000"/>
                <w:sz w:val="20"/>
                <w:szCs w:val="20"/>
                <w:shd w:val="clear" w:color="auto" w:fill="FFFFFF"/>
                <w:lang w:val="fr-CA"/>
              </w:rPr>
              <w:t>Refroidissement des bâtiments : Verdissement des investissements immobiliers pour ralentir la demande de refroidissement</w:t>
            </w:r>
          </w:p>
        </w:tc>
        <w:tc>
          <w:tcPr>
            <w:tcW w:w="4590" w:type="dxa"/>
          </w:tcPr>
          <w:p w:rsidR="00B40F4A" w:rsidRPr="00096290" w:rsidRDefault="0056115F" w:rsidP="003D5ABC">
            <w:pPr>
              <w:jc w:val="left"/>
              <w:rPr>
                <w:sz w:val="20"/>
                <w:szCs w:val="20"/>
                <w:lang w:val="fr-CA"/>
              </w:rPr>
            </w:pPr>
            <w:r w:rsidRPr="00096290">
              <w:rPr>
                <w:sz w:val="20"/>
                <w:szCs w:val="20"/>
                <w:lang w:val="fr-CA"/>
              </w:rPr>
              <w:t>L’Énergie durable pour tous</w:t>
            </w:r>
            <w:r w:rsidR="00B40F4A" w:rsidRPr="00096290">
              <w:rPr>
                <w:sz w:val="20"/>
                <w:szCs w:val="20"/>
                <w:lang w:val="fr-CA"/>
              </w:rPr>
              <w:t xml:space="preserve">, </w:t>
            </w:r>
            <w:r w:rsidRPr="00096290">
              <w:rPr>
                <w:sz w:val="20"/>
                <w:szCs w:val="20"/>
                <w:lang w:val="fr-CA"/>
              </w:rPr>
              <w:t>Alliance mondiale pour les bâtiments et la construction</w:t>
            </w:r>
            <w:r w:rsidR="00B40F4A" w:rsidRPr="00096290">
              <w:rPr>
                <w:sz w:val="20"/>
                <w:szCs w:val="20"/>
                <w:lang w:val="fr-CA"/>
              </w:rPr>
              <w:t xml:space="preserve">, </w:t>
            </w:r>
            <w:r w:rsidRPr="00096290">
              <w:rPr>
                <w:sz w:val="20"/>
                <w:szCs w:val="20"/>
                <w:lang w:val="fr-CA"/>
              </w:rPr>
              <w:t>Programme d’efficacité énergétique des bâtiments</w:t>
            </w:r>
            <w:r w:rsidR="00B40F4A" w:rsidRPr="00096290">
              <w:rPr>
                <w:sz w:val="20"/>
                <w:szCs w:val="20"/>
                <w:lang w:val="fr-CA"/>
              </w:rPr>
              <w:t xml:space="preserve">, </w:t>
            </w:r>
            <w:r w:rsidRPr="00096290">
              <w:rPr>
                <w:sz w:val="20"/>
                <w:szCs w:val="20"/>
                <w:lang w:val="fr-CA"/>
              </w:rPr>
              <w:t>Coalition du froid du PNUE</w:t>
            </w:r>
          </w:p>
        </w:tc>
      </w:tr>
      <w:tr w:rsidR="00B40F4A" w:rsidRPr="00755FF1" w:rsidTr="00B41DC5">
        <w:tc>
          <w:tcPr>
            <w:tcW w:w="4855" w:type="dxa"/>
          </w:tcPr>
          <w:p w:rsidR="00B40F4A" w:rsidRPr="00096290" w:rsidRDefault="00977402" w:rsidP="00B41DC5">
            <w:pPr>
              <w:jc w:val="left"/>
              <w:rPr>
                <w:bCs/>
                <w:color w:val="000000"/>
                <w:sz w:val="20"/>
                <w:szCs w:val="20"/>
                <w:shd w:val="clear" w:color="auto" w:fill="FFFFFF"/>
                <w:lang w:val="fr-CA"/>
              </w:rPr>
            </w:pPr>
            <w:r w:rsidRPr="00096290">
              <w:rPr>
                <w:bCs/>
                <w:color w:val="000000"/>
                <w:sz w:val="20"/>
                <w:szCs w:val="20"/>
                <w:shd w:val="clear" w:color="auto" w:fill="FFFFFF"/>
                <w:lang w:val="fr-CA"/>
              </w:rPr>
              <w:t>Décharge nuisible pour l’environnement des climatiseurs inefficaces et désuets en Afrique</w:t>
            </w:r>
          </w:p>
        </w:tc>
        <w:tc>
          <w:tcPr>
            <w:tcW w:w="4590" w:type="dxa"/>
          </w:tcPr>
          <w:p w:rsidR="00B40F4A" w:rsidRPr="00096290" w:rsidRDefault="00977402" w:rsidP="00977402">
            <w:pPr>
              <w:jc w:val="left"/>
              <w:rPr>
                <w:sz w:val="20"/>
                <w:szCs w:val="20"/>
                <w:lang w:val="fr-CA"/>
              </w:rPr>
            </w:pPr>
            <w:r w:rsidRPr="00096290">
              <w:rPr>
                <w:sz w:val="20"/>
                <w:szCs w:val="20"/>
                <w:lang w:val="fr-CA"/>
              </w:rPr>
              <w:t>Programme collaboratif de normes et d’étiquetage des appareils ménagers</w:t>
            </w:r>
            <w:r w:rsidR="00B40F4A" w:rsidRPr="00096290">
              <w:rPr>
                <w:sz w:val="20"/>
                <w:szCs w:val="20"/>
                <w:lang w:val="fr-CA"/>
              </w:rPr>
              <w:t xml:space="preserve"> (CLASP), Institute for </w:t>
            </w:r>
            <w:proofErr w:type="spellStart"/>
            <w:r w:rsidR="00B40F4A" w:rsidRPr="00096290">
              <w:rPr>
                <w:sz w:val="20"/>
                <w:szCs w:val="20"/>
                <w:lang w:val="fr-CA"/>
              </w:rPr>
              <w:t>Governance</w:t>
            </w:r>
            <w:proofErr w:type="spellEnd"/>
            <w:r w:rsidR="00B40F4A" w:rsidRPr="00096290">
              <w:rPr>
                <w:sz w:val="20"/>
                <w:szCs w:val="20"/>
                <w:lang w:val="fr-CA"/>
              </w:rPr>
              <w:t xml:space="preserve"> and </w:t>
            </w:r>
            <w:proofErr w:type="spellStart"/>
            <w:r w:rsidR="00B40F4A" w:rsidRPr="00096290">
              <w:rPr>
                <w:sz w:val="20"/>
                <w:szCs w:val="20"/>
                <w:lang w:val="fr-CA"/>
              </w:rPr>
              <w:t>Sustainable</w:t>
            </w:r>
            <w:proofErr w:type="spellEnd"/>
            <w:r w:rsidR="00B40F4A" w:rsidRPr="00096290">
              <w:rPr>
                <w:sz w:val="20"/>
                <w:szCs w:val="20"/>
                <w:lang w:val="fr-CA"/>
              </w:rPr>
              <w:t xml:space="preserve"> </w:t>
            </w:r>
            <w:proofErr w:type="spellStart"/>
            <w:r w:rsidR="00B40F4A" w:rsidRPr="00096290">
              <w:rPr>
                <w:sz w:val="20"/>
                <w:szCs w:val="20"/>
                <w:lang w:val="fr-CA"/>
              </w:rPr>
              <w:t>Development</w:t>
            </w:r>
            <w:proofErr w:type="spellEnd"/>
            <w:r w:rsidR="00B40F4A" w:rsidRPr="00096290">
              <w:rPr>
                <w:sz w:val="20"/>
                <w:szCs w:val="20"/>
                <w:lang w:val="fr-CA"/>
              </w:rPr>
              <w:t xml:space="preserve"> (IGSD)</w:t>
            </w:r>
          </w:p>
        </w:tc>
      </w:tr>
      <w:tr w:rsidR="00B40F4A" w:rsidRPr="00755FF1" w:rsidTr="00B41DC5">
        <w:tc>
          <w:tcPr>
            <w:tcW w:w="4855" w:type="dxa"/>
          </w:tcPr>
          <w:p w:rsidR="00B40F4A" w:rsidRPr="00096290" w:rsidRDefault="00AC554E" w:rsidP="00AC554E">
            <w:pPr>
              <w:jc w:val="left"/>
              <w:rPr>
                <w:bCs/>
                <w:color w:val="000000"/>
                <w:sz w:val="20"/>
                <w:szCs w:val="20"/>
                <w:shd w:val="clear" w:color="auto" w:fill="FFFFFF"/>
                <w:lang w:val="fr-CA"/>
              </w:rPr>
            </w:pPr>
            <w:r w:rsidRPr="00096290">
              <w:rPr>
                <w:bCs/>
                <w:color w:val="000000"/>
                <w:sz w:val="20"/>
                <w:szCs w:val="20"/>
                <w:shd w:val="clear" w:color="auto" w:fill="FFFFFF"/>
                <w:lang w:val="fr-CA"/>
              </w:rPr>
              <w:t>De la récupération à la vingt-sixième réunion de la Conférence des Parties : La contribution du refroidissement durable</w:t>
            </w:r>
          </w:p>
        </w:tc>
        <w:tc>
          <w:tcPr>
            <w:tcW w:w="4590" w:type="dxa"/>
          </w:tcPr>
          <w:p w:rsidR="00B40F4A" w:rsidRPr="00096290" w:rsidRDefault="004D618D" w:rsidP="00AC554E">
            <w:pPr>
              <w:jc w:val="left"/>
              <w:rPr>
                <w:sz w:val="20"/>
                <w:szCs w:val="20"/>
                <w:lang w:val="fr-CA"/>
              </w:rPr>
            </w:pPr>
            <w:r>
              <w:rPr>
                <w:sz w:val="20"/>
                <w:szCs w:val="20"/>
                <w:lang w:val="fr-CA"/>
              </w:rPr>
              <w:t>Ministère de l’Environnement du Royaume-Uni</w:t>
            </w:r>
            <w:r w:rsidR="00B40F4A" w:rsidRPr="00096290">
              <w:rPr>
                <w:sz w:val="20"/>
                <w:szCs w:val="20"/>
                <w:lang w:val="fr-CA"/>
              </w:rPr>
              <w:t xml:space="preserve">, </w:t>
            </w:r>
            <w:r w:rsidR="00AC554E" w:rsidRPr="00096290">
              <w:rPr>
                <w:sz w:val="20"/>
                <w:szCs w:val="20"/>
                <w:lang w:val="fr-CA"/>
              </w:rPr>
              <w:t>Coalition du froid du PNUE</w:t>
            </w:r>
            <w:r w:rsidR="00B40F4A" w:rsidRPr="00096290">
              <w:rPr>
                <w:sz w:val="20"/>
                <w:szCs w:val="20"/>
                <w:lang w:val="fr-CA"/>
              </w:rPr>
              <w:t xml:space="preserve">, </w:t>
            </w:r>
            <w:r w:rsidR="00AC554E" w:rsidRPr="00096290">
              <w:rPr>
                <w:sz w:val="20"/>
                <w:szCs w:val="20"/>
                <w:lang w:val="fr-CA"/>
              </w:rPr>
              <w:t>Programme d’effi</w:t>
            </w:r>
            <w:r w:rsidR="00046CF0" w:rsidRPr="00096290">
              <w:rPr>
                <w:sz w:val="20"/>
                <w:szCs w:val="20"/>
                <w:lang w:val="fr-CA"/>
              </w:rPr>
              <w:t>c</w:t>
            </w:r>
            <w:r w:rsidR="00AC554E" w:rsidRPr="00096290">
              <w:rPr>
                <w:sz w:val="20"/>
                <w:szCs w:val="20"/>
                <w:lang w:val="fr-CA"/>
              </w:rPr>
              <w:t>acité du refroidissement de Kigali</w:t>
            </w:r>
            <w:r w:rsidR="00B40F4A" w:rsidRPr="00096290">
              <w:rPr>
                <w:sz w:val="20"/>
                <w:szCs w:val="20"/>
                <w:lang w:val="fr-CA"/>
              </w:rPr>
              <w:t xml:space="preserve"> (KCEP)</w:t>
            </w:r>
          </w:p>
        </w:tc>
      </w:tr>
      <w:tr w:rsidR="00B40F4A" w:rsidRPr="00096290" w:rsidTr="00B41DC5">
        <w:tc>
          <w:tcPr>
            <w:tcW w:w="4855" w:type="dxa"/>
          </w:tcPr>
          <w:p w:rsidR="00B40F4A" w:rsidRPr="00096290" w:rsidRDefault="00AC554E" w:rsidP="00B41DC5">
            <w:pPr>
              <w:jc w:val="left"/>
              <w:rPr>
                <w:bCs/>
                <w:color w:val="000000"/>
                <w:sz w:val="20"/>
                <w:szCs w:val="20"/>
                <w:shd w:val="clear" w:color="auto" w:fill="FFFFFF"/>
                <w:lang w:val="fr-CA"/>
              </w:rPr>
            </w:pPr>
            <w:r w:rsidRPr="00096290">
              <w:rPr>
                <w:bCs/>
                <w:color w:val="000000"/>
                <w:sz w:val="20"/>
                <w:szCs w:val="20"/>
                <w:shd w:val="clear" w:color="auto" w:fill="FFFFFF"/>
                <w:lang w:val="fr-CA"/>
              </w:rPr>
              <w:t>Prestation du changement transformationnel : Le périple du FEM</w:t>
            </w:r>
          </w:p>
        </w:tc>
        <w:tc>
          <w:tcPr>
            <w:tcW w:w="4590" w:type="dxa"/>
          </w:tcPr>
          <w:p w:rsidR="00B40F4A" w:rsidRPr="00096290" w:rsidRDefault="00AC554E" w:rsidP="009434E7">
            <w:pPr>
              <w:jc w:val="left"/>
              <w:rPr>
                <w:sz w:val="20"/>
                <w:szCs w:val="20"/>
                <w:lang w:val="fr-CA"/>
              </w:rPr>
            </w:pPr>
            <w:r w:rsidRPr="00096290">
              <w:rPr>
                <w:sz w:val="20"/>
                <w:szCs w:val="20"/>
                <w:lang w:val="fr-CA"/>
              </w:rPr>
              <w:t>FEM</w:t>
            </w:r>
          </w:p>
        </w:tc>
      </w:tr>
      <w:tr w:rsidR="00B40F4A" w:rsidRPr="00755FF1" w:rsidTr="00046CF0">
        <w:trPr>
          <w:trHeight w:val="1061"/>
        </w:trPr>
        <w:tc>
          <w:tcPr>
            <w:tcW w:w="4855" w:type="dxa"/>
          </w:tcPr>
          <w:p w:rsidR="00B40F4A" w:rsidRPr="00096290" w:rsidRDefault="00AC554E" w:rsidP="00B41DC5">
            <w:pPr>
              <w:jc w:val="left"/>
              <w:rPr>
                <w:bCs/>
                <w:color w:val="000000"/>
                <w:sz w:val="20"/>
                <w:szCs w:val="20"/>
                <w:shd w:val="clear" w:color="auto" w:fill="FFFFFF"/>
                <w:lang w:val="fr-CA"/>
              </w:rPr>
            </w:pPr>
            <w:r w:rsidRPr="00096290">
              <w:rPr>
                <w:bCs/>
                <w:color w:val="000000"/>
                <w:sz w:val="20"/>
                <w:szCs w:val="20"/>
                <w:shd w:val="clear" w:color="auto" w:fill="FFFFFF"/>
                <w:lang w:val="fr-CA"/>
              </w:rPr>
              <w:t>Implantation efficace du refroidissement vert :</w:t>
            </w:r>
            <w:r w:rsidR="002712B7" w:rsidRPr="00096290">
              <w:rPr>
                <w:bCs/>
                <w:color w:val="000000"/>
                <w:sz w:val="20"/>
                <w:szCs w:val="20"/>
                <w:shd w:val="clear" w:color="auto" w:fill="FFFFFF"/>
                <w:lang w:val="fr-CA"/>
              </w:rPr>
              <w:t xml:space="preserve"> Stratégies s</w:t>
            </w:r>
            <w:r w:rsidRPr="00096290">
              <w:rPr>
                <w:bCs/>
                <w:color w:val="000000"/>
                <w:sz w:val="20"/>
                <w:szCs w:val="20"/>
                <w:shd w:val="clear" w:color="auto" w:fill="FFFFFF"/>
                <w:lang w:val="fr-CA"/>
              </w:rPr>
              <w:t xml:space="preserve">olides, travailleurs en réfrigération et climatisation compétents, </w:t>
            </w:r>
            <w:r w:rsidR="005070AD">
              <w:rPr>
                <w:bCs/>
                <w:color w:val="000000"/>
                <w:sz w:val="20"/>
                <w:szCs w:val="20"/>
                <w:shd w:val="clear" w:color="auto" w:fill="FFFFFF"/>
                <w:lang w:val="fr-CA"/>
              </w:rPr>
              <w:t xml:space="preserve">et </w:t>
            </w:r>
            <w:r w:rsidRPr="00096290">
              <w:rPr>
                <w:bCs/>
                <w:color w:val="000000"/>
                <w:sz w:val="20"/>
                <w:szCs w:val="20"/>
                <w:shd w:val="clear" w:color="auto" w:fill="FFFFFF"/>
                <w:lang w:val="fr-CA"/>
              </w:rPr>
              <w:t>la meilleure technologie sur le marché</w:t>
            </w:r>
          </w:p>
        </w:tc>
        <w:tc>
          <w:tcPr>
            <w:tcW w:w="4590" w:type="dxa"/>
          </w:tcPr>
          <w:p w:rsidR="00B40F4A" w:rsidRPr="00096290" w:rsidRDefault="00B40F4A" w:rsidP="005070AD">
            <w:pPr>
              <w:jc w:val="left"/>
              <w:rPr>
                <w:sz w:val="20"/>
                <w:szCs w:val="20"/>
                <w:lang w:val="fr-CA"/>
              </w:rPr>
            </w:pPr>
            <w:r w:rsidRPr="00096290">
              <w:rPr>
                <w:sz w:val="20"/>
                <w:szCs w:val="20"/>
                <w:lang w:val="fr-CA"/>
              </w:rPr>
              <w:t xml:space="preserve">GIZ </w:t>
            </w:r>
            <w:proofErr w:type="spellStart"/>
            <w:r w:rsidRPr="00096290">
              <w:rPr>
                <w:sz w:val="20"/>
                <w:szCs w:val="20"/>
                <w:lang w:val="fr-CA"/>
              </w:rPr>
              <w:t>Proklima</w:t>
            </w:r>
            <w:proofErr w:type="spellEnd"/>
            <w:r w:rsidRPr="00096290">
              <w:rPr>
                <w:sz w:val="20"/>
                <w:szCs w:val="20"/>
                <w:lang w:val="fr-CA"/>
              </w:rPr>
              <w:t xml:space="preserve"> </w:t>
            </w:r>
            <w:r w:rsidR="00046CF0" w:rsidRPr="00096290">
              <w:rPr>
                <w:sz w:val="20"/>
                <w:szCs w:val="20"/>
                <w:lang w:val="fr-CA"/>
              </w:rPr>
              <w:t xml:space="preserve">au nom du ministère fédéral de la Coopération et du développement économiques et du ministère fédéral de l’Environnement, de la Conservation de </w:t>
            </w:r>
            <w:r w:rsidR="005070AD">
              <w:rPr>
                <w:sz w:val="20"/>
                <w:szCs w:val="20"/>
                <w:lang w:val="fr-CA"/>
              </w:rPr>
              <w:t>l</w:t>
            </w:r>
            <w:r w:rsidR="00046CF0" w:rsidRPr="00096290">
              <w:rPr>
                <w:sz w:val="20"/>
                <w:szCs w:val="20"/>
                <w:lang w:val="fr-CA"/>
              </w:rPr>
              <w:t>a nature et de la Sécurité nucléaire de l’Allemagne</w:t>
            </w:r>
          </w:p>
        </w:tc>
      </w:tr>
      <w:tr w:rsidR="00B40F4A" w:rsidRPr="00755FF1" w:rsidTr="00B41DC5">
        <w:tc>
          <w:tcPr>
            <w:tcW w:w="4855" w:type="dxa"/>
          </w:tcPr>
          <w:p w:rsidR="00B40F4A" w:rsidRPr="00096290" w:rsidRDefault="00046CF0" w:rsidP="00B41DC5">
            <w:pPr>
              <w:jc w:val="left"/>
              <w:rPr>
                <w:sz w:val="20"/>
                <w:szCs w:val="20"/>
                <w:lang w:val="fr-CA"/>
              </w:rPr>
            </w:pPr>
            <w:r w:rsidRPr="00096290">
              <w:rPr>
                <w:sz w:val="20"/>
                <w:szCs w:val="20"/>
                <w:lang w:val="fr-CA"/>
              </w:rPr>
              <w:t>Comprendre les coûts et avantages nets des différents scénarios de réfrigération éconergétiques</w:t>
            </w:r>
          </w:p>
        </w:tc>
        <w:tc>
          <w:tcPr>
            <w:tcW w:w="4590" w:type="dxa"/>
          </w:tcPr>
          <w:p w:rsidR="00B40F4A" w:rsidRPr="00096290" w:rsidRDefault="00046CF0" w:rsidP="00046CF0">
            <w:pPr>
              <w:jc w:val="left"/>
              <w:rPr>
                <w:sz w:val="20"/>
                <w:szCs w:val="20"/>
                <w:lang w:val="fr-CA"/>
              </w:rPr>
            </w:pPr>
            <w:r w:rsidRPr="00096290">
              <w:rPr>
                <w:sz w:val="20"/>
                <w:szCs w:val="20"/>
                <w:lang w:val="fr-CA"/>
              </w:rPr>
              <w:t>ONUDI</w:t>
            </w:r>
            <w:r w:rsidR="00B40F4A" w:rsidRPr="00096290">
              <w:rPr>
                <w:sz w:val="20"/>
                <w:szCs w:val="20"/>
                <w:lang w:val="fr-CA"/>
              </w:rPr>
              <w:t xml:space="preserve">, KCEP, </w:t>
            </w:r>
            <w:r w:rsidRPr="00096290">
              <w:rPr>
                <w:sz w:val="20"/>
                <w:szCs w:val="20"/>
                <w:lang w:val="fr-CA"/>
              </w:rPr>
              <w:t>Association internationale du cuivre</w:t>
            </w:r>
          </w:p>
        </w:tc>
      </w:tr>
      <w:tr w:rsidR="00B40F4A" w:rsidRPr="00755FF1" w:rsidTr="00B41DC5">
        <w:tc>
          <w:tcPr>
            <w:tcW w:w="4855" w:type="dxa"/>
          </w:tcPr>
          <w:p w:rsidR="00B40F4A" w:rsidRPr="00096290" w:rsidRDefault="00046CF0" w:rsidP="003D5ABC">
            <w:pPr>
              <w:jc w:val="left"/>
              <w:rPr>
                <w:sz w:val="20"/>
                <w:szCs w:val="20"/>
                <w:lang w:val="fr-CA"/>
              </w:rPr>
            </w:pPr>
            <w:r w:rsidRPr="00096290">
              <w:rPr>
                <w:sz w:val="20"/>
                <w:szCs w:val="20"/>
                <w:lang w:val="fr-CA"/>
              </w:rPr>
              <w:t xml:space="preserve">Renforcement des projets </w:t>
            </w:r>
            <w:r w:rsidR="002712B7" w:rsidRPr="00096290">
              <w:rPr>
                <w:sz w:val="20"/>
                <w:szCs w:val="20"/>
                <w:lang w:val="fr-CA"/>
              </w:rPr>
              <w:t>d’efficacité énergétique et de refroidissement écologique du Fonds vert pour le climat</w:t>
            </w:r>
          </w:p>
        </w:tc>
        <w:tc>
          <w:tcPr>
            <w:tcW w:w="4590" w:type="dxa"/>
          </w:tcPr>
          <w:p w:rsidR="00B40F4A" w:rsidRPr="00096290" w:rsidRDefault="002712B7" w:rsidP="002712B7">
            <w:pPr>
              <w:jc w:val="left"/>
              <w:rPr>
                <w:sz w:val="20"/>
                <w:szCs w:val="20"/>
                <w:lang w:val="fr-CA"/>
              </w:rPr>
            </w:pPr>
            <w:r w:rsidRPr="00096290">
              <w:rPr>
                <w:sz w:val="20"/>
                <w:szCs w:val="20"/>
                <w:lang w:val="fr-CA"/>
              </w:rPr>
              <w:t>Fonds vert pour le climat (FVC) et PNUE</w:t>
            </w:r>
          </w:p>
        </w:tc>
      </w:tr>
      <w:tr w:rsidR="00B40F4A" w:rsidRPr="00755FF1" w:rsidTr="00B41DC5">
        <w:tc>
          <w:tcPr>
            <w:tcW w:w="4855" w:type="dxa"/>
          </w:tcPr>
          <w:p w:rsidR="00B40F4A" w:rsidRPr="00096290" w:rsidRDefault="002712B7" w:rsidP="002712B7">
            <w:pPr>
              <w:jc w:val="left"/>
              <w:rPr>
                <w:sz w:val="20"/>
                <w:szCs w:val="20"/>
                <w:lang w:val="fr-CA"/>
              </w:rPr>
            </w:pPr>
            <w:r w:rsidRPr="00096290">
              <w:rPr>
                <w:sz w:val="20"/>
                <w:szCs w:val="20"/>
                <w:lang w:val="fr-CA"/>
              </w:rPr>
              <w:t>Stratégies d’application du plan d’action pour le refroidissement de l’Inde</w:t>
            </w:r>
          </w:p>
        </w:tc>
        <w:tc>
          <w:tcPr>
            <w:tcW w:w="4590" w:type="dxa"/>
          </w:tcPr>
          <w:p w:rsidR="00B40F4A" w:rsidRPr="00096290" w:rsidRDefault="002712B7" w:rsidP="00B41DC5">
            <w:pPr>
              <w:jc w:val="left"/>
              <w:rPr>
                <w:sz w:val="20"/>
                <w:szCs w:val="20"/>
                <w:lang w:val="fr-CA"/>
              </w:rPr>
            </w:pPr>
            <w:r w:rsidRPr="00096290">
              <w:rPr>
                <w:sz w:val="20"/>
                <w:szCs w:val="20"/>
                <w:lang w:val="fr-CA"/>
              </w:rPr>
              <w:t xml:space="preserve">Alliance pour une économie </w:t>
            </w:r>
            <w:proofErr w:type="spellStart"/>
            <w:r w:rsidRPr="00096290">
              <w:rPr>
                <w:sz w:val="20"/>
                <w:szCs w:val="20"/>
                <w:lang w:val="fr-CA"/>
              </w:rPr>
              <w:t>éconergétique</w:t>
            </w:r>
            <w:proofErr w:type="spellEnd"/>
            <w:r w:rsidR="00B40F4A" w:rsidRPr="00096290">
              <w:rPr>
                <w:sz w:val="20"/>
                <w:szCs w:val="20"/>
                <w:lang w:val="fr-CA"/>
              </w:rPr>
              <w:t xml:space="preserve"> (AEEE)</w:t>
            </w:r>
          </w:p>
        </w:tc>
      </w:tr>
      <w:tr w:rsidR="00B40F4A" w:rsidRPr="00755FF1" w:rsidTr="00B41DC5">
        <w:tc>
          <w:tcPr>
            <w:tcW w:w="4855" w:type="dxa"/>
          </w:tcPr>
          <w:p w:rsidR="00B40F4A" w:rsidRPr="00096290" w:rsidRDefault="002712B7" w:rsidP="002712B7">
            <w:pPr>
              <w:jc w:val="left"/>
              <w:rPr>
                <w:sz w:val="20"/>
                <w:szCs w:val="20"/>
                <w:lang w:val="fr-CA"/>
              </w:rPr>
            </w:pPr>
            <w:r w:rsidRPr="00096290">
              <w:rPr>
                <w:bCs/>
                <w:color w:val="000000"/>
                <w:sz w:val="20"/>
                <w:szCs w:val="20"/>
                <w:shd w:val="clear" w:color="auto" w:fill="FFFFFF"/>
                <w:lang w:val="fr-CA"/>
              </w:rPr>
              <w:t>Le refroidissement pour accélérer l’action climatique et la valorisation verte</w:t>
            </w:r>
          </w:p>
        </w:tc>
        <w:tc>
          <w:tcPr>
            <w:tcW w:w="4590" w:type="dxa"/>
          </w:tcPr>
          <w:p w:rsidR="00B40F4A" w:rsidRPr="00096290" w:rsidRDefault="00711EE1" w:rsidP="00B41DC5">
            <w:pPr>
              <w:jc w:val="left"/>
              <w:rPr>
                <w:sz w:val="20"/>
                <w:szCs w:val="20"/>
                <w:lang w:val="fr-CA"/>
              </w:rPr>
            </w:pPr>
            <w:r w:rsidRPr="00096290">
              <w:rPr>
                <w:sz w:val="20"/>
                <w:szCs w:val="20"/>
                <w:lang w:val="fr-CA"/>
              </w:rPr>
              <w:t>Mission permanente du Danemark aux Nations Unies et la Coalition du froid du PNUE</w:t>
            </w:r>
          </w:p>
        </w:tc>
      </w:tr>
    </w:tbl>
    <w:p w:rsidR="00B40F4A" w:rsidRPr="00096290" w:rsidRDefault="00B40F4A" w:rsidP="00B40F4A">
      <w:pPr>
        <w:rPr>
          <w:lang w:val="fr-CA"/>
        </w:rPr>
      </w:pPr>
    </w:p>
    <w:p w:rsidR="00E4797C" w:rsidRPr="00096290" w:rsidRDefault="00711EE1" w:rsidP="00E4797C">
      <w:pPr>
        <w:pStyle w:val="Heading1"/>
        <w:keepNext/>
        <w:numPr>
          <w:ilvl w:val="0"/>
          <w:numId w:val="0"/>
        </w:numPr>
        <w:rPr>
          <w:b/>
          <w:color w:val="000000" w:themeColor="text1"/>
          <w:lang w:val="fr-CA"/>
        </w:rPr>
      </w:pPr>
      <w:r w:rsidRPr="00096290">
        <w:rPr>
          <w:b/>
          <w:color w:val="000000" w:themeColor="text1"/>
          <w:lang w:val="fr-CA"/>
        </w:rPr>
        <w:t>Questions administratives</w:t>
      </w:r>
    </w:p>
    <w:p w:rsidR="00E4797C" w:rsidRPr="00096290" w:rsidRDefault="00711EE1" w:rsidP="00E4797C">
      <w:pPr>
        <w:pStyle w:val="Heading1"/>
        <w:tabs>
          <w:tab w:val="clear" w:pos="0"/>
        </w:tabs>
        <w:rPr>
          <w:color w:val="000000" w:themeColor="text1"/>
          <w:lang w:val="fr-CA"/>
        </w:rPr>
      </w:pPr>
      <w:r w:rsidRPr="00096290">
        <w:rPr>
          <w:color w:val="000000" w:themeColor="text1"/>
          <w:lang w:val="fr-CA"/>
        </w:rPr>
        <w:t xml:space="preserve">Le processus de signature </w:t>
      </w:r>
      <w:r w:rsidR="005070AD">
        <w:rPr>
          <w:color w:val="000000" w:themeColor="text1"/>
          <w:lang w:val="fr-CA"/>
        </w:rPr>
        <w:t>pour le</w:t>
      </w:r>
      <w:r w:rsidRPr="00096290">
        <w:rPr>
          <w:color w:val="000000" w:themeColor="text1"/>
          <w:lang w:val="fr-CA"/>
        </w:rPr>
        <w:t xml:space="preserve"> renouvellement du bail de dix ans </w:t>
      </w:r>
      <w:r w:rsidR="005070AD">
        <w:rPr>
          <w:color w:val="000000" w:themeColor="text1"/>
          <w:lang w:val="fr-CA"/>
        </w:rPr>
        <w:t>des</w:t>
      </w:r>
      <w:r w:rsidRPr="00096290">
        <w:rPr>
          <w:color w:val="000000" w:themeColor="text1"/>
          <w:lang w:val="fr-CA"/>
        </w:rPr>
        <w:t xml:space="preserve"> bureaux du Secrétariat est terminé</w:t>
      </w:r>
      <w:r w:rsidR="00E4797C" w:rsidRPr="00096290">
        <w:rPr>
          <w:color w:val="000000" w:themeColor="text1"/>
          <w:lang w:val="fr-CA"/>
        </w:rPr>
        <w:t>.</w:t>
      </w:r>
    </w:p>
    <w:p w:rsidR="00E4797C" w:rsidRPr="00096290" w:rsidRDefault="004179F5" w:rsidP="00E4797C">
      <w:pPr>
        <w:pStyle w:val="Heading1"/>
        <w:tabs>
          <w:tab w:val="clear" w:pos="0"/>
        </w:tabs>
        <w:rPr>
          <w:color w:val="000000" w:themeColor="text1"/>
          <w:lang w:val="fr-CA"/>
        </w:rPr>
      </w:pPr>
      <w:r w:rsidRPr="00096290">
        <w:rPr>
          <w:color w:val="000000" w:themeColor="text1"/>
          <w:lang w:val="fr-CA"/>
        </w:rPr>
        <w:t>Le Chef du Secrétariat et le spécialiste hors classe de la gestion des programmes ont continué à participer à des réunions en ligne organisées par la Division des services internes du PNUE sur la continuité des activités et des procédures opérationnelles en matière de ressources humaines, d’instruments légaux et de conséquences financières de la pandémie de la COVID-19</w:t>
      </w:r>
      <w:r w:rsidR="00E4797C" w:rsidRPr="00096290">
        <w:rPr>
          <w:color w:val="000000" w:themeColor="text1"/>
          <w:lang w:val="fr-CA"/>
        </w:rPr>
        <w:t>.</w:t>
      </w:r>
    </w:p>
    <w:p w:rsidR="00E4797C" w:rsidRPr="00096290" w:rsidRDefault="00AB12AE" w:rsidP="00E4797C">
      <w:pPr>
        <w:pStyle w:val="Heading1"/>
        <w:tabs>
          <w:tab w:val="clear" w:pos="0"/>
        </w:tabs>
        <w:rPr>
          <w:color w:val="000000" w:themeColor="text1"/>
          <w:lang w:val="fr-CA"/>
        </w:rPr>
      </w:pPr>
      <w:r w:rsidRPr="00096290">
        <w:rPr>
          <w:color w:val="000000" w:themeColor="text1"/>
          <w:lang w:val="fr-CA"/>
        </w:rPr>
        <w:t>En réponse à la pandémie de la COVID-19, le Secrétariat a mis en place des mesures de protection de la santé du personnel</w:t>
      </w:r>
      <w:r w:rsidR="0078259F">
        <w:rPr>
          <w:color w:val="000000" w:themeColor="text1"/>
          <w:lang w:val="fr-CA"/>
        </w:rPr>
        <w:t xml:space="preserve"> </w:t>
      </w:r>
      <w:r w:rsidR="0078259F" w:rsidRPr="00096290">
        <w:rPr>
          <w:color w:val="000000" w:themeColor="text1"/>
          <w:lang w:val="fr-CA"/>
        </w:rPr>
        <w:t xml:space="preserve">à la mi-mars 2020, </w:t>
      </w:r>
      <w:r w:rsidRPr="00096290">
        <w:rPr>
          <w:color w:val="000000" w:themeColor="text1"/>
          <w:lang w:val="fr-CA"/>
        </w:rPr>
        <w:t xml:space="preserve">notamment en équipant le personnel afin de favoriser le télétravail, en se fondant </w:t>
      </w:r>
      <w:r w:rsidR="000F4953">
        <w:rPr>
          <w:color w:val="000000" w:themeColor="text1"/>
          <w:lang w:val="fr-CA"/>
        </w:rPr>
        <w:t>sur les directives des Nations U</w:t>
      </w:r>
      <w:r w:rsidRPr="00096290">
        <w:rPr>
          <w:color w:val="000000" w:themeColor="text1"/>
          <w:lang w:val="fr-CA"/>
        </w:rPr>
        <w:t xml:space="preserve">nies, surtout celles de l’Organisation mondiale de la santé, de l’OACI (en tant que </w:t>
      </w:r>
      <w:r w:rsidR="006A6A52" w:rsidRPr="00096290">
        <w:rPr>
          <w:color w:val="000000" w:themeColor="text1"/>
          <w:lang w:val="fr-CA"/>
        </w:rPr>
        <w:t>bureau centralisateur des Nations Unies à Montréal) et du siège du PNUE, et en respectant les directives et les lignes directrices émises par le gouvernement du Canada et le gouvernement du Québec</w:t>
      </w:r>
      <w:r w:rsidR="00E4797C" w:rsidRPr="00096290">
        <w:rPr>
          <w:color w:val="000000" w:themeColor="text1"/>
          <w:lang w:val="fr-CA"/>
        </w:rPr>
        <w:t>.</w:t>
      </w:r>
    </w:p>
    <w:p w:rsidR="00E4797C" w:rsidRPr="00096290" w:rsidRDefault="006A6A52" w:rsidP="00E4797C">
      <w:pPr>
        <w:pStyle w:val="Heading1"/>
        <w:keepNext/>
        <w:numPr>
          <w:ilvl w:val="0"/>
          <w:numId w:val="0"/>
        </w:numPr>
        <w:rPr>
          <w:b/>
          <w:color w:val="000000" w:themeColor="text1"/>
          <w:lang w:val="fr-CA"/>
        </w:rPr>
      </w:pPr>
      <w:r w:rsidRPr="00096290">
        <w:rPr>
          <w:b/>
          <w:color w:val="000000" w:themeColor="text1"/>
          <w:lang w:val="fr-CA"/>
        </w:rPr>
        <w:t>Coopération avec les accords multilatéraux sur l’environnement et autres organisations</w:t>
      </w:r>
    </w:p>
    <w:p w:rsidR="00E4797C" w:rsidRPr="00096290" w:rsidRDefault="006A6A52" w:rsidP="00E4797C">
      <w:pPr>
        <w:pStyle w:val="Heading1"/>
        <w:tabs>
          <w:tab w:val="clear" w:pos="0"/>
        </w:tabs>
        <w:rPr>
          <w:color w:val="000000" w:themeColor="text1"/>
          <w:lang w:val="fr-CA"/>
        </w:rPr>
      </w:pPr>
      <w:r w:rsidRPr="00096290">
        <w:rPr>
          <w:color w:val="000000" w:themeColor="text1"/>
          <w:lang w:val="fr-CA"/>
        </w:rPr>
        <w:t>Conformément à la décision 79/1 b), le Secrétariat a joint un aperçu complet de l’état de tous les échanges avec les accords multilatéraux sur l’environnement et autres organ</w:t>
      </w:r>
      <w:r w:rsidR="0078259F">
        <w:rPr>
          <w:color w:val="000000" w:themeColor="text1"/>
          <w:lang w:val="fr-CA"/>
        </w:rPr>
        <w:t>isations compétentes à l’annexe </w:t>
      </w:r>
      <w:r w:rsidRPr="00096290">
        <w:rPr>
          <w:color w:val="000000" w:themeColor="text1"/>
          <w:lang w:val="fr-CA"/>
        </w:rPr>
        <w:t>I au présent document</w:t>
      </w:r>
      <w:r w:rsidR="00E4797C" w:rsidRPr="00096290">
        <w:rPr>
          <w:color w:val="000000" w:themeColor="text1"/>
          <w:lang w:val="fr-CA"/>
        </w:rPr>
        <w:t>.</w:t>
      </w:r>
    </w:p>
    <w:p w:rsidR="00E4797C" w:rsidRPr="00096290" w:rsidRDefault="006A6A52" w:rsidP="00CC55AB">
      <w:pPr>
        <w:keepNext/>
        <w:keepLines/>
        <w:spacing w:after="240"/>
        <w:rPr>
          <w:u w:val="single"/>
          <w:lang w:val="fr-CA"/>
        </w:rPr>
      </w:pPr>
      <w:r w:rsidRPr="00096290">
        <w:rPr>
          <w:u w:val="single"/>
          <w:lang w:val="fr-CA"/>
        </w:rPr>
        <w:lastRenderedPageBreak/>
        <w:t>Accords multilatéraux sur l’environnement</w:t>
      </w:r>
    </w:p>
    <w:p w:rsidR="00E4797C" w:rsidRPr="00CC55AB" w:rsidRDefault="006A6A52" w:rsidP="00CC55AB">
      <w:pPr>
        <w:keepNext/>
        <w:keepLines/>
        <w:spacing w:after="240"/>
        <w:rPr>
          <w:rStyle w:val="normalchar"/>
          <w:i/>
          <w:color w:val="000000" w:themeColor="text1"/>
          <w:lang w:val="fr-CA"/>
        </w:rPr>
      </w:pPr>
      <w:r w:rsidRPr="00096290">
        <w:rPr>
          <w:rStyle w:val="normalchar"/>
          <w:i/>
          <w:color w:val="000000" w:themeColor="text1"/>
          <w:lang w:val="fr-CA"/>
        </w:rPr>
        <w:t>Protocole de Montréal</w:t>
      </w:r>
    </w:p>
    <w:p w:rsidR="00E4797C" w:rsidRPr="00096290" w:rsidRDefault="006A6A52" w:rsidP="00E4797C">
      <w:pPr>
        <w:pStyle w:val="Heading1"/>
        <w:tabs>
          <w:tab w:val="clear" w:pos="0"/>
        </w:tabs>
        <w:rPr>
          <w:lang w:val="fr-CA"/>
        </w:rPr>
      </w:pPr>
      <w:r w:rsidRPr="00096290">
        <w:rPr>
          <w:lang w:val="fr-CA"/>
        </w:rPr>
        <w:t xml:space="preserve">À la demande du </w:t>
      </w:r>
      <w:r w:rsidR="00B44455" w:rsidRPr="00096290">
        <w:rPr>
          <w:lang w:val="fr-CA"/>
        </w:rPr>
        <w:t xml:space="preserve">groupe de travail du </w:t>
      </w:r>
      <w:r w:rsidRPr="00096290">
        <w:rPr>
          <w:lang w:val="fr-CA"/>
        </w:rPr>
        <w:t>Groupe de l’évaluation technique et économique, le</w:t>
      </w:r>
      <w:r w:rsidR="00B44455" w:rsidRPr="00096290">
        <w:rPr>
          <w:lang w:val="fr-CA"/>
        </w:rPr>
        <w:t xml:space="preserve"> Secrétariat a analysé le rapport sur la reconstitution du Fonds multilatéral pour la période triennale 2021-2023, a corrigé certains faits et a émis des observations à cet égard. Le Secrétariat a aussi fourni des réponses au groupe de travail sur les questions pertinentes soulevées par les Parties lors de la 42</w:t>
      </w:r>
      <w:r w:rsidR="00B44455" w:rsidRPr="00096290">
        <w:rPr>
          <w:vertAlign w:val="superscript"/>
          <w:lang w:val="fr-CA"/>
        </w:rPr>
        <w:t>e</w:t>
      </w:r>
      <w:r w:rsidR="00B44455" w:rsidRPr="00096290">
        <w:rPr>
          <w:lang w:val="fr-CA"/>
        </w:rPr>
        <w:t xml:space="preserve"> réunion du Groupe de travail à composition non limitée</w:t>
      </w:r>
      <w:r w:rsidR="00E4797C" w:rsidRPr="00096290">
        <w:rPr>
          <w:lang w:val="fr-CA"/>
        </w:rPr>
        <w:t>.</w:t>
      </w:r>
      <w:r w:rsidR="00B44455" w:rsidRPr="00096290">
        <w:rPr>
          <w:lang w:val="fr-CA"/>
        </w:rPr>
        <w:t xml:space="preserve"> Quelques échanges en ligne ont également eu lieu afin d’apporter des précisions sur la question.</w:t>
      </w:r>
    </w:p>
    <w:p w:rsidR="00930573" w:rsidRPr="00096290" w:rsidRDefault="00B44455" w:rsidP="0032344C">
      <w:pPr>
        <w:keepNext/>
        <w:rPr>
          <w:u w:val="single"/>
          <w:lang w:val="fr-CA"/>
        </w:rPr>
      </w:pPr>
      <w:r w:rsidRPr="00096290">
        <w:rPr>
          <w:u w:val="single"/>
          <w:lang w:val="fr-CA"/>
        </w:rPr>
        <w:t>Organisations des Nations Unies</w:t>
      </w:r>
    </w:p>
    <w:p w:rsidR="00930573" w:rsidRPr="00096290" w:rsidRDefault="00930573" w:rsidP="0032344C">
      <w:pPr>
        <w:keepNext/>
        <w:rPr>
          <w:lang w:val="fr-CA"/>
        </w:rPr>
      </w:pPr>
    </w:p>
    <w:p w:rsidR="006B6C30" w:rsidRPr="00096290" w:rsidRDefault="00B44455" w:rsidP="006B6C30">
      <w:pPr>
        <w:pStyle w:val="Heading1"/>
        <w:keepNext/>
        <w:numPr>
          <w:ilvl w:val="0"/>
          <w:numId w:val="0"/>
        </w:numPr>
        <w:rPr>
          <w:i/>
          <w:color w:val="000000" w:themeColor="text1"/>
          <w:lang w:val="fr-CA"/>
        </w:rPr>
      </w:pPr>
      <w:r w:rsidRPr="00096290">
        <w:rPr>
          <w:i/>
          <w:color w:val="000000" w:themeColor="text1"/>
          <w:lang w:val="fr-CA"/>
        </w:rPr>
        <w:t>Corps commun d’inspection des Nations Unies</w:t>
      </w:r>
    </w:p>
    <w:p w:rsidR="00930573" w:rsidRPr="00096290" w:rsidRDefault="007F7BE0" w:rsidP="00A6628B">
      <w:pPr>
        <w:pStyle w:val="Heading1"/>
        <w:rPr>
          <w:bCs/>
          <w:lang w:val="fr-CA"/>
        </w:rPr>
      </w:pPr>
      <w:r w:rsidRPr="00096290">
        <w:rPr>
          <w:bCs/>
          <w:lang w:val="fr-CA"/>
        </w:rPr>
        <w:t xml:space="preserve">Le Secrétariat a rempli un questionnaire, sur invitation, afin de recueillir les points de vue et évaluer le niveau de collaboration entre le système des Nations </w:t>
      </w:r>
      <w:r w:rsidR="00CD4296">
        <w:rPr>
          <w:bCs/>
          <w:lang w:val="fr-CA"/>
        </w:rPr>
        <w:t>U</w:t>
      </w:r>
      <w:r w:rsidRPr="00096290">
        <w:rPr>
          <w:bCs/>
          <w:lang w:val="fr-CA"/>
        </w:rPr>
        <w:t>nies et les conventions environnementales sur la question, dans le contexte de l’examen des politiques et pratiques environnementales durables à l’</w:t>
      </w:r>
      <w:r w:rsidR="002F1C7D">
        <w:rPr>
          <w:bCs/>
          <w:lang w:val="fr-CA"/>
        </w:rPr>
        <w:t>échelle du système des Nations U</w:t>
      </w:r>
      <w:r w:rsidRPr="00096290">
        <w:rPr>
          <w:bCs/>
          <w:lang w:val="fr-CA"/>
        </w:rPr>
        <w:t>nies</w:t>
      </w:r>
      <w:r w:rsidR="00A6628B" w:rsidRPr="00096290">
        <w:rPr>
          <w:bCs/>
          <w:lang w:val="fr-CA"/>
        </w:rPr>
        <w:t>.</w:t>
      </w:r>
    </w:p>
    <w:p w:rsidR="00E4797C" w:rsidRPr="00096290" w:rsidRDefault="007F7BE0" w:rsidP="00E4797C">
      <w:pPr>
        <w:pStyle w:val="Heading1"/>
        <w:keepNext/>
        <w:numPr>
          <w:ilvl w:val="0"/>
          <w:numId w:val="0"/>
        </w:numPr>
        <w:rPr>
          <w:color w:val="000000" w:themeColor="text1"/>
          <w:u w:val="single"/>
          <w:lang w:val="fr-CA"/>
        </w:rPr>
      </w:pPr>
      <w:r w:rsidRPr="00096290">
        <w:rPr>
          <w:color w:val="000000" w:themeColor="text1"/>
          <w:u w:val="single"/>
          <w:lang w:val="fr-CA"/>
        </w:rPr>
        <w:t>Autres organisations</w:t>
      </w:r>
    </w:p>
    <w:p w:rsidR="006626F2" w:rsidRPr="00096290" w:rsidRDefault="007F7BE0" w:rsidP="006626F2">
      <w:pPr>
        <w:rPr>
          <w:i/>
          <w:lang w:val="fr-CA"/>
        </w:rPr>
      </w:pPr>
      <w:r w:rsidRPr="00096290">
        <w:rPr>
          <w:i/>
          <w:lang w:val="fr-CA"/>
        </w:rPr>
        <w:t>Fonds mondial pour l’environnement</w:t>
      </w:r>
    </w:p>
    <w:p w:rsidR="006626F2" w:rsidRPr="00096290" w:rsidRDefault="006626F2" w:rsidP="006626F2">
      <w:pPr>
        <w:rPr>
          <w:i/>
          <w:lang w:val="fr-CA"/>
        </w:rPr>
      </w:pPr>
    </w:p>
    <w:p w:rsidR="006626F2" w:rsidRPr="00096290" w:rsidRDefault="007F7BE0" w:rsidP="006626F2">
      <w:pPr>
        <w:pStyle w:val="Heading1"/>
        <w:rPr>
          <w:lang w:val="fr-CA"/>
        </w:rPr>
      </w:pPr>
      <w:r w:rsidRPr="00096290">
        <w:rPr>
          <w:lang w:val="fr-CA"/>
        </w:rPr>
        <w:t xml:space="preserve">Le Secrétariat du FEM a sollicité la contribution et les conseils du Secrétariat concernant </w:t>
      </w:r>
      <w:r w:rsidR="00CD4296">
        <w:rPr>
          <w:lang w:val="fr-CA"/>
        </w:rPr>
        <w:t>les activités de facilitation, d</w:t>
      </w:r>
      <w:r w:rsidRPr="00096290">
        <w:rPr>
          <w:lang w:val="fr-CA"/>
        </w:rPr>
        <w:t>e re</w:t>
      </w:r>
      <w:r w:rsidR="00CD4296">
        <w:rPr>
          <w:lang w:val="fr-CA"/>
        </w:rPr>
        <w:t>nforcement des institutions et d</w:t>
      </w:r>
      <w:r w:rsidRPr="00096290">
        <w:rPr>
          <w:lang w:val="fr-CA"/>
        </w:rPr>
        <w:t>e soutien à la ratification de l’Amendement de Kigali dans les pays à économie en transition</w:t>
      </w:r>
      <w:r w:rsidR="002F1C7D">
        <w:rPr>
          <w:lang w:val="fr-CA"/>
        </w:rPr>
        <w:t>,</w:t>
      </w:r>
      <w:r w:rsidRPr="00096290">
        <w:rPr>
          <w:lang w:val="fr-CA"/>
        </w:rPr>
        <w:t xml:space="preserve"> qui seront financé</w:t>
      </w:r>
      <w:r w:rsidR="00CD4296">
        <w:rPr>
          <w:lang w:val="fr-CA"/>
        </w:rPr>
        <w:t>e</w:t>
      </w:r>
      <w:r w:rsidRPr="00096290">
        <w:rPr>
          <w:lang w:val="fr-CA"/>
        </w:rPr>
        <w:t xml:space="preserve">s par le FEM. Le Secrétariat s’est </w:t>
      </w:r>
      <w:r w:rsidR="00707489" w:rsidRPr="00096290">
        <w:rPr>
          <w:lang w:val="fr-CA"/>
        </w:rPr>
        <w:t>surtout</w:t>
      </w:r>
      <w:r w:rsidRPr="00096290">
        <w:rPr>
          <w:lang w:val="fr-CA"/>
        </w:rPr>
        <w:t xml:space="preserve"> penché sur le plan du Tadjikistan et a remis ses observations. Le Secrétariat a également fourni des commentaires détaillés sur la question, ai</w:t>
      </w:r>
      <w:r w:rsidR="00707489" w:rsidRPr="00096290">
        <w:rPr>
          <w:lang w:val="fr-CA"/>
        </w:rPr>
        <w:t>nsi que les documents pertinents des ré</w:t>
      </w:r>
      <w:r w:rsidRPr="00096290">
        <w:rPr>
          <w:lang w:val="fr-CA"/>
        </w:rPr>
        <w:t xml:space="preserve">unions </w:t>
      </w:r>
      <w:r w:rsidR="00707489" w:rsidRPr="00096290">
        <w:rPr>
          <w:lang w:val="fr-CA"/>
        </w:rPr>
        <w:t xml:space="preserve">du Comité exécutif </w:t>
      </w:r>
      <w:r w:rsidRPr="00096290">
        <w:rPr>
          <w:lang w:val="fr-CA"/>
        </w:rPr>
        <w:t xml:space="preserve">et les guides </w:t>
      </w:r>
      <w:r w:rsidR="00707489" w:rsidRPr="00096290">
        <w:rPr>
          <w:lang w:val="fr-CA"/>
        </w:rPr>
        <w:t>créés</w:t>
      </w:r>
      <w:r w:rsidRPr="00096290">
        <w:rPr>
          <w:lang w:val="fr-CA"/>
        </w:rPr>
        <w:t xml:space="preserve"> par le Secrétariat pour aider le Secrétariat du FEM </w:t>
      </w:r>
      <w:r w:rsidR="00707489" w:rsidRPr="00096290">
        <w:rPr>
          <w:lang w:val="fr-CA"/>
        </w:rPr>
        <w:t>à élab</w:t>
      </w:r>
      <w:r w:rsidRPr="00096290">
        <w:rPr>
          <w:lang w:val="fr-CA"/>
        </w:rPr>
        <w:t xml:space="preserve">orer ces interventions et assurer leur </w:t>
      </w:r>
      <w:r w:rsidR="00707489" w:rsidRPr="00096290">
        <w:rPr>
          <w:lang w:val="fr-CA"/>
        </w:rPr>
        <w:t xml:space="preserve">conséquence </w:t>
      </w:r>
      <w:r w:rsidRPr="00096290">
        <w:rPr>
          <w:lang w:val="fr-CA"/>
        </w:rPr>
        <w:t>aux lignes directrices du Fonds multilatéral</w:t>
      </w:r>
      <w:r w:rsidR="006626F2" w:rsidRPr="00096290">
        <w:rPr>
          <w:lang w:val="fr-CA"/>
        </w:rPr>
        <w:t>.</w:t>
      </w:r>
    </w:p>
    <w:p w:rsidR="00B55930" w:rsidRPr="00096290" w:rsidRDefault="00707489" w:rsidP="00B55930">
      <w:pPr>
        <w:rPr>
          <w:i/>
          <w:lang w:val="fr-CA"/>
        </w:rPr>
      </w:pPr>
      <w:r w:rsidRPr="00096290">
        <w:rPr>
          <w:i/>
          <w:lang w:val="fr-CA"/>
        </w:rPr>
        <w:t>Gouvernement de la</w:t>
      </w:r>
      <w:r w:rsidR="00B55930" w:rsidRPr="00096290">
        <w:rPr>
          <w:i/>
          <w:lang w:val="fr-CA"/>
        </w:rPr>
        <w:t xml:space="preserve"> France</w:t>
      </w:r>
    </w:p>
    <w:p w:rsidR="00B55930" w:rsidRPr="00096290" w:rsidRDefault="00B55930" w:rsidP="00B55930">
      <w:pPr>
        <w:rPr>
          <w:i/>
          <w:lang w:val="fr-CA"/>
        </w:rPr>
      </w:pPr>
    </w:p>
    <w:p w:rsidR="00B55930" w:rsidRPr="00096290" w:rsidRDefault="00707489" w:rsidP="00B55930">
      <w:pPr>
        <w:pStyle w:val="Heading1"/>
        <w:rPr>
          <w:lang w:val="fr-CA"/>
        </w:rPr>
      </w:pPr>
      <w:r w:rsidRPr="00096290">
        <w:rPr>
          <w:lang w:val="fr-CA"/>
        </w:rPr>
        <w:t>Le Chef du Secrétariat a participé à une évaluation rétrospective de la contribution de la France au Secrétariat du Fonds dans le cadre d’une rencontre au cours de laquelle un aperçu du Secrétariat du Fonds et la perspective du Secrétariat du Fonds sur l</w:t>
      </w:r>
      <w:r w:rsidR="003D5ABC">
        <w:rPr>
          <w:lang w:val="fr-CA"/>
        </w:rPr>
        <w:t>a</w:t>
      </w:r>
      <w:r w:rsidRPr="00096290">
        <w:rPr>
          <w:lang w:val="fr-CA"/>
        </w:rPr>
        <w:t xml:space="preserve"> contribution de la France au Fonds multilatéral et au Protocole de Montréal ont été présentés</w:t>
      </w:r>
      <w:r w:rsidR="00441F6E" w:rsidRPr="00096290">
        <w:rPr>
          <w:lang w:val="fr-CA"/>
        </w:rPr>
        <w:t>.</w:t>
      </w:r>
    </w:p>
    <w:p w:rsidR="00E4797C" w:rsidRPr="00096290" w:rsidRDefault="00707489" w:rsidP="00E4797C">
      <w:pPr>
        <w:pStyle w:val="Heading1"/>
        <w:keepNext/>
        <w:numPr>
          <w:ilvl w:val="0"/>
          <w:numId w:val="0"/>
        </w:numPr>
        <w:rPr>
          <w:i/>
          <w:color w:val="000000" w:themeColor="text1"/>
          <w:lang w:val="fr-CA"/>
        </w:rPr>
      </w:pPr>
      <w:r w:rsidRPr="00096290">
        <w:rPr>
          <w:i/>
          <w:color w:val="000000" w:themeColor="text1"/>
          <w:lang w:val="fr-CA"/>
        </w:rPr>
        <w:t>Réseau d’évaluation de la performance des organisations multilatérales</w:t>
      </w:r>
      <w:r w:rsidR="00E4797C" w:rsidRPr="00096290">
        <w:rPr>
          <w:i/>
          <w:color w:val="000000" w:themeColor="text1"/>
          <w:lang w:val="fr-CA"/>
        </w:rPr>
        <w:t xml:space="preserve"> (MOPAN)</w:t>
      </w:r>
    </w:p>
    <w:p w:rsidR="00E4797C" w:rsidRPr="00096290" w:rsidRDefault="00707489" w:rsidP="00E4797C">
      <w:pPr>
        <w:pStyle w:val="Heading1"/>
        <w:rPr>
          <w:lang w:val="fr-CA"/>
        </w:rPr>
      </w:pPr>
      <w:r w:rsidRPr="00096290">
        <w:rPr>
          <w:lang w:val="fr-CA"/>
        </w:rPr>
        <w:t>Le Secrétariat a examiné le</w:t>
      </w:r>
      <w:r w:rsidR="002F1C7D">
        <w:rPr>
          <w:lang w:val="fr-CA"/>
        </w:rPr>
        <w:t xml:space="preserve"> projet de rapport d’évaluation, </w:t>
      </w:r>
      <w:r w:rsidRPr="00096290">
        <w:rPr>
          <w:lang w:val="fr-CA"/>
        </w:rPr>
        <w:t xml:space="preserve">et a apporté des corrections </w:t>
      </w:r>
      <w:r w:rsidR="002F1C7D">
        <w:rPr>
          <w:lang w:val="fr-CA"/>
        </w:rPr>
        <w:t>aux</w:t>
      </w:r>
      <w:r w:rsidRPr="00096290">
        <w:rPr>
          <w:lang w:val="fr-CA"/>
        </w:rPr>
        <w:t xml:space="preserve"> faits et </w:t>
      </w:r>
      <w:r w:rsidR="00D8592E" w:rsidRPr="00096290">
        <w:rPr>
          <w:lang w:val="fr-CA"/>
        </w:rPr>
        <w:t>présenté des observations à cet égard. Une communication de suivi a eu lieu entre les Secrétariat</w:t>
      </w:r>
      <w:r w:rsidR="002F1C7D">
        <w:rPr>
          <w:lang w:val="fr-CA"/>
        </w:rPr>
        <w:t>s du Fonds et du MOPAN en ce qu</w:t>
      </w:r>
      <w:r w:rsidR="00D8592E" w:rsidRPr="00096290">
        <w:rPr>
          <w:lang w:val="fr-CA"/>
        </w:rPr>
        <w:t xml:space="preserve">i a trait à l’échéance du rapport final et </w:t>
      </w:r>
      <w:r w:rsidR="002F1C7D">
        <w:rPr>
          <w:lang w:val="fr-CA"/>
        </w:rPr>
        <w:t>aux</w:t>
      </w:r>
      <w:r w:rsidR="00D8592E" w:rsidRPr="00096290">
        <w:rPr>
          <w:lang w:val="fr-CA"/>
        </w:rPr>
        <w:t xml:space="preserve"> moyens de partager les principaux résultats avec le Comité exécutif</w:t>
      </w:r>
      <w:r w:rsidR="00E4797C" w:rsidRPr="00096290">
        <w:rPr>
          <w:lang w:val="fr-CA"/>
        </w:rPr>
        <w:t>.</w:t>
      </w:r>
    </w:p>
    <w:p w:rsidR="00E4797C" w:rsidRPr="00096290" w:rsidRDefault="00E4797C" w:rsidP="00E4797C">
      <w:pPr>
        <w:pStyle w:val="Heading1"/>
        <w:numPr>
          <w:ilvl w:val="0"/>
          <w:numId w:val="0"/>
        </w:numPr>
        <w:rPr>
          <w:lang w:val="fr-CA"/>
        </w:rPr>
      </w:pPr>
    </w:p>
    <w:p w:rsidR="00E4797C" w:rsidRPr="00096290" w:rsidRDefault="00E4797C" w:rsidP="00E4797C">
      <w:pPr>
        <w:rPr>
          <w:lang w:val="fr-CA"/>
        </w:rPr>
        <w:sectPr w:rsidR="00E4797C" w:rsidRPr="0009629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rsidR="00E4797C" w:rsidRPr="00096290" w:rsidRDefault="00E4797C" w:rsidP="00E4797C">
      <w:pPr>
        <w:pStyle w:val="StyleHeader4Para4Left0Firstline0"/>
        <w:numPr>
          <w:ilvl w:val="0"/>
          <w:numId w:val="0"/>
        </w:numPr>
        <w:tabs>
          <w:tab w:val="clear" w:pos="2880"/>
          <w:tab w:val="clear" w:pos="5760"/>
          <w:tab w:val="left" w:pos="3549"/>
        </w:tabs>
        <w:jc w:val="center"/>
        <w:rPr>
          <w:b/>
          <w:color w:val="000000" w:themeColor="text1"/>
          <w:lang w:val="fr-CA"/>
        </w:rPr>
      </w:pPr>
      <w:r w:rsidRPr="00096290">
        <w:rPr>
          <w:b/>
          <w:lang w:val="fr-CA"/>
        </w:rPr>
        <w:lastRenderedPageBreak/>
        <w:t>A</w:t>
      </w:r>
      <w:r w:rsidRPr="00096290">
        <w:rPr>
          <w:b/>
          <w:color w:val="000000" w:themeColor="text1"/>
          <w:lang w:val="fr-CA"/>
        </w:rPr>
        <w:t>nnex</w:t>
      </w:r>
      <w:r w:rsidR="00D8592E" w:rsidRPr="00096290">
        <w:rPr>
          <w:b/>
          <w:color w:val="000000" w:themeColor="text1"/>
          <w:lang w:val="fr-CA"/>
        </w:rPr>
        <w:t>e</w:t>
      </w:r>
      <w:r w:rsidRPr="00096290">
        <w:rPr>
          <w:b/>
          <w:color w:val="000000" w:themeColor="text1"/>
          <w:lang w:val="fr-CA"/>
        </w:rPr>
        <w:t xml:space="preserve"> I</w:t>
      </w:r>
    </w:p>
    <w:p w:rsidR="00E4797C" w:rsidRPr="00096290" w:rsidRDefault="00D8592E" w:rsidP="00E4797C">
      <w:pPr>
        <w:widowControl w:val="0"/>
        <w:spacing w:after="240"/>
        <w:jc w:val="center"/>
        <w:rPr>
          <w:b/>
          <w:lang w:val="fr-CA"/>
        </w:rPr>
      </w:pPr>
      <w:r w:rsidRPr="00096290">
        <w:rPr>
          <w:b/>
          <w:lang w:val="fr-CA"/>
        </w:rPr>
        <w:t>CONSEILS ET/OU RENSEIGNEMENTS FOURNIS PAR LE SECRÉTARIAT DU FONDS MULTILATÉRAL AUX ORGANES NE RELEVANT PAS DU PROTOCOLE DE MONTRÉAL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5"/>
        <w:gridCol w:w="1080"/>
      </w:tblGrid>
      <w:tr w:rsidR="00E4797C" w:rsidRPr="00096290" w:rsidTr="00CC24C6">
        <w:trPr>
          <w:cantSplit/>
          <w:tblHeader/>
        </w:trPr>
        <w:tc>
          <w:tcPr>
            <w:tcW w:w="8275" w:type="dxa"/>
            <w:shd w:val="clear" w:color="auto" w:fill="auto"/>
            <w:vAlign w:val="center"/>
            <w:hideMark/>
          </w:tcPr>
          <w:p w:rsidR="00E4797C" w:rsidRPr="00096290" w:rsidRDefault="00B50C1C" w:rsidP="00192798">
            <w:pPr>
              <w:spacing w:before="60" w:after="60"/>
              <w:jc w:val="left"/>
              <w:rPr>
                <w:b/>
                <w:bCs/>
                <w:color w:val="000000" w:themeColor="text1"/>
                <w:sz w:val="20"/>
                <w:szCs w:val="20"/>
                <w:lang w:val="fr-CA"/>
              </w:rPr>
            </w:pPr>
            <w:r w:rsidRPr="00096290">
              <w:rPr>
                <w:b/>
                <w:bCs/>
                <w:color w:val="000000" w:themeColor="text1"/>
                <w:sz w:val="20"/>
                <w:szCs w:val="20"/>
                <w:lang w:val="fr-CA"/>
              </w:rPr>
              <w:t>Conseils/échanges/interaction du Secrétariat</w:t>
            </w:r>
          </w:p>
        </w:tc>
        <w:tc>
          <w:tcPr>
            <w:tcW w:w="1080" w:type="dxa"/>
            <w:shd w:val="clear" w:color="auto" w:fill="auto"/>
            <w:tcMar>
              <w:left w:w="115" w:type="dxa"/>
              <w:right w:w="173" w:type="dxa"/>
            </w:tcMar>
            <w:vAlign w:val="center"/>
            <w:hideMark/>
          </w:tcPr>
          <w:p w:rsidR="00E4797C" w:rsidRPr="00096290" w:rsidRDefault="00B50C1C" w:rsidP="003D5ABC">
            <w:pPr>
              <w:spacing w:before="60" w:after="60"/>
              <w:jc w:val="left"/>
              <w:rPr>
                <w:b/>
                <w:bCs/>
                <w:color w:val="000000" w:themeColor="text1"/>
                <w:sz w:val="20"/>
                <w:szCs w:val="20"/>
                <w:lang w:val="en-US"/>
              </w:rPr>
            </w:pPr>
            <w:proofErr w:type="spellStart"/>
            <w:r w:rsidRPr="00096290">
              <w:rPr>
                <w:b/>
                <w:bCs/>
                <w:color w:val="000000" w:themeColor="text1"/>
                <w:sz w:val="20"/>
                <w:szCs w:val="20"/>
                <w:lang w:val="en-US"/>
              </w:rPr>
              <w:t>Réunion</w:t>
            </w:r>
            <w:proofErr w:type="spellEnd"/>
          </w:p>
        </w:tc>
      </w:tr>
      <w:tr w:rsidR="00E4797C" w:rsidRPr="00096290" w:rsidTr="00192798">
        <w:trPr>
          <w:cantSplit/>
        </w:trPr>
        <w:tc>
          <w:tcPr>
            <w:tcW w:w="9355" w:type="dxa"/>
            <w:gridSpan w:val="2"/>
            <w:shd w:val="clear" w:color="auto" w:fill="auto"/>
            <w:tcMar>
              <w:left w:w="115" w:type="dxa"/>
              <w:right w:w="173" w:type="dxa"/>
            </w:tcMar>
            <w:vAlign w:val="center"/>
          </w:tcPr>
          <w:p w:rsidR="00E4797C" w:rsidRPr="00096290" w:rsidRDefault="00B50C1C" w:rsidP="00192798">
            <w:pPr>
              <w:spacing w:before="60" w:after="60"/>
              <w:jc w:val="left"/>
              <w:rPr>
                <w:b/>
                <w:color w:val="000000" w:themeColor="text1"/>
                <w:sz w:val="20"/>
                <w:szCs w:val="20"/>
                <w:lang w:val="fr-CA"/>
              </w:rPr>
            </w:pPr>
            <w:r w:rsidRPr="00096290">
              <w:rPr>
                <w:b/>
                <w:color w:val="000000" w:themeColor="text1"/>
                <w:sz w:val="20"/>
                <w:szCs w:val="20"/>
                <w:lang w:val="fr-CA"/>
              </w:rPr>
              <w:t>Fonds d’adaptation</w:t>
            </w:r>
          </w:p>
        </w:tc>
      </w:tr>
      <w:tr w:rsidR="00E4797C" w:rsidRPr="00096290" w:rsidTr="00CC24C6">
        <w:trPr>
          <w:cantSplit/>
        </w:trPr>
        <w:tc>
          <w:tcPr>
            <w:tcW w:w="8275" w:type="dxa"/>
            <w:shd w:val="clear" w:color="auto" w:fill="auto"/>
            <w:vAlign w:val="center"/>
            <w:hideMark/>
          </w:tcPr>
          <w:p w:rsidR="00E4797C" w:rsidRPr="00096290" w:rsidRDefault="00B50C1C" w:rsidP="003D5ABC">
            <w:pPr>
              <w:spacing w:before="60" w:after="60"/>
              <w:jc w:val="left"/>
              <w:rPr>
                <w:color w:val="000000" w:themeColor="text1"/>
                <w:sz w:val="20"/>
                <w:szCs w:val="20"/>
                <w:lang w:val="fr-CA"/>
              </w:rPr>
            </w:pPr>
            <w:r w:rsidRPr="00096290">
              <w:rPr>
                <w:color w:val="000000" w:themeColor="text1"/>
                <w:sz w:val="20"/>
                <w:szCs w:val="20"/>
                <w:lang w:val="fr-CA"/>
              </w:rPr>
              <w:t>Explications des politiques du Fonds multilatéral sur les intérêts accumulés. L’information fournie par le Secrétariat est contenue dans le document</w:t>
            </w:r>
            <w:r w:rsidR="00E4797C" w:rsidRPr="00096290">
              <w:rPr>
                <w:color w:val="000000" w:themeColor="text1"/>
                <w:sz w:val="20"/>
                <w:szCs w:val="20"/>
                <w:lang w:val="fr-CA"/>
              </w:rPr>
              <w:t xml:space="preserve"> AFB/EFC.18/10 </w:t>
            </w:r>
            <w:r w:rsidRPr="00096290">
              <w:rPr>
                <w:color w:val="000000" w:themeColor="text1"/>
                <w:sz w:val="20"/>
                <w:szCs w:val="20"/>
                <w:lang w:val="fr-CA"/>
              </w:rPr>
              <w:t>de la 18</w:t>
            </w:r>
            <w:r w:rsidRPr="00096290">
              <w:rPr>
                <w:color w:val="000000" w:themeColor="text1"/>
                <w:sz w:val="20"/>
                <w:szCs w:val="20"/>
                <w:vertAlign w:val="superscript"/>
                <w:lang w:val="fr-CA"/>
              </w:rPr>
              <w:t>e</w:t>
            </w:r>
            <w:r w:rsidRPr="00096290">
              <w:rPr>
                <w:color w:val="000000" w:themeColor="text1"/>
                <w:sz w:val="20"/>
                <w:szCs w:val="20"/>
                <w:lang w:val="fr-CA"/>
              </w:rPr>
              <w:t xml:space="preserve"> réunion du Comité de l’éthique et des finances sur le site </w:t>
            </w:r>
            <w:r w:rsidR="00E4797C" w:rsidRPr="00096290">
              <w:rPr>
                <w:color w:val="000000" w:themeColor="text1"/>
                <w:sz w:val="20"/>
                <w:szCs w:val="20"/>
                <w:lang w:val="fr-CA"/>
              </w:rPr>
              <w:t>https://www.adaptation-fund.org/wp-content/uploads/2016/03/AFB-EFC-18.10-Investment-income-doc.pdf.</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76</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B50C1C" w:rsidP="006C4D21">
            <w:pPr>
              <w:spacing w:before="60" w:after="60"/>
              <w:jc w:val="left"/>
              <w:rPr>
                <w:b/>
                <w:color w:val="000000" w:themeColor="text1"/>
                <w:sz w:val="20"/>
                <w:szCs w:val="20"/>
                <w:lang w:val="fr-CA"/>
              </w:rPr>
            </w:pPr>
            <w:r w:rsidRPr="00096290">
              <w:rPr>
                <w:b/>
                <w:color w:val="000000" w:themeColor="text1"/>
                <w:sz w:val="20"/>
                <w:szCs w:val="20"/>
                <w:lang w:val="fr-CA"/>
              </w:rPr>
              <w:t xml:space="preserve">Forum arabe </w:t>
            </w:r>
            <w:r w:rsidR="006C4D21" w:rsidRPr="00096290">
              <w:rPr>
                <w:b/>
                <w:color w:val="000000" w:themeColor="text1"/>
                <w:sz w:val="20"/>
                <w:szCs w:val="20"/>
                <w:lang w:val="fr-CA"/>
              </w:rPr>
              <w:t>pour</w:t>
            </w:r>
            <w:r w:rsidRPr="00096290">
              <w:rPr>
                <w:b/>
                <w:color w:val="000000" w:themeColor="text1"/>
                <w:sz w:val="20"/>
                <w:szCs w:val="20"/>
                <w:lang w:val="fr-CA"/>
              </w:rPr>
              <w:t xml:space="preserve"> l’environnement et le développement</w:t>
            </w:r>
          </w:p>
        </w:tc>
      </w:tr>
      <w:tr w:rsidR="00E4797C" w:rsidRPr="00096290" w:rsidTr="00CC24C6">
        <w:trPr>
          <w:cantSplit/>
        </w:trPr>
        <w:tc>
          <w:tcPr>
            <w:tcW w:w="8275" w:type="dxa"/>
            <w:shd w:val="clear" w:color="auto" w:fill="auto"/>
            <w:vAlign w:val="center"/>
          </w:tcPr>
          <w:p w:rsidR="00E4797C" w:rsidRPr="00096290" w:rsidRDefault="006C4D21" w:rsidP="003D5ABC">
            <w:pPr>
              <w:spacing w:before="60" w:after="60"/>
              <w:jc w:val="left"/>
              <w:rPr>
                <w:color w:val="000000" w:themeColor="text1"/>
                <w:sz w:val="20"/>
                <w:szCs w:val="20"/>
                <w:lang w:val="fr-CA"/>
              </w:rPr>
            </w:pPr>
            <w:r w:rsidRPr="00096290">
              <w:rPr>
                <w:sz w:val="20"/>
                <w:szCs w:val="20"/>
                <w:lang w:val="fr-CA"/>
              </w:rPr>
              <w:t>Un article sur l’expérience du Fonds multilatéral dans la région arabe</w:t>
            </w:r>
            <w:r w:rsidR="00C240C4">
              <w:rPr>
                <w:sz w:val="20"/>
                <w:szCs w:val="20"/>
                <w:lang w:val="fr-CA"/>
              </w:rPr>
              <w:t>,</w:t>
            </w:r>
            <w:r w:rsidRPr="00096290">
              <w:rPr>
                <w:sz w:val="20"/>
                <w:szCs w:val="20"/>
                <w:lang w:val="fr-CA"/>
              </w:rPr>
              <w:t xml:space="preserve"> dans le contexte du Forum arabe pour l’environnement et le développement de 2018</w:t>
            </w:r>
            <w:r w:rsidR="00E4797C" w:rsidRPr="00096290">
              <w:rPr>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81</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6C4D21" w:rsidP="00192798">
            <w:pPr>
              <w:spacing w:before="60" w:after="60"/>
              <w:jc w:val="left"/>
              <w:rPr>
                <w:b/>
                <w:color w:val="000000" w:themeColor="text1"/>
                <w:sz w:val="20"/>
                <w:szCs w:val="20"/>
                <w:lang w:val="fr-CA"/>
              </w:rPr>
            </w:pPr>
            <w:r w:rsidRPr="00096290">
              <w:rPr>
                <w:b/>
                <w:color w:val="000000" w:themeColor="text1"/>
                <w:sz w:val="20"/>
                <w:szCs w:val="20"/>
                <w:lang w:val="fr-CA"/>
              </w:rPr>
              <w:t xml:space="preserve">Centre des solutions climatiques et énergétiques (anciennement le Centre </w:t>
            </w:r>
            <w:proofErr w:type="spellStart"/>
            <w:r w:rsidRPr="00096290">
              <w:rPr>
                <w:b/>
                <w:color w:val="000000" w:themeColor="text1"/>
                <w:sz w:val="20"/>
                <w:szCs w:val="20"/>
                <w:lang w:val="fr-CA"/>
              </w:rPr>
              <w:t>Pew</w:t>
            </w:r>
            <w:proofErr w:type="spellEnd"/>
            <w:r w:rsidRPr="00096290">
              <w:rPr>
                <w:b/>
                <w:color w:val="000000" w:themeColor="text1"/>
                <w:sz w:val="20"/>
                <w:szCs w:val="20"/>
                <w:lang w:val="fr-CA"/>
              </w:rPr>
              <w:t xml:space="preserve"> sur les changements climatiques</w:t>
            </w:r>
          </w:p>
        </w:tc>
      </w:tr>
      <w:tr w:rsidR="00E4797C" w:rsidRPr="00096290" w:rsidTr="00CC24C6">
        <w:trPr>
          <w:cantSplit/>
        </w:trPr>
        <w:tc>
          <w:tcPr>
            <w:tcW w:w="8275" w:type="dxa"/>
            <w:shd w:val="clear" w:color="auto" w:fill="auto"/>
            <w:vAlign w:val="center"/>
            <w:hideMark/>
          </w:tcPr>
          <w:p w:rsidR="00E4797C" w:rsidRPr="00096290" w:rsidRDefault="00E4797C" w:rsidP="00AE2586">
            <w:pPr>
              <w:spacing w:before="60" w:after="60"/>
              <w:jc w:val="left"/>
              <w:rPr>
                <w:color w:val="000000" w:themeColor="text1"/>
                <w:sz w:val="20"/>
                <w:szCs w:val="20"/>
                <w:lang w:val="fr-CA"/>
              </w:rPr>
            </w:pPr>
            <w:r w:rsidRPr="0083698F">
              <w:rPr>
                <w:color w:val="000000" w:themeColor="text1"/>
                <w:sz w:val="20"/>
                <w:szCs w:val="20"/>
                <w:lang w:val="fr-CA"/>
              </w:rPr>
              <w:t>Documents UNEP/</w:t>
            </w:r>
            <w:proofErr w:type="spellStart"/>
            <w:r w:rsidRPr="0083698F">
              <w:rPr>
                <w:color w:val="000000" w:themeColor="text1"/>
                <w:sz w:val="20"/>
                <w:szCs w:val="20"/>
                <w:lang w:val="fr-CA"/>
              </w:rPr>
              <w:t>OzL.Pro</w:t>
            </w:r>
            <w:proofErr w:type="spellEnd"/>
            <w:r w:rsidRPr="0083698F">
              <w:rPr>
                <w:color w:val="000000" w:themeColor="text1"/>
                <w:sz w:val="20"/>
                <w:szCs w:val="20"/>
                <w:lang w:val="fr-CA"/>
              </w:rPr>
              <w:t>/</w:t>
            </w:r>
            <w:proofErr w:type="spellStart"/>
            <w:r w:rsidRPr="0083698F">
              <w:rPr>
                <w:color w:val="000000" w:themeColor="text1"/>
                <w:sz w:val="20"/>
                <w:szCs w:val="20"/>
                <w:lang w:val="fr-CA"/>
              </w:rPr>
              <w:t>ExCom</w:t>
            </w:r>
            <w:proofErr w:type="spellEnd"/>
            <w:r w:rsidRPr="0083698F">
              <w:rPr>
                <w:color w:val="000000" w:themeColor="text1"/>
                <w:sz w:val="20"/>
                <w:szCs w:val="20"/>
                <w:lang w:val="fr-CA"/>
              </w:rPr>
              <w:t>/37/59, UNEP/</w:t>
            </w:r>
            <w:proofErr w:type="spellStart"/>
            <w:r w:rsidRPr="0083698F">
              <w:rPr>
                <w:color w:val="000000" w:themeColor="text1"/>
                <w:sz w:val="20"/>
                <w:szCs w:val="20"/>
                <w:lang w:val="fr-CA"/>
              </w:rPr>
              <w:t>OzL.</w:t>
            </w:r>
            <w:r w:rsidRPr="00096290">
              <w:rPr>
                <w:color w:val="000000" w:themeColor="text1"/>
                <w:sz w:val="20"/>
                <w:szCs w:val="20"/>
                <w:lang w:val="fr-CA"/>
              </w:rPr>
              <w:t>Pro</w:t>
            </w:r>
            <w:proofErr w:type="spellEnd"/>
            <w:r w:rsidRPr="00096290">
              <w:rPr>
                <w:color w:val="000000" w:themeColor="text1"/>
                <w:sz w:val="20"/>
                <w:szCs w:val="20"/>
                <w:lang w:val="fr-CA"/>
              </w:rPr>
              <w:t>/</w:t>
            </w:r>
            <w:proofErr w:type="spellStart"/>
            <w:r w:rsidRPr="00096290">
              <w:rPr>
                <w:color w:val="000000" w:themeColor="text1"/>
                <w:sz w:val="20"/>
                <w:szCs w:val="20"/>
                <w:lang w:val="fr-CA"/>
              </w:rPr>
              <w:t>ExCom</w:t>
            </w:r>
            <w:proofErr w:type="spellEnd"/>
            <w:r w:rsidRPr="00096290">
              <w:rPr>
                <w:color w:val="000000" w:themeColor="text1"/>
                <w:sz w:val="20"/>
                <w:szCs w:val="20"/>
                <w:lang w:val="fr-CA"/>
              </w:rPr>
              <w:t xml:space="preserve">/38/54 </w:t>
            </w:r>
            <w:r w:rsidR="006C4D21" w:rsidRPr="00096290">
              <w:rPr>
                <w:color w:val="000000" w:themeColor="text1"/>
                <w:sz w:val="20"/>
                <w:szCs w:val="20"/>
                <w:lang w:val="fr-CA"/>
              </w:rPr>
              <w:t>et</w:t>
            </w:r>
            <w:r w:rsidRPr="00096290">
              <w:rPr>
                <w:color w:val="000000" w:themeColor="text1"/>
                <w:sz w:val="20"/>
                <w:szCs w:val="20"/>
                <w:lang w:val="fr-CA"/>
              </w:rPr>
              <w:t xml:space="preserve"> Add.1</w:t>
            </w:r>
            <w:r w:rsidR="003D5ABC">
              <w:rPr>
                <w:color w:val="000000" w:themeColor="text1"/>
                <w:sz w:val="20"/>
                <w:szCs w:val="20"/>
                <w:lang w:val="fr-CA"/>
              </w:rPr>
              <w:t> </w:t>
            </w:r>
            <w:r w:rsidRPr="00096290">
              <w:rPr>
                <w:color w:val="000000" w:themeColor="text1"/>
                <w:sz w:val="20"/>
                <w:szCs w:val="20"/>
                <w:lang w:val="fr-CA"/>
              </w:rPr>
              <w:t xml:space="preserve">; </w:t>
            </w:r>
            <w:r w:rsidR="006C4D21" w:rsidRPr="00096290">
              <w:rPr>
                <w:color w:val="000000" w:themeColor="text1"/>
                <w:sz w:val="20"/>
                <w:szCs w:val="20"/>
                <w:lang w:val="fr-CA"/>
              </w:rPr>
              <w:t>le texte des</w:t>
            </w:r>
            <w:r w:rsidRPr="00096290">
              <w:rPr>
                <w:color w:val="000000" w:themeColor="text1"/>
                <w:sz w:val="20"/>
                <w:szCs w:val="20"/>
                <w:lang w:val="fr-CA"/>
              </w:rPr>
              <w:t xml:space="preserve"> d</w:t>
            </w:r>
            <w:r w:rsidR="006C4D21" w:rsidRPr="00096290">
              <w:rPr>
                <w:color w:val="000000" w:themeColor="text1"/>
                <w:sz w:val="20"/>
                <w:szCs w:val="20"/>
                <w:lang w:val="fr-CA"/>
              </w:rPr>
              <w:t>é</w:t>
            </w:r>
            <w:r w:rsidRPr="00096290">
              <w:rPr>
                <w:color w:val="000000" w:themeColor="text1"/>
                <w:sz w:val="20"/>
                <w:szCs w:val="20"/>
                <w:lang w:val="fr-CA"/>
              </w:rPr>
              <w:t xml:space="preserve">cisions 37/62 </w:t>
            </w:r>
            <w:r w:rsidR="00AE2586" w:rsidRPr="00096290">
              <w:rPr>
                <w:color w:val="000000" w:themeColor="text1"/>
                <w:sz w:val="20"/>
                <w:szCs w:val="20"/>
                <w:lang w:val="fr-CA"/>
              </w:rPr>
              <w:t>et</w:t>
            </w:r>
            <w:r w:rsidRPr="00096290">
              <w:rPr>
                <w:color w:val="000000" w:themeColor="text1"/>
                <w:sz w:val="20"/>
                <w:szCs w:val="20"/>
                <w:lang w:val="fr-CA"/>
              </w:rPr>
              <w:t xml:space="preserve"> 38/63</w:t>
            </w:r>
            <w:r w:rsidR="003D5ABC">
              <w:rPr>
                <w:color w:val="000000" w:themeColor="text1"/>
                <w:sz w:val="20"/>
                <w:szCs w:val="20"/>
                <w:lang w:val="fr-CA"/>
              </w:rPr>
              <w:t> </w:t>
            </w:r>
            <w:r w:rsidRPr="00096290">
              <w:rPr>
                <w:color w:val="000000" w:themeColor="text1"/>
                <w:sz w:val="20"/>
                <w:szCs w:val="20"/>
                <w:lang w:val="fr-CA"/>
              </w:rPr>
              <w:t xml:space="preserve">; </w:t>
            </w:r>
            <w:r w:rsidR="00AE2586" w:rsidRPr="00096290">
              <w:rPr>
                <w:color w:val="000000" w:themeColor="text1"/>
                <w:sz w:val="20"/>
                <w:szCs w:val="20"/>
                <w:lang w:val="fr-CA"/>
              </w:rPr>
              <w:t>Lignes directrices sur le financement de la technologie n’appartenant pas au domaine public</w:t>
            </w:r>
            <w:r w:rsidRPr="00096290">
              <w:rPr>
                <w:color w:val="000000" w:themeColor="text1"/>
                <w:sz w:val="20"/>
                <w:szCs w:val="20"/>
                <w:lang w:val="fr-CA"/>
              </w:rPr>
              <w:t xml:space="preserve"> (</w:t>
            </w:r>
            <w:r w:rsidR="00AE2586" w:rsidRPr="00096290">
              <w:rPr>
                <w:color w:val="000000" w:themeColor="text1"/>
                <w:sz w:val="20"/>
                <w:szCs w:val="20"/>
                <w:lang w:val="fr-CA"/>
              </w:rPr>
              <w:t>annexe</w:t>
            </w:r>
            <w:r w:rsidRPr="00096290">
              <w:rPr>
                <w:color w:val="000000" w:themeColor="text1"/>
                <w:sz w:val="20"/>
                <w:szCs w:val="20"/>
                <w:lang w:val="fr-CA"/>
              </w:rPr>
              <w:t xml:space="preserve"> XIV </w:t>
            </w:r>
            <w:r w:rsidR="00AE2586" w:rsidRPr="00096290">
              <w:rPr>
                <w:color w:val="000000" w:themeColor="text1"/>
                <w:sz w:val="20"/>
                <w:szCs w:val="20"/>
                <w:lang w:val="fr-CA"/>
              </w:rPr>
              <w:t>au document</w:t>
            </w:r>
            <w:r w:rsidRPr="00096290">
              <w:rPr>
                <w:color w:val="000000" w:themeColor="text1"/>
                <w:sz w:val="20"/>
                <w:szCs w:val="20"/>
                <w:lang w:val="fr-CA"/>
              </w:rPr>
              <w:t xml:space="preserve"> UNEP/OzL.</w:t>
            </w:r>
            <w:r w:rsidR="003D5ABC">
              <w:rPr>
                <w:color w:val="000000" w:themeColor="text1"/>
                <w:sz w:val="20"/>
                <w:szCs w:val="20"/>
                <w:lang w:val="fr-CA"/>
              </w:rPr>
              <w:t>Pro/ExCom/38/70/R</w:t>
            </w:r>
            <w:r w:rsidRPr="00096290">
              <w:rPr>
                <w:color w:val="000000" w:themeColor="text1"/>
                <w:sz w:val="20"/>
                <w:szCs w:val="20"/>
                <w:lang w:val="fr-CA"/>
              </w:rPr>
              <w:t>ev.1)</w:t>
            </w:r>
            <w:r w:rsidR="003D5ABC">
              <w:rPr>
                <w:color w:val="000000" w:themeColor="text1"/>
                <w:sz w:val="20"/>
                <w:szCs w:val="20"/>
                <w:lang w:val="fr-CA"/>
              </w:rPr>
              <w:t> </w:t>
            </w:r>
            <w:r w:rsidRPr="00096290">
              <w:rPr>
                <w:color w:val="000000" w:themeColor="text1"/>
                <w:sz w:val="20"/>
                <w:szCs w:val="20"/>
                <w:lang w:val="fr-CA"/>
              </w:rPr>
              <w:t xml:space="preserve">; </w:t>
            </w:r>
            <w:r w:rsidR="00AE2586" w:rsidRPr="00096290">
              <w:rPr>
                <w:color w:val="000000" w:themeColor="text1"/>
                <w:sz w:val="20"/>
                <w:szCs w:val="20"/>
                <w:lang w:val="fr-CA"/>
              </w:rPr>
              <w:t>Observations sur les droits et redevances</w:t>
            </w:r>
            <w:r w:rsidR="00B31535" w:rsidRPr="00096290">
              <w:rPr>
                <w:color w:val="000000" w:themeColor="text1"/>
                <w:sz w:val="20"/>
                <w:szCs w:val="20"/>
                <w:lang w:val="fr-CA"/>
              </w:rPr>
              <w:t xml:space="preserve"> du transfert de technologie pour différents types de projets (dioxyde de carbone liquide, inhalateurs à doseur, gonflage du tabac, HFC-32 pour le secteur de la réfrigération, CO</w:t>
            </w:r>
            <w:r w:rsidR="00B31535" w:rsidRPr="00096290">
              <w:rPr>
                <w:color w:val="000000" w:themeColor="text1"/>
                <w:sz w:val="20"/>
                <w:szCs w:val="20"/>
                <w:vertAlign w:val="subscript"/>
                <w:lang w:val="fr-CA"/>
              </w:rPr>
              <w:t>2</w:t>
            </w:r>
            <w:r w:rsidR="00B31535" w:rsidRPr="00096290">
              <w:rPr>
                <w:color w:val="000000" w:themeColor="text1"/>
                <w:sz w:val="20"/>
                <w:szCs w:val="20"/>
                <w:lang w:val="fr-CA"/>
              </w:rPr>
              <w:t xml:space="preserve"> supercritique, secteur de la production de HCFC</w:t>
            </w:r>
            <w:r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3D5ABC">
            <w:pPr>
              <w:spacing w:before="60" w:after="60"/>
              <w:jc w:val="right"/>
              <w:rPr>
                <w:color w:val="000000" w:themeColor="text1"/>
                <w:sz w:val="20"/>
                <w:szCs w:val="20"/>
                <w:lang w:val="en-US"/>
              </w:rPr>
            </w:pPr>
            <w:r w:rsidRPr="00096290">
              <w:rPr>
                <w:color w:val="000000" w:themeColor="text1"/>
                <w:sz w:val="20"/>
                <w:szCs w:val="20"/>
                <w:lang w:val="en-US"/>
              </w:rPr>
              <w:t>75</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B31535" w:rsidP="00192798">
            <w:pPr>
              <w:spacing w:before="60" w:after="60"/>
              <w:jc w:val="left"/>
              <w:rPr>
                <w:color w:val="000000" w:themeColor="text1"/>
                <w:sz w:val="20"/>
                <w:szCs w:val="20"/>
                <w:lang w:val="fr-CA"/>
              </w:rPr>
            </w:pPr>
            <w:r w:rsidRPr="00096290">
              <w:rPr>
                <w:b/>
                <w:color w:val="000000" w:themeColor="text1"/>
                <w:sz w:val="20"/>
                <w:szCs w:val="20"/>
                <w:lang w:val="fr-CA"/>
              </w:rPr>
              <w:t xml:space="preserve">Coalition sur le climat et l’air propre afin de réduire les polluants climatiques de courte durée de vie </w:t>
            </w:r>
            <w:r w:rsidR="00E4797C" w:rsidRPr="00096290">
              <w:rPr>
                <w:b/>
                <w:color w:val="000000" w:themeColor="text1"/>
                <w:sz w:val="20"/>
                <w:szCs w:val="20"/>
                <w:lang w:val="fr-CA"/>
              </w:rPr>
              <w:t>(CCAC)</w:t>
            </w:r>
          </w:p>
        </w:tc>
      </w:tr>
      <w:tr w:rsidR="00E4797C" w:rsidRPr="00096290" w:rsidTr="00CC24C6">
        <w:trPr>
          <w:cantSplit/>
        </w:trPr>
        <w:tc>
          <w:tcPr>
            <w:tcW w:w="8275" w:type="dxa"/>
            <w:shd w:val="clear" w:color="auto" w:fill="auto"/>
            <w:vAlign w:val="center"/>
          </w:tcPr>
          <w:p w:rsidR="00E4797C" w:rsidRPr="00096290" w:rsidRDefault="00B31535" w:rsidP="00C240C4">
            <w:pPr>
              <w:spacing w:before="60" w:after="60"/>
              <w:jc w:val="left"/>
              <w:rPr>
                <w:color w:val="000000" w:themeColor="text1"/>
                <w:sz w:val="20"/>
                <w:szCs w:val="20"/>
                <w:lang w:val="fr-CA"/>
              </w:rPr>
            </w:pPr>
            <w:r w:rsidRPr="00096290">
              <w:rPr>
                <w:color w:val="000000" w:themeColor="text1"/>
                <w:sz w:val="20"/>
                <w:szCs w:val="20"/>
                <w:lang w:val="fr-CA"/>
              </w:rPr>
              <w:t xml:space="preserve">Consultations informelles avec le Secrétariat du CCAC sur un nouveau projet de refroidissement efficace </w:t>
            </w:r>
            <w:r w:rsidR="00827AA1" w:rsidRPr="00096290">
              <w:rPr>
                <w:color w:val="000000" w:themeColor="text1"/>
                <w:sz w:val="20"/>
                <w:szCs w:val="20"/>
                <w:lang w:val="fr-CA"/>
              </w:rPr>
              <w:t>déjà approuvé provisoirement par le groupe de travail de la CCAC</w:t>
            </w:r>
            <w:r w:rsidR="00C240C4">
              <w:rPr>
                <w:color w:val="000000" w:themeColor="text1"/>
                <w:sz w:val="20"/>
                <w:szCs w:val="20"/>
                <w:lang w:val="fr-CA"/>
              </w:rPr>
              <w:t>,</w:t>
            </w:r>
            <w:r w:rsidR="00827AA1" w:rsidRPr="00096290">
              <w:rPr>
                <w:color w:val="000000" w:themeColor="text1"/>
                <w:sz w:val="20"/>
                <w:szCs w:val="20"/>
                <w:lang w:val="fr-CA"/>
              </w:rPr>
              <w:t xml:space="preserve"> afin de développer un leadership de haut niveau et de faciliter la collaboration entre les parties prenantes, </w:t>
            </w:r>
            <w:r w:rsidR="00C240C4">
              <w:rPr>
                <w:color w:val="000000" w:themeColor="text1"/>
                <w:sz w:val="20"/>
                <w:szCs w:val="20"/>
                <w:lang w:val="fr-CA"/>
              </w:rPr>
              <w:t>en vue</w:t>
            </w:r>
            <w:r w:rsidR="00827AA1" w:rsidRPr="00096290">
              <w:rPr>
                <w:color w:val="000000" w:themeColor="text1"/>
                <w:sz w:val="20"/>
                <w:szCs w:val="20"/>
                <w:lang w:val="fr-CA"/>
              </w:rPr>
              <w:t xml:space="preserve"> de favoriser une efficacité énergétique accrue dans le secteur du refroidissement pendant que les pays mettent en œuvre la réduction progressive des frigorigènes à base de HFC au titre du Protocole de Montréal</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83</w:t>
            </w:r>
          </w:p>
        </w:tc>
      </w:tr>
      <w:tr w:rsidR="00E4797C" w:rsidRPr="00096290" w:rsidTr="00CC24C6">
        <w:trPr>
          <w:cantSplit/>
        </w:trPr>
        <w:tc>
          <w:tcPr>
            <w:tcW w:w="8275" w:type="dxa"/>
            <w:shd w:val="clear" w:color="auto" w:fill="auto"/>
            <w:vAlign w:val="center"/>
            <w:hideMark/>
          </w:tcPr>
          <w:p w:rsidR="00E4797C" w:rsidRPr="00096290" w:rsidRDefault="00827AA1" w:rsidP="004011F5">
            <w:pPr>
              <w:spacing w:before="60" w:after="60"/>
              <w:jc w:val="left"/>
              <w:rPr>
                <w:color w:val="000000" w:themeColor="text1"/>
                <w:sz w:val="20"/>
                <w:szCs w:val="20"/>
                <w:lang w:val="fr-CA"/>
              </w:rPr>
            </w:pPr>
            <w:r w:rsidRPr="00096290">
              <w:rPr>
                <w:color w:val="000000" w:themeColor="text1"/>
                <w:sz w:val="20"/>
                <w:szCs w:val="20"/>
                <w:lang w:val="fr-CA"/>
              </w:rPr>
              <w:t xml:space="preserve">Récapitulatif des projets de démonstration approuvés sur les HCFC et options pour un nombre de projets supplémentaires afin de démontrer les technologies de remplacement des </w:t>
            </w:r>
            <w:r w:rsidR="001A0A93" w:rsidRPr="00096290">
              <w:rPr>
                <w:color w:val="000000" w:themeColor="text1"/>
                <w:sz w:val="20"/>
                <w:szCs w:val="20"/>
                <w:lang w:val="fr-CA"/>
              </w:rPr>
              <w:t>HCFC</w:t>
            </w:r>
            <w:r w:rsidR="004011F5">
              <w:rPr>
                <w:color w:val="000000" w:themeColor="text1"/>
                <w:sz w:val="20"/>
                <w:szCs w:val="20"/>
                <w:lang w:val="fr-CA"/>
              </w:rPr>
              <w:t xml:space="preserve"> respectueuses du climat et éco</w:t>
            </w:r>
            <w:r w:rsidRPr="00096290">
              <w:rPr>
                <w:color w:val="000000" w:themeColor="text1"/>
                <w:sz w:val="20"/>
                <w:szCs w:val="20"/>
                <w:lang w:val="fr-CA"/>
              </w:rPr>
              <w:t>nergétiques</w:t>
            </w:r>
            <w:r w:rsidR="00E4797C" w:rsidRPr="00096290">
              <w:rPr>
                <w:color w:val="000000" w:themeColor="text1"/>
                <w:sz w:val="20"/>
                <w:szCs w:val="20"/>
                <w:lang w:val="fr-CA"/>
              </w:rPr>
              <w:t xml:space="preserve"> (UNEP/OzL.Pro/ExCom/72/40). </w:t>
            </w:r>
            <w:r w:rsidR="001A0A93" w:rsidRPr="00096290">
              <w:rPr>
                <w:color w:val="000000" w:themeColor="text1"/>
                <w:sz w:val="20"/>
                <w:szCs w:val="20"/>
                <w:lang w:val="fr-CA"/>
              </w:rPr>
              <w:t>Information sur des enquêtes sur les solutions de remplacement des SAO financées par le Fonds multilatéral, occasions possibles pour la CCAC dans les pays à économie en transition</w:t>
            </w:r>
            <w:r w:rsidR="004011F5">
              <w:rPr>
                <w:color w:val="000000" w:themeColor="text1"/>
                <w:sz w:val="20"/>
                <w:szCs w:val="20"/>
                <w:lang w:val="fr-CA"/>
              </w:rPr>
              <w:t> </w:t>
            </w:r>
            <w:r w:rsidR="001A0A93" w:rsidRPr="00096290">
              <w:rPr>
                <w:color w:val="000000" w:themeColor="text1"/>
                <w:sz w:val="20"/>
                <w:szCs w:val="20"/>
                <w:lang w:val="fr-CA"/>
              </w:rPr>
              <w:t>; enseignements tirés du Fonds multilatéral qui pourraient s’appliquer au p</w:t>
            </w:r>
            <w:r w:rsidR="00C240C4">
              <w:rPr>
                <w:color w:val="000000" w:themeColor="text1"/>
                <w:sz w:val="20"/>
                <w:szCs w:val="20"/>
                <w:lang w:val="fr-CA"/>
              </w:rPr>
              <w:t>rocessus d’examen technique et a</w:t>
            </w:r>
            <w:r w:rsidR="001A0A93" w:rsidRPr="00096290">
              <w:rPr>
                <w:color w:val="000000" w:themeColor="text1"/>
                <w:sz w:val="20"/>
                <w:szCs w:val="20"/>
                <w:lang w:val="fr-CA"/>
              </w:rPr>
              <w:t>u cycle de financement des projets de la CCAC</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4011F5">
            <w:pPr>
              <w:spacing w:before="60" w:after="60"/>
              <w:jc w:val="right"/>
              <w:rPr>
                <w:color w:val="000000" w:themeColor="text1"/>
                <w:sz w:val="20"/>
                <w:szCs w:val="20"/>
                <w:lang w:val="en-US"/>
              </w:rPr>
            </w:pPr>
            <w:r w:rsidRPr="00096290">
              <w:rPr>
                <w:color w:val="000000" w:themeColor="text1"/>
                <w:sz w:val="20"/>
                <w:szCs w:val="20"/>
                <w:lang w:val="en-US"/>
              </w:rPr>
              <w:t>75</w:t>
            </w:r>
          </w:p>
        </w:tc>
      </w:tr>
      <w:tr w:rsidR="00E4797C" w:rsidRPr="00096290" w:rsidTr="00CC24C6">
        <w:trPr>
          <w:cantSplit/>
        </w:trPr>
        <w:tc>
          <w:tcPr>
            <w:tcW w:w="8275" w:type="dxa"/>
            <w:shd w:val="clear" w:color="auto" w:fill="auto"/>
            <w:vAlign w:val="center"/>
            <w:hideMark/>
          </w:tcPr>
          <w:p w:rsidR="00E4797C" w:rsidRPr="00096290" w:rsidRDefault="00CF06B3" w:rsidP="001A0A93">
            <w:pPr>
              <w:spacing w:before="60" w:after="60"/>
              <w:jc w:val="left"/>
              <w:rPr>
                <w:color w:val="000000" w:themeColor="text1"/>
                <w:sz w:val="20"/>
                <w:szCs w:val="20"/>
                <w:lang w:val="fr-CA"/>
              </w:rPr>
            </w:pPr>
            <w:r>
              <w:rPr>
                <w:color w:val="000000" w:themeColor="text1"/>
                <w:sz w:val="20"/>
                <w:szCs w:val="20"/>
                <w:lang w:val="fr-CA"/>
              </w:rPr>
              <w:t xml:space="preserve">Document 72/40, </w:t>
            </w:r>
            <w:r w:rsidR="001A0A93" w:rsidRPr="00096290">
              <w:rPr>
                <w:color w:val="000000" w:themeColor="text1"/>
                <w:sz w:val="20"/>
                <w:szCs w:val="20"/>
                <w:lang w:val="fr-CA"/>
              </w:rPr>
              <w:t xml:space="preserve">Récapitulatif des projets de démonstration approuvés sur les HCFC et options pour un nombre de projets supplémentaires afin de démontrer les technologies de remplacement des HCFC </w:t>
            </w:r>
            <w:r w:rsidR="004011F5">
              <w:rPr>
                <w:color w:val="000000" w:themeColor="text1"/>
                <w:sz w:val="20"/>
                <w:szCs w:val="20"/>
                <w:lang w:val="fr-CA"/>
              </w:rPr>
              <w:t>respectueuses du climat et éco</w:t>
            </w:r>
            <w:r w:rsidR="001A0A93" w:rsidRPr="00096290">
              <w:rPr>
                <w:color w:val="000000" w:themeColor="text1"/>
                <w:sz w:val="20"/>
                <w:szCs w:val="20"/>
                <w:lang w:val="fr-CA"/>
              </w:rPr>
              <w:t xml:space="preserve">nergétiques (décision 71/51 </w:t>
            </w:r>
            <w:r w:rsidR="00E4797C" w:rsidRPr="00096290">
              <w:rPr>
                <w:color w:val="000000" w:themeColor="text1"/>
                <w:sz w:val="20"/>
                <w:szCs w:val="20"/>
                <w:lang w:val="fr-CA"/>
              </w:rPr>
              <w:t xml:space="preserve">a)), </w:t>
            </w:r>
            <w:r w:rsidR="001A0A93" w:rsidRPr="00096290">
              <w:rPr>
                <w:color w:val="000000" w:themeColor="text1"/>
                <w:sz w:val="20"/>
                <w:szCs w:val="20"/>
                <w:lang w:val="fr-CA"/>
              </w:rPr>
              <w:t>qui résume les résultats des projets de démonstration du Fonds multilatéral approuvés à ce jour</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74</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CF06B3" w:rsidP="001A0A93">
            <w:pPr>
              <w:spacing w:before="60" w:after="60"/>
              <w:jc w:val="left"/>
              <w:rPr>
                <w:b/>
                <w:color w:val="000000" w:themeColor="text1"/>
                <w:sz w:val="20"/>
                <w:szCs w:val="20"/>
                <w:lang w:val="fr-CA"/>
              </w:rPr>
            </w:pPr>
            <w:r>
              <w:rPr>
                <w:b/>
                <w:color w:val="000000" w:themeColor="text1"/>
                <w:sz w:val="20"/>
                <w:szCs w:val="20"/>
                <w:lang w:val="fr-CA"/>
              </w:rPr>
              <w:t>Centre</w:t>
            </w:r>
            <w:r w:rsidR="001A0A93" w:rsidRPr="00096290">
              <w:rPr>
                <w:b/>
                <w:color w:val="000000" w:themeColor="text1"/>
                <w:sz w:val="20"/>
                <w:szCs w:val="20"/>
                <w:lang w:val="fr-CA"/>
              </w:rPr>
              <w:t>-Réseau des technologies climatiques</w:t>
            </w:r>
          </w:p>
        </w:tc>
      </w:tr>
      <w:tr w:rsidR="00E4797C" w:rsidRPr="00096290" w:rsidTr="00CC24C6">
        <w:trPr>
          <w:cantSplit/>
        </w:trPr>
        <w:tc>
          <w:tcPr>
            <w:tcW w:w="8275" w:type="dxa"/>
            <w:shd w:val="clear" w:color="auto" w:fill="auto"/>
            <w:vAlign w:val="center"/>
            <w:hideMark/>
          </w:tcPr>
          <w:p w:rsidR="00E4797C" w:rsidRPr="00096290" w:rsidRDefault="00737CC0" w:rsidP="00192798">
            <w:pPr>
              <w:spacing w:before="60" w:after="60"/>
              <w:jc w:val="left"/>
              <w:rPr>
                <w:color w:val="000000" w:themeColor="text1"/>
                <w:sz w:val="20"/>
                <w:szCs w:val="20"/>
                <w:lang w:val="fr-CA"/>
              </w:rPr>
            </w:pPr>
            <w:r w:rsidRPr="00096290">
              <w:rPr>
                <w:color w:val="000000" w:themeColor="text1"/>
                <w:sz w:val="20"/>
                <w:szCs w:val="20"/>
                <w:lang w:val="fr-CA"/>
              </w:rPr>
              <w:t>Présentation sur le renforcement des capacités au titre du Fonds multilatéral en tant que matériel ressource pour la sixième réunion du Conseil consultatif. Renseignements généraux et documents d’information sur le Fonds multilatéral</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75</w:t>
            </w:r>
          </w:p>
        </w:tc>
      </w:tr>
      <w:tr w:rsidR="00E4797C" w:rsidRPr="00096290" w:rsidTr="00192798">
        <w:trPr>
          <w:cantSplit/>
        </w:trPr>
        <w:tc>
          <w:tcPr>
            <w:tcW w:w="9355" w:type="dxa"/>
            <w:gridSpan w:val="2"/>
            <w:shd w:val="clear" w:color="auto" w:fill="auto"/>
            <w:tcMar>
              <w:left w:w="115" w:type="dxa"/>
              <w:right w:w="173" w:type="dxa"/>
            </w:tcMar>
            <w:vAlign w:val="center"/>
          </w:tcPr>
          <w:p w:rsidR="00E4797C" w:rsidRPr="00096290" w:rsidRDefault="00737CC0" w:rsidP="00CC24C6">
            <w:pPr>
              <w:keepNext/>
              <w:keepLines/>
              <w:spacing w:before="60" w:after="60"/>
              <w:jc w:val="left"/>
              <w:rPr>
                <w:color w:val="000000" w:themeColor="text1"/>
                <w:sz w:val="20"/>
                <w:szCs w:val="20"/>
                <w:lang w:val="fr-CA"/>
              </w:rPr>
            </w:pPr>
            <w:r w:rsidRPr="00096290">
              <w:rPr>
                <w:b/>
                <w:color w:val="000000" w:themeColor="text1"/>
                <w:sz w:val="20"/>
                <w:szCs w:val="20"/>
                <w:lang w:val="fr-CA"/>
              </w:rPr>
              <w:lastRenderedPageBreak/>
              <w:t>Union européenne/</w:t>
            </w:r>
            <w:r w:rsidR="004011F5">
              <w:rPr>
                <w:b/>
                <w:color w:val="000000" w:themeColor="text1"/>
                <w:sz w:val="20"/>
                <w:szCs w:val="20"/>
                <w:lang w:val="fr-CA"/>
              </w:rPr>
              <w:t>P</w:t>
            </w:r>
            <w:r w:rsidRPr="00096290">
              <w:rPr>
                <w:b/>
                <w:color w:val="000000" w:themeColor="text1"/>
                <w:sz w:val="20"/>
                <w:szCs w:val="20"/>
                <w:lang w:val="fr-CA"/>
              </w:rPr>
              <w:t>arlement européen</w:t>
            </w:r>
          </w:p>
        </w:tc>
      </w:tr>
      <w:tr w:rsidR="00E4797C" w:rsidRPr="00096290" w:rsidTr="00CC24C6">
        <w:trPr>
          <w:cantSplit/>
        </w:trPr>
        <w:tc>
          <w:tcPr>
            <w:tcW w:w="8275" w:type="dxa"/>
            <w:shd w:val="clear" w:color="auto" w:fill="auto"/>
            <w:vAlign w:val="center"/>
            <w:hideMark/>
          </w:tcPr>
          <w:p w:rsidR="00E4797C" w:rsidRPr="00096290" w:rsidRDefault="00737CC0" w:rsidP="00CC24C6">
            <w:pPr>
              <w:keepNext/>
              <w:keepLines/>
              <w:spacing w:before="60" w:after="60"/>
              <w:jc w:val="left"/>
              <w:rPr>
                <w:color w:val="000000" w:themeColor="text1"/>
                <w:sz w:val="20"/>
                <w:szCs w:val="20"/>
                <w:lang w:val="fr-CA"/>
              </w:rPr>
            </w:pPr>
            <w:r w:rsidRPr="00096290">
              <w:rPr>
                <w:color w:val="000000" w:themeColor="text1"/>
                <w:sz w:val="20"/>
                <w:szCs w:val="20"/>
                <w:lang w:val="fr-CA"/>
              </w:rPr>
              <w:t xml:space="preserve">Au cours de la vingt-cinquième Réunion </w:t>
            </w:r>
            <w:r w:rsidR="00BB0ED2" w:rsidRPr="00096290">
              <w:rPr>
                <w:color w:val="000000" w:themeColor="text1"/>
                <w:sz w:val="20"/>
                <w:szCs w:val="20"/>
                <w:lang w:val="fr-CA"/>
              </w:rPr>
              <w:t>d</w:t>
            </w:r>
            <w:r w:rsidRPr="00096290">
              <w:rPr>
                <w:color w:val="000000" w:themeColor="text1"/>
                <w:sz w:val="20"/>
                <w:szCs w:val="20"/>
                <w:lang w:val="fr-CA"/>
              </w:rPr>
              <w:t xml:space="preserve">es Parties, le Chef du Secrétariat a reçu </w:t>
            </w:r>
            <w:r w:rsidR="00CF06B3">
              <w:rPr>
                <w:color w:val="000000" w:themeColor="text1"/>
                <w:sz w:val="20"/>
                <w:szCs w:val="20"/>
                <w:lang w:val="fr-CA"/>
              </w:rPr>
              <w:t>u</w:t>
            </w:r>
            <w:r w:rsidRPr="00096290">
              <w:rPr>
                <w:color w:val="000000" w:themeColor="text1"/>
                <w:sz w:val="20"/>
                <w:szCs w:val="20"/>
                <w:lang w:val="fr-CA"/>
              </w:rPr>
              <w:t xml:space="preserve">ne demande du </w:t>
            </w:r>
            <w:r w:rsidR="004011F5">
              <w:rPr>
                <w:color w:val="000000" w:themeColor="text1"/>
                <w:sz w:val="20"/>
                <w:szCs w:val="20"/>
                <w:lang w:val="fr-CA"/>
              </w:rPr>
              <w:t>P</w:t>
            </w:r>
            <w:r w:rsidRPr="00096290">
              <w:rPr>
                <w:color w:val="000000" w:themeColor="text1"/>
                <w:sz w:val="20"/>
                <w:szCs w:val="20"/>
                <w:lang w:val="fr-CA"/>
              </w:rPr>
              <w:t xml:space="preserve">arlement européen de tenir des discussions bilatérales sur les </w:t>
            </w:r>
            <w:r w:rsidR="00BB0ED2" w:rsidRPr="00096290">
              <w:rPr>
                <w:color w:val="000000" w:themeColor="text1"/>
                <w:sz w:val="20"/>
                <w:szCs w:val="20"/>
                <w:lang w:val="fr-CA"/>
              </w:rPr>
              <w:t>questions</w:t>
            </w:r>
            <w:r w:rsidRPr="00096290">
              <w:rPr>
                <w:color w:val="000000" w:themeColor="text1"/>
                <w:sz w:val="20"/>
                <w:szCs w:val="20"/>
                <w:lang w:val="fr-CA"/>
              </w:rPr>
              <w:t xml:space="preserve"> en lien avec le Protocole de Montréal, </w:t>
            </w:r>
            <w:r w:rsidR="00CF06B3">
              <w:rPr>
                <w:color w:val="000000" w:themeColor="text1"/>
                <w:sz w:val="20"/>
                <w:szCs w:val="20"/>
                <w:lang w:val="fr-CA"/>
              </w:rPr>
              <w:t>y compris</w:t>
            </w:r>
            <w:r w:rsidRPr="00096290">
              <w:rPr>
                <w:color w:val="000000" w:themeColor="text1"/>
                <w:sz w:val="20"/>
                <w:szCs w:val="20"/>
                <w:lang w:val="fr-CA"/>
              </w:rPr>
              <w:t xml:space="preserve"> les ressources nécessaires pour la reconstitution du Fonds multilatér</w:t>
            </w:r>
            <w:r w:rsidR="00BB0ED2" w:rsidRPr="00096290">
              <w:rPr>
                <w:color w:val="000000" w:themeColor="text1"/>
                <w:sz w:val="20"/>
                <w:szCs w:val="20"/>
                <w:lang w:val="fr-CA"/>
              </w:rPr>
              <w:t>al et les propositions de contributions s</w:t>
            </w:r>
            <w:r w:rsidRPr="00096290">
              <w:rPr>
                <w:color w:val="000000" w:themeColor="text1"/>
                <w:sz w:val="20"/>
                <w:szCs w:val="20"/>
                <w:lang w:val="fr-CA"/>
              </w:rPr>
              <w:t>upplémentair</w:t>
            </w:r>
            <w:r w:rsidR="00BB0ED2" w:rsidRPr="00096290">
              <w:rPr>
                <w:color w:val="000000" w:themeColor="text1"/>
                <w:sz w:val="20"/>
                <w:szCs w:val="20"/>
                <w:lang w:val="fr-CA"/>
              </w:rPr>
              <w:t>e</w:t>
            </w:r>
            <w:r w:rsidRPr="00096290">
              <w:rPr>
                <w:color w:val="000000" w:themeColor="text1"/>
                <w:sz w:val="20"/>
                <w:szCs w:val="20"/>
                <w:lang w:val="fr-CA"/>
              </w:rPr>
              <w:t xml:space="preserve">s pour financer les avantages pour le climat. </w:t>
            </w:r>
            <w:r w:rsidR="00BB0ED2" w:rsidRPr="00096290">
              <w:rPr>
                <w:color w:val="000000" w:themeColor="text1"/>
                <w:sz w:val="20"/>
                <w:szCs w:val="20"/>
                <w:lang w:val="fr-CA"/>
              </w:rPr>
              <w:t>En réponse à cette demande, l</w:t>
            </w:r>
            <w:r w:rsidRPr="00096290">
              <w:rPr>
                <w:color w:val="000000" w:themeColor="text1"/>
                <w:sz w:val="20"/>
                <w:szCs w:val="20"/>
                <w:lang w:val="fr-CA"/>
              </w:rPr>
              <w:t>e Chef du Secrétariat</w:t>
            </w:r>
            <w:r w:rsidR="00BB0ED2" w:rsidRPr="00096290">
              <w:rPr>
                <w:color w:val="000000" w:themeColor="text1"/>
                <w:sz w:val="20"/>
                <w:szCs w:val="20"/>
                <w:lang w:val="fr-CA"/>
              </w:rPr>
              <w:t xml:space="preserve"> a offert aux deux représe</w:t>
            </w:r>
            <w:r w:rsidR="00CF06B3">
              <w:rPr>
                <w:color w:val="000000" w:themeColor="text1"/>
                <w:sz w:val="20"/>
                <w:szCs w:val="20"/>
                <w:lang w:val="fr-CA"/>
              </w:rPr>
              <w:t xml:space="preserve">ntants du </w:t>
            </w:r>
            <w:r w:rsidR="004011F5">
              <w:rPr>
                <w:color w:val="000000" w:themeColor="text1"/>
                <w:sz w:val="20"/>
                <w:szCs w:val="20"/>
                <w:lang w:val="fr-CA"/>
              </w:rPr>
              <w:t>P</w:t>
            </w:r>
            <w:r w:rsidR="00CF06B3">
              <w:rPr>
                <w:color w:val="000000" w:themeColor="text1"/>
                <w:sz w:val="20"/>
                <w:szCs w:val="20"/>
                <w:lang w:val="fr-CA"/>
              </w:rPr>
              <w:t>arlement européen un</w:t>
            </w:r>
            <w:r w:rsidR="00BB0ED2" w:rsidRPr="00096290">
              <w:rPr>
                <w:color w:val="000000" w:themeColor="text1"/>
                <w:sz w:val="20"/>
                <w:szCs w:val="20"/>
                <w:lang w:val="fr-CA"/>
              </w:rPr>
              <w:t xml:space="preserve"> court exposé expliquant le fonctionnement du Fonds multilatéral</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fr-CA"/>
              </w:rPr>
            </w:pPr>
            <w:r w:rsidRPr="00096290">
              <w:rPr>
                <w:color w:val="000000" w:themeColor="text1"/>
                <w:sz w:val="20"/>
                <w:szCs w:val="20"/>
                <w:lang w:val="fr-CA"/>
              </w:rPr>
              <w:t>71</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BB0ED2" w:rsidP="00192798">
            <w:pPr>
              <w:keepNext/>
              <w:spacing w:before="60" w:after="60"/>
              <w:jc w:val="left"/>
              <w:rPr>
                <w:color w:val="000000" w:themeColor="text1"/>
                <w:sz w:val="20"/>
                <w:szCs w:val="20"/>
                <w:lang w:val="fr-CA"/>
              </w:rPr>
            </w:pPr>
            <w:r w:rsidRPr="00096290">
              <w:rPr>
                <w:b/>
                <w:color w:val="000000" w:themeColor="text1"/>
                <w:sz w:val="20"/>
                <w:szCs w:val="20"/>
                <w:lang w:val="fr-CA"/>
              </w:rPr>
              <w:t>Ministère de la Coopération et du Développement économiques de l’Allemagne</w:t>
            </w:r>
          </w:p>
        </w:tc>
      </w:tr>
      <w:tr w:rsidR="00E4797C" w:rsidRPr="00096290" w:rsidTr="00CC24C6">
        <w:trPr>
          <w:cantSplit/>
        </w:trPr>
        <w:tc>
          <w:tcPr>
            <w:tcW w:w="8275" w:type="dxa"/>
            <w:shd w:val="clear" w:color="auto" w:fill="auto"/>
            <w:vAlign w:val="center"/>
            <w:hideMark/>
          </w:tcPr>
          <w:p w:rsidR="00E4797C" w:rsidRPr="00096290" w:rsidRDefault="00BB0ED2" w:rsidP="00192798">
            <w:pPr>
              <w:spacing w:before="60" w:after="60"/>
              <w:jc w:val="left"/>
              <w:rPr>
                <w:color w:val="000000" w:themeColor="text1"/>
                <w:sz w:val="20"/>
                <w:szCs w:val="20"/>
                <w:lang w:val="fr-CA"/>
              </w:rPr>
            </w:pPr>
            <w:r w:rsidRPr="00096290">
              <w:rPr>
                <w:color w:val="000000" w:themeColor="text1"/>
                <w:sz w:val="20"/>
                <w:szCs w:val="20"/>
                <w:lang w:val="fr-CA"/>
              </w:rPr>
              <w:t>Renseignements sur l</w:t>
            </w:r>
            <w:r w:rsidR="004011F5">
              <w:rPr>
                <w:color w:val="000000" w:themeColor="text1"/>
                <w:sz w:val="20"/>
                <w:szCs w:val="20"/>
                <w:lang w:val="fr-CA"/>
              </w:rPr>
              <w:t>es</w:t>
            </w:r>
            <w:r w:rsidRPr="00096290">
              <w:rPr>
                <w:color w:val="000000" w:themeColor="text1"/>
                <w:sz w:val="20"/>
                <w:szCs w:val="20"/>
                <w:lang w:val="fr-CA"/>
              </w:rPr>
              <w:t xml:space="preserve"> réalisations du Fonds multilatéral et sommaire des projets approuvés mis en œuvre par l’Allemagne en tant qu’agence bilatérale</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77</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BB0ED2" w:rsidP="00192798">
            <w:pPr>
              <w:spacing w:before="60" w:after="60"/>
              <w:jc w:val="left"/>
              <w:rPr>
                <w:b/>
                <w:color w:val="000000" w:themeColor="text1"/>
                <w:sz w:val="20"/>
                <w:szCs w:val="20"/>
                <w:lang w:val="fr-CA"/>
              </w:rPr>
            </w:pPr>
            <w:r w:rsidRPr="00096290">
              <w:rPr>
                <w:b/>
                <w:color w:val="000000" w:themeColor="text1"/>
                <w:sz w:val="20"/>
                <w:szCs w:val="20"/>
                <w:lang w:val="fr-CA"/>
              </w:rPr>
              <w:t>Fonds p</w:t>
            </w:r>
            <w:r w:rsidR="004011F5">
              <w:rPr>
                <w:b/>
                <w:color w:val="000000" w:themeColor="text1"/>
                <w:sz w:val="20"/>
                <w:szCs w:val="20"/>
                <w:lang w:val="fr-CA"/>
              </w:rPr>
              <w:t>our l’environnement mondial (FEM</w:t>
            </w:r>
            <w:r w:rsidRPr="00096290">
              <w:rPr>
                <w:b/>
                <w:color w:val="000000" w:themeColor="text1"/>
                <w:sz w:val="20"/>
                <w:szCs w:val="20"/>
                <w:lang w:val="fr-CA"/>
              </w:rPr>
              <w:t>)</w:t>
            </w:r>
          </w:p>
        </w:tc>
      </w:tr>
      <w:tr w:rsidR="003C2AB2" w:rsidRPr="00096290" w:rsidTr="00CC24C6">
        <w:trPr>
          <w:cantSplit/>
        </w:trPr>
        <w:tc>
          <w:tcPr>
            <w:tcW w:w="8275" w:type="dxa"/>
            <w:shd w:val="clear" w:color="auto" w:fill="auto"/>
            <w:vAlign w:val="center"/>
          </w:tcPr>
          <w:p w:rsidR="003C2AB2" w:rsidRPr="00096290" w:rsidRDefault="006D04D6" w:rsidP="003C2AB2">
            <w:pPr>
              <w:spacing w:before="60" w:after="60"/>
              <w:jc w:val="left"/>
              <w:rPr>
                <w:b/>
                <w:color w:val="000000" w:themeColor="text1"/>
                <w:sz w:val="20"/>
                <w:szCs w:val="20"/>
                <w:lang w:val="fr-CA"/>
              </w:rPr>
            </w:pPr>
            <w:r w:rsidRPr="00096290">
              <w:rPr>
                <w:b/>
                <w:color w:val="000000" w:themeColor="text1"/>
                <w:sz w:val="20"/>
                <w:szCs w:val="20"/>
                <w:lang w:val="fr-CA"/>
              </w:rPr>
              <w:t>Le Secrétariat a participé à l’atelier sur la « </w:t>
            </w:r>
            <w:r w:rsidR="00CF06B3">
              <w:rPr>
                <w:b/>
                <w:sz w:val="20"/>
                <w:szCs w:val="20"/>
                <w:lang w:val="fr-CA"/>
              </w:rPr>
              <w:t>R</w:t>
            </w:r>
            <w:r w:rsidRPr="00096290">
              <w:rPr>
                <w:b/>
                <w:sz w:val="20"/>
                <w:szCs w:val="20"/>
                <w:lang w:val="fr-CA"/>
              </w:rPr>
              <w:t>éalisation de nombreux bienfaits environnementaux mondiaux grâce à la bonne gestion des produits chimiques et des déchets »</w:t>
            </w:r>
            <w:r w:rsidR="00CF06B3">
              <w:rPr>
                <w:b/>
                <w:sz w:val="20"/>
                <w:szCs w:val="20"/>
                <w:lang w:val="fr-CA"/>
              </w:rPr>
              <w:t xml:space="preserve"> </w:t>
            </w:r>
            <w:r w:rsidRPr="00096290">
              <w:rPr>
                <w:b/>
                <w:sz w:val="20"/>
                <w:szCs w:val="20"/>
                <w:lang w:val="fr-CA"/>
              </w:rPr>
              <w:t>organisé par le Groupe de l’évaluation technique et économique et a été invité à participer aux échanges sur les liens reconnus, surtout concernant l’appauvrissement de la couche d’ozone</w:t>
            </w:r>
          </w:p>
        </w:tc>
        <w:tc>
          <w:tcPr>
            <w:tcW w:w="1080" w:type="dxa"/>
            <w:shd w:val="clear" w:color="auto" w:fill="auto"/>
            <w:tcMar>
              <w:left w:w="115" w:type="dxa"/>
              <w:right w:w="173" w:type="dxa"/>
            </w:tcMar>
            <w:vAlign w:val="center"/>
          </w:tcPr>
          <w:p w:rsidR="003C2AB2" w:rsidRPr="00096290" w:rsidRDefault="003C2AB2" w:rsidP="003C2AB2">
            <w:pPr>
              <w:spacing w:before="60" w:after="60"/>
              <w:jc w:val="right"/>
              <w:rPr>
                <w:b/>
                <w:color w:val="000000" w:themeColor="text1"/>
                <w:sz w:val="20"/>
                <w:szCs w:val="20"/>
                <w:lang w:val="en-US"/>
              </w:rPr>
            </w:pPr>
            <w:r w:rsidRPr="00096290">
              <w:rPr>
                <w:b/>
                <w:color w:val="000000" w:themeColor="text1"/>
                <w:sz w:val="20"/>
                <w:szCs w:val="20"/>
                <w:lang w:val="en-US"/>
              </w:rPr>
              <w:t>86</w:t>
            </w:r>
          </w:p>
        </w:tc>
      </w:tr>
      <w:tr w:rsidR="00D86AEA" w:rsidRPr="00096290" w:rsidTr="00CC24C6">
        <w:trPr>
          <w:cantSplit/>
        </w:trPr>
        <w:tc>
          <w:tcPr>
            <w:tcW w:w="8275" w:type="dxa"/>
            <w:shd w:val="clear" w:color="auto" w:fill="auto"/>
            <w:vAlign w:val="center"/>
          </w:tcPr>
          <w:p w:rsidR="00D86AEA" w:rsidRPr="00096290" w:rsidRDefault="006D04D6" w:rsidP="006D04D6">
            <w:pPr>
              <w:spacing w:before="60" w:after="60"/>
              <w:jc w:val="left"/>
              <w:rPr>
                <w:b/>
                <w:color w:val="000000" w:themeColor="text1"/>
                <w:sz w:val="20"/>
                <w:szCs w:val="20"/>
                <w:lang w:val="fr-CA"/>
              </w:rPr>
            </w:pPr>
            <w:r w:rsidRPr="00096290">
              <w:rPr>
                <w:b/>
                <w:color w:val="000000" w:themeColor="text1"/>
                <w:sz w:val="20"/>
                <w:szCs w:val="20"/>
                <w:lang w:val="fr-CA"/>
              </w:rPr>
              <w:t xml:space="preserve">Observations sur les interventions concernant les activités </w:t>
            </w:r>
            <w:r w:rsidR="00CF06B3">
              <w:rPr>
                <w:b/>
                <w:color w:val="000000" w:themeColor="text1"/>
                <w:sz w:val="20"/>
                <w:szCs w:val="20"/>
                <w:lang w:val="fr-CA"/>
              </w:rPr>
              <w:t>d</w:t>
            </w:r>
            <w:r w:rsidRPr="00096290">
              <w:rPr>
                <w:b/>
                <w:color w:val="000000" w:themeColor="text1"/>
                <w:sz w:val="20"/>
                <w:szCs w:val="20"/>
                <w:lang w:val="fr-CA"/>
              </w:rPr>
              <w:t>e facilitation, le renforcement des institutions et le soutien à la ratification de l’Amendement de Kigali dans les pays à économie en transition</w:t>
            </w:r>
            <w:r w:rsidR="00CF06B3">
              <w:rPr>
                <w:b/>
                <w:color w:val="000000" w:themeColor="text1"/>
                <w:sz w:val="20"/>
                <w:szCs w:val="20"/>
                <w:lang w:val="fr-CA"/>
              </w:rPr>
              <w:t>,</w:t>
            </w:r>
            <w:r w:rsidRPr="00096290">
              <w:rPr>
                <w:b/>
                <w:color w:val="000000" w:themeColor="text1"/>
                <w:sz w:val="20"/>
                <w:szCs w:val="20"/>
                <w:lang w:val="fr-CA"/>
              </w:rPr>
              <w:t xml:space="preserve"> et examen d’un plan pour le Tadjikistan</w:t>
            </w:r>
            <w:r w:rsidR="00D86AEA" w:rsidRPr="00096290">
              <w:rPr>
                <w:b/>
                <w:color w:val="000000" w:themeColor="text1"/>
                <w:sz w:val="20"/>
                <w:szCs w:val="20"/>
                <w:lang w:val="fr-CA"/>
              </w:rPr>
              <w:t>.</w:t>
            </w:r>
          </w:p>
        </w:tc>
        <w:tc>
          <w:tcPr>
            <w:tcW w:w="1080" w:type="dxa"/>
            <w:shd w:val="clear" w:color="auto" w:fill="auto"/>
            <w:tcMar>
              <w:left w:w="115" w:type="dxa"/>
              <w:right w:w="173" w:type="dxa"/>
            </w:tcMar>
            <w:vAlign w:val="center"/>
          </w:tcPr>
          <w:p w:rsidR="00D86AEA" w:rsidRPr="00096290" w:rsidRDefault="00D86AEA" w:rsidP="00D86AEA">
            <w:pPr>
              <w:spacing w:before="60" w:after="60"/>
              <w:jc w:val="right"/>
              <w:rPr>
                <w:b/>
                <w:color w:val="000000" w:themeColor="text1"/>
                <w:sz w:val="20"/>
                <w:szCs w:val="20"/>
                <w:lang w:val="en-US"/>
              </w:rPr>
            </w:pPr>
            <w:r w:rsidRPr="00096290">
              <w:rPr>
                <w:b/>
                <w:color w:val="000000" w:themeColor="text1"/>
                <w:sz w:val="20"/>
                <w:szCs w:val="20"/>
                <w:lang w:val="en-US"/>
              </w:rPr>
              <w:t>86</w:t>
            </w:r>
          </w:p>
        </w:tc>
      </w:tr>
      <w:tr w:rsidR="00E4797C" w:rsidRPr="00096290" w:rsidTr="00CC24C6">
        <w:trPr>
          <w:cantSplit/>
        </w:trPr>
        <w:tc>
          <w:tcPr>
            <w:tcW w:w="8275" w:type="dxa"/>
            <w:shd w:val="clear" w:color="auto" w:fill="auto"/>
            <w:vAlign w:val="center"/>
          </w:tcPr>
          <w:p w:rsidR="00E4797C" w:rsidRPr="00096290" w:rsidRDefault="006D04D6" w:rsidP="00B165E5">
            <w:pPr>
              <w:spacing w:before="60" w:after="60"/>
              <w:jc w:val="left"/>
              <w:rPr>
                <w:sz w:val="20"/>
                <w:szCs w:val="20"/>
                <w:lang w:val="fr-CA"/>
              </w:rPr>
            </w:pPr>
            <w:r w:rsidRPr="00096290">
              <w:rPr>
                <w:sz w:val="20"/>
                <w:szCs w:val="20"/>
                <w:lang w:val="fr-CA"/>
              </w:rPr>
              <w:t xml:space="preserve">Échanges informels en ligne entre le Secrétariat et le personnel du FEM sur les </w:t>
            </w:r>
            <w:r w:rsidR="00B165E5">
              <w:rPr>
                <w:sz w:val="20"/>
                <w:szCs w:val="20"/>
                <w:lang w:val="fr-CA"/>
              </w:rPr>
              <w:t xml:space="preserve">futures </w:t>
            </w:r>
            <w:r w:rsidRPr="00096290">
              <w:rPr>
                <w:sz w:val="20"/>
                <w:szCs w:val="20"/>
                <w:lang w:val="fr-CA"/>
              </w:rPr>
              <w:t xml:space="preserve">occasions de collaboration </w:t>
            </w:r>
            <w:r w:rsidR="00B165E5">
              <w:rPr>
                <w:sz w:val="20"/>
                <w:szCs w:val="20"/>
                <w:lang w:val="fr-CA"/>
              </w:rPr>
              <w:t>en matière</w:t>
            </w:r>
            <w:r w:rsidRPr="00096290">
              <w:rPr>
                <w:sz w:val="20"/>
                <w:szCs w:val="20"/>
                <w:lang w:val="fr-CA"/>
              </w:rPr>
              <w:t xml:space="preserve"> d’efficacité énergétique</w:t>
            </w:r>
            <w:r w:rsidR="00E4797C" w:rsidRPr="00096290">
              <w:rPr>
                <w:sz w:val="20"/>
                <w:szCs w:val="20"/>
                <w:lang w:val="fr-CA"/>
              </w:rPr>
              <w:t>.</w:t>
            </w:r>
          </w:p>
        </w:tc>
        <w:tc>
          <w:tcPr>
            <w:tcW w:w="1080" w:type="dxa"/>
            <w:shd w:val="clear" w:color="auto" w:fill="auto"/>
            <w:tcMar>
              <w:left w:w="115" w:type="dxa"/>
              <w:right w:w="173" w:type="dxa"/>
            </w:tcMar>
            <w:vAlign w:val="center"/>
          </w:tcPr>
          <w:p w:rsidR="00E4797C" w:rsidRPr="00096290" w:rsidRDefault="00E4797C" w:rsidP="00D86AEA">
            <w:pPr>
              <w:spacing w:before="60" w:after="60"/>
              <w:jc w:val="right"/>
              <w:rPr>
                <w:color w:val="000000" w:themeColor="text1"/>
                <w:sz w:val="20"/>
                <w:szCs w:val="20"/>
                <w:lang w:val="en-US"/>
              </w:rPr>
            </w:pPr>
            <w:r w:rsidRPr="00096290">
              <w:rPr>
                <w:color w:val="000000" w:themeColor="text1"/>
                <w:sz w:val="20"/>
                <w:szCs w:val="20"/>
                <w:lang w:val="en-US"/>
              </w:rPr>
              <w:t>85</w:t>
            </w:r>
          </w:p>
        </w:tc>
      </w:tr>
      <w:tr w:rsidR="00E4797C" w:rsidRPr="00096290" w:rsidTr="00CC24C6">
        <w:trPr>
          <w:cantSplit/>
        </w:trPr>
        <w:tc>
          <w:tcPr>
            <w:tcW w:w="8275" w:type="dxa"/>
            <w:shd w:val="clear" w:color="auto" w:fill="auto"/>
            <w:vAlign w:val="center"/>
          </w:tcPr>
          <w:p w:rsidR="00E4797C" w:rsidRPr="00096290" w:rsidRDefault="006D04D6" w:rsidP="00B165E5">
            <w:pPr>
              <w:spacing w:before="60" w:after="60"/>
              <w:jc w:val="left"/>
              <w:rPr>
                <w:color w:val="000000" w:themeColor="text1"/>
                <w:sz w:val="20"/>
                <w:szCs w:val="20"/>
                <w:lang w:val="fr-CA"/>
              </w:rPr>
            </w:pPr>
            <w:r w:rsidRPr="00096290">
              <w:rPr>
                <w:color w:val="000000" w:themeColor="text1"/>
                <w:sz w:val="20"/>
                <w:szCs w:val="20"/>
                <w:lang w:val="fr-CA"/>
              </w:rPr>
              <w:t xml:space="preserve">Examen d’un projet d’efficacité énergétique </w:t>
            </w:r>
            <w:r w:rsidR="00B165E5">
              <w:rPr>
                <w:color w:val="000000" w:themeColor="text1"/>
                <w:sz w:val="20"/>
                <w:szCs w:val="20"/>
                <w:lang w:val="fr-CA"/>
              </w:rPr>
              <w:t>d</w:t>
            </w:r>
            <w:r w:rsidR="00C90E10" w:rsidRPr="00096290">
              <w:rPr>
                <w:color w:val="000000" w:themeColor="text1"/>
                <w:sz w:val="20"/>
                <w:szCs w:val="20"/>
                <w:lang w:val="fr-CA"/>
              </w:rPr>
              <w:t>es climatiseurs dans les bâtiments pour l’Inde</w:t>
            </w:r>
            <w:r w:rsidR="0047086A">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84</w:t>
            </w:r>
          </w:p>
        </w:tc>
      </w:tr>
      <w:tr w:rsidR="00E4797C" w:rsidRPr="00096290" w:rsidTr="00CC24C6">
        <w:trPr>
          <w:cantSplit/>
        </w:trPr>
        <w:tc>
          <w:tcPr>
            <w:tcW w:w="8275" w:type="dxa"/>
            <w:shd w:val="clear" w:color="auto" w:fill="auto"/>
            <w:vAlign w:val="center"/>
          </w:tcPr>
          <w:p w:rsidR="00E4797C" w:rsidRPr="00096290" w:rsidRDefault="00C90E10" w:rsidP="00C90E10">
            <w:pPr>
              <w:spacing w:before="60" w:after="60"/>
              <w:jc w:val="left"/>
              <w:rPr>
                <w:color w:val="000000" w:themeColor="text1"/>
                <w:sz w:val="20"/>
                <w:szCs w:val="20"/>
                <w:lang w:val="fr-CA"/>
              </w:rPr>
            </w:pPr>
            <w:r w:rsidRPr="00096290">
              <w:rPr>
                <w:color w:val="000000" w:themeColor="text1"/>
                <w:sz w:val="20"/>
                <w:szCs w:val="20"/>
                <w:lang w:val="fr-CA"/>
              </w:rPr>
              <w:t>Examen d’un projet : Accélération de l’adoption du confort thermique durable : Transition vers l’efficacité énergétique et les villes résistantes au climat en Inde</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82</w:t>
            </w:r>
          </w:p>
        </w:tc>
      </w:tr>
      <w:tr w:rsidR="00E4797C" w:rsidRPr="00096290" w:rsidTr="00CC24C6">
        <w:trPr>
          <w:cantSplit/>
        </w:trPr>
        <w:tc>
          <w:tcPr>
            <w:tcW w:w="8275" w:type="dxa"/>
            <w:shd w:val="clear" w:color="auto" w:fill="auto"/>
            <w:vAlign w:val="center"/>
            <w:hideMark/>
          </w:tcPr>
          <w:p w:rsidR="00E4797C" w:rsidRPr="00096290" w:rsidRDefault="00C90E10" w:rsidP="00B165E5">
            <w:pPr>
              <w:spacing w:before="60" w:after="60"/>
              <w:jc w:val="left"/>
              <w:rPr>
                <w:color w:val="000000" w:themeColor="text1"/>
                <w:sz w:val="20"/>
                <w:szCs w:val="20"/>
                <w:lang w:val="fr-CA"/>
              </w:rPr>
            </w:pPr>
            <w:r w:rsidRPr="00096290">
              <w:rPr>
                <w:color w:val="000000" w:themeColor="text1"/>
                <w:sz w:val="20"/>
                <w:szCs w:val="20"/>
                <w:lang w:val="fr-CA"/>
              </w:rPr>
              <w:t>Examen de quatre projets : Achèvement de l’élimination de la consommation de HCFC grâce à des technologies à faible PRG au Bélarus, projet 6046 du FEM</w:t>
            </w:r>
            <w:r w:rsidR="004011F5">
              <w:rPr>
                <w:color w:val="000000" w:themeColor="text1"/>
                <w:sz w:val="20"/>
                <w:szCs w:val="20"/>
                <w:lang w:val="fr-CA"/>
              </w:rPr>
              <w:t> </w:t>
            </w:r>
            <w:r w:rsidRPr="00096290">
              <w:rPr>
                <w:color w:val="000000" w:themeColor="text1"/>
                <w:sz w:val="20"/>
                <w:szCs w:val="20"/>
                <w:lang w:val="fr-CA"/>
              </w:rPr>
              <w:t>; Kazakhstan, Élimination des HCFC au Kazakhstan par la promotion de technologies éconerg</w:t>
            </w:r>
            <w:r w:rsidR="00B165E5">
              <w:rPr>
                <w:color w:val="000000" w:themeColor="text1"/>
                <w:sz w:val="20"/>
                <w:szCs w:val="20"/>
                <w:lang w:val="fr-CA"/>
              </w:rPr>
              <w:t>étiques s</w:t>
            </w:r>
            <w:r w:rsidRPr="00096290">
              <w:rPr>
                <w:color w:val="000000" w:themeColor="text1"/>
                <w:sz w:val="20"/>
                <w:szCs w:val="20"/>
                <w:lang w:val="fr-CA"/>
              </w:rPr>
              <w:t>ans SAO et à faible PRG, projet 6090 du FEM</w:t>
            </w:r>
            <w:r w:rsidR="004011F5">
              <w:rPr>
                <w:color w:val="000000" w:themeColor="text1"/>
                <w:sz w:val="20"/>
                <w:szCs w:val="20"/>
                <w:lang w:val="fr-CA"/>
              </w:rPr>
              <w:t> </w:t>
            </w:r>
            <w:r w:rsidRPr="00096290">
              <w:rPr>
                <w:color w:val="000000" w:themeColor="text1"/>
                <w:sz w:val="20"/>
                <w:szCs w:val="20"/>
                <w:lang w:val="fr-CA"/>
              </w:rPr>
              <w:t xml:space="preserve">; Élimination complète du HCFC au Tadjikistan par la promotion des technologies éconergétiques sans SAO et </w:t>
            </w:r>
            <w:r w:rsidR="00163193" w:rsidRPr="00096290">
              <w:rPr>
                <w:color w:val="000000" w:themeColor="text1"/>
                <w:sz w:val="20"/>
                <w:szCs w:val="20"/>
                <w:lang w:val="fr-CA"/>
              </w:rPr>
              <w:t>à faible PRG</w:t>
            </w:r>
            <w:r w:rsidR="00B165E5">
              <w:rPr>
                <w:color w:val="000000" w:themeColor="text1"/>
                <w:sz w:val="20"/>
                <w:szCs w:val="20"/>
                <w:lang w:val="fr-CA"/>
              </w:rPr>
              <w:t>,</w:t>
            </w:r>
            <w:r w:rsidRPr="00096290">
              <w:rPr>
                <w:color w:val="000000" w:themeColor="text1"/>
                <w:sz w:val="20"/>
                <w:szCs w:val="20"/>
                <w:lang w:val="fr-CA"/>
              </w:rPr>
              <w:t xml:space="preserve"> </w:t>
            </w:r>
            <w:r w:rsidR="00163193" w:rsidRPr="00096290">
              <w:rPr>
                <w:color w:val="000000" w:themeColor="text1"/>
                <w:sz w:val="20"/>
                <w:szCs w:val="20"/>
                <w:lang w:val="fr-CA"/>
              </w:rPr>
              <w:t>projet 6030 du FEM</w:t>
            </w:r>
            <w:r w:rsidR="004011F5">
              <w:rPr>
                <w:color w:val="000000" w:themeColor="text1"/>
                <w:sz w:val="20"/>
                <w:szCs w:val="20"/>
                <w:lang w:val="fr-CA"/>
              </w:rPr>
              <w:t> </w:t>
            </w:r>
            <w:r w:rsidR="00163193" w:rsidRPr="00096290">
              <w:rPr>
                <w:color w:val="000000" w:themeColor="text1"/>
                <w:sz w:val="20"/>
                <w:szCs w:val="20"/>
                <w:lang w:val="fr-CA"/>
              </w:rPr>
              <w:t>; É</w:t>
            </w:r>
            <w:r w:rsidRPr="00096290">
              <w:rPr>
                <w:color w:val="000000" w:themeColor="text1"/>
                <w:sz w:val="20"/>
                <w:szCs w:val="20"/>
                <w:lang w:val="fr-CA"/>
              </w:rPr>
              <w:t>limination complète du HCFC en Ou</w:t>
            </w:r>
            <w:r w:rsidR="00163193" w:rsidRPr="00096290">
              <w:rPr>
                <w:color w:val="000000" w:themeColor="text1"/>
                <w:sz w:val="20"/>
                <w:szCs w:val="20"/>
                <w:lang w:val="fr-CA"/>
              </w:rPr>
              <w:t>z</w:t>
            </w:r>
            <w:r w:rsidRPr="00096290">
              <w:rPr>
                <w:color w:val="000000" w:themeColor="text1"/>
                <w:sz w:val="20"/>
                <w:szCs w:val="20"/>
                <w:lang w:val="fr-CA"/>
              </w:rPr>
              <w:t>békistan par la promotion de technologies éconergétiques sans SAO et à faible PRG, projet 6003 du FEM.</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80</w:t>
            </w:r>
          </w:p>
        </w:tc>
      </w:tr>
      <w:tr w:rsidR="00E4797C" w:rsidRPr="00096290" w:rsidTr="00CC24C6">
        <w:trPr>
          <w:cantSplit/>
        </w:trPr>
        <w:tc>
          <w:tcPr>
            <w:tcW w:w="8275" w:type="dxa"/>
            <w:shd w:val="clear" w:color="auto" w:fill="auto"/>
            <w:vAlign w:val="center"/>
            <w:hideMark/>
          </w:tcPr>
          <w:p w:rsidR="00E4797C" w:rsidRPr="00096290" w:rsidRDefault="00163193" w:rsidP="004011F5">
            <w:pPr>
              <w:spacing w:before="60" w:after="60"/>
              <w:jc w:val="left"/>
              <w:rPr>
                <w:color w:val="000000" w:themeColor="text1"/>
                <w:sz w:val="20"/>
                <w:szCs w:val="20"/>
                <w:lang w:val="fr-CA"/>
              </w:rPr>
            </w:pPr>
            <w:r w:rsidRPr="00096290">
              <w:rPr>
                <w:color w:val="000000" w:themeColor="text1"/>
                <w:sz w:val="20"/>
                <w:szCs w:val="20"/>
                <w:lang w:val="fr-CA"/>
              </w:rPr>
              <w:t xml:space="preserve">Examen du projet </w:t>
            </w:r>
            <w:r w:rsidR="000614BE" w:rsidRPr="00096290">
              <w:rPr>
                <w:color w:val="000000" w:themeColor="text1"/>
                <w:sz w:val="20"/>
                <w:szCs w:val="20"/>
                <w:lang w:val="fr-CA"/>
              </w:rPr>
              <w:t>sur l’introduction de solutions de remplacement des SAO en agriculture après la récolte au Kazakhstan (projet 9184 du FEM)</w:t>
            </w:r>
            <w:r w:rsidR="0047086A">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76</w:t>
            </w:r>
          </w:p>
        </w:tc>
      </w:tr>
      <w:tr w:rsidR="00E4797C" w:rsidRPr="00096290" w:rsidTr="00CC24C6">
        <w:trPr>
          <w:cantSplit/>
        </w:trPr>
        <w:tc>
          <w:tcPr>
            <w:tcW w:w="8275" w:type="dxa"/>
            <w:shd w:val="clear" w:color="auto" w:fill="auto"/>
            <w:vAlign w:val="center"/>
            <w:hideMark/>
          </w:tcPr>
          <w:p w:rsidR="00E4797C" w:rsidRPr="00096290" w:rsidRDefault="00163193" w:rsidP="00002BDC">
            <w:pPr>
              <w:spacing w:before="60" w:after="60"/>
              <w:jc w:val="left"/>
              <w:rPr>
                <w:color w:val="000000" w:themeColor="text1"/>
                <w:sz w:val="20"/>
                <w:szCs w:val="20"/>
                <w:lang w:val="fr-CA"/>
              </w:rPr>
            </w:pPr>
            <w:r w:rsidRPr="00096290">
              <w:rPr>
                <w:color w:val="000000" w:themeColor="text1"/>
                <w:sz w:val="20"/>
                <w:szCs w:val="20"/>
                <w:lang w:val="fr-CA"/>
              </w:rPr>
              <w:t xml:space="preserve">Observations sur la proposition </w:t>
            </w:r>
            <w:r w:rsidR="00002BDC">
              <w:rPr>
                <w:color w:val="000000" w:themeColor="text1"/>
                <w:sz w:val="20"/>
                <w:szCs w:val="20"/>
                <w:lang w:val="fr-CA"/>
              </w:rPr>
              <w:t>de</w:t>
            </w:r>
            <w:r w:rsidRPr="00096290">
              <w:rPr>
                <w:color w:val="000000" w:themeColor="text1"/>
                <w:sz w:val="20"/>
                <w:szCs w:val="20"/>
                <w:lang w:val="fr-CA"/>
              </w:rPr>
              <w:t xml:space="preserve"> projet sur le bromure de méthyle au Kazakhstan (financé par le FEM)</w:t>
            </w:r>
            <w:r w:rsidR="004011F5">
              <w:rPr>
                <w:color w:val="000000" w:themeColor="text1"/>
                <w:sz w:val="20"/>
                <w:szCs w:val="20"/>
                <w:lang w:val="fr-CA"/>
              </w:rPr>
              <w:t> </w:t>
            </w:r>
            <w:r w:rsidRPr="00096290">
              <w:rPr>
                <w:color w:val="000000" w:themeColor="text1"/>
                <w:sz w:val="20"/>
                <w:szCs w:val="20"/>
                <w:lang w:val="fr-CA"/>
              </w:rPr>
              <w:t xml:space="preserve">; </w:t>
            </w:r>
            <w:r w:rsidR="00002BDC">
              <w:rPr>
                <w:color w:val="000000" w:themeColor="text1"/>
                <w:sz w:val="20"/>
                <w:szCs w:val="20"/>
                <w:lang w:val="fr-CA"/>
              </w:rPr>
              <w:t>présentation d’</w:t>
            </w:r>
            <w:r w:rsidRPr="00096290">
              <w:rPr>
                <w:color w:val="000000" w:themeColor="text1"/>
                <w:sz w:val="20"/>
                <w:szCs w:val="20"/>
                <w:lang w:val="fr-CA"/>
              </w:rPr>
              <w:t>idées sur l’utilisation des fonds au titre de la FEM 6 pour l’élimination dans les pays visés à l</w:t>
            </w:r>
            <w:r w:rsidR="004011F5">
              <w:rPr>
                <w:color w:val="000000" w:themeColor="text1"/>
                <w:sz w:val="20"/>
                <w:szCs w:val="20"/>
                <w:lang w:val="fr-CA"/>
              </w:rPr>
              <w:t>’</w:t>
            </w:r>
            <w:r w:rsidRPr="00096290">
              <w:rPr>
                <w:color w:val="000000" w:themeColor="text1"/>
                <w:sz w:val="20"/>
                <w:szCs w:val="20"/>
                <w:lang w:val="fr-CA"/>
              </w:rPr>
              <w:t>article 5 à économie en transition. Renseignements sur les échanges lors de récentes réunions au titre du Protocole de Montréal concernant les propositions pour amender le Protocole</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75</w:t>
            </w:r>
          </w:p>
        </w:tc>
      </w:tr>
      <w:tr w:rsidR="00E4797C" w:rsidRPr="00096290" w:rsidTr="00CC24C6">
        <w:trPr>
          <w:cantSplit/>
        </w:trPr>
        <w:tc>
          <w:tcPr>
            <w:tcW w:w="8275" w:type="dxa"/>
            <w:shd w:val="clear" w:color="auto" w:fill="auto"/>
            <w:vAlign w:val="center"/>
            <w:hideMark/>
          </w:tcPr>
          <w:p w:rsidR="00E4797C" w:rsidRPr="00096290" w:rsidRDefault="000614BE" w:rsidP="004011F5">
            <w:pPr>
              <w:spacing w:before="60" w:after="60"/>
              <w:jc w:val="left"/>
              <w:rPr>
                <w:color w:val="000000" w:themeColor="text1"/>
                <w:sz w:val="20"/>
                <w:szCs w:val="20"/>
                <w:lang w:val="fr-CA"/>
              </w:rPr>
            </w:pPr>
            <w:r w:rsidRPr="00096290">
              <w:rPr>
                <w:color w:val="000000" w:themeColor="text1"/>
                <w:sz w:val="20"/>
                <w:szCs w:val="20"/>
                <w:lang w:val="fr-CA"/>
              </w:rPr>
              <w:t>Examen du projet (Introduction de solutions de remplacement des SAO en agriculture après la récolte au Kazakhstan) par rapport aux politiques et aux lignes directrices du Fonds multilatéral</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72</w:t>
            </w:r>
          </w:p>
        </w:tc>
      </w:tr>
      <w:tr w:rsidR="00E4797C" w:rsidRPr="00096290" w:rsidTr="00CC24C6">
        <w:trPr>
          <w:cantSplit/>
        </w:trPr>
        <w:tc>
          <w:tcPr>
            <w:tcW w:w="8275" w:type="dxa"/>
            <w:shd w:val="clear" w:color="auto" w:fill="auto"/>
            <w:vAlign w:val="center"/>
            <w:hideMark/>
          </w:tcPr>
          <w:p w:rsidR="00E4797C" w:rsidRPr="00096290" w:rsidRDefault="000614BE" w:rsidP="0047086A">
            <w:pPr>
              <w:spacing w:before="60" w:after="60"/>
              <w:jc w:val="left"/>
              <w:rPr>
                <w:color w:val="000000" w:themeColor="text1"/>
                <w:sz w:val="20"/>
                <w:szCs w:val="20"/>
                <w:lang w:val="fr-CA"/>
              </w:rPr>
            </w:pPr>
            <w:r w:rsidRPr="00096290">
              <w:rPr>
                <w:color w:val="000000" w:themeColor="text1"/>
                <w:sz w:val="20"/>
                <w:szCs w:val="20"/>
                <w:lang w:val="fr-CA"/>
              </w:rPr>
              <w:t xml:space="preserve">Le Secrétariat a été invité à assister </w:t>
            </w:r>
            <w:r w:rsidR="00002BDC">
              <w:rPr>
                <w:color w:val="000000" w:themeColor="text1"/>
                <w:sz w:val="20"/>
                <w:szCs w:val="20"/>
                <w:lang w:val="fr-CA"/>
              </w:rPr>
              <w:t>à la</w:t>
            </w:r>
            <w:r w:rsidRPr="00096290">
              <w:rPr>
                <w:color w:val="000000" w:themeColor="text1"/>
                <w:sz w:val="20"/>
                <w:szCs w:val="20"/>
                <w:lang w:val="fr-CA"/>
              </w:rPr>
              <w:t xml:space="preserve"> 45</w:t>
            </w:r>
            <w:r w:rsidRPr="00096290">
              <w:rPr>
                <w:color w:val="000000" w:themeColor="text1"/>
                <w:sz w:val="20"/>
                <w:szCs w:val="20"/>
                <w:vertAlign w:val="superscript"/>
                <w:lang w:val="fr-CA"/>
              </w:rPr>
              <w:t>e</w:t>
            </w:r>
            <w:r w:rsidRPr="00096290">
              <w:rPr>
                <w:color w:val="000000" w:themeColor="text1"/>
                <w:sz w:val="20"/>
                <w:szCs w:val="20"/>
                <w:lang w:val="fr-CA"/>
              </w:rPr>
              <w:t xml:space="preserve"> réunion du Conseil d</w:t>
            </w:r>
            <w:r w:rsidR="00002BDC">
              <w:rPr>
                <w:color w:val="000000" w:themeColor="text1"/>
                <w:sz w:val="20"/>
                <w:szCs w:val="20"/>
                <w:lang w:val="fr-CA"/>
              </w:rPr>
              <w:t>u FEM qui aurait lieu du 5 au 7 </w:t>
            </w:r>
            <w:r w:rsidRPr="00096290">
              <w:rPr>
                <w:color w:val="000000" w:themeColor="text1"/>
                <w:sz w:val="20"/>
                <w:szCs w:val="20"/>
                <w:lang w:val="fr-CA"/>
              </w:rPr>
              <w:t xml:space="preserve">novembre 2013. Dans une invitation </w:t>
            </w:r>
            <w:r w:rsidR="00002BDC">
              <w:rPr>
                <w:color w:val="000000" w:themeColor="text1"/>
                <w:sz w:val="20"/>
                <w:szCs w:val="20"/>
                <w:lang w:val="fr-CA"/>
              </w:rPr>
              <w:t xml:space="preserve">subséquente </w:t>
            </w:r>
            <w:r w:rsidRPr="00096290">
              <w:rPr>
                <w:color w:val="000000" w:themeColor="text1"/>
                <w:sz w:val="20"/>
                <w:szCs w:val="20"/>
                <w:lang w:val="fr-CA"/>
              </w:rPr>
              <w:t>lancée au nouveau Chef du Secrétariat, l</w:t>
            </w:r>
            <w:r w:rsidR="005E4560" w:rsidRPr="00096290">
              <w:rPr>
                <w:color w:val="000000" w:themeColor="text1"/>
                <w:sz w:val="20"/>
                <w:szCs w:val="20"/>
                <w:lang w:val="fr-CA"/>
              </w:rPr>
              <w:t>a</w:t>
            </w:r>
            <w:r w:rsidRPr="00096290">
              <w:rPr>
                <w:color w:val="000000" w:themeColor="text1"/>
                <w:sz w:val="20"/>
                <w:szCs w:val="20"/>
                <w:lang w:val="fr-CA"/>
              </w:rPr>
              <w:t xml:space="preserve"> </w:t>
            </w:r>
            <w:r w:rsidR="005E4560" w:rsidRPr="00096290">
              <w:rPr>
                <w:color w:val="000000" w:themeColor="text1"/>
                <w:sz w:val="20"/>
                <w:szCs w:val="20"/>
                <w:lang w:val="fr-CA"/>
              </w:rPr>
              <w:t>directrice</w:t>
            </w:r>
            <w:r w:rsidRPr="00096290">
              <w:rPr>
                <w:color w:val="000000" w:themeColor="text1"/>
                <w:sz w:val="20"/>
                <w:szCs w:val="20"/>
                <w:lang w:val="fr-CA"/>
              </w:rPr>
              <w:t xml:space="preserve"> général</w:t>
            </w:r>
            <w:r w:rsidR="005E4560" w:rsidRPr="00096290">
              <w:rPr>
                <w:color w:val="000000" w:themeColor="text1"/>
                <w:sz w:val="20"/>
                <w:szCs w:val="20"/>
                <w:lang w:val="fr-CA"/>
              </w:rPr>
              <w:t>e</w:t>
            </w:r>
            <w:r w:rsidRPr="00096290">
              <w:rPr>
                <w:color w:val="000000" w:themeColor="text1"/>
                <w:sz w:val="20"/>
                <w:szCs w:val="20"/>
                <w:lang w:val="fr-CA"/>
              </w:rPr>
              <w:t xml:space="preserve"> et président</w:t>
            </w:r>
            <w:r w:rsidR="005E4560" w:rsidRPr="00096290">
              <w:rPr>
                <w:color w:val="000000" w:themeColor="text1"/>
                <w:sz w:val="20"/>
                <w:szCs w:val="20"/>
                <w:lang w:val="fr-CA"/>
              </w:rPr>
              <w:t>e</w:t>
            </w:r>
            <w:r w:rsidRPr="00096290">
              <w:rPr>
                <w:color w:val="000000" w:themeColor="text1"/>
                <w:sz w:val="20"/>
                <w:szCs w:val="20"/>
                <w:lang w:val="fr-CA"/>
              </w:rPr>
              <w:t xml:space="preserve"> du FEM a accueilli la re</w:t>
            </w:r>
            <w:r w:rsidR="005E4560" w:rsidRPr="00096290">
              <w:rPr>
                <w:color w:val="000000" w:themeColor="text1"/>
                <w:sz w:val="20"/>
                <w:szCs w:val="20"/>
                <w:lang w:val="fr-CA"/>
              </w:rPr>
              <w:t>conduite de la coopération passée consistant à offrir de l’</w:t>
            </w:r>
            <w:r w:rsidR="0047086A">
              <w:rPr>
                <w:color w:val="000000" w:themeColor="text1"/>
                <w:sz w:val="20"/>
                <w:szCs w:val="20"/>
                <w:lang w:val="fr-CA"/>
              </w:rPr>
              <w:t>assistance aux P</w:t>
            </w:r>
            <w:r w:rsidR="00002BDC">
              <w:rPr>
                <w:color w:val="000000" w:themeColor="text1"/>
                <w:sz w:val="20"/>
                <w:szCs w:val="20"/>
                <w:lang w:val="fr-CA"/>
              </w:rPr>
              <w:t>arties afin qu’elles</w:t>
            </w:r>
            <w:r w:rsidR="005E4560" w:rsidRPr="00096290">
              <w:rPr>
                <w:color w:val="000000" w:themeColor="text1"/>
                <w:sz w:val="20"/>
                <w:szCs w:val="20"/>
                <w:lang w:val="fr-CA"/>
              </w:rPr>
              <w:t xml:space="preserve"> respectent leurs obligations au titre du Protocole de Montréal et un renouvellement des liens </w:t>
            </w:r>
            <w:r w:rsidR="0047086A">
              <w:rPr>
                <w:color w:val="000000" w:themeColor="text1"/>
                <w:sz w:val="20"/>
                <w:szCs w:val="20"/>
                <w:lang w:val="fr-CA"/>
              </w:rPr>
              <w:t>de longue date</w:t>
            </w:r>
            <w:r w:rsidR="00002BDC">
              <w:rPr>
                <w:color w:val="000000" w:themeColor="text1"/>
                <w:sz w:val="20"/>
                <w:szCs w:val="20"/>
                <w:lang w:val="fr-CA"/>
              </w:rPr>
              <w:t xml:space="preserve"> entre les</w:t>
            </w:r>
            <w:r w:rsidR="005E4560" w:rsidRPr="00096290">
              <w:rPr>
                <w:color w:val="000000" w:themeColor="text1"/>
                <w:sz w:val="20"/>
                <w:szCs w:val="20"/>
                <w:lang w:val="fr-CA"/>
              </w:rPr>
              <w:t xml:space="preserve"> deux organisations. Dans sa réponse, le Chef du Secrétariat a informé </w:t>
            </w:r>
            <w:r w:rsidR="003170E0">
              <w:rPr>
                <w:color w:val="000000" w:themeColor="text1"/>
                <w:sz w:val="20"/>
                <w:szCs w:val="20"/>
                <w:lang w:val="fr-CA"/>
              </w:rPr>
              <w:t>la directrice générale</w:t>
            </w:r>
            <w:r w:rsidR="005E4560" w:rsidRPr="00096290">
              <w:rPr>
                <w:color w:val="000000" w:themeColor="text1"/>
                <w:sz w:val="20"/>
                <w:szCs w:val="20"/>
                <w:lang w:val="fr-CA"/>
              </w:rPr>
              <w:t xml:space="preserve"> que le Secrétariat du Fonds ne pourrait pas assister à la réunion du Conseil à cause des préparatifs pour la 71</w:t>
            </w:r>
            <w:r w:rsidR="005E4560" w:rsidRPr="00096290">
              <w:rPr>
                <w:color w:val="000000" w:themeColor="text1"/>
                <w:sz w:val="20"/>
                <w:szCs w:val="20"/>
                <w:vertAlign w:val="superscript"/>
                <w:lang w:val="fr-CA"/>
              </w:rPr>
              <w:t>e</w:t>
            </w:r>
            <w:r w:rsidR="005E4560" w:rsidRPr="00096290">
              <w:rPr>
                <w:color w:val="000000" w:themeColor="text1"/>
                <w:sz w:val="20"/>
                <w:szCs w:val="20"/>
                <w:lang w:val="fr-CA"/>
              </w:rPr>
              <w:t xml:space="preserve"> réunion, en ajoutant qu’il se réjouissait toutefois de faire sa connaissance afin de resserrer les liens avec le Secrétariat du FEM</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71</w:t>
            </w:r>
          </w:p>
        </w:tc>
      </w:tr>
      <w:tr w:rsidR="00E4797C" w:rsidRPr="00096290" w:rsidTr="00CC24C6">
        <w:trPr>
          <w:cantSplit/>
        </w:trPr>
        <w:tc>
          <w:tcPr>
            <w:tcW w:w="8275" w:type="dxa"/>
            <w:shd w:val="clear" w:color="auto" w:fill="auto"/>
            <w:vAlign w:val="center"/>
            <w:hideMark/>
          </w:tcPr>
          <w:p w:rsidR="00E4797C" w:rsidRPr="00096290" w:rsidRDefault="00886A86" w:rsidP="003170E0">
            <w:pPr>
              <w:spacing w:before="60" w:after="60"/>
              <w:jc w:val="left"/>
              <w:rPr>
                <w:color w:val="000000" w:themeColor="text1"/>
                <w:sz w:val="20"/>
                <w:szCs w:val="20"/>
                <w:lang w:val="fr-CA"/>
              </w:rPr>
            </w:pPr>
            <w:r w:rsidRPr="00096290">
              <w:rPr>
                <w:color w:val="000000" w:themeColor="text1"/>
                <w:sz w:val="20"/>
                <w:szCs w:val="20"/>
                <w:lang w:val="fr-CA"/>
              </w:rPr>
              <w:lastRenderedPageBreak/>
              <w:t>Le Secrétariat a participé à une réunion du Groupe consultatif technique sur les produits chimiques et les déchets du FEM (TAG) afin de transmettre ses commentaires sur le projet de stratégie</w:t>
            </w:r>
            <w:r w:rsidR="00DE0864" w:rsidRPr="00096290">
              <w:rPr>
                <w:color w:val="000000" w:themeColor="text1"/>
                <w:sz w:val="20"/>
                <w:szCs w:val="20"/>
                <w:lang w:val="fr-CA"/>
              </w:rPr>
              <w:t xml:space="preserve"> pour le domaine d’intervention des produits chimiques et des déchets, dans le but d’orienter la sixième</w:t>
            </w:r>
            <w:r w:rsidR="004011F5">
              <w:rPr>
                <w:color w:val="000000" w:themeColor="text1"/>
                <w:sz w:val="20"/>
                <w:szCs w:val="20"/>
                <w:lang w:val="fr-CA"/>
              </w:rPr>
              <w:t xml:space="preserve"> période de reconstitutions du F</w:t>
            </w:r>
            <w:r w:rsidR="00DE0864" w:rsidRPr="00096290">
              <w:rPr>
                <w:color w:val="000000" w:themeColor="text1"/>
                <w:sz w:val="20"/>
                <w:szCs w:val="20"/>
                <w:lang w:val="fr-CA"/>
              </w:rPr>
              <w:t xml:space="preserve">EM (FEM 6). Le projet de stratégie </w:t>
            </w:r>
            <w:r w:rsidR="003170E0">
              <w:rPr>
                <w:color w:val="000000" w:themeColor="text1"/>
                <w:sz w:val="20"/>
                <w:szCs w:val="20"/>
                <w:lang w:val="fr-CA"/>
              </w:rPr>
              <w:t>comprend les</w:t>
            </w:r>
            <w:r w:rsidR="00DE0864" w:rsidRPr="00096290">
              <w:rPr>
                <w:color w:val="000000" w:themeColor="text1"/>
                <w:sz w:val="20"/>
                <w:szCs w:val="20"/>
                <w:lang w:val="fr-CA"/>
              </w:rPr>
              <w:t xml:space="preserve"> activités du FEM en lien avec le Protocole de Montréal</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fr-CA"/>
              </w:rPr>
            </w:pPr>
            <w:r w:rsidRPr="00096290">
              <w:rPr>
                <w:color w:val="000000" w:themeColor="text1"/>
                <w:sz w:val="20"/>
                <w:szCs w:val="20"/>
                <w:lang w:val="fr-CA"/>
              </w:rPr>
              <w:t>69</w:t>
            </w:r>
          </w:p>
        </w:tc>
      </w:tr>
      <w:tr w:rsidR="00E4797C" w:rsidRPr="00096290" w:rsidTr="00CC24C6">
        <w:trPr>
          <w:cantSplit/>
        </w:trPr>
        <w:tc>
          <w:tcPr>
            <w:tcW w:w="8275" w:type="dxa"/>
            <w:shd w:val="clear" w:color="auto" w:fill="auto"/>
            <w:vAlign w:val="center"/>
            <w:hideMark/>
          </w:tcPr>
          <w:p w:rsidR="00E4797C" w:rsidRPr="00096290" w:rsidRDefault="00DE0864" w:rsidP="001E39BB">
            <w:pPr>
              <w:spacing w:before="60" w:after="60"/>
              <w:jc w:val="left"/>
              <w:rPr>
                <w:color w:val="000000" w:themeColor="text1"/>
                <w:sz w:val="20"/>
                <w:szCs w:val="20"/>
                <w:lang w:val="fr-CA"/>
              </w:rPr>
            </w:pPr>
            <w:r w:rsidRPr="00096290">
              <w:rPr>
                <w:color w:val="000000" w:themeColor="text1"/>
                <w:sz w:val="20"/>
                <w:szCs w:val="20"/>
                <w:lang w:val="fr-CA"/>
              </w:rPr>
              <w:t xml:space="preserve">Il y a échange de </w:t>
            </w:r>
            <w:r w:rsidR="004011F5">
              <w:rPr>
                <w:color w:val="000000" w:themeColor="text1"/>
                <w:sz w:val="20"/>
                <w:szCs w:val="20"/>
                <w:lang w:val="fr-CA"/>
              </w:rPr>
              <w:t>lettr</w:t>
            </w:r>
            <w:r w:rsidRPr="00096290">
              <w:rPr>
                <w:color w:val="000000" w:themeColor="text1"/>
                <w:sz w:val="20"/>
                <w:szCs w:val="20"/>
                <w:lang w:val="fr-CA"/>
              </w:rPr>
              <w:t xml:space="preserve">es </w:t>
            </w:r>
            <w:r w:rsidR="001E39BB" w:rsidRPr="00096290">
              <w:rPr>
                <w:color w:val="000000" w:themeColor="text1"/>
                <w:sz w:val="20"/>
                <w:szCs w:val="20"/>
                <w:lang w:val="fr-CA"/>
              </w:rPr>
              <w:t>avec</w:t>
            </w:r>
            <w:r w:rsidRPr="00096290">
              <w:rPr>
                <w:color w:val="000000" w:themeColor="text1"/>
                <w:sz w:val="20"/>
                <w:szCs w:val="20"/>
                <w:lang w:val="fr-CA"/>
              </w:rPr>
              <w:t xml:space="preserve"> le directeur général du FEM</w:t>
            </w:r>
            <w:r w:rsidR="00E4797C" w:rsidRPr="00096290">
              <w:rPr>
                <w:color w:val="000000" w:themeColor="text1"/>
                <w:sz w:val="20"/>
                <w:szCs w:val="20"/>
                <w:lang w:val="fr-CA"/>
              </w:rPr>
              <w:t xml:space="preserve"> </w:t>
            </w:r>
            <w:r w:rsidR="001E39BB" w:rsidRPr="00096290">
              <w:rPr>
                <w:color w:val="000000" w:themeColor="text1"/>
                <w:sz w:val="20"/>
                <w:szCs w:val="20"/>
                <w:lang w:val="fr-CA"/>
              </w:rPr>
              <w:t>depuis la 67</w:t>
            </w:r>
            <w:r w:rsidR="001E39BB" w:rsidRPr="00096290">
              <w:rPr>
                <w:color w:val="000000" w:themeColor="text1"/>
                <w:sz w:val="20"/>
                <w:szCs w:val="20"/>
                <w:vertAlign w:val="superscript"/>
                <w:lang w:val="fr-CA"/>
              </w:rPr>
              <w:t>e</w:t>
            </w:r>
            <w:r w:rsidR="001E39BB" w:rsidRPr="00096290">
              <w:rPr>
                <w:color w:val="000000" w:themeColor="text1"/>
                <w:sz w:val="20"/>
                <w:szCs w:val="20"/>
                <w:lang w:val="fr-CA"/>
              </w:rPr>
              <w:t xml:space="preserve"> réunion sur la coopération entre les deux organismes de financement. Une attention particulière a été accordée à la possibilité d’émettre une publication conjointe du Fonds multilatéral et du FEM sur la mise en œuvre du Protocole de Montréal au cours des 25 dernières années.</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fr-CA"/>
              </w:rPr>
            </w:pPr>
            <w:r w:rsidRPr="00096290">
              <w:rPr>
                <w:color w:val="000000" w:themeColor="text1"/>
                <w:sz w:val="20"/>
                <w:szCs w:val="20"/>
                <w:lang w:val="fr-CA"/>
              </w:rPr>
              <w:t>68</w:t>
            </w:r>
          </w:p>
        </w:tc>
      </w:tr>
      <w:tr w:rsidR="00E4797C" w:rsidRPr="00096290" w:rsidTr="00192798">
        <w:trPr>
          <w:cantSplit/>
        </w:trPr>
        <w:tc>
          <w:tcPr>
            <w:tcW w:w="9355" w:type="dxa"/>
            <w:gridSpan w:val="2"/>
            <w:shd w:val="clear" w:color="auto" w:fill="auto"/>
            <w:tcMar>
              <w:left w:w="115" w:type="dxa"/>
              <w:right w:w="173" w:type="dxa"/>
            </w:tcMar>
            <w:vAlign w:val="center"/>
          </w:tcPr>
          <w:p w:rsidR="00E4797C" w:rsidRPr="00096290" w:rsidRDefault="001E39BB" w:rsidP="00E1127F">
            <w:pPr>
              <w:keepNext/>
              <w:spacing w:before="60" w:after="60"/>
              <w:jc w:val="left"/>
              <w:rPr>
                <w:color w:val="000000" w:themeColor="text1"/>
                <w:sz w:val="20"/>
                <w:szCs w:val="20"/>
                <w:lang w:val="fr-CA"/>
              </w:rPr>
            </w:pPr>
            <w:r w:rsidRPr="00096290">
              <w:rPr>
                <w:b/>
                <w:color w:val="000000" w:themeColor="text1"/>
                <w:sz w:val="20"/>
                <w:szCs w:val="20"/>
                <w:lang w:val="fr-CA"/>
              </w:rPr>
              <w:t>Gouvernement de la France</w:t>
            </w:r>
          </w:p>
        </w:tc>
      </w:tr>
      <w:tr w:rsidR="00E1127F" w:rsidRPr="00096290" w:rsidTr="00CC24C6">
        <w:trPr>
          <w:cantSplit/>
        </w:trPr>
        <w:tc>
          <w:tcPr>
            <w:tcW w:w="8275" w:type="dxa"/>
            <w:shd w:val="clear" w:color="auto" w:fill="auto"/>
            <w:vAlign w:val="center"/>
            <w:hideMark/>
          </w:tcPr>
          <w:p w:rsidR="00E1127F" w:rsidRPr="00096290" w:rsidRDefault="001E39BB" w:rsidP="00D4538F">
            <w:pPr>
              <w:spacing w:before="60" w:after="60"/>
              <w:jc w:val="left"/>
              <w:rPr>
                <w:b/>
                <w:color w:val="000000" w:themeColor="text1"/>
                <w:sz w:val="20"/>
                <w:szCs w:val="20"/>
                <w:lang w:val="fr-CA"/>
              </w:rPr>
            </w:pPr>
            <w:r w:rsidRPr="00096290">
              <w:rPr>
                <w:b/>
                <w:color w:val="000000" w:themeColor="text1"/>
                <w:sz w:val="20"/>
                <w:szCs w:val="20"/>
                <w:lang w:val="fr-CA"/>
              </w:rPr>
              <w:t>Le Chef du Secrétariat a participé à un entretien sur la proposition d’évaluation rétrospective de la contribution de la France au Secrétariat du Fonds</w:t>
            </w:r>
          </w:p>
        </w:tc>
        <w:tc>
          <w:tcPr>
            <w:tcW w:w="1080" w:type="dxa"/>
            <w:shd w:val="clear" w:color="auto" w:fill="auto"/>
            <w:tcMar>
              <w:left w:w="115" w:type="dxa"/>
              <w:right w:w="173" w:type="dxa"/>
            </w:tcMar>
            <w:vAlign w:val="center"/>
            <w:hideMark/>
          </w:tcPr>
          <w:p w:rsidR="00E1127F" w:rsidRPr="00096290" w:rsidRDefault="00E1127F" w:rsidP="00E1127F">
            <w:pPr>
              <w:spacing w:before="60" w:after="60"/>
              <w:jc w:val="right"/>
              <w:rPr>
                <w:b/>
                <w:color w:val="000000" w:themeColor="text1"/>
                <w:sz w:val="20"/>
                <w:szCs w:val="20"/>
                <w:lang w:val="en-US"/>
              </w:rPr>
            </w:pPr>
            <w:r w:rsidRPr="00096290">
              <w:rPr>
                <w:b/>
                <w:color w:val="000000" w:themeColor="text1"/>
                <w:sz w:val="20"/>
                <w:szCs w:val="20"/>
                <w:lang w:val="en-US"/>
              </w:rPr>
              <w:t>86</w:t>
            </w:r>
          </w:p>
        </w:tc>
      </w:tr>
      <w:tr w:rsidR="00E4797C" w:rsidRPr="00096290" w:rsidTr="00CC24C6">
        <w:trPr>
          <w:cantSplit/>
        </w:trPr>
        <w:tc>
          <w:tcPr>
            <w:tcW w:w="8275" w:type="dxa"/>
            <w:shd w:val="clear" w:color="auto" w:fill="auto"/>
            <w:vAlign w:val="center"/>
            <w:hideMark/>
          </w:tcPr>
          <w:p w:rsidR="00E4797C" w:rsidRPr="00096290" w:rsidRDefault="001E39BB" w:rsidP="00192798">
            <w:pPr>
              <w:spacing w:before="60" w:after="60"/>
              <w:jc w:val="left"/>
              <w:rPr>
                <w:color w:val="000000" w:themeColor="text1"/>
                <w:sz w:val="20"/>
                <w:szCs w:val="20"/>
                <w:lang w:val="fr-CA"/>
              </w:rPr>
            </w:pPr>
            <w:r w:rsidRPr="00096290">
              <w:rPr>
                <w:color w:val="000000" w:themeColor="text1"/>
                <w:sz w:val="20"/>
                <w:szCs w:val="20"/>
                <w:lang w:val="fr-CA"/>
              </w:rPr>
              <w:t xml:space="preserve">Visite de courtoisie au ministère de l’Économie et des Finances de la France. Les échanges ont notamment porté sur la coopération bilatérale du gouvernement de la </w:t>
            </w:r>
            <w:r w:rsidR="00C8623C" w:rsidRPr="00096290">
              <w:rPr>
                <w:color w:val="000000" w:themeColor="text1"/>
                <w:sz w:val="20"/>
                <w:szCs w:val="20"/>
                <w:lang w:val="fr-CA"/>
              </w:rPr>
              <w:t>France et la reconstitution du Fonds multilatéral pour la période triennale de 2021-2023.</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83</w:t>
            </w:r>
          </w:p>
        </w:tc>
      </w:tr>
      <w:tr w:rsidR="00E4797C" w:rsidRPr="00096290" w:rsidTr="00CC24C6">
        <w:trPr>
          <w:cantSplit/>
        </w:trPr>
        <w:tc>
          <w:tcPr>
            <w:tcW w:w="8275" w:type="dxa"/>
            <w:shd w:val="clear" w:color="auto" w:fill="auto"/>
            <w:vAlign w:val="center"/>
            <w:hideMark/>
          </w:tcPr>
          <w:p w:rsidR="00E4797C" w:rsidRPr="00096290" w:rsidRDefault="00C8623C" w:rsidP="00192798">
            <w:pPr>
              <w:spacing w:before="60" w:after="60"/>
              <w:jc w:val="left"/>
              <w:rPr>
                <w:color w:val="000000" w:themeColor="text1"/>
                <w:sz w:val="20"/>
                <w:szCs w:val="20"/>
                <w:lang w:val="fr-CA"/>
              </w:rPr>
            </w:pPr>
            <w:r w:rsidRPr="00096290">
              <w:rPr>
                <w:color w:val="000000" w:themeColor="text1"/>
                <w:sz w:val="20"/>
                <w:szCs w:val="20"/>
                <w:lang w:val="fr-CA"/>
              </w:rPr>
              <w:t>Renseignements sur les modalités des contributions supplémentaires au Fonds multilatéral</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77</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C8623C" w:rsidP="00192798">
            <w:pPr>
              <w:keepNext/>
              <w:spacing w:before="60" w:after="60"/>
              <w:jc w:val="left"/>
              <w:rPr>
                <w:color w:val="000000" w:themeColor="text1"/>
                <w:sz w:val="20"/>
                <w:szCs w:val="20"/>
                <w:lang w:val="fr-CA"/>
              </w:rPr>
            </w:pPr>
            <w:r w:rsidRPr="00096290">
              <w:rPr>
                <w:b/>
                <w:color w:val="000000" w:themeColor="text1"/>
                <w:sz w:val="20"/>
                <w:szCs w:val="20"/>
                <w:lang w:val="fr-CA"/>
              </w:rPr>
              <w:t>Fonds vert pour le climat (FVC)</w:t>
            </w:r>
          </w:p>
        </w:tc>
      </w:tr>
      <w:tr w:rsidR="00E4797C" w:rsidRPr="00096290" w:rsidTr="00CC24C6">
        <w:trPr>
          <w:cantSplit/>
        </w:trPr>
        <w:tc>
          <w:tcPr>
            <w:tcW w:w="8275" w:type="dxa"/>
            <w:shd w:val="clear" w:color="auto" w:fill="auto"/>
            <w:vAlign w:val="center"/>
          </w:tcPr>
          <w:p w:rsidR="00E4797C" w:rsidRPr="00096290" w:rsidRDefault="00C8623C" w:rsidP="003170E0">
            <w:pPr>
              <w:spacing w:before="60" w:after="60"/>
              <w:jc w:val="left"/>
              <w:rPr>
                <w:sz w:val="20"/>
                <w:szCs w:val="20"/>
                <w:lang w:val="fr-CA"/>
              </w:rPr>
            </w:pPr>
            <w:r w:rsidRPr="00096290">
              <w:rPr>
                <w:sz w:val="20"/>
                <w:szCs w:val="20"/>
                <w:lang w:val="fr-CA"/>
              </w:rPr>
              <w:t xml:space="preserve">Échanges informels en ligne entre le Secrétariat et le personnel du </w:t>
            </w:r>
            <w:r w:rsidR="00ED6231" w:rsidRPr="00096290">
              <w:rPr>
                <w:sz w:val="20"/>
                <w:szCs w:val="20"/>
                <w:lang w:val="fr-CA"/>
              </w:rPr>
              <w:t>FVC</w:t>
            </w:r>
            <w:r w:rsidRPr="00096290">
              <w:rPr>
                <w:sz w:val="20"/>
                <w:szCs w:val="20"/>
                <w:lang w:val="fr-CA"/>
              </w:rPr>
              <w:t xml:space="preserve"> sur les </w:t>
            </w:r>
            <w:r w:rsidR="003170E0">
              <w:rPr>
                <w:sz w:val="20"/>
                <w:szCs w:val="20"/>
                <w:lang w:val="fr-CA"/>
              </w:rPr>
              <w:t xml:space="preserve">futures </w:t>
            </w:r>
            <w:r w:rsidRPr="00096290">
              <w:rPr>
                <w:sz w:val="20"/>
                <w:szCs w:val="20"/>
                <w:lang w:val="fr-CA"/>
              </w:rPr>
              <w:t xml:space="preserve">possibilités de collaboration, après </w:t>
            </w:r>
            <w:r w:rsidR="00ED6231" w:rsidRPr="00096290">
              <w:rPr>
                <w:sz w:val="20"/>
                <w:szCs w:val="20"/>
                <w:lang w:val="fr-CA"/>
              </w:rPr>
              <w:t xml:space="preserve">que la COVID-19 ait forcé </w:t>
            </w:r>
            <w:r w:rsidRPr="00096290">
              <w:rPr>
                <w:sz w:val="20"/>
                <w:szCs w:val="20"/>
                <w:lang w:val="fr-CA"/>
              </w:rPr>
              <w:t>l’annulation de la réunion de consultation sur l’élaboration de l’orientation sectorielle sur l’effi</w:t>
            </w:r>
            <w:r w:rsidR="00ED6231" w:rsidRPr="00096290">
              <w:rPr>
                <w:sz w:val="20"/>
                <w:szCs w:val="20"/>
                <w:lang w:val="fr-CA"/>
              </w:rPr>
              <w:t>c</w:t>
            </w:r>
            <w:r w:rsidRPr="00096290">
              <w:rPr>
                <w:sz w:val="20"/>
                <w:szCs w:val="20"/>
                <w:lang w:val="fr-CA"/>
              </w:rPr>
              <w:t xml:space="preserve">acité énergétique </w:t>
            </w:r>
            <w:r w:rsidR="00ED6231" w:rsidRPr="00096290">
              <w:rPr>
                <w:sz w:val="20"/>
                <w:szCs w:val="20"/>
                <w:lang w:val="fr-CA"/>
              </w:rPr>
              <w:t>du FVC p</w:t>
            </w:r>
            <w:r w:rsidRPr="00096290">
              <w:rPr>
                <w:sz w:val="20"/>
                <w:szCs w:val="20"/>
                <w:lang w:val="fr-CA"/>
              </w:rPr>
              <w:t>révue pour le</w:t>
            </w:r>
            <w:r w:rsidR="00ED6231" w:rsidRPr="00096290">
              <w:rPr>
                <w:sz w:val="20"/>
                <w:szCs w:val="20"/>
                <w:lang w:val="fr-CA"/>
              </w:rPr>
              <w:t xml:space="preserve"> 27-28 février</w:t>
            </w:r>
            <w:r w:rsidRPr="00096290">
              <w:rPr>
                <w:sz w:val="20"/>
                <w:szCs w:val="20"/>
                <w:lang w:val="fr-CA"/>
              </w:rPr>
              <w:t xml:space="preserve"> 2020</w:t>
            </w:r>
            <w:r w:rsidR="0090231A">
              <w:rPr>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85</w:t>
            </w:r>
          </w:p>
        </w:tc>
      </w:tr>
      <w:tr w:rsidR="00E4797C" w:rsidRPr="00096290" w:rsidTr="00CC24C6">
        <w:trPr>
          <w:cantSplit/>
        </w:trPr>
        <w:tc>
          <w:tcPr>
            <w:tcW w:w="8275" w:type="dxa"/>
            <w:shd w:val="clear" w:color="auto" w:fill="auto"/>
            <w:vAlign w:val="center"/>
          </w:tcPr>
          <w:p w:rsidR="00E4797C" w:rsidRPr="00096290" w:rsidRDefault="00ED6231" w:rsidP="008705A4">
            <w:pPr>
              <w:spacing w:before="60" w:after="60"/>
              <w:jc w:val="left"/>
              <w:rPr>
                <w:sz w:val="20"/>
                <w:szCs w:val="20"/>
                <w:lang w:val="fr-CA"/>
              </w:rPr>
            </w:pPr>
            <w:r w:rsidRPr="00096290">
              <w:rPr>
                <w:sz w:val="20"/>
                <w:szCs w:val="20"/>
                <w:lang w:val="fr-CA"/>
              </w:rPr>
              <w:t xml:space="preserve">Un représentant du FVC a rendu visite au Secrétariat et a participé à plusieurs réunions avec le personnel du Secrétariat, où il a </w:t>
            </w:r>
            <w:r w:rsidR="003170E0">
              <w:rPr>
                <w:sz w:val="20"/>
                <w:szCs w:val="20"/>
                <w:lang w:val="fr-CA"/>
              </w:rPr>
              <w:t>pu</w:t>
            </w:r>
            <w:r w:rsidRPr="00096290">
              <w:rPr>
                <w:sz w:val="20"/>
                <w:szCs w:val="20"/>
                <w:lang w:val="fr-CA"/>
              </w:rPr>
              <w:t xml:space="preserve"> partager des informations sur le fonctionnement des deux fonds et les </w:t>
            </w:r>
            <w:r w:rsidR="008705A4">
              <w:rPr>
                <w:sz w:val="20"/>
                <w:szCs w:val="20"/>
                <w:lang w:val="fr-CA"/>
              </w:rPr>
              <w:t xml:space="preserve">futures </w:t>
            </w:r>
            <w:r w:rsidRPr="00096290">
              <w:rPr>
                <w:sz w:val="20"/>
                <w:szCs w:val="20"/>
                <w:lang w:val="fr-CA"/>
              </w:rPr>
              <w:t>occasions de collaboration</w:t>
            </w:r>
            <w:r w:rsidR="00E4797C" w:rsidRPr="00096290">
              <w:rPr>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84</w:t>
            </w:r>
          </w:p>
        </w:tc>
      </w:tr>
      <w:tr w:rsidR="00E4797C" w:rsidRPr="00096290" w:rsidTr="00CC24C6">
        <w:trPr>
          <w:cantSplit/>
        </w:trPr>
        <w:tc>
          <w:tcPr>
            <w:tcW w:w="8275" w:type="dxa"/>
            <w:shd w:val="clear" w:color="auto" w:fill="auto"/>
            <w:vAlign w:val="center"/>
          </w:tcPr>
          <w:p w:rsidR="00E4797C" w:rsidRPr="00096290" w:rsidRDefault="00ED6231" w:rsidP="00ED6231">
            <w:pPr>
              <w:spacing w:before="60" w:after="60"/>
              <w:jc w:val="left"/>
              <w:rPr>
                <w:color w:val="000000" w:themeColor="text1"/>
                <w:sz w:val="20"/>
                <w:szCs w:val="20"/>
                <w:lang w:val="fr-CA"/>
              </w:rPr>
            </w:pPr>
            <w:r w:rsidRPr="00096290">
              <w:rPr>
                <w:color w:val="000000" w:themeColor="text1"/>
                <w:sz w:val="20"/>
                <w:szCs w:val="20"/>
                <w:lang w:val="fr-CA"/>
              </w:rPr>
              <w:t>Échanges informels entre le Chef du Secrétariat et le Secrétaire exécutif adjoint du FVC sur les questions d’intérêt pour les deux Fonds en marge de la quatrième sess</w:t>
            </w:r>
            <w:r w:rsidR="008705A4">
              <w:rPr>
                <w:color w:val="000000" w:themeColor="text1"/>
                <w:sz w:val="20"/>
                <w:szCs w:val="20"/>
                <w:lang w:val="fr-CA"/>
              </w:rPr>
              <w:t>ion de l’assemblée des Nations U</w:t>
            </w:r>
            <w:r w:rsidRPr="00096290">
              <w:rPr>
                <w:color w:val="000000" w:themeColor="text1"/>
                <w:sz w:val="20"/>
                <w:szCs w:val="20"/>
                <w:lang w:val="fr-CA"/>
              </w:rPr>
              <w:t>nies sur l’environnement</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83</w:t>
            </w:r>
          </w:p>
        </w:tc>
      </w:tr>
      <w:tr w:rsidR="00E4797C" w:rsidRPr="00096290" w:rsidTr="00CC24C6">
        <w:trPr>
          <w:cantSplit/>
        </w:trPr>
        <w:tc>
          <w:tcPr>
            <w:tcW w:w="8275" w:type="dxa"/>
            <w:shd w:val="clear" w:color="auto" w:fill="auto"/>
            <w:vAlign w:val="center"/>
          </w:tcPr>
          <w:p w:rsidR="00E4797C" w:rsidRPr="0083698F" w:rsidRDefault="008C1415" w:rsidP="008705A4">
            <w:pPr>
              <w:spacing w:before="60" w:after="60"/>
              <w:jc w:val="left"/>
              <w:rPr>
                <w:color w:val="000000" w:themeColor="text1"/>
                <w:sz w:val="20"/>
                <w:szCs w:val="20"/>
                <w:lang w:val="fr-CA"/>
              </w:rPr>
            </w:pPr>
            <w:r w:rsidRPr="00096290">
              <w:rPr>
                <w:color w:val="000000" w:themeColor="text1"/>
                <w:sz w:val="20"/>
                <w:szCs w:val="20"/>
                <w:lang w:val="fr-CA"/>
              </w:rPr>
              <w:t>Documents de réunion sur les modalités de la déclaration des coûts administratifs des agences d’exécution, dont les documents</w:t>
            </w:r>
            <w:r w:rsidR="004011F5">
              <w:rPr>
                <w:color w:val="000000" w:themeColor="text1"/>
                <w:sz w:val="20"/>
                <w:szCs w:val="20"/>
                <w:lang w:val="fr-CA"/>
              </w:rPr>
              <w:t> </w:t>
            </w:r>
            <w:r w:rsidR="00E4797C" w:rsidRPr="00096290">
              <w:rPr>
                <w:color w:val="000000" w:themeColor="text1"/>
                <w:sz w:val="20"/>
                <w:szCs w:val="20"/>
                <w:lang w:val="fr-CA"/>
              </w:rPr>
              <w:t>: UNEP/OzL.</w:t>
            </w:r>
            <w:r w:rsidR="00E4797C" w:rsidRPr="0083698F">
              <w:rPr>
                <w:color w:val="000000" w:themeColor="text1"/>
                <w:sz w:val="20"/>
                <w:szCs w:val="20"/>
                <w:lang w:val="fr-CA"/>
              </w:rPr>
              <w:t>Pro/ExCom/26/67, UNEP/OzL.Pro/ExCom/34/52</w:t>
            </w:r>
            <w:r w:rsidR="008705A4" w:rsidRPr="0083698F">
              <w:rPr>
                <w:color w:val="000000" w:themeColor="text1"/>
                <w:sz w:val="20"/>
                <w:szCs w:val="20"/>
                <w:lang w:val="fr-CA"/>
              </w:rPr>
              <w:t>,</w:t>
            </w:r>
            <w:r w:rsidR="00E4797C" w:rsidRPr="0083698F">
              <w:rPr>
                <w:color w:val="000000" w:themeColor="text1"/>
                <w:sz w:val="20"/>
                <w:szCs w:val="20"/>
                <w:lang w:val="fr-CA"/>
              </w:rPr>
              <w:t xml:space="preserve"> UNEP/OzL.Pro/ExCom/</w:t>
            </w:r>
            <w:r w:rsidR="008705A4" w:rsidRPr="0083698F">
              <w:rPr>
                <w:color w:val="000000" w:themeColor="text1"/>
                <w:sz w:val="20"/>
                <w:szCs w:val="20"/>
                <w:lang w:val="fr-CA"/>
              </w:rPr>
              <w:t>38/59, UNEP/OzL.Pro/ExCom/55/48</w:t>
            </w:r>
            <w:r w:rsidR="00E4797C" w:rsidRPr="0083698F">
              <w:rPr>
                <w:color w:val="000000" w:themeColor="text1"/>
                <w:sz w:val="20"/>
                <w:szCs w:val="20"/>
                <w:lang w:val="fr-CA"/>
              </w:rPr>
              <w:t xml:space="preserve"> </w:t>
            </w:r>
            <w:r w:rsidRPr="0083698F">
              <w:rPr>
                <w:color w:val="000000" w:themeColor="text1"/>
                <w:sz w:val="20"/>
                <w:szCs w:val="20"/>
                <w:lang w:val="fr-CA"/>
              </w:rPr>
              <w:t>et</w:t>
            </w:r>
            <w:r w:rsidR="00E4797C" w:rsidRPr="0083698F">
              <w:rPr>
                <w:color w:val="000000" w:themeColor="text1"/>
                <w:sz w:val="20"/>
                <w:szCs w:val="20"/>
                <w:lang w:val="fr-CA"/>
              </w:rPr>
              <w:t xml:space="preserve"> UNEP/OzL.Pro/ExCom/80/43</w:t>
            </w:r>
            <w:r w:rsidR="008705A4" w:rsidRPr="0083698F">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81</w:t>
            </w:r>
          </w:p>
        </w:tc>
      </w:tr>
      <w:tr w:rsidR="00E4797C" w:rsidRPr="00096290" w:rsidTr="00CC24C6">
        <w:trPr>
          <w:cantSplit/>
        </w:trPr>
        <w:tc>
          <w:tcPr>
            <w:tcW w:w="8275" w:type="dxa"/>
            <w:shd w:val="clear" w:color="auto" w:fill="auto"/>
            <w:vAlign w:val="center"/>
            <w:hideMark/>
          </w:tcPr>
          <w:p w:rsidR="00E4797C" w:rsidRPr="00096290" w:rsidRDefault="008C1415" w:rsidP="00192798">
            <w:pPr>
              <w:spacing w:before="60" w:after="60"/>
              <w:jc w:val="left"/>
              <w:rPr>
                <w:color w:val="000000" w:themeColor="text1"/>
                <w:sz w:val="20"/>
                <w:szCs w:val="20"/>
                <w:lang w:val="fr-CA"/>
              </w:rPr>
            </w:pPr>
            <w:r w:rsidRPr="00096290">
              <w:rPr>
                <w:color w:val="000000" w:themeColor="text1"/>
                <w:sz w:val="20"/>
                <w:szCs w:val="20"/>
                <w:lang w:val="fr-CA"/>
              </w:rPr>
              <w:t>Conférence téléphonique afin de fournir des informations sur les pratiques du Fonds multilatéral concernant les prêts à des conditions de faveur et les surcoûts</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80</w:t>
            </w:r>
          </w:p>
        </w:tc>
      </w:tr>
      <w:tr w:rsidR="00E4797C" w:rsidRPr="00096290" w:rsidTr="00CC24C6">
        <w:trPr>
          <w:cantSplit/>
        </w:trPr>
        <w:tc>
          <w:tcPr>
            <w:tcW w:w="8275" w:type="dxa"/>
            <w:shd w:val="clear" w:color="auto" w:fill="auto"/>
            <w:vAlign w:val="center"/>
          </w:tcPr>
          <w:p w:rsidR="00E4797C" w:rsidRPr="00096290" w:rsidRDefault="00B779B0" w:rsidP="00192798">
            <w:pPr>
              <w:spacing w:before="60" w:after="60"/>
              <w:jc w:val="left"/>
              <w:rPr>
                <w:color w:val="000000" w:themeColor="text1"/>
                <w:sz w:val="20"/>
                <w:szCs w:val="20"/>
                <w:lang w:val="fr-CA"/>
              </w:rPr>
            </w:pPr>
            <w:r w:rsidRPr="00096290">
              <w:rPr>
                <w:color w:val="000000" w:themeColor="text1"/>
                <w:sz w:val="20"/>
                <w:szCs w:val="20"/>
                <w:lang w:val="fr-CA"/>
              </w:rPr>
              <w:t>Offre d’un lien aux documents d’intérêt pour le Groupe de l’évaluation technique et économique, le Groupe d’évaluation scientifique et le Groupe d’évaluation des effets sur l’environnement sur le site Web du Secrétariat de l’ozone, et une rencontre d’introduction avec le spécialiste des communications du Secrétariat de l’ozone</w:t>
            </w:r>
            <w:r w:rsidR="004011F5">
              <w:rPr>
                <w:color w:val="000000" w:themeColor="text1"/>
                <w:sz w:val="20"/>
                <w:szCs w:val="20"/>
                <w:lang w:val="fr-CA"/>
              </w:rPr>
              <w:t> </w:t>
            </w:r>
            <w:r w:rsidR="00E4797C" w:rsidRPr="00096290">
              <w:rPr>
                <w:color w:val="000000" w:themeColor="text1"/>
                <w:sz w:val="20"/>
                <w:szCs w:val="20"/>
                <w:lang w:val="fr-CA"/>
              </w:rPr>
              <w:t>;</w:t>
            </w:r>
          </w:p>
          <w:p w:rsidR="00E4797C" w:rsidRPr="00096290" w:rsidRDefault="00B779B0" w:rsidP="0090231A">
            <w:pPr>
              <w:spacing w:before="60" w:after="60"/>
              <w:jc w:val="left"/>
              <w:rPr>
                <w:color w:val="000000" w:themeColor="text1"/>
                <w:sz w:val="20"/>
                <w:szCs w:val="20"/>
                <w:lang w:val="fr-CA"/>
              </w:rPr>
            </w:pPr>
            <w:r w:rsidRPr="00096290">
              <w:rPr>
                <w:color w:val="000000" w:themeColor="text1"/>
                <w:sz w:val="20"/>
                <w:szCs w:val="20"/>
                <w:lang w:val="fr-CA"/>
              </w:rPr>
              <w:t>Des documents ont été fournis, dont </w:t>
            </w:r>
            <w:r w:rsidR="00166025" w:rsidRPr="00096290">
              <w:rPr>
                <w:color w:val="000000" w:themeColor="text1"/>
                <w:sz w:val="20"/>
                <w:szCs w:val="20"/>
                <w:lang w:val="fr-CA"/>
              </w:rPr>
              <w:t>le document d’introduction du Comité exécutif</w:t>
            </w:r>
            <w:r w:rsidR="004011F5">
              <w:rPr>
                <w:color w:val="000000" w:themeColor="text1"/>
                <w:sz w:val="20"/>
                <w:szCs w:val="20"/>
                <w:lang w:val="fr-CA"/>
              </w:rPr>
              <w:t> </w:t>
            </w:r>
            <w:r w:rsidR="00166025" w:rsidRPr="00096290">
              <w:rPr>
                <w:color w:val="000000" w:themeColor="text1"/>
                <w:sz w:val="20"/>
                <w:szCs w:val="20"/>
                <w:lang w:val="fr-CA"/>
              </w:rPr>
              <w:t>; les politiques, procédures, lignes directrices et critères du Fonds multilatéral</w:t>
            </w:r>
            <w:r w:rsidR="004011F5">
              <w:rPr>
                <w:color w:val="000000" w:themeColor="text1"/>
                <w:sz w:val="20"/>
                <w:szCs w:val="20"/>
                <w:lang w:val="fr-CA"/>
              </w:rPr>
              <w:t> </w:t>
            </w:r>
            <w:r w:rsidR="00166025" w:rsidRPr="00096290">
              <w:rPr>
                <w:color w:val="000000" w:themeColor="text1"/>
                <w:sz w:val="20"/>
                <w:szCs w:val="20"/>
                <w:lang w:val="fr-CA"/>
              </w:rPr>
              <w:t xml:space="preserve">; la présentation sur la </w:t>
            </w:r>
            <w:r w:rsidR="008705A4">
              <w:rPr>
                <w:color w:val="000000" w:themeColor="text1"/>
                <w:sz w:val="20"/>
                <w:szCs w:val="20"/>
                <w:lang w:val="fr-CA"/>
              </w:rPr>
              <w:t>G</w:t>
            </w:r>
            <w:r w:rsidR="00166025" w:rsidRPr="00096290">
              <w:rPr>
                <w:color w:val="000000" w:themeColor="text1"/>
                <w:sz w:val="20"/>
                <w:szCs w:val="20"/>
                <w:lang w:val="fr-CA"/>
              </w:rPr>
              <w:t>ouvernance, le modèle d’</w:t>
            </w:r>
            <w:r w:rsidR="00964F06" w:rsidRPr="00096290">
              <w:rPr>
                <w:color w:val="000000" w:themeColor="text1"/>
                <w:sz w:val="20"/>
                <w:szCs w:val="20"/>
                <w:lang w:val="fr-CA"/>
              </w:rPr>
              <w:t>affaires, les réalisati</w:t>
            </w:r>
            <w:r w:rsidR="00166025" w:rsidRPr="00096290">
              <w:rPr>
                <w:color w:val="000000" w:themeColor="text1"/>
                <w:sz w:val="20"/>
                <w:szCs w:val="20"/>
                <w:lang w:val="fr-CA"/>
              </w:rPr>
              <w:t>ons et les défis du Fonds multilatéral</w:t>
            </w:r>
            <w:r w:rsidR="004011F5">
              <w:rPr>
                <w:color w:val="000000" w:themeColor="text1"/>
                <w:sz w:val="20"/>
                <w:szCs w:val="20"/>
                <w:lang w:val="fr-CA"/>
              </w:rPr>
              <w:t> </w:t>
            </w:r>
            <w:r w:rsidR="00166025" w:rsidRPr="00096290">
              <w:rPr>
                <w:color w:val="000000" w:themeColor="text1"/>
                <w:sz w:val="20"/>
                <w:szCs w:val="20"/>
                <w:lang w:val="fr-CA"/>
              </w:rPr>
              <w:t>; des exemp</w:t>
            </w:r>
            <w:r w:rsidR="00964F06" w:rsidRPr="00096290">
              <w:rPr>
                <w:color w:val="000000" w:themeColor="text1"/>
                <w:sz w:val="20"/>
                <w:szCs w:val="20"/>
                <w:lang w:val="fr-CA"/>
              </w:rPr>
              <w:t>l</w:t>
            </w:r>
            <w:r w:rsidR="00166025" w:rsidRPr="00096290">
              <w:rPr>
                <w:color w:val="000000" w:themeColor="text1"/>
                <w:sz w:val="20"/>
                <w:szCs w:val="20"/>
                <w:lang w:val="fr-CA"/>
              </w:rPr>
              <w:t xml:space="preserve">es de documents </w:t>
            </w:r>
            <w:r w:rsidR="00964F06" w:rsidRPr="00096290">
              <w:rPr>
                <w:color w:val="000000" w:themeColor="text1"/>
                <w:sz w:val="20"/>
                <w:szCs w:val="20"/>
                <w:lang w:val="fr-CA"/>
              </w:rPr>
              <w:t xml:space="preserve">de </w:t>
            </w:r>
            <w:proofErr w:type="spellStart"/>
            <w:r w:rsidR="00964F06" w:rsidRPr="00096290">
              <w:rPr>
                <w:color w:val="000000" w:themeColor="text1"/>
                <w:sz w:val="20"/>
                <w:szCs w:val="20"/>
                <w:lang w:val="fr-CA"/>
              </w:rPr>
              <w:t>présession</w:t>
            </w:r>
            <w:proofErr w:type="spellEnd"/>
            <w:r w:rsidR="00964F06" w:rsidRPr="00096290">
              <w:rPr>
                <w:color w:val="000000" w:themeColor="text1"/>
                <w:sz w:val="20"/>
                <w:szCs w:val="20"/>
                <w:lang w:val="fr-CA"/>
              </w:rPr>
              <w:t xml:space="preserve"> sur la planificati</w:t>
            </w:r>
            <w:r w:rsidR="00166025" w:rsidRPr="00096290">
              <w:rPr>
                <w:color w:val="000000" w:themeColor="text1"/>
                <w:sz w:val="20"/>
                <w:szCs w:val="20"/>
                <w:lang w:val="fr-CA"/>
              </w:rPr>
              <w:t>on des affaires</w:t>
            </w:r>
            <w:r w:rsidR="0090231A">
              <w:rPr>
                <w:color w:val="000000" w:themeColor="text1"/>
                <w:sz w:val="20"/>
                <w:szCs w:val="20"/>
                <w:lang w:val="fr-CA"/>
              </w:rPr>
              <w:t xml:space="preserve"> et</w:t>
            </w:r>
            <w:r w:rsidR="00166025" w:rsidRPr="00096290">
              <w:rPr>
                <w:color w:val="000000" w:themeColor="text1"/>
                <w:sz w:val="20"/>
                <w:szCs w:val="20"/>
                <w:lang w:val="fr-CA"/>
              </w:rPr>
              <w:t xml:space="preserve"> des propositions de projets</w:t>
            </w:r>
            <w:r w:rsidR="004011F5">
              <w:rPr>
                <w:color w:val="000000" w:themeColor="text1"/>
                <w:sz w:val="20"/>
                <w:szCs w:val="20"/>
                <w:lang w:val="fr-CA"/>
              </w:rPr>
              <w:t> </w:t>
            </w:r>
            <w:r w:rsidR="00166025" w:rsidRPr="00096290">
              <w:rPr>
                <w:color w:val="000000" w:themeColor="text1"/>
                <w:sz w:val="20"/>
                <w:szCs w:val="20"/>
                <w:lang w:val="fr-CA"/>
              </w:rPr>
              <w:t>; des programmes de travail de suivi et évaluation et des rapports d’ach</w:t>
            </w:r>
            <w:r w:rsidR="00964F06" w:rsidRPr="00096290">
              <w:rPr>
                <w:color w:val="000000" w:themeColor="text1"/>
                <w:sz w:val="20"/>
                <w:szCs w:val="20"/>
                <w:lang w:val="fr-CA"/>
              </w:rPr>
              <w:t>è</w:t>
            </w:r>
            <w:r w:rsidR="00166025" w:rsidRPr="00096290">
              <w:rPr>
                <w:color w:val="000000" w:themeColor="text1"/>
                <w:sz w:val="20"/>
                <w:szCs w:val="20"/>
                <w:lang w:val="fr-CA"/>
              </w:rPr>
              <w:t xml:space="preserve">vement de </w:t>
            </w:r>
            <w:r w:rsidR="00964F06" w:rsidRPr="00096290">
              <w:rPr>
                <w:color w:val="000000" w:themeColor="text1"/>
                <w:sz w:val="20"/>
                <w:szCs w:val="20"/>
                <w:lang w:val="fr-CA"/>
              </w:rPr>
              <w:t>projet</w:t>
            </w:r>
            <w:r w:rsidR="004011F5">
              <w:rPr>
                <w:color w:val="000000" w:themeColor="text1"/>
                <w:sz w:val="20"/>
                <w:szCs w:val="20"/>
                <w:lang w:val="fr-CA"/>
              </w:rPr>
              <w:t> </w:t>
            </w:r>
            <w:r w:rsidR="00166025" w:rsidRPr="00096290">
              <w:rPr>
                <w:color w:val="000000" w:themeColor="text1"/>
                <w:sz w:val="20"/>
                <w:szCs w:val="20"/>
                <w:lang w:val="fr-CA"/>
              </w:rPr>
              <w:t>; des modèles de plans d’activité</w:t>
            </w:r>
            <w:r w:rsidR="00964F06" w:rsidRPr="00096290">
              <w:rPr>
                <w:color w:val="000000" w:themeColor="text1"/>
                <w:sz w:val="20"/>
                <w:szCs w:val="20"/>
                <w:lang w:val="fr-CA"/>
              </w:rPr>
              <w:t>s</w:t>
            </w:r>
            <w:r w:rsidR="004011F5">
              <w:rPr>
                <w:color w:val="000000" w:themeColor="text1"/>
                <w:sz w:val="20"/>
                <w:szCs w:val="20"/>
                <w:lang w:val="fr-CA"/>
              </w:rPr>
              <w:t> </w:t>
            </w:r>
            <w:r w:rsidR="00964F06" w:rsidRPr="00096290">
              <w:rPr>
                <w:color w:val="000000" w:themeColor="text1"/>
                <w:sz w:val="20"/>
                <w:szCs w:val="20"/>
                <w:lang w:val="fr-CA"/>
              </w:rPr>
              <w:t>; des lignes directrices sur l’établissement des rapports périodiques</w:t>
            </w:r>
            <w:r w:rsidR="004011F5">
              <w:rPr>
                <w:color w:val="000000" w:themeColor="text1"/>
                <w:sz w:val="20"/>
                <w:szCs w:val="20"/>
                <w:lang w:val="fr-CA"/>
              </w:rPr>
              <w:t> </w:t>
            </w:r>
            <w:r w:rsidR="00964F06" w:rsidRPr="00096290">
              <w:rPr>
                <w:color w:val="000000" w:themeColor="text1"/>
                <w:sz w:val="20"/>
                <w:szCs w:val="20"/>
                <w:lang w:val="fr-CA"/>
              </w:rPr>
              <w:t>; des rapports de deux évaluations du renforcement des institutions, et le programme de travail de suivi et évaluation</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77</w:t>
            </w:r>
          </w:p>
        </w:tc>
      </w:tr>
      <w:tr w:rsidR="00E4797C" w:rsidRPr="00096290" w:rsidTr="00CC24C6">
        <w:trPr>
          <w:cantSplit/>
        </w:trPr>
        <w:tc>
          <w:tcPr>
            <w:tcW w:w="8275" w:type="dxa"/>
            <w:shd w:val="clear" w:color="auto" w:fill="auto"/>
            <w:vAlign w:val="center"/>
            <w:hideMark/>
          </w:tcPr>
          <w:p w:rsidR="00E4797C" w:rsidRPr="00096290" w:rsidRDefault="00964F06" w:rsidP="00964F06">
            <w:pPr>
              <w:spacing w:before="60" w:after="60"/>
              <w:jc w:val="left"/>
              <w:rPr>
                <w:color w:val="000000" w:themeColor="text1"/>
                <w:sz w:val="20"/>
                <w:szCs w:val="20"/>
                <w:lang w:val="fr-CA"/>
              </w:rPr>
            </w:pPr>
            <w:r w:rsidRPr="00096290">
              <w:rPr>
                <w:color w:val="000000" w:themeColor="text1"/>
                <w:sz w:val="20"/>
                <w:szCs w:val="20"/>
                <w:lang w:val="fr-CA"/>
              </w:rPr>
              <w:t>L’expérience du Secrétariat du Fonds concernant l’établissement d’arrangements légaux avec les organes d’exécution et la mise en place d’un système de rapports périodiques pour le Fonds multilatéral</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76</w:t>
            </w:r>
          </w:p>
        </w:tc>
      </w:tr>
      <w:tr w:rsidR="00E4797C" w:rsidRPr="00096290" w:rsidTr="00CC24C6">
        <w:trPr>
          <w:cantSplit/>
        </w:trPr>
        <w:tc>
          <w:tcPr>
            <w:tcW w:w="8275" w:type="dxa"/>
            <w:shd w:val="clear" w:color="auto" w:fill="auto"/>
            <w:vAlign w:val="center"/>
            <w:hideMark/>
          </w:tcPr>
          <w:p w:rsidR="00E4797C" w:rsidRPr="00096290" w:rsidRDefault="00964F06" w:rsidP="00192798">
            <w:pPr>
              <w:spacing w:before="60" w:after="60"/>
              <w:jc w:val="left"/>
              <w:rPr>
                <w:color w:val="000000" w:themeColor="text1"/>
                <w:sz w:val="20"/>
                <w:szCs w:val="20"/>
                <w:lang w:val="fr-CA"/>
              </w:rPr>
            </w:pPr>
            <w:r w:rsidRPr="00096290">
              <w:rPr>
                <w:color w:val="000000" w:themeColor="text1"/>
                <w:sz w:val="20"/>
                <w:szCs w:val="20"/>
                <w:lang w:val="fr-CA"/>
              </w:rPr>
              <w:lastRenderedPageBreak/>
              <w:t>Renseignements sur les indicateurs d’efficacité développés pour le Fonds multilatéral</w:t>
            </w:r>
            <w:r w:rsidR="004011F5">
              <w:rPr>
                <w:color w:val="000000" w:themeColor="text1"/>
                <w:sz w:val="20"/>
                <w:szCs w:val="20"/>
                <w:lang w:val="fr-CA"/>
              </w:rPr>
              <w:t> </w:t>
            </w:r>
            <w:r w:rsidR="00E4797C" w:rsidRPr="00096290">
              <w:rPr>
                <w:color w:val="000000" w:themeColor="text1"/>
                <w:sz w:val="20"/>
                <w:szCs w:val="20"/>
                <w:lang w:val="fr-CA"/>
              </w:rPr>
              <w:t>;</w:t>
            </w:r>
          </w:p>
          <w:p w:rsidR="00E4797C" w:rsidRPr="00096290" w:rsidRDefault="00964F06" w:rsidP="00192798">
            <w:pPr>
              <w:spacing w:before="60" w:after="60"/>
              <w:jc w:val="left"/>
              <w:rPr>
                <w:color w:val="000000" w:themeColor="text1"/>
                <w:sz w:val="20"/>
                <w:szCs w:val="20"/>
                <w:lang w:val="fr-CA"/>
              </w:rPr>
            </w:pPr>
            <w:r w:rsidRPr="00096290">
              <w:rPr>
                <w:color w:val="000000" w:themeColor="text1"/>
                <w:sz w:val="20"/>
                <w:szCs w:val="20"/>
                <w:lang w:val="fr-CA"/>
              </w:rPr>
              <w:t>Renseignements sur les échanges lors de récentes réunions du Protocole de Montréal concernant les propositions d’amendement au Protocole de Montréal</w:t>
            </w:r>
            <w:r w:rsidR="004011F5">
              <w:rPr>
                <w:color w:val="000000" w:themeColor="text1"/>
                <w:sz w:val="20"/>
                <w:szCs w:val="20"/>
                <w:lang w:val="fr-CA"/>
              </w:rPr>
              <w:t> </w:t>
            </w:r>
            <w:r w:rsidR="00E4797C" w:rsidRPr="00096290">
              <w:rPr>
                <w:color w:val="000000" w:themeColor="text1"/>
                <w:sz w:val="20"/>
                <w:szCs w:val="20"/>
                <w:lang w:val="fr-CA"/>
              </w:rPr>
              <w:t>;</w:t>
            </w:r>
          </w:p>
          <w:p w:rsidR="00E4797C" w:rsidRPr="00096290" w:rsidRDefault="00964F06" w:rsidP="00192798">
            <w:pPr>
              <w:spacing w:before="60" w:after="60"/>
              <w:jc w:val="left"/>
              <w:rPr>
                <w:color w:val="000000" w:themeColor="text1"/>
                <w:sz w:val="20"/>
                <w:szCs w:val="20"/>
                <w:lang w:val="fr-CA"/>
              </w:rPr>
            </w:pPr>
            <w:r w:rsidRPr="00096290">
              <w:rPr>
                <w:color w:val="000000" w:themeColor="text1"/>
                <w:sz w:val="20"/>
                <w:szCs w:val="20"/>
                <w:lang w:val="fr-CA"/>
              </w:rPr>
              <w:t>Renseignements sur le cadre de suivi et de comptabilité du Fonds multilatéral, dont le chapitre XI des politiques, procédures, lignes directrices et critères du Fonds multilatéral (suivi et éva</w:t>
            </w:r>
            <w:r w:rsidR="000313FF" w:rsidRPr="00096290">
              <w:rPr>
                <w:color w:val="000000" w:themeColor="text1"/>
                <w:sz w:val="20"/>
                <w:szCs w:val="20"/>
                <w:lang w:val="fr-CA"/>
              </w:rPr>
              <w:t>luati</w:t>
            </w:r>
            <w:r w:rsidRPr="00096290">
              <w:rPr>
                <w:color w:val="000000" w:themeColor="text1"/>
                <w:sz w:val="20"/>
                <w:szCs w:val="20"/>
                <w:lang w:val="fr-CA"/>
              </w:rPr>
              <w:t>on)</w:t>
            </w:r>
            <w:r w:rsidR="004011F5">
              <w:rPr>
                <w:color w:val="000000" w:themeColor="text1"/>
                <w:sz w:val="20"/>
                <w:szCs w:val="20"/>
                <w:lang w:val="fr-CA"/>
              </w:rPr>
              <w:t> </w:t>
            </w:r>
            <w:r w:rsidR="00E4797C" w:rsidRPr="00096290">
              <w:rPr>
                <w:color w:val="000000" w:themeColor="text1"/>
                <w:sz w:val="20"/>
                <w:szCs w:val="20"/>
                <w:lang w:val="fr-CA"/>
              </w:rPr>
              <w:t>;</w:t>
            </w:r>
          </w:p>
          <w:p w:rsidR="00E4797C" w:rsidRPr="00096290" w:rsidRDefault="000313FF" w:rsidP="00192798">
            <w:pPr>
              <w:spacing w:before="60" w:after="60"/>
              <w:jc w:val="left"/>
              <w:rPr>
                <w:color w:val="000000" w:themeColor="text1"/>
                <w:sz w:val="20"/>
                <w:szCs w:val="20"/>
                <w:lang w:val="fr-CA"/>
              </w:rPr>
            </w:pPr>
            <w:r w:rsidRPr="00096290">
              <w:rPr>
                <w:color w:val="000000" w:themeColor="text1"/>
                <w:sz w:val="20"/>
                <w:szCs w:val="20"/>
                <w:lang w:val="fr-CA"/>
              </w:rPr>
              <w:t>Présentation sur le renforcement des capacités au titre du Protocole de Montréal</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75</w:t>
            </w:r>
          </w:p>
        </w:tc>
      </w:tr>
      <w:tr w:rsidR="00E4797C" w:rsidRPr="00096290" w:rsidTr="00CC24C6">
        <w:trPr>
          <w:cantSplit/>
        </w:trPr>
        <w:tc>
          <w:tcPr>
            <w:tcW w:w="8275" w:type="dxa"/>
            <w:shd w:val="clear" w:color="auto" w:fill="auto"/>
            <w:vAlign w:val="center"/>
            <w:hideMark/>
          </w:tcPr>
          <w:p w:rsidR="00E4797C" w:rsidRPr="00096290" w:rsidRDefault="000313FF" w:rsidP="00B765AA">
            <w:pPr>
              <w:spacing w:before="60" w:after="60"/>
              <w:jc w:val="left"/>
              <w:rPr>
                <w:color w:val="000000" w:themeColor="text1"/>
                <w:sz w:val="20"/>
                <w:szCs w:val="20"/>
                <w:lang w:val="fr-CA"/>
              </w:rPr>
            </w:pPr>
            <w:r w:rsidRPr="00096290">
              <w:rPr>
                <w:color w:val="000000" w:themeColor="text1"/>
                <w:sz w:val="20"/>
                <w:szCs w:val="20"/>
                <w:lang w:val="fr-CA"/>
              </w:rPr>
              <w:t>Présentation sur le Fonds multilatéral et exemples de documents clés</w:t>
            </w:r>
            <w:r w:rsidR="00B765AA">
              <w:rPr>
                <w:color w:val="000000" w:themeColor="text1"/>
                <w:sz w:val="20"/>
                <w:szCs w:val="20"/>
                <w:lang w:val="fr-CA"/>
              </w:rPr>
              <w:t>,</w:t>
            </w:r>
            <w:r w:rsidRPr="00096290">
              <w:rPr>
                <w:color w:val="000000" w:themeColor="text1"/>
                <w:sz w:val="20"/>
                <w:szCs w:val="20"/>
                <w:lang w:val="fr-CA"/>
              </w:rPr>
              <w:t xml:space="preserve"> dont les activités du Secrétariat, l’état du Fonds, le plan d’activités général et les rapports périodiques, </w:t>
            </w:r>
            <w:r w:rsidR="00B765AA">
              <w:rPr>
                <w:color w:val="000000" w:themeColor="text1"/>
                <w:sz w:val="20"/>
                <w:szCs w:val="20"/>
                <w:lang w:val="fr-CA"/>
              </w:rPr>
              <w:t xml:space="preserve">et </w:t>
            </w:r>
            <w:r w:rsidRPr="00096290">
              <w:rPr>
                <w:color w:val="000000" w:themeColor="text1"/>
                <w:sz w:val="20"/>
                <w:szCs w:val="20"/>
                <w:lang w:val="fr-CA"/>
              </w:rPr>
              <w:t>un échantillonnage de propositions de projets et de documents d’orientation. D’autres détails et échanges sur le Fonds multilatéral</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74</w:t>
            </w:r>
          </w:p>
        </w:tc>
      </w:tr>
      <w:tr w:rsidR="00E4797C" w:rsidRPr="00096290" w:rsidTr="00CC24C6">
        <w:trPr>
          <w:cantSplit/>
        </w:trPr>
        <w:tc>
          <w:tcPr>
            <w:tcW w:w="8275" w:type="dxa"/>
            <w:shd w:val="clear" w:color="auto" w:fill="auto"/>
            <w:vAlign w:val="center"/>
            <w:hideMark/>
          </w:tcPr>
          <w:p w:rsidR="00E4797C" w:rsidRPr="00096290" w:rsidRDefault="000313FF" w:rsidP="000313FF">
            <w:pPr>
              <w:spacing w:before="60" w:after="60"/>
              <w:jc w:val="left"/>
              <w:rPr>
                <w:color w:val="000000" w:themeColor="text1"/>
                <w:sz w:val="20"/>
                <w:szCs w:val="20"/>
                <w:lang w:val="fr-CA"/>
              </w:rPr>
            </w:pPr>
            <w:r w:rsidRPr="00096290">
              <w:rPr>
                <w:color w:val="000000" w:themeColor="text1"/>
                <w:sz w:val="20"/>
                <w:szCs w:val="20"/>
                <w:lang w:val="fr-CA"/>
              </w:rPr>
              <w:t>Aperçu des objectifs et du fonctionnement du Fonds multilatéral, y compris son processus d’examen des projets, l’élaboration de politiques, le processus de réunion et la mise en œuvre des décisions du Comité exécutif</w:t>
            </w:r>
            <w:r w:rsidR="00C9356F">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72</w:t>
            </w:r>
          </w:p>
        </w:tc>
      </w:tr>
      <w:tr w:rsidR="00E4797C" w:rsidRPr="00096290" w:rsidTr="00CC24C6">
        <w:trPr>
          <w:cantSplit/>
        </w:trPr>
        <w:tc>
          <w:tcPr>
            <w:tcW w:w="8275" w:type="dxa"/>
            <w:shd w:val="clear" w:color="auto" w:fill="auto"/>
            <w:vAlign w:val="center"/>
            <w:hideMark/>
          </w:tcPr>
          <w:p w:rsidR="00E4797C" w:rsidRPr="00096290" w:rsidRDefault="000313FF" w:rsidP="005D3B71">
            <w:pPr>
              <w:spacing w:before="60" w:after="60"/>
              <w:jc w:val="left"/>
              <w:rPr>
                <w:color w:val="000000" w:themeColor="text1"/>
                <w:sz w:val="20"/>
                <w:szCs w:val="20"/>
                <w:lang w:val="fr-CA"/>
              </w:rPr>
            </w:pPr>
            <w:r w:rsidRPr="00096290">
              <w:rPr>
                <w:color w:val="000000" w:themeColor="text1"/>
                <w:sz w:val="20"/>
                <w:szCs w:val="20"/>
                <w:lang w:val="fr-CA"/>
              </w:rPr>
              <w:t>Le Secrétariat intérimaire du FEM a écrit au Fonds multilatéral le 24 septembre 2013 afin de l’inviter à assister à la 5</w:t>
            </w:r>
            <w:r w:rsidRPr="00096290">
              <w:rPr>
                <w:color w:val="000000" w:themeColor="text1"/>
                <w:sz w:val="20"/>
                <w:szCs w:val="20"/>
                <w:vertAlign w:val="superscript"/>
                <w:lang w:val="fr-CA"/>
              </w:rPr>
              <w:t>e</w:t>
            </w:r>
            <w:r w:rsidRPr="00096290">
              <w:rPr>
                <w:color w:val="000000" w:themeColor="text1"/>
                <w:sz w:val="20"/>
                <w:szCs w:val="20"/>
                <w:lang w:val="fr-CA"/>
              </w:rPr>
              <w:t xml:space="preserve"> réunion du conseil du FEM en qualité d’observateur</w:t>
            </w:r>
            <w:r w:rsidR="00E3123B" w:rsidRPr="00096290">
              <w:rPr>
                <w:color w:val="000000" w:themeColor="text1"/>
                <w:sz w:val="20"/>
                <w:szCs w:val="20"/>
                <w:lang w:val="fr-CA"/>
              </w:rPr>
              <w:t xml:space="preserve">, en précisant toutefois que la qualité d’observateur du Fonds multilatéral n’avait pas encore été approuvée. </w:t>
            </w:r>
            <w:r w:rsidR="00B364B2" w:rsidRPr="00096290">
              <w:rPr>
                <w:color w:val="000000" w:themeColor="text1"/>
                <w:sz w:val="20"/>
                <w:szCs w:val="20"/>
                <w:lang w:val="fr-CA"/>
              </w:rPr>
              <w:t>Le Secrétariat du Fonds n’a pas pu assister à la réunion du conseil, qui s’est déroulée du 8 au 10 octobre, à cause des préparatifs pour la 71</w:t>
            </w:r>
            <w:r w:rsidR="00B364B2" w:rsidRPr="00096290">
              <w:rPr>
                <w:color w:val="000000" w:themeColor="text1"/>
                <w:sz w:val="20"/>
                <w:szCs w:val="20"/>
                <w:vertAlign w:val="superscript"/>
                <w:lang w:val="fr-CA"/>
              </w:rPr>
              <w:t>e</w:t>
            </w:r>
            <w:r w:rsidR="00B364B2" w:rsidRPr="00096290">
              <w:rPr>
                <w:color w:val="000000" w:themeColor="text1"/>
                <w:sz w:val="20"/>
                <w:szCs w:val="20"/>
                <w:lang w:val="fr-CA"/>
              </w:rPr>
              <w:t xml:space="preserve"> réunion. Le Secrétariat a été informé dans une lettre datée du 21 octobre 2013 que la prochaine réunion du conseil aurait lieu en Ind</w:t>
            </w:r>
            <w:r w:rsidR="005D3B71" w:rsidRPr="00096290">
              <w:rPr>
                <w:color w:val="000000" w:themeColor="text1"/>
                <w:sz w:val="20"/>
                <w:szCs w:val="20"/>
                <w:lang w:val="fr-CA"/>
              </w:rPr>
              <w:t>onésie du 19 au 21 octobre 2014 et</w:t>
            </w:r>
            <w:r w:rsidR="00B364B2" w:rsidRPr="00096290">
              <w:rPr>
                <w:color w:val="000000" w:themeColor="text1"/>
                <w:sz w:val="20"/>
                <w:szCs w:val="20"/>
                <w:lang w:val="fr-CA"/>
              </w:rPr>
              <w:t xml:space="preserve"> que la qualité d’</w:t>
            </w:r>
            <w:r w:rsidR="005D3B71" w:rsidRPr="00096290">
              <w:rPr>
                <w:color w:val="000000" w:themeColor="text1"/>
                <w:sz w:val="20"/>
                <w:szCs w:val="20"/>
                <w:lang w:val="fr-CA"/>
              </w:rPr>
              <w:t>obser</w:t>
            </w:r>
            <w:r w:rsidR="00B364B2" w:rsidRPr="00096290">
              <w:rPr>
                <w:color w:val="000000" w:themeColor="text1"/>
                <w:sz w:val="20"/>
                <w:szCs w:val="20"/>
                <w:lang w:val="fr-CA"/>
              </w:rPr>
              <w:t>vateur du Fonds multilatéral avait été approuvé</w:t>
            </w:r>
            <w:r w:rsidR="00B765AA">
              <w:rPr>
                <w:color w:val="000000" w:themeColor="text1"/>
                <w:sz w:val="20"/>
                <w:szCs w:val="20"/>
                <w:lang w:val="fr-CA"/>
              </w:rPr>
              <w:t>e</w:t>
            </w:r>
            <w:r w:rsidR="00B364B2" w:rsidRPr="00096290">
              <w:rPr>
                <w:color w:val="000000" w:themeColor="text1"/>
                <w:sz w:val="20"/>
                <w:szCs w:val="20"/>
                <w:lang w:val="fr-CA"/>
              </w:rPr>
              <w:t xml:space="preserve"> par un amendement </w:t>
            </w:r>
            <w:r w:rsidR="005D3B71" w:rsidRPr="00096290">
              <w:rPr>
                <w:color w:val="000000" w:themeColor="text1"/>
                <w:sz w:val="20"/>
                <w:szCs w:val="20"/>
                <w:lang w:val="fr-CA"/>
              </w:rPr>
              <w:t>à la décision B.04/15. Le Fonds multilatéral a aussi été invité à nommer une personne-ressource</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71</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5D3B71" w:rsidP="00192798">
            <w:pPr>
              <w:keepNext/>
              <w:spacing w:before="60" w:after="60"/>
              <w:jc w:val="left"/>
              <w:rPr>
                <w:color w:val="000000" w:themeColor="text1"/>
                <w:sz w:val="20"/>
                <w:szCs w:val="20"/>
                <w:lang w:val="fr-CA"/>
              </w:rPr>
            </w:pPr>
            <w:r w:rsidRPr="00096290">
              <w:rPr>
                <w:b/>
                <w:color w:val="000000" w:themeColor="text1"/>
                <w:sz w:val="20"/>
                <w:szCs w:val="20"/>
                <w:lang w:val="fr-CA"/>
              </w:rPr>
              <w:t>École de gestion de Grenoble</w:t>
            </w:r>
          </w:p>
        </w:tc>
      </w:tr>
      <w:tr w:rsidR="00E4797C" w:rsidRPr="00096290" w:rsidTr="00CC24C6">
        <w:trPr>
          <w:cantSplit/>
        </w:trPr>
        <w:tc>
          <w:tcPr>
            <w:tcW w:w="8275" w:type="dxa"/>
            <w:shd w:val="clear" w:color="auto" w:fill="auto"/>
            <w:vAlign w:val="center"/>
            <w:hideMark/>
          </w:tcPr>
          <w:p w:rsidR="00E4797C" w:rsidRPr="00096290" w:rsidRDefault="005D3B71" w:rsidP="00192798">
            <w:pPr>
              <w:spacing w:before="60" w:after="60"/>
              <w:jc w:val="left"/>
              <w:rPr>
                <w:color w:val="000000" w:themeColor="text1"/>
                <w:sz w:val="20"/>
                <w:szCs w:val="20"/>
                <w:lang w:val="fr-CA"/>
              </w:rPr>
            </w:pPr>
            <w:r w:rsidRPr="00096290">
              <w:rPr>
                <w:color w:val="000000" w:themeColor="text1"/>
                <w:sz w:val="20"/>
                <w:szCs w:val="20"/>
                <w:lang w:val="fr-CA"/>
              </w:rPr>
              <w:t>Renseignements sur les politiques et directives du Fonds multilatéral et le processus d’approbation de projet pour une étude sur les courbes d’apprentissage de la technologie.</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80</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5D3B71" w:rsidP="005D3B71">
            <w:pPr>
              <w:spacing w:before="60" w:after="60"/>
              <w:jc w:val="left"/>
              <w:rPr>
                <w:color w:val="000000" w:themeColor="text1"/>
                <w:sz w:val="20"/>
                <w:szCs w:val="20"/>
                <w:lang w:val="fr-CA"/>
              </w:rPr>
            </w:pPr>
            <w:r w:rsidRPr="00096290">
              <w:rPr>
                <w:b/>
                <w:color w:val="000000" w:themeColor="text1"/>
                <w:sz w:val="20"/>
                <w:szCs w:val="20"/>
                <w:lang w:val="fr-CA"/>
              </w:rPr>
              <w:t>Plateforme intergouvernementale scientifique et politique sur la biodiversité et les services écosystémiques</w:t>
            </w:r>
            <w:r w:rsidR="00E4797C" w:rsidRPr="00096290">
              <w:rPr>
                <w:b/>
                <w:color w:val="000000" w:themeColor="text1"/>
                <w:sz w:val="20"/>
                <w:szCs w:val="20"/>
                <w:lang w:val="fr-CA"/>
              </w:rPr>
              <w:t xml:space="preserve"> (IPBES)</w:t>
            </w:r>
          </w:p>
        </w:tc>
      </w:tr>
      <w:tr w:rsidR="00E4797C" w:rsidRPr="00096290" w:rsidTr="00CC24C6">
        <w:trPr>
          <w:cantSplit/>
        </w:trPr>
        <w:tc>
          <w:tcPr>
            <w:tcW w:w="8275" w:type="dxa"/>
            <w:shd w:val="clear" w:color="auto" w:fill="auto"/>
            <w:vAlign w:val="center"/>
            <w:hideMark/>
          </w:tcPr>
          <w:p w:rsidR="00E4797C" w:rsidRPr="00096290" w:rsidRDefault="005D3B71" w:rsidP="00192798">
            <w:pPr>
              <w:spacing w:before="60" w:after="60"/>
              <w:jc w:val="left"/>
              <w:rPr>
                <w:color w:val="000000" w:themeColor="text1"/>
                <w:sz w:val="20"/>
                <w:szCs w:val="20"/>
                <w:lang w:val="fr-CA"/>
              </w:rPr>
            </w:pPr>
            <w:r w:rsidRPr="00096290">
              <w:rPr>
                <w:color w:val="000000" w:themeColor="text1"/>
                <w:sz w:val="20"/>
                <w:szCs w:val="20"/>
                <w:lang w:val="fr-CA"/>
              </w:rPr>
              <w:t>Renseignements sur les pratiques entourant le soutien financier offert aux participants/délégués aux réunions</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75</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5D3B71" w:rsidP="00192798">
            <w:pPr>
              <w:keepNext/>
              <w:spacing w:before="60" w:after="60"/>
              <w:jc w:val="left"/>
              <w:rPr>
                <w:color w:val="000000" w:themeColor="text1"/>
                <w:sz w:val="20"/>
                <w:szCs w:val="20"/>
                <w:lang w:val="fr-CA"/>
              </w:rPr>
            </w:pPr>
            <w:r w:rsidRPr="00096290">
              <w:rPr>
                <w:b/>
                <w:color w:val="000000" w:themeColor="text1"/>
                <w:sz w:val="20"/>
                <w:szCs w:val="20"/>
                <w:lang w:val="fr-CA"/>
              </w:rPr>
              <w:t>Agence internationale de l’énergie (AIE)</w:t>
            </w:r>
          </w:p>
        </w:tc>
      </w:tr>
      <w:tr w:rsidR="00E4797C" w:rsidRPr="00096290" w:rsidTr="00CC24C6">
        <w:trPr>
          <w:cantSplit/>
        </w:trPr>
        <w:tc>
          <w:tcPr>
            <w:tcW w:w="8275" w:type="dxa"/>
            <w:shd w:val="clear" w:color="auto" w:fill="auto"/>
            <w:vAlign w:val="center"/>
            <w:hideMark/>
          </w:tcPr>
          <w:p w:rsidR="00E4797C" w:rsidRPr="00096290" w:rsidRDefault="00AD48AA" w:rsidP="004011F5">
            <w:pPr>
              <w:spacing w:before="60" w:after="60"/>
              <w:jc w:val="left"/>
              <w:rPr>
                <w:color w:val="000000" w:themeColor="text1"/>
                <w:sz w:val="20"/>
                <w:szCs w:val="20"/>
                <w:lang w:val="fr-CA"/>
              </w:rPr>
            </w:pPr>
            <w:r w:rsidRPr="00096290">
              <w:rPr>
                <w:color w:val="000000" w:themeColor="text1"/>
                <w:sz w:val="20"/>
                <w:szCs w:val="20"/>
                <w:lang w:val="fr-CA"/>
              </w:rPr>
              <w:t>Le Secrétariat et le Secrétaire exécutif du Secrétariat de l’ozone ont rencontré un représentant de l’AIE. Le Secrétariat a expliqué les travaux sur l’efficacité énergétique dans le contexte de l’Amendement de Kigali. Le représentant de l’AIE a indiqué que l’organisation avait entrepris une compilation des politiques et normes sur l’efficacité énergétique dans différents pays</w:t>
            </w:r>
            <w:r w:rsidR="00507823">
              <w:rPr>
                <w:color w:val="000000" w:themeColor="text1"/>
                <w:sz w:val="20"/>
                <w:szCs w:val="20"/>
                <w:lang w:val="fr-CA"/>
              </w:rPr>
              <w:t xml:space="preserve">, qu’elle a ensuite mise </w:t>
            </w:r>
            <w:r w:rsidRPr="00096290">
              <w:rPr>
                <w:color w:val="000000" w:themeColor="text1"/>
                <w:sz w:val="20"/>
                <w:szCs w:val="20"/>
                <w:lang w:val="fr-CA"/>
              </w:rPr>
              <w:t>à la disposition du Secrétariat. Le représentant aussi partagé un rapport sur le refroidissement préparé par l’AEI</w:t>
            </w:r>
            <w:r w:rsidR="00E4797C"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E4797C" w:rsidRPr="00096290" w:rsidRDefault="00E4797C" w:rsidP="00192798">
            <w:pPr>
              <w:spacing w:before="60" w:after="60"/>
              <w:jc w:val="right"/>
              <w:rPr>
                <w:color w:val="000000" w:themeColor="text1"/>
                <w:sz w:val="20"/>
                <w:szCs w:val="20"/>
                <w:lang w:val="en-US"/>
              </w:rPr>
            </w:pPr>
            <w:r w:rsidRPr="00096290">
              <w:rPr>
                <w:color w:val="000000" w:themeColor="text1"/>
                <w:sz w:val="20"/>
                <w:szCs w:val="20"/>
                <w:lang w:val="en-US"/>
              </w:rPr>
              <w:t>83</w:t>
            </w:r>
          </w:p>
        </w:tc>
      </w:tr>
      <w:tr w:rsidR="00E4797C" w:rsidRPr="00755FF1" w:rsidTr="00192798">
        <w:trPr>
          <w:cantSplit/>
        </w:trPr>
        <w:tc>
          <w:tcPr>
            <w:tcW w:w="9355" w:type="dxa"/>
            <w:gridSpan w:val="2"/>
            <w:shd w:val="clear" w:color="auto" w:fill="auto"/>
            <w:tcMar>
              <w:left w:w="115" w:type="dxa"/>
              <w:right w:w="173" w:type="dxa"/>
            </w:tcMar>
            <w:vAlign w:val="center"/>
          </w:tcPr>
          <w:p w:rsidR="00E4797C" w:rsidRPr="00096290" w:rsidRDefault="00AD48AA" w:rsidP="00192798">
            <w:pPr>
              <w:spacing w:before="60" w:after="60"/>
              <w:jc w:val="left"/>
              <w:rPr>
                <w:color w:val="000000" w:themeColor="text1"/>
                <w:sz w:val="20"/>
                <w:szCs w:val="20"/>
                <w:lang w:val="fr-CA"/>
              </w:rPr>
            </w:pPr>
            <w:r w:rsidRPr="00096290">
              <w:rPr>
                <w:b/>
                <w:color w:val="000000" w:themeColor="text1"/>
                <w:sz w:val="20"/>
                <w:szCs w:val="20"/>
                <w:lang w:val="fr-CA"/>
              </w:rPr>
              <w:t>Corps commun d’inspection des Nations Unies</w:t>
            </w:r>
          </w:p>
        </w:tc>
      </w:tr>
      <w:tr w:rsidR="00D4538F" w:rsidRPr="00096290" w:rsidTr="00CC24C6">
        <w:trPr>
          <w:cantSplit/>
        </w:trPr>
        <w:tc>
          <w:tcPr>
            <w:tcW w:w="8275" w:type="dxa"/>
            <w:shd w:val="clear" w:color="auto" w:fill="auto"/>
            <w:vAlign w:val="center"/>
          </w:tcPr>
          <w:p w:rsidR="00D4538F" w:rsidRPr="00096290" w:rsidRDefault="00AD48AA" w:rsidP="005F7410">
            <w:pPr>
              <w:spacing w:before="60" w:after="60"/>
              <w:jc w:val="left"/>
              <w:rPr>
                <w:b/>
                <w:color w:val="000000" w:themeColor="text1"/>
                <w:sz w:val="20"/>
                <w:szCs w:val="20"/>
                <w:lang w:val="fr-CA"/>
              </w:rPr>
            </w:pPr>
            <w:r w:rsidRPr="00096290">
              <w:rPr>
                <w:b/>
                <w:color w:val="000000" w:themeColor="text1"/>
                <w:sz w:val="20"/>
                <w:szCs w:val="20"/>
                <w:lang w:val="fr-CA"/>
              </w:rPr>
              <w:t xml:space="preserve">Le Secrétariat a rempli un questionnaire portant sur l’examen de politiques et pratiques </w:t>
            </w:r>
            <w:r w:rsidR="004E306C" w:rsidRPr="00096290">
              <w:rPr>
                <w:b/>
                <w:color w:val="000000" w:themeColor="text1"/>
                <w:sz w:val="20"/>
                <w:szCs w:val="20"/>
                <w:lang w:val="fr-CA"/>
              </w:rPr>
              <w:t>écologiquement durables à l’échelle du système des Nations Unies</w:t>
            </w:r>
            <w:r w:rsidR="00D4538F" w:rsidRPr="00096290">
              <w:rPr>
                <w:b/>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b/>
                <w:color w:val="000000" w:themeColor="text1"/>
                <w:sz w:val="20"/>
                <w:szCs w:val="20"/>
                <w:lang w:val="en-US"/>
              </w:rPr>
            </w:pPr>
            <w:r w:rsidRPr="00096290">
              <w:rPr>
                <w:b/>
                <w:color w:val="000000" w:themeColor="text1"/>
                <w:sz w:val="20"/>
                <w:szCs w:val="20"/>
                <w:lang w:val="en-US"/>
              </w:rPr>
              <w:t>86</w:t>
            </w:r>
          </w:p>
        </w:tc>
      </w:tr>
      <w:tr w:rsidR="00D4538F" w:rsidRPr="00096290" w:rsidTr="00CC24C6">
        <w:trPr>
          <w:cantSplit/>
        </w:trPr>
        <w:tc>
          <w:tcPr>
            <w:tcW w:w="8275" w:type="dxa"/>
            <w:shd w:val="clear" w:color="auto" w:fill="auto"/>
            <w:vAlign w:val="center"/>
            <w:hideMark/>
          </w:tcPr>
          <w:p w:rsidR="00D4538F" w:rsidRPr="00096290" w:rsidRDefault="00507823" w:rsidP="00507823">
            <w:pPr>
              <w:spacing w:before="60" w:after="60"/>
              <w:jc w:val="left"/>
              <w:rPr>
                <w:color w:val="000000" w:themeColor="text1"/>
                <w:sz w:val="20"/>
                <w:szCs w:val="20"/>
                <w:lang w:val="fr-CA"/>
              </w:rPr>
            </w:pPr>
            <w:r>
              <w:rPr>
                <w:color w:val="000000" w:themeColor="text1"/>
                <w:sz w:val="20"/>
                <w:szCs w:val="20"/>
                <w:lang w:val="fr-CA"/>
              </w:rPr>
              <w:t>Sommaire actualis</w:t>
            </w:r>
            <w:r w:rsidR="004E306C" w:rsidRPr="00096290">
              <w:rPr>
                <w:color w:val="000000" w:themeColor="text1"/>
                <w:sz w:val="20"/>
                <w:szCs w:val="20"/>
                <w:lang w:val="fr-CA"/>
              </w:rPr>
              <w:t>é de</w:t>
            </w:r>
            <w:r>
              <w:rPr>
                <w:color w:val="000000" w:themeColor="text1"/>
                <w:sz w:val="20"/>
                <w:szCs w:val="20"/>
                <w:lang w:val="fr-CA"/>
              </w:rPr>
              <w:t>s</w:t>
            </w:r>
            <w:r w:rsidR="004E306C" w:rsidRPr="00096290">
              <w:rPr>
                <w:color w:val="000000" w:themeColor="text1"/>
                <w:sz w:val="20"/>
                <w:szCs w:val="20"/>
                <w:lang w:val="fr-CA"/>
              </w:rPr>
              <w:t xml:space="preserve"> renseignements sur l’assistance technique et le financement </w:t>
            </w:r>
            <w:r>
              <w:rPr>
                <w:color w:val="000000" w:themeColor="text1"/>
                <w:sz w:val="20"/>
                <w:szCs w:val="20"/>
                <w:lang w:val="fr-CA"/>
              </w:rPr>
              <w:t>accordé</w:t>
            </w:r>
            <w:r w:rsidR="004E306C" w:rsidRPr="00096290">
              <w:rPr>
                <w:color w:val="000000" w:themeColor="text1"/>
                <w:sz w:val="20"/>
                <w:szCs w:val="20"/>
                <w:lang w:val="fr-CA"/>
              </w:rPr>
              <w:t xml:space="preserve"> aux petits États insulaires en développement au titre du Fonds multilatéral, qui avait déjà été distribué en février 2015. D’autres précisions ont été apportées le 20 octobre et le 7 novembre 2016</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77</w:t>
            </w:r>
          </w:p>
        </w:tc>
      </w:tr>
      <w:tr w:rsidR="00D4538F" w:rsidRPr="00096290" w:rsidTr="00CC24C6">
        <w:trPr>
          <w:cantSplit/>
        </w:trPr>
        <w:tc>
          <w:tcPr>
            <w:tcW w:w="8275" w:type="dxa"/>
            <w:shd w:val="clear" w:color="auto" w:fill="auto"/>
            <w:vAlign w:val="center"/>
            <w:hideMark/>
          </w:tcPr>
          <w:p w:rsidR="00D4538F" w:rsidRPr="00096290" w:rsidRDefault="004E306C" w:rsidP="00D4538F">
            <w:pPr>
              <w:spacing w:before="60" w:after="60"/>
              <w:jc w:val="left"/>
              <w:rPr>
                <w:color w:val="000000" w:themeColor="text1"/>
                <w:sz w:val="20"/>
                <w:szCs w:val="20"/>
                <w:lang w:val="fr-CA"/>
              </w:rPr>
            </w:pPr>
            <w:r w:rsidRPr="00096290">
              <w:rPr>
                <w:color w:val="000000" w:themeColor="text1"/>
                <w:sz w:val="20"/>
                <w:szCs w:val="20"/>
                <w:lang w:val="fr-CA"/>
              </w:rPr>
              <w:t>Observations sur le document Examen des activités et des ressources consacrées à la lutte contre les changements climatiques à l’échelle du système des Nations Unies</w:t>
            </w:r>
            <w:r w:rsidR="004011F5">
              <w:rPr>
                <w:color w:val="000000" w:themeColor="text1"/>
                <w:sz w:val="20"/>
                <w:szCs w:val="20"/>
                <w:lang w:val="fr-CA"/>
              </w:rPr>
              <w:t> </w:t>
            </w:r>
            <w:r w:rsidR="00D4538F" w:rsidRPr="00096290">
              <w:rPr>
                <w:color w:val="000000" w:themeColor="text1"/>
                <w:sz w:val="20"/>
                <w:szCs w:val="20"/>
                <w:lang w:val="fr-CA"/>
              </w:rPr>
              <w:t>;</w:t>
            </w:r>
          </w:p>
          <w:p w:rsidR="00D4538F" w:rsidRPr="00096290" w:rsidRDefault="005F7410" w:rsidP="00D4538F">
            <w:pPr>
              <w:spacing w:before="60" w:after="60"/>
              <w:jc w:val="left"/>
              <w:rPr>
                <w:color w:val="000000" w:themeColor="text1"/>
                <w:sz w:val="20"/>
                <w:szCs w:val="20"/>
                <w:lang w:val="fr-CA"/>
              </w:rPr>
            </w:pPr>
            <w:r w:rsidRPr="00096290">
              <w:rPr>
                <w:color w:val="000000" w:themeColor="text1"/>
                <w:sz w:val="20"/>
                <w:szCs w:val="20"/>
                <w:lang w:val="fr-CA"/>
              </w:rPr>
              <w:t>Renseignements fondamentaux</w:t>
            </w:r>
            <w:r w:rsidR="00507823">
              <w:rPr>
                <w:color w:val="000000" w:themeColor="text1"/>
                <w:sz w:val="20"/>
                <w:szCs w:val="20"/>
                <w:lang w:val="fr-CA"/>
              </w:rPr>
              <w:t>,</w:t>
            </w:r>
            <w:r w:rsidRPr="00096290">
              <w:rPr>
                <w:color w:val="000000" w:themeColor="text1"/>
                <w:sz w:val="20"/>
                <w:szCs w:val="20"/>
                <w:lang w:val="fr-CA"/>
              </w:rPr>
              <w:t xml:space="preserve"> dont un sommaire de l’assistance technique et du financement fourni aux petits États insulaires au titre du Fonds multilatéral et renseignements exhaustifs sur les projets du Fonds multilatéral approuvés pour chaque pays</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74</w:t>
            </w:r>
          </w:p>
        </w:tc>
      </w:tr>
      <w:tr w:rsidR="00D4538F" w:rsidRPr="00096290" w:rsidTr="00CC24C6">
        <w:trPr>
          <w:cantSplit/>
        </w:trPr>
        <w:tc>
          <w:tcPr>
            <w:tcW w:w="8275" w:type="dxa"/>
            <w:shd w:val="clear" w:color="auto" w:fill="auto"/>
            <w:vAlign w:val="center"/>
            <w:hideMark/>
          </w:tcPr>
          <w:p w:rsidR="00D4538F" w:rsidRPr="00096290" w:rsidRDefault="005F7410" w:rsidP="00D4538F">
            <w:pPr>
              <w:spacing w:before="60" w:after="60"/>
              <w:jc w:val="left"/>
              <w:rPr>
                <w:color w:val="000000" w:themeColor="text1"/>
                <w:sz w:val="20"/>
                <w:szCs w:val="20"/>
                <w:lang w:val="fr-CA"/>
              </w:rPr>
            </w:pPr>
            <w:r w:rsidRPr="00096290">
              <w:rPr>
                <w:color w:val="000000" w:themeColor="text1"/>
                <w:sz w:val="20"/>
                <w:szCs w:val="20"/>
                <w:lang w:val="fr-CA"/>
              </w:rPr>
              <w:lastRenderedPageBreak/>
              <w:t>Le Secrétariat a rempli un questionnaire sur l’examen des activités et ressources consacrées à la lutte contre les changements climatiques</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73</w:t>
            </w:r>
          </w:p>
        </w:tc>
      </w:tr>
      <w:tr w:rsidR="00D4538F" w:rsidRPr="00096290" w:rsidTr="00CC24C6">
        <w:trPr>
          <w:cantSplit/>
        </w:trPr>
        <w:tc>
          <w:tcPr>
            <w:tcW w:w="8275" w:type="dxa"/>
            <w:shd w:val="clear" w:color="auto" w:fill="auto"/>
            <w:vAlign w:val="center"/>
            <w:hideMark/>
          </w:tcPr>
          <w:p w:rsidR="00D4538F" w:rsidRPr="00096290" w:rsidRDefault="00507823" w:rsidP="00D4538F">
            <w:pPr>
              <w:spacing w:before="60" w:after="60"/>
              <w:jc w:val="left"/>
              <w:rPr>
                <w:color w:val="000000" w:themeColor="text1"/>
                <w:sz w:val="20"/>
                <w:szCs w:val="20"/>
                <w:lang w:val="fr-CA"/>
              </w:rPr>
            </w:pPr>
            <w:r>
              <w:rPr>
                <w:color w:val="000000" w:themeColor="text1"/>
                <w:sz w:val="20"/>
                <w:szCs w:val="20"/>
                <w:lang w:val="fr-CA"/>
              </w:rPr>
              <w:t>Observations et correction</w:t>
            </w:r>
            <w:r w:rsidR="008133D0" w:rsidRPr="00096290">
              <w:rPr>
                <w:color w:val="000000" w:themeColor="text1"/>
                <w:sz w:val="20"/>
                <w:szCs w:val="20"/>
                <w:lang w:val="fr-CA"/>
              </w:rPr>
              <w:t xml:space="preserve"> des faits concernant l’information sur le Fonds multilatéral dans le rapport sur l’Examen de la gouvernance environnementale dans le système des Nations Unies après Rio</w:t>
            </w:r>
            <w:r w:rsidR="004011F5">
              <w:rPr>
                <w:color w:val="000000" w:themeColor="text1"/>
                <w:sz w:val="20"/>
                <w:szCs w:val="20"/>
                <w:lang w:val="fr-CA"/>
              </w:rPr>
              <w:t xml:space="preserve"> </w:t>
            </w:r>
            <w:r w:rsidR="008133D0" w:rsidRPr="00096290">
              <w:rPr>
                <w:color w:val="000000" w:themeColor="text1"/>
                <w:sz w:val="20"/>
                <w:szCs w:val="20"/>
                <w:lang w:val="fr-CA"/>
              </w:rPr>
              <w:t>+</w:t>
            </w:r>
            <w:r w:rsidR="004011F5">
              <w:rPr>
                <w:color w:val="000000" w:themeColor="text1"/>
                <w:sz w:val="20"/>
                <w:szCs w:val="20"/>
                <w:lang w:val="fr-CA"/>
              </w:rPr>
              <w:t> </w:t>
            </w:r>
            <w:r w:rsidR="008133D0" w:rsidRPr="00096290">
              <w:rPr>
                <w:color w:val="000000" w:themeColor="text1"/>
                <w:sz w:val="20"/>
                <w:szCs w:val="20"/>
                <w:lang w:val="fr-CA"/>
              </w:rPr>
              <w:t>20</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72</w:t>
            </w:r>
          </w:p>
        </w:tc>
      </w:tr>
      <w:tr w:rsidR="00D4538F" w:rsidRPr="00096290" w:rsidTr="00CC24C6">
        <w:trPr>
          <w:cantSplit/>
        </w:trPr>
        <w:tc>
          <w:tcPr>
            <w:tcW w:w="8275" w:type="dxa"/>
            <w:shd w:val="clear" w:color="auto" w:fill="auto"/>
            <w:noWrap/>
            <w:vAlign w:val="center"/>
            <w:hideMark/>
          </w:tcPr>
          <w:p w:rsidR="00D4538F" w:rsidRPr="00096290" w:rsidRDefault="008133D0" w:rsidP="004011F5">
            <w:pPr>
              <w:spacing w:before="60" w:after="60"/>
              <w:jc w:val="left"/>
              <w:rPr>
                <w:color w:val="000000" w:themeColor="text1"/>
                <w:sz w:val="20"/>
                <w:szCs w:val="20"/>
                <w:lang w:val="fr-CA"/>
              </w:rPr>
            </w:pPr>
            <w:r w:rsidRPr="00096290">
              <w:rPr>
                <w:color w:val="000000" w:themeColor="text1"/>
                <w:sz w:val="20"/>
                <w:szCs w:val="20"/>
                <w:lang w:val="fr-CA"/>
              </w:rPr>
              <w:t>En ce qui concerne l’évaluation/examen de 2013 intitulée Examen de la gouvernance environnementale dans le système des Nations Unies après Rio</w:t>
            </w:r>
            <w:r w:rsidR="004011F5">
              <w:rPr>
                <w:color w:val="000000" w:themeColor="text1"/>
                <w:sz w:val="20"/>
                <w:szCs w:val="20"/>
                <w:lang w:val="fr-CA"/>
              </w:rPr>
              <w:t xml:space="preserve"> </w:t>
            </w:r>
            <w:r w:rsidRPr="00096290">
              <w:rPr>
                <w:color w:val="000000" w:themeColor="text1"/>
                <w:sz w:val="20"/>
                <w:szCs w:val="20"/>
                <w:lang w:val="fr-CA"/>
              </w:rPr>
              <w:t>+</w:t>
            </w:r>
            <w:r w:rsidR="004011F5">
              <w:rPr>
                <w:color w:val="000000" w:themeColor="text1"/>
                <w:sz w:val="20"/>
                <w:szCs w:val="20"/>
                <w:lang w:val="fr-CA"/>
              </w:rPr>
              <w:t> </w:t>
            </w:r>
            <w:r w:rsidRPr="00096290">
              <w:rPr>
                <w:color w:val="000000" w:themeColor="text1"/>
                <w:sz w:val="20"/>
                <w:szCs w:val="20"/>
                <w:lang w:val="fr-CA"/>
              </w:rPr>
              <w:t>20, le Secrétariat a remis au Corps commun</w:t>
            </w:r>
            <w:r w:rsidR="00E10221">
              <w:rPr>
                <w:color w:val="000000" w:themeColor="text1"/>
                <w:sz w:val="20"/>
                <w:szCs w:val="20"/>
                <w:lang w:val="fr-CA"/>
              </w:rPr>
              <w:t xml:space="preserve"> d’inspection des Nations Unies</w:t>
            </w:r>
            <w:r w:rsidRPr="00096290">
              <w:rPr>
                <w:color w:val="000000" w:themeColor="text1"/>
                <w:sz w:val="20"/>
                <w:szCs w:val="20"/>
                <w:lang w:val="fr-CA"/>
              </w:rPr>
              <w:t xml:space="preserve"> des renseignements sur la structure du Fonds, les niveaux de financement, le nombre et les caractéristiques des réunions, les participants aux réunions, le processus d’approbation des projets, les coûts d’</w:t>
            </w:r>
            <w:r w:rsidR="000037D8" w:rsidRPr="00096290">
              <w:rPr>
                <w:color w:val="000000" w:themeColor="text1"/>
                <w:sz w:val="20"/>
                <w:szCs w:val="20"/>
                <w:lang w:val="fr-CA"/>
              </w:rPr>
              <w:t>appu</w:t>
            </w:r>
            <w:r w:rsidRPr="00096290">
              <w:rPr>
                <w:color w:val="000000" w:themeColor="text1"/>
                <w:sz w:val="20"/>
                <w:szCs w:val="20"/>
                <w:lang w:val="fr-CA"/>
              </w:rPr>
              <w:t xml:space="preserve">i, les niveaux de personnel du Secrétariat, </w:t>
            </w:r>
            <w:r w:rsidR="000037D8" w:rsidRPr="00096290">
              <w:rPr>
                <w:color w:val="000000" w:themeColor="text1"/>
                <w:sz w:val="20"/>
                <w:szCs w:val="20"/>
                <w:lang w:val="fr-CA"/>
              </w:rPr>
              <w:t>l’historique des approbations de 2006 à 2013, les modalités de mise en œuvre, la conformité, le cadre de gouvernance, la planification stratégique, les synergies et la coordination avec d’autres accords multilatéraux sur l’environnement, les évaluations scientifiques, la promotion et la vulgarisation, l’administration, la répartition des genres et l’équilibre géographique du Comité exécutif et du Secrétariat</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70</w:t>
            </w:r>
          </w:p>
        </w:tc>
      </w:tr>
      <w:tr w:rsidR="00D4538F" w:rsidRPr="00755FF1" w:rsidTr="00192798">
        <w:trPr>
          <w:cantSplit/>
        </w:trPr>
        <w:tc>
          <w:tcPr>
            <w:tcW w:w="9355" w:type="dxa"/>
            <w:gridSpan w:val="2"/>
            <w:shd w:val="clear" w:color="auto" w:fill="auto"/>
            <w:noWrap/>
            <w:tcMar>
              <w:left w:w="115" w:type="dxa"/>
              <w:right w:w="173" w:type="dxa"/>
            </w:tcMar>
            <w:vAlign w:val="center"/>
          </w:tcPr>
          <w:p w:rsidR="00D4538F" w:rsidRPr="00096290" w:rsidRDefault="000037D8" w:rsidP="00D4538F">
            <w:pPr>
              <w:spacing w:before="60" w:after="60"/>
              <w:jc w:val="left"/>
              <w:rPr>
                <w:b/>
                <w:color w:val="000000" w:themeColor="text1"/>
                <w:sz w:val="20"/>
                <w:szCs w:val="20"/>
                <w:lang w:val="fr-CA"/>
              </w:rPr>
            </w:pPr>
            <w:r w:rsidRPr="00096290">
              <w:rPr>
                <w:b/>
                <w:color w:val="000000" w:themeColor="text1"/>
                <w:sz w:val="20"/>
                <w:szCs w:val="20"/>
                <w:lang w:val="fr-CA"/>
              </w:rPr>
              <w:t>Programme d’efficacité du refroidissement de Kigali</w:t>
            </w:r>
            <w:r w:rsidR="00D4538F" w:rsidRPr="00096290">
              <w:rPr>
                <w:b/>
                <w:color w:val="000000" w:themeColor="text1"/>
                <w:sz w:val="20"/>
                <w:szCs w:val="20"/>
                <w:lang w:val="fr-CA"/>
              </w:rPr>
              <w:t xml:space="preserve"> (K-CEP)</w:t>
            </w:r>
          </w:p>
        </w:tc>
      </w:tr>
      <w:tr w:rsidR="00D4538F" w:rsidRPr="00096290" w:rsidTr="00CC24C6">
        <w:trPr>
          <w:cantSplit/>
        </w:trPr>
        <w:tc>
          <w:tcPr>
            <w:tcW w:w="8275" w:type="dxa"/>
            <w:shd w:val="clear" w:color="auto" w:fill="auto"/>
            <w:noWrap/>
            <w:vAlign w:val="center"/>
          </w:tcPr>
          <w:p w:rsidR="00D4538F" w:rsidRPr="00096290" w:rsidRDefault="006A5060" w:rsidP="00D4538F">
            <w:pPr>
              <w:spacing w:before="60" w:after="60"/>
              <w:jc w:val="left"/>
              <w:rPr>
                <w:color w:val="000000" w:themeColor="text1"/>
                <w:sz w:val="20"/>
                <w:szCs w:val="20"/>
                <w:lang w:val="fr-CA"/>
              </w:rPr>
            </w:pPr>
            <w:r w:rsidRPr="00096290">
              <w:rPr>
                <w:color w:val="000000" w:themeColor="text1"/>
                <w:sz w:val="20"/>
                <w:szCs w:val="20"/>
                <w:lang w:val="fr-CA"/>
              </w:rPr>
              <w:t xml:space="preserve">Participation au webinaire du 28 février 2020 sur le </w:t>
            </w:r>
            <w:r w:rsidR="00E10221">
              <w:rPr>
                <w:color w:val="000000" w:themeColor="text1"/>
                <w:sz w:val="20"/>
                <w:szCs w:val="20"/>
                <w:lang w:val="fr-CA"/>
              </w:rPr>
              <w:t xml:space="preserve">mécanisme de financement </w:t>
            </w:r>
            <w:r w:rsidRPr="00096290">
              <w:rPr>
                <w:color w:val="000000" w:themeColor="text1"/>
                <w:sz w:val="20"/>
                <w:szCs w:val="20"/>
                <w:lang w:val="fr-CA"/>
              </w:rPr>
              <w:t>des contributions déterminées au niveau national pour un refroidissement efficace et écologique</w:t>
            </w:r>
            <w:r w:rsidR="00E10221">
              <w:rPr>
                <w:color w:val="000000" w:themeColor="text1"/>
                <w:sz w:val="20"/>
                <w:szCs w:val="20"/>
                <w:lang w:val="fr-CA"/>
              </w:rPr>
              <w:t xml:space="preserve"> (mécanisme de soutien des contributions déterminées au niveau national)</w:t>
            </w:r>
            <w:r w:rsidRPr="00096290">
              <w:rPr>
                <w:color w:val="000000" w:themeColor="text1"/>
                <w:sz w:val="20"/>
                <w:szCs w:val="20"/>
                <w:lang w:val="fr-CA"/>
              </w:rPr>
              <w:t>, une nouvelle initiative qui offre un soutien financier et une orientation aux entités qui soutiennent les pays dans l’intégration de solutions de refroidissement dans le prochain cycle de leurs contributions déterminées au niveau national.</w:t>
            </w:r>
          </w:p>
          <w:p w:rsidR="00D4538F" w:rsidRPr="00096290" w:rsidRDefault="006A5060" w:rsidP="00225734">
            <w:pPr>
              <w:spacing w:before="60" w:after="60"/>
              <w:jc w:val="left"/>
              <w:rPr>
                <w:color w:val="000000" w:themeColor="text1"/>
                <w:sz w:val="20"/>
                <w:szCs w:val="20"/>
                <w:lang w:val="fr-CA"/>
              </w:rPr>
            </w:pPr>
            <w:r w:rsidRPr="00096290">
              <w:rPr>
                <w:color w:val="000000" w:themeColor="text1"/>
                <w:sz w:val="20"/>
                <w:szCs w:val="20"/>
                <w:lang w:val="fr-CA"/>
              </w:rPr>
              <w:t xml:space="preserve">En réponse à la demande </w:t>
            </w:r>
            <w:r w:rsidR="005B7630" w:rsidRPr="00096290">
              <w:rPr>
                <w:color w:val="000000" w:themeColor="text1"/>
                <w:sz w:val="20"/>
                <w:szCs w:val="20"/>
                <w:lang w:val="fr-CA"/>
              </w:rPr>
              <w:t xml:space="preserve">de précisions </w:t>
            </w:r>
            <w:r w:rsidRPr="00096290">
              <w:rPr>
                <w:color w:val="000000" w:themeColor="text1"/>
                <w:sz w:val="20"/>
                <w:szCs w:val="20"/>
                <w:lang w:val="fr-CA"/>
              </w:rPr>
              <w:t>du Secrétariat</w:t>
            </w:r>
            <w:r w:rsidR="00105FE5">
              <w:rPr>
                <w:color w:val="000000" w:themeColor="text1"/>
                <w:sz w:val="20"/>
                <w:szCs w:val="20"/>
                <w:lang w:val="fr-CA"/>
              </w:rPr>
              <w:t>,</w:t>
            </w:r>
            <w:r w:rsidRPr="00096290">
              <w:rPr>
                <w:color w:val="000000" w:themeColor="text1"/>
                <w:sz w:val="20"/>
                <w:szCs w:val="20"/>
                <w:lang w:val="fr-CA"/>
              </w:rPr>
              <w:t xml:space="preserve"> </w:t>
            </w:r>
            <w:r w:rsidR="005B7630" w:rsidRPr="00096290">
              <w:rPr>
                <w:color w:val="000000" w:themeColor="text1"/>
                <w:sz w:val="20"/>
                <w:szCs w:val="20"/>
                <w:lang w:val="fr-CA"/>
              </w:rPr>
              <w:t xml:space="preserve">qui voulait savoir si les propositions de projet </w:t>
            </w:r>
            <w:r w:rsidR="00225734">
              <w:rPr>
                <w:color w:val="000000" w:themeColor="text1"/>
                <w:sz w:val="20"/>
                <w:szCs w:val="20"/>
                <w:lang w:val="fr-CA"/>
              </w:rPr>
              <w:t>à présenter</w:t>
            </w:r>
            <w:r w:rsidR="005B7630" w:rsidRPr="00096290">
              <w:rPr>
                <w:color w:val="000000" w:themeColor="text1"/>
                <w:sz w:val="20"/>
                <w:szCs w:val="20"/>
                <w:lang w:val="fr-CA"/>
              </w:rPr>
              <w:t xml:space="preserve"> comprendraient des mesures de protection pour éviter l’adoption de solutions de refroidissement à base de f</w:t>
            </w:r>
            <w:r w:rsidR="004011F5">
              <w:rPr>
                <w:color w:val="000000" w:themeColor="text1"/>
                <w:sz w:val="20"/>
                <w:szCs w:val="20"/>
                <w:lang w:val="fr-CA"/>
              </w:rPr>
              <w:t>rigorigènes à PRG élevé, le K-CE</w:t>
            </w:r>
            <w:r w:rsidR="005B7630" w:rsidRPr="00096290">
              <w:rPr>
                <w:color w:val="000000" w:themeColor="text1"/>
                <w:sz w:val="20"/>
                <w:szCs w:val="20"/>
                <w:lang w:val="fr-CA"/>
              </w:rPr>
              <w:t>P a indiqué que le mécanisme de soutien des contributions déterminées au niveau national ferait la promotion de technologies à faible PRG</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85</w:t>
            </w:r>
          </w:p>
        </w:tc>
      </w:tr>
      <w:tr w:rsidR="00D4538F" w:rsidRPr="00096290" w:rsidTr="00CC24C6">
        <w:trPr>
          <w:cantSplit/>
        </w:trPr>
        <w:tc>
          <w:tcPr>
            <w:tcW w:w="8275" w:type="dxa"/>
            <w:shd w:val="clear" w:color="auto" w:fill="auto"/>
            <w:noWrap/>
            <w:vAlign w:val="center"/>
          </w:tcPr>
          <w:p w:rsidR="00D4538F" w:rsidRPr="00096290" w:rsidRDefault="005B7630" w:rsidP="004011F5">
            <w:pPr>
              <w:spacing w:before="60" w:after="60"/>
              <w:jc w:val="left"/>
              <w:rPr>
                <w:sz w:val="20"/>
                <w:szCs w:val="20"/>
                <w:lang w:val="fr-CA"/>
              </w:rPr>
            </w:pPr>
            <w:r w:rsidRPr="00096290">
              <w:rPr>
                <w:sz w:val="20"/>
                <w:szCs w:val="20"/>
                <w:lang w:val="fr-CA"/>
              </w:rPr>
              <w:t>En réponse à une demande de communiquer des observations à ITAD Ltée, une organisation chargée de mieux faire comprendre le rôle d</w:t>
            </w:r>
            <w:r w:rsidR="00105FE5">
              <w:rPr>
                <w:sz w:val="20"/>
                <w:szCs w:val="20"/>
                <w:lang w:val="fr-CA"/>
              </w:rPr>
              <w:t>u</w:t>
            </w:r>
            <w:r w:rsidRPr="00096290">
              <w:rPr>
                <w:sz w:val="20"/>
                <w:szCs w:val="20"/>
                <w:lang w:val="fr-CA"/>
              </w:rPr>
              <w:t xml:space="preserve"> K-CEP </w:t>
            </w:r>
            <w:r w:rsidR="00600762" w:rsidRPr="00096290">
              <w:rPr>
                <w:sz w:val="20"/>
                <w:szCs w:val="20"/>
                <w:lang w:val="fr-CA"/>
              </w:rPr>
              <w:t>dans</w:t>
            </w:r>
            <w:r w:rsidRPr="00096290">
              <w:rPr>
                <w:sz w:val="20"/>
                <w:szCs w:val="20"/>
                <w:lang w:val="fr-CA"/>
              </w:rPr>
              <w:t xml:space="preserve"> la promotion de l’effi</w:t>
            </w:r>
            <w:r w:rsidR="00600762" w:rsidRPr="00096290">
              <w:rPr>
                <w:sz w:val="20"/>
                <w:szCs w:val="20"/>
                <w:lang w:val="fr-CA"/>
              </w:rPr>
              <w:t>c</w:t>
            </w:r>
            <w:r w:rsidRPr="00096290">
              <w:rPr>
                <w:sz w:val="20"/>
                <w:szCs w:val="20"/>
                <w:lang w:val="fr-CA"/>
              </w:rPr>
              <w:t xml:space="preserve">acité énergétique dans le secteur du refroidissement, le Secrétariat a participé à une conférence téléphonique </w:t>
            </w:r>
            <w:r w:rsidR="00486277">
              <w:rPr>
                <w:sz w:val="20"/>
                <w:szCs w:val="20"/>
                <w:lang w:val="fr-CA"/>
              </w:rPr>
              <w:t>avec un membre du personnel d</w:t>
            </w:r>
            <w:r w:rsidRPr="00096290">
              <w:rPr>
                <w:sz w:val="20"/>
                <w:szCs w:val="20"/>
                <w:lang w:val="fr-CA"/>
              </w:rPr>
              <w:t>’ITAD</w:t>
            </w:r>
            <w:r w:rsidR="00600762" w:rsidRPr="00096290">
              <w:rPr>
                <w:sz w:val="20"/>
                <w:szCs w:val="20"/>
                <w:lang w:val="fr-CA"/>
              </w:rPr>
              <w:t xml:space="preserve"> </w:t>
            </w:r>
            <w:r w:rsidR="00105FE5">
              <w:rPr>
                <w:sz w:val="20"/>
                <w:szCs w:val="20"/>
                <w:lang w:val="fr-CA"/>
              </w:rPr>
              <w:t>afin de</w:t>
            </w:r>
            <w:r w:rsidR="00600762" w:rsidRPr="00096290">
              <w:rPr>
                <w:sz w:val="20"/>
                <w:szCs w:val="20"/>
                <w:lang w:val="fr-CA"/>
              </w:rPr>
              <w:t xml:space="preserve"> l’informer de la contri</w:t>
            </w:r>
            <w:r w:rsidR="00105FE5">
              <w:rPr>
                <w:sz w:val="20"/>
                <w:szCs w:val="20"/>
                <w:lang w:val="fr-CA"/>
              </w:rPr>
              <w:t>bution du Secrétariat au K-CEP lors de</w:t>
            </w:r>
            <w:r w:rsidR="00600762" w:rsidRPr="00096290">
              <w:rPr>
                <w:sz w:val="20"/>
                <w:szCs w:val="20"/>
                <w:lang w:val="fr-CA"/>
              </w:rPr>
              <w:t xml:space="preserve"> la phase initiale de sa </w:t>
            </w:r>
            <w:r w:rsidR="00105FE5">
              <w:rPr>
                <w:sz w:val="20"/>
                <w:szCs w:val="20"/>
                <w:lang w:val="fr-CA"/>
              </w:rPr>
              <w:t>mise sur pied</w:t>
            </w:r>
            <w:r w:rsidR="00600762" w:rsidRPr="00096290">
              <w:rPr>
                <w:sz w:val="20"/>
                <w:szCs w:val="20"/>
                <w:lang w:val="fr-CA"/>
              </w:rPr>
              <w:t xml:space="preserve"> et sa compréhension du lien entre les activités du K-CEP et les activités de projet du Protocole de Montréal, surtout en ce qui concerne les projets de réduction progressive des HFC</w:t>
            </w:r>
            <w:r w:rsidR="00D4538F" w:rsidRPr="00096290">
              <w:rPr>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84</w:t>
            </w:r>
          </w:p>
        </w:tc>
      </w:tr>
      <w:tr w:rsidR="00D4538F" w:rsidRPr="00096290" w:rsidTr="00CC24C6">
        <w:trPr>
          <w:cantSplit/>
        </w:trPr>
        <w:tc>
          <w:tcPr>
            <w:tcW w:w="8275" w:type="dxa"/>
            <w:shd w:val="clear" w:color="auto" w:fill="auto"/>
            <w:noWrap/>
            <w:vAlign w:val="center"/>
            <w:hideMark/>
          </w:tcPr>
          <w:p w:rsidR="00D4538F" w:rsidRPr="00096290" w:rsidRDefault="00600762" w:rsidP="00D4538F">
            <w:pPr>
              <w:spacing w:before="60" w:after="60"/>
              <w:jc w:val="left"/>
              <w:rPr>
                <w:color w:val="000000" w:themeColor="text1"/>
                <w:sz w:val="20"/>
                <w:szCs w:val="20"/>
                <w:lang w:val="fr-CA"/>
              </w:rPr>
            </w:pPr>
            <w:r w:rsidRPr="00096290">
              <w:rPr>
                <w:color w:val="000000" w:themeColor="text1"/>
                <w:sz w:val="20"/>
                <w:szCs w:val="20"/>
                <w:lang w:val="fr-CA"/>
              </w:rPr>
              <w:t xml:space="preserve">Partage informel </w:t>
            </w:r>
            <w:r w:rsidR="00105FE5">
              <w:rPr>
                <w:color w:val="000000" w:themeColor="text1"/>
                <w:sz w:val="20"/>
                <w:szCs w:val="20"/>
                <w:lang w:val="fr-CA"/>
              </w:rPr>
              <w:t xml:space="preserve">permanent </w:t>
            </w:r>
            <w:r w:rsidRPr="00096290">
              <w:rPr>
                <w:color w:val="000000" w:themeColor="text1"/>
                <w:sz w:val="20"/>
                <w:szCs w:val="20"/>
                <w:lang w:val="fr-CA"/>
              </w:rPr>
              <w:t>de renseignements sur l’expérience du Fonds multilatéral</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80</w:t>
            </w:r>
          </w:p>
        </w:tc>
      </w:tr>
      <w:tr w:rsidR="00D4538F" w:rsidRPr="00096290" w:rsidTr="00CC24C6">
        <w:trPr>
          <w:cantSplit/>
        </w:trPr>
        <w:tc>
          <w:tcPr>
            <w:tcW w:w="8275" w:type="dxa"/>
            <w:shd w:val="clear" w:color="auto" w:fill="auto"/>
            <w:vAlign w:val="center"/>
            <w:hideMark/>
          </w:tcPr>
          <w:p w:rsidR="00D4538F" w:rsidRPr="00096290" w:rsidRDefault="00600762" w:rsidP="00D4538F">
            <w:pPr>
              <w:spacing w:before="60" w:after="60"/>
              <w:jc w:val="left"/>
              <w:rPr>
                <w:color w:val="000000" w:themeColor="text1"/>
                <w:sz w:val="20"/>
                <w:szCs w:val="20"/>
                <w:lang w:val="fr-CA"/>
              </w:rPr>
            </w:pPr>
            <w:r w:rsidRPr="00096290">
              <w:rPr>
                <w:color w:val="000000" w:themeColor="text1"/>
                <w:sz w:val="20"/>
                <w:szCs w:val="20"/>
                <w:lang w:val="fr-CA"/>
              </w:rPr>
              <w:t>Le directeur et un autre représentant du K-CEP responsable de la</w:t>
            </w:r>
            <w:r w:rsidR="00105FE5">
              <w:rPr>
                <w:color w:val="000000" w:themeColor="text1"/>
                <w:sz w:val="20"/>
                <w:szCs w:val="20"/>
                <w:lang w:val="fr-CA"/>
              </w:rPr>
              <w:t xml:space="preserve"> coordination des travaux de 19 </w:t>
            </w:r>
            <w:r w:rsidRPr="00096290">
              <w:rPr>
                <w:color w:val="000000" w:themeColor="text1"/>
                <w:sz w:val="20"/>
                <w:szCs w:val="20"/>
                <w:lang w:val="fr-CA"/>
              </w:rPr>
              <w:t xml:space="preserve">fondations philanthropiques sur les </w:t>
            </w:r>
            <w:r w:rsidR="00DC066C" w:rsidRPr="00096290">
              <w:rPr>
                <w:color w:val="000000" w:themeColor="text1"/>
                <w:sz w:val="20"/>
                <w:szCs w:val="20"/>
                <w:lang w:val="fr-CA"/>
              </w:rPr>
              <w:t>questions</w:t>
            </w:r>
            <w:r w:rsidRPr="00096290">
              <w:rPr>
                <w:color w:val="000000" w:themeColor="text1"/>
                <w:sz w:val="20"/>
                <w:szCs w:val="20"/>
                <w:lang w:val="fr-CA"/>
              </w:rPr>
              <w:t xml:space="preserve"> liées à l’efficacité </w:t>
            </w:r>
            <w:r w:rsidR="00DC066C" w:rsidRPr="00096290">
              <w:rPr>
                <w:color w:val="000000" w:themeColor="text1"/>
                <w:sz w:val="20"/>
                <w:szCs w:val="20"/>
                <w:lang w:val="fr-CA"/>
              </w:rPr>
              <w:t>énergétique</w:t>
            </w:r>
            <w:r w:rsidRPr="00096290">
              <w:rPr>
                <w:color w:val="000000" w:themeColor="text1"/>
                <w:sz w:val="20"/>
                <w:szCs w:val="20"/>
                <w:lang w:val="fr-CA"/>
              </w:rPr>
              <w:t xml:space="preserve"> et le refroidissement dans le contexte de l</w:t>
            </w:r>
            <w:r w:rsidR="00DC066C" w:rsidRPr="00096290">
              <w:rPr>
                <w:color w:val="000000" w:themeColor="text1"/>
                <w:sz w:val="20"/>
                <w:szCs w:val="20"/>
                <w:lang w:val="fr-CA"/>
              </w:rPr>
              <w:t xml:space="preserve">a mise en œuvre </w:t>
            </w:r>
            <w:r w:rsidRPr="00096290">
              <w:rPr>
                <w:color w:val="000000" w:themeColor="text1"/>
                <w:sz w:val="20"/>
                <w:szCs w:val="20"/>
                <w:lang w:val="fr-CA"/>
              </w:rPr>
              <w:t>de l’Amend</w:t>
            </w:r>
            <w:r w:rsidR="00DC066C" w:rsidRPr="00096290">
              <w:rPr>
                <w:color w:val="000000" w:themeColor="text1"/>
                <w:sz w:val="20"/>
                <w:szCs w:val="20"/>
                <w:lang w:val="fr-CA"/>
              </w:rPr>
              <w:t>e</w:t>
            </w:r>
            <w:r w:rsidR="00105FE5">
              <w:rPr>
                <w:color w:val="000000" w:themeColor="text1"/>
                <w:sz w:val="20"/>
                <w:szCs w:val="20"/>
                <w:lang w:val="fr-CA"/>
              </w:rPr>
              <w:t>ment de Kigali</w:t>
            </w:r>
            <w:r w:rsidRPr="00096290">
              <w:rPr>
                <w:color w:val="000000" w:themeColor="text1"/>
                <w:sz w:val="20"/>
                <w:szCs w:val="20"/>
                <w:lang w:val="fr-CA"/>
              </w:rPr>
              <w:t xml:space="preserve"> ont rendu visite au Secrétariat le 26 janvier 2017, afin d’en apprendre davantage sur le Fonds multilatéral. Le K-CEP souhaite attribuer environ 53 millions $US de ses</w:t>
            </w:r>
            <w:r w:rsidR="00DC066C" w:rsidRPr="00096290">
              <w:rPr>
                <w:color w:val="000000" w:themeColor="text1"/>
                <w:sz w:val="20"/>
                <w:szCs w:val="20"/>
                <w:lang w:val="fr-CA"/>
              </w:rPr>
              <w:t xml:space="preserve"> fondations philanthro</w:t>
            </w:r>
            <w:r w:rsidRPr="00096290">
              <w:rPr>
                <w:color w:val="000000" w:themeColor="text1"/>
                <w:sz w:val="20"/>
                <w:szCs w:val="20"/>
                <w:lang w:val="fr-CA"/>
              </w:rPr>
              <w:t>piques d’ici la fin de 2017</w:t>
            </w:r>
            <w:r w:rsidR="00DC066C" w:rsidRPr="00096290">
              <w:rPr>
                <w:color w:val="000000" w:themeColor="text1"/>
                <w:sz w:val="20"/>
                <w:szCs w:val="20"/>
                <w:lang w:val="fr-CA"/>
              </w:rPr>
              <w:t xml:space="preserve"> par le biais du soutien ciblé aux programmes de pays de plusieurs petits pays et un soutien plus général à plus de 100 pays, afin d’améliorer l’efficacité énergétique</w:t>
            </w:r>
            <w:r w:rsidR="002A37E0">
              <w:rPr>
                <w:color w:val="000000" w:themeColor="text1"/>
                <w:sz w:val="20"/>
                <w:szCs w:val="20"/>
                <w:lang w:val="fr-CA"/>
              </w:rPr>
              <w:t>.</w:t>
            </w:r>
          </w:p>
          <w:p w:rsidR="00D4538F" w:rsidRPr="00096290" w:rsidRDefault="00DC066C" w:rsidP="00486277">
            <w:pPr>
              <w:spacing w:before="60" w:after="60"/>
              <w:jc w:val="left"/>
              <w:rPr>
                <w:color w:val="000000" w:themeColor="text1"/>
                <w:sz w:val="20"/>
                <w:szCs w:val="20"/>
                <w:lang w:val="fr-CA"/>
              </w:rPr>
            </w:pPr>
            <w:r w:rsidRPr="00096290">
              <w:rPr>
                <w:color w:val="000000" w:themeColor="text1"/>
                <w:sz w:val="20"/>
                <w:szCs w:val="20"/>
                <w:lang w:val="fr-CA"/>
              </w:rPr>
              <w:t>Le document d’introduction du Comité exécutif</w:t>
            </w:r>
            <w:r w:rsidR="004011F5">
              <w:rPr>
                <w:color w:val="000000" w:themeColor="text1"/>
                <w:sz w:val="20"/>
                <w:szCs w:val="20"/>
                <w:lang w:val="fr-CA"/>
              </w:rPr>
              <w:t> </w:t>
            </w:r>
            <w:r w:rsidRPr="00096290">
              <w:rPr>
                <w:color w:val="000000" w:themeColor="text1"/>
                <w:sz w:val="20"/>
                <w:szCs w:val="20"/>
                <w:lang w:val="fr-CA"/>
              </w:rPr>
              <w:t>; une présentation résumant le fonctionnement du Fonds multilatéral</w:t>
            </w:r>
            <w:r w:rsidR="004011F5">
              <w:rPr>
                <w:color w:val="000000" w:themeColor="text1"/>
                <w:sz w:val="20"/>
                <w:szCs w:val="20"/>
                <w:lang w:val="fr-CA"/>
              </w:rPr>
              <w:t> </w:t>
            </w:r>
            <w:r w:rsidRPr="00096290">
              <w:rPr>
                <w:color w:val="000000" w:themeColor="text1"/>
                <w:sz w:val="20"/>
                <w:szCs w:val="20"/>
                <w:lang w:val="fr-CA"/>
              </w:rPr>
              <w:t>; les lignes directrices pour la présentation des rapports périodiques et fina</w:t>
            </w:r>
            <w:r w:rsidR="003D2A23" w:rsidRPr="00096290">
              <w:rPr>
                <w:color w:val="000000" w:themeColor="text1"/>
                <w:sz w:val="20"/>
                <w:szCs w:val="20"/>
                <w:lang w:val="fr-CA"/>
              </w:rPr>
              <w:t>nciers</w:t>
            </w:r>
            <w:r w:rsidR="004011F5">
              <w:rPr>
                <w:color w:val="000000" w:themeColor="text1"/>
                <w:sz w:val="20"/>
                <w:szCs w:val="20"/>
                <w:lang w:val="fr-CA"/>
              </w:rPr>
              <w:t> </w:t>
            </w:r>
            <w:r w:rsidR="003D2A23" w:rsidRPr="00096290">
              <w:rPr>
                <w:color w:val="000000" w:themeColor="text1"/>
                <w:sz w:val="20"/>
                <w:szCs w:val="20"/>
                <w:lang w:val="fr-CA"/>
              </w:rPr>
              <w:t>; le guide de préparati</w:t>
            </w:r>
            <w:r w:rsidRPr="00096290">
              <w:rPr>
                <w:color w:val="000000" w:themeColor="text1"/>
                <w:sz w:val="20"/>
                <w:szCs w:val="20"/>
                <w:lang w:val="fr-CA"/>
              </w:rPr>
              <w:t>on des propositions de projets</w:t>
            </w:r>
            <w:r w:rsidR="004011F5">
              <w:rPr>
                <w:color w:val="000000" w:themeColor="text1"/>
                <w:sz w:val="20"/>
                <w:szCs w:val="20"/>
                <w:lang w:val="fr-CA"/>
              </w:rPr>
              <w:t> </w:t>
            </w:r>
            <w:r w:rsidRPr="00096290">
              <w:rPr>
                <w:color w:val="000000" w:themeColor="text1"/>
                <w:sz w:val="20"/>
                <w:szCs w:val="20"/>
                <w:lang w:val="fr-CA"/>
              </w:rPr>
              <w:t>; les modèles de rapport d’achèv</w:t>
            </w:r>
            <w:r w:rsidR="003D2A23" w:rsidRPr="00096290">
              <w:rPr>
                <w:color w:val="000000" w:themeColor="text1"/>
                <w:sz w:val="20"/>
                <w:szCs w:val="20"/>
                <w:lang w:val="fr-CA"/>
              </w:rPr>
              <w:t>e</w:t>
            </w:r>
            <w:r w:rsidRPr="00096290">
              <w:rPr>
                <w:color w:val="000000" w:themeColor="text1"/>
                <w:sz w:val="20"/>
                <w:szCs w:val="20"/>
                <w:lang w:val="fr-CA"/>
              </w:rPr>
              <w:t>ment de proje</w:t>
            </w:r>
            <w:r w:rsidR="00486277">
              <w:rPr>
                <w:color w:val="000000" w:themeColor="text1"/>
                <w:sz w:val="20"/>
                <w:szCs w:val="20"/>
                <w:lang w:val="fr-CA"/>
              </w:rPr>
              <w:t>t,</w:t>
            </w:r>
            <w:r w:rsidRPr="00096290">
              <w:rPr>
                <w:color w:val="000000" w:themeColor="text1"/>
                <w:sz w:val="20"/>
                <w:szCs w:val="20"/>
                <w:lang w:val="fr-CA"/>
              </w:rPr>
              <w:t xml:space="preserve"> le document</w:t>
            </w:r>
            <w:r w:rsidR="00D4538F" w:rsidRPr="00096290">
              <w:rPr>
                <w:color w:val="000000" w:themeColor="text1"/>
                <w:sz w:val="20"/>
                <w:szCs w:val="20"/>
                <w:lang w:val="fr-CA"/>
              </w:rPr>
              <w:t xml:space="preserve"> UNEP/OzL.Pro/ExCom/74/51 </w:t>
            </w:r>
            <w:r w:rsidRPr="00096290">
              <w:rPr>
                <w:color w:val="000000" w:themeColor="text1"/>
                <w:sz w:val="20"/>
                <w:szCs w:val="20"/>
                <w:lang w:val="fr-CA"/>
              </w:rPr>
              <w:t xml:space="preserve">sur </w:t>
            </w:r>
            <w:r w:rsidR="003D2A23" w:rsidRPr="00096290">
              <w:rPr>
                <w:color w:val="000000" w:themeColor="text1"/>
                <w:sz w:val="20"/>
                <w:szCs w:val="20"/>
                <w:lang w:val="fr-CA"/>
              </w:rPr>
              <w:t>l’examen d</w:t>
            </w:r>
            <w:r w:rsidR="00486277">
              <w:rPr>
                <w:color w:val="000000" w:themeColor="text1"/>
                <w:sz w:val="20"/>
                <w:szCs w:val="20"/>
                <w:lang w:val="fr-CA"/>
              </w:rPr>
              <w:t>u renforcement des institutions</w:t>
            </w:r>
            <w:r w:rsidR="003D2A23" w:rsidRPr="00096290">
              <w:rPr>
                <w:color w:val="000000" w:themeColor="text1"/>
                <w:sz w:val="20"/>
                <w:szCs w:val="20"/>
                <w:lang w:val="fr-CA"/>
              </w:rPr>
              <w:t xml:space="preserve"> et la décision connexe</w:t>
            </w:r>
            <w:r w:rsidRPr="00096290">
              <w:rPr>
                <w:color w:val="000000" w:themeColor="text1"/>
                <w:sz w:val="20"/>
                <w:szCs w:val="20"/>
                <w:lang w:val="fr-CA"/>
              </w:rPr>
              <w:t xml:space="preserve"> du</w:t>
            </w:r>
            <w:r w:rsidR="004011F5">
              <w:rPr>
                <w:color w:val="000000" w:themeColor="text1"/>
                <w:sz w:val="20"/>
                <w:szCs w:val="20"/>
                <w:lang w:val="fr-CA"/>
              </w:rPr>
              <w:t xml:space="preserve"> </w:t>
            </w:r>
            <w:r w:rsidR="00D4538F" w:rsidRPr="00096290">
              <w:rPr>
                <w:color w:val="000000" w:themeColor="text1"/>
                <w:sz w:val="20"/>
                <w:szCs w:val="20"/>
                <w:lang w:val="fr-CA"/>
              </w:rPr>
              <w:t>74/51</w:t>
            </w:r>
            <w:r w:rsidR="003D2A23" w:rsidRPr="00096290">
              <w:rPr>
                <w:color w:val="000000" w:themeColor="text1"/>
                <w:sz w:val="20"/>
                <w:szCs w:val="20"/>
                <w:lang w:val="fr-CA"/>
              </w:rPr>
              <w:t xml:space="preserve"> figuraient </w:t>
            </w:r>
            <w:r w:rsidR="002A37E0">
              <w:rPr>
                <w:color w:val="000000" w:themeColor="text1"/>
                <w:sz w:val="20"/>
                <w:szCs w:val="20"/>
                <w:lang w:val="fr-CA"/>
              </w:rPr>
              <w:t>parmi</w:t>
            </w:r>
            <w:r w:rsidR="003D2A23" w:rsidRPr="00096290">
              <w:rPr>
                <w:color w:val="000000" w:themeColor="text1"/>
                <w:sz w:val="20"/>
                <w:szCs w:val="20"/>
                <w:lang w:val="fr-CA"/>
              </w:rPr>
              <w:t xml:space="preserve"> les informations fournies</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78</w:t>
            </w:r>
          </w:p>
        </w:tc>
      </w:tr>
      <w:tr w:rsidR="00D4538F" w:rsidRPr="00096290" w:rsidTr="00192798">
        <w:trPr>
          <w:cantSplit/>
        </w:trPr>
        <w:tc>
          <w:tcPr>
            <w:tcW w:w="9355" w:type="dxa"/>
            <w:gridSpan w:val="2"/>
            <w:shd w:val="clear" w:color="auto" w:fill="auto"/>
            <w:tcMar>
              <w:left w:w="115" w:type="dxa"/>
              <w:right w:w="173" w:type="dxa"/>
            </w:tcMar>
            <w:vAlign w:val="center"/>
          </w:tcPr>
          <w:p w:rsidR="00D4538F" w:rsidRPr="00096290" w:rsidRDefault="003D2A23" w:rsidP="00BF7666">
            <w:pPr>
              <w:keepNext/>
              <w:keepLines/>
              <w:spacing w:before="60" w:after="60"/>
              <w:jc w:val="left"/>
              <w:rPr>
                <w:b/>
                <w:color w:val="000000" w:themeColor="text1"/>
                <w:sz w:val="20"/>
                <w:szCs w:val="20"/>
                <w:lang w:val="fr-CA"/>
              </w:rPr>
            </w:pPr>
            <w:r w:rsidRPr="00096290">
              <w:rPr>
                <w:b/>
                <w:color w:val="000000" w:themeColor="text1"/>
                <w:sz w:val="20"/>
                <w:szCs w:val="20"/>
                <w:lang w:val="fr-CA"/>
              </w:rPr>
              <w:lastRenderedPageBreak/>
              <w:t xml:space="preserve">Laboratoire national </w:t>
            </w:r>
            <w:r w:rsidR="00D4538F" w:rsidRPr="00096290">
              <w:rPr>
                <w:b/>
                <w:color w:val="000000" w:themeColor="text1"/>
                <w:sz w:val="20"/>
                <w:szCs w:val="20"/>
                <w:lang w:val="fr-CA"/>
              </w:rPr>
              <w:t>Lawrence Berkeley</w:t>
            </w:r>
          </w:p>
        </w:tc>
      </w:tr>
      <w:tr w:rsidR="00D4538F" w:rsidRPr="00096290" w:rsidTr="00CC24C6">
        <w:trPr>
          <w:cantSplit/>
        </w:trPr>
        <w:tc>
          <w:tcPr>
            <w:tcW w:w="8275" w:type="dxa"/>
            <w:shd w:val="clear" w:color="auto" w:fill="auto"/>
            <w:vAlign w:val="center"/>
            <w:hideMark/>
          </w:tcPr>
          <w:p w:rsidR="00D4538F" w:rsidRPr="00096290" w:rsidRDefault="003D2A23" w:rsidP="008738DC">
            <w:pPr>
              <w:spacing w:before="60" w:after="60"/>
              <w:jc w:val="left"/>
              <w:rPr>
                <w:color w:val="000000" w:themeColor="text1"/>
                <w:sz w:val="20"/>
                <w:szCs w:val="20"/>
                <w:lang w:val="fr-CA"/>
              </w:rPr>
            </w:pPr>
            <w:r w:rsidRPr="00096290">
              <w:rPr>
                <w:color w:val="000000" w:themeColor="text1"/>
                <w:sz w:val="20"/>
                <w:szCs w:val="20"/>
                <w:lang w:val="fr-CA"/>
              </w:rPr>
              <w:t xml:space="preserve">Le Secrétariat a transmis ses observations sur un projet de rapport sur les possibilités et risques </w:t>
            </w:r>
            <w:r w:rsidR="002A37E0">
              <w:rPr>
                <w:color w:val="000000" w:themeColor="text1"/>
                <w:sz w:val="20"/>
                <w:szCs w:val="20"/>
                <w:lang w:val="fr-CA"/>
              </w:rPr>
              <w:t xml:space="preserve">associés à </w:t>
            </w:r>
            <w:r w:rsidRPr="00096290">
              <w:rPr>
                <w:color w:val="000000" w:themeColor="text1"/>
                <w:sz w:val="20"/>
                <w:szCs w:val="20"/>
                <w:lang w:val="fr-CA"/>
              </w:rPr>
              <w:t xml:space="preserve">l’amélioration de l’efficacité énergétiques et </w:t>
            </w:r>
            <w:r w:rsidR="008738DC">
              <w:rPr>
                <w:color w:val="000000" w:themeColor="text1"/>
                <w:sz w:val="20"/>
                <w:szCs w:val="20"/>
                <w:lang w:val="fr-CA"/>
              </w:rPr>
              <w:t>les</w:t>
            </w:r>
            <w:r w:rsidRPr="00096290">
              <w:rPr>
                <w:color w:val="000000" w:themeColor="text1"/>
                <w:sz w:val="20"/>
                <w:szCs w:val="20"/>
                <w:lang w:val="fr-CA"/>
              </w:rPr>
              <w:t xml:space="preserve"> changement de frigorigènes dans les climatiseurs de pièce</w:t>
            </w:r>
            <w:r w:rsidR="008738DC">
              <w:rPr>
                <w:color w:val="000000" w:themeColor="text1"/>
                <w:sz w:val="20"/>
                <w:szCs w:val="20"/>
                <w:lang w:val="fr-CA"/>
              </w:rPr>
              <w:t>.</w:t>
            </w:r>
          </w:p>
        </w:tc>
        <w:tc>
          <w:tcPr>
            <w:tcW w:w="1080" w:type="dxa"/>
            <w:shd w:val="clear" w:color="auto" w:fill="auto"/>
            <w:tcMar>
              <w:left w:w="115" w:type="dxa"/>
              <w:right w:w="173" w:type="dxa"/>
            </w:tcMar>
            <w:vAlign w:val="center"/>
            <w:hideMark/>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80</w:t>
            </w:r>
          </w:p>
        </w:tc>
      </w:tr>
      <w:tr w:rsidR="00D4538F" w:rsidRPr="00755FF1" w:rsidTr="00192798">
        <w:trPr>
          <w:cantSplit/>
        </w:trPr>
        <w:tc>
          <w:tcPr>
            <w:tcW w:w="9355" w:type="dxa"/>
            <w:gridSpan w:val="2"/>
            <w:shd w:val="clear" w:color="auto" w:fill="auto"/>
            <w:tcMar>
              <w:left w:w="115" w:type="dxa"/>
              <w:right w:w="173" w:type="dxa"/>
            </w:tcMar>
            <w:vAlign w:val="center"/>
          </w:tcPr>
          <w:p w:rsidR="00D4538F" w:rsidRPr="00096290" w:rsidRDefault="003D2A23" w:rsidP="00D4538F">
            <w:pPr>
              <w:spacing w:before="60" w:after="60"/>
              <w:jc w:val="left"/>
              <w:rPr>
                <w:b/>
                <w:color w:val="000000" w:themeColor="text1"/>
                <w:sz w:val="20"/>
                <w:szCs w:val="20"/>
                <w:lang w:val="fr-CA"/>
              </w:rPr>
            </w:pPr>
            <w:r w:rsidRPr="00096290">
              <w:rPr>
                <w:b/>
                <w:color w:val="000000" w:themeColor="text1"/>
                <w:sz w:val="20"/>
                <w:szCs w:val="20"/>
                <w:lang w:val="fr-CA"/>
              </w:rPr>
              <w:t>Conseil de défense des ressources naturelles</w:t>
            </w:r>
          </w:p>
        </w:tc>
      </w:tr>
      <w:tr w:rsidR="00D4538F" w:rsidRPr="00096290" w:rsidTr="00CC24C6">
        <w:trPr>
          <w:cantSplit/>
        </w:trPr>
        <w:tc>
          <w:tcPr>
            <w:tcW w:w="8275" w:type="dxa"/>
            <w:shd w:val="clear" w:color="auto" w:fill="auto"/>
            <w:vAlign w:val="center"/>
          </w:tcPr>
          <w:p w:rsidR="00D4538F" w:rsidRPr="00096290" w:rsidRDefault="003D2A23" w:rsidP="004011F5">
            <w:pPr>
              <w:spacing w:before="60" w:after="60"/>
              <w:jc w:val="left"/>
              <w:rPr>
                <w:color w:val="000000" w:themeColor="text1"/>
                <w:sz w:val="20"/>
                <w:szCs w:val="20"/>
                <w:lang w:val="fr-CA"/>
              </w:rPr>
            </w:pPr>
            <w:r w:rsidRPr="00096290">
              <w:rPr>
                <w:color w:val="000000" w:themeColor="text1"/>
                <w:sz w:val="20"/>
                <w:szCs w:val="20"/>
                <w:lang w:val="fr-CA"/>
              </w:rPr>
              <w:t>L’indicateur sur le climat du Fonds multilatéral, y compris l’outil (ficher Excel), le manuel (PDF) et une explication de l’outil (fichier Word</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81</w:t>
            </w:r>
          </w:p>
        </w:tc>
      </w:tr>
      <w:tr w:rsidR="00D4538F" w:rsidRPr="00755FF1" w:rsidTr="00192798">
        <w:trPr>
          <w:cantSplit/>
        </w:trPr>
        <w:tc>
          <w:tcPr>
            <w:tcW w:w="9355" w:type="dxa"/>
            <w:gridSpan w:val="2"/>
            <w:shd w:val="clear" w:color="auto" w:fill="auto"/>
            <w:tcMar>
              <w:left w:w="115" w:type="dxa"/>
              <w:right w:w="173" w:type="dxa"/>
            </w:tcMar>
            <w:vAlign w:val="center"/>
          </w:tcPr>
          <w:p w:rsidR="00D4538F" w:rsidRPr="00096290" w:rsidRDefault="00823E80" w:rsidP="008738DC">
            <w:pPr>
              <w:spacing w:before="60" w:after="60"/>
              <w:jc w:val="left"/>
              <w:rPr>
                <w:b/>
                <w:color w:val="000000" w:themeColor="text1"/>
                <w:sz w:val="20"/>
                <w:szCs w:val="20"/>
                <w:lang w:val="fr-CA"/>
              </w:rPr>
            </w:pPr>
            <w:r w:rsidRPr="00096290">
              <w:rPr>
                <w:b/>
                <w:color w:val="000000" w:themeColor="text1"/>
                <w:sz w:val="20"/>
                <w:szCs w:val="20"/>
                <w:lang w:val="fr-CA"/>
              </w:rPr>
              <w:t xml:space="preserve">Convention de </w:t>
            </w:r>
            <w:r w:rsidR="00D4538F" w:rsidRPr="00096290">
              <w:rPr>
                <w:b/>
                <w:color w:val="000000" w:themeColor="text1"/>
                <w:sz w:val="20"/>
                <w:szCs w:val="20"/>
                <w:lang w:val="fr-CA"/>
              </w:rPr>
              <w:t xml:space="preserve">Minamata </w:t>
            </w:r>
            <w:r w:rsidRPr="00096290">
              <w:rPr>
                <w:b/>
                <w:color w:val="000000" w:themeColor="text1"/>
                <w:sz w:val="20"/>
                <w:szCs w:val="20"/>
                <w:lang w:val="fr-CA"/>
              </w:rPr>
              <w:t>sur le mercure</w:t>
            </w:r>
          </w:p>
        </w:tc>
      </w:tr>
      <w:tr w:rsidR="00D4538F" w:rsidRPr="00096290" w:rsidTr="00CC24C6">
        <w:trPr>
          <w:cantSplit/>
        </w:trPr>
        <w:tc>
          <w:tcPr>
            <w:tcW w:w="8275" w:type="dxa"/>
            <w:shd w:val="clear" w:color="auto" w:fill="auto"/>
            <w:vAlign w:val="center"/>
            <w:hideMark/>
          </w:tcPr>
          <w:p w:rsidR="00D4538F" w:rsidRPr="00096290" w:rsidRDefault="00823E80" w:rsidP="00823E80">
            <w:pPr>
              <w:spacing w:before="60" w:after="60"/>
              <w:jc w:val="left"/>
              <w:rPr>
                <w:color w:val="000000" w:themeColor="text1"/>
                <w:sz w:val="20"/>
                <w:szCs w:val="20"/>
                <w:lang w:val="fr-CA"/>
              </w:rPr>
            </w:pPr>
            <w:r w:rsidRPr="00096290">
              <w:rPr>
                <w:color w:val="000000" w:themeColor="text1"/>
                <w:sz w:val="20"/>
                <w:szCs w:val="20"/>
                <w:lang w:val="fr-CA"/>
              </w:rPr>
              <w:t>En juillet 2013, le Secrétariat a été invité par le gouvernement du Japon à assister à la Conférence des plénipotentiaires sur l’adoption et la signature de la Convention de Minamata sur le mercure, présentée du 9 au 11 octobre 2013 à Kumamoto et à Minamata, au Japon. Malheureusement, le Secrétariat n’a pas pu y assister</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71</w:t>
            </w:r>
          </w:p>
        </w:tc>
      </w:tr>
      <w:tr w:rsidR="00D4538F" w:rsidRPr="00755FF1" w:rsidTr="00192798">
        <w:trPr>
          <w:cantSplit/>
        </w:trPr>
        <w:tc>
          <w:tcPr>
            <w:tcW w:w="9355" w:type="dxa"/>
            <w:gridSpan w:val="2"/>
            <w:shd w:val="clear" w:color="auto" w:fill="auto"/>
            <w:tcMar>
              <w:left w:w="115" w:type="dxa"/>
              <w:right w:w="173" w:type="dxa"/>
            </w:tcMar>
            <w:vAlign w:val="center"/>
          </w:tcPr>
          <w:p w:rsidR="00D4538F" w:rsidRPr="00096290" w:rsidRDefault="00823E80" w:rsidP="00D4538F">
            <w:pPr>
              <w:keepNext/>
              <w:spacing w:before="60" w:after="60"/>
              <w:jc w:val="left"/>
              <w:rPr>
                <w:b/>
                <w:bCs/>
                <w:color w:val="000000"/>
                <w:sz w:val="20"/>
                <w:szCs w:val="20"/>
                <w:lang w:val="fr-CA"/>
              </w:rPr>
            </w:pPr>
            <w:r w:rsidRPr="00096290">
              <w:rPr>
                <w:b/>
                <w:color w:val="000000" w:themeColor="text1"/>
                <w:sz w:val="20"/>
                <w:szCs w:val="20"/>
                <w:lang w:val="fr-CA"/>
              </w:rPr>
              <w:t>Réseau d’évaluation de la performance des organisations multilatérales</w:t>
            </w:r>
            <w:r w:rsidRPr="00096290">
              <w:rPr>
                <w:i/>
                <w:color w:val="000000" w:themeColor="text1"/>
                <w:lang w:val="fr-CA"/>
              </w:rPr>
              <w:t xml:space="preserve"> </w:t>
            </w:r>
            <w:r w:rsidR="00D4538F" w:rsidRPr="00096290">
              <w:rPr>
                <w:b/>
                <w:bCs/>
                <w:color w:val="000000"/>
                <w:sz w:val="20"/>
                <w:szCs w:val="20"/>
                <w:lang w:val="fr-CA"/>
              </w:rPr>
              <w:t>(MOPAN)</w:t>
            </w:r>
          </w:p>
        </w:tc>
      </w:tr>
      <w:tr w:rsidR="00D4538F" w:rsidRPr="00096290" w:rsidTr="00CC24C6">
        <w:trPr>
          <w:cantSplit/>
        </w:trPr>
        <w:tc>
          <w:tcPr>
            <w:tcW w:w="8275" w:type="dxa"/>
            <w:shd w:val="clear" w:color="auto" w:fill="auto"/>
            <w:vAlign w:val="center"/>
          </w:tcPr>
          <w:p w:rsidR="00D4538F" w:rsidRPr="00096290" w:rsidRDefault="00C06F57" w:rsidP="00C06F57">
            <w:pPr>
              <w:spacing w:before="60" w:after="60"/>
              <w:jc w:val="left"/>
              <w:rPr>
                <w:b/>
                <w:sz w:val="20"/>
                <w:szCs w:val="20"/>
                <w:lang w:val="fr-CA"/>
              </w:rPr>
            </w:pPr>
            <w:r w:rsidRPr="00096290">
              <w:rPr>
                <w:b/>
                <w:color w:val="000000" w:themeColor="text1"/>
                <w:sz w:val="20"/>
                <w:szCs w:val="20"/>
                <w:lang w:val="fr-CA"/>
              </w:rPr>
              <w:t>Le Secrétariat a examiné le p</w:t>
            </w:r>
            <w:r w:rsidR="008738DC">
              <w:rPr>
                <w:b/>
                <w:color w:val="000000" w:themeColor="text1"/>
                <w:sz w:val="20"/>
                <w:szCs w:val="20"/>
                <w:lang w:val="fr-CA"/>
              </w:rPr>
              <w:t>rojet de rapport d’évaluation,</w:t>
            </w:r>
            <w:r w:rsidRPr="00096290">
              <w:rPr>
                <w:b/>
                <w:color w:val="000000" w:themeColor="text1"/>
                <w:sz w:val="20"/>
                <w:szCs w:val="20"/>
                <w:lang w:val="fr-CA"/>
              </w:rPr>
              <w:t xml:space="preserve"> apporté des corrections de fait et présenté des observations. Un suivi a été effectué entre les deux Secrétariats au sujet de l’échéance du rapport final et des moyens possibles de transmettre les principales conclusions au Comité exécutif</w:t>
            </w:r>
            <w:r w:rsidR="00D4538F" w:rsidRPr="00096290">
              <w:rPr>
                <w:b/>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b/>
                <w:color w:val="000000" w:themeColor="text1"/>
                <w:sz w:val="20"/>
                <w:szCs w:val="20"/>
                <w:lang w:val="en-CA"/>
              </w:rPr>
            </w:pPr>
            <w:r w:rsidRPr="00096290">
              <w:rPr>
                <w:b/>
                <w:color w:val="000000" w:themeColor="text1"/>
                <w:sz w:val="20"/>
                <w:szCs w:val="20"/>
                <w:lang w:val="en-CA"/>
              </w:rPr>
              <w:t>86</w:t>
            </w:r>
          </w:p>
        </w:tc>
      </w:tr>
      <w:tr w:rsidR="00D4538F" w:rsidRPr="00096290" w:rsidTr="00CC24C6">
        <w:trPr>
          <w:cantSplit/>
        </w:trPr>
        <w:tc>
          <w:tcPr>
            <w:tcW w:w="8275" w:type="dxa"/>
            <w:shd w:val="clear" w:color="auto" w:fill="auto"/>
            <w:vAlign w:val="center"/>
          </w:tcPr>
          <w:p w:rsidR="00D4538F" w:rsidRPr="00096290" w:rsidRDefault="00C06F57" w:rsidP="00D4538F">
            <w:pPr>
              <w:spacing w:before="60" w:after="60"/>
              <w:jc w:val="left"/>
              <w:rPr>
                <w:color w:val="000000"/>
                <w:sz w:val="20"/>
                <w:szCs w:val="20"/>
                <w:lang w:val="fr-CA"/>
              </w:rPr>
            </w:pPr>
            <w:r w:rsidRPr="00096290">
              <w:rPr>
                <w:sz w:val="20"/>
                <w:szCs w:val="20"/>
                <w:lang w:val="fr-CA"/>
              </w:rPr>
              <w:t>Le Secrétariat a fourni des renseignements supplémentaires et des précisions sur les questions en lien avec le Fonds multilatéral au consultant responsable de l’évaluation du Fonds multilatéral par le MOPAN. Le Secrétariat s’est entretenu davantage avec le Secrétariat du MOPAN, qui lui a indiqué que le projet de rapport d’évaluation en était aux dernières étapes de sa préparation et qu’il serait remis au Secrétariat pour examen avant d’être présenté aux gouvernements membres</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CA"/>
              </w:rPr>
            </w:pPr>
            <w:r w:rsidRPr="00096290">
              <w:rPr>
                <w:color w:val="000000" w:themeColor="text1"/>
                <w:sz w:val="20"/>
                <w:szCs w:val="20"/>
                <w:lang w:val="en-CA"/>
              </w:rPr>
              <w:t>85</w:t>
            </w:r>
          </w:p>
        </w:tc>
      </w:tr>
      <w:tr w:rsidR="00D4538F" w:rsidRPr="00096290" w:rsidTr="00CC24C6">
        <w:trPr>
          <w:cantSplit/>
        </w:trPr>
        <w:tc>
          <w:tcPr>
            <w:tcW w:w="8275" w:type="dxa"/>
            <w:shd w:val="clear" w:color="auto" w:fill="auto"/>
            <w:vAlign w:val="center"/>
          </w:tcPr>
          <w:p w:rsidR="00D4538F" w:rsidRPr="00096290" w:rsidRDefault="00FD06F4" w:rsidP="00E35C26">
            <w:pPr>
              <w:spacing w:before="60" w:after="60"/>
              <w:jc w:val="left"/>
              <w:rPr>
                <w:color w:val="000000"/>
                <w:sz w:val="20"/>
                <w:szCs w:val="20"/>
                <w:lang w:val="fr-CA"/>
              </w:rPr>
            </w:pPr>
            <w:r w:rsidRPr="00096290">
              <w:rPr>
                <w:sz w:val="20"/>
                <w:szCs w:val="20"/>
                <w:lang w:val="fr-CA"/>
              </w:rPr>
              <w:t xml:space="preserve">Les représentants du Secrétariat du MOAP et du fournisseur de services qui réalise l’évaluation ont rendu visite au Secrétariat. </w:t>
            </w:r>
            <w:r w:rsidRPr="00096290">
              <w:rPr>
                <w:color w:val="000000"/>
                <w:sz w:val="20"/>
                <w:szCs w:val="20"/>
                <w:lang w:val="fr-CA"/>
              </w:rPr>
              <w:t>L</w:t>
            </w:r>
            <w:r w:rsidR="00512605" w:rsidRPr="00096290">
              <w:rPr>
                <w:color w:val="000000"/>
                <w:sz w:val="20"/>
                <w:szCs w:val="20"/>
                <w:lang w:val="fr-CA"/>
              </w:rPr>
              <w:t>e Chef</w:t>
            </w:r>
            <w:r w:rsidRPr="00096290">
              <w:rPr>
                <w:color w:val="000000"/>
                <w:sz w:val="20"/>
                <w:szCs w:val="20"/>
                <w:lang w:val="fr-CA"/>
              </w:rPr>
              <w:t xml:space="preserve"> du Secrétariat a fait une présentation sur le Fonds multilatéral, notamment sa gouvernance, son modèle d’affaires et ses réalisations. Les représentants du MOPAN se sont réunis à maintes reprises avec le personnel du Secrétariat</w:t>
            </w:r>
            <w:r w:rsidR="00D4538F" w:rsidRPr="00096290">
              <w:rPr>
                <w:color w:val="000000"/>
                <w:sz w:val="20"/>
                <w:szCs w:val="20"/>
                <w:lang w:val="fr-CA"/>
              </w:rPr>
              <w:t>.</w:t>
            </w:r>
            <w:r w:rsidRPr="00096290">
              <w:rPr>
                <w:color w:val="000000"/>
                <w:sz w:val="20"/>
                <w:szCs w:val="20"/>
                <w:lang w:val="fr-CA"/>
              </w:rPr>
              <w:t xml:space="preserve"> Le Secrétariat a aussi été informé des réunions organisé</w:t>
            </w:r>
            <w:r w:rsidR="00E35C26">
              <w:rPr>
                <w:color w:val="000000"/>
                <w:sz w:val="20"/>
                <w:szCs w:val="20"/>
                <w:lang w:val="fr-CA"/>
              </w:rPr>
              <w:t>e</w:t>
            </w:r>
            <w:r w:rsidRPr="00096290">
              <w:rPr>
                <w:color w:val="000000"/>
                <w:sz w:val="20"/>
                <w:szCs w:val="20"/>
                <w:lang w:val="fr-CA"/>
              </w:rPr>
              <w:t xml:space="preserve">s par les évaluateurs avec les quatre agences d’exécution du Fonds. </w:t>
            </w:r>
            <w:r w:rsidR="00512605" w:rsidRPr="00096290">
              <w:rPr>
                <w:color w:val="000000"/>
                <w:sz w:val="20"/>
                <w:szCs w:val="20"/>
                <w:lang w:val="fr-CA"/>
              </w:rPr>
              <w:t>Le Secrétariat a fourni les coordonnées des membres du Comité exécutif</w:t>
            </w:r>
            <w:r w:rsidR="004011F5">
              <w:rPr>
                <w:color w:val="000000"/>
                <w:sz w:val="20"/>
                <w:szCs w:val="20"/>
                <w:lang w:val="fr-CA"/>
              </w:rPr>
              <w:t> </w:t>
            </w:r>
            <w:r w:rsidR="00512605" w:rsidRPr="00096290">
              <w:rPr>
                <w:color w:val="000000"/>
                <w:sz w:val="20"/>
                <w:szCs w:val="20"/>
                <w:lang w:val="fr-CA"/>
              </w:rPr>
              <w:t xml:space="preserve">; certains d’entre eux seront </w:t>
            </w:r>
            <w:r w:rsidR="00E35C26">
              <w:rPr>
                <w:color w:val="000000"/>
                <w:sz w:val="20"/>
                <w:szCs w:val="20"/>
                <w:lang w:val="fr-CA"/>
              </w:rPr>
              <w:t>invités à</w:t>
            </w:r>
            <w:r w:rsidR="00512605" w:rsidRPr="00096290">
              <w:rPr>
                <w:color w:val="000000"/>
                <w:sz w:val="20"/>
                <w:szCs w:val="20"/>
                <w:lang w:val="fr-CA"/>
              </w:rPr>
              <w:t xml:space="preserve"> fournir de l’information sur l’évaluation</w:t>
            </w:r>
            <w:r w:rsidR="00ED3290" w:rsidRPr="00096290">
              <w:rPr>
                <w:color w:val="000000"/>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CA"/>
              </w:rPr>
            </w:pPr>
            <w:r w:rsidRPr="00096290">
              <w:rPr>
                <w:color w:val="000000" w:themeColor="text1"/>
                <w:sz w:val="20"/>
                <w:szCs w:val="20"/>
                <w:lang w:val="en-CA"/>
              </w:rPr>
              <w:t>84</w:t>
            </w:r>
          </w:p>
        </w:tc>
      </w:tr>
      <w:tr w:rsidR="00D4538F" w:rsidRPr="00096290" w:rsidTr="00CC24C6">
        <w:trPr>
          <w:cantSplit/>
        </w:trPr>
        <w:tc>
          <w:tcPr>
            <w:tcW w:w="8275" w:type="dxa"/>
            <w:shd w:val="clear" w:color="auto" w:fill="auto"/>
            <w:vAlign w:val="center"/>
            <w:hideMark/>
          </w:tcPr>
          <w:p w:rsidR="00D4538F" w:rsidRPr="00096290" w:rsidRDefault="00512605" w:rsidP="00E35C26">
            <w:pPr>
              <w:spacing w:before="60" w:after="60"/>
              <w:jc w:val="left"/>
              <w:rPr>
                <w:color w:val="000000" w:themeColor="text1"/>
                <w:sz w:val="20"/>
                <w:szCs w:val="20"/>
                <w:lang w:val="fr-CA"/>
              </w:rPr>
            </w:pPr>
            <w:r w:rsidRPr="00096290">
              <w:rPr>
                <w:color w:val="000000" w:themeColor="text1"/>
                <w:sz w:val="20"/>
                <w:szCs w:val="20"/>
                <w:lang w:val="fr-CA"/>
              </w:rPr>
              <w:t>Le Secrétariat a assisté à une réunion du Secrétariat du MOPAN, à laquelle le Fonds a été présenté. Les échanges ont porté notamment sur la portée de l’évaluation pour les parties prenantes concernées</w:t>
            </w:r>
            <w:r w:rsidR="004011F5">
              <w:rPr>
                <w:color w:val="000000" w:themeColor="text1"/>
                <w:sz w:val="20"/>
                <w:szCs w:val="20"/>
                <w:lang w:val="fr-CA"/>
              </w:rPr>
              <w:t> </w:t>
            </w:r>
            <w:r w:rsidR="008738DC">
              <w:rPr>
                <w:color w:val="000000" w:themeColor="text1"/>
                <w:sz w:val="20"/>
                <w:szCs w:val="20"/>
                <w:lang w:val="fr-CA"/>
              </w:rPr>
              <w:t>; les différenc</w:t>
            </w:r>
            <w:r w:rsidRPr="00096290">
              <w:rPr>
                <w:color w:val="000000" w:themeColor="text1"/>
                <w:sz w:val="20"/>
                <w:szCs w:val="20"/>
                <w:lang w:val="fr-CA"/>
              </w:rPr>
              <w:t>es import</w:t>
            </w:r>
            <w:r w:rsidR="00ED3290" w:rsidRPr="00096290">
              <w:rPr>
                <w:color w:val="000000" w:themeColor="text1"/>
                <w:sz w:val="20"/>
                <w:szCs w:val="20"/>
                <w:lang w:val="fr-CA"/>
              </w:rPr>
              <w:t>a</w:t>
            </w:r>
            <w:r w:rsidRPr="00096290">
              <w:rPr>
                <w:color w:val="000000" w:themeColor="text1"/>
                <w:sz w:val="20"/>
                <w:szCs w:val="20"/>
                <w:lang w:val="fr-CA"/>
              </w:rPr>
              <w:t>ntes entre le Fonds mult</w:t>
            </w:r>
            <w:r w:rsidR="00ED3290" w:rsidRPr="00096290">
              <w:rPr>
                <w:color w:val="000000" w:themeColor="text1"/>
                <w:sz w:val="20"/>
                <w:szCs w:val="20"/>
                <w:lang w:val="fr-CA"/>
              </w:rPr>
              <w:t>ilatéral et les autres organisati</w:t>
            </w:r>
            <w:r w:rsidRPr="00096290">
              <w:rPr>
                <w:color w:val="000000" w:themeColor="text1"/>
                <w:sz w:val="20"/>
                <w:szCs w:val="20"/>
                <w:lang w:val="fr-CA"/>
              </w:rPr>
              <w:t xml:space="preserve">ons évaluées, qui </w:t>
            </w:r>
            <w:r w:rsidR="00E35C26">
              <w:rPr>
                <w:color w:val="000000" w:themeColor="text1"/>
                <w:sz w:val="20"/>
                <w:szCs w:val="20"/>
                <w:lang w:val="fr-CA"/>
              </w:rPr>
              <w:t>mèneraient à</w:t>
            </w:r>
            <w:r w:rsidRPr="00096290">
              <w:rPr>
                <w:color w:val="000000" w:themeColor="text1"/>
                <w:sz w:val="20"/>
                <w:szCs w:val="20"/>
                <w:lang w:val="fr-CA"/>
              </w:rPr>
              <w:t xml:space="preserve"> une évaluation sur mesure afin que le processus soit juste</w:t>
            </w:r>
            <w:r w:rsidR="004011F5">
              <w:rPr>
                <w:color w:val="000000" w:themeColor="text1"/>
                <w:sz w:val="20"/>
                <w:szCs w:val="20"/>
                <w:lang w:val="fr-CA"/>
              </w:rPr>
              <w:t> </w:t>
            </w:r>
            <w:r w:rsidR="00ED3290" w:rsidRPr="00096290">
              <w:rPr>
                <w:color w:val="000000" w:themeColor="text1"/>
                <w:sz w:val="20"/>
                <w:szCs w:val="20"/>
                <w:lang w:val="fr-CA"/>
              </w:rPr>
              <w:t>; la date d’une première visite au Secrétariat du Fonds et le besoin possible de la présence de l’équipe d’évaluation à une réunion du Comité exécutif</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hideMark/>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83</w:t>
            </w:r>
          </w:p>
        </w:tc>
      </w:tr>
      <w:tr w:rsidR="00D4538F" w:rsidRPr="00096290" w:rsidTr="00CC24C6">
        <w:trPr>
          <w:cantSplit/>
        </w:trPr>
        <w:tc>
          <w:tcPr>
            <w:tcW w:w="8275" w:type="dxa"/>
            <w:shd w:val="clear" w:color="auto" w:fill="auto"/>
            <w:vAlign w:val="center"/>
          </w:tcPr>
          <w:p w:rsidR="00D4538F" w:rsidRPr="00096290" w:rsidRDefault="00ED3290" w:rsidP="00D4538F">
            <w:pPr>
              <w:spacing w:before="60" w:after="60"/>
              <w:jc w:val="left"/>
              <w:rPr>
                <w:color w:val="000000" w:themeColor="text1"/>
                <w:sz w:val="20"/>
                <w:szCs w:val="20"/>
                <w:lang w:val="fr-CA"/>
              </w:rPr>
            </w:pPr>
            <w:r w:rsidRPr="00096290">
              <w:rPr>
                <w:color w:val="000000" w:themeColor="text1"/>
                <w:sz w:val="20"/>
                <w:szCs w:val="20"/>
                <w:lang w:val="fr-CA"/>
              </w:rPr>
              <w:t>Lettres reçues du Secrétariat du MOPAN indiquant que le Comité directeur du MOPAN a décidé d’évaluer le Fonds multilatéral lors de son prochain cycle d’évaluation</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82</w:t>
            </w:r>
          </w:p>
        </w:tc>
      </w:tr>
      <w:tr w:rsidR="00D4538F" w:rsidRPr="00096290" w:rsidTr="00192798">
        <w:trPr>
          <w:cantSplit/>
        </w:trPr>
        <w:tc>
          <w:tcPr>
            <w:tcW w:w="9355" w:type="dxa"/>
            <w:gridSpan w:val="2"/>
            <w:shd w:val="clear" w:color="auto" w:fill="auto"/>
            <w:tcMar>
              <w:left w:w="115" w:type="dxa"/>
              <w:right w:w="173" w:type="dxa"/>
            </w:tcMar>
            <w:vAlign w:val="center"/>
          </w:tcPr>
          <w:p w:rsidR="00D4538F" w:rsidRPr="00096290" w:rsidRDefault="00ED3290" w:rsidP="00D4538F">
            <w:pPr>
              <w:keepNext/>
              <w:spacing w:before="60" w:after="60"/>
              <w:jc w:val="left"/>
              <w:rPr>
                <w:b/>
                <w:color w:val="000000" w:themeColor="text1"/>
                <w:sz w:val="20"/>
                <w:szCs w:val="20"/>
                <w:lang w:val="fr-CA"/>
              </w:rPr>
            </w:pPr>
            <w:r w:rsidRPr="00096290">
              <w:rPr>
                <w:b/>
                <w:color w:val="000000" w:themeColor="text1"/>
                <w:sz w:val="20"/>
                <w:szCs w:val="20"/>
                <w:lang w:val="fr-CA"/>
              </w:rPr>
              <w:t>Nations Unies durables</w:t>
            </w:r>
          </w:p>
        </w:tc>
      </w:tr>
      <w:tr w:rsidR="00D4538F" w:rsidRPr="00096290" w:rsidTr="00CC24C6">
        <w:trPr>
          <w:cantSplit/>
        </w:trPr>
        <w:tc>
          <w:tcPr>
            <w:tcW w:w="8275" w:type="dxa"/>
            <w:shd w:val="clear" w:color="auto" w:fill="auto"/>
            <w:vAlign w:val="center"/>
          </w:tcPr>
          <w:p w:rsidR="00D4538F" w:rsidRPr="00096290" w:rsidRDefault="004728F8" w:rsidP="00B80CAB">
            <w:pPr>
              <w:spacing w:before="60" w:after="60"/>
              <w:jc w:val="left"/>
              <w:rPr>
                <w:lang w:val="fr-CA"/>
              </w:rPr>
            </w:pPr>
            <w:r w:rsidRPr="00096290">
              <w:rPr>
                <w:color w:val="000000" w:themeColor="text1"/>
                <w:sz w:val="20"/>
                <w:szCs w:val="20"/>
                <w:lang w:val="fr-CA"/>
              </w:rPr>
              <w:t xml:space="preserve">Le Secrétariat a donné une présentation sur la gestion de </w:t>
            </w:r>
            <w:r w:rsidR="00E35C26">
              <w:rPr>
                <w:color w:val="000000" w:themeColor="text1"/>
                <w:sz w:val="20"/>
                <w:szCs w:val="20"/>
                <w:lang w:val="fr-CA"/>
              </w:rPr>
              <w:t xml:space="preserve">la </w:t>
            </w:r>
            <w:r w:rsidRPr="00096290">
              <w:rPr>
                <w:color w:val="000000" w:themeColor="text1"/>
                <w:sz w:val="20"/>
                <w:szCs w:val="20"/>
                <w:lang w:val="fr-CA"/>
              </w:rPr>
              <w:t>durabilité environnementale à la 31</w:t>
            </w:r>
            <w:r w:rsidRPr="00096290">
              <w:rPr>
                <w:color w:val="000000" w:themeColor="text1"/>
                <w:sz w:val="20"/>
                <w:szCs w:val="20"/>
                <w:vertAlign w:val="superscript"/>
                <w:lang w:val="fr-CA"/>
              </w:rPr>
              <w:t>e</w:t>
            </w:r>
            <w:r w:rsidR="00B80CAB">
              <w:rPr>
                <w:color w:val="000000" w:themeColor="text1"/>
                <w:sz w:val="20"/>
                <w:szCs w:val="20"/>
                <w:lang w:val="fr-CA"/>
              </w:rPr>
              <w:t> </w:t>
            </w:r>
            <w:r w:rsidRPr="00096290">
              <w:rPr>
                <w:color w:val="000000" w:themeColor="text1"/>
                <w:sz w:val="20"/>
                <w:szCs w:val="20"/>
                <w:lang w:val="fr-CA"/>
              </w:rPr>
              <w:t>réunion du Groupe chargé de questions spécifiques des Nations Unies</w:t>
            </w:r>
            <w:r w:rsidR="00E35C26">
              <w:rPr>
                <w:color w:val="000000" w:themeColor="text1"/>
                <w:sz w:val="20"/>
                <w:szCs w:val="20"/>
                <w:lang w:val="fr-CA"/>
              </w:rPr>
              <w:t>,</w:t>
            </w:r>
            <w:r w:rsidRPr="00096290">
              <w:rPr>
                <w:color w:val="000000" w:themeColor="text1"/>
                <w:sz w:val="20"/>
                <w:szCs w:val="20"/>
                <w:lang w:val="fr-CA"/>
              </w:rPr>
              <w:t xml:space="preserve"> qui a lieu à l’OACI, à Montréal, le 11 octobre 2019. Le Secrétariat a </w:t>
            </w:r>
            <w:r w:rsidR="00B80CAB">
              <w:rPr>
                <w:color w:val="000000" w:themeColor="text1"/>
                <w:sz w:val="20"/>
                <w:szCs w:val="20"/>
                <w:lang w:val="fr-CA"/>
              </w:rPr>
              <w:t>expliqué</w:t>
            </w:r>
            <w:r w:rsidRPr="00096290">
              <w:rPr>
                <w:color w:val="000000" w:themeColor="text1"/>
                <w:sz w:val="20"/>
                <w:szCs w:val="20"/>
                <w:lang w:val="fr-CA"/>
              </w:rPr>
              <w:t xml:space="preserve"> comment les bureaux des Nations Unies peuvent collaborer dans le cadre des activités entreprises par les agences pour la mise en œuvre des projets </w:t>
            </w:r>
            <w:r w:rsidR="007A7942" w:rsidRPr="00096290">
              <w:rPr>
                <w:color w:val="000000" w:themeColor="text1"/>
                <w:sz w:val="20"/>
                <w:szCs w:val="20"/>
                <w:lang w:val="fr-CA"/>
              </w:rPr>
              <w:t xml:space="preserve">qui font la promotion de l’adoption des technologies sans danger pour la couche d’ozone et sans HFC </w:t>
            </w:r>
            <w:r w:rsidRPr="00096290">
              <w:rPr>
                <w:color w:val="000000" w:themeColor="text1"/>
                <w:sz w:val="20"/>
                <w:szCs w:val="20"/>
                <w:lang w:val="fr-CA"/>
              </w:rPr>
              <w:t>aux niv</w:t>
            </w:r>
            <w:r w:rsidR="007A7942" w:rsidRPr="00096290">
              <w:rPr>
                <w:color w:val="000000" w:themeColor="text1"/>
                <w:sz w:val="20"/>
                <w:szCs w:val="20"/>
                <w:lang w:val="fr-CA"/>
              </w:rPr>
              <w:t>eaux national, régional et mond</w:t>
            </w:r>
            <w:r w:rsidRPr="00096290">
              <w:rPr>
                <w:color w:val="000000" w:themeColor="text1"/>
                <w:sz w:val="20"/>
                <w:szCs w:val="20"/>
                <w:lang w:val="fr-CA"/>
              </w:rPr>
              <w:t>ial</w:t>
            </w:r>
            <w:r w:rsidR="007A7942" w:rsidRPr="00096290">
              <w:rPr>
                <w:color w:val="000000" w:themeColor="text1"/>
                <w:sz w:val="20"/>
                <w:szCs w:val="20"/>
                <w:lang w:val="fr-CA"/>
              </w:rPr>
              <w:t xml:space="preserve">. Un représentant de la durabilité environnementale des Nations Unies, un bureau qui gère et soutient le Groupe chargé des questions spécifiques pour </w:t>
            </w:r>
            <w:r w:rsidR="006142A8">
              <w:rPr>
                <w:color w:val="000000" w:themeColor="text1"/>
                <w:sz w:val="20"/>
                <w:szCs w:val="20"/>
                <w:lang w:val="fr-CA"/>
              </w:rPr>
              <w:t>la</w:t>
            </w:r>
            <w:r w:rsidR="007A7942" w:rsidRPr="00096290">
              <w:rPr>
                <w:color w:val="000000" w:themeColor="text1"/>
                <w:sz w:val="20"/>
                <w:szCs w:val="20"/>
                <w:lang w:val="fr-CA"/>
              </w:rPr>
              <w:t xml:space="preserve"> gestion de la durabilité environnementale, s’est rendu dans les bureaux du Secrétariat et a présenté les travaux de son bureau au</w:t>
            </w:r>
            <w:r w:rsidR="006142A8">
              <w:rPr>
                <w:color w:val="000000" w:themeColor="text1"/>
                <w:sz w:val="20"/>
                <w:szCs w:val="20"/>
                <w:lang w:val="fr-CA"/>
              </w:rPr>
              <w:t>x membres du</w:t>
            </w:r>
            <w:r w:rsidR="007A7942" w:rsidRPr="00096290">
              <w:rPr>
                <w:color w:val="000000" w:themeColor="text1"/>
                <w:sz w:val="20"/>
                <w:szCs w:val="20"/>
                <w:lang w:val="fr-CA"/>
              </w:rPr>
              <w:t xml:space="preserve"> personnel</w:t>
            </w:r>
            <w:r w:rsidR="006142A8">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fr-CA"/>
              </w:rPr>
            </w:pPr>
            <w:r w:rsidRPr="00096290">
              <w:rPr>
                <w:color w:val="000000" w:themeColor="text1"/>
                <w:sz w:val="20"/>
                <w:szCs w:val="20"/>
                <w:lang w:val="fr-CA"/>
              </w:rPr>
              <w:t>84</w:t>
            </w:r>
          </w:p>
        </w:tc>
      </w:tr>
      <w:tr w:rsidR="00D4538F" w:rsidRPr="00096290" w:rsidTr="00192798">
        <w:trPr>
          <w:cantSplit/>
        </w:trPr>
        <w:tc>
          <w:tcPr>
            <w:tcW w:w="9355" w:type="dxa"/>
            <w:gridSpan w:val="2"/>
            <w:shd w:val="clear" w:color="auto" w:fill="auto"/>
            <w:tcMar>
              <w:left w:w="115" w:type="dxa"/>
              <w:right w:w="173" w:type="dxa"/>
            </w:tcMar>
            <w:vAlign w:val="center"/>
          </w:tcPr>
          <w:p w:rsidR="00D4538F" w:rsidRPr="00096290" w:rsidRDefault="007A7942" w:rsidP="00BF7666">
            <w:pPr>
              <w:keepNext/>
              <w:keepLines/>
              <w:spacing w:before="60" w:after="60"/>
              <w:jc w:val="left"/>
              <w:rPr>
                <w:b/>
                <w:color w:val="000000" w:themeColor="text1"/>
                <w:sz w:val="20"/>
                <w:szCs w:val="20"/>
                <w:lang w:val="fr-CA"/>
              </w:rPr>
            </w:pPr>
            <w:r w:rsidRPr="00096290">
              <w:rPr>
                <w:b/>
                <w:color w:val="000000" w:themeColor="text1"/>
                <w:sz w:val="20"/>
                <w:szCs w:val="20"/>
                <w:lang w:val="fr-CA"/>
              </w:rPr>
              <w:lastRenderedPageBreak/>
              <w:t>Vérificateurs des Nations Unies</w:t>
            </w:r>
          </w:p>
        </w:tc>
      </w:tr>
      <w:tr w:rsidR="00D4538F" w:rsidRPr="00096290" w:rsidTr="00CC24C6">
        <w:trPr>
          <w:cantSplit/>
        </w:trPr>
        <w:tc>
          <w:tcPr>
            <w:tcW w:w="8275" w:type="dxa"/>
            <w:shd w:val="clear" w:color="auto" w:fill="auto"/>
            <w:vAlign w:val="center"/>
            <w:hideMark/>
          </w:tcPr>
          <w:p w:rsidR="00D4538F" w:rsidRPr="00096290" w:rsidRDefault="00C83DC4" w:rsidP="00C83DC4">
            <w:pPr>
              <w:spacing w:before="60" w:after="60"/>
              <w:jc w:val="left"/>
              <w:rPr>
                <w:color w:val="000000" w:themeColor="text1"/>
                <w:sz w:val="20"/>
                <w:szCs w:val="20"/>
                <w:lang w:val="fr-CA"/>
              </w:rPr>
            </w:pPr>
            <w:r w:rsidRPr="00096290">
              <w:rPr>
                <w:color w:val="000000" w:themeColor="text1"/>
                <w:sz w:val="20"/>
                <w:szCs w:val="20"/>
                <w:lang w:val="fr-CA"/>
              </w:rPr>
              <w:t>Renseignements généraux sur le Fonds mul</w:t>
            </w:r>
            <w:r w:rsidR="006142A8">
              <w:rPr>
                <w:color w:val="000000" w:themeColor="text1"/>
                <w:sz w:val="20"/>
                <w:szCs w:val="20"/>
                <w:lang w:val="fr-CA"/>
              </w:rPr>
              <w:t>tilatéral et autres, notamment l</w:t>
            </w:r>
            <w:r w:rsidRPr="00096290">
              <w:rPr>
                <w:color w:val="000000" w:themeColor="text1"/>
                <w:sz w:val="20"/>
                <w:szCs w:val="20"/>
                <w:lang w:val="fr-CA"/>
              </w:rPr>
              <w:t>es états financiers intérimaires du PNUE sur le Fonds multilatéral, le rapport sur les contributions et les décaissements</w:t>
            </w:r>
            <w:r w:rsidR="004011F5">
              <w:rPr>
                <w:color w:val="000000" w:themeColor="text1"/>
                <w:sz w:val="20"/>
                <w:szCs w:val="20"/>
                <w:lang w:val="fr-CA"/>
              </w:rPr>
              <w:t> </w:t>
            </w:r>
            <w:r w:rsidRPr="00096290">
              <w:rPr>
                <w:color w:val="000000" w:themeColor="text1"/>
                <w:sz w:val="20"/>
                <w:szCs w:val="20"/>
                <w:lang w:val="fr-CA"/>
              </w:rPr>
              <w:t xml:space="preserve">; </w:t>
            </w:r>
            <w:r w:rsidR="006142A8">
              <w:rPr>
                <w:color w:val="000000" w:themeColor="text1"/>
                <w:sz w:val="20"/>
                <w:szCs w:val="20"/>
                <w:lang w:val="fr-CA"/>
              </w:rPr>
              <w:t xml:space="preserve">les </w:t>
            </w:r>
            <w:r w:rsidRPr="00096290">
              <w:rPr>
                <w:color w:val="000000" w:themeColor="text1"/>
                <w:sz w:val="20"/>
                <w:szCs w:val="20"/>
                <w:lang w:val="fr-CA"/>
              </w:rPr>
              <w:t>rapports périodiques</w:t>
            </w:r>
            <w:r w:rsidR="004011F5">
              <w:rPr>
                <w:color w:val="000000" w:themeColor="text1"/>
                <w:sz w:val="20"/>
                <w:szCs w:val="20"/>
                <w:lang w:val="fr-CA"/>
              </w:rPr>
              <w:t> </w:t>
            </w:r>
            <w:r w:rsidRPr="00096290">
              <w:rPr>
                <w:color w:val="000000" w:themeColor="text1"/>
                <w:sz w:val="20"/>
                <w:szCs w:val="20"/>
                <w:lang w:val="fr-CA"/>
              </w:rPr>
              <w:t>; le programme de travail de suivi et évaluation de 2015</w:t>
            </w:r>
            <w:r w:rsidR="004011F5">
              <w:rPr>
                <w:color w:val="000000" w:themeColor="text1"/>
                <w:sz w:val="20"/>
                <w:szCs w:val="20"/>
                <w:lang w:val="fr-CA"/>
              </w:rPr>
              <w:t> </w:t>
            </w:r>
            <w:r w:rsidRPr="00096290">
              <w:rPr>
                <w:color w:val="000000" w:themeColor="text1"/>
                <w:sz w:val="20"/>
                <w:szCs w:val="20"/>
                <w:lang w:val="fr-CA"/>
              </w:rPr>
              <w:t>; et le manuel sur les liens avec les politiques et procédures.</w:t>
            </w:r>
          </w:p>
        </w:tc>
        <w:tc>
          <w:tcPr>
            <w:tcW w:w="1080" w:type="dxa"/>
            <w:shd w:val="clear" w:color="auto" w:fill="auto"/>
            <w:tcMar>
              <w:left w:w="115" w:type="dxa"/>
              <w:right w:w="173" w:type="dxa"/>
            </w:tcMar>
            <w:vAlign w:val="center"/>
            <w:hideMark/>
          </w:tcPr>
          <w:p w:rsidR="00D4538F" w:rsidRPr="00096290" w:rsidRDefault="00D4538F" w:rsidP="00D4538F">
            <w:pPr>
              <w:spacing w:before="60" w:after="60"/>
              <w:jc w:val="right"/>
              <w:rPr>
                <w:color w:val="000000" w:themeColor="text1"/>
                <w:sz w:val="20"/>
                <w:szCs w:val="20"/>
                <w:lang w:val="fr-CA"/>
              </w:rPr>
            </w:pPr>
            <w:r w:rsidRPr="00096290">
              <w:rPr>
                <w:color w:val="000000" w:themeColor="text1"/>
                <w:sz w:val="20"/>
                <w:szCs w:val="20"/>
                <w:lang w:val="fr-CA"/>
              </w:rPr>
              <w:t>75</w:t>
            </w:r>
          </w:p>
        </w:tc>
      </w:tr>
      <w:tr w:rsidR="00D4538F" w:rsidRPr="00755FF1" w:rsidTr="00192798">
        <w:trPr>
          <w:cantSplit/>
        </w:trPr>
        <w:tc>
          <w:tcPr>
            <w:tcW w:w="9355" w:type="dxa"/>
            <w:gridSpan w:val="2"/>
            <w:shd w:val="clear" w:color="auto" w:fill="auto"/>
            <w:tcMar>
              <w:left w:w="115" w:type="dxa"/>
              <w:right w:w="173" w:type="dxa"/>
            </w:tcMar>
            <w:vAlign w:val="center"/>
          </w:tcPr>
          <w:p w:rsidR="00D4538F" w:rsidRPr="00096290" w:rsidRDefault="00C83DC4" w:rsidP="004011F5">
            <w:pPr>
              <w:keepNext/>
              <w:spacing w:before="60" w:after="60"/>
              <w:jc w:val="left"/>
              <w:rPr>
                <w:b/>
                <w:color w:val="000000" w:themeColor="text1"/>
                <w:sz w:val="20"/>
                <w:szCs w:val="20"/>
                <w:lang w:val="fr-CA"/>
              </w:rPr>
            </w:pPr>
            <w:r w:rsidRPr="00096290">
              <w:rPr>
                <w:b/>
                <w:color w:val="000000" w:themeColor="text1"/>
                <w:sz w:val="20"/>
                <w:szCs w:val="20"/>
                <w:lang w:val="fr-CA"/>
              </w:rPr>
              <w:t>Programme des Nations Unies pour l’environnement</w:t>
            </w:r>
          </w:p>
        </w:tc>
      </w:tr>
      <w:tr w:rsidR="00D4538F" w:rsidRPr="00B80CAB" w:rsidTr="00CC24C6">
        <w:trPr>
          <w:cantSplit/>
        </w:trPr>
        <w:tc>
          <w:tcPr>
            <w:tcW w:w="8275" w:type="dxa"/>
            <w:shd w:val="clear" w:color="auto" w:fill="auto"/>
            <w:vAlign w:val="center"/>
          </w:tcPr>
          <w:p w:rsidR="00D4538F" w:rsidRPr="00096290" w:rsidRDefault="00C83DC4" w:rsidP="002944BE">
            <w:pPr>
              <w:spacing w:before="60" w:after="60"/>
              <w:jc w:val="left"/>
              <w:rPr>
                <w:color w:val="000000" w:themeColor="text1"/>
                <w:sz w:val="20"/>
                <w:szCs w:val="20"/>
                <w:lang w:val="fr-CA"/>
              </w:rPr>
            </w:pPr>
            <w:r w:rsidRPr="00096290">
              <w:rPr>
                <w:color w:val="000000" w:themeColor="text1"/>
                <w:sz w:val="20"/>
                <w:szCs w:val="20"/>
                <w:lang w:val="fr-CA"/>
              </w:rPr>
              <w:t>Le Secrétariat du Fonds</w:t>
            </w:r>
            <w:r w:rsidR="006142A8">
              <w:rPr>
                <w:color w:val="000000" w:themeColor="text1"/>
                <w:sz w:val="20"/>
                <w:szCs w:val="20"/>
                <w:lang w:val="fr-CA"/>
              </w:rPr>
              <w:t xml:space="preserve"> multilatéral</w:t>
            </w:r>
            <w:r w:rsidRPr="00096290">
              <w:rPr>
                <w:color w:val="000000" w:themeColor="text1"/>
                <w:sz w:val="20"/>
                <w:szCs w:val="20"/>
                <w:lang w:val="fr-CA"/>
              </w:rPr>
              <w:t>,</w:t>
            </w:r>
            <w:r w:rsidR="005F4407" w:rsidRPr="00096290">
              <w:rPr>
                <w:color w:val="000000" w:themeColor="text1"/>
                <w:sz w:val="20"/>
                <w:szCs w:val="20"/>
                <w:lang w:val="fr-CA"/>
              </w:rPr>
              <w:t xml:space="preserve"> en collaboration</w:t>
            </w:r>
            <w:r w:rsidRPr="00096290">
              <w:rPr>
                <w:color w:val="000000" w:themeColor="text1"/>
                <w:sz w:val="20"/>
                <w:szCs w:val="20"/>
                <w:lang w:val="fr-CA"/>
              </w:rPr>
              <w:t xml:space="preserve"> avec le Secrétariat de l’Ozone, a</w:t>
            </w:r>
            <w:r w:rsidR="005F4407" w:rsidRPr="00096290">
              <w:rPr>
                <w:color w:val="000000" w:themeColor="text1"/>
                <w:sz w:val="20"/>
                <w:szCs w:val="20"/>
                <w:lang w:val="fr-CA"/>
              </w:rPr>
              <w:t xml:space="preserve"> communiqué des observations sur le rapport GCO-11 à la Division économique, Service </w:t>
            </w:r>
            <w:r w:rsidR="00B80CAB">
              <w:rPr>
                <w:color w:val="000000" w:themeColor="text1"/>
                <w:sz w:val="20"/>
                <w:szCs w:val="20"/>
                <w:lang w:val="fr-CA"/>
              </w:rPr>
              <w:t xml:space="preserve">des </w:t>
            </w:r>
            <w:r w:rsidR="005F4407" w:rsidRPr="00096290">
              <w:rPr>
                <w:color w:val="000000" w:themeColor="text1"/>
                <w:sz w:val="20"/>
                <w:szCs w:val="20"/>
                <w:lang w:val="fr-CA"/>
              </w:rPr>
              <w:t>Substances chimiques et santé du PNUE, plus particulièrement des renseignements portant sur : l’élimination accélérée des HCFC, l’Amendement d</w:t>
            </w:r>
            <w:r w:rsidR="002944BE" w:rsidRPr="00096290">
              <w:rPr>
                <w:color w:val="000000" w:themeColor="text1"/>
                <w:sz w:val="20"/>
                <w:szCs w:val="20"/>
                <w:lang w:val="fr-CA"/>
              </w:rPr>
              <w:t>e Kigali sur les HFC, les émissi</w:t>
            </w:r>
            <w:r w:rsidR="005F4407" w:rsidRPr="00096290">
              <w:rPr>
                <w:color w:val="000000" w:themeColor="text1"/>
                <w:sz w:val="20"/>
                <w:szCs w:val="20"/>
                <w:lang w:val="fr-CA"/>
              </w:rPr>
              <w:t xml:space="preserve">ons accrues de CFC-11 selon </w:t>
            </w:r>
            <w:r w:rsidR="002944BE" w:rsidRPr="00096290">
              <w:rPr>
                <w:color w:val="000000" w:themeColor="text1"/>
                <w:sz w:val="20"/>
                <w:szCs w:val="20"/>
                <w:lang w:val="fr-CA"/>
              </w:rPr>
              <w:t>la publicati</w:t>
            </w:r>
            <w:r w:rsidR="005F4407" w:rsidRPr="00096290">
              <w:rPr>
                <w:color w:val="000000" w:themeColor="text1"/>
                <w:sz w:val="20"/>
                <w:szCs w:val="20"/>
                <w:lang w:val="fr-CA"/>
              </w:rPr>
              <w:t xml:space="preserve">on de </w:t>
            </w:r>
            <w:proofErr w:type="spellStart"/>
            <w:r w:rsidR="005F4407" w:rsidRPr="00096290">
              <w:rPr>
                <w:color w:val="000000" w:themeColor="text1"/>
                <w:sz w:val="20"/>
                <w:szCs w:val="20"/>
                <w:lang w:val="fr-CA"/>
              </w:rPr>
              <w:t>Montzka</w:t>
            </w:r>
            <w:proofErr w:type="spellEnd"/>
            <w:r w:rsidR="005F4407" w:rsidRPr="00096290">
              <w:rPr>
                <w:color w:val="000000" w:themeColor="text1"/>
                <w:sz w:val="20"/>
                <w:szCs w:val="20"/>
                <w:lang w:val="fr-CA"/>
              </w:rPr>
              <w:t xml:space="preserve"> et al., en 2018</w:t>
            </w:r>
            <w:r w:rsidR="002944BE" w:rsidRPr="00096290">
              <w:rPr>
                <w:color w:val="000000" w:themeColor="text1"/>
                <w:sz w:val="20"/>
                <w:szCs w:val="20"/>
                <w:lang w:val="fr-CA"/>
              </w:rPr>
              <w:t xml:space="preserve">, la conformité aux mesures de réglementation du </w:t>
            </w:r>
            <w:r w:rsidR="005F4407" w:rsidRPr="00096290">
              <w:rPr>
                <w:color w:val="000000" w:themeColor="text1"/>
                <w:sz w:val="20"/>
                <w:szCs w:val="20"/>
                <w:lang w:val="fr-CA"/>
              </w:rPr>
              <w:t>Protocole de Montréal</w:t>
            </w:r>
            <w:r w:rsidR="002944BE" w:rsidRPr="00096290">
              <w:rPr>
                <w:color w:val="000000" w:themeColor="text1"/>
                <w:sz w:val="20"/>
                <w:szCs w:val="20"/>
                <w:lang w:val="fr-CA"/>
              </w:rPr>
              <w:t xml:space="preserve"> et la communication des données.</w:t>
            </w:r>
          </w:p>
        </w:tc>
        <w:tc>
          <w:tcPr>
            <w:tcW w:w="1080" w:type="dxa"/>
            <w:shd w:val="clear" w:color="auto" w:fill="auto"/>
            <w:tcMar>
              <w:left w:w="115" w:type="dxa"/>
              <w:right w:w="173" w:type="dxa"/>
            </w:tcMar>
            <w:vAlign w:val="center"/>
          </w:tcPr>
          <w:p w:rsidR="00D4538F" w:rsidRPr="006142A8" w:rsidRDefault="00D4538F" w:rsidP="00D4538F">
            <w:pPr>
              <w:spacing w:before="60" w:after="60"/>
              <w:jc w:val="right"/>
              <w:rPr>
                <w:color w:val="000000" w:themeColor="text1"/>
                <w:sz w:val="20"/>
                <w:szCs w:val="20"/>
                <w:lang w:val="fr-CA"/>
              </w:rPr>
            </w:pPr>
            <w:r w:rsidRPr="006142A8">
              <w:rPr>
                <w:color w:val="000000" w:themeColor="text1"/>
                <w:sz w:val="20"/>
                <w:szCs w:val="20"/>
                <w:lang w:val="fr-CA"/>
              </w:rPr>
              <w:t>82</w:t>
            </w:r>
          </w:p>
        </w:tc>
      </w:tr>
      <w:tr w:rsidR="00D4538F" w:rsidRPr="00755FF1" w:rsidTr="00192798">
        <w:trPr>
          <w:cantSplit/>
        </w:trPr>
        <w:tc>
          <w:tcPr>
            <w:tcW w:w="9355" w:type="dxa"/>
            <w:gridSpan w:val="2"/>
            <w:shd w:val="clear" w:color="auto" w:fill="auto"/>
            <w:tcMar>
              <w:left w:w="115" w:type="dxa"/>
              <w:right w:w="173" w:type="dxa"/>
            </w:tcMar>
            <w:vAlign w:val="center"/>
          </w:tcPr>
          <w:p w:rsidR="00D4538F" w:rsidRPr="00096290" w:rsidRDefault="002944BE" w:rsidP="00D4538F">
            <w:pPr>
              <w:spacing w:before="60" w:after="60"/>
              <w:jc w:val="left"/>
              <w:rPr>
                <w:b/>
                <w:color w:val="000000" w:themeColor="text1"/>
                <w:sz w:val="20"/>
                <w:szCs w:val="20"/>
                <w:lang w:val="fr-CA"/>
              </w:rPr>
            </w:pPr>
            <w:r w:rsidRPr="00096290">
              <w:rPr>
                <w:b/>
                <w:color w:val="000000" w:themeColor="text1"/>
                <w:sz w:val="20"/>
                <w:szCs w:val="20"/>
                <w:lang w:val="fr-CA"/>
              </w:rPr>
              <w:t>Convention-cadre des Nations Unies sur les changements climatiques (CCNUCC)</w:t>
            </w:r>
          </w:p>
        </w:tc>
      </w:tr>
      <w:tr w:rsidR="00D4538F" w:rsidRPr="00096290" w:rsidTr="00CC24C6">
        <w:trPr>
          <w:cantSplit/>
        </w:trPr>
        <w:tc>
          <w:tcPr>
            <w:tcW w:w="8275" w:type="dxa"/>
            <w:shd w:val="clear" w:color="auto" w:fill="auto"/>
            <w:vAlign w:val="center"/>
            <w:hideMark/>
          </w:tcPr>
          <w:p w:rsidR="00D4538F" w:rsidRPr="00096290" w:rsidRDefault="002944BE" w:rsidP="00581EA2">
            <w:pPr>
              <w:spacing w:before="60" w:after="60"/>
              <w:jc w:val="left"/>
              <w:rPr>
                <w:color w:val="000000" w:themeColor="text1"/>
                <w:sz w:val="20"/>
                <w:szCs w:val="20"/>
                <w:lang w:val="fr-CA"/>
              </w:rPr>
            </w:pPr>
            <w:r w:rsidRPr="00096290">
              <w:rPr>
                <w:color w:val="000000" w:themeColor="text1"/>
                <w:sz w:val="20"/>
                <w:szCs w:val="20"/>
                <w:lang w:val="fr-CA"/>
              </w:rPr>
              <w:t xml:space="preserve">Observations sur un projet de sommaire technique des avantages </w:t>
            </w:r>
            <w:r w:rsidR="00581EA2">
              <w:rPr>
                <w:color w:val="000000" w:themeColor="text1"/>
                <w:sz w:val="20"/>
                <w:szCs w:val="20"/>
                <w:lang w:val="fr-CA"/>
              </w:rPr>
              <w:t xml:space="preserve">en matière d’atténuation </w:t>
            </w:r>
            <w:r w:rsidRPr="00096290">
              <w:rPr>
                <w:color w:val="000000" w:themeColor="text1"/>
                <w:sz w:val="20"/>
                <w:szCs w:val="20"/>
                <w:lang w:val="fr-CA"/>
              </w:rPr>
              <w:t>des mesures, initiatives et scénarios pour éliminer les émissions de gaz à effet de serre ne cont</w:t>
            </w:r>
            <w:r w:rsidR="00581EA2">
              <w:rPr>
                <w:color w:val="000000" w:themeColor="text1"/>
                <w:sz w:val="20"/>
                <w:szCs w:val="20"/>
                <w:lang w:val="fr-CA"/>
              </w:rPr>
              <w:t>enant pas de dioxyde de carbone</w:t>
            </w:r>
            <w:r w:rsidR="00727985">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74</w:t>
            </w:r>
          </w:p>
        </w:tc>
      </w:tr>
      <w:tr w:rsidR="00D4538F" w:rsidRPr="00096290" w:rsidTr="00CC24C6">
        <w:trPr>
          <w:cantSplit/>
        </w:trPr>
        <w:tc>
          <w:tcPr>
            <w:tcW w:w="8275" w:type="dxa"/>
            <w:shd w:val="clear" w:color="auto" w:fill="auto"/>
            <w:vAlign w:val="center"/>
            <w:hideMark/>
          </w:tcPr>
          <w:p w:rsidR="00D4538F" w:rsidRPr="00096290" w:rsidRDefault="002944BE" w:rsidP="00D4538F">
            <w:pPr>
              <w:spacing w:before="60" w:after="60"/>
              <w:jc w:val="left"/>
              <w:rPr>
                <w:color w:val="000000" w:themeColor="text1"/>
                <w:sz w:val="20"/>
                <w:szCs w:val="20"/>
                <w:lang w:val="fr-CA"/>
              </w:rPr>
            </w:pPr>
            <w:r w:rsidRPr="00096290">
              <w:rPr>
                <w:color w:val="000000" w:themeColor="text1"/>
                <w:sz w:val="20"/>
                <w:szCs w:val="20"/>
                <w:lang w:val="fr-CA"/>
              </w:rPr>
              <w:t>Le Secrétariat a été invité</w:t>
            </w:r>
            <w:r w:rsidR="00820DCC" w:rsidRPr="00096290">
              <w:rPr>
                <w:color w:val="000000" w:themeColor="text1"/>
                <w:sz w:val="20"/>
                <w:szCs w:val="20"/>
                <w:lang w:val="fr-CA"/>
              </w:rPr>
              <w:t xml:space="preserve"> au début octobre 2013 à assister à la 19</w:t>
            </w:r>
            <w:r w:rsidR="00820DCC" w:rsidRPr="00096290">
              <w:rPr>
                <w:color w:val="000000" w:themeColor="text1"/>
                <w:sz w:val="20"/>
                <w:szCs w:val="20"/>
                <w:vertAlign w:val="superscript"/>
                <w:lang w:val="fr-CA"/>
              </w:rPr>
              <w:t>e</w:t>
            </w:r>
            <w:r w:rsidR="00820DCC" w:rsidRPr="00096290">
              <w:rPr>
                <w:color w:val="000000" w:themeColor="text1"/>
                <w:sz w:val="20"/>
                <w:szCs w:val="20"/>
                <w:lang w:val="fr-CA"/>
              </w:rPr>
              <w:t xml:space="preserve"> session de la Conférence des Parties à la CCNUCC et à la 9</w:t>
            </w:r>
            <w:r w:rsidR="00820DCC" w:rsidRPr="00096290">
              <w:rPr>
                <w:color w:val="000000" w:themeColor="text1"/>
                <w:sz w:val="20"/>
                <w:szCs w:val="20"/>
                <w:vertAlign w:val="superscript"/>
                <w:lang w:val="fr-CA"/>
              </w:rPr>
              <w:t>e</w:t>
            </w:r>
            <w:r w:rsidR="00820DCC" w:rsidRPr="00096290">
              <w:rPr>
                <w:color w:val="000000" w:themeColor="text1"/>
                <w:sz w:val="20"/>
                <w:szCs w:val="20"/>
                <w:lang w:val="fr-CA"/>
              </w:rPr>
              <w:t xml:space="preserve"> session de la Conférence des Parties siégeant en tant que réunion des Parties au Protocole de Kyoto qui se déroulerai</w:t>
            </w:r>
            <w:r w:rsidR="00922021">
              <w:rPr>
                <w:color w:val="000000" w:themeColor="text1"/>
                <w:sz w:val="20"/>
                <w:szCs w:val="20"/>
                <w:lang w:val="fr-CA"/>
              </w:rPr>
              <w:t>en</w:t>
            </w:r>
            <w:r w:rsidR="00820DCC" w:rsidRPr="00096290">
              <w:rPr>
                <w:color w:val="000000" w:themeColor="text1"/>
                <w:sz w:val="20"/>
                <w:szCs w:val="20"/>
                <w:lang w:val="fr-CA"/>
              </w:rPr>
              <w:t>t à Varsovie, en Pologne, du 11 au 22 novembre 2013</w:t>
            </w:r>
            <w:r w:rsidR="00D4538F" w:rsidRPr="00096290">
              <w:rPr>
                <w:color w:val="000000" w:themeColor="text1"/>
                <w:sz w:val="20"/>
                <w:szCs w:val="20"/>
                <w:lang w:val="fr-CA"/>
              </w:rPr>
              <w:t>.</w:t>
            </w:r>
          </w:p>
          <w:p w:rsidR="00D4538F" w:rsidRPr="00096290" w:rsidRDefault="00820DCC" w:rsidP="00D4538F">
            <w:pPr>
              <w:spacing w:before="60" w:after="60"/>
              <w:jc w:val="left"/>
              <w:rPr>
                <w:color w:val="000000" w:themeColor="text1"/>
                <w:sz w:val="20"/>
                <w:szCs w:val="20"/>
                <w:lang w:val="fr-CA"/>
              </w:rPr>
            </w:pPr>
            <w:r w:rsidRPr="00096290">
              <w:rPr>
                <w:color w:val="000000" w:themeColor="text1"/>
                <w:sz w:val="20"/>
                <w:szCs w:val="20"/>
                <w:lang w:val="fr-CA"/>
              </w:rPr>
              <w:t xml:space="preserve">Le </w:t>
            </w:r>
            <w:r w:rsidR="00922021">
              <w:rPr>
                <w:color w:val="000000" w:themeColor="text1"/>
                <w:sz w:val="20"/>
                <w:szCs w:val="20"/>
                <w:lang w:val="fr-CA"/>
              </w:rPr>
              <w:t>Chef</w:t>
            </w:r>
            <w:r w:rsidRPr="00096290">
              <w:rPr>
                <w:color w:val="000000" w:themeColor="text1"/>
                <w:sz w:val="20"/>
                <w:szCs w:val="20"/>
                <w:lang w:val="fr-CA"/>
              </w:rPr>
              <w:t xml:space="preserve"> du Secrétariat a répondu qu’il ne pourrait pas</w:t>
            </w:r>
            <w:r w:rsidR="00922021">
              <w:rPr>
                <w:color w:val="000000" w:themeColor="text1"/>
                <w:sz w:val="20"/>
                <w:szCs w:val="20"/>
                <w:lang w:val="fr-CA"/>
              </w:rPr>
              <w:t xml:space="preserve"> y assister</w:t>
            </w:r>
            <w:r w:rsidRPr="00096290">
              <w:rPr>
                <w:color w:val="000000" w:themeColor="text1"/>
                <w:sz w:val="20"/>
                <w:szCs w:val="20"/>
                <w:lang w:val="fr-CA"/>
              </w:rPr>
              <w:t xml:space="preserve"> à cause des préparatifs pour la 71</w:t>
            </w:r>
            <w:r w:rsidRPr="00096290">
              <w:rPr>
                <w:color w:val="000000" w:themeColor="text1"/>
                <w:sz w:val="20"/>
                <w:szCs w:val="20"/>
                <w:vertAlign w:val="superscript"/>
                <w:lang w:val="fr-CA"/>
              </w:rPr>
              <w:t>e</w:t>
            </w:r>
            <w:r w:rsidR="00922021">
              <w:rPr>
                <w:color w:val="000000" w:themeColor="text1"/>
                <w:sz w:val="20"/>
                <w:szCs w:val="20"/>
                <w:lang w:val="fr-CA"/>
              </w:rPr>
              <w:t> </w:t>
            </w:r>
            <w:r w:rsidRPr="00096290">
              <w:rPr>
                <w:color w:val="000000" w:themeColor="text1"/>
                <w:sz w:val="20"/>
                <w:szCs w:val="20"/>
                <w:lang w:val="fr-CA"/>
              </w:rPr>
              <w:t>r</w:t>
            </w:r>
            <w:r w:rsidR="00922021">
              <w:rPr>
                <w:color w:val="000000" w:themeColor="text1"/>
                <w:sz w:val="20"/>
                <w:szCs w:val="20"/>
                <w:lang w:val="fr-CA"/>
              </w:rPr>
              <w:t>éunion. Sachant que le Secrét</w:t>
            </w:r>
            <w:r w:rsidRPr="00096290">
              <w:rPr>
                <w:color w:val="000000" w:themeColor="text1"/>
                <w:sz w:val="20"/>
                <w:szCs w:val="20"/>
                <w:lang w:val="fr-CA"/>
              </w:rPr>
              <w:t>ariat de la C</w:t>
            </w:r>
            <w:r w:rsidR="00922021">
              <w:rPr>
                <w:color w:val="000000" w:themeColor="text1"/>
                <w:sz w:val="20"/>
                <w:szCs w:val="20"/>
                <w:lang w:val="fr-CA"/>
              </w:rPr>
              <w:t>C</w:t>
            </w:r>
            <w:r w:rsidRPr="00096290">
              <w:rPr>
                <w:color w:val="000000" w:themeColor="text1"/>
                <w:sz w:val="20"/>
                <w:szCs w:val="20"/>
                <w:lang w:val="fr-CA"/>
              </w:rPr>
              <w:t xml:space="preserve">NUCC avait été invité à assister à la </w:t>
            </w:r>
            <w:r w:rsidR="00581EA2">
              <w:rPr>
                <w:color w:val="000000" w:themeColor="text1"/>
                <w:sz w:val="20"/>
                <w:szCs w:val="20"/>
                <w:lang w:val="fr-CA"/>
              </w:rPr>
              <w:t>vingt-cinquième</w:t>
            </w:r>
            <w:r w:rsidRPr="00096290">
              <w:rPr>
                <w:color w:val="000000" w:themeColor="text1"/>
                <w:sz w:val="20"/>
                <w:szCs w:val="20"/>
                <w:lang w:val="fr-CA"/>
              </w:rPr>
              <w:t xml:space="preserve"> réunion de la C</w:t>
            </w:r>
            <w:r w:rsidR="00922021">
              <w:rPr>
                <w:color w:val="000000" w:themeColor="text1"/>
                <w:sz w:val="20"/>
                <w:szCs w:val="20"/>
                <w:lang w:val="fr-CA"/>
              </w:rPr>
              <w:t>onférence des Parties, il a sugg</w:t>
            </w:r>
            <w:r w:rsidRPr="00096290">
              <w:rPr>
                <w:color w:val="000000" w:themeColor="text1"/>
                <w:sz w:val="20"/>
                <w:szCs w:val="20"/>
                <w:lang w:val="fr-CA"/>
              </w:rPr>
              <w:t>éré une rencontre informelle afin de discuter des oc</w:t>
            </w:r>
            <w:r w:rsidR="000B738B" w:rsidRPr="00096290">
              <w:rPr>
                <w:color w:val="000000" w:themeColor="text1"/>
                <w:sz w:val="20"/>
                <w:szCs w:val="20"/>
                <w:lang w:val="fr-CA"/>
              </w:rPr>
              <w:t>casions de collaborati</w:t>
            </w:r>
            <w:r w:rsidRPr="00096290">
              <w:rPr>
                <w:color w:val="000000" w:themeColor="text1"/>
                <w:sz w:val="20"/>
                <w:szCs w:val="20"/>
                <w:lang w:val="fr-CA"/>
              </w:rPr>
              <w:t xml:space="preserve">on </w:t>
            </w:r>
            <w:r w:rsidR="00922021">
              <w:rPr>
                <w:color w:val="000000" w:themeColor="text1"/>
                <w:sz w:val="20"/>
                <w:szCs w:val="20"/>
                <w:lang w:val="fr-CA"/>
              </w:rPr>
              <w:t xml:space="preserve">possible </w:t>
            </w:r>
            <w:r w:rsidRPr="00096290">
              <w:rPr>
                <w:color w:val="000000" w:themeColor="text1"/>
                <w:sz w:val="20"/>
                <w:szCs w:val="20"/>
                <w:lang w:val="fr-CA"/>
              </w:rPr>
              <w:t xml:space="preserve">entre les deux Secrétariats. Le Secrétaire exécutif </w:t>
            </w:r>
            <w:r w:rsidR="000B738B" w:rsidRPr="00096290">
              <w:rPr>
                <w:color w:val="000000" w:themeColor="text1"/>
                <w:sz w:val="20"/>
                <w:szCs w:val="20"/>
                <w:lang w:val="fr-CA"/>
              </w:rPr>
              <w:t xml:space="preserve">du Secrétariat </w:t>
            </w:r>
            <w:r w:rsidRPr="00096290">
              <w:rPr>
                <w:color w:val="000000" w:themeColor="text1"/>
                <w:sz w:val="20"/>
                <w:szCs w:val="20"/>
                <w:lang w:val="fr-CA"/>
              </w:rPr>
              <w:t>de la CCNUCC</w:t>
            </w:r>
            <w:r w:rsidR="000B738B" w:rsidRPr="00096290">
              <w:rPr>
                <w:color w:val="000000" w:themeColor="text1"/>
                <w:sz w:val="20"/>
                <w:szCs w:val="20"/>
                <w:lang w:val="fr-CA"/>
              </w:rPr>
              <w:t xml:space="preserve"> a répondu que le Coordon</w:t>
            </w:r>
            <w:r w:rsidR="00922021">
              <w:rPr>
                <w:color w:val="000000" w:themeColor="text1"/>
                <w:sz w:val="20"/>
                <w:szCs w:val="20"/>
                <w:lang w:val="fr-CA"/>
              </w:rPr>
              <w:t>nateur de l’atténuation et du pr</w:t>
            </w:r>
            <w:r w:rsidR="000B738B" w:rsidRPr="00096290">
              <w:rPr>
                <w:color w:val="000000" w:themeColor="text1"/>
                <w:sz w:val="20"/>
                <w:szCs w:val="20"/>
                <w:lang w:val="fr-CA"/>
              </w:rPr>
              <w:t>o</w:t>
            </w:r>
            <w:r w:rsidR="00922021">
              <w:rPr>
                <w:color w:val="000000" w:themeColor="text1"/>
                <w:sz w:val="20"/>
                <w:szCs w:val="20"/>
                <w:lang w:val="fr-CA"/>
              </w:rPr>
              <w:t>g</w:t>
            </w:r>
            <w:r w:rsidR="000B738B" w:rsidRPr="00096290">
              <w:rPr>
                <w:color w:val="000000" w:themeColor="text1"/>
                <w:sz w:val="20"/>
                <w:szCs w:val="20"/>
                <w:lang w:val="fr-CA"/>
              </w:rPr>
              <w:t>ramme de données et d’analyse, qui assisterait à la réunion de la Conférence des Parties, organiserait une rencontre bilatérale avec lui</w:t>
            </w:r>
            <w:r w:rsidR="00D4538F" w:rsidRPr="00096290">
              <w:rPr>
                <w:color w:val="000000" w:themeColor="text1"/>
                <w:sz w:val="20"/>
                <w:szCs w:val="20"/>
                <w:lang w:val="fr-CA"/>
              </w:rPr>
              <w:t>.</w:t>
            </w:r>
          </w:p>
          <w:p w:rsidR="00D4538F" w:rsidRPr="00096290" w:rsidRDefault="000B738B" w:rsidP="004011F5">
            <w:pPr>
              <w:spacing w:before="60" w:after="60"/>
              <w:jc w:val="left"/>
              <w:rPr>
                <w:color w:val="000000" w:themeColor="text1"/>
                <w:sz w:val="20"/>
                <w:szCs w:val="20"/>
                <w:lang w:val="fr-CA"/>
              </w:rPr>
            </w:pPr>
            <w:r w:rsidRPr="00096290">
              <w:rPr>
                <w:color w:val="000000" w:themeColor="text1"/>
                <w:sz w:val="20"/>
                <w:szCs w:val="20"/>
                <w:lang w:val="fr-CA"/>
              </w:rPr>
              <w:t xml:space="preserve">Les représentants des deux Secrétariats se sont rencontrés et </w:t>
            </w:r>
            <w:r w:rsidR="00922021">
              <w:rPr>
                <w:color w:val="000000" w:themeColor="text1"/>
                <w:sz w:val="20"/>
                <w:szCs w:val="20"/>
                <w:lang w:val="fr-CA"/>
              </w:rPr>
              <w:t>ont</w:t>
            </w:r>
            <w:r w:rsidRPr="00096290">
              <w:rPr>
                <w:color w:val="000000" w:themeColor="text1"/>
                <w:sz w:val="20"/>
                <w:szCs w:val="20"/>
                <w:lang w:val="fr-CA"/>
              </w:rPr>
              <w:t xml:space="preserve"> discuté de façon inf</w:t>
            </w:r>
            <w:r w:rsidR="00922021">
              <w:rPr>
                <w:color w:val="000000" w:themeColor="text1"/>
                <w:sz w:val="20"/>
                <w:szCs w:val="20"/>
                <w:lang w:val="fr-CA"/>
              </w:rPr>
              <w:t>ormelle d’une future collaborati</w:t>
            </w:r>
            <w:r w:rsidRPr="00096290">
              <w:rPr>
                <w:color w:val="000000" w:themeColor="text1"/>
                <w:sz w:val="20"/>
                <w:szCs w:val="20"/>
                <w:lang w:val="fr-CA"/>
              </w:rPr>
              <w:t>on entre les Secrétariats, lorsque le besoin se présenterait</w:t>
            </w:r>
            <w:r w:rsidR="00D4538F" w:rsidRPr="00096290">
              <w:rPr>
                <w:color w:val="000000" w:themeColor="text1"/>
                <w:sz w:val="20"/>
                <w:szCs w:val="20"/>
                <w:lang w:val="fr-CA"/>
              </w:rPr>
              <w:t>.</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71</w:t>
            </w:r>
          </w:p>
        </w:tc>
      </w:tr>
      <w:tr w:rsidR="00D4538F" w:rsidRPr="00096290" w:rsidTr="00192798">
        <w:trPr>
          <w:cantSplit/>
        </w:trPr>
        <w:tc>
          <w:tcPr>
            <w:tcW w:w="9355" w:type="dxa"/>
            <w:gridSpan w:val="2"/>
            <w:shd w:val="clear" w:color="auto" w:fill="auto"/>
            <w:tcMar>
              <w:left w:w="115" w:type="dxa"/>
              <w:right w:w="173" w:type="dxa"/>
            </w:tcMar>
            <w:vAlign w:val="center"/>
          </w:tcPr>
          <w:p w:rsidR="00D4538F" w:rsidRPr="00096290" w:rsidRDefault="000B738B" w:rsidP="00D4538F">
            <w:pPr>
              <w:spacing w:before="60" w:after="60"/>
              <w:jc w:val="left"/>
              <w:rPr>
                <w:b/>
                <w:color w:val="000000" w:themeColor="text1"/>
                <w:sz w:val="20"/>
                <w:szCs w:val="20"/>
                <w:lang w:val="fr-CA"/>
              </w:rPr>
            </w:pPr>
            <w:r w:rsidRPr="00096290">
              <w:rPr>
                <w:b/>
                <w:color w:val="000000" w:themeColor="text1"/>
                <w:sz w:val="20"/>
                <w:szCs w:val="20"/>
                <w:lang w:val="fr-CA"/>
              </w:rPr>
              <w:t>Université de</w:t>
            </w:r>
            <w:r w:rsidR="00D4538F" w:rsidRPr="00096290">
              <w:rPr>
                <w:b/>
                <w:color w:val="000000" w:themeColor="text1"/>
                <w:sz w:val="20"/>
                <w:szCs w:val="20"/>
                <w:lang w:val="fr-CA"/>
              </w:rPr>
              <w:t xml:space="preserve"> Bristol</w:t>
            </w:r>
          </w:p>
        </w:tc>
      </w:tr>
      <w:tr w:rsidR="00D4538F" w:rsidRPr="00096290" w:rsidTr="00CC24C6">
        <w:trPr>
          <w:cantSplit/>
        </w:trPr>
        <w:tc>
          <w:tcPr>
            <w:tcW w:w="8275" w:type="dxa"/>
            <w:shd w:val="clear" w:color="auto" w:fill="auto"/>
            <w:vAlign w:val="center"/>
            <w:hideMark/>
          </w:tcPr>
          <w:p w:rsidR="00D4538F" w:rsidRPr="00096290" w:rsidRDefault="000B738B" w:rsidP="00082822">
            <w:pPr>
              <w:spacing w:before="60" w:after="60"/>
              <w:jc w:val="left"/>
              <w:rPr>
                <w:color w:val="000000" w:themeColor="text1"/>
                <w:sz w:val="20"/>
                <w:szCs w:val="20"/>
                <w:lang w:val="fr-CA"/>
              </w:rPr>
            </w:pPr>
            <w:r w:rsidRPr="00096290">
              <w:rPr>
                <w:color w:val="000000" w:themeColor="text1"/>
                <w:sz w:val="20"/>
                <w:szCs w:val="20"/>
                <w:lang w:val="fr-CA"/>
              </w:rPr>
              <w:t>Remise d’un sommaire des données contenues dans les documents sur le HFC-23 préparés par</w:t>
            </w:r>
            <w:r w:rsidR="00082822" w:rsidRPr="00096290">
              <w:rPr>
                <w:color w:val="000000" w:themeColor="text1"/>
                <w:sz w:val="20"/>
                <w:szCs w:val="20"/>
                <w:lang w:val="fr-CA"/>
              </w:rPr>
              <w:t xml:space="preserve"> </w:t>
            </w:r>
            <w:r w:rsidRPr="00096290">
              <w:rPr>
                <w:color w:val="000000" w:themeColor="text1"/>
                <w:sz w:val="20"/>
                <w:szCs w:val="20"/>
                <w:lang w:val="fr-CA"/>
              </w:rPr>
              <w:t xml:space="preserve">le Secrétariat, la consommation globale de HFC-23 déclarée dans les enquêtes sur les substances de remplacement des SAO </w:t>
            </w:r>
            <w:r w:rsidR="00082822" w:rsidRPr="00096290">
              <w:rPr>
                <w:color w:val="000000" w:themeColor="text1"/>
                <w:sz w:val="20"/>
                <w:szCs w:val="20"/>
                <w:lang w:val="fr-CA"/>
              </w:rPr>
              <w:t>menées dans 119 pays visés à l</w:t>
            </w:r>
            <w:r w:rsidR="004011F5">
              <w:rPr>
                <w:color w:val="000000" w:themeColor="text1"/>
                <w:sz w:val="20"/>
                <w:szCs w:val="20"/>
                <w:lang w:val="fr-CA"/>
              </w:rPr>
              <w:t>’</w:t>
            </w:r>
            <w:r w:rsidR="00082822" w:rsidRPr="00096290">
              <w:rPr>
                <w:color w:val="000000" w:themeColor="text1"/>
                <w:sz w:val="20"/>
                <w:szCs w:val="20"/>
                <w:lang w:val="fr-CA"/>
              </w:rPr>
              <w:t xml:space="preserve">article 5 et les données obtenues dans les ressources publiques lors de la préparation du document </w:t>
            </w:r>
            <w:r w:rsidR="00D4538F" w:rsidRPr="00096290">
              <w:rPr>
                <w:color w:val="000000" w:themeColor="text1"/>
                <w:sz w:val="20"/>
                <w:szCs w:val="20"/>
                <w:lang w:val="fr-CA"/>
              </w:rPr>
              <w:t>UNEP/OzL.Pro/ExCom/79/48.</w:t>
            </w:r>
          </w:p>
        </w:tc>
        <w:tc>
          <w:tcPr>
            <w:tcW w:w="1080" w:type="dxa"/>
            <w:shd w:val="clear" w:color="auto" w:fill="auto"/>
            <w:tcMar>
              <w:left w:w="115" w:type="dxa"/>
              <w:right w:w="173" w:type="dxa"/>
            </w:tcMar>
            <w:vAlign w:val="center"/>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83</w:t>
            </w:r>
          </w:p>
        </w:tc>
      </w:tr>
      <w:tr w:rsidR="00D4538F" w:rsidRPr="00755FF1" w:rsidTr="00192798">
        <w:trPr>
          <w:cantSplit/>
        </w:trPr>
        <w:tc>
          <w:tcPr>
            <w:tcW w:w="9355" w:type="dxa"/>
            <w:gridSpan w:val="2"/>
            <w:shd w:val="clear" w:color="auto" w:fill="auto"/>
            <w:tcMar>
              <w:left w:w="115" w:type="dxa"/>
              <w:right w:w="173" w:type="dxa"/>
            </w:tcMar>
            <w:vAlign w:val="center"/>
          </w:tcPr>
          <w:p w:rsidR="00D4538F" w:rsidRPr="00096290" w:rsidRDefault="00082822" w:rsidP="00082822">
            <w:pPr>
              <w:spacing w:before="60" w:after="60"/>
              <w:jc w:val="left"/>
              <w:rPr>
                <w:b/>
                <w:color w:val="000000" w:themeColor="text1"/>
                <w:sz w:val="20"/>
                <w:szCs w:val="20"/>
                <w:lang w:val="fr-CA"/>
              </w:rPr>
            </w:pPr>
            <w:r w:rsidRPr="00096290">
              <w:rPr>
                <w:b/>
                <w:color w:val="000000" w:themeColor="text1"/>
                <w:sz w:val="20"/>
                <w:szCs w:val="20"/>
                <w:lang w:val="fr-CA"/>
              </w:rPr>
              <w:t>Division du commerce et de l’environnement de l’Organisation mondiale du commerce</w:t>
            </w:r>
          </w:p>
        </w:tc>
      </w:tr>
      <w:tr w:rsidR="00D4538F" w:rsidRPr="00096290" w:rsidTr="00CC24C6">
        <w:trPr>
          <w:cantSplit/>
        </w:trPr>
        <w:tc>
          <w:tcPr>
            <w:tcW w:w="8275" w:type="dxa"/>
            <w:shd w:val="clear" w:color="auto" w:fill="auto"/>
            <w:vAlign w:val="center"/>
            <w:hideMark/>
          </w:tcPr>
          <w:p w:rsidR="00D4538F" w:rsidRPr="00096290" w:rsidRDefault="00082822" w:rsidP="004011F5">
            <w:pPr>
              <w:spacing w:before="60" w:after="60"/>
              <w:jc w:val="left"/>
              <w:rPr>
                <w:color w:val="000000" w:themeColor="text1"/>
                <w:sz w:val="20"/>
                <w:szCs w:val="20"/>
                <w:lang w:val="fr-CA"/>
              </w:rPr>
            </w:pPr>
            <w:r w:rsidRPr="00096290">
              <w:rPr>
                <w:color w:val="000000" w:themeColor="text1"/>
                <w:sz w:val="20"/>
                <w:szCs w:val="20"/>
                <w:lang w:val="fr-CA"/>
              </w:rPr>
              <w:t xml:space="preserve">Mise à jour de la grille des accords multilatéraux sur l’environnement pour le comité du commerce et de l’environnement de l’OMC </w:t>
            </w:r>
            <w:r w:rsidR="00D4538F" w:rsidRPr="00096290">
              <w:rPr>
                <w:color w:val="000000" w:themeColor="text1"/>
                <w:sz w:val="20"/>
                <w:szCs w:val="20"/>
                <w:lang w:val="fr-CA"/>
              </w:rPr>
              <w:t>(https://www.wto.org/english/tratop_e/envir_e/envir_matrix_e.htm)</w:t>
            </w:r>
          </w:p>
        </w:tc>
        <w:tc>
          <w:tcPr>
            <w:tcW w:w="1080" w:type="dxa"/>
            <w:shd w:val="clear" w:color="auto" w:fill="auto"/>
            <w:tcMar>
              <w:left w:w="115" w:type="dxa"/>
              <w:right w:w="173" w:type="dxa"/>
            </w:tcMar>
            <w:vAlign w:val="center"/>
            <w:hideMark/>
          </w:tcPr>
          <w:p w:rsidR="00D4538F" w:rsidRPr="00096290" w:rsidRDefault="00D4538F" w:rsidP="00D4538F">
            <w:pPr>
              <w:spacing w:before="60" w:after="60"/>
              <w:jc w:val="right"/>
              <w:rPr>
                <w:color w:val="000000" w:themeColor="text1"/>
                <w:sz w:val="20"/>
                <w:szCs w:val="20"/>
                <w:lang w:val="en-US"/>
              </w:rPr>
            </w:pPr>
            <w:r w:rsidRPr="00096290">
              <w:rPr>
                <w:color w:val="000000" w:themeColor="text1"/>
                <w:sz w:val="20"/>
                <w:szCs w:val="20"/>
                <w:lang w:val="en-US"/>
              </w:rPr>
              <w:t>75</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4797C" w:rsidTr="00CC24C6">
        <w:tc>
          <w:tcPr>
            <w:tcW w:w="1871" w:type="dxa"/>
          </w:tcPr>
          <w:p w:rsidR="00E4797C" w:rsidRDefault="00E4797C" w:rsidP="00192798"/>
        </w:tc>
        <w:tc>
          <w:tcPr>
            <w:tcW w:w="1872" w:type="dxa"/>
          </w:tcPr>
          <w:p w:rsidR="00E4797C" w:rsidRDefault="00E4797C" w:rsidP="00192798"/>
        </w:tc>
        <w:tc>
          <w:tcPr>
            <w:tcW w:w="1872" w:type="dxa"/>
            <w:tcBorders>
              <w:bottom w:val="single" w:sz="4" w:space="0" w:color="auto"/>
            </w:tcBorders>
          </w:tcPr>
          <w:p w:rsidR="00E4797C" w:rsidRDefault="00E4797C" w:rsidP="00192798"/>
        </w:tc>
        <w:tc>
          <w:tcPr>
            <w:tcW w:w="1872" w:type="dxa"/>
          </w:tcPr>
          <w:p w:rsidR="00E4797C" w:rsidRDefault="00E4797C" w:rsidP="00192798"/>
        </w:tc>
        <w:tc>
          <w:tcPr>
            <w:tcW w:w="1873" w:type="dxa"/>
          </w:tcPr>
          <w:p w:rsidR="00E4797C" w:rsidRDefault="00E4797C" w:rsidP="00192798"/>
        </w:tc>
      </w:tr>
    </w:tbl>
    <w:p w:rsidR="00E85409" w:rsidRPr="00BB2764" w:rsidRDefault="00E85409" w:rsidP="004E7F9C">
      <w:pPr>
        <w:rPr>
          <w:lang w:val="en-CA"/>
        </w:rPr>
      </w:pPr>
    </w:p>
    <w:sectPr w:rsidR="00E85409" w:rsidRPr="00BB2764" w:rsidSect="00DA1B0C">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9A" w:rsidRDefault="005A0D9A" w:rsidP="004A504B">
      <w:r>
        <w:separator/>
      </w:r>
    </w:p>
  </w:endnote>
  <w:endnote w:type="continuationSeparator" w:id="0">
    <w:p w:rsidR="005A0D9A" w:rsidRDefault="005A0D9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roman"/>
    <w:notTrueType/>
    <w:pitch w:val="default"/>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Pr="0033525D" w:rsidRDefault="00181B97">
    <w:pPr>
      <w:jc w:val="center"/>
    </w:pPr>
    <w:r>
      <w:fldChar w:fldCharType="begin"/>
    </w:r>
    <w:r>
      <w:instrText xml:space="preserve"> PAGE </w:instrText>
    </w:r>
    <w:r>
      <w:fldChar w:fldCharType="separate"/>
    </w:r>
    <w:r w:rsidR="00755FF1">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Pr="0033525D" w:rsidRDefault="00181B97">
    <w:pPr>
      <w:jc w:val="center"/>
    </w:pPr>
    <w:r>
      <w:fldChar w:fldCharType="begin"/>
    </w:r>
    <w:r>
      <w:instrText xml:space="preserve"> PAGE </w:instrText>
    </w:r>
    <w:r>
      <w:fldChar w:fldCharType="separate"/>
    </w:r>
    <w:r w:rsidR="00755FF1">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Pr="004C7828" w:rsidRDefault="00181B97" w:rsidP="004C7828">
    <w:pPr>
      <w:pBdr>
        <w:top w:val="single" w:sz="4" w:space="1" w:color="auto"/>
        <w:left w:val="single" w:sz="4" w:space="4" w:color="auto"/>
        <w:bottom w:val="single" w:sz="4" w:space="1" w:color="auto"/>
        <w:right w:val="single" w:sz="4" w:space="4" w:color="auto"/>
      </w:pBdr>
      <w:jc w:val="center"/>
      <w:rPr>
        <w:rFonts w:cs="MS Serif"/>
        <w:sz w:val="18"/>
        <w:szCs w:val="18"/>
        <w:lang w:val="fr-FR"/>
      </w:rPr>
    </w:pPr>
    <w:r w:rsidRPr="004C7828">
      <w:rPr>
        <w:rFonts w:cs="MS Serif"/>
        <w:sz w:val="18"/>
        <w:szCs w:val="18"/>
        <w:lang w:val="fr-FR"/>
      </w:rPr>
      <w:t xml:space="preserve">Les documents de </w:t>
    </w:r>
    <w:proofErr w:type="spellStart"/>
    <w:r w:rsidRPr="004C7828">
      <w:rPr>
        <w:rFonts w:cs="MS Serif"/>
        <w:sz w:val="18"/>
        <w:szCs w:val="18"/>
        <w:lang w:val="fr-FR"/>
      </w:rPr>
      <w:t>présession</w:t>
    </w:r>
    <w:proofErr w:type="spellEnd"/>
    <w:r w:rsidRPr="004C7828">
      <w:rPr>
        <w:rFonts w:cs="MS Serif"/>
        <w:sz w:val="18"/>
        <w:szCs w:val="18"/>
        <w:lang w:val="fr-FR"/>
      </w:rPr>
      <w:t xml:space="preserve"> du Comité exécutif du Fonds multilatéral aux fins d’application du Protocole de </w:t>
    </w:r>
  </w:p>
  <w:p w:rsidR="00181B97" w:rsidRPr="004C7828" w:rsidRDefault="00181B97" w:rsidP="004C7828">
    <w:pPr>
      <w:pBdr>
        <w:top w:val="single" w:sz="4" w:space="1" w:color="auto"/>
        <w:left w:val="single" w:sz="4" w:space="4" w:color="auto"/>
        <w:bottom w:val="single" w:sz="4" w:space="1" w:color="auto"/>
        <w:right w:val="single" w:sz="4" w:space="4" w:color="auto"/>
      </w:pBdr>
      <w:jc w:val="center"/>
      <w:rPr>
        <w:sz w:val="18"/>
        <w:szCs w:val="18"/>
        <w:lang w:val="fr-CA"/>
      </w:rPr>
    </w:pPr>
    <w:r w:rsidRPr="004C7828">
      <w:rPr>
        <w:rFonts w:cs="MS Serif"/>
        <w:sz w:val="18"/>
        <w:szCs w:val="18"/>
        <w:lang w:val="fr-FR"/>
      </w:rPr>
      <w:t>Montréal sont présentés sous réserve des décisions pouvant être prises par le Comité exécutif après leur publication</w:t>
    </w:r>
    <w:r w:rsidRPr="004C7828">
      <w:rPr>
        <w:sz w:val="18"/>
        <w:szCs w:val="18"/>
        <w:lang w:val="fr-CA"/>
      </w:rPr>
      <w:t>.</w:t>
    </w:r>
  </w:p>
  <w:p w:rsidR="00181B97" w:rsidRPr="004C7828" w:rsidRDefault="00181B97"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Pr="0033525D" w:rsidRDefault="00181B97">
    <w:pPr>
      <w:jc w:val="center"/>
    </w:pPr>
    <w:r>
      <w:fldChar w:fldCharType="begin"/>
    </w:r>
    <w:r>
      <w:instrText xml:space="preserve"> PAGE </w:instrText>
    </w:r>
    <w:r>
      <w:fldChar w:fldCharType="separate"/>
    </w:r>
    <w:r w:rsidR="00755FF1">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Pr="0033525D" w:rsidRDefault="00181B97">
    <w:pPr>
      <w:jc w:val="center"/>
    </w:pPr>
    <w:r>
      <w:fldChar w:fldCharType="begin"/>
    </w:r>
    <w:r>
      <w:instrText xml:space="preserve"> PAGE </w:instrText>
    </w:r>
    <w:r>
      <w:fldChar w:fldCharType="separate"/>
    </w:r>
    <w:r w:rsidR="00755FF1">
      <w:rPr>
        <w:noProof/>
      </w:rPr>
      <w:t>7</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39911"/>
      <w:docPartObj>
        <w:docPartGallery w:val="Page Numbers (Bottom of Page)"/>
        <w:docPartUnique/>
      </w:docPartObj>
    </w:sdtPr>
    <w:sdtEndPr>
      <w:rPr>
        <w:noProof/>
      </w:rPr>
    </w:sdtEndPr>
    <w:sdtContent>
      <w:p w:rsidR="00181B97" w:rsidRDefault="00181B97">
        <w:pPr>
          <w:pStyle w:val="Footer"/>
          <w:jc w:val="center"/>
        </w:pPr>
        <w:r>
          <w:fldChar w:fldCharType="begin"/>
        </w:r>
        <w:r>
          <w:instrText xml:space="preserve"> PAGE   \* MERGEFORMAT </w:instrText>
        </w:r>
        <w:r>
          <w:fldChar w:fldCharType="separate"/>
        </w:r>
        <w:r w:rsidR="00755FF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9A" w:rsidRDefault="005A0D9A" w:rsidP="004A504B">
      <w:r>
        <w:separator/>
      </w:r>
    </w:p>
  </w:footnote>
  <w:footnote w:type="continuationSeparator" w:id="0">
    <w:p w:rsidR="005A0D9A" w:rsidRDefault="005A0D9A" w:rsidP="004A504B">
      <w:r>
        <w:continuationSeparator/>
      </w:r>
    </w:p>
  </w:footnote>
  <w:footnote w:id="1">
    <w:p w:rsidR="00181B97" w:rsidRPr="007E543F" w:rsidRDefault="00181B97" w:rsidP="004C7828">
      <w:pPr>
        <w:pStyle w:val="FootnoteText"/>
        <w:rPr>
          <w:lang w:val="fr-CA"/>
        </w:rPr>
      </w:pPr>
      <w:r>
        <w:rPr>
          <w:rStyle w:val="FootnoteReference"/>
        </w:rPr>
        <w:footnoteRef/>
      </w:r>
      <w:r w:rsidRPr="004231C4">
        <w:rPr>
          <w:lang w:val="fr-CA"/>
        </w:rPr>
        <w:t xml:space="preserve"> </w:t>
      </w:r>
      <w:r w:rsidRPr="007E543F">
        <w:rPr>
          <w:lang w:val="fr-CA"/>
        </w:rPr>
        <w:t>À cause du coronavirus (COVID-19)</w:t>
      </w:r>
    </w:p>
  </w:footnote>
  <w:footnote w:id="2">
    <w:p w:rsidR="00181B97" w:rsidRPr="007E543F" w:rsidRDefault="00181B97">
      <w:pPr>
        <w:pStyle w:val="FootnoteText"/>
        <w:rPr>
          <w:lang w:val="fr-CA"/>
        </w:rPr>
      </w:pPr>
      <w:r w:rsidRPr="007E543F">
        <w:rPr>
          <w:rStyle w:val="FootnoteReference"/>
          <w:lang w:val="fr-CA"/>
        </w:rPr>
        <w:footnoteRef/>
      </w:r>
      <w:r w:rsidRPr="007E543F">
        <w:rPr>
          <w:lang w:val="fr-CA"/>
        </w:rPr>
        <w:t xml:space="preserve"> </w:t>
      </w:r>
      <w:r>
        <w:rPr>
          <w:lang w:val="fr-CA"/>
        </w:rPr>
        <w:t>À cause de la pandémie de la COVID-19, le Comité exécutif est convenu que les 85</w:t>
      </w:r>
      <w:r w:rsidRPr="009951A5">
        <w:rPr>
          <w:vertAlign w:val="superscript"/>
          <w:lang w:val="fr-CA"/>
        </w:rPr>
        <w:t>e</w:t>
      </w:r>
      <w:r>
        <w:rPr>
          <w:lang w:val="fr-CA"/>
        </w:rPr>
        <w:t xml:space="preserve"> et 86</w:t>
      </w:r>
      <w:r w:rsidRPr="009951A5">
        <w:rPr>
          <w:vertAlign w:val="superscript"/>
          <w:lang w:val="fr-CA"/>
        </w:rPr>
        <w:t>e</w:t>
      </w:r>
      <w:r>
        <w:rPr>
          <w:lang w:val="fr-CA"/>
        </w:rPr>
        <w:t xml:space="preserve"> réunions du Comité exécutif seraient présentées l’une à la suite de l’autre à Montréal, au Canada, du 8 au 12 mars 2021, en précisant que la 85</w:t>
      </w:r>
      <w:r w:rsidRPr="009951A5">
        <w:rPr>
          <w:vertAlign w:val="superscript"/>
          <w:lang w:val="fr-CA"/>
        </w:rPr>
        <w:t>e</w:t>
      </w:r>
      <w:r>
        <w:rPr>
          <w:lang w:val="fr-CA"/>
        </w:rPr>
        <w:t xml:space="preserve"> réunion serait de courte durée (maximum de deux heures) et aurait pour but d’adopter l’ordre du jour provisoire révisé, de prendre note des activités du Secrétariat et de l’état des contribution et des décaissements du Fonds multilatéral (au 31 mai 2020) et d’adopter le projet de rapport de la réunion, qui comprendrait les points approuvés au titre du PAI créé pour la 85</w:t>
      </w:r>
      <w:r w:rsidRPr="009951A5">
        <w:rPr>
          <w:vertAlign w:val="superscript"/>
          <w:lang w:val="fr-CA"/>
        </w:rPr>
        <w:t>e</w:t>
      </w:r>
      <w:r>
        <w:rPr>
          <w:lang w:val="fr-CA"/>
        </w:rPr>
        <w:t xml:space="preserve"> réunion, présenté dans le document</w:t>
      </w:r>
      <w:r w:rsidRPr="007E543F">
        <w:rPr>
          <w:lang w:val="fr-CA"/>
        </w:rPr>
        <w:t xml:space="preserve"> UNEP/</w:t>
      </w:r>
      <w:proofErr w:type="spellStart"/>
      <w:r w:rsidRPr="007E543F">
        <w:rPr>
          <w:lang w:val="fr-CA"/>
        </w:rPr>
        <w:t>OzL.Pro</w:t>
      </w:r>
      <w:proofErr w:type="spellEnd"/>
      <w:r w:rsidRPr="007E543F">
        <w:rPr>
          <w:lang w:val="fr-CA"/>
        </w:rPr>
        <w:t>/</w:t>
      </w:r>
      <w:proofErr w:type="spellStart"/>
      <w:r w:rsidRPr="007E543F">
        <w:rPr>
          <w:lang w:val="fr-CA"/>
        </w:rPr>
        <w:t>ExCom</w:t>
      </w:r>
      <w:proofErr w:type="spellEnd"/>
      <w:r w:rsidRPr="007E543F">
        <w:rPr>
          <w:lang w:val="fr-CA"/>
        </w:rPr>
        <w:t>/85/IAP/3.</w:t>
      </w:r>
    </w:p>
  </w:footnote>
  <w:footnote w:id="3">
    <w:p w:rsidR="00181B97" w:rsidRDefault="00181B97" w:rsidP="00E4797C">
      <w:pPr>
        <w:pStyle w:val="FootnoteText"/>
        <w:rPr>
          <w:color w:val="000000" w:themeColor="text1"/>
          <w:lang w:val="en-US"/>
        </w:rPr>
      </w:pPr>
      <w:r w:rsidRPr="007E543F">
        <w:rPr>
          <w:rStyle w:val="FootnoteReference"/>
          <w:lang w:val="fr-CA"/>
        </w:rPr>
        <w:footnoteRef/>
      </w:r>
      <w:r w:rsidRPr="00886A86">
        <w:rPr>
          <w:lang w:val="en-US"/>
        </w:rPr>
        <w:t xml:space="preserve"> </w:t>
      </w:r>
      <w:r w:rsidRPr="00886A86">
        <w:rPr>
          <w:color w:val="000000" w:themeColor="text1"/>
          <w:lang w:val="en-US"/>
        </w:rPr>
        <w:t>UNEP/</w:t>
      </w:r>
      <w:proofErr w:type="spellStart"/>
      <w:r w:rsidRPr="00886A86">
        <w:rPr>
          <w:color w:val="000000" w:themeColor="text1"/>
          <w:lang w:val="en-US"/>
        </w:rPr>
        <w:t>OzL.Pro</w:t>
      </w:r>
      <w:proofErr w:type="spellEnd"/>
      <w:r w:rsidRPr="00886A86">
        <w:rPr>
          <w:color w:val="000000" w:themeColor="text1"/>
          <w:lang w:val="en-US"/>
        </w:rPr>
        <w:t>/</w:t>
      </w:r>
      <w:proofErr w:type="spellStart"/>
      <w:r w:rsidRPr="00886A86">
        <w:rPr>
          <w:color w:val="000000" w:themeColor="text1"/>
          <w:lang w:val="en-US"/>
        </w:rPr>
        <w:t>ExCom</w:t>
      </w:r>
      <w:proofErr w:type="spellEnd"/>
      <w:r w:rsidRPr="00886A86">
        <w:rPr>
          <w:color w:val="000000" w:themeColor="text1"/>
          <w:lang w:val="en-US"/>
        </w:rPr>
        <w:t>/85/IAP/3</w:t>
      </w:r>
    </w:p>
    <w:p w:rsidR="00755FF1" w:rsidRDefault="00755FF1" w:rsidP="00E4797C">
      <w:pPr>
        <w:pStyle w:val="FootnoteText"/>
        <w:rPr>
          <w:color w:val="000000" w:themeColor="text1"/>
          <w:lang w:val="en-US"/>
        </w:rPr>
      </w:pPr>
    </w:p>
    <w:p w:rsidR="00755FF1" w:rsidRPr="00886A86" w:rsidRDefault="00755FF1" w:rsidP="00E4797C">
      <w:pPr>
        <w:pStyle w:val="FootnoteText"/>
        <w:rPr>
          <w:lang w:val="en-US"/>
        </w:rPr>
      </w:pPr>
    </w:p>
  </w:footnote>
  <w:footnote w:id="4">
    <w:p w:rsidR="00181B97" w:rsidRDefault="00181B97" w:rsidP="00E4797C">
      <w:pPr>
        <w:pStyle w:val="FootnoteText"/>
        <w:rPr>
          <w:lang w:val="fr-CA"/>
        </w:rPr>
      </w:pPr>
      <w:r w:rsidRPr="007E543F">
        <w:rPr>
          <w:rStyle w:val="FootnoteReference"/>
          <w:lang w:val="fr-CA"/>
        </w:rPr>
        <w:footnoteRef/>
      </w:r>
      <w:r w:rsidRPr="007E543F">
        <w:rPr>
          <w:lang w:val="fr-CA"/>
        </w:rPr>
        <w:t xml:space="preserve"> </w:t>
      </w:r>
      <w:r w:rsidRPr="001D1252">
        <w:rPr>
          <w:lang w:val="fr-CA"/>
        </w:rPr>
        <w:t>Allemagne, Australie, Canada, Danemark, États-Unis d’Amérique, Finlande, France, Irlande, Italie, Japon, Luxembourg, Nouvelle-Zélande, Norvège, Pays-Bas, Royaume Uni de Grande-Bretagne et d’Irlande du Nord, Suède et Suisse</w:t>
      </w:r>
      <w:r w:rsidRPr="007E543F">
        <w:rPr>
          <w:lang w:val="fr-CA"/>
        </w:rPr>
        <w:t>.</w:t>
      </w:r>
    </w:p>
    <w:p w:rsidR="00755FF1" w:rsidRPr="007E543F" w:rsidRDefault="00755FF1" w:rsidP="00E4797C">
      <w:pPr>
        <w:pStyle w:val="FootnoteText"/>
        <w:rPr>
          <w:lang w:val="fr-CA"/>
        </w:rPr>
      </w:pPr>
    </w:p>
  </w:footnote>
  <w:footnote w:id="5">
    <w:p w:rsidR="00181B97" w:rsidRPr="0038123A" w:rsidRDefault="00181B97">
      <w:pPr>
        <w:pStyle w:val="FootnoteText"/>
        <w:rPr>
          <w:lang w:val="fr-CA"/>
        </w:rPr>
      </w:pPr>
      <w:r>
        <w:rPr>
          <w:rStyle w:val="FootnoteReference"/>
        </w:rPr>
        <w:footnoteRef/>
      </w:r>
      <w:r w:rsidRPr="00716535">
        <w:rPr>
          <w:lang w:val="fr-CA"/>
        </w:rPr>
        <w:t xml:space="preserve"> </w:t>
      </w:r>
      <w:r w:rsidRPr="0038123A">
        <w:rPr>
          <w:lang w:val="fr-CA"/>
        </w:rPr>
        <w:t xml:space="preserve">Le Secrétariat a </w:t>
      </w:r>
      <w:r>
        <w:rPr>
          <w:lang w:val="fr-CA"/>
        </w:rPr>
        <w:t xml:space="preserve">notamment </w:t>
      </w:r>
      <w:r w:rsidRPr="0038123A">
        <w:rPr>
          <w:lang w:val="fr-CA"/>
        </w:rPr>
        <w:t xml:space="preserve">été chargé de remettre un rapport supplémentaire nommant les pays pour lesquels des projets avaient été approuvés et offrant un aperçu des objectifs, de l’état de la mise en œuvre, des principaux résultats et des enseignements tirés, des quantités de HFC éliminés s’il y a lieu, </w:t>
      </w:r>
      <w:r>
        <w:rPr>
          <w:lang w:val="fr-CA"/>
        </w:rPr>
        <w:t xml:space="preserve">des sommes approuvées et décaissées, et des difficultés pouvant survenir dans l’achèvement des projets et activités, </w:t>
      </w:r>
      <w:r w:rsidRPr="0038123A">
        <w:rPr>
          <w:lang w:val="fr-CA"/>
        </w:rPr>
        <w:t>étant entendu que les renseignements seraient communiqués à titre individuel pour les projets d’investissement liés aux HFC et globalement pour les activités de facilitation pour les HFC.</w:t>
      </w:r>
    </w:p>
  </w:footnote>
  <w:footnote w:id="6">
    <w:p w:rsidR="00181B97" w:rsidRPr="00A76981" w:rsidRDefault="00181B97" w:rsidP="00E4797C">
      <w:pPr>
        <w:pStyle w:val="FootnoteText"/>
        <w:rPr>
          <w:lang w:val="fr-CA"/>
        </w:rPr>
      </w:pPr>
      <w:r w:rsidRPr="0038123A">
        <w:rPr>
          <w:rStyle w:val="FootnoteReference"/>
          <w:lang w:val="fr-CA"/>
        </w:rPr>
        <w:footnoteRef/>
      </w:r>
      <w:r w:rsidRPr="0038123A">
        <w:rPr>
          <w:lang w:val="fr-CA"/>
        </w:rPr>
        <w:t xml:space="preserve"> L’inventaire des projets approuvés en date de juin 2020; </w:t>
      </w:r>
      <w:r>
        <w:rPr>
          <w:lang w:val="fr-CA"/>
        </w:rPr>
        <w:t xml:space="preserve">les politiques, procédures, lignes directrices et critères en date de décembre 2019; le guide de présentation des activités de facilitation; </w:t>
      </w:r>
      <w:r w:rsidRPr="0038123A">
        <w:rPr>
          <w:lang w:val="fr-CA"/>
        </w:rPr>
        <w:t xml:space="preserve">le guide de préparation de la phase I du plan de gestion de l'élimination des HCFC (PGEH); le guide de présentation des tranches des PGEH; le guide de </w:t>
      </w:r>
      <w:r>
        <w:rPr>
          <w:lang w:val="fr-CA"/>
        </w:rPr>
        <w:t>préparation de la phase II des PGE</w:t>
      </w:r>
      <w:r w:rsidRPr="0038123A">
        <w:rPr>
          <w:lang w:val="fr-CA"/>
        </w:rPr>
        <w:t xml:space="preserve">H; le guide de </w:t>
      </w:r>
      <w:r>
        <w:rPr>
          <w:lang w:val="fr-CA"/>
        </w:rPr>
        <w:t>présentation</w:t>
      </w:r>
      <w:r w:rsidRPr="0038123A">
        <w:rPr>
          <w:lang w:val="fr-CA"/>
        </w:rPr>
        <w:t xml:space="preserve"> de la phase II des PGEH;</w:t>
      </w:r>
      <w:r>
        <w:rPr>
          <w:lang w:val="fr-CA"/>
        </w:rPr>
        <w:t xml:space="preserve"> </w:t>
      </w:r>
      <w:r w:rsidRPr="0038123A">
        <w:rPr>
          <w:lang w:val="fr-CA"/>
        </w:rPr>
        <w:t>le guide de présentation des tranches des plan</w:t>
      </w:r>
      <w:r>
        <w:rPr>
          <w:lang w:val="fr-CA"/>
        </w:rPr>
        <w:t>s</w:t>
      </w:r>
      <w:r w:rsidRPr="0038123A">
        <w:rPr>
          <w:lang w:val="fr-CA"/>
        </w:rPr>
        <w:t xml:space="preserve"> de gestion de l'élimination de la production des HCFC (PGEPH); le guide de présentation de projets d’investissement autonomes pour les HFC; et le guide de présentation des projets de renforcement des </w:t>
      </w:r>
      <w:r>
        <w:rPr>
          <w:lang w:val="fr-CA"/>
        </w:rPr>
        <w:t>institutions</w:t>
      </w:r>
      <w:r w:rsidRPr="00A76981">
        <w:rPr>
          <w:color w:val="000000" w:themeColor="text1"/>
          <w:lang w:val="fr-CA"/>
        </w:rPr>
        <w:t>.</w:t>
      </w:r>
    </w:p>
  </w:footnote>
  <w:footnote w:id="7">
    <w:p w:rsidR="00181B97" w:rsidRPr="007839CB" w:rsidRDefault="00181B97" w:rsidP="00F218C0">
      <w:pPr>
        <w:rPr>
          <w:lang w:val="fr-CA"/>
        </w:rPr>
      </w:pPr>
      <w:r w:rsidRPr="007839CB">
        <w:rPr>
          <w:rStyle w:val="FootnoteReference"/>
          <w:sz w:val="20"/>
          <w:szCs w:val="20"/>
          <w:lang w:val="fr-CA"/>
        </w:rPr>
        <w:footnoteRef/>
      </w:r>
      <w:r w:rsidRPr="007839CB">
        <w:rPr>
          <w:sz w:val="20"/>
          <w:szCs w:val="20"/>
          <w:lang w:val="fr-CA"/>
        </w:rPr>
        <w:t xml:space="preserve"> </w:t>
      </w:r>
      <w:r>
        <w:rPr>
          <w:sz w:val="20"/>
          <w:szCs w:val="20"/>
          <w:lang w:val="fr-CA"/>
        </w:rPr>
        <w:t>Le Secrétariat a informé les membres du Comité exécutif le 28 octobre 2020, qu’il a fait tout son possible pour mettre au point et téléverser les documents dans le portail de la réunion avant le 19 octobre 2020, mais que les documents n’a</w:t>
      </w:r>
      <w:r w:rsidR="005741F4">
        <w:rPr>
          <w:sz w:val="20"/>
          <w:szCs w:val="20"/>
          <w:lang w:val="fr-CA"/>
        </w:rPr>
        <w:t>vaient pas tous été ache</w:t>
      </w:r>
      <w:r>
        <w:rPr>
          <w:sz w:val="20"/>
          <w:szCs w:val="20"/>
          <w:lang w:val="fr-CA"/>
        </w:rPr>
        <w:t>vés à cette date, car le règlement des questions associées aux documents pertinents a exigé plus de temps que prévu, surtout à cause des contraintes imposées par la pandémie de la COVID-19</w:t>
      </w:r>
      <w:r w:rsidRPr="007839CB">
        <w:rPr>
          <w:sz w:val="20"/>
          <w:szCs w:val="20"/>
          <w:lang w:val="fr-CA"/>
        </w:rPr>
        <w:t>.</w:t>
      </w:r>
    </w:p>
  </w:footnote>
  <w:footnote w:id="8">
    <w:p w:rsidR="00181B97" w:rsidRPr="005E6C78" w:rsidRDefault="00181B97" w:rsidP="00540481">
      <w:pPr>
        <w:pStyle w:val="FootnoteText"/>
        <w:rPr>
          <w:lang w:val="fr-CA"/>
        </w:rPr>
      </w:pPr>
      <w:r>
        <w:rPr>
          <w:rStyle w:val="FootnoteReference"/>
        </w:rPr>
        <w:footnoteRef/>
      </w:r>
      <w:r w:rsidRPr="007B3934">
        <w:rPr>
          <w:lang w:val="fr-CA"/>
        </w:rPr>
        <w:t xml:space="preserve"> </w:t>
      </w:r>
      <w:r w:rsidRPr="005E6C78">
        <w:rPr>
          <w:lang w:val="fr-CA"/>
        </w:rPr>
        <w:t>Le Sous-groupe sur le secteur de la production de 2020 est constitué de l’Australie, du Bahreïn, du Chili, des États-Unis d’Amérique, de l’Inde, du Royaume Uni de Grande-Bretagne et d’Irlande du Nord, du Suriname et de la Suisse.</w:t>
      </w:r>
    </w:p>
  </w:footnote>
  <w:footnote w:id="9">
    <w:p w:rsidR="00181B97" w:rsidRPr="005E6C78" w:rsidRDefault="00181B97" w:rsidP="00540481">
      <w:pPr>
        <w:pStyle w:val="FootnoteText"/>
        <w:rPr>
          <w:lang w:val="fr-CA"/>
        </w:rPr>
      </w:pPr>
      <w:r w:rsidRPr="005E6C78">
        <w:rPr>
          <w:rStyle w:val="FootnoteReference"/>
          <w:lang w:val="fr-CA"/>
        </w:rPr>
        <w:footnoteRef/>
      </w:r>
      <w:r w:rsidRPr="005E6C78">
        <w:rPr>
          <w:lang w:val="fr-CA"/>
        </w:rPr>
        <w:t xml:space="preserve"> Le Secrétariat a fait parvenir les documents sur la phase II du PGEPH de la Chine aux membres du Sous-groupe sur le secteur de la production </w:t>
      </w:r>
      <w:r>
        <w:rPr>
          <w:lang w:val="fr-CA"/>
        </w:rPr>
        <w:t>le</w:t>
      </w:r>
      <w:r w:rsidRPr="005E6C78">
        <w:rPr>
          <w:lang w:val="fr-CA"/>
        </w:rPr>
        <w:t xml:space="preserve"> 28 octobre 2020. Le Secrétariat transmettra les instructions pour la participation à la réunion virtuelle en temps et lieu, mais il propose que la réunion virtuelle ait lieu après le PAI.</w:t>
      </w:r>
    </w:p>
  </w:footnote>
  <w:footnote w:id="10">
    <w:p w:rsidR="00181B97" w:rsidRPr="005E6C78" w:rsidRDefault="00181B97" w:rsidP="00E4797C">
      <w:pPr>
        <w:pStyle w:val="FootnoteText"/>
        <w:rPr>
          <w:highlight w:val="yellow"/>
          <w:lang w:val="fr-CA"/>
        </w:rPr>
      </w:pPr>
      <w:r w:rsidRPr="005E6C78">
        <w:rPr>
          <w:rStyle w:val="FootnoteReference"/>
          <w:lang w:val="fr-CA"/>
        </w:rPr>
        <w:footnoteRef/>
      </w:r>
      <w:r w:rsidRPr="005E6C78">
        <w:rPr>
          <w:lang w:val="fr-CA"/>
        </w:rPr>
        <w:t xml:space="preserve"> L’ordre du jour provisoire a été préparé en consultation avec le président et le vice-président du Comité exécutif, L’état des contributions et des décaissements a été préparé de concert avec le Trésorier.</w:t>
      </w:r>
    </w:p>
  </w:footnote>
  <w:footnote w:id="11">
    <w:p w:rsidR="00181B97" w:rsidRPr="005E6C78" w:rsidRDefault="00181B97">
      <w:pPr>
        <w:pStyle w:val="FootnoteText"/>
        <w:rPr>
          <w:lang w:val="en-US"/>
        </w:rPr>
      </w:pPr>
      <w:r w:rsidRPr="005E6C78">
        <w:rPr>
          <w:rStyle w:val="FootnoteReference"/>
          <w:lang w:val="fr-CA"/>
        </w:rPr>
        <w:footnoteRef/>
      </w:r>
      <w:r w:rsidRPr="005E6C78">
        <w:rPr>
          <w:lang w:val="en-US"/>
        </w:rPr>
        <w:t xml:space="preserve"> UNEP/</w:t>
      </w:r>
      <w:proofErr w:type="spellStart"/>
      <w:r w:rsidRPr="005E6C78">
        <w:rPr>
          <w:lang w:val="en-US"/>
        </w:rPr>
        <w:t>OzL.Pro</w:t>
      </w:r>
      <w:proofErr w:type="spellEnd"/>
      <w:r w:rsidRPr="005E6C78">
        <w:rPr>
          <w:lang w:val="en-US"/>
        </w:rPr>
        <w:t>/</w:t>
      </w:r>
      <w:proofErr w:type="spellStart"/>
      <w:r w:rsidRPr="005E6C78">
        <w:rPr>
          <w:lang w:val="en-US"/>
        </w:rPr>
        <w:t>ExCom</w:t>
      </w:r>
      <w:proofErr w:type="spellEnd"/>
      <w:r w:rsidRPr="005E6C78">
        <w:rPr>
          <w:lang w:val="en-US"/>
        </w:rPr>
        <w:t>/86/IAP/1.</w:t>
      </w:r>
    </w:p>
  </w:footnote>
  <w:footnote w:id="12">
    <w:p w:rsidR="00181B97" w:rsidRPr="00426919" w:rsidRDefault="00181B97">
      <w:pPr>
        <w:pStyle w:val="FootnoteText"/>
        <w:rPr>
          <w:lang w:val="en-CA"/>
        </w:rPr>
      </w:pPr>
      <w:r>
        <w:rPr>
          <w:rStyle w:val="FootnoteReference"/>
        </w:rPr>
        <w:footnoteRef/>
      </w:r>
      <w:r>
        <w:t xml:space="preserve"> U</w:t>
      </w:r>
      <w:r>
        <w:rPr>
          <w:lang w:val="en-CA"/>
        </w:rPr>
        <w:t>NEP/OzL.Pro/ExCom/69/37 et Add.1.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Pr="0033525D" w:rsidRDefault="00181B97">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/86/2</w:t>
    </w:r>
    <w:r>
      <w:fldChar w:fldCharType="end"/>
    </w:r>
  </w:p>
  <w:p w:rsidR="00181B97" w:rsidRPr="0033525D" w:rsidRDefault="00181B97"/>
  <w:p w:rsidR="00181B97" w:rsidRPr="0033525D" w:rsidRDefault="00181B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Default="00BA1FED">
    <w:pPr>
      <w:jc w:val="right"/>
    </w:pPr>
    <w:r>
      <w:fldChar w:fldCharType="begin"/>
    </w:r>
    <w:r>
      <w:instrText xml:space="preserve"> DOCPROPERTY "Document number"  \* MERGEFORMAT </w:instrText>
    </w:r>
    <w:r>
      <w:fldChar w:fldCharType="separate"/>
    </w:r>
    <w:r w:rsidR="00181B97">
      <w:t>UNEP/</w:t>
    </w:r>
    <w:proofErr w:type="spellStart"/>
    <w:r w:rsidR="00181B97">
      <w:t>OzL.Pro</w:t>
    </w:r>
    <w:proofErr w:type="spellEnd"/>
    <w:r w:rsidR="00181B97">
      <w:t>/</w:t>
    </w:r>
    <w:proofErr w:type="spellStart"/>
    <w:r w:rsidR="00181B97">
      <w:t>ExCom</w:t>
    </w:r>
    <w:proofErr w:type="spellEnd"/>
    <w:r w:rsidR="00181B97">
      <w:t>/86/2</w:t>
    </w:r>
    <w:r>
      <w:fldChar w:fldCharType="end"/>
    </w:r>
  </w:p>
  <w:p w:rsidR="00181B97" w:rsidRPr="0033525D" w:rsidRDefault="00181B97" w:rsidP="00192798">
    <w:pPr>
      <w:jc w:val="right"/>
    </w:pPr>
  </w:p>
  <w:p w:rsidR="00181B97" w:rsidRPr="0033525D" w:rsidRDefault="00181B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Pr="0033525D" w:rsidRDefault="00BA1FED">
    <w:r>
      <w:fldChar w:fldCharType="begin"/>
    </w:r>
    <w:r>
      <w:instrText xml:space="preserve"> DOCPROPERTY "Document number"  \* MERGEFORMAT </w:instrText>
    </w:r>
    <w:r>
      <w:fldChar w:fldCharType="separate"/>
    </w:r>
    <w:r w:rsidR="00181B97">
      <w:t>UNEP/</w:t>
    </w:r>
    <w:proofErr w:type="spellStart"/>
    <w:r w:rsidR="00181B97">
      <w:t>OzL.Pro</w:t>
    </w:r>
    <w:proofErr w:type="spellEnd"/>
    <w:r w:rsidR="00181B97">
      <w:t>/</w:t>
    </w:r>
    <w:proofErr w:type="spellStart"/>
    <w:r w:rsidR="00181B97">
      <w:t>ExCom</w:t>
    </w:r>
    <w:proofErr w:type="spellEnd"/>
    <w:r w:rsidR="00181B97">
      <w:t>/86/2</w:t>
    </w:r>
    <w:r>
      <w:fldChar w:fldCharType="end"/>
    </w:r>
  </w:p>
  <w:p w:rsidR="00181B97" w:rsidRPr="0033525D" w:rsidRDefault="00181B97">
    <w:r>
      <w:t>Annexe I</w:t>
    </w:r>
  </w:p>
  <w:p w:rsidR="00181B97" w:rsidRPr="0033525D" w:rsidRDefault="00181B9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Pr="0033525D" w:rsidRDefault="00BA1FED">
    <w:pPr>
      <w:jc w:val="right"/>
    </w:pPr>
    <w:r>
      <w:fldChar w:fldCharType="begin"/>
    </w:r>
    <w:r>
      <w:instrText xml:space="preserve"> DOCPROPERTY "Document number"  \* MERGEFORMAT </w:instrText>
    </w:r>
    <w:r>
      <w:fldChar w:fldCharType="separate"/>
    </w:r>
    <w:r w:rsidR="00181B97">
      <w:t>UNEP/</w:t>
    </w:r>
    <w:proofErr w:type="spellStart"/>
    <w:r w:rsidR="00181B97">
      <w:t>OzL.Pro</w:t>
    </w:r>
    <w:proofErr w:type="spellEnd"/>
    <w:r w:rsidR="00181B97">
      <w:t>/</w:t>
    </w:r>
    <w:proofErr w:type="spellStart"/>
    <w:r w:rsidR="00181B97">
      <w:t>ExCom</w:t>
    </w:r>
    <w:proofErr w:type="spellEnd"/>
    <w:r w:rsidR="00181B97">
      <w:t>/86/2</w:t>
    </w:r>
    <w:r>
      <w:fldChar w:fldCharType="end"/>
    </w:r>
  </w:p>
  <w:p w:rsidR="00181B97" w:rsidRPr="0033525D" w:rsidRDefault="00181B97" w:rsidP="00DA1B0C">
    <w:pPr>
      <w:jc w:val="right"/>
    </w:pPr>
    <w:r>
      <w:t>Annexe I</w:t>
    </w:r>
  </w:p>
  <w:p w:rsidR="00181B97" w:rsidRPr="0033525D" w:rsidRDefault="00181B9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97" w:rsidRDefault="00181B97" w:rsidP="00DA1B0C">
    <w:pPr>
      <w:pStyle w:val="Header"/>
      <w:jc w:val="right"/>
    </w:pPr>
    <w:r>
      <w:t>UNEP/OzL.Pro/ExCom/86/2</w:t>
    </w:r>
  </w:p>
  <w:p w:rsidR="00181B97" w:rsidRDefault="00181B97" w:rsidP="00DA1B0C">
    <w:pPr>
      <w:pStyle w:val="Header"/>
      <w:jc w:val="right"/>
    </w:pPr>
    <w:r>
      <w:t>Annexe 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6AF512"/>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rFonts w:ascii="Times New Roman" w:eastAsia="Times New Roman" w:hAnsi="Times New Roman" w:cs="Times New Roman"/>
      </w:rPr>
    </w:lvl>
    <w:lvl w:ilvl="2">
      <w:start w:val="1"/>
      <w:numFmt w:val="lowerRoman"/>
      <w:pStyle w:val="Heading3"/>
      <w:lvlText w:val="%3)"/>
      <w:lvlJc w:val="left"/>
      <w:pPr>
        <w:tabs>
          <w:tab w:val="num" w:pos="0"/>
        </w:tabs>
        <w:ind w:left="2160" w:hanging="720"/>
      </w:pPr>
      <w:rPr>
        <w:rFonts w:ascii="Times New Roman" w:eastAsia="Times New Roman" w:hAnsi="Times New Roman" w:cs="Times New Roman"/>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7443A5"/>
    <w:rsid w:val="00000FED"/>
    <w:rsid w:val="00002BDC"/>
    <w:rsid w:val="000037D8"/>
    <w:rsid w:val="0000434E"/>
    <w:rsid w:val="000211A9"/>
    <w:rsid w:val="00031260"/>
    <w:rsid w:val="000313FF"/>
    <w:rsid w:val="0003681A"/>
    <w:rsid w:val="000372B7"/>
    <w:rsid w:val="00046CF0"/>
    <w:rsid w:val="00050F6E"/>
    <w:rsid w:val="000614BE"/>
    <w:rsid w:val="00061EC2"/>
    <w:rsid w:val="00080ED0"/>
    <w:rsid w:val="00082822"/>
    <w:rsid w:val="00085B8F"/>
    <w:rsid w:val="00090481"/>
    <w:rsid w:val="00096290"/>
    <w:rsid w:val="000A3826"/>
    <w:rsid w:val="000A6C26"/>
    <w:rsid w:val="000B738B"/>
    <w:rsid w:val="000D1A7E"/>
    <w:rsid w:val="000D52A4"/>
    <w:rsid w:val="000E07BC"/>
    <w:rsid w:val="000E14E6"/>
    <w:rsid w:val="000E40A7"/>
    <w:rsid w:val="000F1AD6"/>
    <w:rsid w:val="000F1CD4"/>
    <w:rsid w:val="000F4103"/>
    <w:rsid w:val="000F4953"/>
    <w:rsid w:val="000F70A7"/>
    <w:rsid w:val="00105FE5"/>
    <w:rsid w:val="00113CCA"/>
    <w:rsid w:val="00122F25"/>
    <w:rsid w:val="00135980"/>
    <w:rsid w:val="001446EF"/>
    <w:rsid w:val="00163193"/>
    <w:rsid w:val="00164719"/>
    <w:rsid w:val="00166025"/>
    <w:rsid w:val="00166FC4"/>
    <w:rsid w:val="001677AC"/>
    <w:rsid w:val="001804EA"/>
    <w:rsid w:val="00181B97"/>
    <w:rsid w:val="00190A61"/>
    <w:rsid w:val="00192798"/>
    <w:rsid w:val="00195028"/>
    <w:rsid w:val="001A0A93"/>
    <w:rsid w:val="001A3342"/>
    <w:rsid w:val="001A3E3D"/>
    <w:rsid w:val="001A7049"/>
    <w:rsid w:val="001B1E40"/>
    <w:rsid w:val="001C764E"/>
    <w:rsid w:val="001E1052"/>
    <w:rsid w:val="001E21B1"/>
    <w:rsid w:val="001E2F93"/>
    <w:rsid w:val="001E39BB"/>
    <w:rsid w:val="001E4554"/>
    <w:rsid w:val="001E61E5"/>
    <w:rsid w:val="001F2159"/>
    <w:rsid w:val="001F400D"/>
    <w:rsid w:val="00205E29"/>
    <w:rsid w:val="00210B8B"/>
    <w:rsid w:val="00214863"/>
    <w:rsid w:val="00214C40"/>
    <w:rsid w:val="002156B4"/>
    <w:rsid w:val="00224FCD"/>
    <w:rsid w:val="00225734"/>
    <w:rsid w:val="00251293"/>
    <w:rsid w:val="00253222"/>
    <w:rsid w:val="00262847"/>
    <w:rsid w:val="002712B7"/>
    <w:rsid w:val="00281BB2"/>
    <w:rsid w:val="002944BE"/>
    <w:rsid w:val="002A37E0"/>
    <w:rsid w:val="002B254E"/>
    <w:rsid w:val="002B373B"/>
    <w:rsid w:val="002B6DB1"/>
    <w:rsid w:val="002B72E9"/>
    <w:rsid w:val="002C7998"/>
    <w:rsid w:val="002D614C"/>
    <w:rsid w:val="002F1C7D"/>
    <w:rsid w:val="002F1E53"/>
    <w:rsid w:val="002F2CAA"/>
    <w:rsid w:val="0030052C"/>
    <w:rsid w:val="003170E0"/>
    <w:rsid w:val="0032344C"/>
    <w:rsid w:val="003306E1"/>
    <w:rsid w:val="003320E4"/>
    <w:rsid w:val="0033525D"/>
    <w:rsid w:val="003353E2"/>
    <w:rsid w:val="003414F3"/>
    <w:rsid w:val="00354A8F"/>
    <w:rsid w:val="0035613A"/>
    <w:rsid w:val="0035613E"/>
    <w:rsid w:val="00363EE9"/>
    <w:rsid w:val="00376128"/>
    <w:rsid w:val="0037742E"/>
    <w:rsid w:val="00377D56"/>
    <w:rsid w:val="0038123A"/>
    <w:rsid w:val="0038245A"/>
    <w:rsid w:val="003840E6"/>
    <w:rsid w:val="00385CFC"/>
    <w:rsid w:val="003905DD"/>
    <w:rsid w:val="0039337A"/>
    <w:rsid w:val="003960A2"/>
    <w:rsid w:val="003A3189"/>
    <w:rsid w:val="003A3CA7"/>
    <w:rsid w:val="003B33BD"/>
    <w:rsid w:val="003B569D"/>
    <w:rsid w:val="003B6341"/>
    <w:rsid w:val="003C1441"/>
    <w:rsid w:val="003C2AB2"/>
    <w:rsid w:val="003C3C0E"/>
    <w:rsid w:val="003D2A23"/>
    <w:rsid w:val="003D42A6"/>
    <w:rsid w:val="003D4F21"/>
    <w:rsid w:val="003D4FAC"/>
    <w:rsid w:val="003D5ABC"/>
    <w:rsid w:val="003E7906"/>
    <w:rsid w:val="003F3C50"/>
    <w:rsid w:val="004011F5"/>
    <w:rsid w:val="00406A6A"/>
    <w:rsid w:val="00406B22"/>
    <w:rsid w:val="00414376"/>
    <w:rsid w:val="004179F5"/>
    <w:rsid w:val="00421E07"/>
    <w:rsid w:val="00426919"/>
    <w:rsid w:val="00432029"/>
    <w:rsid w:val="004328A7"/>
    <w:rsid w:val="0043412E"/>
    <w:rsid w:val="00434C74"/>
    <w:rsid w:val="0044076B"/>
    <w:rsid w:val="00441F6E"/>
    <w:rsid w:val="00444A3D"/>
    <w:rsid w:val="00456EB4"/>
    <w:rsid w:val="0047086A"/>
    <w:rsid w:val="004718F3"/>
    <w:rsid w:val="00471CFE"/>
    <w:rsid w:val="004728F8"/>
    <w:rsid w:val="00475040"/>
    <w:rsid w:val="00486277"/>
    <w:rsid w:val="00486925"/>
    <w:rsid w:val="00487D1D"/>
    <w:rsid w:val="00493D40"/>
    <w:rsid w:val="004967B6"/>
    <w:rsid w:val="004A504B"/>
    <w:rsid w:val="004A6911"/>
    <w:rsid w:val="004B54E0"/>
    <w:rsid w:val="004B7384"/>
    <w:rsid w:val="004C4269"/>
    <w:rsid w:val="004C7828"/>
    <w:rsid w:val="004D4715"/>
    <w:rsid w:val="004D618D"/>
    <w:rsid w:val="004D6236"/>
    <w:rsid w:val="004D7F90"/>
    <w:rsid w:val="004E306C"/>
    <w:rsid w:val="004E4DBB"/>
    <w:rsid w:val="004E4E41"/>
    <w:rsid w:val="004E7F9C"/>
    <w:rsid w:val="004F3493"/>
    <w:rsid w:val="004F4AC6"/>
    <w:rsid w:val="004F5143"/>
    <w:rsid w:val="00501BB4"/>
    <w:rsid w:val="00506012"/>
    <w:rsid w:val="005070AD"/>
    <w:rsid w:val="00507823"/>
    <w:rsid w:val="00512605"/>
    <w:rsid w:val="00512B09"/>
    <w:rsid w:val="005220ED"/>
    <w:rsid w:val="00533796"/>
    <w:rsid w:val="00537343"/>
    <w:rsid w:val="00540481"/>
    <w:rsid w:val="00555D75"/>
    <w:rsid w:val="00560DF0"/>
    <w:rsid w:val="0056115F"/>
    <w:rsid w:val="00563750"/>
    <w:rsid w:val="0056759C"/>
    <w:rsid w:val="005741F4"/>
    <w:rsid w:val="00581EA2"/>
    <w:rsid w:val="0059513E"/>
    <w:rsid w:val="005A0D9A"/>
    <w:rsid w:val="005A6D9F"/>
    <w:rsid w:val="005B024E"/>
    <w:rsid w:val="005B48FF"/>
    <w:rsid w:val="005B7630"/>
    <w:rsid w:val="005C3342"/>
    <w:rsid w:val="005D363F"/>
    <w:rsid w:val="005D3B71"/>
    <w:rsid w:val="005D7436"/>
    <w:rsid w:val="005E4560"/>
    <w:rsid w:val="005E6C78"/>
    <w:rsid w:val="005F4407"/>
    <w:rsid w:val="005F7410"/>
    <w:rsid w:val="00600762"/>
    <w:rsid w:val="00604C15"/>
    <w:rsid w:val="006142A8"/>
    <w:rsid w:val="00614AB4"/>
    <w:rsid w:val="00614C9B"/>
    <w:rsid w:val="006158D5"/>
    <w:rsid w:val="00623D4A"/>
    <w:rsid w:val="00625D83"/>
    <w:rsid w:val="006562F0"/>
    <w:rsid w:val="006623E7"/>
    <w:rsid w:val="006626F2"/>
    <w:rsid w:val="00662B80"/>
    <w:rsid w:val="0066529F"/>
    <w:rsid w:val="00670F6C"/>
    <w:rsid w:val="00680CE4"/>
    <w:rsid w:val="006852C7"/>
    <w:rsid w:val="006852CE"/>
    <w:rsid w:val="00686EF6"/>
    <w:rsid w:val="00692D14"/>
    <w:rsid w:val="006A0B78"/>
    <w:rsid w:val="006A5060"/>
    <w:rsid w:val="006A6A52"/>
    <w:rsid w:val="006B65C7"/>
    <w:rsid w:val="006B6C30"/>
    <w:rsid w:val="006C1727"/>
    <w:rsid w:val="006C32FD"/>
    <w:rsid w:val="006C39CE"/>
    <w:rsid w:val="006C4D21"/>
    <w:rsid w:val="006D04D6"/>
    <w:rsid w:val="006D0FCC"/>
    <w:rsid w:val="006D21F5"/>
    <w:rsid w:val="006E126D"/>
    <w:rsid w:val="006E1FC3"/>
    <w:rsid w:val="006E22D3"/>
    <w:rsid w:val="007041CB"/>
    <w:rsid w:val="00704CE9"/>
    <w:rsid w:val="0070616B"/>
    <w:rsid w:val="00706295"/>
    <w:rsid w:val="00706FDA"/>
    <w:rsid w:val="00707489"/>
    <w:rsid w:val="00711EE1"/>
    <w:rsid w:val="00711F9A"/>
    <w:rsid w:val="00713810"/>
    <w:rsid w:val="00716535"/>
    <w:rsid w:val="00720E7F"/>
    <w:rsid w:val="00727985"/>
    <w:rsid w:val="007303A5"/>
    <w:rsid w:val="00730B3E"/>
    <w:rsid w:val="0073420B"/>
    <w:rsid w:val="00737CC0"/>
    <w:rsid w:val="007443A5"/>
    <w:rsid w:val="0074760E"/>
    <w:rsid w:val="007540F0"/>
    <w:rsid w:val="00754ABA"/>
    <w:rsid w:val="00755FF1"/>
    <w:rsid w:val="0076288A"/>
    <w:rsid w:val="0078259F"/>
    <w:rsid w:val="007839CB"/>
    <w:rsid w:val="00792F01"/>
    <w:rsid w:val="007A1546"/>
    <w:rsid w:val="007A228C"/>
    <w:rsid w:val="007A368E"/>
    <w:rsid w:val="007A5868"/>
    <w:rsid w:val="007A7942"/>
    <w:rsid w:val="007B04CE"/>
    <w:rsid w:val="007B3934"/>
    <w:rsid w:val="007B6871"/>
    <w:rsid w:val="007B7A2F"/>
    <w:rsid w:val="007C3D33"/>
    <w:rsid w:val="007D0616"/>
    <w:rsid w:val="007D294A"/>
    <w:rsid w:val="007D47D2"/>
    <w:rsid w:val="007D6EC0"/>
    <w:rsid w:val="007D7E1D"/>
    <w:rsid w:val="007E543F"/>
    <w:rsid w:val="007F7BE0"/>
    <w:rsid w:val="00806C70"/>
    <w:rsid w:val="008133D0"/>
    <w:rsid w:val="00815E21"/>
    <w:rsid w:val="00820DCC"/>
    <w:rsid w:val="00823E80"/>
    <w:rsid w:val="00827AA1"/>
    <w:rsid w:val="00831979"/>
    <w:rsid w:val="0083698F"/>
    <w:rsid w:val="00842E28"/>
    <w:rsid w:val="00851352"/>
    <w:rsid w:val="00857077"/>
    <w:rsid w:val="00863230"/>
    <w:rsid w:val="00865BD0"/>
    <w:rsid w:val="008705A4"/>
    <w:rsid w:val="008717D8"/>
    <w:rsid w:val="0087215C"/>
    <w:rsid w:val="008738DC"/>
    <w:rsid w:val="00874033"/>
    <w:rsid w:val="00875D25"/>
    <w:rsid w:val="00880E35"/>
    <w:rsid w:val="00886A86"/>
    <w:rsid w:val="008875FE"/>
    <w:rsid w:val="00887F8E"/>
    <w:rsid w:val="00896234"/>
    <w:rsid w:val="00897E43"/>
    <w:rsid w:val="008A5799"/>
    <w:rsid w:val="008C1415"/>
    <w:rsid w:val="008C5738"/>
    <w:rsid w:val="008C7EAD"/>
    <w:rsid w:val="008D0CFE"/>
    <w:rsid w:val="008D6152"/>
    <w:rsid w:val="008E41EF"/>
    <w:rsid w:val="008F0F81"/>
    <w:rsid w:val="008F27BF"/>
    <w:rsid w:val="0090231A"/>
    <w:rsid w:val="009142EC"/>
    <w:rsid w:val="009154C3"/>
    <w:rsid w:val="00922021"/>
    <w:rsid w:val="00923055"/>
    <w:rsid w:val="00923540"/>
    <w:rsid w:val="00926767"/>
    <w:rsid w:val="00926F68"/>
    <w:rsid w:val="00930573"/>
    <w:rsid w:val="00931865"/>
    <w:rsid w:val="009361D5"/>
    <w:rsid w:val="00940F98"/>
    <w:rsid w:val="009428A4"/>
    <w:rsid w:val="009434E7"/>
    <w:rsid w:val="00957A15"/>
    <w:rsid w:val="00962BE3"/>
    <w:rsid w:val="00964F06"/>
    <w:rsid w:val="009659F4"/>
    <w:rsid w:val="00970D60"/>
    <w:rsid w:val="00977402"/>
    <w:rsid w:val="00985420"/>
    <w:rsid w:val="00992591"/>
    <w:rsid w:val="0099390E"/>
    <w:rsid w:val="009951A5"/>
    <w:rsid w:val="009960E5"/>
    <w:rsid w:val="009A60CA"/>
    <w:rsid w:val="009A7ADC"/>
    <w:rsid w:val="009C19B7"/>
    <w:rsid w:val="009C5ABB"/>
    <w:rsid w:val="009D7C51"/>
    <w:rsid w:val="009E196C"/>
    <w:rsid w:val="009F36BF"/>
    <w:rsid w:val="00A01519"/>
    <w:rsid w:val="00A111B6"/>
    <w:rsid w:val="00A26D27"/>
    <w:rsid w:val="00A324C4"/>
    <w:rsid w:val="00A376EE"/>
    <w:rsid w:val="00A42A99"/>
    <w:rsid w:val="00A431CE"/>
    <w:rsid w:val="00A5151A"/>
    <w:rsid w:val="00A57E0A"/>
    <w:rsid w:val="00A6628B"/>
    <w:rsid w:val="00A76981"/>
    <w:rsid w:val="00A823F6"/>
    <w:rsid w:val="00A8719E"/>
    <w:rsid w:val="00AA0A89"/>
    <w:rsid w:val="00AA6429"/>
    <w:rsid w:val="00AB12AE"/>
    <w:rsid w:val="00AB4571"/>
    <w:rsid w:val="00AC01AA"/>
    <w:rsid w:val="00AC4F72"/>
    <w:rsid w:val="00AC554E"/>
    <w:rsid w:val="00AD48AA"/>
    <w:rsid w:val="00AE2586"/>
    <w:rsid w:val="00AF5C97"/>
    <w:rsid w:val="00AF741A"/>
    <w:rsid w:val="00B01ADB"/>
    <w:rsid w:val="00B04161"/>
    <w:rsid w:val="00B056F9"/>
    <w:rsid w:val="00B10EE7"/>
    <w:rsid w:val="00B11E3D"/>
    <w:rsid w:val="00B165E5"/>
    <w:rsid w:val="00B17E82"/>
    <w:rsid w:val="00B26C8D"/>
    <w:rsid w:val="00B31535"/>
    <w:rsid w:val="00B364B2"/>
    <w:rsid w:val="00B36659"/>
    <w:rsid w:val="00B40F4A"/>
    <w:rsid w:val="00B41DC5"/>
    <w:rsid w:val="00B44455"/>
    <w:rsid w:val="00B4575A"/>
    <w:rsid w:val="00B50C1C"/>
    <w:rsid w:val="00B55930"/>
    <w:rsid w:val="00B575BA"/>
    <w:rsid w:val="00B6037B"/>
    <w:rsid w:val="00B71608"/>
    <w:rsid w:val="00B76429"/>
    <w:rsid w:val="00B765AA"/>
    <w:rsid w:val="00B779B0"/>
    <w:rsid w:val="00B80CAB"/>
    <w:rsid w:val="00B956D4"/>
    <w:rsid w:val="00B97446"/>
    <w:rsid w:val="00BA1FED"/>
    <w:rsid w:val="00BA7432"/>
    <w:rsid w:val="00BB0ED2"/>
    <w:rsid w:val="00BB2764"/>
    <w:rsid w:val="00BC1AA0"/>
    <w:rsid w:val="00BC2495"/>
    <w:rsid w:val="00BC7EB9"/>
    <w:rsid w:val="00BD2643"/>
    <w:rsid w:val="00BD56B1"/>
    <w:rsid w:val="00BD6558"/>
    <w:rsid w:val="00BF23E0"/>
    <w:rsid w:val="00BF2F76"/>
    <w:rsid w:val="00BF3022"/>
    <w:rsid w:val="00BF3214"/>
    <w:rsid w:val="00BF5573"/>
    <w:rsid w:val="00BF7666"/>
    <w:rsid w:val="00C06F57"/>
    <w:rsid w:val="00C15867"/>
    <w:rsid w:val="00C168C3"/>
    <w:rsid w:val="00C2296D"/>
    <w:rsid w:val="00C2303C"/>
    <w:rsid w:val="00C23155"/>
    <w:rsid w:val="00C240C4"/>
    <w:rsid w:val="00C40C41"/>
    <w:rsid w:val="00C45885"/>
    <w:rsid w:val="00C50F22"/>
    <w:rsid w:val="00C57971"/>
    <w:rsid w:val="00C65BD7"/>
    <w:rsid w:val="00C76BA4"/>
    <w:rsid w:val="00C80719"/>
    <w:rsid w:val="00C83A48"/>
    <w:rsid w:val="00C83DC4"/>
    <w:rsid w:val="00C85865"/>
    <w:rsid w:val="00C85E85"/>
    <w:rsid w:val="00C8623C"/>
    <w:rsid w:val="00C90E10"/>
    <w:rsid w:val="00C9356F"/>
    <w:rsid w:val="00CA05F5"/>
    <w:rsid w:val="00CA2EAE"/>
    <w:rsid w:val="00CA4AC1"/>
    <w:rsid w:val="00CB0316"/>
    <w:rsid w:val="00CB0B11"/>
    <w:rsid w:val="00CB1C80"/>
    <w:rsid w:val="00CB426A"/>
    <w:rsid w:val="00CB5354"/>
    <w:rsid w:val="00CC24C6"/>
    <w:rsid w:val="00CC3C9E"/>
    <w:rsid w:val="00CC55AB"/>
    <w:rsid w:val="00CC6A14"/>
    <w:rsid w:val="00CC70A3"/>
    <w:rsid w:val="00CD4296"/>
    <w:rsid w:val="00CD4442"/>
    <w:rsid w:val="00CD53C3"/>
    <w:rsid w:val="00CD574E"/>
    <w:rsid w:val="00CE1E75"/>
    <w:rsid w:val="00CE4C22"/>
    <w:rsid w:val="00CF06B3"/>
    <w:rsid w:val="00CF3110"/>
    <w:rsid w:val="00CF41EC"/>
    <w:rsid w:val="00CF5D04"/>
    <w:rsid w:val="00D04DE4"/>
    <w:rsid w:val="00D063F1"/>
    <w:rsid w:val="00D14F22"/>
    <w:rsid w:val="00D1536E"/>
    <w:rsid w:val="00D40D85"/>
    <w:rsid w:val="00D4538F"/>
    <w:rsid w:val="00D4741C"/>
    <w:rsid w:val="00D57918"/>
    <w:rsid w:val="00D73DC6"/>
    <w:rsid w:val="00D74C1A"/>
    <w:rsid w:val="00D754C1"/>
    <w:rsid w:val="00D77393"/>
    <w:rsid w:val="00D77A35"/>
    <w:rsid w:val="00D81B3E"/>
    <w:rsid w:val="00D8592E"/>
    <w:rsid w:val="00D86AEA"/>
    <w:rsid w:val="00D90C70"/>
    <w:rsid w:val="00D90E49"/>
    <w:rsid w:val="00D96ADE"/>
    <w:rsid w:val="00DA0CE2"/>
    <w:rsid w:val="00DA1B0C"/>
    <w:rsid w:val="00DA5614"/>
    <w:rsid w:val="00DC066C"/>
    <w:rsid w:val="00DC6A10"/>
    <w:rsid w:val="00DE0864"/>
    <w:rsid w:val="00DE657E"/>
    <w:rsid w:val="00DF4704"/>
    <w:rsid w:val="00E024AA"/>
    <w:rsid w:val="00E10221"/>
    <w:rsid w:val="00E1127F"/>
    <w:rsid w:val="00E15C77"/>
    <w:rsid w:val="00E250F1"/>
    <w:rsid w:val="00E3060C"/>
    <w:rsid w:val="00E3123B"/>
    <w:rsid w:val="00E3550D"/>
    <w:rsid w:val="00E35C26"/>
    <w:rsid w:val="00E4797C"/>
    <w:rsid w:val="00E52838"/>
    <w:rsid w:val="00E614E0"/>
    <w:rsid w:val="00E73F7F"/>
    <w:rsid w:val="00E85409"/>
    <w:rsid w:val="00E9576D"/>
    <w:rsid w:val="00EA429F"/>
    <w:rsid w:val="00EA4F9E"/>
    <w:rsid w:val="00EA63CA"/>
    <w:rsid w:val="00EA6D3B"/>
    <w:rsid w:val="00EB00AD"/>
    <w:rsid w:val="00EB136C"/>
    <w:rsid w:val="00EB480E"/>
    <w:rsid w:val="00EB4DC6"/>
    <w:rsid w:val="00EB5EC6"/>
    <w:rsid w:val="00EB7FC9"/>
    <w:rsid w:val="00EC232D"/>
    <w:rsid w:val="00ED27E8"/>
    <w:rsid w:val="00ED3290"/>
    <w:rsid w:val="00ED4AE5"/>
    <w:rsid w:val="00ED6231"/>
    <w:rsid w:val="00ED7137"/>
    <w:rsid w:val="00EE0C0D"/>
    <w:rsid w:val="00EF06EA"/>
    <w:rsid w:val="00EF6C29"/>
    <w:rsid w:val="00F15CA4"/>
    <w:rsid w:val="00F21088"/>
    <w:rsid w:val="00F218C0"/>
    <w:rsid w:val="00F327E7"/>
    <w:rsid w:val="00F35746"/>
    <w:rsid w:val="00F447C7"/>
    <w:rsid w:val="00F459B4"/>
    <w:rsid w:val="00F5211B"/>
    <w:rsid w:val="00F554A9"/>
    <w:rsid w:val="00F716FD"/>
    <w:rsid w:val="00F7276E"/>
    <w:rsid w:val="00F76864"/>
    <w:rsid w:val="00F80355"/>
    <w:rsid w:val="00F87C43"/>
    <w:rsid w:val="00FB0C81"/>
    <w:rsid w:val="00FC2200"/>
    <w:rsid w:val="00FC2540"/>
    <w:rsid w:val="00FC64DE"/>
    <w:rsid w:val="00FD06F4"/>
    <w:rsid w:val="00FD65B0"/>
    <w:rsid w:val="00FF0204"/>
    <w:rsid w:val="00FF3AED"/>
    <w:rsid w:val="00FF3D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75AEF"/>
  <w15:docId w15:val="{065DC3AC-DAB5-42B7-8640-75613870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Fußnotentextf,Char1,Geneva 9,Font: Geneva 9,Boston 10,f,-E Fußnotentext,Fußnotentext Ursprung,-E Fußnotentext1,-E Fußnotentext2,-E Fußnotentext3,Fußnotentext Char1,Fußnotentext Char Char,Fußnotentext Char1 Char Char,FOOTNOTES"/>
    <w:basedOn w:val="Normal"/>
    <w:link w:val="FootnoteTextChar"/>
    <w:uiPriority w:val="99"/>
    <w:unhideWhenUsed/>
    <w:qFormat/>
    <w:rsid w:val="006E126D"/>
    <w:rPr>
      <w:sz w:val="20"/>
      <w:szCs w:val="20"/>
    </w:rPr>
  </w:style>
  <w:style w:type="character" w:customStyle="1" w:styleId="FootnoteTextChar">
    <w:name w:val="Footnote Text Char"/>
    <w:aliases w:val=" Char1 Char,Fußnotentextf Char,Char1 Char,Geneva 9 Char,Font: Geneva 9 Char,Boston 10 Char,f Char,-E Fußnotentext Char,Fußnotentext Ursprung Char,-E Fußnotentext1 Char,-E Fußnotentext2 Char,-E Fußnotentext3 Char,FOOTNOTES Char"/>
    <w:basedOn w:val="DefaultParagraphFont"/>
    <w:link w:val="FootnoteText"/>
    <w:uiPriority w:val="99"/>
    <w:rsid w:val="006E126D"/>
    <w:rPr>
      <w:lang w:val="en-GB"/>
    </w:rPr>
  </w:style>
  <w:style w:type="character" w:styleId="FootnoteReference">
    <w:name w:val="footnote reference"/>
    <w:aliases w:val="Footnote text,-E Fußnotenzeichen,16 Point,Superscript 6 Point,Footnote Text1,Footnote Text2,number,Footnote reference number,Footnote symbol,note TESI,SUPERS,stylish,ftref,Footnote Reference Superscript,-E Fuﬂnotenzeichen,fr"/>
    <w:basedOn w:val="DefaultParagraphFont"/>
    <w:link w:val="CharCharCharCharCarChar"/>
    <w:uiPriority w:val="99"/>
    <w:unhideWhenUsed/>
    <w:qFormat/>
    <w:rsid w:val="006E126D"/>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E4797C"/>
    <w:pPr>
      <w:spacing w:after="160" w:line="240" w:lineRule="exact"/>
    </w:pPr>
    <w:rPr>
      <w:sz w:val="20"/>
      <w:szCs w:val="20"/>
      <w:vertAlign w:val="superscript"/>
      <w:lang w:val="en-US"/>
    </w:rPr>
  </w:style>
  <w:style w:type="character" w:customStyle="1" w:styleId="normalchar">
    <w:name w:val="normal__char"/>
    <w:basedOn w:val="DefaultParagraphFont"/>
    <w:rsid w:val="00E4797C"/>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locked/>
    <w:rsid w:val="00540481"/>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qFormat/>
    <w:locked/>
    <w:rsid w:val="00540481"/>
    <w:rPr>
      <w:sz w:val="22"/>
      <w:szCs w:val="22"/>
      <w:lang w:val="en-GB"/>
    </w:rPr>
  </w:style>
  <w:style w:type="character" w:customStyle="1" w:styleId="FooterChar">
    <w:name w:val="Footer Char"/>
    <w:basedOn w:val="DefaultParagraphFont"/>
    <w:link w:val="Footer"/>
    <w:uiPriority w:val="99"/>
    <w:rsid w:val="00DA1B0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479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UNEP/OzL.Pro/ExCom/86/2</Document_x0020_Number>
    <Posted_x0020_after_x0020_IAP xmlns="5ee7b459-7658-46de-b3a9-b270cabc2a0e">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4D9B19F-7B78-404E-8374-CFB3FB4D39AE}"/>
</file>

<file path=customXml/itemProps2.xml><?xml version="1.0" encoding="utf-8"?>
<ds:datastoreItem xmlns:ds="http://schemas.openxmlformats.org/officeDocument/2006/customXml" ds:itemID="{3DFA3551-03A8-4619-9A0B-040B7D61AE1A}"/>
</file>

<file path=customXml/itemProps3.xml><?xml version="1.0" encoding="utf-8"?>
<ds:datastoreItem xmlns:ds="http://schemas.openxmlformats.org/officeDocument/2006/customXml" ds:itemID="{22C92D06-D368-42D8-851D-307974799512}"/>
</file>

<file path=customXml/itemProps4.xml><?xml version="1.0" encoding="utf-8"?>
<ds:datastoreItem xmlns:ds="http://schemas.openxmlformats.org/officeDocument/2006/customXml" ds:itemID="{C715104A-FE0C-49E2-8E9D-B9ECC21E599C}"/>
</file>

<file path=docProps/app.xml><?xml version="1.0" encoding="utf-8"?>
<Properties xmlns="http://schemas.openxmlformats.org/officeDocument/2006/extended-properties" xmlns:vt="http://schemas.openxmlformats.org/officeDocument/2006/docPropsVTypes">
  <Template>Eec86G</Template>
  <TotalTime>1685</TotalTime>
  <Pages>15</Pages>
  <Words>6526</Words>
  <Characters>37199</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Activités du secrétariat</vt:lpstr>
      <vt:lpstr>Secretariat activities</vt:lpstr>
    </vt:vector>
  </TitlesOfParts>
  <Company>UNMFS</Company>
  <LinksUpToDate>false</LinksUpToDate>
  <CharactersWithSpaces>43638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du secrétariat</dc:title>
  <dc:creator/>
  <cp:lastModifiedBy>HB</cp:lastModifiedBy>
  <cp:revision>26</cp:revision>
  <cp:lastPrinted>2001-05-26T16:40:00Z</cp:lastPrinted>
  <dcterms:created xsi:type="dcterms:W3CDTF">2020-11-16T14:06:00Z</dcterms:created>
  <dcterms:modified xsi:type="dcterms:W3CDTF">2020-12-01T18:24:00Z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vt:lpwstr>
  </property>
  <property fmtid="{D5CDD505-2E9C-101B-9397-08002B2CF9AE}" pid="3" name="Revision date">
    <vt:lpwstr>11/9/2020</vt:lpwstr>
  </property>
  <property fmtid="{D5CDD505-2E9C-101B-9397-08002B2CF9AE}" pid="4" name="ContentTypeId">
    <vt:lpwstr>0x01010021475DA1A9724F448487545E7E03A732</vt:lpwstr>
  </property>
</Properties>
</file>