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863226" w:rsidRPr="00863226" w:rsidTr="008F18C2">
        <w:trPr>
          <w:trHeight w:val="720"/>
        </w:trPr>
        <w:tc>
          <w:tcPr>
            <w:tcW w:w="5490" w:type="dxa"/>
            <w:gridSpan w:val="2"/>
            <w:tcBorders>
              <w:bottom w:val="single" w:sz="18" w:space="0" w:color="auto"/>
            </w:tcBorders>
          </w:tcPr>
          <w:p w:rsidR="00C15867" w:rsidRPr="00863226" w:rsidRDefault="00C15867" w:rsidP="008F18C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863226">
              <w:rPr>
                <w:rFonts w:ascii="Univers" w:hAnsi="Univers"/>
                <w:b/>
                <w:sz w:val="28"/>
                <w:szCs w:val="28"/>
              </w:rPr>
              <w:t>UNITED</w:t>
            </w:r>
            <w:r w:rsidRPr="00863226">
              <w:rPr>
                <w:rFonts w:ascii="Univers" w:hAnsi="Univers"/>
                <w:b/>
                <w:sz w:val="28"/>
                <w:szCs w:val="28"/>
              </w:rPr>
              <w:br/>
              <w:t>NATIONS</w:t>
            </w:r>
          </w:p>
        </w:tc>
        <w:tc>
          <w:tcPr>
            <w:tcW w:w="4590" w:type="dxa"/>
            <w:tcBorders>
              <w:bottom w:val="single" w:sz="18" w:space="0" w:color="auto"/>
            </w:tcBorders>
          </w:tcPr>
          <w:p w:rsidR="00C15867" w:rsidRPr="00863226" w:rsidRDefault="00C15867" w:rsidP="008F18C2">
            <w:pPr>
              <w:jc w:val="right"/>
              <w:rPr>
                <w:sz w:val="52"/>
                <w:szCs w:val="52"/>
              </w:rPr>
            </w:pPr>
            <w:r w:rsidRPr="00863226">
              <w:rPr>
                <w:rFonts w:ascii="Univers Bold" w:hAnsi="Univers Bold"/>
                <w:b/>
                <w:sz w:val="72"/>
              </w:rPr>
              <w:t>EP</w:t>
            </w:r>
          </w:p>
        </w:tc>
      </w:tr>
      <w:tr w:rsidR="00863226" w:rsidRPr="00863226" w:rsidTr="008F1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863226" w:rsidRDefault="00E52838" w:rsidP="008F18C2">
            <w:pPr>
              <w:spacing w:before="120"/>
            </w:pPr>
            <w:r w:rsidRPr="00863226">
              <w:rPr>
                <w:noProof/>
                <w:lang w:val="en-US"/>
              </w:rPr>
              <mc:AlternateContent>
                <mc:Choice Requires="wpg">
                  <w:drawing>
                    <wp:anchor distT="0" distB="0" distL="114300" distR="114300" simplePos="0" relativeHeight="251660288" behindDoc="0" locked="0" layoutInCell="1" allowOverlap="1" wp14:anchorId="0EDE498B" wp14:editId="00B808EE">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665BF8BE"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rsidR="00C15867" w:rsidRPr="00863226" w:rsidRDefault="00C15867" w:rsidP="008F18C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863226">
              <w:rPr>
                <w:rFonts w:ascii="Univers" w:hAnsi="Univers"/>
                <w:b/>
                <w:sz w:val="32"/>
              </w:rPr>
              <w:t>United Nations</w:t>
            </w:r>
          </w:p>
          <w:p w:rsidR="00C15867" w:rsidRPr="00863226" w:rsidRDefault="00C15867" w:rsidP="008F18C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863226">
              <w:rPr>
                <w:rFonts w:ascii="Univers" w:hAnsi="Univers"/>
                <w:b/>
                <w:sz w:val="32"/>
              </w:rPr>
              <w:t>Environment</w:t>
            </w:r>
          </w:p>
          <w:p w:rsidR="00C15867" w:rsidRPr="00863226" w:rsidRDefault="00C15867" w:rsidP="008F18C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863226">
              <w:rPr>
                <w:rFonts w:ascii="Univers" w:hAnsi="Univers"/>
                <w:b/>
                <w:sz w:val="32"/>
              </w:rPr>
              <w:t>Programme</w:t>
            </w:r>
          </w:p>
          <w:p w:rsidR="00C15867" w:rsidRPr="00863226" w:rsidRDefault="00C15867" w:rsidP="008F18C2">
            <w:pPr>
              <w:spacing w:before="720"/>
              <w:ind w:left="158"/>
            </w:pPr>
          </w:p>
        </w:tc>
        <w:tc>
          <w:tcPr>
            <w:tcW w:w="4590" w:type="dxa"/>
            <w:tcBorders>
              <w:top w:val="nil"/>
              <w:left w:val="nil"/>
              <w:bottom w:val="single" w:sz="36" w:space="0" w:color="auto"/>
              <w:right w:val="nil"/>
            </w:tcBorders>
          </w:tcPr>
          <w:p w:rsidR="00C15867" w:rsidRPr="00863226" w:rsidRDefault="00C15867" w:rsidP="008F18C2">
            <w:r w:rsidRPr="00863226">
              <w:t>Distr.</w:t>
            </w:r>
          </w:p>
          <w:p w:rsidR="00923540" w:rsidRPr="00863226" w:rsidRDefault="00923540" w:rsidP="00923540">
            <w:r w:rsidRPr="00863226">
              <w:t>GENERAL</w:t>
            </w:r>
          </w:p>
          <w:p w:rsidR="00C15867" w:rsidRPr="00863226" w:rsidRDefault="00C15867" w:rsidP="008F18C2"/>
          <w:p w:rsidR="00C15867" w:rsidRPr="00863226" w:rsidRDefault="00C15867" w:rsidP="008F18C2"/>
          <w:p w:rsidR="00C15867" w:rsidRPr="00863226" w:rsidRDefault="008B6AAA" w:rsidP="008F18C2">
            <w:r w:rsidRPr="00863226">
              <w:fldChar w:fldCharType="begin"/>
            </w:r>
            <w:r w:rsidRPr="00863226">
              <w:instrText xml:space="preserve"> DOCPROPERTY "Document number"  \* MERGEFORMAT </w:instrText>
            </w:r>
            <w:r w:rsidRPr="00863226">
              <w:fldChar w:fldCharType="separate"/>
            </w:r>
            <w:r w:rsidR="00753EB9" w:rsidRPr="00863226">
              <w:t>UNEP/</w:t>
            </w:r>
            <w:proofErr w:type="spellStart"/>
            <w:r w:rsidR="00753EB9" w:rsidRPr="00863226">
              <w:t>OzL.Pro</w:t>
            </w:r>
            <w:proofErr w:type="spellEnd"/>
            <w:r w:rsidR="00753EB9" w:rsidRPr="00863226">
              <w:t>/</w:t>
            </w:r>
            <w:proofErr w:type="spellStart"/>
            <w:r w:rsidR="00753EB9" w:rsidRPr="00863226">
              <w:t>ExCom</w:t>
            </w:r>
            <w:proofErr w:type="spellEnd"/>
            <w:r w:rsidR="00753EB9" w:rsidRPr="00863226">
              <w:t>/86/25</w:t>
            </w:r>
            <w:r w:rsidRPr="00863226">
              <w:fldChar w:fldCharType="end"/>
            </w:r>
          </w:p>
          <w:p w:rsidR="00C15867" w:rsidRPr="00863226" w:rsidRDefault="00BC2495" w:rsidP="008F18C2">
            <w:r w:rsidRPr="00863226">
              <w:fldChar w:fldCharType="begin"/>
            </w:r>
            <w:r w:rsidR="00851352" w:rsidRPr="00863226">
              <w:instrText xml:space="preserve"> DOCPROPERTY "Revision date" \@ "d MMMM YYYY"  \* MERGEFORMAT </w:instrText>
            </w:r>
            <w:r w:rsidRPr="00863226">
              <w:fldChar w:fldCharType="separate"/>
            </w:r>
            <w:r w:rsidR="00863226" w:rsidRPr="00863226">
              <w:t>16 February 2021</w:t>
            </w:r>
            <w:r w:rsidRPr="00863226">
              <w:fldChar w:fldCharType="end"/>
            </w:r>
          </w:p>
          <w:p w:rsidR="00C15867" w:rsidRPr="00863226" w:rsidRDefault="00C15867" w:rsidP="008F18C2">
            <w:pPr>
              <w:rPr>
                <w:caps/>
              </w:rPr>
            </w:pPr>
          </w:p>
          <w:p w:rsidR="00C15867" w:rsidRPr="00863226" w:rsidRDefault="00C15867" w:rsidP="008F18C2">
            <w:r w:rsidRPr="00863226">
              <w:t>ORIGINAL: ENGLISH</w:t>
            </w:r>
          </w:p>
        </w:tc>
      </w:tr>
    </w:tbl>
    <w:p w:rsidR="00704CE9" w:rsidRPr="00863226" w:rsidRDefault="00C15867" w:rsidP="00704CE9">
      <w:pPr>
        <w:jc w:val="left"/>
      </w:pPr>
      <w:r w:rsidRPr="00863226">
        <w:t>EXECUTIVE COMMITTEE OF</w:t>
      </w:r>
      <w:r w:rsidRPr="00863226">
        <w:br/>
        <w:t xml:space="preserve">  THE MULTILATERAL FUND FOR THE</w:t>
      </w:r>
      <w:r w:rsidRPr="00863226">
        <w:br/>
        <w:t xml:space="preserve">  IMPLEMENTATION OF THE MONTREAL PROTOCOL</w:t>
      </w:r>
      <w:r w:rsidRPr="00863226">
        <w:br/>
      </w:r>
      <w:r w:rsidR="00704CE9" w:rsidRPr="00863226">
        <w:t>Eighty-sixth Meeting</w:t>
      </w:r>
    </w:p>
    <w:p w:rsidR="00704CE9" w:rsidRPr="00863226" w:rsidRDefault="00704CE9" w:rsidP="00704CE9">
      <w:pPr>
        <w:jc w:val="left"/>
        <w:rPr>
          <w:lang w:val="en-CA"/>
        </w:rPr>
      </w:pPr>
      <w:r w:rsidRPr="00863226">
        <w:rPr>
          <w:lang w:val="en-CA"/>
        </w:rPr>
        <w:t>Montreal, 2-6 November 2020</w:t>
      </w:r>
    </w:p>
    <w:p w:rsidR="005220ED" w:rsidRPr="00863226" w:rsidRDefault="005220ED" w:rsidP="005220ED">
      <w:pPr>
        <w:jc w:val="left"/>
        <w:rPr>
          <w:lang w:val="en-CA"/>
        </w:rPr>
      </w:pPr>
      <w:r w:rsidRPr="00863226">
        <w:rPr>
          <w:lang w:val="en-CA"/>
        </w:rPr>
        <w:t>Postponed to 8-12 March 2021</w:t>
      </w:r>
      <w:r w:rsidR="006E126D" w:rsidRPr="00863226">
        <w:rPr>
          <w:rStyle w:val="FootnoteReference"/>
          <w:lang w:val="en-CA"/>
        </w:rPr>
        <w:footnoteReference w:id="1"/>
      </w:r>
    </w:p>
    <w:p w:rsidR="005220ED" w:rsidRPr="00863226" w:rsidRDefault="005220ED" w:rsidP="005220ED">
      <w:pPr>
        <w:jc w:val="left"/>
        <w:rPr>
          <w:lang w:val="en-US"/>
        </w:rPr>
      </w:pPr>
    </w:p>
    <w:p w:rsidR="00857077" w:rsidRPr="00863226" w:rsidRDefault="00857077" w:rsidP="00704CE9">
      <w:pPr>
        <w:jc w:val="left"/>
        <w:rPr>
          <w:lang w:val="en-CA"/>
        </w:rPr>
      </w:pPr>
    </w:p>
    <w:p w:rsidR="00C15867" w:rsidRPr="00863226" w:rsidRDefault="00C15867" w:rsidP="00857077">
      <w:pPr>
        <w:jc w:val="left"/>
        <w:rPr>
          <w:lang w:val="en-US"/>
        </w:rPr>
      </w:pPr>
    </w:p>
    <w:p w:rsidR="002D39BC" w:rsidRPr="00863226" w:rsidRDefault="002D39BC" w:rsidP="00177FA8">
      <w:pPr>
        <w:pStyle w:val="Title2"/>
        <w:rPr>
          <w:lang w:val="en-CA"/>
        </w:rPr>
      </w:pPr>
      <w:r w:rsidRPr="00863226">
        <w:rPr>
          <w:lang w:val="en-CA"/>
        </w:rPr>
        <w:t>CONSOLIDATED BUSINESS PLAN OF THE MULTILATERAL FUND for 2021–2023</w:t>
      </w:r>
    </w:p>
    <w:p w:rsidR="002D39BC" w:rsidRPr="00863226" w:rsidRDefault="002D39BC" w:rsidP="00177FA8">
      <w:pPr>
        <w:pStyle w:val="Heading1"/>
        <w:numPr>
          <w:ilvl w:val="0"/>
          <w:numId w:val="0"/>
        </w:numPr>
        <w:spacing w:after="0"/>
        <w:rPr>
          <w:b/>
          <w:lang w:val="en-CA"/>
        </w:rPr>
      </w:pPr>
    </w:p>
    <w:p w:rsidR="00952D1F" w:rsidRPr="00863226" w:rsidRDefault="00952D1F" w:rsidP="00177FA8">
      <w:pPr>
        <w:pStyle w:val="Heading1"/>
        <w:numPr>
          <w:ilvl w:val="0"/>
          <w:numId w:val="0"/>
        </w:numPr>
        <w:rPr>
          <w:b/>
          <w:lang w:val="en-CA"/>
        </w:rPr>
      </w:pPr>
      <w:r w:rsidRPr="00863226">
        <w:rPr>
          <w:b/>
          <w:lang w:val="en-CA"/>
        </w:rPr>
        <w:t>Background</w:t>
      </w:r>
    </w:p>
    <w:p w:rsidR="00952D1F" w:rsidRPr="00863226" w:rsidRDefault="00952D1F" w:rsidP="00177FA8">
      <w:pPr>
        <w:pStyle w:val="Heading1"/>
        <w:rPr>
          <w:lang w:val="en-CA"/>
        </w:rPr>
      </w:pPr>
      <w:r w:rsidRPr="00863226">
        <w:rPr>
          <w:lang w:val="en-CA"/>
        </w:rPr>
        <w:t>Due to the extraordinary situation resulting from the COVID-19 pandemic, the Parties to the Montreal Protocol were unable to hold in-person meetings in 2020 as originally planned;</w:t>
      </w:r>
      <w:r w:rsidRPr="00863226">
        <w:rPr>
          <w:rStyle w:val="FootnoteReference"/>
          <w:lang w:val="en-CA"/>
        </w:rPr>
        <w:footnoteReference w:id="2"/>
      </w:r>
      <w:r w:rsidRPr="00863226">
        <w:t xml:space="preserve"> instead, the meetings were held </w:t>
      </w:r>
      <w:r w:rsidRPr="00863226">
        <w:rPr>
          <w:lang w:val="en-CA"/>
        </w:rPr>
        <w:t>in the form of online work. Under such circumstances, the Parties were unable to adopt a decision on the replenishment of the Multilateral Fund for Implementation of the Montreal Protocol for the period 2021</w:t>
      </w:r>
      <w:r w:rsidR="00F86CB6" w:rsidRPr="00863226">
        <w:rPr>
          <w:lang w:val="en-CA"/>
        </w:rPr>
        <w:t>–</w:t>
      </w:r>
      <w:r w:rsidRPr="00863226">
        <w:rPr>
          <w:lang w:val="en-CA"/>
        </w:rPr>
        <w:t>2023.</w:t>
      </w:r>
      <w:r w:rsidR="00177FA8" w:rsidRPr="00863226">
        <w:rPr>
          <w:lang w:val="en-CA"/>
        </w:rPr>
        <w:t xml:space="preserve"> </w:t>
      </w:r>
    </w:p>
    <w:p w:rsidR="00952D1F" w:rsidRPr="00863226" w:rsidRDefault="00952D1F" w:rsidP="00177FA8">
      <w:pPr>
        <w:pStyle w:val="Heading1"/>
        <w:rPr>
          <w:lang w:val="en-CA"/>
        </w:rPr>
      </w:pPr>
      <w:r w:rsidRPr="00863226">
        <w:rPr>
          <w:lang w:val="en-CA"/>
        </w:rPr>
        <w:t xml:space="preserve">With regard to matters related to the replenishment of the Multilateral Fund, during the on-line Thirty-Second Meeting, the Parties noted that they will take a decision in 2021 on the replenishment of the Fund to adopt a budget for the triennium 2021–2023, including regular contributions, and adopted an interim budget for the Multilateral Fund for the triennium 2021–2023 of </w:t>
      </w:r>
      <w:r w:rsidR="00177FA8" w:rsidRPr="00863226">
        <w:rPr>
          <w:lang w:val="en-CA"/>
        </w:rPr>
        <w:t>US $</w:t>
      </w:r>
      <w:r w:rsidRPr="00863226">
        <w:rPr>
          <w:lang w:val="en-CA"/>
        </w:rPr>
        <w:t xml:space="preserve">268 million, prioritizing those funds for the year 2021 as part of the triennium 2021–2023, until such time as the Parties adopt a final decision on replenishment, including a revised budget, for the triennium 2021–2023, on the understanding that the interim budget will be provided from anticipated contributions due to the Multilateral Fund and other sources for the triennium 2018–2020 (decision XXXII/1). </w:t>
      </w:r>
    </w:p>
    <w:p w:rsidR="00952D1F" w:rsidRPr="00863226" w:rsidRDefault="00952D1F" w:rsidP="00177FA8">
      <w:pPr>
        <w:pStyle w:val="Heading1"/>
        <w:rPr>
          <w:lang w:val="en-CA"/>
        </w:rPr>
      </w:pPr>
      <w:r w:rsidRPr="00863226">
        <w:rPr>
          <w:lang w:val="en-CA"/>
        </w:rPr>
        <w:t>The Parties also authorized the Ozone Secretariat to organize an extraordinary Meeting of the Parties in 2021 to enable Parties to take a decision on the replenishment of the Multilateral Fund for the triennium 2021–2023 if and when the circumstances related to the global pandemic permit it (decision XXXII/2).</w:t>
      </w:r>
    </w:p>
    <w:p w:rsidR="002C184F" w:rsidRPr="00863226" w:rsidRDefault="002C184F" w:rsidP="00177FA8">
      <w:pPr>
        <w:keepNext/>
        <w:rPr>
          <w:b/>
          <w:lang w:val="en-CA"/>
        </w:rPr>
      </w:pPr>
      <w:r w:rsidRPr="00863226">
        <w:rPr>
          <w:b/>
          <w:lang w:val="en-CA"/>
        </w:rPr>
        <w:lastRenderedPageBreak/>
        <w:t xml:space="preserve">Introduction </w:t>
      </w:r>
    </w:p>
    <w:p w:rsidR="002C184F" w:rsidRPr="00863226" w:rsidRDefault="002C184F" w:rsidP="00177FA8">
      <w:pPr>
        <w:keepNext/>
        <w:rPr>
          <w:lang w:val="en-CA"/>
        </w:rPr>
      </w:pPr>
    </w:p>
    <w:p w:rsidR="002C184F" w:rsidRPr="00863226" w:rsidRDefault="002C184F" w:rsidP="00177FA8">
      <w:pPr>
        <w:pStyle w:val="Heading1"/>
        <w:rPr>
          <w:lang w:val="en-CA"/>
        </w:rPr>
      </w:pPr>
      <w:r w:rsidRPr="00863226">
        <w:rPr>
          <w:lang w:val="en-CA"/>
        </w:rPr>
        <w:t xml:space="preserve">The Secretariat and the bilateral and implementing agencies began their collaborative efforts on business planning of the Multilateral Fund for 2021–2023 on 10 August 2020 when the initial business plan tables were submitted. </w:t>
      </w:r>
    </w:p>
    <w:p w:rsidR="002C184F" w:rsidRPr="00863226" w:rsidRDefault="002C184F" w:rsidP="00177FA8">
      <w:pPr>
        <w:pStyle w:val="Heading1"/>
        <w:rPr>
          <w:lang w:val="en-CA"/>
        </w:rPr>
      </w:pPr>
      <w:r w:rsidRPr="00863226">
        <w:rPr>
          <w:lang w:val="en-CA"/>
        </w:rPr>
        <w:t>In the absence of a decision by the Parties to the Montreal Protocol on the level of the replenishment of the Multilateral Fund for the 2021</w:t>
      </w:r>
      <w:r w:rsidR="00F86CB6" w:rsidRPr="00863226">
        <w:rPr>
          <w:lang w:val="en-CA"/>
        </w:rPr>
        <w:t>–</w:t>
      </w:r>
      <w:r w:rsidRPr="00863226">
        <w:rPr>
          <w:lang w:val="en-CA"/>
        </w:rPr>
        <w:t xml:space="preserve">2023 triennium, and in light of decision XXXII/1, the Secretariat assumed the same level of the replenishment </w:t>
      </w:r>
      <w:r w:rsidR="00294B75" w:rsidRPr="00863226">
        <w:rPr>
          <w:lang w:val="en-CA"/>
        </w:rPr>
        <w:t>of</w:t>
      </w:r>
      <w:r w:rsidRPr="00863226">
        <w:rPr>
          <w:lang w:val="en-CA"/>
        </w:rPr>
        <w:t xml:space="preserve"> the 2018</w:t>
      </w:r>
      <w:r w:rsidR="00F86CB6" w:rsidRPr="00863226">
        <w:rPr>
          <w:lang w:val="en-CA"/>
        </w:rPr>
        <w:t>–</w:t>
      </w:r>
      <w:r w:rsidRPr="00863226">
        <w:rPr>
          <w:lang w:val="en-CA"/>
        </w:rPr>
        <w:t xml:space="preserve">2020 triennium (i.e., </w:t>
      </w:r>
      <w:r w:rsidR="00177FA8" w:rsidRPr="00863226">
        <w:rPr>
          <w:lang w:val="en-CA"/>
        </w:rPr>
        <w:t>US $</w:t>
      </w:r>
      <w:r w:rsidRPr="00863226">
        <w:rPr>
          <w:lang w:val="en-CA"/>
        </w:rPr>
        <w:t>540 million) when reviewing the business plans submitted by bilateral and implementing agencies and informed the agencies that their business plans would be adjusted once the Parties agree on the level of the replenishment for the 2021</w:t>
      </w:r>
      <w:r w:rsidR="00F86CB6" w:rsidRPr="00863226">
        <w:rPr>
          <w:lang w:val="en-CA"/>
        </w:rPr>
        <w:t>–</w:t>
      </w:r>
      <w:r w:rsidRPr="00863226">
        <w:rPr>
          <w:lang w:val="en-CA"/>
        </w:rPr>
        <w:t>2023 triennium.</w:t>
      </w:r>
    </w:p>
    <w:p w:rsidR="002C184F" w:rsidRPr="00863226" w:rsidRDefault="002C184F" w:rsidP="00177FA8">
      <w:pPr>
        <w:pStyle w:val="Heading1"/>
        <w:rPr>
          <w:lang w:val="en-CA"/>
        </w:rPr>
      </w:pPr>
      <w:r w:rsidRPr="00863226">
        <w:rPr>
          <w:lang w:val="en-CA"/>
        </w:rPr>
        <w:t>Table 1 presents the total value of the 2021–2023 business plan tables as submitted.</w:t>
      </w:r>
    </w:p>
    <w:p w:rsidR="002C184F" w:rsidRPr="00863226" w:rsidRDefault="002C184F" w:rsidP="00177FA8">
      <w:pPr>
        <w:rPr>
          <w:b/>
          <w:lang w:val="en-CA"/>
        </w:rPr>
      </w:pPr>
      <w:r w:rsidRPr="00863226">
        <w:rPr>
          <w:b/>
          <w:lang w:val="en-CA"/>
        </w:rPr>
        <w:t>Table 1. Total initial business plan values for 202</w:t>
      </w:r>
      <w:r w:rsidR="008F18C2" w:rsidRPr="00863226">
        <w:rPr>
          <w:b/>
          <w:lang w:val="en-CA"/>
        </w:rPr>
        <w:t>1</w:t>
      </w:r>
      <w:r w:rsidRPr="00863226">
        <w:rPr>
          <w:b/>
          <w:lang w:val="en-CA"/>
        </w:rPr>
        <w:t>–202</w:t>
      </w:r>
      <w:r w:rsidR="008F18C2" w:rsidRPr="00863226">
        <w:rPr>
          <w:b/>
          <w:lang w:val="en-CA"/>
        </w:rPr>
        <w:t>3</w:t>
      </w:r>
      <w:r w:rsidRPr="00863226">
        <w:rPr>
          <w:b/>
          <w:lang w:val="en-CA"/>
        </w:rPr>
        <w:t xml:space="preserve"> (U$ $000)</w:t>
      </w:r>
    </w:p>
    <w:tbl>
      <w:tblPr>
        <w:tblW w:w="9360" w:type="dxa"/>
        <w:tblInd w:w="-5" w:type="dxa"/>
        <w:tblLayout w:type="fixed"/>
        <w:tblLook w:val="04A0" w:firstRow="1" w:lastRow="0" w:firstColumn="1" w:lastColumn="0" w:noHBand="0" w:noVBand="1"/>
      </w:tblPr>
      <w:tblGrid>
        <w:gridCol w:w="2160"/>
        <w:gridCol w:w="1440"/>
        <w:gridCol w:w="1440"/>
        <w:gridCol w:w="1440"/>
        <w:gridCol w:w="1440"/>
        <w:gridCol w:w="1440"/>
      </w:tblGrid>
      <w:tr w:rsidR="00863226" w:rsidRPr="00863226" w:rsidTr="00177FA8">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FD2" w:rsidRPr="00863226" w:rsidRDefault="00C17FD2" w:rsidP="00177FA8">
            <w:pPr>
              <w:jc w:val="left"/>
              <w:rPr>
                <w:b/>
                <w:bCs/>
                <w:sz w:val="21"/>
                <w:szCs w:val="21"/>
                <w:lang w:val="en-CA" w:eastAsia="en-CA"/>
              </w:rPr>
            </w:pPr>
            <w:r w:rsidRPr="00863226">
              <w:rPr>
                <w:b/>
                <w:bCs/>
                <w:sz w:val="21"/>
                <w:szCs w:val="21"/>
                <w:lang w:val="en-CA" w:eastAsia="en-CA"/>
              </w:rPr>
              <w:t>Item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17FD2" w:rsidRPr="00863226" w:rsidRDefault="00C17FD2" w:rsidP="00177FA8">
            <w:pPr>
              <w:jc w:val="center"/>
              <w:rPr>
                <w:b/>
                <w:bCs/>
                <w:sz w:val="21"/>
                <w:szCs w:val="21"/>
                <w:lang w:val="en-CA" w:eastAsia="en-CA"/>
              </w:rPr>
            </w:pPr>
            <w:r w:rsidRPr="00863226">
              <w:rPr>
                <w:b/>
                <w:bCs/>
                <w:sz w:val="21"/>
                <w:szCs w:val="21"/>
                <w:lang w:val="en-CA"/>
              </w:rPr>
              <w:t>2021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17FD2" w:rsidRPr="00863226" w:rsidRDefault="00C17FD2" w:rsidP="00177FA8">
            <w:pPr>
              <w:jc w:val="center"/>
              <w:rPr>
                <w:b/>
                <w:bCs/>
                <w:sz w:val="21"/>
                <w:szCs w:val="21"/>
                <w:lang w:val="en-CA" w:eastAsia="en-CA"/>
              </w:rPr>
            </w:pPr>
            <w:r w:rsidRPr="00863226">
              <w:rPr>
                <w:b/>
                <w:bCs/>
                <w:sz w:val="21"/>
                <w:szCs w:val="21"/>
                <w:lang w:val="en-CA"/>
              </w:rPr>
              <w:t>2022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17FD2" w:rsidRPr="00863226" w:rsidRDefault="00C17FD2" w:rsidP="00177FA8">
            <w:pPr>
              <w:jc w:val="center"/>
              <w:rPr>
                <w:b/>
                <w:bCs/>
                <w:sz w:val="21"/>
                <w:szCs w:val="21"/>
                <w:lang w:val="en-CA" w:eastAsia="en-CA"/>
              </w:rPr>
            </w:pPr>
            <w:r w:rsidRPr="00863226">
              <w:rPr>
                <w:b/>
                <w:bCs/>
                <w:sz w:val="21"/>
                <w:szCs w:val="21"/>
                <w:lang w:val="en-CA"/>
              </w:rPr>
              <w:t>2023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17FD2" w:rsidRPr="00863226" w:rsidRDefault="00C17FD2" w:rsidP="00177FA8">
            <w:pPr>
              <w:jc w:val="center"/>
              <w:rPr>
                <w:b/>
                <w:bCs/>
                <w:sz w:val="21"/>
                <w:szCs w:val="21"/>
                <w:lang w:val="en-CA"/>
              </w:rPr>
            </w:pPr>
            <w:r w:rsidRPr="00863226">
              <w:rPr>
                <w:b/>
                <w:bCs/>
                <w:sz w:val="21"/>
                <w:szCs w:val="21"/>
                <w:lang w:val="en-CA"/>
              </w:rPr>
              <w:t>Total</w:t>
            </w:r>
          </w:p>
          <w:p w:rsidR="00C17FD2" w:rsidRPr="00863226" w:rsidRDefault="00C17FD2" w:rsidP="00177FA8">
            <w:pPr>
              <w:jc w:val="center"/>
              <w:rPr>
                <w:b/>
                <w:bCs/>
                <w:sz w:val="21"/>
                <w:szCs w:val="21"/>
                <w:lang w:val="en-CA" w:eastAsia="en-CA"/>
              </w:rPr>
            </w:pPr>
            <w:r w:rsidRPr="00863226">
              <w:rPr>
                <w:b/>
                <w:bCs/>
                <w:sz w:val="21"/>
                <w:szCs w:val="21"/>
                <w:lang w:val="en-CA"/>
              </w:rPr>
              <w:t>(2021–2023)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17FD2" w:rsidRPr="00863226" w:rsidRDefault="00C17FD2" w:rsidP="00177FA8">
            <w:pPr>
              <w:jc w:val="center"/>
              <w:rPr>
                <w:b/>
                <w:bCs/>
                <w:sz w:val="21"/>
                <w:szCs w:val="21"/>
                <w:lang w:val="en-CA" w:eastAsia="en-CA"/>
              </w:rPr>
            </w:pPr>
            <w:r w:rsidRPr="00863226">
              <w:rPr>
                <w:b/>
                <w:bCs/>
                <w:sz w:val="21"/>
                <w:szCs w:val="21"/>
                <w:lang w:val="en-CA"/>
              </w:rPr>
              <w:t>Total after 2023</w:t>
            </w:r>
          </w:p>
        </w:tc>
      </w:tr>
      <w:tr w:rsidR="00863226" w:rsidRPr="00863226" w:rsidTr="00177FA8">
        <w:tc>
          <w:tcPr>
            <w:tcW w:w="2160" w:type="dxa"/>
            <w:tcBorders>
              <w:top w:val="nil"/>
              <w:left w:val="single" w:sz="4" w:space="0" w:color="auto"/>
              <w:bottom w:val="single" w:sz="4" w:space="0" w:color="auto"/>
              <w:right w:val="single" w:sz="4" w:space="0" w:color="auto"/>
            </w:tcBorders>
            <w:shd w:val="clear" w:color="auto" w:fill="auto"/>
            <w:noWrap/>
            <w:hideMark/>
          </w:tcPr>
          <w:p w:rsidR="00C17FD2" w:rsidRPr="00863226" w:rsidRDefault="00CD4044" w:rsidP="00177FA8">
            <w:pPr>
              <w:jc w:val="left"/>
              <w:rPr>
                <w:b/>
                <w:bCs/>
                <w:sz w:val="21"/>
                <w:szCs w:val="21"/>
                <w:lang w:val="en-CA" w:eastAsia="en-CA"/>
              </w:rPr>
            </w:pPr>
            <w:r w:rsidRPr="00863226">
              <w:rPr>
                <w:b/>
                <w:bCs/>
                <w:sz w:val="21"/>
                <w:szCs w:val="21"/>
                <w:lang w:val="en-CA" w:eastAsia="en-CA"/>
              </w:rPr>
              <w:t>T</w:t>
            </w:r>
            <w:r w:rsidR="00C17FD2" w:rsidRPr="00863226">
              <w:rPr>
                <w:b/>
                <w:bCs/>
                <w:sz w:val="21"/>
                <w:szCs w:val="21"/>
                <w:lang w:val="en-CA" w:eastAsia="en-CA"/>
              </w:rPr>
              <w:t>otal</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b/>
                <w:sz w:val="21"/>
                <w:szCs w:val="21"/>
              </w:rPr>
            </w:pPr>
            <w:r w:rsidRPr="00863226">
              <w:rPr>
                <w:b/>
                <w:sz w:val="21"/>
                <w:szCs w:val="21"/>
              </w:rPr>
              <w:t>144,169</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b/>
                <w:sz w:val="21"/>
                <w:szCs w:val="21"/>
              </w:rPr>
            </w:pPr>
            <w:r w:rsidRPr="00863226">
              <w:rPr>
                <w:b/>
                <w:sz w:val="21"/>
                <w:szCs w:val="21"/>
              </w:rPr>
              <w:t>129,420</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b/>
                <w:sz w:val="21"/>
                <w:szCs w:val="21"/>
              </w:rPr>
            </w:pPr>
            <w:r w:rsidRPr="00863226">
              <w:rPr>
                <w:b/>
                <w:sz w:val="21"/>
                <w:szCs w:val="21"/>
              </w:rPr>
              <w:t>158,943</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b/>
                <w:bCs/>
                <w:sz w:val="21"/>
                <w:szCs w:val="21"/>
                <w:lang w:val="en-CA" w:eastAsia="en-CA"/>
              </w:rPr>
            </w:pPr>
            <w:r w:rsidRPr="00863226">
              <w:rPr>
                <w:b/>
                <w:bCs/>
                <w:sz w:val="21"/>
                <w:szCs w:val="21"/>
                <w:lang w:val="en-CA" w:eastAsia="en-CA"/>
              </w:rPr>
              <w:t>432,532</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b/>
                <w:sz w:val="21"/>
                <w:szCs w:val="21"/>
              </w:rPr>
            </w:pPr>
            <w:r w:rsidRPr="00863226">
              <w:rPr>
                <w:b/>
                <w:sz w:val="21"/>
                <w:szCs w:val="21"/>
              </w:rPr>
              <w:t>289,268</w:t>
            </w:r>
          </w:p>
        </w:tc>
      </w:tr>
      <w:tr w:rsidR="00863226" w:rsidRPr="00863226" w:rsidTr="00177FA8">
        <w:tc>
          <w:tcPr>
            <w:tcW w:w="2160" w:type="dxa"/>
            <w:tcBorders>
              <w:top w:val="nil"/>
              <w:left w:val="single" w:sz="4" w:space="0" w:color="auto"/>
              <w:bottom w:val="single" w:sz="4" w:space="0" w:color="auto"/>
              <w:right w:val="single" w:sz="4" w:space="0" w:color="auto"/>
            </w:tcBorders>
            <w:shd w:val="clear" w:color="auto" w:fill="auto"/>
            <w:noWrap/>
            <w:hideMark/>
          </w:tcPr>
          <w:p w:rsidR="00C17FD2" w:rsidRPr="00863226" w:rsidRDefault="00C17FD2" w:rsidP="00177FA8">
            <w:pPr>
              <w:jc w:val="left"/>
              <w:rPr>
                <w:sz w:val="21"/>
                <w:szCs w:val="21"/>
                <w:lang w:val="en-CA" w:eastAsia="en-CA"/>
              </w:rPr>
            </w:pPr>
            <w:r w:rsidRPr="00863226">
              <w:rPr>
                <w:sz w:val="21"/>
                <w:szCs w:val="21"/>
                <w:lang w:val="en-CA" w:eastAsia="en-CA"/>
              </w:rPr>
              <w:t>Indicative budget*</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sz w:val="21"/>
                <w:szCs w:val="21"/>
                <w:lang w:val="en-CA" w:eastAsia="en-CA"/>
              </w:rPr>
            </w:pPr>
            <w:r w:rsidRPr="00863226">
              <w:rPr>
                <w:sz w:val="21"/>
                <w:szCs w:val="21"/>
                <w:lang w:val="en-CA" w:eastAsia="en-CA"/>
              </w:rPr>
              <w:t>180,000</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sz w:val="21"/>
                <w:szCs w:val="21"/>
                <w:lang w:val="en-CA" w:eastAsia="en-CA"/>
              </w:rPr>
            </w:pPr>
            <w:r w:rsidRPr="00863226">
              <w:rPr>
                <w:sz w:val="21"/>
                <w:szCs w:val="21"/>
                <w:lang w:val="en-CA" w:eastAsia="en-CA"/>
              </w:rPr>
              <w:t>180,000</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sz w:val="21"/>
                <w:szCs w:val="21"/>
                <w:lang w:val="en-CA" w:eastAsia="en-CA"/>
              </w:rPr>
            </w:pPr>
            <w:r w:rsidRPr="00863226">
              <w:rPr>
                <w:sz w:val="21"/>
                <w:szCs w:val="21"/>
                <w:lang w:val="en-CA" w:eastAsia="en-CA"/>
              </w:rPr>
              <w:t>180,000</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sz w:val="21"/>
                <w:szCs w:val="21"/>
                <w:lang w:val="en-CA" w:eastAsia="en-CA"/>
              </w:rPr>
            </w:pPr>
            <w:r w:rsidRPr="00863226">
              <w:rPr>
                <w:sz w:val="21"/>
                <w:szCs w:val="21"/>
                <w:lang w:val="en-CA" w:eastAsia="en-CA"/>
              </w:rPr>
              <w:t>540,000</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left"/>
              <w:rPr>
                <w:sz w:val="21"/>
                <w:szCs w:val="21"/>
                <w:lang w:val="en-CA" w:eastAsia="en-CA"/>
              </w:rPr>
            </w:pPr>
          </w:p>
        </w:tc>
      </w:tr>
      <w:tr w:rsidR="00863226" w:rsidRPr="00863226" w:rsidTr="00177FA8">
        <w:tc>
          <w:tcPr>
            <w:tcW w:w="2160" w:type="dxa"/>
            <w:tcBorders>
              <w:top w:val="nil"/>
              <w:left w:val="single" w:sz="4" w:space="0" w:color="auto"/>
              <w:bottom w:val="single" w:sz="4" w:space="0" w:color="auto"/>
              <w:right w:val="single" w:sz="4" w:space="0" w:color="auto"/>
            </w:tcBorders>
            <w:shd w:val="clear" w:color="auto" w:fill="auto"/>
            <w:noWrap/>
            <w:hideMark/>
          </w:tcPr>
          <w:p w:rsidR="00C17FD2" w:rsidRPr="00863226" w:rsidRDefault="00C17FD2" w:rsidP="00177FA8">
            <w:pPr>
              <w:jc w:val="left"/>
              <w:rPr>
                <w:sz w:val="21"/>
                <w:szCs w:val="21"/>
                <w:lang w:val="en-CA" w:eastAsia="en-CA"/>
              </w:rPr>
            </w:pPr>
            <w:r w:rsidRPr="00863226">
              <w:rPr>
                <w:sz w:val="21"/>
                <w:szCs w:val="21"/>
                <w:lang w:val="en-CA" w:eastAsia="en-CA"/>
              </w:rPr>
              <w:t>Difference</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sz w:val="21"/>
                <w:szCs w:val="21"/>
              </w:rPr>
            </w:pPr>
            <w:r w:rsidRPr="00863226">
              <w:rPr>
                <w:sz w:val="21"/>
                <w:szCs w:val="21"/>
              </w:rPr>
              <w:t>(35,831)</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sz w:val="21"/>
                <w:szCs w:val="21"/>
              </w:rPr>
            </w:pPr>
            <w:r w:rsidRPr="00863226">
              <w:rPr>
                <w:sz w:val="21"/>
                <w:szCs w:val="21"/>
              </w:rPr>
              <w:t>(50,580)</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sz w:val="21"/>
                <w:szCs w:val="21"/>
              </w:rPr>
            </w:pPr>
            <w:r w:rsidRPr="00863226">
              <w:rPr>
                <w:sz w:val="21"/>
                <w:szCs w:val="21"/>
              </w:rPr>
              <w:t>(21,057)</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right"/>
              <w:rPr>
                <w:sz w:val="21"/>
                <w:szCs w:val="21"/>
              </w:rPr>
            </w:pPr>
            <w:r w:rsidRPr="00863226">
              <w:rPr>
                <w:sz w:val="21"/>
                <w:szCs w:val="21"/>
              </w:rPr>
              <w:t>(107,468)</w:t>
            </w:r>
          </w:p>
        </w:tc>
        <w:tc>
          <w:tcPr>
            <w:tcW w:w="1440" w:type="dxa"/>
            <w:tcBorders>
              <w:top w:val="nil"/>
              <w:left w:val="nil"/>
              <w:bottom w:val="single" w:sz="4" w:space="0" w:color="auto"/>
              <w:right w:val="single" w:sz="4" w:space="0" w:color="auto"/>
            </w:tcBorders>
            <w:shd w:val="clear" w:color="auto" w:fill="auto"/>
            <w:noWrap/>
          </w:tcPr>
          <w:p w:rsidR="00C17FD2" w:rsidRPr="00863226" w:rsidRDefault="00C17FD2" w:rsidP="00177FA8">
            <w:pPr>
              <w:jc w:val="left"/>
              <w:rPr>
                <w:sz w:val="21"/>
                <w:szCs w:val="21"/>
                <w:lang w:val="en-CA" w:eastAsia="en-CA"/>
              </w:rPr>
            </w:pPr>
          </w:p>
        </w:tc>
      </w:tr>
    </w:tbl>
    <w:p w:rsidR="002C184F" w:rsidRPr="00863226" w:rsidRDefault="002C184F" w:rsidP="00177FA8">
      <w:pPr>
        <w:jc w:val="left"/>
        <w:rPr>
          <w:sz w:val="20"/>
          <w:szCs w:val="20"/>
          <w:lang w:val="en-CA"/>
        </w:rPr>
      </w:pPr>
      <w:r w:rsidRPr="00863226">
        <w:rPr>
          <w:sz w:val="20"/>
          <w:szCs w:val="20"/>
          <w:lang w:val="en-CA"/>
        </w:rPr>
        <w:t>* Assumed the same level of the 2018–2020 replenishment of the Multilateral Fund.</w:t>
      </w:r>
    </w:p>
    <w:p w:rsidR="002C184F" w:rsidRPr="00863226" w:rsidRDefault="002C184F" w:rsidP="00177FA8">
      <w:pPr>
        <w:rPr>
          <w:lang w:val="en-CA"/>
        </w:rPr>
      </w:pPr>
    </w:p>
    <w:p w:rsidR="002C184F" w:rsidRPr="00863226" w:rsidRDefault="002C184F" w:rsidP="00177FA8">
      <w:pPr>
        <w:pStyle w:val="Heading1"/>
        <w:rPr>
          <w:lang w:val="en-CA"/>
        </w:rPr>
      </w:pPr>
      <w:r w:rsidRPr="00863226">
        <w:rPr>
          <w:lang w:val="en-CA"/>
        </w:rPr>
        <w:t xml:space="preserve">The Secretariat reviewed the activities submitted in the initial business plan tables, in particular stages II and III of HCFC phase-out management plans (HPMPs) in the light of stages I and II of HPMPs, remaining funding eligibility and costs, and sent comments to each bilateral and implementing agency on </w:t>
      </w:r>
      <w:r w:rsidRPr="00863226">
        <w:rPr>
          <w:i/>
          <w:lang w:val="en-CA"/>
        </w:rPr>
        <w:t>inter alia</w:t>
      </w:r>
      <w:r w:rsidRPr="00863226">
        <w:rPr>
          <w:lang w:val="en-CA"/>
        </w:rPr>
        <w:t>: over-programming, HPMP-related activities, projects in the 2020 business plans but not submitted to the 86</w:t>
      </w:r>
      <w:r w:rsidRPr="00863226">
        <w:rPr>
          <w:vertAlign w:val="superscript"/>
          <w:lang w:val="en-CA"/>
        </w:rPr>
        <w:t>th</w:t>
      </w:r>
      <w:r w:rsidRPr="00863226">
        <w:rPr>
          <w:lang w:val="en-CA"/>
        </w:rPr>
        <w:t xml:space="preserve"> meeting, the production sector, and HFC-related activities. </w:t>
      </w:r>
    </w:p>
    <w:p w:rsidR="002C184F" w:rsidRPr="00863226" w:rsidRDefault="002C184F" w:rsidP="00177FA8">
      <w:pPr>
        <w:pStyle w:val="Heading1"/>
        <w:rPr>
          <w:lang w:val="en-CA"/>
        </w:rPr>
      </w:pPr>
      <w:r w:rsidRPr="00863226">
        <w:rPr>
          <w:lang w:val="en-CA"/>
        </w:rPr>
        <w:t xml:space="preserve">Given the constraints imposed by the COVID-19 pandemic, the Secretariat’s comments on the initial submission of the business plans </w:t>
      </w:r>
      <w:r w:rsidR="00F86CB6" w:rsidRPr="00863226">
        <w:rPr>
          <w:lang w:val="en-CA"/>
        </w:rPr>
        <w:t>were</w:t>
      </w:r>
      <w:r w:rsidRPr="00863226">
        <w:rPr>
          <w:lang w:val="en-CA"/>
        </w:rPr>
        <w:t xml:space="preserve"> addressed through bilateral discussions with each agency and numerous exchanges of electronic messages. All issues were satisfactorily addressed.</w:t>
      </w:r>
    </w:p>
    <w:p w:rsidR="002C184F" w:rsidRPr="00863226" w:rsidRDefault="002C184F" w:rsidP="00177FA8">
      <w:pPr>
        <w:pStyle w:val="Heading1"/>
        <w:rPr>
          <w:lang w:val="en-CA"/>
        </w:rPr>
      </w:pPr>
      <w:r w:rsidRPr="00863226">
        <w:rPr>
          <w:lang w:val="en-CA"/>
        </w:rPr>
        <w:t>Subsequently, bilateral and implementing agencies revised their business plan tables and resubmitted them with the narrative sections. The total value of the revised business plan for 2021</w:t>
      </w:r>
      <w:r w:rsidR="001F3F52" w:rsidRPr="00863226">
        <w:rPr>
          <w:lang w:val="en-CA"/>
        </w:rPr>
        <w:t>–</w:t>
      </w:r>
      <w:r w:rsidRPr="00863226">
        <w:rPr>
          <w:lang w:val="en-CA"/>
        </w:rPr>
        <w:t>2023 is summarized in Table 2.</w:t>
      </w:r>
    </w:p>
    <w:p w:rsidR="002C184F" w:rsidRPr="00863226" w:rsidRDefault="002C184F" w:rsidP="00177FA8">
      <w:pPr>
        <w:keepNext/>
        <w:rPr>
          <w:b/>
          <w:lang w:val="en-CA"/>
        </w:rPr>
      </w:pPr>
      <w:r w:rsidRPr="00863226">
        <w:rPr>
          <w:b/>
          <w:lang w:val="en-CA"/>
        </w:rPr>
        <w:t>Table 2. Total revised business plan values for 2021–2023 as submitted (</w:t>
      </w:r>
      <w:r w:rsidR="00177FA8" w:rsidRPr="00863226">
        <w:rPr>
          <w:b/>
          <w:lang w:val="en-CA"/>
        </w:rPr>
        <w:t>US $</w:t>
      </w:r>
      <w:r w:rsidRPr="00863226">
        <w:rPr>
          <w:b/>
          <w:lang w:val="en-CA"/>
        </w:rPr>
        <w:t>000)</w:t>
      </w:r>
    </w:p>
    <w:tbl>
      <w:tblPr>
        <w:tblW w:w="5000" w:type="pct"/>
        <w:tblLayout w:type="fixed"/>
        <w:tblLook w:val="04A0" w:firstRow="1" w:lastRow="0" w:firstColumn="1" w:lastColumn="0" w:noHBand="0" w:noVBand="1"/>
      </w:tblPr>
      <w:tblGrid>
        <w:gridCol w:w="1970"/>
        <w:gridCol w:w="1476"/>
        <w:gridCol w:w="1476"/>
        <w:gridCol w:w="1476"/>
        <w:gridCol w:w="1476"/>
        <w:gridCol w:w="1476"/>
      </w:tblGrid>
      <w:tr w:rsidR="00863226" w:rsidRPr="00863226" w:rsidTr="00177FA8">
        <w:trPr>
          <w:tblHeader/>
        </w:trPr>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84F" w:rsidRPr="00863226" w:rsidRDefault="002C184F" w:rsidP="00177FA8">
            <w:pPr>
              <w:jc w:val="left"/>
              <w:rPr>
                <w:b/>
                <w:bCs/>
                <w:sz w:val="21"/>
                <w:szCs w:val="21"/>
                <w:lang w:val="en-CA" w:eastAsia="en-CA"/>
              </w:rPr>
            </w:pPr>
            <w:r w:rsidRPr="00863226">
              <w:rPr>
                <w:b/>
                <w:bCs/>
                <w:sz w:val="21"/>
                <w:szCs w:val="21"/>
                <w:lang w:val="en-CA" w:eastAsia="en-CA"/>
              </w:rPr>
              <w:t>Item</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2C184F" w:rsidRPr="00863226" w:rsidRDefault="002C184F" w:rsidP="00177FA8">
            <w:pPr>
              <w:jc w:val="center"/>
              <w:rPr>
                <w:b/>
                <w:bCs/>
                <w:sz w:val="21"/>
                <w:szCs w:val="21"/>
                <w:lang w:val="en-CA" w:eastAsia="en-CA"/>
              </w:rPr>
            </w:pPr>
            <w:r w:rsidRPr="00863226">
              <w:rPr>
                <w:b/>
                <w:bCs/>
                <w:sz w:val="21"/>
                <w:szCs w:val="21"/>
                <w:lang w:val="en-CA"/>
              </w:rPr>
              <w:t>2021</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2C184F" w:rsidRPr="00863226" w:rsidRDefault="002C184F" w:rsidP="00177FA8">
            <w:pPr>
              <w:jc w:val="center"/>
              <w:rPr>
                <w:b/>
                <w:bCs/>
                <w:sz w:val="21"/>
                <w:szCs w:val="21"/>
                <w:lang w:val="en-CA" w:eastAsia="en-CA"/>
              </w:rPr>
            </w:pPr>
            <w:r w:rsidRPr="00863226">
              <w:rPr>
                <w:b/>
                <w:bCs/>
                <w:sz w:val="21"/>
                <w:szCs w:val="21"/>
                <w:lang w:val="en-CA"/>
              </w:rPr>
              <w:t>2022</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2C184F" w:rsidRPr="00863226" w:rsidRDefault="002C184F" w:rsidP="00177FA8">
            <w:pPr>
              <w:jc w:val="center"/>
              <w:rPr>
                <w:b/>
                <w:bCs/>
                <w:sz w:val="21"/>
                <w:szCs w:val="21"/>
                <w:lang w:val="en-CA" w:eastAsia="en-CA"/>
              </w:rPr>
            </w:pPr>
            <w:r w:rsidRPr="00863226">
              <w:rPr>
                <w:b/>
                <w:bCs/>
                <w:sz w:val="21"/>
                <w:szCs w:val="21"/>
                <w:lang w:val="en-CA"/>
              </w:rPr>
              <w:t>2023</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2C184F" w:rsidRPr="00863226" w:rsidRDefault="002C184F" w:rsidP="00177FA8">
            <w:pPr>
              <w:jc w:val="center"/>
              <w:rPr>
                <w:b/>
                <w:bCs/>
                <w:sz w:val="21"/>
                <w:szCs w:val="21"/>
                <w:lang w:val="en-CA"/>
              </w:rPr>
            </w:pPr>
            <w:r w:rsidRPr="00863226">
              <w:rPr>
                <w:b/>
                <w:bCs/>
                <w:sz w:val="21"/>
                <w:szCs w:val="21"/>
                <w:lang w:val="en-CA"/>
              </w:rPr>
              <w:t>Total</w:t>
            </w:r>
          </w:p>
          <w:p w:rsidR="002C184F" w:rsidRPr="00863226" w:rsidRDefault="002C184F" w:rsidP="00177FA8">
            <w:pPr>
              <w:jc w:val="center"/>
              <w:rPr>
                <w:b/>
                <w:bCs/>
                <w:sz w:val="21"/>
                <w:szCs w:val="21"/>
                <w:lang w:val="en-CA" w:eastAsia="en-CA"/>
              </w:rPr>
            </w:pPr>
            <w:r w:rsidRPr="00863226">
              <w:rPr>
                <w:b/>
                <w:bCs/>
                <w:sz w:val="21"/>
                <w:szCs w:val="21"/>
                <w:lang w:val="en-CA"/>
              </w:rPr>
              <w:t>(2021–2023)</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2C184F" w:rsidRPr="00863226" w:rsidRDefault="002C184F" w:rsidP="00177FA8">
            <w:pPr>
              <w:jc w:val="center"/>
              <w:rPr>
                <w:b/>
                <w:bCs/>
                <w:sz w:val="21"/>
                <w:szCs w:val="21"/>
                <w:lang w:val="en-CA" w:eastAsia="en-CA"/>
              </w:rPr>
            </w:pPr>
            <w:r w:rsidRPr="00863226">
              <w:rPr>
                <w:b/>
                <w:bCs/>
                <w:sz w:val="21"/>
                <w:szCs w:val="21"/>
                <w:lang w:val="en-CA"/>
              </w:rPr>
              <w:t>Total after 2023</w:t>
            </w:r>
          </w:p>
        </w:tc>
      </w:tr>
      <w:tr w:rsidR="00863226" w:rsidRPr="00863226" w:rsidTr="00177FA8">
        <w:tc>
          <w:tcPr>
            <w:tcW w:w="1053" w:type="pct"/>
            <w:tcBorders>
              <w:top w:val="nil"/>
              <w:left w:val="single" w:sz="4" w:space="0" w:color="auto"/>
              <w:bottom w:val="single" w:sz="4" w:space="0" w:color="auto"/>
              <w:right w:val="single" w:sz="4" w:space="0" w:color="auto"/>
            </w:tcBorders>
            <w:shd w:val="clear" w:color="auto" w:fill="auto"/>
            <w:noWrap/>
            <w:hideMark/>
          </w:tcPr>
          <w:p w:rsidR="008D49DB" w:rsidRPr="00863226" w:rsidRDefault="00CD4044" w:rsidP="00177FA8">
            <w:pPr>
              <w:jc w:val="left"/>
              <w:rPr>
                <w:b/>
                <w:bCs/>
                <w:sz w:val="21"/>
                <w:szCs w:val="21"/>
                <w:lang w:val="en-CA" w:eastAsia="en-CA"/>
              </w:rPr>
            </w:pPr>
            <w:r w:rsidRPr="00863226">
              <w:rPr>
                <w:b/>
                <w:bCs/>
                <w:sz w:val="21"/>
                <w:szCs w:val="21"/>
                <w:lang w:val="en-CA" w:eastAsia="en-CA"/>
              </w:rPr>
              <w:t>T</w:t>
            </w:r>
            <w:r w:rsidR="008D49DB" w:rsidRPr="00863226">
              <w:rPr>
                <w:b/>
                <w:bCs/>
                <w:sz w:val="21"/>
                <w:szCs w:val="21"/>
                <w:lang w:val="en-CA" w:eastAsia="en-CA"/>
              </w:rPr>
              <w:t>otal</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b/>
                <w:bCs/>
                <w:sz w:val="21"/>
                <w:szCs w:val="21"/>
                <w:lang w:val="en-CA" w:eastAsia="en-CA"/>
              </w:rPr>
            </w:pPr>
            <w:r w:rsidRPr="00863226">
              <w:rPr>
                <w:b/>
                <w:bCs/>
                <w:sz w:val="21"/>
                <w:szCs w:val="21"/>
                <w:lang w:val="en-CA" w:eastAsia="en-CA"/>
              </w:rPr>
              <w:t>143,856</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b/>
                <w:bCs/>
                <w:sz w:val="21"/>
                <w:szCs w:val="21"/>
                <w:lang w:val="en-CA" w:eastAsia="en-CA"/>
              </w:rPr>
            </w:pPr>
            <w:r w:rsidRPr="00863226">
              <w:rPr>
                <w:b/>
                <w:bCs/>
                <w:sz w:val="21"/>
                <w:szCs w:val="21"/>
                <w:lang w:val="en-CA" w:eastAsia="en-CA"/>
              </w:rPr>
              <w:t>134,512</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b/>
                <w:bCs/>
                <w:sz w:val="21"/>
                <w:szCs w:val="21"/>
                <w:lang w:val="en-CA" w:eastAsia="en-CA"/>
              </w:rPr>
            </w:pPr>
            <w:r w:rsidRPr="00863226">
              <w:rPr>
                <w:b/>
                <w:bCs/>
                <w:sz w:val="21"/>
                <w:szCs w:val="21"/>
                <w:lang w:val="en-CA" w:eastAsia="en-CA"/>
              </w:rPr>
              <w:t>165,107</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b/>
                <w:bCs/>
                <w:sz w:val="21"/>
                <w:szCs w:val="21"/>
                <w:lang w:val="en-CA" w:eastAsia="en-CA"/>
              </w:rPr>
            </w:pPr>
            <w:r w:rsidRPr="00863226">
              <w:rPr>
                <w:b/>
                <w:bCs/>
                <w:sz w:val="21"/>
                <w:szCs w:val="21"/>
                <w:lang w:val="en-CA" w:eastAsia="en-CA"/>
              </w:rPr>
              <w:t>443,475</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b/>
                <w:bCs/>
                <w:sz w:val="21"/>
                <w:szCs w:val="21"/>
                <w:lang w:val="en-CA" w:eastAsia="en-CA"/>
              </w:rPr>
            </w:pPr>
            <w:r w:rsidRPr="00863226">
              <w:rPr>
                <w:b/>
                <w:bCs/>
                <w:sz w:val="21"/>
                <w:szCs w:val="21"/>
                <w:lang w:val="en-CA" w:eastAsia="en-CA"/>
              </w:rPr>
              <w:t>271,012</w:t>
            </w:r>
          </w:p>
        </w:tc>
      </w:tr>
      <w:tr w:rsidR="00863226" w:rsidRPr="00863226" w:rsidTr="00177FA8">
        <w:tc>
          <w:tcPr>
            <w:tcW w:w="1053" w:type="pct"/>
            <w:tcBorders>
              <w:top w:val="nil"/>
              <w:left w:val="single" w:sz="4" w:space="0" w:color="auto"/>
              <w:bottom w:val="single" w:sz="4" w:space="0" w:color="auto"/>
              <w:right w:val="single" w:sz="4" w:space="0" w:color="auto"/>
            </w:tcBorders>
            <w:shd w:val="clear" w:color="auto" w:fill="auto"/>
            <w:noWrap/>
            <w:hideMark/>
          </w:tcPr>
          <w:p w:rsidR="008D49DB" w:rsidRPr="00863226" w:rsidRDefault="008D49DB" w:rsidP="00177FA8">
            <w:pPr>
              <w:jc w:val="left"/>
              <w:rPr>
                <w:sz w:val="21"/>
                <w:szCs w:val="21"/>
                <w:lang w:val="en-CA" w:eastAsia="en-CA"/>
              </w:rPr>
            </w:pPr>
            <w:r w:rsidRPr="00863226">
              <w:rPr>
                <w:sz w:val="21"/>
                <w:szCs w:val="21"/>
                <w:lang w:val="en-CA" w:eastAsia="en-CA"/>
              </w:rPr>
              <w:t>Indicative budget*</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sz w:val="21"/>
                <w:szCs w:val="21"/>
                <w:lang w:val="en-CA" w:eastAsia="en-CA"/>
              </w:rPr>
            </w:pPr>
            <w:r w:rsidRPr="00863226">
              <w:rPr>
                <w:sz w:val="21"/>
                <w:szCs w:val="21"/>
                <w:lang w:val="en-CA" w:eastAsia="en-CA"/>
              </w:rPr>
              <w:t>180,000</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sz w:val="21"/>
                <w:szCs w:val="21"/>
                <w:lang w:val="en-CA" w:eastAsia="en-CA"/>
              </w:rPr>
            </w:pPr>
            <w:r w:rsidRPr="00863226">
              <w:rPr>
                <w:sz w:val="21"/>
                <w:szCs w:val="21"/>
                <w:lang w:val="en-CA" w:eastAsia="en-CA"/>
              </w:rPr>
              <w:t>180,000</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sz w:val="21"/>
                <w:szCs w:val="21"/>
                <w:lang w:val="en-CA" w:eastAsia="en-CA"/>
              </w:rPr>
            </w:pPr>
            <w:r w:rsidRPr="00863226">
              <w:rPr>
                <w:sz w:val="21"/>
                <w:szCs w:val="21"/>
                <w:lang w:val="en-CA" w:eastAsia="en-CA"/>
              </w:rPr>
              <w:t>180,000</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sz w:val="21"/>
                <w:szCs w:val="21"/>
                <w:lang w:val="en-CA" w:eastAsia="en-CA"/>
              </w:rPr>
            </w:pPr>
            <w:r w:rsidRPr="00863226">
              <w:rPr>
                <w:sz w:val="21"/>
                <w:szCs w:val="21"/>
                <w:lang w:val="en-CA" w:eastAsia="en-CA"/>
              </w:rPr>
              <w:t>540,000</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left"/>
              <w:rPr>
                <w:sz w:val="21"/>
                <w:szCs w:val="21"/>
                <w:lang w:val="en-CA" w:eastAsia="en-CA"/>
              </w:rPr>
            </w:pPr>
          </w:p>
        </w:tc>
      </w:tr>
      <w:tr w:rsidR="00863226" w:rsidRPr="00863226" w:rsidTr="00177FA8">
        <w:tc>
          <w:tcPr>
            <w:tcW w:w="1053" w:type="pct"/>
            <w:tcBorders>
              <w:top w:val="nil"/>
              <w:left w:val="single" w:sz="4" w:space="0" w:color="auto"/>
              <w:bottom w:val="single" w:sz="4" w:space="0" w:color="auto"/>
              <w:right w:val="single" w:sz="4" w:space="0" w:color="auto"/>
            </w:tcBorders>
            <w:shd w:val="clear" w:color="auto" w:fill="auto"/>
            <w:noWrap/>
            <w:hideMark/>
          </w:tcPr>
          <w:p w:rsidR="008D49DB" w:rsidRPr="00863226" w:rsidRDefault="008D49DB" w:rsidP="00177FA8">
            <w:pPr>
              <w:jc w:val="left"/>
              <w:rPr>
                <w:sz w:val="21"/>
                <w:szCs w:val="21"/>
                <w:lang w:val="en-CA" w:eastAsia="en-CA"/>
              </w:rPr>
            </w:pPr>
            <w:r w:rsidRPr="00863226">
              <w:rPr>
                <w:sz w:val="21"/>
                <w:szCs w:val="21"/>
                <w:lang w:val="en-CA" w:eastAsia="en-CA"/>
              </w:rPr>
              <w:t>Difference</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sz w:val="21"/>
                <w:szCs w:val="21"/>
              </w:rPr>
            </w:pPr>
            <w:r w:rsidRPr="00863226">
              <w:rPr>
                <w:sz w:val="21"/>
                <w:szCs w:val="21"/>
              </w:rPr>
              <w:t>(36,144)</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sz w:val="21"/>
                <w:szCs w:val="21"/>
              </w:rPr>
            </w:pPr>
            <w:r w:rsidRPr="00863226">
              <w:rPr>
                <w:sz w:val="21"/>
                <w:szCs w:val="21"/>
              </w:rPr>
              <w:t>(45,488)</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sz w:val="21"/>
                <w:szCs w:val="21"/>
              </w:rPr>
            </w:pPr>
            <w:r w:rsidRPr="00863226">
              <w:rPr>
                <w:sz w:val="21"/>
                <w:szCs w:val="21"/>
              </w:rPr>
              <w:t>(14,893)</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right"/>
              <w:rPr>
                <w:sz w:val="21"/>
                <w:szCs w:val="21"/>
              </w:rPr>
            </w:pPr>
            <w:r w:rsidRPr="00863226">
              <w:rPr>
                <w:sz w:val="21"/>
                <w:szCs w:val="21"/>
              </w:rPr>
              <w:t>(96,525)</w:t>
            </w:r>
          </w:p>
        </w:tc>
        <w:tc>
          <w:tcPr>
            <w:tcW w:w="789" w:type="pct"/>
            <w:tcBorders>
              <w:top w:val="nil"/>
              <w:left w:val="nil"/>
              <w:bottom w:val="single" w:sz="4" w:space="0" w:color="auto"/>
              <w:right w:val="single" w:sz="4" w:space="0" w:color="auto"/>
            </w:tcBorders>
            <w:shd w:val="clear" w:color="auto" w:fill="auto"/>
            <w:noWrap/>
          </w:tcPr>
          <w:p w:rsidR="008D49DB" w:rsidRPr="00863226" w:rsidRDefault="008D49DB" w:rsidP="00177FA8">
            <w:pPr>
              <w:jc w:val="left"/>
              <w:rPr>
                <w:sz w:val="21"/>
                <w:szCs w:val="21"/>
                <w:lang w:val="en-CA" w:eastAsia="en-CA"/>
              </w:rPr>
            </w:pPr>
          </w:p>
        </w:tc>
      </w:tr>
    </w:tbl>
    <w:p w:rsidR="002C184F" w:rsidRPr="00863226" w:rsidRDefault="002C184F" w:rsidP="00177FA8">
      <w:pPr>
        <w:jc w:val="left"/>
        <w:rPr>
          <w:sz w:val="20"/>
          <w:szCs w:val="20"/>
          <w:lang w:val="en-CA"/>
        </w:rPr>
      </w:pPr>
      <w:r w:rsidRPr="00863226">
        <w:rPr>
          <w:sz w:val="20"/>
          <w:szCs w:val="20"/>
          <w:lang w:val="en-CA"/>
        </w:rPr>
        <w:t>* Assumed the same level of the 2018–2020 replenishment of the Multilateral Fund.</w:t>
      </w:r>
    </w:p>
    <w:p w:rsidR="002C184F" w:rsidRPr="00863226" w:rsidRDefault="002C184F" w:rsidP="00177FA8">
      <w:pPr>
        <w:rPr>
          <w:b/>
          <w:lang w:val="en-CA"/>
        </w:rPr>
      </w:pPr>
    </w:p>
    <w:p w:rsidR="002C184F" w:rsidRPr="00863226" w:rsidRDefault="002C184F" w:rsidP="00CD4044">
      <w:pPr>
        <w:widowControl w:val="0"/>
        <w:rPr>
          <w:u w:val="single"/>
          <w:lang w:val="en-CA"/>
        </w:rPr>
      </w:pPr>
      <w:r w:rsidRPr="00863226">
        <w:rPr>
          <w:u w:val="single"/>
          <w:lang w:val="en-CA"/>
        </w:rPr>
        <w:t>Content</w:t>
      </w:r>
    </w:p>
    <w:p w:rsidR="002C184F" w:rsidRPr="00863226" w:rsidRDefault="002C184F" w:rsidP="00CD4044">
      <w:pPr>
        <w:widowControl w:val="0"/>
        <w:rPr>
          <w:lang w:val="en-CA"/>
        </w:rPr>
      </w:pPr>
    </w:p>
    <w:p w:rsidR="002C184F" w:rsidRPr="00863226" w:rsidRDefault="002C184F" w:rsidP="00CD4044">
      <w:pPr>
        <w:pStyle w:val="Heading1"/>
        <w:widowControl w:val="0"/>
        <w:rPr>
          <w:lang w:val="en-CA"/>
        </w:rPr>
      </w:pPr>
      <w:r w:rsidRPr="00863226">
        <w:rPr>
          <w:lang w:val="en-CA"/>
        </w:rPr>
        <w:t>This document presents the consolidated business plans of the Multilateral Fund for 2021–2023 and comprises the business plans for 2021–2023 of bilateral agencies,</w:t>
      </w:r>
      <w:r w:rsidRPr="00863226">
        <w:rPr>
          <w:rStyle w:val="FootnoteReference"/>
          <w:lang w:val="en-CA"/>
        </w:rPr>
        <w:footnoteReference w:id="3"/>
      </w:r>
      <w:r w:rsidRPr="00863226">
        <w:rPr>
          <w:lang w:val="en-CA"/>
        </w:rPr>
        <w:t xml:space="preserve"> and UNDP</w:t>
      </w:r>
      <w:r w:rsidR="001F3F52" w:rsidRPr="00863226">
        <w:rPr>
          <w:lang w:val="en-CA"/>
        </w:rPr>
        <w:t>,</w:t>
      </w:r>
      <w:r w:rsidRPr="00863226">
        <w:rPr>
          <w:rStyle w:val="FootnoteReference"/>
          <w:lang w:val="en-CA"/>
        </w:rPr>
        <w:footnoteReference w:id="4"/>
      </w:r>
      <w:r w:rsidRPr="00863226">
        <w:rPr>
          <w:lang w:val="en-CA"/>
        </w:rPr>
        <w:t xml:space="preserve"> UNEP</w:t>
      </w:r>
      <w:r w:rsidR="001F3F52" w:rsidRPr="00863226">
        <w:rPr>
          <w:lang w:val="en-CA"/>
        </w:rPr>
        <w:t>,</w:t>
      </w:r>
      <w:r w:rsidRPr="00863226">
        <w:rPr>
          <w:rStyle w:val="FootnoteReference"/>
          <w:lang w:val="en-CA"/>
        </w:rPr>
        <w:footnoteReference w:id="5"/>
      </w:r>
      <w:r w:rsidRPr="00863226">
        <w:rPr>
          <w:lang w:val="en-CA"/>
        </w:rPr>
        <w:t xml:space="preserve"> UNIDO</w:t>
      </w:r>
      <w:r w:rsidRPr="00863226">
        <w:rPr>
          <w:rStyle w:val="FootnoteReference"/>
          <w:lang w:val="en-CA"/>
        </w:rPr>
        <w:footnoteReference w:id="6"/>
      </w:r>
      <w:r w:rsidRPr="00863226">
        <w:rPr>
          <w:lang w:val="en-CA"/>
        </w:rPr>
        <w:t xml:space="preserve"> and </w:t>
      </w:r>
      <w:r w:rsidRPr="00863226">
        <w:rPr>
          <w:lang w:val="en-CA"/>
        </w:rPr>
        <w:lastRenderedPageBreak/>
        <w:t>the World Bank</w:t>
      </w:r>
      <w:r w:rsidRPr="00863226">
        <w:rPr>
          <w:rStyle w:val="FootnoteReference"/>
          <w:lang w:val="en-CA"/>
        </w:rPr>
        <w:footnoteReference w:id="7"/>
      </w:r>
      <w:r w:rsidRPr="00863226">
        <w:rPr>
          <w:lang w:val="en-CA"/>
        </w:rPr>
        <w:t xml:space="preserve"> submitted to the 86</w:t>
      </w:r>
      <w:r w:rsidRPr="00863226">
        <w:rPr>
          <w:vertAlign w:val="superscript"/>
          <w:lang w:val="en-CA"/>
        </w:rPr>
        <w:t>th</w:t>
      </w:r>
      <w:r w:rsidRPr="00863226">
        <w:rPr>
          <w:lang w:val="en-CA"/>
        </w:rPr>
        <w:t xml:space="preserve"> meeting. </w:t>
      </w:r>
    </w:p>
    <w:p w:rsidR="002C184F" w:rsidRPr="00863226" w:rsidRDefault="002C184F" w:rsidP="00177FA8">
      <w:pPr>
        <w:pStyle w:val="Heading1"/>
        <w:rPr>
          <w:lang w:val="en-CA"/>
        </w:rPr>
      </w:pPr>
      <w:r w:rsidRPr="00863226">
        <w:rPr>
          <w:lang w:val="en-CA"/>
        </w:rPr>
        <w:t>This document consists of the following sections:</w:t>
      </w:r>
    </w:p>
    <w:p w:rsidR="002C184F" w:rsidRPr="00863226" w:rsidRDefault="002C184F" w:rsidP="00177FA8">
      <w:pPr>
        <w:pStyle w:val="ListParagraph"/>
        <w:numPr>
          <w:ilvl w:val="0"/>
          <w:numId w:val="21"/>
        </w:numPr>
        <w:rPr>
          <w:lang w:val="en-CA"/>
        </w:rPr>
      </w:pPr>
      <w:r w:rsidRPr="00863226">
        <w:rPr>
          <w:lang w:val="en-CA"/>
        </w:rPr>
        <w:t>Resource allocation in the business plan for 2021–2023</w:t>
      </w:r>
    </w:p>
    <w:p w:rsidR="002C184F" w:rsidRPr="00863226" w:rsidRDefault="002C184F" w:rsidP="00177FA8">
      <w:pPr>
        <w:pStyle w:val="ListParagraph"/>
        <w:numPr>
          <w:ilvl w:val="0"/>
          <w:numId w:val="21"/>
        </w:numPr>
        <w:rPr>
          <w:lang w:val="en-CA"/>
        </w:rPr>
      </w:pPr>
      <w:r w:rsidRPr="00863226">
        <w:rPr>
          <w:lang w:val="en-CA"/>
        </w:rPr>
        <w:t xml:space="preserve">Secretariat’s comments </w:t>
      </w:r>
    </w:p>
    <w:p w:rsidR="002C184F" w:rsidRPr="00863226" w:rsidRDefault="002C184F" w:rsidP="00177FA8">
      <w:pPr>
        <w:pStyle w:val="ListParagraph"/>
        <w:numPr>
          <w:ilvl w:val="0"/>
          <w:numId w:val="21"/>
        </w:numPr>
        <w:rPr>
          <w:lang w:val="en-CA"/>
        </w:rPr>
      </w:pPr>
      <w:r w:rsidRPr="00863226">
        <w:rPr>
          <w:lang w:val="en-CA"/>
        </w:rPr>
        <w:t>Adjustments to the consolidated business plan of the Multilateral Fund for 2021–2023</w:t>
      </w:r>
    </w:p>
    <w:p w:rsidR="002C184F" w:rsidRPr="00863226" w:rsidRDefault="002C184F" w:rsidP="00177FA8">
      <w:pPr>
        <w:pStyle w:val="ListParagraph"/>
        <w:numPr>
          <w:ilvl w:val="0"/>
          <w:numId w:val="21"/>
        </w:numPr>
        <w:rPr>
          <w:lang w:val="en-CA"/>
        </w:rPr>
      </w:pPr>
      <w:r w:rsidRPr="00863226">
        <w:rPr>
          <w:lang w:val="en-CA"/>
        </w:rPr>
        <w:t>Other policy issues</w:t>
      </w:r>
    </w:p>
    <w:p w:rsidR="002C184F" w:rsidRPr="00863226" w:rsidRDefault="002C184F" w:rsidP="00177FA8">
      <w:pPr>
        <w:pStyle w:val="ListParagraph"/>
        <w:numPr>
          <w:ilvl w:val="0"/>
          <w:numId w:val="21"/>
        </w:numPr>
        <w:rPr>
          <w:lang w:val="en-CA"/>
        </w:rPr>
      </w:pPr>
      <w:r w:rsidRPr="00863226">
        <w:rPr>
          <w:lang w:val="en-CA"/>
        </w:rPr>
        <w:t xml:space="preserve">Recommendation </w:t>
      </w:r>
    </w:p>
    <w:p w:rsidR="002D39BC" w:rsidRPr="00863226" w:rsidRDefault="002D39BC" w:rsidP="00177FA8">
      <w:pPr>
        <w:ind w:left="720"/>
        <w:rPr>
          <w:lang w:val="en-CA"/>
        </w:rPr>
      </w:pPr>
    </w:p>
    <w:p w:rsidR="002D39BC" w:rsidRPr="00863226" w:rsidRDefault="002D39BC" w:rsidP="00177FA8">
      <w:pPr>
        <w:rPr>
          <w:b/>
          <w:lang w:val="en-CA"/>
        </w:rPr>
      </w:pPr>
      <w:r w:rsidRPr="00863226">
        <w:rPr>
          <w:b/>
          <w:lang w:val="en-CA"/>
        </w:rPr>
        <w:t>Resource allocation in the business plan for 202</w:t>
      </w:r>
      <w:r w:rsidR="00FA37EE" w:rsidRPr="00863226">
        <w:rPr>
          <w:b/>
          <w:lang w:val="en-CA"/>
        </w:rPr>
        <w:t>1</w:t>
      </w:r>
      <w:r w:rsidRPr="00863226">
        <w:rPr>
          <w:b/>
          <w:lang w:val="en-CA"/>
        </w:rPr>
        <w:t>–202</w:t>
      </w:r>
      <w:r w:rsidR="00FA37EE" w:rsidRPr="00863226">
        <w:rPr>
          <w:b/>
          <w:lang w:val="en-CA"/>
        </w:rPr>
        <w:t>3</w:t>
      </w:r>
    </w:p>
    <w:p w:rsidR="002D39BC" w:rsidRPr="00863226" w:rsidRDefault="002D39BC" w:rsidP="00177FA8">
      <w:pPr>
        <w:rPr>
          <w:lang w:val="en-CA"/>
        </w:rPr>
      </w:pPr>
    </w:p>
    <w:p w:rsidR="002D39BC" w:rsidRPr="00863226" w:rsidRDefault="002D39BC" w:rsidP="00177FA8">
      <w:pPr>
        <w:pStyle w:val="Heading1"/>
        <w:rPr>
          <w:lang w:val="en-CA"/>
        </w:rPr>
      </w:pPr>
      <w:r w:rsidRPr="00863226">
        <w:rPr>
          <w:lang w:val="en-CA"/>
        </w:rPr>
        <w:t>Table 3 presents, by year, the value of activities included in the business plan for 202</w:t>
      </w:r>
      <w:r w:rsidR="00FA37EE" w:rsidRPr="00863226">
        <w:rPr>
          <w:lang w:val="en-CA"/>
        </w:rPr>
        <w:t>1</w:t>
      </w:r>
      <w:r w:rsidRPr="00863226">
        <w:rPr>
          <w:lang w:val="en-CA"/>
        </w:rPr>
        <w:t>–202</w:t>
      </w:r>
      <w:r w:rsidR="00FA37EE" w:rsidRPr="00863226">
        <w:rPr>
          <w:lang w:val="en-CA"/>
        </w:rPr>
        <w:t>3</w:t>
      </w:r>
      <w:r w:rsidRPr="00863226">
        <w:rPr>
          <w:lang w:val="en-CA"/>
        </w:rPr>
        <w:t xml:space="preserve">. The values </w:t>
      </w:r>
      <w:r w:rsidR="0044484D" w:rsidRPr="00863226">
        <w:rPr>
          <w:lang w:val="en-CA"/>
        </w:rPr>
        <w:t>are below</w:t>
      </w:r>
      <w:r w:rsidRPr="00863226">
        <w:rPr>
          <w:lang w:val="en-CA"/>
        </w:rPr>
        <w:t xml:space="preserve"> the indicative budget by </w:t>
      </w:r>
      <w:r w:rsidR="00177FA8" w:rsidRPr="00863226">
        <w:rPr>
          <w:lang w:val="en-CA"/>
        </w:rPr>
        <w:t>US $</w:t>
      </w:r>
      <w:r w:rsidR="0044484D" w:rsidRPr="00863226">
        <w:rPr>
          <w:lang w:val="en-CA"/>
        </w:rPr>
        <w:t xml:space="preserve">96.53 </w:t>
      </w:r>
      <w:r w:rsidRPr="00863226">
        <w:rPr>
          <w:lang w:val="en-CA"/>
        </w:rPr>
        <w:t xml:space="preserve">million (i.e. </w:t>
      </w:r>
      <w:r w:rsidR="0044484D" w:rsidRPr="00863226">
        <w:rPr>
          <w:lang w:val="en-CA"/>
        </w:rPr>
        <w:t>17.9</w:t>
      </w:r>
      <w:r w:rsidRPr="00863226">
        <w:rPr>
          <w:lang w:val="en-CA"/>
        </w:rPr>
        <w:t xml:space="preserve"> per cent of the indicative budget). </w:t>
      </w:r>
    </w:p>
    <w:p w:rsidR="002D39BC" w:rsidRPr="00863226" w:rsidRDefault="002D39BC" w:rsidP="00177FA8">
      <w:pPr>
        <w:rPr>
          <w:b/>
          <w:lang w:val="en-CA"/>
        </w:rPr>
      </w:pPr>
      <w:r w:rsidRPr="00863226">
        <w:rPr>
          <w:b/>
          <w:lang w:val="en-CA"/>
        </w:rPr>
        <w:t>Table 3. Resource allocation in the business plan for 202</w:t>
      </w:r>
      <w:r w:rsidR="0044484D" w:rsidRPr="00863226">
        <w:rPr>
          <w:b/>
          <w:lang w:val="en-CA"/>
        </w:rPr>
        <w:t>1</w:t>
      </w:r>
      <w:r w:rsidRPr="00863226">
        <w:rPr>
          <w:b/>
          <w:lang w:val="en-CA"/>
        </w:rPr>
        <w:t>–202</w:t>
      </w:r>
      <w:r w:rsidR="0044484D" w:rsidRPr="00863226">
        <w:rPr>
          <w:b/>
          <w:lang w:val="en-CA"/>
        </w:rPr>
        <w:t>3</w:t>
      </w:r>
      <w:r w:rsidRPr="00863226">
        <w:rPr>
          <w:b/>
          <w:lang w:val="en-CA"/>
        </w:rPr>
        <w:t xml:space="preserve"> as submitted (</w:t>
      </w:r>
      <w:r w:rsidR="00177FA8" w:rsidRPr="00863226">
        <w:rPr>
          <w:b/>
          <w:lang w:val="en-CA"/>
        </w:rPr>
        <w:t>US $</w:t>
      </w:r>
      <w:r w:rsidRPr="00863226">
        <w:rPr>
          <w:b/>
          <w:lang w:val="en-CA"/>
        </w:rPr>
        <w:t>000)*</w:t>
      </w:r>
    </w:p>
    <w:tbl>
      <w:tblPr>
        <w:tblW w:w="9356" w:type="dxa"/>
        <w:tblInd w:w="-5" w:type="dxa"/>
        <w:tblLayout w:type="fixed"/>
        <w:tblLook w:val="04A0" w:firstRow="1" w:lastRow="0" w:firstColumn="1" w:lastColumn="0" w:noHBand="0" w:noVBand="1"/>
      </w:tblPr>
      <w:tblGrid>
        <w:gridCol w:w="3600"/>
        <w:gridCol w:w="1140"/>
        <w:gridCol w:w="1140"/>
        <w:gridCol w:w="1140"/>
        <w:gridCol w:w="1168"/>
        <w:gridCol w:w="1168"/>
      </w:tblGrid>
      <w:tr w:rsidR="00863226" w:rsidRPr="00863226" w:rsidTr="00BD1EAE">
        <w:trPr>
          <w:trHeight w:val="173"/>
          <w:tblHeader/>
        </w:trPr>
        <w:tc>
          <w:tcPr>
            <w:tcW w:w="360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44484D" w:rsidRPr="00863226" w:rsidRDefault="0044484D" w:rsidP="00177FA8">
            <w:pPr>
              <w:jc w:val="left"/>
              <w:rPr>
                <w:b/>
                <w:bCs/>
                <w:sz w:val="20"/>
                <w:szCs w:val="20"/>
                <w:lang w:val="en-CA" w:eastAsia="en-CA"/>
              </w:rPr>
            </w:pPr>
            <w:r w:rsidRPr="00863226">
              <w:rPr>
                <w:b/>
                <w:bCs/>
                <w:sz w:val="20"/>
                <w:szCs w:val="20"/>
                <w:lang w:val="en-CA" w:eastAsia="en-CA"/>
              </w:rPr>
              <w:t>Description</w:t>
            </w:r>
          </w:p>
        </w:tc>
        <w:tc>
          <w:tcPr>
            <w:tcW w:w="1140" w:type="dxa"/>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rsidR="0044484D" w:rsidRPr="00863226" w:rsidRDefault="0044484D" w:rsidP="00177FA8">
            <w:pPr>
              <w:jc w:val="center"/>
              <w:rPr>
                <w:b/>
                <w:bCs/>
                <w:sz w:val="20"/>
                <w:szCs w:val="20"/>
                <w:lang w:val="en-CA" w:eastAsia="en-CA"/>
              </w:rPr>
            </w:pPr>
            <w:r w:rsidRPr="00863226">
              <w:rPr>
                <w:b/>
                <w:bCs/>
                <w:sz w:val="20"/>
                <w:szCs w:val="20"/>
                <w:lang w:val="en-CA" w:eastAsia="en-CA"/>
              </w:rPr>
              <w:t>2021</w:t>
            </w:r>
          </w:p>
        </w:tc>
        <w:tc>
          <w:tcPr>
            <w:tcW w:w="1140" w:type="dxa"/>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rsidR="0044484D" w:rsidRPr="00863226" w:rsidRDefault="0044484D" w:rsidP="00177FA8">
            <w:pPr>
              <w:jc w:val="center"/>
              <w:rPr>
                <w:b/>
                <w:bCs/>
                <w:sz w:val="20"/>
                <w:szCs w:val="20"/>
                <w:lang w:val="en-CA" w:eastAsia="en-CA"/>
              </w:rPr>
            </w:pPr>
            <w:r w:rsidRPr="00863226">
              <w:rPr>
                <w:b/>
                <w:bCs/>
                <w:sz w:val="20"/>
                <w:szCs w:val="20"/>
                <w:lang w:val="en-CA" w:eastAsia="en-CA"/>
              </w:rPr>
              <w:t>2022</w:t>
            </w:r>
          </w:p>
        </w:tc>
        <w:tc>
          <w:tcPr>
            <w:tcW w:w="1140" w:type="dxa"/>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rsidR="0044484D" w:rsidRPr="00863226" w:rsidRDefault="0044484D" w:rsidP="00177FA8">
            <w:pPr>
              <w:jc w:val="center"/>
              <w:rPr>
                <w:b/>
                <w:bCs/>
                <w:sz w:val="20"/>
                <w:szCs w:val="20"/>
                <w:lang w:val="en-CA" w:eastAsia="en-CA"/>
              </w:rPr>
            </w:pPr>
            <w:r w:rsidRPr="00863226">
              <w:rPr>
                <w:b/>
                <w:bCs/>
                <w:sz w:val="20"/>
                <w:szCs w:val="20"/>
                <w:lang w:val="en-CA" w:eastAsia="en-CA"/>
              </w:rPr>
              <w:t>2023</w:t>
            </w:r>
          </w:p>
        </w:tc>
        <w:tc>
          <w:tcPr>
            <w:tcW w:w="1168" w:type="dxa"/>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rsidR="0044484D" w:rsidRPr="00863226" w:rsidRDefault="0044484D" w:rsidP="00177FA8">
            <w:pPr>
              <w:jc w:val="center"/>
              <w:rPr>
                <w:b/>
                <w:bCs/>
                <w:sz w:val="20"/>
                <w:szCs w:val="20"/>
                <w:lang w:val="en-CA" w:eastAsia="en-CA"/>
              </w:rPr>
            </w:pPr>
            <w:r w:rsidRPr="00863226">
              <w:rPr>
                <w:b/>
                <w:bCs/>
                <w:sz w:val="20"/>
                <w:szCs w:val="20"/>
                <w:lang w:val="en-CA" w:eastAsia="en-CA"/>
              </w:rPr>
              <w:t xml:space="preserve">Total </w:t>
            </w:r>
          </w:p>
          <w:p w:rsidR="0044484D" w:rsidRPr="00863226" w:rsidRDefault="0044484D" w:rsidP="00177FA8">
            <w:pPr>
              <w:jc w:val="center"/>
              <w:rPr>
                <w:b/>
                <w:bCs/>
                <w:sz w:val="20"/>
                <w:szCs w:val="20"/>
                <w:lang w:val="en-CA" w:eastAsia="en-CA"/>
              </w:rPr>
            </w:pPr>
            <w:r w:rsidRPr="00863226">
              <w:rPr>
                <w:b/>
                <w:bCs/>
                <w:sz w:val="20"/>
                <w:szCs w:val="20"/>
                <w:lang w:val="en-CA" w:eastAsia="en-CA"/>
              </w:rPr>
              <w:t>(2021–2023)</w:t>
            </w:r>
          </w:p>
        </w:tc>
        <w:tc>
          <w:tcPr>
            <w:tcW w:w="1168" w:type="dxa"/>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rsidR="0044484D" w:rsidRPr="00863226" w:rsidRDefault="0044484D" w:rsidP="00177FA8">
            <w:pPr>
              <w:jc w:val="center"/>
              <w:rPr>
                <w:b/>
                <w:bCs/>
                <w:sz w:val="20"/>
                <w:szCs w:val="20"/>
                <w:lang w:val="en-CA" w:eastAsia="en-CA"/>
              </w:rPr>
            </w:pPr>
            <w:r w:rsidRPr="00863226">
              <w:rPr>
                <w:b/>
                <w:bCs/>
                <w:sz w:val="20"/>
                <w:szCs w:val="20"/>
                <w:lang w:val="en-CA" w:eastAsia="en-CA"/>
              </w:rPr>
              <w:t>Total after 2023</w:t>
            </w:r>
          </w:p>
        </w:tc>
      </w:tr>
      <w:tr w:rsidR="00863226" w:rsidRPr="00863226" w:rsidTr="00BD1EAE">
        <w:trPr>
          <w:trHeight w:val="58"/>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b/>
                <w:bCs/>
                <w:sz w:val="20"/>
                <w:szCs w:val="20"/>
                <w:lang w:val="en-CA" w:eastAsia="en-CA"/>
              </w:rPr>
            </w:pPr>
            <w:r w:rsidRPr="00863226">
              <w:rPr>
                <w:b/>
                <w:bCs/>
                <w:sz w:val="20"/>
                <w:szCs w:val="20"/>
                <w:lang w:val="en-CA" w:eastAsia="en-CA"/>
              </w:rPr>
              <w:t>HCFC activities</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Approved HPMPs</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70,556</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25,915</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47,590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144,061</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81,376</w:t>
            </w:r>
          </w:p>
        </w:tc>
      </w:tr>
      <w:tr w:rsidR="00863226" w:rsidRPr="00863226" w:rsidTr="00BD1EAE">
        <w:trPr>
          <w:trHeight w:val="214"/>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HCFC production project preparation (PRP) – stage I</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128</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128</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HCFC production – stage I</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1,070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2,140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2,140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5,350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r>
      <w:tr w:rsidR="00863226" w:rsidRPr="00863226" w:rsidTr="00BD1EAE">
        <w:trPr>
          <w:trHeight w:val="69"/>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HCFC production – stage II</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23,232</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23,232</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23,232</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HPMP PRP – stage II</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112</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104</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216</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34</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HPMP stage II</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15,997</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4,052</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12,362</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32,411</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46,604</w:t>
            </w:r>
          </w:p>
        </w:tc>
      </w:tr>
      <w:tr w:rsidR="00863226" w:rsidRPr="00863226" w:rsidTr="00BD1EAE">
        <w:trPr>
          <w:trHeight w:val="65"/>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HPMP PRP – stage III</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1,124</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709</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258</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2,091</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HPMP stage III</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3,549</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18,336</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37,887</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59,772</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102,145</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HPMP verification</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589</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589</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589</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1,766</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HCFC technical assistance</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990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990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r>
      <w:tr w:rsidR="00863226" w:rsidRPr="00863226" w:rsidTr="00BD1EAE">
        <w:trPr>
          <w:trHeight w:val="93"/>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b/>
                <w:bCs/>
                <w:sz w:val="20"/>
                <w:szCs w:val="20"/>
                <w:lang w:val="en-CA" w:eastAsia="en-CA"/>
              </w:rPr>
            </w:pPr>
            <w:r w:rsidRPr="00863226">
              <w:rPr>
                <w:b/>
                <w:bCs/>
                <w:sz w:val="20"/>
                <w:szCs w:val="20"/>
                <w:lang w:val="en-CA" w:eastAsia="en-CA"/>
              </w:rPr>
              <w:t>HCFC activities subtotal</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b/>
                <w:bCs/>
                <w:sz w:val="20"/>
                <w:szCs w:val="20"/>
                <w:lang w:val="en-CA" w:eastAsia="en-CA"/>
              </w:rPr>
            </w:pPr>
            <w:r w:rsidRPr="00863226">
              <w:rPr>
                <w:b/>
                <w:bCs/>
                <w:sz w:val="20"/>
                <w:szCs w:val="20"/>
                <w:lang w:val="en-CA" w:eastAsia="en-CA"/>
              </w:rPr>
              <w:t>94,115</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b/>
                <w:bCs/>
                <w:sz w:val="20"/>
                <w:szCs w:val="20"/>
                <w:lang w:val="en-CA" w:eastAsia="en-CA"/>
              </w:rPr>
            </w:pPr>
            <w:r w:rsidRPr="00863226">
              <w:rPr>
                <w:b/>
                <w:bCs/>
                <w:sz w:val="20"/>
                <w:szCs w:val="20"/>
                <w:lang w:val="en-CA" w:eastAsia="en-CA"/>
              </w:rPr>
              <w:t>75,077</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b/>
                <w:bCs/>
                <w:sz w:val="20"/>
                <w:szCs w:val="20"/>
                <w:lang w:val="en-CA" w:eastAsia="en-CA"/>
              </w:rPr>
            </w:pPr>
            <w:r w:rsidRPr="00863226">
              <w:rPr>
                <w:b/>
                <w:bCs/>
                <w:sz w:val="20"/>
                <w:szCs w:val="20"/>
                <w:lang w:val="en-CA" w:eastAsia="en-CA"/>
              </w:rPr>
              <w:t>100,825</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b/>
                <w:bCs/>
                <w:sz w:val="20"/>
                <w:szCs w:val="20"/>
                <w:lang w:val="en-CA" w:eastAsia="en-CA"/>
              </w:rPr>
            </w:pPr>
            <w:r w:rsidRPr="00863226">
              <w:rPr>
                <w:b/>
                <w:bCs/>
                <w:sz w:val="20"/>
                <w:szCs w:val="20"/>
                <w:lang w:val="en-CA" w:eastAsia="en-CA"/>
              </w:rPr>
              <w:t>270,017</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b/>
                <w:bCs/>
                <w:sz w:val="20"/>
                <w:szCs w:val="20"/>
                <w:lang w:val="en-CA" w:eastAsia="en-CA"/>
              </w:rPr>
            </w:pPr>
            <w:r w:rsidRPr="00863226">
              <w:rPr>
                <w:b/>
                <w:bCs/>
                <w:sz w:val="20"/>
                <w:szCs w:val="20"/>
                <w:lang w:val="en-CA" w:eastAsia="en-CA"/>
              </w:rPr>
              <w:t>253,392</w:t>
            </w:r>
          </w:p>
        </w:tc>
      </w:tr>
      <w:tr w:rsidR="00863226" w:rsidRPr="00863226" w:rsidTr="00BD1EAE">
        <w:trPr>
          <w:trHeight w:val="58"/>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b/>
                <w:bCs/>
                <w:sz w:val="20"/>
                <w:szCs w:val="20"/>
                <w:lang w:val="en-CA" w:eastAsia="en-CA"/>
              </w:rPr>
            </w:pPr>
            <w:r w:rsidRPr="00863226">
              <w:rPr>
                <w:b/>
                <w:bCs/>
                <w:sz w:val="20"/>
                <w:szCs w:val="20"/>
                <w:lang w:val="en-CA" w:eastAsia="en-CA"/>
              </w:rPr>
              <w:t>HFC activities</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 xml:space="preserve">HFC </w:t>
            </w:r>
            <w:r w:rsidR="00DE38D2" w:rsidRPr="00863226">
              <w:rPr>
                <w:sz w:val="20"/>
                <w:szCs w:val="20"/>
                <w:lang w:val="en-CA" w:eastAsia="en-CA"/>
              </w:rPr>
              <w:t>–</w:t>
            </w:r>
            <w:r w:rsidRPr="00863226">
              <w:rPr>
                <w:sz w:val="20"/>
                <w:szCs w:val="20"/>
                <w:lang w:val="en-CA" w:eastAsia="en-CA"/>
              </w:rPr>
              <w:t xml:space="preserve"> demonstration</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57</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57</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r>
      <w:tr w:rsidR="00863226" w:rsidRPr="00863226" w:rsidTr="00BD1EAE">
        <w:trPr>
          <w:trHeight w:val="75"/>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HFC – enabling activities</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268</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214</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482</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HFC – investment</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3,531</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3,531</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HFC phase-down plan – PRP</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7,560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4,094</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377</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12,031</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r>
      <w:tr w:rsidR="00863226" w:rsidRPr="00863226" w:rsidTr="00BD1EAE">
        <w:trPr>
          <w:trHeight w:val="71"/>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HFC phase-down plan</w:t>
            </w:r>
            <w:r w:rsidR="0093409F" w:rsidRPr="00863226">
              <w:rPr>
                <w:sz w:val="20"/>
                <w:szCs w:val="20"/>
                <w:lang w:val="en-CA" w:eastAsia="en-CA"/>
              </w:rPr>
              <w:t>s</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22,918</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24,512</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47,430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16,467</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 xml:space="preserve">HFC </w:t>
            </w:r>
            <w:r w:rsidR="00DE38D2" w:rsidRPr="00863226">
              <w:rPr>
                <w:sz w:val="20"/>
                <w:szCs w:val="20"/>
                <w:lang w:val="en-CA" w:eastAsia="en-CA"/>
              </w:rPr>
              <w:t>–</w:t>
            </w:r>
            <w:r w:rsidRPr="00863226">
              <w:rPr>
                <w:sz w:val="20"/>
                <w:szCs w:val="20"/>
                <w:lang w:val="en-CA" w:eastAsia="en-CA"/>
              </w:rPr>
              <w:t xml:space="preserve"> technical assistance</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678</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678</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678</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b/>
                <w:bCs/>
                <w:sz w:val="20"/>
                <w:szCs w:val="20"/>
                <w:lang w:val="en-CA" w:eastAsia="en-CA"/>
              </w:rPr>
            </w:pPr>
            <w:r w:rsidRPr="00863226">
              <w:rPr>
                <w:b/>
                <w:bCs/>
                <w:sz w:val="20"/>
                <w:szCs w:val="20"/>
                <w:lang w:val="en-CA" w:eastAsia="en-CA"/>
              </w:rPr>
              <w:t>HFC activities subtotal</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b/>
                <w:bCs/>
                <w:sz w:val="20"/>
                <w:szCs w:val="20"/>
                <w:lang w:val="en-CA" w:eastAsia="en-CA"/>
              </w:rPr>
            </w:pPr>
            <w:r w:rsidRPr="00863226">
              <w:rPr>
                <w:b/>
                <w:bCs/>
                <w:sz w:val="20"/>
                <w:szCs w:val="20"/>
                <w:lang w:val="en-CA" w:eastAsia="en-CA"/>
              </w:rPr>
              <w:t>11,415</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b/>
                <w:bCs/>
                <w:sz w:val="20"/>
                <w:szCs w:val="20"/>
                <w:lang w:val="en-CA" w:eastAsia="en-CA"/>
              </w:rPr>
            </w:pPr>
            <w:r w:rsidRPr="00863226">
              <w:rPr>
                <w:b/>
                <w:bCs/>
                <w:sz w:val="20"/>
                <w:szCs w:val="20"/>
                <w:lang w:val="en-CA" w:eastAsia="en-CA"/>
              </w:rPr>
              <w:t>27,904</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b/>
                <w:bCs/>
                <w:sz w:val="20"/>
                <w:szCs w:val="20"/>
                <w:lang w:val="en-CA" w:eastAsia="en-CA"/>
              </w:rPr>
            </w:pPr>
            <w:r w:rsidRPr="00863226">
              <w:rPr>
                <w:b/>
                <w:bCs/>
                <w:sz w:val="20"/>
                <w:szCs w:val="20"/>
                <w:lang w:val="en-CA" w:eastAsia="en-CA"/>
              </w:rPr>
              <w:t>24,889</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b/>
                <w:bCs/>
                <w:sz w:val="20"/>
                <w:szCs w:val="20"/>
                <w:lang w:val="en-CA" w:eastAsia="en-CA"/>
              </w:rPr>
            </w:pPr>
            <w:r w:rsidRPr="00863226">
              <w:rPr>
                <w:b/>
                <w:bCs/>
                <w:sz w:val="20"/>
                <w:szCs w:val="20"/>
                <w:lang w:val="en-CA" w:eastAsia="en-CA"/>
              </w:rPr>
              <w:t>64,208</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b/>
                <w:bCs/>
                <w:sz w:val="20"/>
                <w:szCs w:val="20"/>
                <w:lang w:val="en-CA" w:eastAsia="en-CA"/>
              </w:rPr>
            </w:pPr>
            <w:r w:rsidRPr="00863226">
              <w:rPr>
                <w:b/>
                <w:bCs/>
                <w:sz w:val="20"/>
                <w:szCs w:val="20"/>
                <w:lang w:val="en-CA" w:eastAsia="en-CA"/>
              </w:rPr>
              <w:t>17,145</w:t>
            </w:r>
          </w:p>
        </w:tc>
      </w:tr>
      <w:tr w:rsidR="00863226" w:rsidRPr="00863226" w:rsidTr="00BD1EAE">
        <w:trPr>
          <w:trHeight w:val="58"/>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b/>
                <w:bCs/>
                <w:sz w:val="20"/>
                <w:szCs w:val="20"/>
                <w:lang w:val="en-CA" w:eastAsia="en-CA"/>
              </w:rPr>
            </w:pPr>
            <w:r w:rsidRPr="00863226">
              <w:rPr>
                <w:b/>
                <w:bCs/>
                <w:sz w:val="20"/>
                <w:szCs w:val="20"/>
                <w:lang w:val="en-CA" w:eastAsia="en-CA"/>
              </w:rPr>
              <w:t>Standard activities</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E1637" w:rsidRPr="00863226" w:rsidRDefault="004E1637" w:rsidP="00177FA8">
            <w:pPr>
              <w:jc w:val="left"/>
              <w:rPr>
                <w:sz w:val="20"/>
                <w:szCs w:val="20"/>
                <w:lang w:val="en-CA" w:eastAsia="en-CA"/>
              </w:rPr>
            </w:pPr>
            <w:r w:rsidRPr="00863226">
              <w:rPr>
                <w:sz w:val="20"/>
                <w:szCs w:val="20"/>
                <w:lang w:val="en-CA" w:eastAsia="en-CA"/>
              </w:rPr>
              <w:t>Institutional strengthening (IS)</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E1637" w:rsidRPr="00863226" w:rsidRDefault="004E1637" w:rsidP="00177FA8">
            <w:pPr>
              <w:jc w:val="right"/>
              <w:rPr>
                <w:sz w:val="20"/>
                <w:szCs w:val="20"/>
                <w:lang w:val="en-CA" w:eastAsia="en-CA"/>
              </w:rPr>
            </w:pPr>
            <w:r w:rsidRPr="00863226">
              <w:rPr>
                <w:sz w:val="20"/>
                <w:szCs w:val="20"/>
                <w:lang w:val="en-CA" w:eastAsia="en-CA"/>
              </w:rPr>
              <w:t>14,146</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E1637" w:rsidRPr="00863226" w:rsidRDefault="004E1637" w:rsidP="00177FA8">
            <w:pPr>
              <w:jc w:val="right"/>
              <w:rPr>
                <w:sz w:val="20"/>
                <w:szCs w:val="20"/>
                <w:lang w:val="en-CA" w:eastAsia="en-CA"/>
              </w:rPr>
            </w:pPr>
            <w:r w:rsidRPr="00863226">
              <w:rPr>
                <w:sz w:val="20"/>
                <w:szCs w:val="20"/>
                <w:lang w:val="en-CA" w:eastAsia="en-CA"/>
              </w:rPr>
              <w:t>6,825</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E1637" w:rsidRPr="00863226" w:rsidRDefault="004E1637" w:rsidP="00177FA8">
            <w:pPr>
              <w:jc w:val="right"/>
              <w:rPr>
                <w:sz w:val="20"/>
                <w:szCs w:val="20"/>
                <w:lang w:val="en-CA" w:eastAsia="en-CA"/>
              </w:rPr>
            </w:pPr>
            <w:r w:rsidRPr="00863226">
              <w:rPr>
                <w:sz w:val="20"/>
                <w:szCs w:val="20"/>
                <w:lang w:val="en-CA" w:eastAsia="en-CA"/>
              </w:rPr>
              <w:t>14,146</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E1637" w:rsidRPr="00863226" w:rsidRDefault="004E1637" w:rsidP="00177FA8">
            <w:pPr>
              <w:jc w:val="right"/>
              <w:rPr>
                <w:sz w:val="20"/>
                <w:szCs w:val="20"/>
                <w:lang w:val="en-CA" w:eastAsia="en-CA"/>
              </w:rPr>
            </w:pPr>
            <w:r w:rsidRPr="00863226">
              <w:rPr>
                <w:sz w:val="20"/>
                <w:szCs w:val="20"/>
                <w:lang w:val="en-CA" w:eastAsia="en-CA"/>
              </w:rPr>
              <w:t>35,118</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E1637" w:rsidRPr="00863226" w:rsidRDefault="004E1637" w:rsidP="00177FA8">
            <w:pPr>
              <w:jc w:val="right"/>
              <w:rPr>
                <w:sz w:val="20"/>
                <w:szCs w:val="20"/>
                <w:lang w:val="en-CA" w:eastAsia="en-CA"/>
              </w:rPr>
            </w:pPr>
            <w:r w:rsidRPr="00863226">
              <w:rPr>
                <w:sz w:val="20"/>
                <w:szCs w:val="20"/>
                <w:lang w:val="en-CA" w:eastAsia="en-CA"/>
              </w:rPr>
              <w:t>475</w:t>
            </w:r>
          </w:p>
        </w:tc>
      </w:tr>
      <w:tr w:rsidR="00863226" w:rsidRPr="00863226" w:rsidTr="00BD1EAE">
        <w:trPr>
          <w:trHeight w:val="99"/>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Compliance Assistance Programme (CAP)</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11,095</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11,428</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11,771</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34,294</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r>
      <w:tr w:rsidR="00863226" w:rsidRPr="00863226" w:rsidTr="00BD1EAE">
        <w:trPr>
          <w:trHeight w:val="63"/>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left"/>
              <w:rPr>
                <w:sz w:val="20"/>
                <w:szCs w:val="20"/>
                <w:lang w:val="en-CA" w:eastAsia="en-CA"/>
              </w:rPr>
            </w:pPr>
            <w:r w:rsidRPr="00863226">
              <w:rPr>
                <w:sz w:val="20"/>
                <w:szCs w:val="20"/>
                <w:lang w:val="en-CA" w:eastAsia="en-CA"/>
              </w:rPr>
              <w:t>Core unit</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6,003</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6,045</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6,087</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18,135</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177FA8">
            <w:pPr>
              <w:jc w:val="right"/>
              <w:rPr>
                <w:sz w:val="20"/>
                <w:szCs w:val="20"/>
                <w:lang w:val="en-CA" w:eastAsia="en-CA"/>
              </w:rPr>
            </w:pPr>
            <w:r w:rsidRPr="00863226">
              <w:rPr>
                <w:sz w:val="20"/>
                <w:szCs w:val="20"/>
                <w:lang w:val="en-CA" w:eastAsia="en-CA"/>
              </w:rPr>
              <w:t>0</w:t>
            </w:r>
          </w:p>
        </w:tc>
      </w:tr>
      <w:tr w:rsidR="00863226" w:rsidRPr="00863226" w:rsidTr="00BD1EAE">
        <w:trPr>
          <w:trHeight w:val="264"/>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left"/>
              <w:rPr>
                <w:sz w:val="20"/>
                <w:szCs w:val="20"/>
                <w:lang w:val="en-CA" w:eastAsia="en-CA"/>
              </w:rPr>
            </w:pPr>
            <w:r w:rsidRPr="00863226">
              <w:rPr>
                <w:sz w:val="20"/>
                <w:szCs w:val="20"/>
                <w:lang w:val="en-CA" w:eastAsia="en-CA"/>
              </w:rPr>
              <w:t>Secretariat, Executive Committee, and Monitoring and Evaluation costs minus Canadian counterpart</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6,582</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6,732</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6,888</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20,202</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0</w:t>
            </w:r>
          </w:p>
        </w:tc>
      </w:tr>
      <w:tr w:rsidR="00863226" w:rsidRPr="00863226" w:rsidTr="00BD1EAE">
        <w:trPr>
          <w:trHeight w:val="79"/>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left"/>
              <w:rPr>
                <w:sz w:val="20"/>
                <w:szCs w:val="20"/>
                <w:lang w:val="en-CA" w:eastAsia="en-CA"/>
              </w:rPr>
            </w:pPr>
            <w:r w:rsidRPr="00863226">
              <w:rPr>
                <w:sz w:val="20"/>
                <w:szCs w:val="20"/>
                <w:lang w:val="en-CA" w:eastAsia="en-CA"/>
              </w:rPr>
              <w:t>Treasurer</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500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500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500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1,500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0</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left"/>
              <w:rPr>
                <w:b/>
                <w:bCs/>
                <w:sz w:val="20"/>
                <w:szCs w:val="20"/>
                <w:lang w:val="en-CA" w:eastAsia="en-CA"/>
              </w:rPr>
            </w:pPr>
            <w:r w:rsidRPr="00863226">
              <w:rPr>
                <w:b/>
                <w:bCs/>
                <w:sz w:val="20"/>
                <w:szCs w:val="20"/>
                <w:lang w:val="en-CA" w:eastAsia="en-CA"/>
              </w:rPr>
              <w:t>Standard activities subtotal</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b/>
                <w:bCs/>
                <w:sz w:val="20"/>
                <w:szCs w:val="20"/>
                <w:lang w:val="en-CA" w:eastAsia="en-CA"/>
              </w:rPr>
            </w:pPr>
            <w:r w:rsidRPr="00863226">
              <w:rPr>
                <w:b/>
                <w:bCs/>
                <w:sz w:val="20"/>
                <w:szCs w:val="20"/>
                <w:lang w:val="en-CA" w:eastAsia="en-CA"/>
              </w:rPr>
              <w:t>38,326</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b/>
                <w:bCs/>
                <w:sz w:val="20"/>
                <w:szCs w:val="20"/>
                <w:lang w:val="en-CA" w:eastAsia="en-CA"/>
              </w:rPr>
            </w:pPr>
            <w:r w:rsidRPr="00863226">
              <w:rPr>
                <w:b/>
                <w:bCs/>
                <w:sz w:val="20"/>
                <w:szCs w:val="20"/>
                <w:lang w:val="en-CA" w:eastAsia="en-CA"/>
              </w:rPr>
              <w:t>31,531</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b/>
                <w:bCs/>
                <w:sz w:val="20"/>
                <w:szCs w:val="20"/>
                <w:lang w:val="en-CA" w:eastAsia="en-CA"/>
              </w:rPr>
            </w:pPr>
            <w:r w:rsidRPr="00863226">
              <w:rPr>
                <w:b/>
                <w:bCs/>
                <w:sz w:val="20"/>
                <w:szCs w:val="20"/>
                <w:lang w:val="en-CA" w:eastAsia="en-CA"/>
              </w:rPr>
              <w:t>39,392</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b/>
                <w:bCs/>
                <w:sz w:val="20"/>
                <w:szCs w:val="20"/>
                <w:lang w:val="en-CA" w:eastAsia="en-CA"/>
              </w:rPr>
            </w:pPr>
            <w:r w:rsidRPr="00863226">
              <w:rPr>
                <w:b/>
                <w:bCs/>
                <w:sz w:val="20"/>
                <w:szCs w:val="20"/>
                <w:lang w:val="en-CA" w:eastAsia="en-CA"/>
              </w:rPr>
              <w:t>109,249</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b/>
                <w:bCs/>
                <w:sz w:val="20"/>
                <w:szCs w:val="20"/>
                <w:lang w:val="en-CA" w:eastAsia="en-CA"/>
              </w:rPr>
            </w:pPr>
            <w:r w:rsidRPr="00863226">
              <w:rPr>
                <w:b/>
                <w:bCs/>
                <w:sz w:val="20"/>
                <w:szCs w:val="20"/>
                <w:lang w:val="en-CA" w:eastAsia="en-CA"/>
              </w:rPr>
              <w:t>475</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FC0BEF" w:rsidP="00E474F2">
            <w:pPr>
              <w:jc w:val="left"/>
              <w:rPr>
                <w:b/>
                <w:bCs/>
                <w:sz w:val="20"/>
                <w:szCs w:val="20"/>
                <w:lang w:val="en-CA" w:eastAsia="en-CA"/>
              </w:rPr>
            </w:pPr>
            <w:r w:rsidRPr="00863226">
              <w:rPr>
                <w:b/>
                <w:bCs/>
                <w:sz w:val="20"/>
                <w:szCs w:val="20"/>
                <w:lang w:val="en-CA" w:eastAsia="en-CA"/>
              </w:rPr>
              <w:t>T</w:t>
            </w:r>
            <w:r w:rsidR="0044484D" w:rsidRPr="00863226">
              <w:rPr>
                <w:b/>
                <w:bCs/>
                <w:sz w:val="20"/>
                <w:szCs w:val="20"/>
                <w:lang w:val="en-CA" w:eastAsia="en-CA"/>
              </w:rPr>
              <w:t>otal</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b/>
                <w:bCs/>
                <w:sz w:val="20"/>
                <w:szCs w:val="20"/>
                <w:lang w:val="en-CA" w:eastAsia="en-CA"/>
              </w:rPr>
            </w:pPr>
            <w:r w:rsidRPr="00863226">
              <w:rPr>
                <w:b/>
                <w:bCs/>
                <w:sz w:val="20"/>
                <w:szCs w:val="20"/>
                <w:lang w:val="en-CA" w:eastAsia="en-CA"/>
              </w:rPr>
              <w:t>143,856</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b/>
                <w:bCs/>
                <w:sz w:val="20"/>
                <w:szCs w:val="20"/>
                <w:lang w:val="en-CA" w:eastAsia="en-CA"/>
              </w:rPr>
            </w:pPr>
            <w:r w:rsidRPr="00863226">
              <w:rPr>
                <w:b/>
                <w:bCs/>
                <w:sz w:val="20"/>
                <w:szCs w:val="20"/>
                <w:lang w:val="en-CA" w:eastAsia="en-CA"/>
              </w:rPr>
              <w:t>134,512</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b/>
                <w:bCs/>
                <w:sz w:val="20"/>
                <w:szCs w:val="20"/>
                <w:lang w:val="en-CA" w:eastAsia="en-CA"/>
              </w:rPr>
            </w:pPr>
            <w:r w:rsidRPr="00863226">
              <w:rPr>
                <w:b/>
                <w:bCs/>
                <w:sz w:val="20"/>
                <w:szCs w:val="20"/>
                <w:lang w:val="en-CA" w:eastAsia="en-CA"/>
              </w:rPr>
              <w:t>165,107</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b/>
                <w:bCs/>
                <w:sz w:val="20"/>
                <w:szCs w:val="20"/>
                <w:lang w:val="en-CA" w:eastAsia="en-CA"/>
              </w:rPr>
            </w:pPr>
            <w:r w:rsidRPr="00863226">
              <w:rPr>
                <w:b/>
                <w:bCs/>
                <w:sz w:val="20"/>
                <w:szCs w:val="20"/>
                <w:lang w:val="en-CA" w:eastAsia="en-CA"/>
              </w:rPr>
              <w:t>443,475</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b/>
                <w:bCs/>
                <w:sz w:val="20"/>
                <w:szCs w:val="20"/>
                <w:lang w:val="en-CA" w:eastAsia="en-CA"/>
              </w:rPr>
            </w:pPr>
            <w:r w:rsidRPr="00863226">
              <w:rPr>
                <w:b/>
                <w:bCs/>
                <w:sz w:val="20"/>
                <w:szCs w:val="20"/>
                <w:lang w:val="en-CA" w:eastAsia="en-CA"/>
              </w:rPr>
              <w:t>271,012</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left"/>
              <w:rPr>
                <w:sz w:val="20"/>
                <w:szCs w:val="20"/>
                <w:lang w:val="en-CA" w:eastAsia="en-CA"/>
              </w:rPr>
            </w:pPr>
            <w:r w:rsidRPr="00863226">
              <w:rPr>
                <w:sz w:val="20"/>
                <w:szCs w:val="20"/>
                <w:lang w:val="en-CA" w:eastAsia="en-CA"/>
              </w:rPr>
              <w:t>Indicative budget</w:t>
            </w:r>
            <w:r w:rsidR="00185677" w:rsidRPr="00863226">
              <w:rPr>
                <w:sz w:val="20"/>
                <w:szCs w:val="20"/>
                <w:lang w:val="en-CA" w:eastAsia="en-CA"/>
              </w:rPr>
              <w:t>**</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180,000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180,000</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180,000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right"/>
              <w:rPr>
                <w:sz w:val="20"/>
                <w:szCs w:val="20"/>
                <w:lang w:val="en-CA" w:eastAsia="en-CA"/>
              </w:rPr>
            </w:pPr>
            <w:r w:rsidRPr="00863226">
              <w:rPr>
                <w:sz w:val="20"/>
                <w:szCs w:val="20"/>
                <w:lang w:val="en-CA" w:eastAsia="en-CA"/>
              </w:rPr>
              <w:t>540,000</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left"/>
              <w:rPr>
                <w:sz w:val="20"/>
                <w:szCs w:val="20"/>
                <w:lang w:val="en-CA" w:eastAsia="en-CA"/>
              </w:rPr>
            </w:pPr>
            <w:r w:rsidRPr="00863226">
              <w:rPr>
                <w:sz w:val="20"/>
                <w:szCs w:val="20"/>
                <w:lang w:val="en-CA" w:eastAsia="en-CA"/>
              </w:rPr>
              <w:t> </w:t>
            </w:r>
          </w:p>
        </w:tc>
      </w:tr>
      <w:tr w:rsidR="00863226" w:rsidRPr="00863226" w:rsidTr="00BD1EAE">
        <w:trPr>
          <w:trHeight w:val="58"/>
        </w:trPr>
        <w:tc>
          <w:tcPr>
            <w:tcW w:w="360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left"/>
              <w:rPr>
                <w:sz w:val="20"/>
                <w:szCs w:val="20"/>
                <w:lang w:val="en-CA" w:eastAsia="en-CA"/>
              </w:rPr>
            </w:pPr>
            <w:r w:rsidRPr="00863226">
              <w:rPr>
                <w:sz w:val="20"/>
                <w:szCs w:val="20"/>
                <w:lang w:val="en-CA" w:eastAsia="en-CA"/>
              </w:rPr>
              <w:t>Difference</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8E4124" w:rsidP="00E474F2">
            <w:pPr>
              <w:jc w:val="right"/>
              <w:rPr>
                <w:sz w:val="20"/>
                <w:szCs w:val="20"/>
                <w:lang w:val="en-CA" w:eastAsia="en-CA"/>
              </w:rPr>
            </w:pPr>
            <w:r w:rsidRPr="00863226">
              <w:rPr>
                <w:sz w:val="20"/>
                <w:szCs w:val="20"/>
                <w:lang w:val="en-CA" w:eastAsia="en-CA"/>
              </w:rPr>
              <w:t>(</w:t>
            </w:r>
            <w:r w:rsidR="0044484D" w:rsidRPr="00863226">
              <w:rPr>
                <w:sz w:val="20"/>
                <w:szCs w:val="20"/>
                <w:lang w:val="en-CA" w:eastAsia="en-CA"/>
              </w:rPr>
              <w:t>36,144</w:t>
            </w:r>
            <w:r w:rsidRPr="00863226">
              <w:rPr>
                <w:sz w:val="20"/>
                <w:szCs w:val="20"/>
                <w:lang w:val="en-CA" w:eastAsia="en-CA"/>
              </w:rPr>
              <w:t>)</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8E4124" w:rsidP="00E474F2">
            <w:pPr>
              <w:jc w:val="right"/>
              <w:rPr>
                <w:sz w:val="20"/>
                <w:szCs w:val="20"/>
                <w:lang w:val="en-CA" w:eastAsia="en-CA"/>
              </w:rPr>
            </w:pPr>
            <w:r w:rsidRPr="00863226">
              <w:rPr>
                <w:sz w:val="20"/>
                <w:szCs w:val="20"/>
                <w:lang w:val="en-CA" w:eastAsia="en-CA"/>
              </w:rPr>
              <w:t>(</w:t>
            </w:r>
            <w:r w:rsidR="0044484D" w:rsidRPr="00863226">
              <w:rPr>
                <w:sz w:val="20"/>
                <w:szCs w:val="20"/>
                <w:lang w:val="en-CA" w:eastAsia="en-CA"/>
              </w:rPr>
              <w:t>45,488</w:t>
            </w:r>
            <w:r w:rsidRPr="00863226">
              <w:rPr>
                <w:sz w:val="20"/>
                <w:szCs w:val="20"/>
                <w:lang w:val="en-CA" w:eastAsia="en-CA"/>
              </w:rPr>
              <w:t>)</w:t>
            </w:r>
          </w:p>
        </w:tc>
        <w:tc>
          <w:tcPr>
            <w:tcW w:w="1140"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8E4124" w:rsidP="00E474F2">
            <w:pPr>
              <w:jc w:val="right"/>
              <w:rPr>
                <w:sz w:val="20"/>
                <w:szCs w:val="20"/>
                <w:lang w:val="en-CA" w:eastAsia="en-CA"/>
              </w:rPr>
            </w:pPr>
            <w:r w:rsidRPr="00863226">
              <w:rPr>
                <w:sz w:val="20"/>
                <w:szCs w:val="20"/>
                <w:lang w:val="en-CA" w:eastAsia="en-CA"/>
              </w:rPr>
              <w:t>(</w:t>
            </w:r>
            <w:r w:rsidR="0044484D" w:rsidRPr="00863226">
              <w:rPr>
                <w:sz w:val="20"/>
                <w:szCs w:val="20"/>
                <w:lang w:val="en-CA" w:eastAsia="en-CA"/>
              </w:rPr>
              <w:t>14,893</w:t>
            </w:r>
            <w:r w:rsidRPr="00863226">
              <w:rPr>
                <w:sz w:val="20"/>
                <w:szCs w:val="20"/>
                <w:lang w:val="en-CA" w:eastAsia="en-CA"/>
              </w:rPr>
              <w:t>)</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8E4124" w:rsidP="00E474F2">
            <w:pPr>
              <w:jc w:val="right"/>
              <w:rPr>
                <w:sz w:val="20"/>
                <w:szCs w:val="20"/>
                <w:lang w:val="en-CA" w:eastAsia="en-CA"/>
              </w:rPr>
            </w:pPr>
            <w:r w:rsidRPr="00863226">
              <w:rPr>
                <w:sz w:val="20"/>
                <w:szCs w:val="20"/>
                <w:lang w:val="en-CA" w:eastAsia="en-CA"/>
              </w:rPr>
              <w:t>(</w:t>
            </w:r>
            <w:r w:rsidR="0044484D" w:rsidRPr="00863226">
              <w:rPr>
                <w:sz w:val="20"/>
                <w:szCs w:val="20"/>
                <w:lang w:val="en-CA" w:eastAsia="en-CA"/>
              </w:rPr>
              <w:t>96,525</w:t>
            </w:r>
            <w:r w:rsidRPr="00863226">
              <w:rPr>
                <w:sz w:val="20"/>
                <w:szCs w:val="20"/>
                <w:lang w:val="en-CA" w:eastAsia="en-CA"/>
              </w:rPr>
              <w:t>)</w:t>
            </w:r>
          </w:p>
        </w:tc>
        <w:tc>
          <w:tcPr>
            <w:tcW w:w="1168" w:type="dxa"/>
            <w:tcBorders>
              <w:top w:val="nil"/>
              <w:left w:val="nil"/>
              <w:bottom w:val="single" w:sz="4" w:space="0" w:color="auto"/>
              <w:right w:val="single" w:sz="4" w:space="0" w:color="auto"/>
            </w:tcBorders>
            <w:shd w:val="clear" w:color="auto" w:fill="auto"/>
            <w:noWrap/>
            <w:tcMar>
              <w:left w:w="58" w:type="dxa"/>
              <w:right w:w="58" w:type="dxa"/>
            </w:tcMar>
            <w:hideMark/>
          </w:tcPr>
          <w:p w:rsidR="0044484D" w:rsidRPr="00863226" w:rsidRDefault="0044484D" w:rsidP="00E474F2">
            <w:pPr>
              <w:jc w:val="left"/>
              <w:rPr>
                <w:sz w:val="20"/>
                <w:szCs w:val="20"/>
                <w:lang w:val="en-CA" w:eastAsia="en-CA"/>
              </w:rPr>
            </w:pPr>
            <w:r w:rsidRPr="00863226">
              <w:rPr>
                <w:sz w:val="20"/>
                <w:szCs w:val="20"/>
                <w:lang w:val="en-CA" w:eastAsia="en-CA"/>
              </w:rPr>
              <w:t> </w:t>
            </w:r>
          </w:p>
        </w:tc>
      </w:tr>
    </w:tbl>
    <w:p w:rsidR="002D39BC" w:rsidRPr="00863226" w:rsidRDefault="002D39BC" w:rsidP="00E474F2">
      <w:pPr>
        <w:jc w:val="left"/>
        <w:rPr>
          <w:sz w:val="19"/>
          <w:szCs w:val="19"/>
          <w:lang w:val="en-CA"/>
        </w:rPr>
      </w:pPr>
      <w:r w:rsidRPr="00863226">
        <w:rPr>
          <w:sz w:val="19"/>
          <w:szCs w:val="19"/>
          <w:lang w:val="en-CA"/>
        </w:rPr>
        <w:t>* Including agency support costs where applicable.</w:t>
      </w:r>
    </w:p>
    <w:p w:rsidR="002D39BC" w:rsidRPr="00863226" w:rsidRDefault="002D39BC" w:rsidP="00E474F2">
      <w:pPr>
        <w:jc w:val="left"/>
        <w:rPr>
          <w:sz w:val="19"/>
          <w:szCs w:val="19"/>
          <w:lang w:val="en-CA"/>
        </w:rPr>
      </w:pPr>
      <w:r w:rsidRPr="00863226">
        <w:rPr>
          <w:sz w:val="19"/>
          <w:szCs w:val="19"/>
          <w:lang w:val="en-CA"/>
        </w:rPr>
        <w:t>** Assumed the same level of the 2018–2020 replenishment of the Multilateral Fund.</w:t>
      </w:r>
    </w:p>
    <w:p w:rsidR="002D39BC" w:rsidRPr="00863226" w:rsidRDefault="002D39BC" w:rsidP="00E474F2">
      <w:pPr>
        <w:pStyle w:val="Heading1"/>
        <w:numPr>
          <w:ilvl w:val="0"/>
          <w:numId w:val="0"/>
        </w:numPr>
        <w:spacing w:before="240"/>
        <w:rPr>
          <w:b/>
          <w:lang w:val="en-CA"/>
        </w:rPr>
      </w:pPr>
      <w:r w:rsidRPr="00863226">
        <w:rPr>
          <w:b/>
          <w:lang w:val="en-CA"/>
        </w:rPr>
        <w:lastRenderedPageBreak/>
        <w:t xml:space="preserve">Secretariat’s comments </w:t>
      </w:r>
    </w:p>
    <w:p w:rsidR="002D39BC" w:rsidRPr="00863226" w:rsidRDefault="002D39BC" w:rsidP="00E474F2">
      <w:pPr>
        <w:pStyle w:val="Heading1"/>
        <w:keepNext/>
        <w:numPr>
          <w:ilvl w:val="0"/>
          <w:numId w:val="0"/>
        </w:numPr>
        <w:rPr>
          <w:u w:val="single"/>
          <w:lang w:val="en-CA"/>
        </w:rPr>
      </w:pPr>
      <w:r w:rsidRPr="00863226">
        <w:rPr>
          <w:u w:val="single"/>
          <w:lang w:val="en-CA"/>
        </w:rPr>
        <w:t>HCFC production –</w:t>
      </w:r>
      <w:r w:rsidR="00844455" w:rsidRPr="00863226">
        <w:rPr>
          <w:u w:val="single"/>
          <w:lang w:val="en-CA"/>
        </w:rPr>
        <w:t xml:space="preserve"> </w:t>
      </w:r>
      <w:r w:rsidRPr="00863226">
        <w:rPr>
          <w:u w:val="single"/>
          <w:lang w:val="en-CA"/>
        </w:rPr>
        <w:t>project preparation</w:t>
      </w:r>
      <w:r w:rsidR="00770FEC" w:rsidRPr="00863226">
        <w:rPr>
          <w:u w:val="single"/>
          <w:lang w:val="en-CA"/>
        </w:rPr>
        <w:t xml:space="preserve"> and stage I</w:t>
      </w:r>
    </w:p>
    <w:p w:rsidR="001E4518" w:rsidRPr="00863226" w:rsidRDefault="001E4518" w:rsidP="00E474F2">
      <w:pPr>
        <w:pStyle w:val="Heading1"/>
        <w:spacing w:before="240"/>
      </w:pPr>
      <w:r w:rsidRPr="00863226">
        <w:t xml:space="preserve">A total of </w:t>
      </w:r>
      <w:r w:rsidR="00177FA8" w:rsidRPr="00863226">
        <w:t>US $</w:t>
      </w:r>
      <w:r w:rsidRPr="00863226">
        <w:t xml:space="preserve">128,400 for project preparation and </w:t>
      </w:r>
      <w:r w:rsidR="00177FA8" w:rsidRPr="00863226">
        <w:t>US $</w:t>
      </w:r>
      <w:r w:rsidRPr="00863226">
        <w:t>5.35 million for 2021</w:t>
      </w:r>
      <w:r w:rsidR="00F35C6F" w:rsidRPr="00863226">
        <w:t>–</w:t>
      </w:r>
      <w:r w:rsidRPr="00863226">
        <w:t xml:space="preserve">2023 is included for stage I of the </w:t>
      </w:r>
      <w:r w:rsidR="0064085B" w:rsidRPr="00863226">
        <w:t>HCFC production phase-out management plan (</w:t>
      </w:r>
      <w:r w:rsidR="00844455" w:rsidRPr="00863226">
        <w:t>HPPMP</w:t>
      </w:r>
      <w:r w:rsidR="0064085B" w:rsidRPr="00863226">
        <w:t>)</w:t>
      </w:r>
      <w:r w:rsidRPr="00863226">
        <w:t xml:space="preserve"> for India. </w:t>
      </w:r>
      <w:r w:rsidR="002170B7" w:rsidRPr="00863226">
        <w:rPr>
          <w:kern w:val="36"/>
        </w:rPr>
        <w:t>A request for a technical audit of the production sector in India</w:t>
      </w:r>
      <w:r w:rsidR="00177FA8" w:rsidRPr="00863226">
        <w:rPr>
          <w:kern w:val="36"/>
        </w:rPr>
        <w:t xml:space="preserve"> </w:t>
      </w:r>
      <w:r w:rsidR="002170B7" w:rsidRPr="00863226">
        <w:rPr>
          <w:kern w:val="36"/>
        </w:rPr>
        <w:t>has been submitted and will be considered by the Sub</w:t>
      </w:r>
      <w:r w:rsidR="002170B7" w:rsidRPr="00863226">
        <w:rPr>
          <w:kern w:val="36"/>
        </w:rPr>
        <w:noBreakHyphen/>
        <w:t>group on the Production Sector in the margins of the 86</w:t>
      </w:r>
      <w:r w:rsidR="002170B7" w:rsidRPr="00863226">
        <w:rPr>
          <w:kern w:val="36"/>
          <w:vertAlign w:val="superscript"/>
        </w:rPr>
        <w:t>th</w:t>
      </w:r>
      <w:r w:rsidR="002170B7" w:rsidRPr="00863226">
        <w:rPr>
          <w:kern w:val="36"/>
        </w:rPr>
        <w:t xml:space="preserve"> meeting.</w:t>
      </w:r>
    </w:p>
    <w:p w:rsidR="002D39BC" w:rsidRPr="00863226" w:rsidRDefault="002D39BC" w:rsidP="00177FA8">
      <w:pPr>
        <w:pStyle w:val="Heading1"/>
        <w:numPr>
          <w:ilvl w:val="0"/>
          <w:numId w:val="0"/>
        </w:numPr>
        <w:rPr>
          <w:u w:val="single"/>
          <w:lang w:val="en-CA"/>
        </w:rPr>
      </w:pPr>
      <w:r w:rsidRPr="00863226">
        <w:rPr>
          <w:u w:val="single"/>
          <w:lang w:val="en-CA"/>
        </w:rPr>
        <w:t>HCFC production – stage II</w:t>
      </w:r>
    </w:p>
    <w:p w:rsidR="001E4518" w:rsidRPr="00863226" w:rsidRDefault="001E4518" w:rsidP="00177FA8">
      <w:pPr>
        <w:pStyle w:val="Heading1"/>
      </w:pPr>
      <w:r w:rsidRPr="00863226">
        <w:t xml:space="preserve">A total of </w:t>
      </w:r>
      <w:r w:rsidR="00177FA8" w:rsidRPr="00863226">
        <w:t>US $</w:t>
      </w:r>
      <w:r w:rsidRPr="00863226">
        <w:t xml:space="preserve">46.46 million is included for the HPPMP for China, i.e., </w:t>
      </w:r>
      <w:r w:rsidR="00177FA8" w:rsidRPr="00863226">
        <w:t>US $</w:t>
      </w:r>
      <w:r w:rsidRPr="00863226">
        <w:t xml:space="preserve">23.23 million for 2021–2023 and </w:t>
      </w:r>
      <w:r w:rsidR="00177FA8" w:rsidRPr="00863226">
        <w:t>US $</w:t>
      </w:r>
      <w:r w:rsidRPr="00863226">
        <w:t>23.23 million for after 2023. These values correspond to the draft Agreement submitted to the 86</w:t>
      </w:r>
      <w:r w:rsidRPr="00863226">
        <w:rPr>
          <w:vertAlign w:val="superscript"/>
        </w:rPr>
        <w:t>th</w:t>
      </w:r>
      <w:r w:rsidRPr="00863226">
        <w:t xml:space="preserve"> meeting.</w:t>
      </w:r>
    </w:p>
    <w:p w:rsidR="001E4518" w:rsidRPr="00863226" w:rsidRDefault="001E4518" w:rsidP="00177FA8">
      <w:pPr>
        <w:pStyle w:val="Heading1"/>
      </w:pPr>
      <w:r w:rsidRPr="00863226">
        <w:t>At its 81</w:t>
      </w:r>
      <w:r w:rsidRPr="00863226">
        <w:rPr>
          <w:vertAlign w:val="superscript"/>
        </w:rPr>
        <w:t>st</w:t>
      </w:r>
      <w:r w:rsidRPr="00863226">
        <w:t xml:space="preserve"> meeting, the Executive Committee </w:t>
      </w:r>
      <w:r w:rsidRPr="00863226">
        <w:rPr>
          <w:i/>
        </w:rPr>
        <w:t>inter alia</w:t>
      </w:r>
      <w:r w:rsidRPr="00863226">
        <w:t xml:space="preserve"> approved on an exceptional basis, </w:t>
      </w:r>
      <w:r w:rsidR="00177FA8" w:rsidRPr="00863226">
        <w:t>US $</w:t>
      </w:r>
      <w:r w:rsidRPr="00863226">
        <w:t>24.29 million (including agency support costs) for the HPPMP for China, and noted that this amount would be deducted from the funding of stage II.</w:t>
      </w:r>
      <w:r w:rsidRPr="00863226">
        <w:rPr>
          <w:rStyle w:val="FootnoteReference"/>
        </w:rPr>
        <w:footnoteReference w:id="8"/>
      </w:r>
      <w:r w:rsidRPr="00863226">
        <w:t xml:space="preserve"> </w:t>
      </w:r>
    </w:p>
    <w:p w:rsidR="001E4518" w:rsidRPr="00863226" w:rsidRDefault="001E4518" w:rsidP="00177FA8">
      <w:pPr>
        <w:pStyle w:val="Heading1"/>
      </w:pPr>
      <w:r w:rsidRPr="00863226">
        <w:t>The request for funding for stage II of the HPPMP for China has been resubmitted to the 86</w:t>
      </w:r>
      <w:r w:rsidRPr="00863226">
        <w:rPr>
          <w:vertAlign w:val="superscript"/>
        </w:rPr>
        <w:t>th</w:t>
      </w:r>
      <w:r w:rsidRPr="00863226">
        <w:t xml:space="preserve"> meeting in accordance with decision 84/69(b). </w:t>
      </w:r>
    </w:p>
    <w:p w:rsidR="002D39BC" w:rsidRPr="00863226" w:rsidRDefault="002D39BC" w:rsidP="00177FA8">
      <w:pPr>
        <w:pStyle w:val="Heading1"/>
        <w:numPr>
          <w:ilvl w:val="0"/>
          <w:numId w:val="0"/>
        </w:numPr>
        <w:rPr>
          <w:u w:val="single"/>
          <w:lang w:val="en-CA"/>
        </w:rPr>
      </w:pPr>
      <w:r w:rsidRPr="00863226">
        <w:rPr>
          <w:u w:val="single"/>
          <w:lang w:val="en-CA"/>
        </w:rPr>
        <w:t xml:space="preserve">Stage II of HPMPs </w:t>
      </w:r>
    </w:p>
    <w:p w:rsidR="002D39BC" w:rsidRPr="00863226" w:rsidRDefault="002D39BC" w:rsidP="00177FA8">
      <w:pPr>
        <w:pStyle w:val="Heading1"/>
        <w:rPr>
          <w:lang w:val="en-CA"/>
        </w:rPr>
      </w:pPr>
      <w:r w:rsidRPr="00863226">
        <w:rPr>
          <w:lang w:val="en-CA"/>
        </w:rPr>
        <w:t xml:space="preserve">The total level of funding for stage II of HPMPs for low-volume-consuming (LVC) countries is </w:t>
      </w:r>
      <w:r w:rsidR="00177FA8" w:rsidRPr="00863226">
        <w:rPr>
          <w:lang w:val="en-CA"/>
        </w:rPr>
        <w:t>US $</w:t>
      </w:r>
      <w:r w:rsidR="003C3AFA" w:rsidRPr="00863226">
        <w:rPr>
          <w:lang w:val="en-CA"/>
        </w:rPr>
        <w:t>11.05</w:t>
      </w:r>
      <w:r w:rsidRPr="00863226">
        <w:rPr>
          <w:lang w:val="en-CA"/>
        </w:rPr>
        <w:t xml:space="preserve"> million, of which </w:t>
      </w:r>
      <w:r w:rsidR="00177FA8" w:rsidRPr="00863226">
        <w:rPr>
          <w:lang w:val="en-CA"/>
        </w:rPr>
        <w:t>US $</w:t>
      </w:r>
      <w:r w:rsidR="003C3AFA" w:rsidRPr="00863226">
        <w:rPr>
          <w:lang w:val="en-CA"/>
        </w:rPr>
        <w:t>6.21</w:t>
      </w:r>
      <w:r w:rsidRPr="00863226">
        <w:rPr>
          <w:lang w:val="en-CA"/>
        </w:rPr>
        <w:t xml:space="preserve"> million is for 202</w:t>
      </w:r>
      <w:r w:rsidR="003C3AFA" w:rsidRPr="00863226">
        <w:rPr>
          <w:lang w:val="en-CA"/>
        </w:rPr>
        <w:t>1</w:t>
      </w:r>
      <w:r w:rsidRPr="00863226">
        <w:rPr>
          <w:lang w:val="en-CA"/>
        </w:rPr>
        <w:t>–202</w:t>
      </w:r>
      <w:r w:rsidR="003C3AFA" w:rsidRPr="00863226">
        <w:rPr>
          <w:lang w:val="en-CA"/>
        </w:rPr>
        <w:t>3</w:t>
      </w:r>
      <w:r w:rsidRPr="00863226">
        <w:rPr>
          <w:lang w:val="en-CA"/>
        </w:rPr>
        <w:t xml:space="preserve"> to meet the 67.5 per cent reduction of the HCFC baseline. In addition, the value of projects for LVC countries to meet 100 per cent reduction is </w:t>
      </w:r>
      <w:r w:rsidR="00177FA8" w:rsidRPr="00863226">
        <w:rPr>
          <w:lang w:val="en-CA"/>
        </w:rPr>
        <w:t>US $</w:t>
      </w:r>
      <w:r w:rsidR="003C3AFA" w:rsidRPr="00863226">
        <w:rPr>
          <w:lang w:val="en-CA"/>
        </w:rPr>
        <w:t>2.93</w:t>
      </w:r>
      <w:r w:rsidRPr="00863226">
        <w:rPr>
          <w:lang w:val="en-CA"/>
        </w:rPr>
        <w:t xml:space="preserve"> million</w:t>
      </w:r>
      <w:r w:rsidR="00CD4044" w:rsidRPr="00863226">
        <w:rPr>
          <w:lang w:val="en-CA"/>
        </w:rPr>
        <w:t>,</w:t>
      </w:r>
      <w:r w:rsidRPr="00863226">
        <w:rPr>
          <w:lang w:val="en-CA"/>
        </w:rPr>
        <w:t xml:space="preserve"> including </w:t>
      </w:r>
      <w:r w:rsidR="00177FA8" w:rsidRPr="00863226">
        <w:rPr>
          <w:lang w:val="en-CA"/>
        </w:rPr>
        <w:t>US $</w:t>
      </w:r>
      <w:r w:rsidR="003C3AFA" w:rsidRPr="00863226">
        <w:rPr>
          <w:lang w:val="en-CA"/>
        </w:rPr>
        <w:t>1.86</w:t>
      </w:r>
      <w:r w:rsidRPr="00863226">
        <w:rPr>
          <w:lang w:val="en-CA"/>
        </w:rPr>
        <w:t xml:space="preserve"> million for 202</w:t>
      </w:r>
      <w:r w:rsidR="003C3AFA" w:rsidRPr="00863226">
        <w:rPr>
          <w:lang w:val="en-CA"/>
        </w:rPr>
        <w:t>1</w:t>
      </w:r>
      <w:r w:rsidRPr="00863226">
        <w:rPr>
          <w:lang w:val="en-CA"/>
        </w:rPr>
        <w:t>–202</w:t>
      </w:r>
      <w:r w:rsidR="003C3AFA" w:rsidRPr="00863226">
        <w:rPr>
          <w:lang w:val="en-CA"/>
        </w:rPr>
        <w:t>3</w:t>
      </w:r>
      <w:r w:rsidRPr="00863226">
        <w:rPr>
          <w:lang w:val="en-CA"/>
        </w:rPr>
        <w:t xml:space="preserve">. </w:t>
      </w:r>
    </w:p>
    <w:p w:rsidR="002D39BC" w:rsidRPr="00863226" w:rsidRDefault="002D39BC" w:rsidP="00177FA8">
      <w:pPr>
        <w:pStyle w:val="Heading1"/>
        <w:rPr>
          <w:lang w:val="en-CA"/>
        </w:rPr>
      </w:pPr>
      <w:r w:rsidRPr="00863226">
        <w:rPr>
          <w:lang w:val="en-CA"/>
        </w:rPr>
        <w:t xml:space="preserve">The total level of funding for stage II of HPMPs </w:t>
      </w:r>
      <w:r w:rsidR="00CD4044" w:rsidRPr="00863226">
        <w:rPr>
          <w:lang w:val="en-CA"/>
        </w:rPr>
        <w:t xml:space="preserve">for </w:t>
      </w:r>
      <w:r w:rsidRPr="00863226">
        <w:rPr>
          <w:lang w:val="en-CA"/>
        </w:rPr>
        <w:t xml:space="preserve">non-LVC countries is </w:t>
      </w:r>
      <w:r w:rsidR="00177FA8" w:rsidRPr="00863226">
        <w:rPr>
          <w:lang w:val="en-CA"/>
        </w:rPr>
        <w:t>US $</w:t>
      </w:r>
      <w:r w:rsidRPr="00863226">
        <w:rPr>
          <w:lang w:val="en-CA"/>
        </w:rPr>
        <w:t>65.</w:t>
      </w:r>
      <w:r w:rsidR="00265758" w:rsidRPr="00863226">
        <w:rPr>
          <w:lang w:val="en-CA"/>
        </w:rPr>
        <w:t>04</w:t>
      </w:r>
      <w:r w:rsidRPr="00863226">
        <w:rPr>
          <w:lang w:val="en-CA"/>
        </w:rPr>
        <w:t xml:space="preserve"> million with an associated phase-out of </w:t>
      </w:r>
      <w:r w:rsidR="00265758" w:rsidRPr="00863226">
        <w:rPr>
          <w:lang w:val="en-CA"/>
        </w:rPr>
        <w:t>569.9</w:t>
      </w:r>
      <w:r w:rsidRPr="00863226">
        <w:rPr>
          <w:lang w:val="en-CA"/>
        </w:rPr>
        <w:t xml:space="preserve"> ODP tonnes of HCFCs, including </w:t>
      </w:r>
      <w:r w:rsidR="00177FA8" w:rsidRPr="00863226">
        <w:rPr>
          <w:lang w:val="en-CA"/>
        </w:rPr>
        <w:t>US $</w:t>
      </w:r>
      <w:r w:rsidR="00265758" w:rsidRPr="00863226">
        <w:rPr>
          <w:lang w:val="en-CA"/>
        </w:rPr>
        <w:t>24.34</w:t>
      </w:r>
      <w:r w:rsidRPr="00863226">
        <w:rPr>
          <w:lang w:val="en-CA"/>
        </w:rPr>
        <w:t xml:space="preserve"> million for 202</w:t>
      </w:r>
      <w:r w:rsidR="00265758" w:rsidRPr="00863226">
        <w:rPr>
          <w:lang w:val="en-CA"/>
        </w:rPr>
        <w:t>1</w:t>
      </w:r>
      <w:r w:rsidRPr="00863226">
        <w:rPr>
          <w:lang w:val="en-CA"/>
        </w:rPr>
        <w:t>–202</w:t>
      </w:r>
      <w:r w:rsidR="00265758" w:rsidRPr="00863226">
        <w:rPr>
          <w:lang w:val="en-CA"/>
        </w:rPr>
        <w:t>3</w:t>
      </w:r>
      <w:r w:rsidRPr="00863226">
        <w:rPr>
          <w:lang w:val="en-CA"/>
        </w:rPr>
        <w:t xml:space="preserve"> with a phase-out of </w:t>
      </w:r>
      <w:r w:rsidR="00265758" w:rsidRPr="00863226">
        <w:rPr>
          <w:lang w:val="en-CA"/>
        </w:rPr>
        <w:t>241.4</w:t>
      </w:r>
      <w:r w:rsidRPr="00863226">
        <w:rPr>
          <w:lang w:val="en-CA"/>
        </w:rPr>
        <w:t xml:space="preserve"> ODP tonnes of HCFCs. The funding distribution by sector is provided in Table 4.</w:t>
      </w:r>
    </w:p>
    <w:p w:rsidR="002D39BC" w:rsidRPr="00863226" w:rsidRDefault="002D39BC" w:rsidP="00177FA8">
      <w:pPr>
        <w:keepNext/>
        <w:rPr>
          <w:b/>
          <w:lang w:val="en-CA"/>
        </w:rPr>
      </w:pPr>
      <w:r w:rsidRPr="00863226">
        <w:rPr>
          <w:b/>
          <w:lang w:val="en-CA"/>
        </w:rPr>
        <w:t xml:space="preserve">Table 4. Funding distribution of stage II of HPMPs </w:t>
      </w:r>
      <w:r w:rsidR="00CD4044" w:rsidRPr="00863226">
        <w:rPr>
          <w:b/>
          <w:lang w:val="en-CA"/>
        </w:rPr>
        <w:t xml:space="preserve">for </w:t>
      </w:r>
      <w:r w:rsidRPr="00863226">
        <w:rPr>
          <w:b/>
          <w:lang w:val="en-CA"/>
        </w:rPr>
        <w:t>non-LVC countries by sector (</w:t>
      </w:r>
      <w:r w:rsidR="00177FA8" w:rsidRPr="00863226">
        <w:rPr>
          <w:b/>
          <w:lang w:val="en-CA"/>
        </w:rPr>
        <w:t>US $</w:t>
      </w:r>
      <w:r w:rsidRPr="00863226">
        <w:rPr>
          <w:b/>
          <w:lang w:val="en-CA"/>
        </w:rPr>
        <w:t>000)</w:t>
      </w:r>
    </w:p>
    <w:tbl>
      <w:tblPr>
        <w:tblW w:w="9356" w:type="dxa"/>
        <w:tblInd w:w="-5" w:type="dxa"/>
        <w:tblLayout w:type="fixed"/>
        <w:tblLook w:val="04A0" w:firstRow="1" w:lastRow="0" w:firstColumn="1" w:lastColumn="0" w:noHBand="0" w:noVBand="1"/>
      </w:tblPr>
      <w:tblGrid>
        <w:gridCol w:w="3828"/>
        <w:gridCol w:w="1382"/>
        <w:gridCol w:w="1382"/>
        <w:gridCol w:w="1382"/>
        <w:gridCol w:w="1382"/>
      </w:tblGrid>
      <w:tr w:rsidR="00863226" w:rsidRPr="00863226" w:rsidTr="00177FA8">
        <w:trPr>
          <w:trHeight w:val="219"/>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E32" w:rsidRPr="00863226" w:rsidRDefault="00135E32" w:rsidP="00177FA8">
            <w:pPr>
              <w:jc w:val="left"/>
              <w:rPr>
                <w:b/>
                <w:bCs/>
                <w:sz w:val="20"/>
                <w:szCs w:val="20"/>
                <w:lang w:val="en-CA" w:eastAsia="en-CA"/>
              </w:rPr>
            </w:pPr>
            <w:r w:rsidRPr="00863226">
              <w:rPr>
                <w:b/>
                <w:bCs/>
                <w:sz w:val="20"/>
                <w:szCs w:val="20"/>
                <w:lang w:val="en-CA" w:eastAsia="en-CA"/>
              </w:rPr>
              <w:t>Sector</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135E32" w:rsidRPr="00863226" w:rsidRDefault="00135E32" w:rsidP="00177FA8">
            <w:pPr>
              <w:jc w:val="center"/>
              <w:rPr>
                <w:b/>
                <w:bCs/>
                <w:sz w:val="20"/>
                <w:szCs w:val="20"/>
                <w:lang w:val="en-CA" w:eastAsia="en-CA"/>
              </w:rPr>
            </w:pPr>
            <w:r w:rsidRPr="00863226">
              <w:rPr>
                <w:b/>
                <w:bCs/>
                <w:sz w:val="20"/>
                <w:szCs w:val="20"/>
                <w:lang w:val="en-CA" w:eastAsia="en-CA"/>
              </w:rPr>
              <w:t>2021-2023</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135E32" w:rsidRPr="00863226" w:rsidRDefault="00135E32" w:rsidP="00177FA8">
            <w:pPr>
              <w:jc w:val="center"/>
              <w:rPr>
                <w:b/>
                <w:bCs/>
                <w:sz w:val="20"/>
                <w:szCs w:val="20"/>
                <w:lang w:val="en-CA" w:eastAsia="en-CA"/>
              </w:rPr>
            </w:pPr>
            <w:r w:rsidRPr="00863226">
              <w:rPr>
                <w:b/>
                <w:bCs/>
                <w:sz w:val="20"/>
                <w:szCs w:val="20"/>
                <w:lang w:val="en-CA" w:eastAsia="en-CA"/>
              </w:rPr>
              <w:t>After 2023</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135E32" w:rsidRPr="00863226" w:rsidRDefault="00135E32" w:rsidP="00177FA8">
            <w:pPr>
              <w:jc w:val="center"/>
              <w:rPr>
                <w:b/>
                <w:bCs/>
                <w:sz w:val="20"/>
                <w:szCs w:val="20"/>
                <w:lang w:val="en-CA" w:eastAsia="en-CA"/>
              </w:rPr>
            </w:pPr>
            <w:r w:rsidRPr="00863226">
              <w:rPr>
                <w:b/>
                <w:bCs/>
                <w:sz w:val="20"/>
                <w:szCs w:val="20"/>
                <w:lang w:val="en-CA" w:eastAsia="en-CA"/>
              </w:rPr>
              <w:t>Total</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135E32" w:rsidRPr="00863226" w:rsidRDefault="00135E32" w:rsidP="00177FA8">
            <w:pPr>
              <w:jc w:val="center"/>
              <w:rPr>
                <w:b/>
                <w:bCs/>
                <w:sz w:val="20"/>
                <w:szCs w:val="20"/>
                <w:lang w:val="en-CA" w:eastAsia="en-CA"/>
              </w:rPr>
            </w:pPr>
            <w:r w:rsidRPr="00863226">
              <w:rPr>
                <w:b/>
                <w:bCs/>
                <w:sz w:val="20"/>
                <w:szCs w:val="20"/>
                <w:lang w:val="en-CA" w:eastAsia="en-CA"/>
              </w:rPr>
              <w:t>Per cent of total (%)</w:t>
            </w:r>
          </w:p>
        </w:tc>
      </w:tr>
      <w:tr w:rsidR="00863226" w:rsidRPr="00863226" w:rsidTr="00177FA8">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rsidR="00135E32" w:rsidRPr="00863226" w:rsidRDefault="00135E32" w:rsidP="00177FA8">
            <w:pPr>
              <w:jc w:val="left"/>
              <w:rPr>
                <w:sz w:val="20"/>
                <w:szCs w:val="20"/>
                <w:lang w:val="en-CA" w:eastAsia="en-CA"/>
              </w:rPr>
            </w:pPr>
            <w:r w:rsidRPr="00863226">
              <w:rPr>
                <w:sz w:val="20"/>
                <w:szCs w:val="20"/>
                <w:lang w:val="en-CA" w:eastAsia="en-CA"/>
              </w:rPr>
              <w:t xml:space="preserve">Rigid foam </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2,536</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605</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3,141</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4.8</w:t>
            </w:r>
          </w:p>
        </w:tc>
      </w:tr>
      <w:tr w:rsidR="00863226" w:rsidRPr="00863226" w:rsidTr="00177FA8">
        <w:trPr>
          <w:trHeight w:val="87"/>
        </w:trPr>
        <w:tc>
          <w:tcPr>
            <w:tcW w:w="3828" w:type="dxa"/>
            <w:tcBorders>
              <w:top w:val="nil"/>
              <w:left w:val="single" w:sz="4" w:space="0" w:color="auto"/>
              <w:bottom w:val="single" w:sz="4" w:space="0" w:color="auto"/>
              <w:right w:val="single" w:sz="4" w:space="0" w:color="auto"/>
            </w:tcBorders>
            <w:shd w:val="clear" w:color="auto" w:fill="auto"/>
            <w:noWrap/>
            <w:hideMark/>
          </w:tcPr>
          <w:p w:rsidR="00135E32" w:rsidRPr="00863226" w:rsidRDefault="00135E32" w:rsidP="00177FA8">
            <w:pPr>
              <w:jc w:val="left"/>
              <w:rPr>
                <w:sz w:val="20"/>
                <w:szCs w:val="20"/>
                <w:lang w:val="en-CA" w:eastAsia="en-CA"/>
              </w:rPr>
            </w:pPr>
            <w:r w:rsidRPr="00863226">
              <w:rPr>
                <w:sz w:val="20"/>
                <w:szCs w:val="20"/>
                <w:lang w:val="en-CA" w:eastAsia="en-CA"/>
              </w:rPr>
              <w:t>Refrigeration air-conditioning</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1,739</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0</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1,739</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2.7</w:t>
            </w:r>
          </w:p>
        </w:tc>
      </w:tr>
      <w:tr w:rsidR="00863226" w:rsidRPr="00863226" w:rsidTr="00177FA8">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rsidR="00135E32" w:rsidRPr="00863226" w:rsidRDefault="00135E32" w:rsidP="00177FA8">
            <w:pPr>
              <w:jc w:val="left"/>
              <w:rPr>
                <w:sz w:val="20"/>
                <w:szCs w:val="20"/>
                <w:lang w:val="en-CA" w:eastAsia="en-CA"/>
              </w:rPr>
            </w:pPr>
            <w:r w:rsidRPr="00863226">
              <w:rPr>
                <w:sz w:val="20"/>
                <w:szCs w:val="20"/>
                <w:lang w:val="en-CA" w:eastAsia="en-CA"/>
              </w:rPr>
              <w:t>Refrigeration assembly</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840</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0</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840</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1.3</w:t>
            </w:r>
          </w:p>
        </w:tc>
      </w:tr>
      <w:tr w:rsidR="00863226" w:rsidRPr="00863226" w:rsidTr="00177FA8">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rsidR="00135E32" w:rsidRPr="00863226" w:rsidRDefault="00135E32" w:rsidP="00177FA8">
            <w:pPr>
              <w:jc w:val="left"/>
              <w:rPr>
                <w:sz w:val="20"/>
                <w:szCs w:val="20"/>
                <w:lang w:val="en-CA" w:eastAsia="en-CA"/>
              </w:rPr>
            </w:pPr>
            <w:r w:rsidRPr="00863226">
              <w:rPr>
                <w:sz w:val="20"/>
                <w:szCs w:val="20"/>
                <w:lang w:val="en-CA" w:eastAsia="en-CA"/>
              </w:rPr>
              <w:t>Refrigeration manufacturing</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5,017</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25,738</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30,755</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47.3</w:t>
            </w:r>
          </w:p>
        </w:tc>
      </w:tr>
      <w:tr w:rsidR="00863226" w:rsidRPr="00863226" w:rsidTr="00177FA8">
        <w:trPr>
          <w:trHeight w:val="69"/>
        </w:trPr>
        <w:tc>
          <w:tcPr>
            <w:tcW w:w="3828" w:type="dxa"/>
            <w:tcBorders>
              <w:top w:val="nil"/>
              <w:left w:val="single" w:sz="4" w:space="0" w:color="auto"/>
              <w:bottom w:val="single" w:sz="4" w:space="0" w:color="auto"/>
              <w:right w:val="single" w:sz="4" w:space="0" w:color="auto"/>
            </w:tcBorders>
            <w:shd w:val="clear" w:color="auto" w:fill="auto"/>
            <w:noWrap/>
            <w:hideMark/>
          </w:tcPr>
          <w:p w:rsidR="00135E32" w:rsidRPr="00863226" w:rsidRDefault="00135E32" w:rsidP="00177FA8">
            <w:pPr>
              <w:jc w:val="left"/>
              <w:rPr>
                <w:sz w:val="20"/>
                <w:szCs w:val="20"/>
                <w:lang w:val="en-CA" w:eastAsia="en-CA"/>
              </w:rPr>
            </w:pPr>
            <w:r w:rsidRPr="00863226">
              <w:rPr>
                <w:sz w:val="20"/>
                <w:szCs w:val="20"/>
                <w:lang w:val="en-CA" w:eastAsia="en-CA"/>
              </w:rPr>
              <w:t>Refrigeration servicing</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14,208</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14,357</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28,565</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sz w:val="20"/>
                <w:szCs w:val="20"/>
                <w:lang w:val="en-CA" w:eastAsia="en-CA"/>
              </w:rPr>
            </w:pPr>
            <w:r w:rsidRPr="00863226">
              <w:rPr>
                <w:sz w:val="20"/>
                <w:szCs w:val="20"/>
                <w:lang w:val="en-CA" w:eastAsia="en-CA"/>
              </w:rPr>
              <w:t>43.9</w:t>
            </w:r>
          </w:p>
        </w:tc>
      </w:tr>
      <w:tr w:rsidR="00863226" w:rsidRPr="00863226" w:rsidTr="00177FA8">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rsidR="00135E32" w:rsidRPr="00863226" w:rsidRDefault="00CD4044" w:rsidP="00177FA8">
            <w:pPr>
              <w:jc w:val="left"/>
              <w:rPr>
                <w:b/>
                <w:bCs/>
                <w:sz w:val="20"/>
                <w:szCs w:val="20"/>
                <w:lang w:val="en-CA" w:eastAsia="en-CA"/>
              </w:rPr>
            </w:pPr>
            <w:r w:rsidRPr="00863226">
              <w:rPr>
                <w:b/>
                <w:bCs/>
                <w:sz w:val="20"/>
                <w:szCs w:val="20"/>
                <w:lang w:val="en-CA" w:eastAsia="en-CA"/>
              </w:rPr>
              <w:t>T</w:t>
            </w:r>
            <w:r w:rsidR="00135E32" w:rsidRPr="00863226">
              <w:rPr>
                <w:b/>
                <w:bCs/>
                <w:sz w:val="20"/>
                <w:szCs w:val="20"/>
                <w:lang w:val="en-CA" w:eastAsia="en-CA"/>
              </w:rPr>
              <w:t>otal</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b/>
                <w:bCs/>
                <w:sz w:val="20"/>
                <w:szCs w:val="20"/>
                <w:lang w:val="en-CA" w:eastAsia="en-CA"/>
              </w:rPr>
            </w:pPr>
            <w:r w:rsidRPr="00863226">
              <w:rPr>
                <w:b/>
                <w:bCs/>
                <w:sz w:val="20"/>
                <w:szCs w:val="20"/>
                <w:lang w:val="en-CA" w:eastAsia="en-CA"/>
              </w:rPr>
              <w:t>24,340</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b/>
                <w:bCs/>
                <w:sz w:val="20"/>
                <w:szCs w:val="20"/>
                <w:lang w:val="en-CA" w:eastAsia="en-CA"/>
              </w:rPr>
            </w:pPr>
            <w:r w:rsidRPr="00863226">
              <w:rPr>
                <w:b/>
                <w:bCs/>
                <w:sz w:val="20"/>
                <w:szCs w:val="20"/>
                <w:lang w:val="en-CA" w:eastAsia="en-CA"/>
              </w:rPr>
              <w:t>40,701</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b/>
                <w:sz w:val="20"/>
                <w:szCs w:val="20"/>
                <w:lang w:val="en-CA" w:eastAsia="en-CA"/>
              </w:rPr>
            </w:pPr>
            <w:r w:rsidRPr="00863226">
              <w:rPr>
                <w:b/>
                <w:sz w:val="20"/>
                <w:szCs w:val="20"/>
                <w:lang w:val="en-CA" w:eastAsia="en-CA"/>
              </w:rPr>
              <w:t>65,041</w:t>
            </w:r>
          </w:p>
        </w:tc>
        <w:tc>
          <w:tcPr>
            <w:tcW w:w="1382" w:type="dxa"/>
            <w:tcBorders>
              <w:top w:val="nil"/>
              <w:left w:val="nil"/>
              <w:bottom w:val="single" w:sz="4" w:space="0" w:color="auto"/>
              <w:right w:val="single" w:sz="4" w:space="0" w:color="auto"/>
            </w:tcBorders>
            <w:shd w:val="clear" w:color="auto" w:fill="auto"/>
            <w:noWrap/>
            <w:hideMark/>
          </w:tcPr>
          <w:p w:rsidR="00135E32" w:rsidRPr="00863226" w:rsidRDefault="00135E32" w:rsidP="00177FA8">
            <w:pPr>
              <w:jc w:val="right"/>
              <w:rPr>
                <w:b/>
                <w:sz w:val="20"/>
                <w:szCs w:val="20"/>
                <w:lang w:val="en-CA" w:eastAsia="en-CA"/>
              </w:rPr>
            </w:pPr>
            <w:r w:rsidRPr="00863226">
              <w:rPr>
                <w:b/>
                <w:sz w:val="20"/>
                <w:szCs w:val="20"/>
                <w:lang w:val="en-CA" w:eastAsia="en-CA"/>
              </w:rPr>
              <w:t>100.0</w:t>
            </w:r>
          </w:p>
        </w:tc>
      </w:tr>
    </w:tbl>
    <w:p w:rsidR="002C4A5F" w:rsidRPr="00863226" w:rsidRDefault="002C4A5F" w:rsidP="00177FA8">
      <w:pPr>
        <w:pStyle w:val="Heading1"/>
        <w:numPr>
          <w:ilvl w:val="0"/>
          <w:numId w:val="0"/>
        </w:numPr>
        <w:spacing w:after="0"/>
        <w:rPr>
          <w:u w:val="single"/>
          <w:lang w:val="en-CA"/>
        </w:rPr>
      </w:pPr>
    </w:p>
    <w:p w:rsidR="002D39BC" w:rsidRPr="00863226" w:rsidRDefault="002D39BC" w:rsidP="00177FA8">
      <w:pPr>
        <w:pStyle w:val="Heading1"/>
        <w:numPr>
          <w:ilvl w:val="0"/>
          <w:numId w:val="0"/>
        </w:numPr>
        <w:rPr>
          <w:u w:val="single"/>
          <w:lang w:val="en-CA"/>
        </w:rPr>
      </w:pPr>
      <w:r w:rsidRPr="00863226">
        <w:rPr>
          <w:u w:val="single"/>
          <w:lang w:val="en-CA"/>
        </w:rPr>
        <w:t xml:space="preserve">Stage III of HPMPs </w:t>
      </w:r>
    </w:p>
    <w:p w:rsidR="00414D65" w:rsidRPr="00863226" w:rsidRDefault="002D39BC" w:rsidP="00177FA8">
      <w:pPr>
        <w:pStyle w:val="Heading1"/>
        <w:rPr>
          <w:lang w:val="en-CA"/>
        </w:rPr>
      </w:pPr>
      <w:r w:rsidRPr="00863226">
        <w:rPr>
          <w:lang w:val="en-CA"/>
        </w:rPr>
        <w:t xml:space="preserve">A total of </w:t>
      </w:r>
      <w:r w:rsidR="00177FA8" w:rsidRPr="00863226">
        <w:rPr>
          <w:lang w:val="en-CA"/>
        </w:rPr>
        <w:t>US $</w:t>
      </w:r>
      <w:r w:rsidR="00A95A7D" w:rsidRPr="00863226">
        <w:rPr>
          <w:lang w:val="en-CA"/>
        </w:rPr>
        <w:t>161.92</w:t>
      </w:r>
      <w:r w:rsidRPr="00863226">
        <w:rPr>
          <w:lang w:val="en-CA"/>
        </w:rPr>
        <w:t xml:space="preserve"> million is included in the business plan for stage III of HPMPs for </w:t>
      </w:r>
      <w:r w:rsidR="00A95A7D" w:rsidRPr="00863226">
        <w:rPr>
          <w:lang w:val="en-CA"/>
        </w:rPr>
        <w:t>18</w:t>
      </w:r>
      <w:r w:rsidR="002C4A5F" w:rsidRPr="00863226">
        <w:rPr>
          <w:lang w:val="en-CA"/>
        </w:rPr>
        <w:t> </w:t>
      </w:r>
      <w:r w:rsidRPr="00863226">
        <w:rPr>
          <w:lang w:val="en-CA"/>
        </w:rPr>
        <w:t>countries (</w:t>
      </w:r>
      <w:r w:rsidR="00A95A7D" w:rsidRPr="00863226">
        <w:rPr>
          <w:lang w:val="en-CA"/>
        </w:rPr>
        <w:t xml:space="preserve">Argentina, </w:t>
      </w:r>
      <w:r w:rsidRPr="00863226">
        <w:rPr>
          <w:lang w:val="en-CA"/>
        </w:rPr>
        <w:t xml:space="preserve">Armenia, </w:t>
      </w:r>
      <w:r w:rsidR="00A95A7D" w:rsidRPr="00863226">
        <w:rPr>
          <w:lang w:val="en-CA"/>
        </w:rPr>
        <w:t xml:space="preserve">Brazil, </w:t>
      </w:r>
      <w:r w:rsidRPr="00863226">
        <w:rPr>
          <w:lang w:val="en-CA"/>
        </w:rPr>
        <w:t xml:space="preserve">Chile, </w:t>
      </w:r>
      <w:r w:rsidR="00A95A7D" w:rsidRPr="00863226">
        <w:rPr>
          <w:lang w:val="en-CA"/>
        </w:rPr>
        <w:t xml:space="preserve">Colombia, India, Indonesia, </w:t>
      </w:r>
      <w:r w:rsidR="002C4A5F" w:rsidRPr="00863226">
        <w:rPr>
          <w:lang w:val="en-CA"/>
        </w:rPr>
        <w:t>Islamic Republic of Iran</w:t>
      </w:r>
      <w:r w:rsidRPr="00863226">
        <w:rPr>
          <w:lang w:val="en-CA"/>
        </w:rPr>
        <w:t xml:space="preserve">, </w:t>
      </w:r>
      <w:r w:rsidR="00A95A7D" w:rsidRPr="00863226">
        <w:rPr>
          <w:lang w:val="en-CA"/>
        </w:rPr>
        <w:t xml:space="preserve">Jordan, </w:t>
      </w:r>
      <w:r w:rsidRPr="00863226">
        <w:rPr>
          <w:lang w:val="en-CA"/>
        </w:rPr>
        <w:t xml:space="preserve">Lebanon, </w:t>
      </w:r>
      <w:r w:rsidR="00A95A7D" w:rsidRPr="00863226">
        <w:rPr>
          <w:lang w:val="en-CA"/>
        </w:rPr>
        <w:t xml:space="preserve">Malaysia, </w:t>
      </w:r>
      <w:r w:rsidRPr="00863226">
        <w:rPr>
          <w:lang w:val="en-CA"/>
        </w:rPr>
        <w:t xml:space="preserve">Mexico, Nigeria, </w:t>
      </w:r>
      <w:r w:rsidR="00A95A7D" w:rsidRPr="00863226">
        <w:rPr>
          <w:lang w:val="en-CA"/>
        </w:rPr>
        <w:t>Oman, Pakistan</w:t>
      </w:r>
      <w:r w:rsidRPr="00863226">
        <w:rPr>
          <w:lang w:val="en-CA"/>
        </w:rPr>
        <w:t>, the Philippines,</w:t>
      </w:r>
      <w:r w:rsidR="00A95A7D" w:rsidRPr="00863226">
        <w:rPr>
          <w:lang w:val="en-CA"/>
        </w:rPr>
        <w:t xml:space="preserve"> the Republic of Moldova and</w:t>
      </w:r>
      <w:r w:rsidRPr="00863226">
        <w:rPr>
          <w:lang w:val="en-CA"/>
        </w:rPr>
        <w:t xml:space="preserve"> the Sudan)</w:t>
      </w:r>
      <w:r w:rsidR="008E4124" w:rsidRPr="00863226">
        <w:rPr>
          <w:lang w:val="en-CA"/>
        </w:rPr>
        <w:t>,</w:t>
      </w:r>
      <w:r w:rsidRPr="00863226">
        <w:rPr>
          <w:lang w:val="en-CA"/>
        </w:rPr>
        <w:t xml:space="preserve"> including </w:t>
      </w:r>
      <w:r w:rsidR="00177FA8" w:rsidRPr="00863226">
        <w:rPr>
          <w:lang w:val="en-CA"/>
        </w:rPr>
        <w:t>US $</w:t>
      </w:r>
      <w:r w:rsidR="00A95A7D" w:rsidRPr="00863226">
        <w:rPr>
          <w:lang w:val="en-CA"/>
        </w:rPr>
        <w:t>59.77</w:t>
      </w:r>
      <w:r w:rsidRPr="00863226">
        <w:rPr>
          <w:lang w:val="en-CA"/>
        </w:rPr>
        <w:t xml:space="preserve"> million for 202</w:t>
      </w:r>
      <w:r w:rsidR="00A95A7D" w:rsidRPr="00863226">
        <w:rPr>
          <w:lang w:val="en-CA"/>
        </w:rPr>
        <w:t>1</w:t>
      </w:r>
      <w:r w:rsidRPr="00863226">
        <w:rPr>
          <w:lang w:val="en-CA"/>
        </w:rPr>
        <w:t>–202</w:t>
      </w:r>
      <w:r w:rsidR="00A95A7D" w:rsidRPr="00863226">
        <w:rPr>
          <w:lang w:val="en-CA"/>
        </w:rPr>
        <w:t>3</w:t>
      </w:r>
      <w:r w:rsidRPr="00863226">
        <w:rPr>
          <w:lang w:val="en-CA"/>
        </w:rPr>
        <w:t>.</w:t>
      </w:r>
      <w:r w:rsidR="00414D65" w:rsidRPr="00863226">
        <w:t xml:space="preserve"> </w:t>
      </w:r>
      <w:r w:rsidR="00414D65" w:rsidRPr="00863226">
        <w:rPr>
          <w:lang w:val="en-CA"/>
        </w:rPr>
        <w:t>Inclusion of stage III of HPMPs in the business plan is allowed only for those countries with reduction targets below the 2025 compliance targets (decision 84/46(e)).</w:t>
      </w:r>
      <w:r w:rsidR="00177FA8" w:rsidRPr="00863226">
        <w:rPr>
          <w:lang w:val="en-CA"/>
        </w:rPr>
        <w:t xml:space="preserve"> </w:t>
      </w:r>
    </w:p>
    <w:p w:rsidR="002D39BC" w:rsidRPr="00863226" w:rsidRDefault="002D39BC" w:rsidP="00177FA8">
      <w:pPr>
        <w:keepNext/>
        <w:rPr>
          <w:u w:val="single"/>
          <w:lang w:val="en-CA"/>
        </w:rPr>
      </w:pPr>
      <w:r w:rsidRPr="00863226">
        <w:rPr>
          <w:u w:val="single"/>
          <w:lang w:val="en-CA"/>
        </w:rPr>
        <w:lastRenderedPageBreak/>
        <w:t>HPMP verification</w:t>
      </w:r>
    </w:p>
    <w:p w:rsidR="002D39BC" w:rsidRPr="00863226" w:rsidRDefault="002D39BC" w:rsidP="00177FA8">
      <w:pPr>
        <w:keepNext/>
        <w:rPr>
          <w:lang w:val="en-CA"/>
        </w:rPr>
      </w:pPr>
    </w:p>
    <w:p w:rsidR="002D39BC" w:rsidRPr="00863226" w:rsidRDefault="002D39BC" w:rsidP="00177FA8">
      <w:pPr>
        <w:pStyle w:val="Heading1"/>
        <w:rPr>
          <w:lang w:val="en-CA"/>
        </w:rPr>
      </w:pPr>
      <w:r w:rsidRPr="00863226">
        <w:rPr>
          <w:lang w:val="en-CA"/>
        </w:rPr>
        <w:t xml:space="preserve">The Secretariat has included an amount of </w:t>
      </w:r>
      <w:r w:rsidR="00177FA8" w:rsidRPr="00863226">
        <w:rPr>
          <w:lang w:val="en-CA"/>
        </w:rPr>
        <w:t>US $</w:t>
      </w:r>
      <w:r w:rsidRPr="00863226">
        <w:rPr>
          <w:lang w:val="en-CA"/>
        </w:rPr>
        <w:t>588,600 per year for verification reports,</w:t>
      </w:r>
      <w:r w:rsidRPr="00863226">
        <w:rPr>
          <w:vertAlign w:val="superscript"/>
          <w:lang w:val="en-CA"/>
        </w:rPr>
        <w:footnoteReference w:id="9"/>
      </w:r>
      <w:r w:rsidRPr="00863226">
        <w:rPr>
          <w:lang w:val="en-CA"/>
        </w:rPr>
        <w:t xml:space="preserve"> assuming that 18 reports, each at a cost of </w:t>
      </w:r>
      <w:r w:rsidR="00177FA8" w:rsidRPr="00863226">
        <w:rPr>
          <w:lang w:val="en-CA"/>
        </w:rPr>
        <w:t>US $</w:t>
      </w:r>
      <w:r w:rsidRPr="00863226">
        <w:rPr>
          <w:lang w:val="en-CA"/>
        </w:rPr>
        <w:t>32,700, will be prepared (</w:t>
      </w:r>
      <w:r w:rsidR="00177FA8" w:rsidRPr="00863226">
        <w:rPr>
          <w:lang w:val="en-CA"/>
        </w:rPr>
        <w:t>US $</w:t>
      </w:r>
      <w:r w:rsidRPr="00863226">
        <w:rPr>
          <w:lang w:val="en-CA"/>
        </w:rPr>
        <w:t>1.77 million for 202</w:t>
      </w:r>
      <w:r w:rsidR="008E5B77" w:rsidRPr="00863226">
        <w:rPr>
          <w:lang w:val="en-CA"/>
        </w:rPr>
        <w:t>1</w:t>
      </w:r>
      <w:r w:rsidRPr="00863226">
        <w:rPr>
          <w:lang w:val="en-CA"/>
        </w:rPr>
        <w:t>–202</w:t>
      </w:r>
      <w:r w:rsidR="008E5B77" w:rsidRPr="00863226">
        <w:rPr>
          <w:lang w:val="en-CA"/>
        </w:rPr>
        <w:t>3</w:t>
      </w:r>
      <w:r w:rsidRPr="00863226">
        <w:rPr>
          <w:lang w:val="en-CA"/>
        </w:rPr>
        <w:t>).</w:t>
      </w:r>
    </w:p>
    <w:p w:rsidR="002D39BC" w:rsidRPr="00863226" w:rsidRDefault="002D39BC" w:rsidP="00177FA8">
      <w:pPr>
        <w:pStyle w:val="Heading1"/>
        <w:numPr>
          <w:ilvl w:val="0"/>
          <w:numId w:val="0"/>
        </w:numPr>
        <w:rPr>
          <w:u w:val="single"/>
          <w:lang w:val="en-CA"/>
        </w:rPr>
      </w:pPr>
      <w:r w:rsidRPr="00863226">
        <w:rPr>
          <w:u w:val="single"/>
          <w:lang w:val="en-CA"/>
        </w:rPr>
        <w:t>HCFC technical assistance regional project</w:t>
      </w:r>
      <w:r w:rsidR="00505712" w:rsidRPr="00863226">
        <w:rPr>
          <w:u w:val="single"/>
          <w:lang w:val="en-CA"/>
        </w:rPr>
        <w:t>s</w:t>
      </w:r>
    </w:p>
    <w:p w:rsidR="002D39BC" w:rsidRPr="00863226" w:rsidRDefault="002D39BC" w:rsidP="00F35C6F">
      <w:pPr>
        <w:pStyle w:val="Heading1"/>
        <w:rPr>
          <w:lang w:val="en-CA"/>
        </w:rPr>
      </w:pPr>
      <w:r w:rsidRPr="00863226">
        <w:rPr>
          <w:lang w:val="en-CA"/>
        </w:rPr>
        <w:t>The business plan includes two HCFC technical assistance regional projects for “promoting low</w:t>
      </w:r>
      <w:r w:rsidRPr="00863226">
        <w:rPr>
          <w:lang w:val="en-CA"/>
        </w:rPr>
        <w:noBreakHyphen/>
        <w:t xml:space="preserve">global warming potential refrigerants for air-conditioning sectors in high ambient temperature countries (PRAHA-III)”, amounting to </w:t>
      </w:r>
      <w:r w:rsidR="00177FA8" w:rsidRPr="00863226">
        <w:rPr>
          <w:lang w:val="en-CA"/>
        </w:rPr>
        <w:t>US $</w:t>
      </w:r>
      <w:r w:rsidRPr="00863226">
        <w:rPr>
          <w:lang w:val="en-CA"/>
        </w:rPr>
        <w:t>990,000 in 202</w:t>
      </w:r>
      <w:r w:rsidR="002C2EE4" w:rsidRPr="00863226">
        <w:rPr>
          <w:lang w:val="en-CA"/>
        </w:rPr>
        <w:t>1</w:t>
      </w:r>
      <w:r w:rsidRPr="00863226">
        <w:rPr>
          <w:lang w:val="en-CA"/>
        </w:rPr>
        <w:t xml:space="preserve">. No funding window for such </w:t>
      </w:r>
      <w:r w:rsidR="008E4124" w:rsidRPr="00863226">
        <w:rPr>
          <w:lang w:val="en-CA"/>
        </w:rPr>
        <w:t xml:space="preserve">technical assistance </w:t>
      </w:r>
      <w:r w:rsidRPr="00863226">
        <w:rPr>
          <w:lang w:val="en-CA"/>
        </w:rPr>
        <w:t>project</w:t>
      </w:r>
      <w:r w:rsidR="008E4124" w:rsidRPr="00863226">
        <w:rPr>
          <w:lang w:val="en-CA"/>
        </w:rPr>
        <w:t>s</w:t>
      </w:r>
      <w:r w:rsidRPr="00863226">
        <w:rPr>
          <w:lang w:val="en-CA"/>
        </w:rPr>
        <w:t xml:space="preserve"> is available. </w:t>
      </w:r>
      <w:r w:rsidR="000C1CC7" w:rsidRPr="00863226">
        <w:rPr>
          <w:lang w:val="en-CA"/>
        </w:rPr>
        <w:t>However, based on the discussion at the 84</w:t>
      </w:r>
      <w:r w:rsidR="000C1CC7" w:rsidRPr="00863226">
        <w:rPr>
          <w:vertAlign w:val="superscript"/>
          <w:lang w:val="en-CA"/>
        </w:rPr>
        <w:t>th</w:t>
      </w:r>
      <w:r w:rsidR="000C1CC7" w:rsidRPr="00863226">
        <w:rPr>
          <w:lang w:val="en-CA"/>
        </w:rPr>
        <w:t xml:space="preserve"> meeting, several Executive Committee members were interested in the inclusion of these activities in the business plan.</w:t>
      </w:r>
      <w:r w:rsidR="00505712" w:rsidRPr="00863226">
        <w:rPr>
          <w:rStyle w:val="FootnoteReference"/>
          <w:lang w:val="en-CA"/>
        </w:rPr>
        <w:footnoteReference w:id="10"/>
      </w:r>
      <w:r w:rsidR="000C1CC7" w:rsidRPr="00863226">
        <w:rPr>
          <w:lang w:val="en-CA"/>
        </w:rPr>
        <w:t xml:space="preserve"> The Secretariat would like to seek guidance from the Executive Committee on whether these activities </w:t>
      </w:r>
      <w:r w:rsidR="002C4A5F" w:rsidRPr="00863226">
        <w:rPr>
          <w:lang w:val="en-CA"/>
        </w:rPr>
        <w:t>could be reinstated in the 2021</w:t>
      </w:r>
      <w:r w:rsidR="00F35C6F" w:rsidRPr="00863226">
        <w:rPr>
          <w:lang w:val="en-CA"/>
        </w:rPr>
        <w:t>–</w:t>
      </w:r>
      <w:r w:rsidR="000C1CC7" w:rsidRPr="00863226">
        <w:rPr>
          <w:lang w:val="en-CA"/>
        </w:rPr>
        <w:t>2023 business plan.</w:t>
      </w:r>
    </w:p>
    <w:p w:rsidR="002D39BC" w:rsidRPr="00863226" w:rsidRDefault="002D39BC" w:rsidP="00177FA8">
      <w:pPr>
        <w:rPr>
          <w:u w:val="single"/>
          <w:lang w:val="en-CA"/>
        </w:rPr>
      </w:pPr>
      <w:r w:rsidRPr="00863226">
        <w:rPr>
          <w:u w:val="single"/>
          <w:lang w:val="en-CA"/>
        </w:rPr>
        <w:t>HFC-related activities</w:t>
      </w:r>
    </w:p>
    <w:p w:rsidR="002D39BC" w:rsidRPr="00863226" w:rsidRDefault="002D39BC" w:rsidP="00177FA8">
      <w:pPr>
        <w:rPr>
          <w:b/>
          <w:lang w:val="en-CA"/>
        </w:rPr>
      </w:pPr>
    </w:p>
    <w:p w:rsidR="002D39BC" w:rsidRPr="00863226" w:rsidRDefault="002D39BC" w:rsidP="00177FA8">
      <w:pPr>
        <w:pStyle w:val="Heading1"/>
        <w:rPr>
          <w:lang w:val="en-CA"/>
        </w:rPr>
      </w:pPr>
      <w:r w:rsidRPr="00863226">
        <w:rPr>
          <w:lang w:val="en-CA"/>
        </w:rPr>
        <w:t xml:space="preserve">HFC activities include </w:t>
      </w:r>
      <w:r w:rsidR="002814CA" w:rsidRPr="00863226">
        <w:rPr>
          <w:lang w:val="en-CA"/>
        </w:rPr>
        <w:t xml:space="preserve">a demonstration project amounting to </w:t>
      </w:r>
      <w:r w:rsidR="00177FA8" w:rsidRPr="00863226">
        <w:rPr>
          <w:lang w:val="en-CA"/>
        </w:rPr>
        <w:t>US $</w:t>
      </w:r>
      <w:r w:rsidR="002814CA" w:rsidRPr="00863226">
        <w:rPr>
          <w:lang w:val="en-CA"/>
        </w:rPr>
        <w:t xml:space="preserve">56,500 in 2021 for one country (Egypt); three investment activities amounting to </w:t>
      </w:r>
      <w:r w:rsidR="00177FA8" w:rsidRPr="00863226">
        <w:rPr>
          <w:lang w:val="en-CA"/>
        </w:rPr>
        <w:t>US $</w:t>
      </w:r>
      <w:r w:rsidR="002814CA" w:rsidRPr="00863226">
        <w:rPr>
          <w:lang w:val="en-CA"/>
        </w:rPr>
        <w:t>3.53 million in 2021 for three countries (Egypt, India and the Sudan)</w:t>
      </w:r>
      <w:r w:rsidRPr="00863226">
        <w:rPr>
          <w:lang w:val="en-CA"/>
        </w:rPr>
        <w:t xml:space="preserve">; </w:t>
      </w:r>
      <w:r w:rsidR="002814CA" w:rsidRPr="00863226">
        <w:t xml:space="preserve">enabling activities amounting to </w:t>
      </w:r>
      <w:r w:rsidR="00177FA8" w:rsidRPr="00863226">
        <w:t>US $</w:t>
      </w:r>
      <w:r w:rsidR="002814CA" w:rsidRPr="00863226">
        <w:t>481,500 in 2021 and 2022 for three countries (Antigua and Barbuda, the Central African Republic and India)</w:t>
      </w:r>
      <w:r w:rsidRPr="00863226">
        <w:rPr>
          <w:lang w:val="en-CA"/>
        </w:rPr>
        <w:t xml:space="preserve">; HFC phase-down </w:t>
      </w:r>
      <w:r w:rsidR="00CE6230" w:rsidRPr="00863226">
        <w:rPr>
          <w:lang w:val="en-CA"/>
        </w:rPr>
        <w:t xml:space="preserve">plan </w:t>
      </w:r>
      <w:r w:rsidRPr="00863226">
        <w:rPr>
          <w:lang w:val="en-CA"/>
        </w:rPr>
        <w:t>preparation</w:t>
      </w:r>
      <w:r w:rsidR="003E150B" w:rsidRPr="00863226">
        <w:rPr>
          <w:rStyle w:val="FootnoteReference"/>
        </w:rPr>
        <w:footnoteReference w:id="11"/>
      </w:r>
      <w:r w:rsidRPr="00863226">
        <w:rPr>
          <w:lang w:val="en-CA"/>
        </w:rPr>
        <w:t xml:space="preserve"> for </w:t>
      </w:r>
      <w:r w:rsidR="003E150B" w:rsidRPr="00863226">
        <w:rPr>
          <w:lang w:val="en-CA"/>
        </w:rPr>
        <w:t>79</w:t>
      </w:r>
      <w:r w:rsidR="00F35C6F" w:rsidRPr="00863226">
        <w:rPr>
          <w:lang w:val="en-CA"/>
        </w:rPr>
        <w:t> </w:t>
      </w:r>
      <w:r w:rsidR="00456B82" w:rsidRPr="00863226">
        <w:rPr>
          <w:lang w:val="en-CA"/>
        </w:rPr>
        <w:t xml:space="preserve">countries amounting to </w:t>
      </w:r>
      <w:r w:rsidR="00177FA8" w:rsidRPr="00863226">
        <w:rPr>
          <w:lang w:val="en-CA"/>
        </w:rPr>
        <w:t>US $</w:t>
      </w:r>
      <w:r w:rsidR="003E150B" w:rsidRPr="00863226">
        <w:rPr>
          <w:lang w:val="en-CA"/>
        </w:rPr>
        <w:t>12.03</w:t>
      </w:r>
      <w:r w:rsidRPr="00863226">
        <w:rPr>
          <w:lang w:val="en-CA"/>
        </w:rPr>
        <w:t xml:space="preserve"> million in 202</w:t>
      </w:r>
      <w:r w:rsidR="003E150B" w:rsidRPr="00863226">
        <w:rPr>
          <w:lang w:val="en-CA"/>
        </w:rPr>
        <w:t>1</w:t>
      </w:r>
      <w:r w:rsidRPr="00863226">
        <w:rPr>
          <w:lang w:val="en-CA"/>
        </w:rPr>
        <w:t>–202</w:t>
      </w:r>
      <w:r w:rsidR="003E150B" w:rsidRPr="00863226">
        <w:rPr>
          <w:lang w:val="en-CA"/>
        </w:rPr>
        <w:t>3</w:t>
      </w:r>
      <w:r w:rsidRPr="00863226">
        <w:rPr>
          <w:lang w:val="en-CA"/>
        </w:rPr>
        <w:t xml:space="preserve">; </w:t>
      </w:r>
      <w:r w:rsidR="00967CF6" w:rsidRPr="00863226">
        <w:t>HFC phase-down management plan</w:t>
      </w:r>
      <w:r w:rsidR="00CE6230" w:rsidRPr="00863226">
        <w:t>s</w:t>
      </w:r>
      <w:r w:rsidR="00F35C6F" w:rsidRPr="00863226">
        <w:t xml:space="preserve"> for 39 </w:t>
      </w:r>
      <w:r w:rsidR="00967CF6" w:rsidRPr="00863226">
        <w:t xml:space="preserve">countries amounting to </w:t>
      </w:r>
      <w:r w:rsidR="00177FA8" w:rsidRPr="00863226">
        <w:t>US $</w:t>
      </w:r>
      <w:r w:rsidR="00967CF6" w:rsidRPr="00863226">
        <w:t>63.9</w:t>
      </w:r>
      <w:r w:rsidR="000E5AA0" w:rsidRPr="00863226">
        <w:t>0</w:t>
      </w:r>
      <w:r w:rsidR="00967CF6" w:rsidRPr="00863226">
        <w:t xml:space="preserve"> million (including </w:t>
      </w:r>
      <w:r w:rsidR="00177FA8" w:rsidRPr="00863226">
        <w:t>US $</w:t>
      </w:r>
      <w:r w:rsidR="00967CF6" w:rsidRPr="00863226">
        <w:t>47.43 million in 2021–2023)</w:t>
      </w:r>
      <w:r w:rsidR="003C0139" w:rsidRPr="00863226">
        <w:t xml:space="preserve">; and one technical assistance activity amounting to </w:t>
      </w:r>
      <w:r w:rsidR="00177FA8" w:rsidRPr="00863226">
        <w:t>US $</w:t>
      </w:r>
      <w:r w:rsidR="003C0139" w:rsidRPr="00863226">
        <w:t xml:space="preserve">1.36 million (including </w:t>
      </w:r>
      <w:r w:rsidR="00177FA8" w:rsidRPr="00863226">
        <w:t>US $</w:t>
      </w:r>
      <w:r w:rsidR="004E5B51" w:rsidRPr="00863226">
        <w:t>678,000 for 2021–2023).</w:t>
      </w:r>
    </w:p>
    <w:p w:rsidR="00785C98" w:rsidRPr="00863226" w:rsidRDefault="00960D67" w:rsidP="00177FA8">
      <w:pPr>
        <w:pStyle w:val="Heading1"/>
        <w:widowControl w:val="0"/>
      </w:pPr>
      <w:r w:rsidRPr="00863226">
        <w:t>T</w:t>
      </w:r>
      <w:r w:rsidR="00785C98" w:rsidRPr="00863226">
        <w:t xml:space="preserve">he demonstration project for </w:t>
      </w:r>
      <w:r w:rsidR="000E5AA0" w:rsidRPr="00863226">
        <w:t xml:space="preserve">conversion of </w:t>
      </w:r>
      <w:r w:rsidR="00785C98" w:rsidRPr="00863226">
        <w:t>one production line of a compressor manufacturing company (ZMC) (from HFC-134a</w:t>
      </w:r>
      <w:r w:rsidRPr="00863226">
        <w:t xml:space="preserve"> to HC-600a) in Egypt</w:t>
      </w:r>
      <w:r w:rsidR="00785C98" w:rsidRPr="00863226">
        <w:t xml:space="preserve"> is for</w:t>
      </w:r>
      <w:r w:rsidR="000E5AA0" w:rsidRPr="00863226">
        <w:t xml:space="preserve"> the non-investment components of the project including</w:t>
      </w:r>
      <w:r w:rsidR="00785C98" w:rsidRPr="00863226">
        <w:t xml:space="preserve"> policy preparation and market readiness assessment and therefore not eligible under decision 78/3(g).</w:t>
      </w:r>
    </w:p>
    <w:p w:rsidR="00785C98" w:rsidRPr="00863226" w:rsidRDefault="00785C98" w:rsidP="00177FA8">
      <w:pPr>
        <w:pStyle w:val="Heading1"/>
      </w:pPr>
      <w:r w:rsidRPr="00863226">
        <w:t>Regarding enabling activities, all three countries submitted the required letter from their Government indicating their intent to make best efforts to ratify the Kigali Amendment as early as possible, in line with decision 79/46(d)(</w:t>
      </w:r>
      <w:proofErr w:type="spellStart"/>
      <w:r w:rsidRPr="00863226">
        <w:t>i</w:t>
      </w:r>
      <w:proofErr w:type="spellEnd"/>
      <w:r w:rsidRPr="00863226">
        <w:t>).</w:t>
      </w:r>
    </w:p>
    <w:p w:rsidR="00AB487D" w:rsidRPr="00863226" w:rsidRDefault="00AB487D" w:rsidP="00177FA8">
      <w:pPr>
        <w:pStyle w:val="Heading1"/>
        <w:rPr>
          <w:lang w:val="en-CA"/>
        </w:rPr>
      </w:pPr>
      <w:r w:rsidRPr="00863226">
        <w:rPr>
          <w:lang w:val="en-CA"/>
        </w:rPr>
        <w:t>The HFC investment projects in Egypt and the Sudan were included in the business plan pursuant to decision 78/3(g). The project preparation for the Sudan has been submitted to the 86</w:t>
      </w:r>
      <w:r w:rsidRPr="00863226">
        <w:rPr>
          <w:vertAlign w:val="superscript"/>
          <w:lang w:val="en-CA"/>
        </w:rPr>
        <w:t>th</w:t>
      </w:r>
      <w:r w:rsidRPr="00863226">
        <w:rPr>
          <w:lang w:val="en-CA"/>
        </w:rPr>
        <w:t xml:space="preserve"> meeting. The HFC investment project in India is not </w:t>
      </w:r>
      <w:r w:rsidR="004D68F5" w:rsidRPr="00863226">
        <w:rPr>
          <w:lang w:val="en-CA"/>
        </w:rPr>
        <w:t>for the</w:t>
      </w:r>
      <w:r w:rsidRPr="00863226">
        <w:rPr>
          <w:lang w:val="en-CA"/>
        </w:rPr>
        <w:t xml:space="preserve"> manufacturing sector and therefore, not eligible pursuant to decision 78/3(g). </w:t>
      </w:r>
    </w:p>
    <w:p w:rsidR="002D39BC" w:rsidRPr="00863226" w:rsidRDefault="009663CE" w:rsidP="00177FA8">
      <w:pPr>
        <w:pStyle w:val="Heading1"/>
        <w:rPr>
          <w:lang w:val="en-CA"/>
        </w:rPr>
      </w:pPr>
      <w:r w:rsidRPr="00863226">
        <w:rPr>
          <w:lang w:val="en-CA"/>
        </w:rPr>
        <w:t xml:space="preserve">Thirty-seven </w:t>
      </w:r>
      <w:r w:rsidR="0057276F" w:rsidRPr="00863226">
        <w:rPr>
          <w:lang w:val="en-CA"/>
        </w:rPr>
        <w:t>o</w:t>
      </w:r>
      <w:r w:rsidR="002D39BC" w:rsidRPr="00863226">
        <w:rPr>
          <w:lang w:val="en-CA"/>
        </w:rPr>
        <w:t xml:space="preserve">f the </w:t>
      </w:r>
      <w:r w:rsidR="0057276F" w:rsidRPr="00863226">
        <w:rPr>
          <w:lang w:val="en-CA"/>
        </w:rPr>
        <w:t>79</w:t>
      </w:r>
      <w:r w:rsidR="002D39BC" w:rsidRPr="00863226">
        <w:rPr>
          <w:lang w:val="en-CA"/>
        </w:rPr>
        <w:t xml:space="preserve"> countries included in the business plan</w:t>
      </w:r>
      <w:r w:rsidRPr="00863226">
        <w:rPr>
          <w:lang w:val="en-CA"/>
        </w:rPr>
        <w:t xml:space="preserve"> for HFC-related preparation activities, </w:t>
      </w:r>
      <w:r w:rsidR="002D39BC" w:rsidRPr="00863226">
        <w:rPr>
          <w:lang w:val="en-CA"/>
        </w:rPr>
        <w:t xml:space="preserve">have not ratified the Kigali Amendment. Of these, </w:t>
      </w:r>
      <w:r w:rsidR="00226F42" w:rsidRPr="00863226">
        <w:rPr>
          <w:lang w:val="en-CA"/>
        </w:rPr>
        <w:t>three</w:t>
      </w:r>
      <w:r w:rsidR="002D39BC" w:rsidRPr="00863226">
        <w:rPr>
          <w:lang w:val="en-CA"/>
        </w:rPr>
        <w:t xml:space="preserve"> countries have </w:t>
      </w:r>
      <w:r w:rsidR="00226F42" w:rsidRPr="00863226">
        <w:rPr>
          <w:lang w:val="en-CA"/>
        </w:rPr>
        <w:t xml:space="preserve">not </w:t>
      </w:r>
      <w:r w:rsidR="002D39BC" w:rsidRPr="00863226">
        <w:rPr>
          <w:lang w:val="en-CA"/>
        </w:rPr>
        <w:t>submitted the required letter from their Government indicating their intent to make best efforts to ratify the Kigali Amendment</w:t>
      </w:r>
      <w:r w:rsidRPr="00863226">
        <w:rPr>
          <w:lang w:val="en-CA"/>
        </w:rPr>
        <w:t xml:space="preserve"> </w:t>
      </w:r>
      <w:r w:rsidR="006773C4" w:rsidRPr="00863226">
        <w:rPr>
          <w:lang w:val="en-CA"/>
        </w:rPr>
        <w:t xml:space="preserve">and </w:t>
      </w:r>
      <w:r w:rsidR="00D90FFD" w:rsidRPr="00863226">
        <w:rPr>
          <w:lang w:val="en-CA"/>
        </w:rPr>
        <w:t xml:space="preserve">have been </w:t>
      </w:r>
      <w:r w:rsidR="006773C4" w:rsidRPr="00863226">
        <w:rPr>
          <w:lang w:val="en-CA"/>
        </w:rPr>
        <w:t xml:space="preserve">removed from the business plan. </w:t>
      </w:r>
    </w:p>
    <w:p w:rsidR="00226F42" w:rsidRPr="00863226" w:rsidRDefault="00226F42" w:rsidP="00177FA8">
      <w:pPr>
        <w:pStyle w:val="Heading1"/>
      </w:pPr>
      <w:r w:rsidRPr="00863226">
        <w:lastRenderedPageBreak/>
        <w:t>Regarding HFC phase-down management plan</w:t>
      </w:r>
      <w:r w:rsidR="00EF0273" w:rsidRPr="00863226">
        <w:t>s</w:t>
      </w:r>
      <w:r w:rsidRPr="00863226">
        <w:t xml:space="preserve">, decision 84/46(g) allowed inclusion of </w:t>
      </w:r>
      <w:r w:rsidR="00CE6230" w:rsidRPr="00863226">
        <w:t>such</w:t>
      </w:r>
      <w:r w:rsidRPr="00863226">
        <w:t xml:space="preserve"> plans in the business plan </w:t>
      </w:r>
      <w:r w:rsidR="00EF0273" w:rsidRPr="00863226">
        <w:t xml:space="preserve">only </w:t>
      </w:r>
      <w:r w:rsidRPr="00863226">
        <w:t>for countries that had ratified the Kigali Amendment. Of the 39 coun</w:t>
      </w:r>
      <w:r w:rsidR="00D90FFD" w:rsidRPr="00863226">
        <w:t>tries, 15 </w:t>
      </w:r>
      <w:r w:rsidRPr="00863226">
        <w:t>countries have not ratified the Kigali Amendment</w:t>
      </w:r>
      <w:r w:rsidR="006773C4" w:rsidRPr="00863226">
        <w:t xml:space="preserve"> and </w:t>
      </w:r>
      <w:r w:rsidR="0095191E" w:rsidRPr="00863226">
        <w:t xml:space="preserve">have been </w:t>
      </w:r>
      <w:r w:rsidR="006773C4" w:rsidRPr="00863226">
        <w:t>removed from the business plan</w:t>
      </w:r>
      <w:r w:rsidRPr="00863226">
        <w:t>.</w:t>
      </w:r>
      <w:r w:rsidR="009663CE" w:rsidRPr="00863226">
        <w:t xml:space="preserve"> </w:t>
      </w:r>
    </w:p>
    <w:p w:rsidR="003C0139" w:rsidRPr="00863226" w:rsidRDefault="003C0139" w:rsidP="00177FA8">
      <w:pPr>
        <w:pStyle w:val="Heading1"/>
        <w:rPr>
          <w:lang w:val="en-CA"/>
        </w:rPr>
      </w:pPr>
      <w:r w:rsidRPr="00863226">
        <w:rPr>
          <w:lang w:val="en-CA"/>
        </w:rPr>
        <w:t>The HFC technical assistance global project for “Twinning of Ozone Officers and National Energy Policymakers to support Kigali Amendment Objectives” is not eligible for funding.</w:t>
      </w:r>
    </w:p>
    <w:p w:rsidR="002D39BC" w:rsidRPr="00863226" w:rsidRDefault="002D39BC" w:rsidP="00177FA8">
      <w:pPr>
        <w:keepNext/>
        <w:rPr>
          <w:b/>
          <w:bCs/>
          <w:lang w:val="en-CA"/>
        </w:rPr>
      </w:pPr>
      <w:r w:rsidRPr="00863226">
        <w:rPr>
          <w:b/>
          <w:bCs/>
          <w:lang w:val="en-CA"/>
        </w:rPr>
        <w:t>Adjustments to the consolidated business plan of the Multilateral Fund for 202</w:t>
      </w:r>
      <w:r w:rsidR="00345351" w:rsidRPr="00863226">
        <w:rPr>
          <w:b/>
          <w:bCs/>
          <w:lang w:val="en-CA"/>
        </w:rPr>
        <w:t>1</w:t>
      </w:r>
      <w:r w:rsidRPr="00863226">
        <w:rPr>
          <w:b/>
          <w:bCs/>
          <w:lang w:val="en-CA"/>
        </w:rPr>
        <w:t>–202</w:t>
      </w:r>
      <w:r w:rsidR="00345351" w:rsidRPr="00863226">
        <w:rPr>
          <w:b/>
          <w:bCs/>
          <w:lang w:val="en-CA"/>
        </w:rPr>
        <w:t>3</w:t>
      </w:r>
    </w:p>
    <w:p w:rsidR="002D39BC" w:rsidRPr="00863226" w:rsidRDefault="002D39BC" w:rsidP="00177FA8">
      <w:pPr>
        <w:keepNext/>
        <w:rPr>
          <w:b/>
          <w:bCs/>
          <w:caps/>
          <w:lang w:val="en-CA"/>
        </w:rPr>
      </w:pPr>
    </w:p>
    <w:p w:rsidR="009663CE" w:rsidRPr="00863226" w:rsidRDefault="00345351" w:rsidP="00177FA8">
      <w:pPr>
        <w:pStyle w:val="Heading1"/>
        <w:rPr>
          <w:lang w:val="en-CA"/>
        </w:rPr>
      </w:pPr>
      <w:r w:rsidRPr="00863226">
        <w:rPr>
          <w:lang w:val="en-CA"/>
        </w:rPr>
        <w:t xml:space="preserve">The adjustments to the consolidated business plan for 2021–2023 were based on relevant decisions of the Executive Committee. Further adjustments may be required pending </w:t>
      </w:r>
      <w:r w:rsidRPr="00863226">
        <w:t>a decision by the Parties on the level of the replenishment of the Multilateral Fund for the 2021–2023 triennium.</w:t>
      </w:r>
      <w:r w:rsidRPr="00863226">
        <w:rPr>
          <w:rStyle w:val="FootnoteReference"/>
        </w:rPr>
        <w:footnoteReference w:id="12"/>
      </w:r>
      <w:r w:rsidRPr="00863226">
        <w:t xml:space="preserve"> </w:t>
      </w:r>
    </w:p>
    <w:p w:rsidR="002D39BC" w:rsidRPr="00863226" w:rsidRDefault="002D39BC" w:rsidP="00177FA8">
      <w:pPr>
        <w:pStyle w:val="Heading1"/>
        <w:rPr>
          <w:lang w:val="en-CA"/>
        </w:rPr>
      </w:pPr>
      <w:r w:rsidRPr="00863226">
        <w:rPr>
          <w:lang w:val="en-CA"/>
        </w:rPr>
        <w:t xml:space="preserve">However, in reviewing the revised business plans </w:t>
      </w:r>
      <w:r w:rsidR="00345351" w:rsidRPr="00863226">
        <w:rPr>
          <w:lang w:val="en-CA"/>
        </w:rPr>
        <w:t>for 2021</w:t>
      </w:r>
      <w:r w:rsidR="006009EB" w:rsidRPr="00863226">
        <w:rPr>
          <w:lang w:val="en-CA"/>
        </w:rPr>
        <w:t>–</w:t>
      </w:r>
      <w:r w:rsidR="00345351" w:rsidRPr="00863226">
        <w:rPr>
          <w:lang w:val="en-CA"/>
        </w:rPr>
        <w:t>2023</w:t>
      </w:r>
      <w:r w:rsidRPr="00863226">
        <w:rPr>
          <w:lang w:val="en-CA"/>
        </w:rPr>
        <w:t xml:space="preserve">, it was noted that the adjustments listed in Table 5 below were not considered: </w:t>
      </w:r>
    </w:p>
    <w:p w:rsidR="002D39BC" w:rsidRPr="00863226" w:rsidRDefault="002D39BC" w:rsidP="00177FA8">
      <w:pPr>
        <w:keepNext/>
        <w:rPr>
          <w:b/>
          <w:bCs/>
          <w:lang w:val="en-CA"/>
        </w:rPr>
      </w:pPr>
      <w:r w:rsidRPr="00863226">
        <w:rPr>
          <w:b/>
          <w:lang w:val="en-CA"/>
        </w:rPr>
        <w:t xml:space="preserve">Table 5. </w:t>
      </w:r>
      <w:r w:rsidRPr="00863226">
        <w:rPr>
          <w:b/>
          <w:bCs/>
          <w:lang w:val="en-CA"/>
        </w:rPr>
        <w:t>Further adjustments to the consolidated business plan of the Multilateral Fund for 202</w:t>
      </w:r>
      <w:r w:rsidR="00345351" w:rsidRPr="00863226">
        <w:rPr>
          <w:b/>
          <w:bCs/>
          <w:lang w:val="en-CA"/>
        </w:rPr>
        <w:t>1</w:t>
      </w:r>
      <w:r w:rsidR="006009EB" w:rsidRPr="00863226">
        <w:rPr>
          <w:b/>
          <w:bCs/>
          <w:lang w:val="en-CA"/>
        </w:rPr>
        <w:noBreakHyphen/>
      </w:r>
      <w:r w:rsidRPr="00863226">
        <w:rPr>
          <w:b/>
          <w:bCs/>
          <w:lang w:val="en-CA"/>
        </w:rPr>
        <w:t>202</w:t>
      </w:r>
      <w:r w:rsidR="00345351" w:rsidRPr="00863226">
        <w:rPr>
          <w:b/>
          <w:bCs/>
          <w:lang w:val="en-CA"/>
        </w:rPr>
        <w:t>3</w:t>
      </w:r>
      <w:r w:rsidRPr="00863226">
        <w:rPr>
          <w:b/>
          <w:bCs/>
          <w:lang w:val="en-CA"/>
        </w:rPr>
        <w:t xml:space="preserve"> </w:t>
      </w:r>
      <w:r w:rsidRPr="00863226">
        <w:rPr>
          <w:b/>
          <w:lang w:val="en-CA"/>
        </w:rPr>
        <w:t>(</w:t>
      </w:r>
      <w:r w:rsidR="00177FA8" w:rsidRPr="00863226">
        <w:rPr>
          <w:b/>
          <w:lang w:val="en-CA"/>
        </w:rPr>
        <w:t>US $</w:t>
      </w:r>
      <w:r w:rsidRPr="00863226">
        <w:rPr>
          <w:b/>
          <w:lang w:val="en-CA"/>
        </w:rPr>
        <w:t>000)</w:t>
      </w:r>
    </w:p>
    <w:tbl>
      <w:tblPr>
        <w:tblStyle w:val="TableGrid"/>
        <w:tblW w:w="9445" w:type="dxa"/>
        <w:tblLook w:val="04A0" w:firstRow="1" w:lastRow="0" w:firstColumn="1" w:lastColumn="0" w:noHBand="0" w:noVBand="1"/>
      </w:tblPr>
      <w:tblGrid>
        <w:gridCol w:w="6722"/>
        <w:gridCol w:w="1361"/>
        <w:gridCol w:w="1362"/>
      </w:tblGrid>
      <w:tr w:rsidR="00863226" w:rsidRPr="00863226" w:rsidTr="00177FA8">
        <w:trPr>
          <w:tblHeader/>
        </w:trPr>
        <w:tc>
          <w:tcPr>
            <w:tcW w:w="6722" w:type="dxa"/>
          </w:tcPr>
          <w:p w:rsidR="002D39BC" w:rsidRPr="00863226" w:rsidRDefault="002D39BC" w:rsidP="00177FA8">
            <w:pPr>
              <w:rPr>
                <w:b/>
                <w:sz w:val="21"/>
                <w:szCs w:val="21"/>
                <w:lang w:val="en-CA"/>
              </w:rPr>
            </w:pPr>
            <w:r w:rsidRPr="00863226">
              <w:rPr>
                <w:b/>
                <w:sz w:val="21"/>
                <w:szCs w:val="21"/>
                <w:lang w:val="en-CA"/>
              </w:rPr>
              <w:t>Adjustment</w:t>
            </w:r>
          </w:p>
        </w:tc>
        <w:tc>
          <w:tcPr>
            <w:tcW w:w="1361" w:type="dxa"/>
          </w:tcPr>
          <w:p w:rsidR="002D39BC" w:rsidRPr="00863226" w:rsidRDefault="002D39BC" w:rsidP="00177FA8">
            <w:pPr>
              <w:jc w:val="center"/>
              <w:rPr>
                <w:b/>
                <w:sz w:val="21"/>
                <w:szCs w:val="21"/>
                <w:lang w:val="en-CA"/>
              </w:rPr>
            </w:pPr>
            <w:r w:rsidRPr="00863226">
              <w:rPr>
                <w:b/>
                <w:sz w:val="21"/>
                <w:szCs w:val="21"/>
                <w:lang w:val="en-CA"/>
              </w:rPr>
              <w:t>202</w:t>
            </w:r>
            <w:r w:rsidR="00C62160" w:rsidRPr="00863226">
              <w:rPr>
                <w:b/>
                <w:sz w:val="21"/>
                <w:szCs w:val="21"/>
                <w:lang w:val="en-CA"/>
              </w:rPr>
              <w:t>1</w:t>
            </w:r>
            <w:r w:rsidRPr="00863226">
              <w:rPr>
                <w:b/>
                <w:sz w:val="21"/>
                <w:szCs w:val="21"/>
                <w:lang w:val="en-CA"/>
              </w:rPr>
              <w:t>–202</w:t>
            </w:r>
            <w:r w:rsidR="00C62160" w:rsidRPr="00863226">
              <w:rPr>
                <w:b/>
                <w:sz w:val="21"/>
                <w:szCs w:val="21"/>
                <w:lang w:val="en-CA"/>
              </w:rPr>
              <w:t>3</w:t>
            </w:r>
            <w:r w:rsidRPr="00863226">
              <w:rPr>
                <w:b/>
                <w:sz w:val="21"/>
                <w:szCs w:val="21"/>
                <w:lang w:val="en-CA"/>
              </w:rPr>
              <w:t xml:space="preserve"> </w:t>
            </w:r>
          </w:p>
        </w:tc>
        <w:tc>
          <w:tcPr>
            <w:tcW w:w="1362" w:type="dxa"/>
          </w:tcPr>
          <w:p w:rsidR="002D39BC" w:rsidRPr="00863226" w:rsidRDefault="002D39BC" w:rsidP="00177FA8">
            <w:pPr>
              <w:jc w:val="center"/>
              <w:rPr>
                <w:b/>
                <w:sz w:val="21"/>
                <w:szCs w:val="21"/>
                <w:lang w:val="en-CA"/>
              </w:rPr>
            </w:pPr>
            <w:r w:rsidRPr="00863226">
              <w:rPr>
                <w:b/>
                <w:sz w:val="21"/>
                <w:szCs w:val="21"/>
                <w:lang w:val="en-CA"/>
              </w:rPr>
              <w:t>After 202</w:t>
            </w:r>
            <w:r w:rsidR="00C62160" w:rsidRPr="00863226">
              <w:rPr>
                <w:b/>
                <w:sz w:val="21"/>
                <w:szCs w:val="21"/>
                <w:lang w:val="en-CA"/>
              </w:rPr>
              <w:t>3</w:t>
            </w:r>
          </w:p>
        </w:tc>
      </w:tr>
      <w:tr w:rsidR="00863226" w:rsidRPr="00863226" w:rsidTr="009663CE">
        <w:tc>
          <w:tcPr>
            <w:tcW w:w="6722" w:type="dxa"/>
          </w:tcPr>
          <w:p w:rsidR="00124DAE" w:rsidRPr="00863226" w:rsidRDefault="00124DAE" w:rsidP="009663CE">
            <w:pPr>
              <w:jc w:val="left"/>
              <w:rPr>
                <w:sz w:val="21"/>
                <w:szCs w:val="21"/>
                <w:lang w:val="en-CA"/>
              </w:rPr>
            </w:pPr>
            <w:r w:rsidRPr="00863226">
              <w:rPr>
                <w:sz w:val="21"/>
                <w:szCs w:val="21"/>
                <w:lang w:val="en-CA"/>
              </w:rPr>
              <w:t>HPMP values to reflect the actual amounts approved under the Agreements</w:t>
            </w:r>
          </w:p>
        </w:tc>
        <w:tc>
          <w:tcPr>
            <w:tcW w:w="1361" w:type="dxa"/>
          </w:tcPr>
          <w:p w:rsidR="00124DAE" w:rsidRPr="00863226" w:rsidRDefault="00124DAE" w:rsidP="00177FA8">
            <w:pPr>
              <w:jc w:val="right"/>
              <w:rPr>
                <w:sz w:val="21"/>
                <w:szCs w:val="21"/>
              </w:rPr>
            </w:pPr>
            <w:r w:rsidRPr="00863226">
              <w:rPr>
                <w:sz w:val="21"/>
                <w:szCs w:val="21"/>
              </w:rPr>
              <w:t>(494)</w:t>
            </w:r>
          </w:p>
        </w:tc>
        <w:tc>
          <w:tcPr>
            <w:tcW w:w="1362" w:type="dxa"/>
          </w:tcPr>
          <w:p w:rsidR="00124DAE" w:rsidRPr="00863226" w:rsidRDefault="00124DAE" w:rsidP="00177FA8">
            <w:pPr>
              <w:jc w:val="right"/>
              <w:rPr>
                <w:sz w:val="21"/>
                <w:szCs w:val="21"/>
              </w:rPr>
            </w:pPr>
            <w:r w:rsidRPr="00863226">
              <w:rPr>
                <w:sz w:val="21"/>
                <w:szCs w:val="21"/>
              </w:rPr>
              <w:t>(220)</w:t>
            </w:r>
          </w:p>
        </w:tc>
      </w:tr>
      <w:tr w:rsidR="00863226" w:rsidRPr="00863226" w:rsidTr="009663CE">
        <w:tc>
          <w:tcPr>
            <w:tcW w:w="6722" w:type="dxa"/>
          </w:tcPr>
          <w:p w:rsidR="002D39BC" w:rsidRPr="00863226" w:rsidRDefault="00334C39" w:rsidP="009663CE">
            <w:pPr>
              <w:jc w:val="left"/>
              <w:rPr>
                <w:sz w:val="21"/>
                <w:szCs w:val="21"/>
                <w:lang w:val="en-CA"/>
              </w:rPr>
            </w:pPr>
            <w:r w:rsidRPr="00863226">
              <w:rPr>
                <w:sz w:val="21"/>
                <w:szCs w:val="21"/>
                <w:lang w:val="en-CA"/>
              </w:rPr>
              <w:t>Stage II of HPMPs in LVC countries to the maximum allowable value to meet the 100 per cent reduction in the HCFC baseline based on decision 74/50(c)(xii)</w:t>
            </w:r>
          </w:p>
        </w:tc>
        <w:tc>
          <w:tcPr>
            <w:tcW w:w="1361" w:type="dxa"/>
          </w:tcPr>
          <w:p w:rsidR="002D39BC" w:rsidRPr="00863226" w:rsidRDefault="002D39BC" w:rsidP="00177FA8">
            <w:pPr>
              <w:jc w:val="right"/>
              <w:rPr>
                <w:sz w:val="21"/>
                <w:szCs w:val="21"/>
                <w:lang w:val="en-CA"/>
              </w:rPr>
            </w:pPr>
            <w:r w:rsidRPr="00863226">
              <w:rPr>
                <w:sz w:val="21"/>
                <w:szCs w:val="21"/>
                <w:lang w:val="en-CA"/>
              </w:rPr>
              <w:t>(</w:t>
            </w:r>
            <w:r w:rsidR="00334C39" w:rsidRPr="00863226">
              <w:rPr>
                <w:sz w:val="21"/>
                <w:szCs w:val="21"/>
                <w:lang w:val="en-CA"/>
              </w:rPr>
              <w:t>60</w:t>
            </w:r>
            <w:r w:rsidRPr="00863226">
              <w:rPr>
                <w:sz w:val="21"/>
                <w:szCs w:val="21"/>
                <w:lang w:val="en-CA"/>
              </w:rPr>
              <w:t>)</w:t>
            </w:r>
          </w:p>
        </w:tc>
        <w:tc>
          <w:tcPr>
            <w:tcW w:w="1362" w:type="dxa"/>
          </w:tcPr>
          <w:p w:rsidR="002D39BC" w:rsidRPr="00863226" w:rsidRDefault="002D39BC" w:rsidP="00177FA8">
            <w:pPr>
              <w:jc w:val="right"/>
              <w:rPr>
                <w:sz w:val="21"/>
                <w:szCs w:val="21"/>
                <w:lang w:val="en-CA"/>
              </w:rPr>
            </w:pPr>
            <w:r w:rsidRPr="00863226">
              <w:rPr>
                <w:sz w:val="21"/>
                <w:szCs w:val="21"/>
                <w:lang w:val="en-CA"/>
              </w:rPr>
              <w:t>(</w:t>
            </w:r>
            <w:r w:rsidR="00334C39" w:rsidRPr="00863226">
              <w:rPr>
                <w:sz w:val="21"/>
                <w:szCs w:val="21"/>
                <w:lang w:val="en-CA"/>
              </w:rPr>
              <w:t>13</w:t>
            </w:r>
            <w:r w:rsidRPr="00863226">
              <w:rPr>
                <w:sz w:val="21"/>
                <w:szCs w:val="21"/>
                <w:lang w:val="en-CA"/>
              </w:rPr>
              <w:t>)</w:t>
            </w:r>
          </w:p>
        </w:tc>
      </w:tr>
      <w:tr w:rsidR="00863226" w:rsidRPr="00863226" w:rsidTr="009663CE">
        <w:tc>
          <w:tcPr>
            <w:tcW w:w="6722" w:type="dxa"/>
          </w:tcPr>
          <w:p w:rsidR="00BA087D" w:rsidRPr="00863226" w:rsidRDefault="00BA087D" w:rsidP="009663CE">
            <w:pPr>
              <w:jc w:val="left"/>
              <w:rPr>
                <w:sz w:val="21"/>
                <w:szCs w:val="21"/>
                <w:lang w:val="en-CA"/>
              </w:rPr>
            </w:pPr>
            <w:r w:rsidRPr="00863226">
              <w:rPr>
                <w:sz w:val="21"/>
                <w:szCs w:val="21"/>
                <w:lang w:val="en-CA"/>
              </w:rPr>
              <w:t>PRP for stage III of HPMPs pursuant to decision 71/42 or 84/46(e)</w:t>
            </w:r>
          </w:p>
        </w:tc>
        <w:tc>
          <w:tcPr>
            <w:tcW w:w="1361" w:type="dxa"/>
          </w:tcPr>
          <w:p w:rsidR="00BA087D" w:rsidRPr="00863226" w:rsidRDefault="00BA087D" w:rsidP="00177FA8">
            <w:pPr>
              <w:jc w:val="right"/>
              <w:rPr>
                <w:sz w:val="21"/>
                <w:szCs w:val="21"/>
                <w:lang w:val="en-CA"/>
              </w:rPr>
            </w:pPr>
            <w:r w:rsidRPr="00863226">
              <w:rPr>
                <w:sz w:val="21"/>
                <w:szCs w:val="21"/>
                <w:lang w:val="en-CA"/>
              </w:rPr>
              <w:t>(292)</w:t>
            </w:r>
          </w:p>
        </w:tc>
        <w:tc>
          <w:tcPr>
            <w:tcW w:w="1362" w:type="dxa"/>
          </w:tcPr>
          <w:p w:rsidR="00BA087D" w:rsidRPr="00863226" w:rsidRDefault="00BA087D" w:rsidP="00177FA8">
            <w:pPr>
              <w:jc w:val="right"/>
              <w:rPr>
                <w:sz w:val="21"/>
                <w:szCs w:val="21"/>
                <w:lang w:val="en-CA"/>
              </w:rPr>
            </w:pPr>
            <w:r w:rsidRPr="00863226">
              <w:rPr>
                <w:sz w:val="21"/>
                <w:szCs w:val="21"/>
                <w:lang w:val="en-CA"/>
              </w:rPr>
              <w:t>0</w:t>
            </w:r>
          </w:p>
        </w:tc>
      </w:tr>
      <w:tr w:rsidR="00863226" w:rsidRPr="00863226" w:rsidTr="009663CE">
        <w:tc>
          <w:tcPr>
            <w:tcW w:w="6722" w:type="dxa"/>
          </w:tcPr>
          <w:p w:rsidR="00334C39" w:rsidRPr="00863226" w:rsidRDefault="00334C39" w:rsidP="009663CE">
            <w:pPr>
              <w:jc w:val="left"/>
              <w:rPr>
                <w:sz w:val="21"/>
                <w:szCs w:val="21"/>
                <w:lang w:val="en-CA"/>
              </w:rPr>
            </w:pPr>
            <w:r w:rsidRPr="00863226">
              <w:rPr>
                <w:sz w:val="21"/>
                <w:szCs w:val="21"/>
                <w:lang w:val="en-CA"/>
              </w:rPr>
              <w:t xml:space="preserve">Stage III of HPMPs in non-LVC countries with the refrigeration servicing sector based on a maximum cost-effectiveness of </w:t>
            </w:r>
            <w:r w:rsidR="00177FA8" w:rsidRPr="00863226">
              <w:rPr>
                <w:sz w:val="21"/>
                <w:szCs w:val="21"/>
                <w:lang w:val="en-CA"/>
              </w:rPr>
              <w:t>US $</w:t>
            </w:r>
            <w:r w:rsidRPr="00863226">
              <w:rPr>
                <w:sz w:val="21"/>
                <w:szCs w:val="21"/>
                <w:lang w:val="en-CA"/>
              </w:rPr>
              <w:t>4.80/kg</w:t>
            </w:r>
          </w:p>
        </w:tc>
        <w:tc>
          <w:tcPr>
            <w:tcW w:w="1361" w:type="dxa"/>
          </w:tcPr>
          <w:p w:rsidR="00334C39" w:rsidRPr="00863226" w:rsidRDefault="00334C39" w:rsidP="00177FA8">
            <w:pPr>
              <w:jc w:val="right"/>
              <w:rPr>
                <w:sz w:val="21"/>
                <w:szCs w:val="21"/>
              </w:rPr>
            </w:pPr>
            <w:r w:rsidRPr="00863226">
              <w:rPr>
                <w:sz w:val="21"/>
                <w:szCs w:val="21"/>
              </w:rPr>
              <w:t>(84)</w:t>
            </w:r>
          </w:p>
        </w:tc>
        <w:tc>
          <w:tcPr>
            <w:tcW w:w="1362" w:type="dxa"/>
          </w:tcPr>
          <w:p w:rsidR="00334C39" w:rsidRPr="00863226" w:rsidRDefault="00334C39" w:rsidP="00177FA8">
            <w:pPr>
              <w:jc w:val="right"/>
              <w:rPr>
                <w:sz w:val="21"/>
                <w:szCs w:val="21"/>
              </w:rPr>
            </w:pPr>
            <w:r w:rsidRPr="00863226">
              <w:rPr>
                <w:sz w:val="21"/>
                <w:szCs w:val="21"/>
              </w:rPr>
              <w:t>(103)</w:t>
            </w:r>
          </w:p>
        </w:tc>
      </w:tr>
      <w:tr w:rsidR="00863226" w:rsidRPr="00863226" w:rsidTr="009663CE">
        <w:tc>
          <w:tcPr>
            <w:tcW w:w="6722" w:type="dxa"/>
          </w:tcPr>
          <w:p w:rsidR="00334C39" w:rsidRPr="00863226" w:rsidRDefault="00334C39" w:rsidP="009663CE">
            <w:pPr>
              <w:jc w:val="left"/>
              <w:rPr>
                <w:sz w:val="21"/>
                <w:szCs w:val="21"/>
              </w:rPr>
            </w:pPr>
            <w:r w:rsidRPr="00863226">
              <w:rPr>
                <w:sz w:val="21"/>
                <w:szCs w:val="21"/>
                <w:lang w:val="en-CA"/>
              </w:rPr>
              <w:t xml:space="preserve">Stage III of HPMPs in non-LVC countries with the refrigeration manufacturing sector based on a maximum cost-effectiveness of </w:t>
            </w:r>
            <w:r w:rsidR="00177FA8" w:rsidRPr="00863226">
              <w:rPr>
                <w:sz w:val="21"/>
                <w:szCs w:val="21"/>
                <w:lang w:val="en-CA"/>
              </w:rPr>
              <w:t>US $</w:t>
            </w:r>
            <w:r w:rsidRPr="00863226">
              <w:rPr>
                <w:sz w:val="21"/>
                <w:szCs w:val="21"/>
                <w:lang w:val="en-CA"/>
              </w:rPr>
              <w:t>8.40/kg</w:t>
            </w:r>
            <w:r w:rsidRPr="00863226">
              <w:rPr>
                <w:sz w:val="21"/>
                <w:szCs w:val="21"/>
                <w:vertAlign w:val="superscript"/>
              </w:rPr>
              <w:footnoteReference w:id="13"/>
            </w:r>
          </w:p>
        </w:tc>
        <w:tc>
          <w:tcPr>
            <w:tcW w:w="1361" w:type="dxa"/>
          </w:tcPr>
          <w:p w:rsidR="00334C39" w:rsidRPr="00863226" w:rsidRDefault="00334C39" w:rsidP="00177FA8">
            <w:pPr>
              <w:jc w:val="right"/>
              <w:rPr>
                <w:sz w:val="21"/>
                <w:szCs w:val="21"/>
              </w:rPr>
            </w:pPr>
            <w:r w:rsidRPr="00863226">
              <w:rPr>
                <w:sz w:val="21"/>
                <w:szCs w:val="21"/>
              </w:rPr>
              <w:t>(236)</w:t>
            </w:r>
          </w:p>
        </w:tc>
        <w:tc>
          <w:tcPr>
            <w:tcW w:w="1362" w:type="dxa"/>
          </w:tcPr>
          <w:p w:rsidR="00334C39" w:rsidRPr="00863226" w:rsidRDefault="00334C39" w:rsidP="00177FA8">
            <w:pPr>
              <w:jc w:val="right"/>
              <w:rPr>
                <w:sz w:val="21"/>
                <w:szCs w:val="21"/>
              </w:rPr>
            </w:pPr>
            <w:r w:rsidRPr="00863226">
              <w:rPr>
                <w:sz w:val="21"/>
                <w:szCs w:val="21"/>
              </w:rPr>
              <w:t>(575)</w:t>
            </w:r>
          </w:p>
        </w:tc>
      </w:tr>
      <w:tr w:rsidR="00863226" w:rsidRPr="00863226" w:rsidTr="009663CE">
        <w:tc>
          <w:tcPr>
            <w:tcW w:w="6722" w:type="dxa"/>
          </w:tcPr>
          <w:p w:rsidR="002D39BC" w:rsidRPr="00863226" w:rsidRDefault="002D39BC" w:rsidP="009663CE">
            <w:pPr>
              <w:jc w:val="left"/>
              <w:rPr>
                <w:sz w:val="21"/>
                <w:szCs w:val="21"/>
                <w:lang w:val="en-CA"/>
              </w:rPr>
            </w:pPr>
            <w:r w:rsidRPr="00863226">
              <w:rPr>
                <w:sz w:val="21"/>
                <w:szCs w:val="21"/>
                <w:lang w:val="en-CA"/>
              </w:rPr>
              <w:t xml:space="preserve">HCFC technical assistance </w:t>
            </w:r>
          </w:p>
        </w:tc>
        <w:tc>
          <w:tcPr>
            <w:tcW w:w="1361" w:type="dxa"/>
          </w:tcPr>
          <w:p w:rsidR="002D39BC" w:rsidRPr="00863226" w:rsidRDefault="002D39BC" w:rsidP="00177FA8">
            <w:pPr>
              <w:jc w:val="right"/>
              <w:rPr>
                <w:sz w:val="21"/>
                <w:szCs w:val="21"/>
                <w:lang w:val="en-CA"/>
              </w:rPr>
            </w:pPr>
            <w:r w:rsidRPr="00863226">
              <w:rPr>
                <w:sz w:val="21"/>
                <w:szCs w:val="21"/>
                <w:lang w:val="en-CA"/>
              </w:rPr>
              <w:t>(990)</w:t>
            </w:r>
          </w:p>
        </w:tc>
        <w:tc>
          <w:tcPr>
            <w:tcW w:w="1362" w:type="dxa"/>
          </w:tcPr>
          <w:p w:rsidR="002D39BC" w:rsidRPr="00863226" w:rsidRDefault="002D39BC" w:rsidP="00177FA8">
            <w:pPr>
              <w:jc w:val="right"/>
              <w:rPr>
                <w:sz w:val="21"/>
                <w:szCs w:val="21"/>
                <w:lang w:val="en-CA"/>
              </w:rPr>
            </w:pPr>
            <w:r w:rsidRPr="00863226">
              <w:rPr>
                <w:sz w:val="21"/>
                <w:szCs w:val="21"/>
                <w:lang w:val="en-CA"/>
              </w:rPr>
              <w:t>0</w:t>
            </w:r>
          </w:p>
        </w:tc>
      </w:tr>
      <w:tr w:rsidR="00863226" w:rsidRPr="00863226" w:rsidTr="009663CE">
        <w:tc>
          <w:tcPr>
            <w:tcW w:w="6722" w:type="dxa"/>
          </w:tcPr>
          <w:p w:rsidR="00940125" w:rsidRPr="00863226" w:rsidRDefault="00940125" w:rsidP="009663CE">
            <w:pPr>
              <w:jc w:val="left"/>
              <w:rPr>
                <w:sz w:val="21"/>
                <w:szCs w:val="21"/>
                <w:lang w:val="en-CA"/>
              </w:rPr>
            </w:pPr>
            <w:r w:rsidRPr="00863226">
              <w:rPr>
                <w:sz w:val="21"/>
                <w:szCs w:val="21"/>
                <w:lang w:val="en-CA"/>
              </w:rPr>
              <w:t xml:space="preserve">HFC demonstration </w:t>
            </w:r>
          </w:p>
        </w:tc>
        <w:tc>
          <w:tcPr>
            <w:tcW w:w="1361" w:type="dxa"/>
          </w:tcPr>
          <w:p w:rsidR="00940125" w:rsidRPr="00863226" w:rsidRDefault="00940125" w:rsidP="00177FA8">
            <w:pPr>
              <w:jc w:val="right"/>
              <w:rPr>
                <w:sz w:val="21"/>
                <w:szCs w:val="21"/>
              </w:rPr>
            </w:pPr>
            <w:r w:rsidRPr="00863226">
              <w:rPr>
                <w:sz w:val="21"/>
                <w:szCs w:val="21"/>
              </w:rPr>
              <w:t>(57)</w:t>
            </w:r>
          </w:p>
        </w:tc>
        <w:tc>
          <w:tcPr>
            <w:tcW w:w="1362" w:type="dxa"/>
          </w:tcPr>
          <w:p w:rsidR="00940125" w:rsidRPr="00863226" w:rsidRDefault="00940125" w:rsidP="00177FA8">
            <w:pPr>
              <w:jc w:val="right"/>
              <w:rPr>
                <w:sz w:val="21"/>
                <w:szCs w:val="21"/>
              </w:rPr>
            </w:pPr>
            <w:r w:rsidRPr="00863226">
              <w:rPr>
                <w:sz w:val="21"/>
                <w:szCs w:val="21"/>
              </w:rPr>
              <w:t>0</w:t>
            </w:r>
          </w:p>
        </w:tc>
      </w:tr>
      <w:tr w:rsidR="00863226" w:rsidRPr="00863226" w:rsidTr="009663CE">
        <w:tc>
          <w:tcPr>
            <w:tcW w:w="6722" w:type="dxa"/>
          </w:tcPr>
          <w:p w:rsidR="00940125" w:rsidRPr="00863226" w:rsidRDefault="00940125" w:rsidP="009663CE">
            <w:pPr>
              <w:jc w:val="left"/>
              <w:rPr>
                <w:sz w:val="21"/>
                <w:szCs w:val="21"/>
                <w:lang w:val="en-CA"/>
              </w:rPr>
            </w:pPr>
            <w:r w:rsidRPr="00863226">
              <w:rPr>
                <w:sz w:val="21"/>
                <w:szCs w:val="21"/>
                <w:lang w:val="en-CA"/>
              </w:rPr>
              <w:t>HFC investment projects pursuant to decision 78/3(g)</w:t>
            </w:r>
          </w:p>
        </w:tc>
        <w:tc>
          <w:tcPr>
            <w:tcW w:w="1361" w:type="dxa"/>
          </w:tcPr>
          <w:p w:rsidR="00940125" w:rsidRPr="00863226" w:rsidRDefault="00940125" w:rsidP="00177FA8">
            <w:pPr>
              <w:jc w:val="right"/>
              <w:rPr>
                <w:sz w:val="21"/>
                <w:szCs w:val="21"/>
              </w:rPr>
            </w:pPr>
            <w:r w:rsidRPr="00863226">
              <w:rPr>
                <w:sz w:val="21"/>
                <w:szCs w:val="21"/>
              </w:rPr>
              <w:t>(1,070)</w:t>
            </w:r>
          </w:p>
        </w:tc>
        <w:tc>
          <w:tcPr>
            <w:tcW w:w="1362" w:type="dxa"/>
          </w:tcPr>
          <w:p w:rsidR="00940125" w:rsidRPr="00863226" w:rsidRDefault="00940125" w:rsidP="00177FA8">
            <w:pPr>
              <w:jc w:val="right"/>
              <w:rPr>
                <w:sz w:val="21"/>
                <w:szCs w:val="21"/>
              </w:rPr>
            </w:pPr>
            <w:r w:rsidRPr="00863226">
              <w:rPr>
                <w:sz w:val="21"/>
                <w:szCs w:val="21"/>
              </w:rPr>
              <w:t>0</w:t>
            </w:r>
          </w:p>
        </w:tc>
      </w:tr>
      <w:tr w:rsidR="00863226" w:rsidRPr="00863226" w:rsidTr="009663CE">
        <w:tc>
          <w:tcPr>
            <w:tcW w:w="6722" w:type="dxa"/>
          </w:tcPr>
          <w:p w:rsidR="002D39BC" w:rsidRPr="00863226" w:rsidRDefault="001951AD" w:rsidP="009663CE">
            <w:pPr>
              <w:jc w:val="left"/>
              <w:rPr>
                <w:sz w:val="21"/>
                <w:szCs w:val="21"/>
                <w:lang w:val="en-CA"/>
              </w:rPr>
            </w:pPr>
            <w:r w:rsidRPr="00863226">
              <w:rPr>
                <w:sz w:val="21"/>
                <w:szCs w:val="21"/>
                <w:lang w:val="en-CA"/>
              </w:rPr>
              <w:t xml:space="preserve">PRP for HFC phase-down pursuant to decision </w:t>
            </w:r>
            <w:r w:rsidRPr="00863226">
              <w:rPr>
                <w:sz w:val="21"/>
                <w:szCs w:val="21"/>
              </w:rPr>
              <w:t>56/16(c) or 84/46(f) or submitted to the 86</w:t>
            </w:r>
            <w:r w:rsidRPr="00863226">
              <w:rPr>
                <w:sz w:val="21"/>
                <w:szCs w:val="21"/>
                <w:vertAlign w:val="superscript"/>
              </w:rPr>
              <w:t>th</w:t>
            </w:r>
            <w:r w:rsidRPr="00863226">
              <w:rPr>
                <w:sz w:val="21"/>
                <w:szCs w:val="21"/>
              </w:rPr>
              <w:t xml:space="preserve"> meeting</w:t>
            </w:r>
          </w:p>
        </w:tc>
        <w:tc>
          <w:tcPr>
            <w:tcW w:w="1361" w:type="dxa"/>
          </w:tcPr>
          <w:p w:rsidR="002D39BC" w:rsidRPr="00863226" w:rsidRDefault="002D39BC" w:rsidP="00177FA8">
            <w:pPr>
              <w:jc w:val="right"/>
              <w:rPr>
                <w:sz w:val="21"/>
                <w:szCs w:val="21"/>
                <w:lang w:val="en-CA"/>
              </w:rPr>
            </w:pPr>
            <w:r w:rsidRPr="00863226">
              <w:rPr>
                <w:sz w:val="21"/>
                <w:szCs w:val="21"/>
                <w:lang w:val="en-CA"/>
              </w:rPr>
              <w:t>(</w:t>
            </w:r>
            <w:r w:rsidR="001951AD" w:rsidRPr="00863226">
              <w:rPr>
                <w:sz w:val="21"/>
                <w:szCs w:val="21"/>
                <w:lang w:val="en-CA"/>
              </w:rPr>
              <w:t>2,310</w:t>
            </w:r>
            <w:r w:rsidRPr="00863226">
              <w:rPr>
                <w:sz w:val="21"/>
                <w:szCs w:val="21"/>
                <w:lang w:val="en-CA"/>
              </w:rPr>
              <w:t>)</w:t>
            </w:r>
          </w:p>
        </w:tc>
        <w:tc>
          <w:tcPr>
            <w:tcW w:w="1362" w:type="dxa"/>
          </w:tcPr>
          <w:p w:rsidR="002D39BC" w:rsidRPr="00863226" w:rsidRDefault="002D39BC" w:rsidP="00177FA8">
            <w:pPr>
              <w:jc w:val="right"/>
              <w:rPr>
                <w:sz w:val="21"/>
                <w:szCs w:val="21"/>
                <w:lang w:val="en-CA"/>
              </w:rPr>
            </w:pPr>
            <w:r w:rsidRPr="00863226">
              <w:rPr>
                <w:sz w:val="21"/>
                <w:szCs w:val="21"/>
                <w:lang w:val="en-CA"/>
              </w:rPr>
              <w:t>0</w:t>
            </w:r>
          </w:p>
        </w:tc>
      </w:tr>
      <w:tr w:rsidR="00863226" w:rsidRPr="00863226" w:rsidTr="009663CE">
        <w:tc>
          <w:tcPr>
            <w:tcW w:w="6722" w:type="dxa"/>
          </w:tcPr>
          <w:p w:rsidR="008E6321" w:rsidRPr="00863226" w:rsidRDefault="008E6321" w:rsidP="009663CE">
            <w:pPr>
              <w:jc w:val="left"/>
              <w:rPr>
                <w:sz w:val="21"/>
                <w:szCs w:val="21"/>
                <w:lang w:val="en-CA"/>
              </w:rPr>
            </w:pPr>
            <w:r w:rsidRPr="00863226">
              <w:rPr>
                <w:sz w:val="21"/>
                <w:szCs w:val="21"/>
                <w:lang w:val="en-CA"/>
              </w:rPr>
              <w:t xml:space="preserve">HFC phase-down management plans pursuant to decision </w:t>
            </w:r>
            <w:r w:rsidRPr="00863226">
              <w:rPr>
                <w:sz w:val="21"/>
                <w:szCs w:val="21"/>
              </w:rPr>
              <w:t>84/46(g)</w:t>
            </w:r>
          </w:p>
        </w:tc>
        <w:tc>
          <w:tcPr>
            <w:tcW w:w="1361" w:type="dxa"/>
          </w:tcPr>
          <w:p w:rsidR="008E6321" w:rsidRPr="00863226" w:rsidRDefault="008E6321" w:rsidP="00177FA8">
            <w:pPr>
              <w:jc w:val="right"/>
              <w:rPr>
                <w:sz w:val="21"/>
                <w:szCs w:val="21"/>
              </w:rPr>
            </w:pPr>
            <w:r w:rsidRPr="00863226">
              <w:rPr>
                <w:sz w:val="21"/>
                <w:szCs w:val="21"/>
              </w:rPr>
              <w:t>(21,895)</w:t>
            </w:r>
          </w:p>
        </w:tc>
        <w:tc>
          <w:tcPr>
            <w:tcW w:w="1362" w:type="dxa"/>
          </w:tcPr>
          <w:p w:rsidR="008E6321" w:rsidRPr="00863226" w:rsidRDefault="008E6321" w:rsidP="00177FA8">
            <w:pPr>
              <w:jc w:val="right"/>
              <w:rPr>
                <w:sz w:val="21"/>
                <w:szCs w:val="21"/>
              </w:rPr>
            </w:pPr>
            <w:r w:rsidRPr="00863226">
              <w:rPr>
                <w:sz w:val="21"/>
                <w:szCs w:val="21"/>
              </w:rPr>
              <w:t>(6,620)</w:t>
            </w:r>
          </w:p>
        </w:tc>
      </w:tr>
      <w:tr w:rsidR="00863226" w:rsidRPr="00863226" w:rsidTr="009663CE">
        <w:tc>
          <w:tcPr>
            <w:tcW w:w="6722" w:type="dxa"/>
          </w:tcPr>
          <w:p w:rsidR="008E6321" w:rsidRPr="00863226" w:rsidRDefault="008E6321" w:rsidP="009663CE">
            <w:pPr>
              <w:jc w:val="left"/>
              <w:rPr>
                <w:sz w:val="21"/>
                <w:szCs w:val="21"/>
                <w:lang w:val="en-CA"/>
              </w:rPr>
            </w:pPr>
            <w:r w:rsidRPr="00863226">
              <w:rPr>
                <w:sz w:val="21"/>
                <w:szCs w:val="21"/>
                <w:lang w:val="en-CA"/>
              </w:rPr>
              <w:t>HFC technical assistance</w:t>
            </w:r>
          </w:p>
        </w:tc>
        <w:tc>
          <w:tcPr>
            <w:tcW w:w="1361" w:type="dxa"/>
          </w:tcPr>
          <w:p w:rsidR="008E6321" w:rsidRPr="00863226" w:rsidRDefault="008E6321" w:rsidP="00177FA8">
            <w:pPr>
              <w:jc w:val="right"/>
              <w:rPr>
                <w:sz w:val="21"/>
                <w:szCs w:val="21"/>
              </w:rPr>
            </w:pPr>
            <w:r w:rsidRPr="00863226">
              <w:rPr>
                <w:sz w:val="21"/>
                <w:szCs w:val="21"/>
              </w:rPr>
              <w:t>(678)</w:t>
            </w:r>
          </w:p>
        </w:tc>
        <w:tc>
          <w:tcPr>
            <w:tcW w:w="1362" w:type="dxa"/>
          </w:tcPr>
          <w:p w:rsidR="008E6321" w:rsidRPr="00863226" w:rsidRDefault="008E6321" w:rsidP="00177FA8">
            <w:pPr>
              <w:jc w:val="right"/>
              <w:rPr>
                <w:sz w:val="21"/>
                <w:szCs w:val="21"/>
              </w:rPr>
            </w:pPr>
            <w:r w:rsidRPr="00863226">
              <w:rPr>
                <w:sz w:val="21"/>
                <w:szCs w:val="21"/>
              </w:rPr>
              <w:t>(678)</w:t>
            </w:r>
          </w:p>
        </w:tc>
      </w:tr>
      <w:tr w:rsidR="00863226" w:rsidRPr="00863226" w:rsidTr="009663CE">
        <w:tc>
          <w:tcPr>
            <w:tcW w:w="6722" w:type="dxa"/>
          </w:tcPr>
          <w:p w:rsidR="002D39BC" w:rsidRPr="00863226" w:rsidRDefault="002D39BC" w:rsidP="009663CE">
            <w:pPr>
              <w:jc w:val="left"/>
              <w:rPr>
                <w:sz w:val="21"/>
                <w:szCs w:val="21"/>
                <w:lang w:val="en-CA"/>
              </w:rPr>
            </w:pPr>
            <w:r w:rsidRPr="00863226">
              <w:rPr>
                <w:sz w:val="21"/>
                <w:szCs w:val="21"/>
                <w:lang w:val="en-CA"/>
              </w:rPr>
              <w:t>IS pursuant to decision 74/51(c) or values after 2021 have been removed</w:t>
            </w:r>
          </w:p>
        </w:tc>
        <w:tc>
          <w:tcPr>
            <w:tcW w:w="1361" w:type="dxa"/>
          </w:tcPr>
          <w:p w:rsidR="002D39BC" w:rsidRPr="00863226" w:rsidRDefault="002E6908" w:rsidP="00177FA8">
            <w:pPr>
              <w:jc w:val="right"/>
              <w:rPr>
                <w:sz w:val="21"/>
                <w:szCs w:val="21"/>
                <w:lang w:val="en-CA"/>
              </w:rPr>
            </w:pPr>
            <w:r w:rsidRPr="00863226">
              <w:rPr>
                <w:sz w:val="21"/>
                <w:szCs w:val="21"/>
                <w:lang w:val="en-CA"/>
              </w:rPr>
              <w:t>1,068</w:t>
            </w:r>
          </w:p>
        </w:tc>
        <w:tc>
          <w:tcPr>
            <w:tcW w:w="1362" w:type="dxa"/>
          </w:tcPr>
          <w:p w:rsidR="002D39BC" w:rsidRPr="00863226" w:rsidRDefault="002E6908" w:rsidP="00177FA8">
            <w:pPr>
              <w:jc w:val="right"/>
              <w:rPr>
                <w:sz w:val="21"/>
                <w:szCs w:val="21"/>
                <w:lang w:val="en-CA"/>
              </w:rPr>
            </w:pPr>
            <w:r w:rsidRPr="00863226">
              <w:rPr>
                <w:sz w:val="21"/>
                <w:szCs w:val="21"/>
                <w:lang w:val="en-CA"/>
              </w:rPr>
              <w:t>(475)</w:t>
            </w:r>
          </w:p>
        </w:tc>
      </w:tr>
      <w:tr w:rsidR="00863226" w:rsidRPr="00863226" w:rsidTr="009663CE">
        <w:tc>
          <w:tcPr>
            <w:tcW w:w="6722" w:type="dxa"/>
          </w:tcPr>
          <w:p w:rsidR="002E6908" w:rsidRPr="00863226" w:rsidRDefault="002E6908" w:rsidP="009663CE">
            <w:pPr>
              <w:jc w:val="left"/>
              <w:rPr>
                <w:sz w:val="21"/>
                <w:szCs w:val="21"/>
                <w:lang w:val="en-CA"/>
              </w:rPr>
            </w:pPr>
            <w:r w:rsidRPr="00863226">
              <w:rPr>
                <w:sz w:val="21"/>
                <w:szCs w:val="21"/>
                <w:lang w:val="en-CA"/>
              </w:rPr>
              <w:t xml:space="preserve">IS project for the Democratic People’s Republic of Korea pursuant to decision 80/34(c)(iii)b. </w:t>
            </w:r>
          </w:p>
        </w:tc>
        <w:tc>
          <w:tcPr>
            <w:tcW w:w="1361" w:type="dxa"/>
          </w:tcPr>
          <w:p w:rsidR="002E6908" w:rsidRPr="00863226" w:rsidRDefault="002E6908" w:rsidP="00177FA8">
            <w:pPr>
              <w:jc w:val="right"/>
              <w:rPr>
                <w:sz w:val="21"/>
                <w:szCs w:val="21"/>
              </w:rPr>
            </w:pPr>
            <w:r w:rsidRPr="00863226">
              <w:rPr>
                <w:sz w:val="21"/>
                <w:szCs w:val="21"/>
              </w:rPr>
              <w:t>(333)</w:t>
            </w:r>
          </w:p>
        </w:tc>
        <w:tc>
          <w:tcPr>
            <w:tcW w:w="1362" w:type="dxa"/>
          </w:tcPr>
          <w:p w:rsidR="002E6908" w:rsidRPr="00863226" w:rsidRDefault="002E6908" w:rsidP="00177FA8">
            <w:pPr>
              <w:jc w:val="right"/>
              <w:rPr>
                <w:sz w:val="21"/>
                <w:szCs w:val="21"/>
              </w:rPr>
            </w:pPr>
            <w:r w:rsidRPr="00863226">
              <w:rPr>
                <w:sz w:val="21"/>
                <w:szCs w:val="21"/>
              </w:rPr>
              <w:t>0</w:t>
            </w:r>
          </w:p>
        </w:tc>
      </w:tr>
      <w:tr w:rsidR="00940125" w:rsidRPr="00863226" w:rsidDel="00BA087D" w:rsidTr="009663CE">
        <w:tc>
          <w:tcPr>
            <w:tcW w:w="6722" w:type="dxa"/>
          </w:tcPr>
          <w:p w:rsidR="00940125" w:rsidRPr="00863226" w:rsidDel="00BA087D" w:rsidRDefault="00940125" w:rsidP="009663CE">
            <w:pPr>
              <w:jc w:val="left"/>
              <w:rPr>
                <w:sz w:val="21"/>
                <w:szCs w:val="21"/>
                <w:lang w:val="en-CA"/>
              </w:rPr>
            </w:pPr>
            <w:r w:rsidRPr="00863226" w:rsidDel="00BA087D">
              <w:rPr>
                <w:sz w:val="21"/>
                <w:szCs w:val="21"/>
                <w:lang w:val="en-CA"/>
              </w:rPr>
              <w:t>Core unit to reflect 0.7 percent increase over the 2020 funding level</w:t>
            </w:r>
          </w:p>
        </w:tc>
        <w:tc>
          <w:tcPr>
            <w:tcW w:w="1361" w:type="dxa"/>
          </w:tcPr>
          <w:p w:rsidR="00940125" w:rsidRPr="00863226" w:rsidDel="00BA087D" w:rsidRDefault="00940125" w:rsidP="00177FA8">
            <w:pPr>
              <w:jc w:val="right"/>
              <w:rPr>
                <w:sz w:val="21"/>
                <w:szCs w:val="21"/>
              </w:rPr>
            </w:pPr>
            <w:r w:rsidRPr="00863226" w:rsidDel="00BA087D">
              <w:rPr>
                <w:sz w:val="21"/>
                <w:szCs w:val="21"/>
              </w:rPr>
              <w:t>(277)</w:t>
            </w:r>
          </w:p>
        </w:tc>
        <w:tc>
          <w:tcPr>
            <w:tcW w:w="1362" w:type="dxa"/>
          </w:tcPr>
          <w:p w:rsidR="00940125" w:rsidRPr="00863226" w:rsidDel="00BA087D" w:rsidRDefault="00940125" w:rsidP="00177FA8">
            <w:pPr>
              <w:jc w:val="right"/>
              <w:rPr>
                <w:sz w:val="21"/>
                <w:szCs w:val="21"/>
              </w:rPr>
            </w:pPr>
            <w:r w:rsidRPr="00863226" w:rsidDel="00BA087D">
              <w:rPr>
                <w:sz w:val="21"/>
                <w:szCs w:val="21"/>
              </w:rPr>
              <w:t>0</w:t>
            </w:r>
          </w:p>
        </w:tc>
      </w:tr>
    </w:tbl>
    <w:p w:rsidR="002D39BC" w:rsidRPr="00863226" w:rsidRDefault="002D39BC" w:rsidP="00177FA8">
      <w:pPr>
        <w:pStyle w:val="Heading1"/>
        <w:numPr>
          <w:ilvl w:val="0"/>
          <w:numId w:val="0"/>
        </w:numPr>
        <w:spacing w:after="0"/>
        <w:rPr>
          <w:lang w:val="en-CA"/>
        </w:rPr>
      </w:pPr>
    </w:p>
    <w:p w:rsidR="002D39BC" w:rsidRPr="00863226" w:rsidRDefault="002D39BC" w:rsidP="00177FA8">
      <w:pPr>
        <w:pStyle w:val="Heading1"/>
        <w:rPr>
          <w:lang w:val="en-CA"/>
        </w:rPr>
      </w:pPr>
      <w:r w:rsidRPr="00863226">
        <w:rPr>
          <w:lang w:val="en-CA"/>
        </w:rPr>
        <w:t>Table 6 presents the results of the proposed adjustments to the consolidated business plan for 202</w:t>
      </w:r>
      <w:r w:rsidR="00FB5754" w:rsidRPr="00863226">
        <w:rPr>
          <w:lang w:val="en-CA"/>
        </w:rPr>
        <w:t>1</w:t>
      </w:r>
      <w:r w:rsidRPr="00863226">
        <w:rPr>
          <w:lang w:val="en-CA"/>
        </w:rPr>
        <w:noBreakHyphen/>
        <w:t>202</w:t>
      </w:r>
      <w:r w:rsidR="00FB5754" w:rsidRPr="00863226">
        <w:rPr>
          <w:lang w:val="en-CA"/>
        </w:rPr>
        <w:t>3</w:t>
      </w:r>
      <w:r w:rsidRPr="00863226">
        <w:rPr>
          <w:lang w:val="en-CA"/>
        </w:rPr>
        <w:t xml:space="preserve">. The values </w:t>
      </w:r>
      <w:r w:rsidR="008B36FF" w:rsidRPr="00863226">
        <w:rPr>
          <w:lang w:val="en-CA"/>
        </w:rPr>
        <w:t>are</w:t>
      </w:r>
      <w:r w:rsidR="00185677" w:rsidRPr="00863226">
        <w:rPr>
          <w:lang w:val="en-CA"/>
        </w:rPr>
        <w:t xml:space="preserve"> below </w:t>
      </w:r>
      <w:r w:rsidRPr="00863226">
        <w:rPr>
          <w:lang w:val="en-CA"/>
        </w:rPr>
        <w:t xml:space="preserve">the indicative budget by </w:t>
      </w:r>
      <w:r w:rsidR="00177FA8" w:rsidRPr="00863226">
        <w:rPr>
          <w:lang w:val="en-CA"/>
        </w:rPr>
        <w:t>US $</w:t>
      </w:r>
      <w:r w:rsidR="00185677" w:rsidRPr="00863226">
        <w:rPr>
          <w:lang w:val="en-CA"/>
        </w:rPr>
        <w:t xml:space="preserve">124.23 </w:t>
      </w:r>
      <w:r w:rsidRPr="00863226">
        <w:rPr>
          <w:lang w:val="en-CA"/>
        </w:rPr>
        <w:t xml:space="preserve">million (i.e. </w:t>
      </w:r>
      <w:r w:rsidR="00185677" w:rsidRPr="00863226">
        <w:rPr>
          <w:lang w:val="en-CA"/>
        </w:rPr>
        <w:t>23</w:t>
      </w:r>
      <w:r w:rsidRPr="00863226">
        <w:rPr>
          <w:lang w:val="en-CA"/>
        </w:rPr>
        <w:t xml:space="preserve"> per cent of the indicative budget).</w:t>
      </w:r>
    </w:p>
    <w:p w:rsidR="002D39BC" w:rsidRPr="00863226" w:rsidRDefault="002D39BC" w:rsidP="00177FA8">
      <w:pPr>
        <w:keepNext/>
        <w:rPr>
          <w:b/>
          <w:lang w:val="en-CA"/>
        </w:rPr>
      </w:pPr>
      <w:r w:rsidRPr="00863226">
        <w:rPr>
          <w:b/>
          <w:lang w:val="en-CA"/>
        </w:rPr>
        <w:lastRenderedPageBreak/>
        <w:t>Table 6. Adjusted resource allocation for the business plan for 202</w:t>
      </w:r>
      <w:r w:rsidR="00FB5754" w:rsidRPr="00863226">
        <w:rPr>
          <w:b/>
          <w:lang w:val="en-CA"/>
        </w:rPr>
        <w:t>1</w:t>
      </w:r>
      <w:r w:rsidRPr="00863226">
        <w:rPr>
          <w:b/>
          <w:lang w:val="en-CA"/>
        </w:rPr>
        <w:t>–202</w:t>
      </w:r>
      <w:r w:rsidR="00FB5754" w:rsidRPr="00863226">
        <w:rPr>
          <w:b/>
          <w:lang w:val="en-CA"/>
        </w:rPr>
        <w:t>3</w:t>
      </w:r>
      <w:r w:rsidRPr="00863226">
        <w:rPr>
          <w:b/>
          <w:lang w:val="en-CA"/>
        </w:rPr>
        <w:t xml:space="preserve"> (</w:t>
      </w:r>
      <w:r w:rsidR="00177FA8" w:rsidRPr="00863226">
        <w:rPr>
          <w:b/>
          <w:lang w:val="en-CA"/>
        </w:rPr>
        <w:t>US $</w:t>
      </w:r>
      <w:r w:rsidRPr="00863226">
        <w:rPr>
          <w:b/>
          <w:lang w:val="en-CA"/>
        </w:rPr>
        <w:t>000)*</w:t>
      </w:r>
    </w:p>
    <w:tbl>
      <w:tblPr>
        <w:tblW w:w="9493" w:type="dxa"/>
        <w:tblLayout w:type="fixed"/>
        <w:tblLook w:val="04A0" w:firstRow="1" w:lastRow="0" w:firstColumn="1" w:lastColumn="0" w:noHBand="0" w:noVBand="1"/>
      </w:tblPr>
      <w:tblGrid>
        <w:gridCol w:w="3397"/>
        <w:gridCol w:w="1219"/>
        <w:gridCol w:w="1219"/>
        <w:gridCol w:w="1219"/>
        <w:gridCol w:w="1219"/>
        <w:gridCol w:w="1220"/>
      </w:tblGrid>
      <w:tr w:rsidR="00863226" w:rsidRPr="00863226" w:rsidTr="00177FA8">
        <w:trPr>
          <w:trHeight w:val="264"/>
          <w:tblHead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677" w:rsidRPr="00863226" w:rsidRDefault="00E21293" w:rsidP="00177FA8">
            <w:pPr>
              <w:jc w:val="left"/>
              <w:rPr>
                <w:b/>
                <w:bCs/>
                <w:sz w:val="20"/>
                <w:szCs w:val="20"/>
                <w:lang w:val="en-CA" w:eastAsia="en-CA"/>
              </w:rPr>
            </w:pPr>
            <w:r w:rsidRPr="00863226">
              <w:rPr>
                <w:b/>
                <w:bCs/>
                <w:sz w:val="20"/>
                <w:szCs w:val="20"/>
                <w:lang w:val="en-CA" w:eastAsia="en-CA"/>
              </w:rPr>
              <w:t>Description</w:t>
            </w:r>
          </w:p>
        </w:tc>
        <w:tc>
          <w:tcPr>
            <w:tcW w:w="12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85677" w:rsidRPr="00863226" w:rsidRDefault="00185677" w:rsidP="00177FA8">
            <w:pPr>
              <w:jc w:val="center"/>
              <w:rPr>
                <w:b/>
                <w:bCs/>
                <w:sz w:val="20"/>
                <w:szCs w:val="20"/>
                <w:lang w:val="en-CA" w:eastAsia="en-CA"/>
              </w:rPr>
            </w:pPr>
            <w:r w:rsidRPr="00863226">
              <w:rPr>
                <w:b/>
                <w:bCs/>
                <w:sz w:val="20"/>
                <w:szCs w:val="20"/>
                <w:lang w:val="en-CA" w:eastAsia="en-CA"/>
              </w:rPr>
              <w:t>2021</w:t>
            </w:r>
          </w:p>
        </w:tc>
        <w:tc>
          <w:tcPr>
            <w:tcW w:w="12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85677" w:rsidRPr="00863226" w:rsidRDefault="00185677" w:rsidP="00177FA8">
            <w:pPr>
              <w:jc w:val="center"/>
              <w:rPr>
                <w:b/>
                <w:bCs/>
                <w:sz w:val="20"/>
                <w:szCs w:val="20"/>
                <w:lang w:val="en-CA" w:eastAsia="en-CA"/>
              </w:rPr>
            </w:pPr>
            <w:r w:rsidRPr="00863226">
              <w:rPr>
                <w:b/>
                <w:bCs/>
                <w:sz w:val="20"/>
                <w:szCs w:val="20"/>
                <w:lang w:val="en-CA" w:eastAsia="en-CA"/>
              </w:rPr>
              <w:t>2022</w:t>
            </w:r>
          </w:p>
        </w:tc>
        <w:tc>
          <w:tcPr>
            <w:tcW w:w="12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85677" w:rsidRPr="00863226" w:rsidRDefault="00185677" w:rsidP="00177FA8">
            <w:pPr>
              <w:jc w:val="center"/>
              <w:rPr>
                <w:b/>
                <w:bCs/>
                <w:sz w:val="20"/>
                <w:szCs w:val="20"/>
                <w:lang w:val="en-CA" w:eastAsia="en-CA"/>
              </w:rPr>
            </w:pPr>
            <w:r w:rsidRPr="00863226">
              <w:rPr>
                <w:b/>
                <w:bCs/>
                <w:sz w:val="20"/>
                <w:szCs w:val="20"/>
                <w:lang w:val="en-CA" w:eastAsia="en-CA"/>
              </w:rPr>
              <w:t>2023</w:t>
            </w:r>
          </w:p>
        </w:tc>
        <w:tc>
          <w:tcPr>
            <w:tcW w:w="12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85677" w:rsidRPr="00863226" w:rsidRDefault="00185677" w:rsidP="00177FA8">
            <w:pPr>
              <w:jc w:val="center"/>
              <w:rPr>
                <w:b/>
                <w:bCs/>
                <w:sz w:val="20"/>
                <w:szCs w:val="20"/>
                <w:lang w:val="en-CA" w:eastAsia="en-CA"/>
              </w:rPr>
            </w:pPr>
            <w:r w:rsidRPr="00863226">
              <w:rPr>
                <w:b/>
                <w:bCs/>
                <w:sz w:val="20"/>
                <w:szCs w:val="20"/>
                <w:lang w:val="en-CA" w:eastAsia="en-CA"/>
              </w:rPr>
              <w:t xml:space="preserve">Total </w:t>
            </w:r>
          </w:p>
          <w:p w:rsidR="00185677" w:rsidRPr="00863226" w:rsidRDefault="00185677" w:rsidP="00177FA8">
            <w:pPr>
              <w:jc w:val="center"/>
              <w:rPr>
                <w:b/>
                <w:bCs/>
                <w:sz w:val="20"/>
                <w:szCs w:val="20"/>
                <w:lang w:val="en-CA" w:eastAsia="en-CA"/>
              </w:rPr>
            </w:pPr>
            <w:r w:rsidRPr="00863226">
              <w:rPr>
                <w:b/>
                <w:bCs/>
                <w:sz w:val="20"/>
                <w:szCs w:val="20"/>
                <w:lang w:val="en-CA" w:eastAsia="en-CA"/>
              </w:rPr>
              <w:t>(2021–2023)</w:t>
            </w:r>
          </w:p>
        </w:tc>
        <w:tc>
          <w:tcPr>
            <w:tcW w:w="122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85677" w:rsidRPr="00863226" w:rsidRDefault="00185677" w:rsidP="00177FA8">
            <w:pPr>
              <w:jc w:val="center"/>
              <w:rPr>
                <w:b/>
                <w:bCs/>
                <w:sz w:val="20"/>
                <w:szCs w:val="20"/>
                <w:lang w:val="en-CA" w:eastAsia="en-CA"/>
              </w:rPr>
            </w:pPr>
            <w:r w:rsidRPr="00863226">
              <w:rPr>
                <w:b/>
                <w:bCs/>
                <w:sz w:val="20"/>
                <w:szCs w:val="20"/>
                <w:lang w:val="en-CA" w:eastAsia="en-CA"/>
              </w:rPr>
              <w:t>Total after 2023</w:t>
            </w:r>
          </w:p>
        </w:tc>
      </w:tr>
      <w:tr w:rsidR="00863226" w:rsidRPr="00863226" w:rsidTr="00177FA8">
        <w:trPr>
          <w:trHeight w:val="264"/>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b/>
                <w:bCs/>
                <w:sz w:val="20"/>
                <w:szCs w:val="20"/>
                <w:lang w:val="en-CA" w:eastAsia="en-CA"/>
              </w:rPr>
            </w:pPr>
            <w:r w:rsidRPr="00863226">
              <w:rPr>
                <w:b/>
                <w:bCs/>
                <w:sz w:val="20"/>
                <w:szCs w:val="20"/>
                <w:lang w:val="en-CA" w:eastAsia="en-CA"/>
              </w:rPr>
              <w:t>HCFC activities</w:t>
            </w:r>
          </w:p>
        </w:tc>
      </w:tr>
      <w:tr w:rsidR="00863226" w:rsidRPr="00863226" w:rsidTr="00177FA8">
        <w:trPr>
          <w:trHeight w:val="65"/>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Approved HPMPs</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70,476</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25,977</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47,114</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143,567</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81,156</w:t>
            </w:r>
          </w:p>
        </w:tc>
      </w:tr>
      <w:tr w:rsidR="00863226" w:rsidRPr="00863226" w:rsidTr="00177FA8">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HCFC production PRP – stage I</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128</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128</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60"/>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HCFC production – stage I</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1,070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2,140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2,140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5,350</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107"/>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HCFC production – stage II</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23,232</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23,232</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23,232</w:t>
            </w:r>
          </w:p>
        </w:tc>
      </w:tr>
      <w:tr w:rsidR="00863226" w:rsidRPr="00863226" w:rsidTr="00177FA8">
        <w:trPr>
          <w:trHeight w:val="152"/>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HPMP PRP – stage II</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112</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104</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216</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34</w:t>
            </w:r>
          </w:p>
        </w:tc>
      </w:tr>
      <w:tr w:rsidR="00863226" w:rsidRPr="00863226" w:rsidTr="00177FA8">
        <w:trPr>
          <w:trHeight w:val="58"/>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HPMP stage II</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15,990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4,044</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12,317</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32,351</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46,591</w:t>
            </w:r>
          </w:p>
        </w:tc>
      </w:tr>
      <w:tr w:rsidR="00863226" w:rsidRPr="00863226" w:rsidTr="00177FA8">
        <w:trPr>
          <w:trHeight w:val="102"/>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HPMP PRP – stage III</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1,057</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709</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33</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1,799</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148"/>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HPMP stage III</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3,549</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18,044</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37,859</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59,451</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101,467</w:t>
            </w:r>
          </w:p>
        </w:tc>
      </w:tr>
      <w:tr w:rsidR="00863226" w:rsidRPr="00863226" w:rsidTr="00177FA8">
        <w:trPr>
          <w:trHeight w:val="181"/>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HPMP verification</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589</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589</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589</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1,766</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84"/>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HCFC technical assistance</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131"/>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b/>
                <w:bCs/>
                <w:sz w:val="20"/>
                <w:szCs w:val="20"/>
                <w:lang w:val="en-CA" w:eastAsia="en-CA"/>
              </w:rPr>
            </w:pPr>
            <w:r w:rsidRPr="00863226">
              <w:rPr>
                <w:b/>
                <w:bCs/>
                <w:sz w:val="20"/>
                <w:szCs w:val="20"/>
                <w:lang w:val="en-CA" w:eastAsia="en-CA"/>
              </w:rPr>
              <w:t>HCFC activities subtotal</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92,970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74,840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100,051</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267,861</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252,480</w:t>
            </w:r>
          </w:p>
        </w:tc>
      </w:tr>
      <w:tr w:rsidR="00863226" w:rsidRPr="00863226" w:rsidTr="00177FA8">
        <w:trPr>
          <w:trHeight w:val="58"/>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b/>
                <w:bCs/>
                <w:sz w:val="20"/>
                <w:szCs w:val="20"/>
                <w:lang w:val="en-CA" w:eastAsia="en-CA"/>
              </w:rPr>
            </w:pPr>
            <w:r w:rsidRPr="00863226">
              <w:rPr>
                <w:b/>
                <w:bCs/>
                <w:sz w:val="20"/>
                <w:szCs w:val="20"/>
                <w:lang w:val="en-CA" w:eastAsia="en-CA"/>
              </w:rPr>
              <w:t>HFC activities</w:t>
            </w:r>
          </w:p>
        </w:tc>
      </w:tr>
      <w:tr w:rsidR="00863226" w:rsidRPr="00863226" w:rsidTr="00177FA8">
        <w:trPr>
          <w:trHeight w:val="81"/>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 xml:space="preserve">HFC </w:t>
            </w:r>
            <w:r w:rsidR="000B7790" w:rsidRPr="00863226">
              <w:rPr>
                <w:sz w:val="20"/>
                <w:szCs w:val="20"/>
                <w:lang w:val="en-CA" w:eastAsia="en-CA"/>
              </w:rPr>
              <w:t>–</w:t>
            </w:r>
            <w:r w:rsidRPr="00863226">
              <w:rPr>
                <w:sz w:val="20"/>
                <w:szCs w:val="20"/>
                <w:lang w:val="en-CA" w:eastAsia="en-CA"/>
              </w:rPr>
              <w:t xml:space="preserve"> demonstration</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58"/>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HFC – enabling activities</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268</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214</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482</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58"/>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HFC – investment</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2,461</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2,461</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63"/>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HFC phase-down plan – PRP</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6,204</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3,405</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112</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9,721</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108"/>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 xml:space="preserve">HFC phase-down plan </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22,918</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2,617</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25,535</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9,847</w:t>
            </w:r>
          </w:p>
        </w:tc>
      </w:tr>
      <w:tr w:rsidR="00863226" w:rsidRPr="00863226" w:rsidTr="00177FA8">
        <w:trPr>
          <w:trHeight w:val="58"/>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 xml:space="preserve">HFC </w:t>
            </w:r>
            <w:r w:rsidR="000B7790" w:rsidRPr="00863226">
              <w:rPr>
                <w:sz w:val="20"/>
                <w:szCs w:val="20"/>
                <w:lang w:val="en-CA" w:eastAsia="en-CA"/>
              </w:rPr>
              <w:t>–</w:t>
            </w:r>
            <w:r w:rsidRPr="00863226">
              <w:rPr>
                <w:sz w:val="20"/>
                <w:szCs w:val="20"/>
                <w:lang w:val="en-CA" w:eastAsia="en-CA"/>
              </w:rPr>
              <w:t xml:space="preserve"> </w:t>
            </w:r>
            <w:r w:rsidR="000B7790" w:rsidRPr="00863226">
              <w:rPr>
                <w:sz w:val="20"/>
                <w:szCs w:val="20"/>
                <w:lang w:val="en-CA" w:eastAsia="en-CA"/>
              </w:rPr>
              <w:t>technica</w:t>
            </w:r>
            <w:r w:rsidRPr="00863226">
              <w:rPr>
                <w:sz w:val="20"/>
                <w:szCs w:val="20"/>
                <w:lang w:val="en-CA" w:eastAsia="en-CA"/>
              </w:rPr>
              <w:t>l assistance</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58"/>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b/>
                <w:bCs/>
                <w:sz w:val="20"/>
                <w:szCs w:val="20"/>
                <w:lang w:val="en-CA" w:eastAsia="en-CA"/>
              </w:rPr>
            </w:pPr>
            <w:r w:rsidRPr="00863226">
              <w:rPr>
                <w:b/>
                <w:bCs/>
                <w:sz w:val="20"/>
                <w:szCs w:val="20"/>
                <w:lang w:val="en-CA" w:eastAsia="en-CA"/>
              </w:rPr>
              <w:t>HFC activities subtotal</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8,933</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26,537</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2,729</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38,198</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9,847</w:t>
            </w:r>
          </w:p>
        </w:tc>
      </w:tr>
      <w:tr w:rsidR="00863226" w:rsidRPr="00863226" w:rsidTr="00177FA8">
        <w:trPr>
          <w:trHeight w:val="91"/>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b/>
                <w:bCs/>
                <w:sz w:val="20"/>
                <w:szCs w:val="20"/>
                <w:lang w:val="en-CA" w:eastAsia="en-CA"/>
              </w:rPr>
            </w:pPr>
            <w:r w:rsidRPr="00863226">
              <w:rPr>
                <w:b/>
                <w:bCs/>
                <w:sz w:val="20"/>
                <w:szCs w:val="20"/>
                <w:lang w:val="en-CA" w:eastAsia="en-CA"/>
              </w:rPr>
              <w:t>Standard activities</w:t>
            </w:r>
          </w:p>
        </w:tc>
      </w:tr>
      <w:tr w:rsidR="00863226" w:rsidRPr="00863226" w:rsidTr="00177FA8">
        <w:trPr>
          <w:trHeight w:val="58"/>
        </w:trPr>
        <w:tc>
          <w:tcPr>
            <w:tcW w:w="3397" w:type="dxa"/>
            <w:tcBorders>
              <w:top w:val="nil"/>
              <w:left w:val="single" w:sz="4" w:space="0" w:color="auto"/>
              <w:bottom w:val="single" w:sz="4" w:space="0" w:color="auto"/>
              <w:right w:val="single" w:sz="4" w:space="0" w:color="auto"/>
            </w:tcBorders>
            <w:shd w:val="clear" w:color="auto" w:fill="auto"/>
            <w:noWrap/>
            <w:hideMark/>
          </w:tcPr>
          <w:p w:rsidR="004E1637" w:rsidRPr="00863226" w:rsidRDefault="004E1637" w:rsidP="00177FA8">
            <w:pPr>
              <w:jc w:val="left"/>
              <w:rPr>
                <w:sz w:val="20"/>
                <w:szCs w:val="20"/>
                <w:lang w:val="en-CA" w:eastAsia="en-CA"/>
              </w:rPr>
            </w:pPr>
            <w:r w:rsidRPr="00863226">
              <w:rPr>
                <w:sz w:val="20"/>
                <w:szCs w:val="20"/>
                <w:lang w:val="en-CA" w:eastAsia="en-CA"/>
              </w:rPr>
              <w:t>IS</w:t>
            </w:r>
          </w:p>
        </w:tc>
        <w:tc>
          <w:tcPr>
            <w:tcW w:w="1219" w:type="dxa"/>
            <w:tcBorders>
              <w:top w:val="nil"/>
              <w:left w:val="nil"/>
              <w:bottom w:val="single" w:sz="4" w:space="0" w:color="auto"/>
              <w:right w:val="single" w:sz="4" w:space="0" w:color="auto"/>
            </w:tcBorders>
            <w:shd w:val="clear" w:color="auto" w:fill="auto"/>
            <w:noWrap/>
            <w:hideMark/>
          </w:tcPr>
          <w:p w:rsidR="004E1637" w:rsidRPr="00863226" w:rsidRDefault="004E1637" w:rsidP="00177FA8">
            <w:pPr>
              <w:jc w:val="right"/>
              <w:rPr>
                <w:sz w:val="20"/>
                <w:szCs w:val="20"/>
                <w:lang w:val="en-CA" w:eastAsia="en-CA"/>
              </w:rPr>
            </w:pPr>
            <w:r w:rsidRPr="00863226">
              <w:rPr>
                <w:sz w:val="20"/>
                <w:szCs w:val="20"/>
                <w:lang w:val="en-CA" w:eastAsia="en-CA"/>
              </w:rPr>
              <w:t>14,514</w:t>
            </w:r>
          </w:p>
        </w:tc>
        <w:tc>
          <w:tcPr>
            <w:tcW w:w="1219" w:type="dxa"/>
            <w:tcBorders>
              <w:top w:val="nil"/>
              <w:left w:val="nil"/>
              <w:bottom w:val="single" w:sz="4" w:space="0" w:color="auto"/>
              <w:right w:val="single" w:sz="4" w:space="0" w:color="auto"/>
            </w:tcBorders>
            <w:shd w:val="clear" w:color="auto" w:fill="auto"/>
            <w:noWrap/>
            <w:hideMark/>
          </w:tcPr>
          <w:p w:rsidR="004E1637" w:rsidRPr="00863226" w:rsidRDefault="004E1637" w:rsidP="00177FA8">
            <w:pPr>
              <w:jc w:val="right"/>
              <w:rPr>
                <w:sz w:val="20"/>
                <w:szCs w:val="20"/>
                <w:lang w:val="en-CA" w:eastAsia="en-CA"/>
              </w:rPr>
            </w:pPr>
            <w:r w:rsidRPr="00863226">
              <w:rPr>
                <w:sz w:val="20"/>
                <w:szCs w:val="20"/>
                <w:lang w:val="en-CA" w:eastAsia="en-CA"/>
              </w:rPr>
              <w:t>6,825</w:t>
            </w:r>
          </w:p>
        </w:tc>
        <w:tc>
          <w:tcPr>
            <w:tcW w:w="1219" w:type="dxa"/>
            <w:tcBorders>
              <w:top w:val="nil"/>
              <w:left w:val="nil"/>
              <w:bottom w:val="single" w:sz="4" w:space="0" w:color="auto"/>
              <w:right w:val="single" w:sz="4" w:space="0" w:color="auto"/>
            </w:tcBorders>
            <w:shd w:val="clear" w:color="auto" w:fill="auto"/>
            <w:noWrap/>
            <w:hideMark/>
          </w:tcPr>
          <w:p w:rsidR="004E1637" w:rsidRPr="00863226" w:rsidRDefault="004E1637" w:rsidP="00177FA8">
            <w:pPr>
              <w:jc w:val="right"/>
              <w:rPr>
                <w:sz w:val="20"/>
                <w:szCs w:val="20"/>
                <w:lang w:val="en-CA" w:eastAsia="en-CA"/>
              </w:rPr>
            </w:pPr>
            <w:r w:rsidRPr="00863226">
              <w:rPr>
                <w:sz w:val="20"/>
                <w:szCs w:val="20"/>
                <w:lang w:val="en-CA" w:eastAsia="en-CA"/>
              </w:rPr>
              <w:t>14,514</w:t>
            </w:r>
          </w:p>
        </w:tc>
        <w:tc>
          <w:tcPr>
            <w:tcW w:w="1219" w:type="dxa"/>
            <w:tcBorders>
              <w:top w:val="nil"/>
              <w:left w:val="nil"/>
              <w:bottom w:val="single" w:sz="4" w:space="0" w:color="auto"/>
              <w:right w:val="single" w:sz="4" w:space="0" w:color="auto"/>
            </w:tcBorders>
            <w:shd w:val="clear" w:color="auto" w:fill="auto"/>
            <w:noWrap/>
            <w:hideMark/>
          </w:tcPr>
          <w:p w:rsidR="004E1637" w:rsidRPr="00863226" w:rsidRDefault="004E1637" w:rsidP="00177FA8">
            <w:pPr>
              <w:jc w:val="right"/>
              <w:rPr>
                <w:sz w:val="20"/>
                <w:szCs w:val="20"/>
                <w:lang w:val="en-CA" w:eastAsia="en-CA"/>
              </w:rPr>
            </w:pPr>
            <w:r w:rsidRPr="00863226">
              <w:rPr>
                <w:sz w:val="20"/>
                <w:szCs w:val="20"/>
                <w:lang w:val="en-CA" w:eastAsia="en-CA"/>
              </w:rPr>
              <w:t>35,854</w:t>
            </w:r>
          </w:p>
        </w:tc>
        <w:tc>
          <w:tcPr>
            <w:tcW w:w="1220" w:type="dxa"/>
            <w:tcBorders>
              <w:top w:val="nil"/>
              <w:left w:val="nil"/>
              <w:bottom w:val="single" w:sz="4" w:space="0" w:color="auto"/>
              <w:right w:val="single" w:sz="4" w:space="0" w:color="auto"/>
            </w:tcBorders>
            <w:shd w:val="clear" w:color="auto" w:fill="auto"/>
            <w:noWrap/>
            <w:hideMark/>
          </w:tcPr>
          <w:p w:rsidR="004E1637" w:rsidRPr="00863226" w:rsidRDefault="004E1637" w:rsidP="00177FA8">
            <w:pPr>
              <w:jc w:val="right"/>
              <w:rPr>
                <w:sz w:val="20"/>
                <w:szCs w:val="20"/>
                <w:lang w:val="en-CA" w:eastAsia="en-CA"/>
              </w:rPr>
            </w:pPr>
            <w:r w:rsidRPr="00863226">
              <w:rPr>
                <w:sz w:val="20"/>
                <w:szCs w:val="20"/>
                <w:lang w:val="en-CA" w:eastAsia="en-CA"/>
              </w:rPr>
              <w:t>0</w:t>
            </w:r>
          </w:p>
        </w:tc>
      </w:tr>
      <w:tr w:rsidR="00863226" w:rsidRPr="00863226" w:rsidTr="00177FA8">
        <w:trPr>
          <w:trHeight w:val="224"/>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CAP</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11,095</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11,428</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11,771</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34,294</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101"/>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Core unit</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5,911</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5,953</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5,994</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17,858</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Secretariat, Executive Committee, and Monitoring and Evaluation costs minus Canadian counterpart</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6,582</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6,732</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6,888</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20,202</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58"/>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Treasurer</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500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500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500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1,500</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0</w:t>
            </w:r>
          </w:p>
        </w:tc>
      </w:tr>
      <w:tr w:rsidR="00863226" w:rsidRPr="00863226" w:rsidTr="00177FA8">
        <w:trPr>
          <w:trHeight w:val="92"/>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b/>
                <w:bCs/>
                <w:sz w:val="20"/>
                <w:szCs w:val="20"/>
                <w:lang w:val="en-CA" w:eastAsia="en-CA"/>
              </w:rPr>
            </w:pPr>
            <w:r w:rsidRPr="00863226">
              <w:rPr>
                <w:b/>
                <w:bCs/>
                <w:sz w:val="20"/>
                <w:szCs w:val="20"/>
                <w:lang w:val="en-CA" w:eastAsia="en-CA"/>
              </w:rPr>
              <w:t>Standard activities subtotal</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38,602</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31,438</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39,667</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109,708</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0</w:t>
            </w:r>
          </w:p>
        </w:tc>
      </w:tr>
      <w:tr w:rsidR="00863226" w:rsidRPr="00863226" w:rsidTr="00177FA8">
        <w:trPr>
          <w:trHeight w:val="125"/>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8244A7" w:rsidP="00177FA8">
            <w:pPr>
              <w:jc w:val="left"/>
              <w:rPr>
                <w:b/>
                <w:bCs/>
                <w:sz w:val="20"/>
                <w:szCs w:val="20"/>
                <w:lang w:val="en-CA" w:eastAsia="en-CA"/>
              </w:rPr>
            </w:pPr>
            <w:r w:rsidRPr="00863226">
              <w:rPr>
                <w:b/>
                <w:bCs/>
                <w:sz w:val="20"/>
                <w:szCs w:val="20"/>
                <w:lang w:val="en-CA" w:eastAsia="en-CA"/>
              </w:rPr>
              <w:t>T</w:t>
            </w:r>
            <w:r w:rsidR="00185677" w:rsidRPr="00863226">
              <w:rPr>
                <w:b/>
                <w:bCs/>
                <w:sz w:val="20"/>
                <w:szCs w:val="20"/>
                <w:lang w:val="en-CA" w:eastAsia="en-CA"/>
              </w:rPr>
              <w:t>otal</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140,505</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132,815</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142,446</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415,767</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b/>
                <w:bCs/>
                <w:sz w:val="20"/>
                <w:szCs w:val="20"/>
                <w:lang w:val="en-CA" w:eastAsia="en-CA"/>
              </w:rPr>
            </w:pPr>
            <w:r w:rsidRPr="00863226">
              <w:rPr>
                <w:b/>
                <w:bCs/>
                <w:sz w:val="20"/>
                <w:szCs w:val="20"/>
                <w:lang w:val="en-CA" w:eastAsia="en-CA"/>
              </w:rPr>
              <w:t>262,327</w:t>
            </w:r>
          </w:p>
        </w:tc>
      </w:tr>
      <w:tr w:rsidR="00863226" w:rsidRPr="00863226" w:rsidTr="00177FA8">
        <w:trPr>
          <w:trHeight w:val="58"/>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Indicative budget**</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180,000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180,000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180,000</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right"/>
              <w:rPr>
                <w:sz w:val="20"/>
                <w:szCs w:val="20"/>
                <w:lang w:val="en-CA" w:eastAsia="en-CA"/>
              </w:rPr>
            </w:pPr>
            <w:r w:rsidRPr="00863226">
              <w:rPr>
                <w:sz w:val="20"/>
                <w:szCs w:val="20"/>
                <w:lang w:val="en-CA" w:eastAsia="en-CA"/>
              </w:rPr>
              <w:t>540,000</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 </w:t>
            </w:r>
          </w:p>
        </w:tc>
      </w:tr>
      <w:tr w:rsidR="00863226" w:rsidRPr="00863226" w:rsidTr="00177FA8">
        <w:trPr>
          <w:trHeight w:val="75"/>
        </w:trPr>
        <w:tc>
          <w:tcPr>
            <w:tcW w:w="3397" w:type="dxa"/>
            <w:tcBorders>
              <w:top w:val="nil"/>
              <w:left w:val="single" w:sz="4" w:space="0" w:color="auto"/>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Difference</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C12B5C" w:rsidP="00177FA8">
            <w:pPr>
              <w:jc w:val="right"/>
              <w:rPr>
                <w:sz w:val="20"/>
                <w:szCs w:val="20"/>
                <w:lang w:val="en-CA" w:eastAsia="en-CA"/>
              </w:rPr>
            </w:pPr>
            <w:r w:rsidRPr="00863226">
              <w:rPr>
                <w:sz w:val="20"/>
                <w:szCs w:val="20"/>
                <w:lang w:val="en-CA" w:eastAsia="en-CA"/>
              </w:rPr>
              <w:t>(</w:t>
            </w:r>
            <w:r w:rsidR="00185677" w:rsidRPr="00863226">
              <w:rPr>
                <w:sz w:val="20"/>
                <w:szCs w:val="20"/>
                <w:lang w:val="en-CA" w:eastAsia="en-CA"/>
              </w:rPr>
              <w:t>39,495</w:t>
            </w:r>
            <w:r w:rsidRPr="00863226">
              <w:rPr>
                <w:sz w:val="20"/>
                <w:szCs w:val="20"/>
                <w:lang w:val="en-CA" w:eastAsia="en-CA"/>
              </w:rPr>
              <w:t>)</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C12B5C" w:rsidP="00177FA8">
            <w:pPr>
              <w:jc w:val="right"/>
              <w:rPr>
                <w:sz w:val="20"/>
                <w:szCs w:val="20"/>
                <w:lang w:val="en-CA" w:eastAsia="en-CA"/>
              </w:rPr>
            </w:pPr>
            <w:r w:rsidRPr="00863226">
              <w:rPr>
                <w:sz w:val="20"/>
                <w:szCs w:val="20"/>
                <w:lang w:val="en-CA" w:eastAsia="en-CA"/>
              </w:rPr>
              <w:t>(</w:t>
            </w:r>
            <w:r w:rsidR="00185677" w:rsidRPr="00863226">
              <w:rPr>
                <w:sz w:val="20"/>
                <w:szCs w:val="20"/>
                <w:lang w:val="en-CA" w:eastAsia="en-CA"/>
              </w:rPr>
              <w:t>47,185</w:t>
            </w:r>
            <w:r w:rsidRPr="00863226">
              <w:rPr>
                <w:sz w:val="20"/>
                <w:szCs w:val="20"/>
                <w:lang w:val="en-CA" w:eastAsia="en-CA"/>
              </w:rPr>
              <w:t>)</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C12B5C" w:rsidP="00177FA8">
            <w:pPr>
              <w:jc w:val="right"/>
              <w:rPr>
                <w:sz w:val="20"/>
                <w:szCs w:val="20"/>
                <w:lang w:val="en-CA" w:eastAsia="en-CA"/>
              </w:rPr>
            </w:pPr>
            <w:r w:rsidRPr="00863226">
              <w:rPr>
                <w:sz w:val="20"/>
                <w:szCs w:val="20"/>
                <w:lang w:val="en-CA" w:eastAsia="en-CA"/>
              </w:rPr>
              <w:t>(</w:t>
            </w:r>
            <w:r w:rsidR="00185677" w:rsidRPr="00863226">
              <w:rPr>
                <w:sz w:val="20"/>
                <w:szCs w:val="20"/>
                <w:lang w:val="en-CA" w:eastAsia="en-CA"/>
              </w:rPr>
              <w:t>37,554</w:t>
            </w:r>
            <w:r w:rsidRPr="00863226">
              <w:rPr>
                <w:sz w:val="20"/>
                <w:szCs w:val="20"/>
                <w:lang w:val="en-CA" w:eastAsia="en-CA"/>
              </w:rPr>
              <w:t>)</w:t>
            </w:r>
          </w:p>
        </w:tc>
        <w:tc>
          <w:tcPr>
            <w:tcW w:w="1219" w:type="dxa"/>
            <w:tcBorders>
              <w:top w:val="nil"/>
              <w:left w:val="nil"/>
              <w:bottom w:val="single" w:sz="4" w:space="0" w:color="auto"/>
              <w:right w:val="single" w:sz="4" w:space="0" w:color="auto"/>
            </w:tcBorders>
            <w:shd w:val="clear" w:color="auto" w:fill="auto"/>
            <w:noWrap/>
            <w:hideMark/>
          </w:tcPr>
          <w:p w:rsidR="00185677" w:rsidRPr="00863226" w:rsidRDefault="00C12B5C" w:rsidP="00177FA8">
            <w:pPr>
              <w:jc w:val="right"/>
              <w:rPr>
                <w:sz w:val="20"/>
                <w:szCs w:val="20"/>
                <w:lang w:val="en-CA" w:eastAsia="en-CA"/>
              </w:rPr>
            </w:pPr>
            <w:r w:rsidRPr="00863226">
              <w:rPr>
                <w:sz w:val="20"/>
                <w:szCs w:val="20"/>
                <w:lang w:val="en-CA" w:eastAsia="en-CA"/>
              </w:rPr>
              <w:t>(</w:t>
            </w:r>
            <w:r w:rsidR="00185677" w:rsidRPr="00863226">
              <w:rPr>
                <w:sz w:val="20"/>
                <w:szCs w:val="20"/>
                <w:lang w:val="en-CA" w:eastAsia="en-CA"/>
              </w:rPr>
              <w:t>124,233</w:t>
            </w:r>
            <w:r w:rsidRPr="00863226">
              <w:rPr>
                <w:sz w:val="20"/>
                <w:szCs w:val="20"/>
                <w:lang w:val="en-CA" w:eastAsia="en-CA"/>
              </w:rPr>
              <w:t>)</w:t>
            </w:r>
          </w:p>
        </w:tc>
        <w:tc>
          <w:tcPr>
            <w:tcW w:w="1220" w:type="dxa"/>
            <w:tcBorders>
              <w:top w:val="nil"/>
              <w:left w:val="nil"/>
              <w:bottom w:val="single" w:sz="4" w:space="0" w:color="auto"/>
              <w:right w:val="single" w:sz="4" w:space="0" w:color="auto"/>
            </w:tcBorders>
            <w:shd w:val="clear" w:color="auto" w:fill="auto"/>
            <w:noWrap/>
            <w:hideMark/>
          </w:tcPr>
          <w:p w:rsidR="00185677" w:rsidRPr="00863226" w:rsidRDefault="00185677" w:rsidP="00177FA8">
            <w:pPr>
              <w:jc w:val="left"/>
              <w:rPr>
                <w:sz w:val="20"/>
                <w:szCs w:val="20"/>
                <w:lang w:val="en-CA" w:eastAsia="en-CA"/>
              </w:rPr>
            </w:pPr>
            <w:r w:rsidRPr="00863226">
              <w:rPr>
                <w:sz w:val="20"/>
                <w:szCs w:val="20"/>
                <w:lang w:val="en-CA" w:eastAsia="en-CA"/>
              </w:rPr>
              <w:t> </w:t>
            </w:r>
          </w:p>
        </w:tc>
      </w:tr>
    </w:tbl>
    <w:p w:rsidR="002D39BC" w:rsidRPr="00863226" w:rsidRDefault="002D39BC" w:rsidP="00177FA8">
      <w:pPr>
        <w:jc w:val="left"/>
        <w:rPr>
          <w:sz w:val="19"/>
          <w:szCs w:val="19"/>
          <w:lang w:val="en-CA"/>
        </w:rPr>
      </w:pPr>
      <w:r w:rsidRPr="00863226">
        <w:rPr>
          <w:sz w:val="19"/>
          <w:szCs w:val="19"/>
          <w:lang w:val="en-CA"/>
        </w:rPr>
        <w:t>* Including agency support costs where applicable.</w:t>
      </w:r>
    </w:p>
    <w:p w:rsidR="002D39BC" w:rsidRPr="00863226" w:rsidRDefault="002D39BC" w:rsidP="00177FA8">
      <w:pPr>
        <w:jc w:val="left"/>
        <w:rPr>
          <w:sz w:val="19"/>
          <w:szCs w:val="19"/>
          <w:lang w:val="en-CA"/>
        </w:rPr>
      </w:pPr>
      <w:r w:rsidRPr="00863226">
        <w:rPr>
          <w:sz w:val="19"/>
          <w:szCs w:val="19"/>
          <w:lang w:val="en-CA"/>
        </w:rPr>
        <w:t>** Assumed the same level of the 2018–2020 replenishment of the Multilateral Fund.</w:t>
      </w:r>
    </w:p>
    <w:p w:rsidR="002D39BC" w:rsidRPr="00863226" w:rsidRDefault="002D39BC" w:rsidP="00177FA8">
      <w:pPr>
        <w:rPr>
          <w:b/>
          <w:lang w:val="en-CA"/>
        </w:rPr>
      </w:pPr>
    </w:p>
    <w:p w:rsidR="002D39BC" w:rsidRPr="00863226" w:rsidRDefault="002D39BC" w:rsidP="00177FA8">
      <w:pPr>
        <w:pStyle w:val="Footer"/>
        <w:keepNext/>
        <w:tabs>
          <w:tab w:val="clear" w:pos="4320"/>
          <w:tab w:val="clear" w:pos="8640"/>
          <w:tab w:val="left" w:pos="450"/>
          <w:tab w:val="left" w:pos="720"/>
          <w:tab w:val="left" w:pos="990"/>
          <w:tab w:val="left" w:pos="1440"/>
          <w:tab w:val="left" w:pos="2160"/>
        </w:tabs>
        <w:spacing w:after="240"/>
        <w:ind w:left="1440" w:hanging="1440"/>
        <w:rPr>
          <w:b/>
          <w:lang w:val="en-CA"/>
        </w:rPr>
      </w:pPr>
      <w:r w:rsidRPr="00863226">
        <w:rPr>
          <w:b/>
          <w:lang w:val="en-CA"/>
        </w:rPr>
        <w:t>Other policy issues</w:t>
      </w:r>
    </w:p>
    <w:p w:rsidR="002D39BC" w:rsidRPr="00863226" w:rsidRDefault="002D39BC" w:rsidP="00177FA8">
      <w:pPr>
        <w:pStyle w:val="Footer"/>
        <w:keepNext/>
        <w:tabs>
          <w:tab w:val="clear" w:pos="4320"/>
          <w:tab w:val="clear" w:pos="8640"/>
          <w:tab w:val="left" w:pos="450"/>
          <w:tab w:val="left" w:pos="720"/>
          <w:tab w:val="left" w:pos="990"/>
          <w:tab w:val="left" w:pos="1440"/>
          <w:tab w:val="left" w:pos="2160"/>
        </w:tabs>
        <w:ind w:left="1440" w:hanging="1440"/>
        <w:rPr>
          <w:u w:val="single"/>
          <w:lang w:val="en-CA"/>
        </w:rPr>
      </w:pPr>
      <w:r w:rsidRPr="00863226">
        <w:rPr>
          <w:u w:val="single"/>
          <w:lang w:val="en-CA"/>
        </w:rPr>
        <w:t xml:space="preserve">Activities </w:t>
      </w:r>
      <w:r w:rsidR="00C12B5C" w:rsidRPr="00863226">
        <w:rPr>
          <w:u w:val="single"/>
          <w:lang w:val="en-CA"/>
        </w:rPr>
        <w:t>submitted to the 86</w:t>
      </w:r>
      <w:r w:rsidR="00C12B5C" w:rsidRPr="00863226">
        <w:rPr>
          <w:u w:val="single"/>
          <w:vertAlign w:val="superscript"/>
          <w:lang w:val="en-CA"/>
        </w:rPr>
        <w:t>th</w:t>
      </w:r>
      <w:r w:rsidR="00C12B5C" w:rsidRPr="00863226">
        <w:rPr>
          <w:u w:val="single"/>
          <w:lang w:val="en-CA"/>
        </w:rPr>
        <w:t xml:space="preserve"> meeting</w:t>
      </w:r>
    </w:p>
    <w:p w:rsidR="002D39BC" w:rsidRPr="00863226" w:rsidRDefault="002D39BC" w:rsidP="00177FA8">
      <w:pPr>
        <w:pStyle w:val="Footer"/>
        <w:keepNext/>
        <w:tabs>
          <w:tab w:val="clear" w:pos="4320"/>
          <w:tab w:val="clear" w:pos="8640"/>
          <w:tab w:val="left" w:pos="450"/>
          <w:tab w:val="left" w:pos="720"/>
          <w:tab w:val="left" w:pos="990"/>
          <w:tab w:val="left" w:pos="1440"/>
          <w:tab w:val="left" w:pos="2160"/>
        </w:tabs>
        <w:ind w:left="1440" w:hanging="1440"/>
        <w:rPr>
          <w:lang w:val="en-CA"/>
        </w:rPr>
      </w:pPr>
    </w:p>
    <w:p w:rsidR="002D39BC" w:rsidRPr="00863226" w:rsidRDefault="00C12B5C" w:rsidP="00C12B5C">
      <w:pPr>
        <w:pStyle w:val="Heading1"/>
        <w:rPr>
          <w:lang w:val="en-CA"/>
        </w:rPr>
      </w:pPr>
      <w:r w:rsidRPr="00863226">
        <w:rPr>
          <w:lang w:val="en-CA"/>
        </w:rPr>
        <w:t>HPMPs and HFC phase-down plan</w:t>
      </w:r>
      <w:r w:rsidR="00293EA4" w:rsidRPr="00863226">
        <w:rPr>
          <w:lang w:val="en-CA"/>
        </w:rPr>
        <w:t>/investment project</w:t>
      </w:r>
      <w:r w:rsidRPr="00863226">
        <w:rPr>
          <w:lang w:val="en-CA"/>
        </w:rPr>
        <w:t xml:space="preserve"> preparation submitted to the 86</w:t>
      </w:r>
      <w:r w:rsidRPr="00863226">
        <w:rPr>
          <w:vertAlign w:val="superscript"/>
          <w:lang w:val="en-CA"/>
        </w:rPr>
        <w:t>th</w:t>
      </w:r>
      <w:r w:rsidRPr="00863226">
        <w:rPr>
          <w:lang w:val="en-CA"/>
        </w:rPr>
        <w:t xml:space="preserve"> meeting but subsequently deferred would be included in the business plan for 2021–2023. </w:t>
      </w:r>
    </w:p>
    <w:p w:rsidR="00A855CC" w:rsidRPr="00863226" w:rsidRDefault="00A855CC" w:rsidP="00177FA8">
      <w:pPr>
        <w:rPr>
          <w:u w:val="single"/>
          <w:lang w:val="en-CA"/>
        </w:rPr>
      </w:pPr>
      <w:r w:rsidRPr="00863226">
        <w:rPr>
          <w:u w:val="single"/>
          <w:lang w:val="en-CA"/>
        </w:rPr>
        <w:t>Budget</w:t>
      </w:r>
      <w:r w:rsidR="00B429FB" w:rsidRPr="00863226">
        <w:rPr>
          <w:u w:val="single"/>
          <w:lang w:val="en-CA"/>
        </w:rPr>
        <w:t>ing</w:t>
      </w:r>
    </w:p>
    <w:p w:rsidR="00B429FB" w:rsidRPr="00863226" w:rsidRDefault="00B429FB" w:rsidP="00177FA8">
      <w:pPr>
        <w:rPr>
          <w:u w:val="single"/>
          <w:lang w:val="en-CA"/>
        </w:rPr>
      </w:pPr>
    </w:p>
    <w:p w:rsidR="00B429FB" w:rsidRPr="00863226" w:rsidRDefault="00B429FB" w:rsidP="00177FA8">
      <w:pPr>
        <w:pStyle w:val="Heading1"/>
        <w:rPr>
          <w:lang w:val="en-CA"/>
        </w:rPr>
      </w:pPr>
      <w:r w:rsidRPr="00863226">
        <w:rPr>
          <w:lang w:val="en-CA"/>
        </w:rPr>
        <w:t xml:space="preserve">Following adjustments, the </w:t>
      </w:r>
      <w:r w:rsidR="00483B58" w:rsidRPr="00863226">
        <w:rPr>
          <w:lang w:val="en-CA"/>
        </w:rPr>
        <w:t xml:space="preserve">values of </w:t>
      </w:r>
      <w:r w:rsidRPr="00863226">
        <w:rPr>
          <w:lang w:val="en-CA"/>
        </w:rPr>
        <w:t xml:space="preserve">activities in the business plan </w:t>
      </w:r>
      <w:r w:rsidR="00FE2099" w:rsidRPr="00863226">
        <w:rPr>
          <w:lang w:val="en-CA"/>
        </w:rPr>
        <w:t>are</w:t>
      </w:r>
      <w:r w:rsidRPr="00863226">
        <w:rPr>
          <w:lang w:val="en-CA"/>
        </w:rPr>
        <w:t xml:space="preserve"> below the overall indicative budget by </w:t>
      </w:r>
      <w:r w:rsidR="00177FA8" w:rsidRPr="00863226">
        <w:rPr>
          <w:lang w:val="en-CA"/>
        </w:rPr>
        <w:t>US $</w:t>
      </w:r>
      <w:r w:rsidRPr="00863226">
        <w:rPr>
          <w:lang w:val="en-CA"/>
        </w:rPr>
        <w:t>124.23 million for the 2021</w:t>
      </w:r>
      <w:r w:rsidR="00AD5036" w:rsidRPr="00863226">
        <w:rPr>
          <w:lang w:val="en-CA"/>
        </w:rPr>
        <w:t>–</w:t>
      </w:r>
      <w:r w:rsidRPr="00863226">
        <w:rPr>
          <w:lang w:val="en-CA"/>
        </w:rPr>
        <w:t xml:space="preserve">2023 triennium, assuming a budget of </w:t>
      </w:r>
      <w:r w:rsidR="00177FA8" w:rsidRPr="00863226">
        <w:rPr>
          <w:lang w:val="en-CA"/>
        </w:rPr>
        <w:t>US $</w:t>
      </w:r>
      <w:r w:rsidR="006A49DF" w:rsidRPr="00863226">
        <w:rPr>
          <w:lang w:val="en-CA"/>
        </w:rPr>
        <w:t>540</w:t>
      </w:r>
      <w:r w:rsidR="00177FA8" w:rsidRPr="00863226">
        <w:rPr>
          <w:lang w:val="en-CA"/>
        </w:rPr>
        <w:t xml:space="preserve"> </w:t>
      </w:r>
      <w:r w:rsidRPr="00863226">
        <w:rPr>
          <w:lang w:val="en-CA"/>
        </w:rPr>
        <w:t>million, i.e., at the same level as the 2018</w:t>
      </w:r>
      <w:r w:rsidR="00AD5036" w:rsidRPr="00863226">
        <w:rPr>
          <w:lang w:val="en-CA"/>
        </w:rPr>
        <w:t>–</w:t>
      </w:r>
      <w:r w:rsidRPr="00863226">
        <w:rPr>
          <w:lang w:val="en-CA"/>
        </w:rPr>
        <w:t xml:space="preserve">2020 replenishment. </w:t>
      </w:r>
      <w:r w:rsidR="00FE2099" w:rsidRPr="00863226">
        <w:rPr>
          <w:lang w:val="en-CA"/>
        </w:rPr>
        <w:t>Moreover, t</w:t>
      </w:r>
      <w:r w:rsidRPr="00863226">
        <w:rPr>
          <w:lang w:val="en-CA"/>
        </w:rPr>
        <w:t xml:space="preserve">he adjusted business plan value of </w:t>
      </w:r>
      <w:r w:rsidR="00F01B4B" w:rsidRPr="00863226">
        <w:rPr>
          <w:lang w:val="en-CA"/>
        </w:rPr>
        <w:t>US $140.51 </w:t>
      </w:r>
      <w:r w:rsidRPr="00863226">
        <w:rPr>
          <w:lang w:val="en-CA"/>
        </w:rPr>
        <w:t xml:space="preserve">million for 2021 is below the </w:t>
      </w:r>
      <w:r w:rsidR="006A49DF" w:rsidRPr="00863226">
        <w:rPr>
          <w:lang w:val="en-CA"/>
        </w:rPr>
        <w:t xml:space="preserve">annual budget of </w:t>
      </w:r>
      <w:r w:rsidR="00177FA8" w:rsidRPr="00863226">
        <w:rPr>
          <w:lang w:val="en-CA"/>
        </w:rPr>
        <w:t>US $</w:t>
      </w:r>
      <w:r w:rsidR="006A49DF" w:rsidRPr="00863226">
        <w:rPr>
          <w:lang w:val="en-CA"/>
        </w:rPr>
        <w:t xml:space="preserve">180 million (assuming the same level of </w:t>
      </w:r>
      <w:r w:rsidR="00D74815" w:rsidRPr="00863226">
        <w:rPr>
          <w:lang w:val="en-CA"/>
        </w:rPr>
        <w:t xml:space="preserve">the </w:t>
      </w:r>
      <w:r w:rsidR="006A49DF" w:rsidRPr="00863226">
        <w:rPr>
          <w:lang w:val="en-CA"/>
        </w:rPr>
        <w:t>2018</w:t>
      </w:r>
      <w:r w:rsidR="00D74815" w:rsidRPr="00863226">
        <w:rPr>
          <w:lang w:val="en-CA"/>
        </w:rPr>
        <w:t>–</w:t>
      </w:r>
      <w:r w:rsidR="006A49DF" w:rsidRPr="00863226">
        <w:rPr>
          <w:lang w:val="en-CA"/>
        </w:rPr>
        <w:t>2020 replenishment)</w:t>
      </w:r>
      <w:r w:rsidRPr="00863226">
        <w:rPr>
          <w:lang w:val="en-CA"/>
        </w:rPr>
        <w:t xml:space="preserve">. </w:t>
      </w:r>
    </w:p>
    <w:p w:rsidR="00D92A3F" w:rsidRPr="00863226" w:rsidRDefault="00D92A3F" w:rsidP="00863ED5">
      <w:pPr>
        <w:keepNext/>
        <w:rPr>
          <w:u w:val="single"/>
          <w:lang w:val="en-CA"/>
        </w:rPr>
      </w:pPr>
      <w:r w:rsidRPr="00863226">
        <w:rPr>
          <w:u w:val="single"/>
          <w:lang w:val="en-CA"/>
        </w:rPr>
        <w:lastRenderedPageBreak/>
        <w:t xml:space="preserve">Further adjustment </w:t>
      </w:r>
      <w:r w:rsidR="007779CF" w:rsidRPr="00863226">
        <w:rPr>
          <w:u w:val="single"/>
          <w:lang w:val="en-CA"/>
        </w:rPr>
        <w:t>after</w:t>
      </w:r>
      <w:r w:rsidRPr="00863226">
        <w:rPr>
          <w:u w:val="single"/>
          <w:lang w:val="en-CA"/>
        </w:rPr>
        <w:t xml:space="preserve"> the 86</w:t>
      </w:r>
      <w:r w:rsidRPr="00863226">
        <w:rPr>
          <w:u w:val="single"/>
          <w:vertAlign w:val="superscript"/>
          <w:lang w:val="en-CA"/>
        </w:rPr>
        <w:t>th</w:t>
      </w:r>
      <w:r w:rsidRPr="00863226">
        <w:rPr>
          <w:u w:val="single"/>
          <w:lang w:val="en-CA"/>
        </w:rPr>
        <w:t xml:space="preserve"> meeting</w:t>
      </w:r>
    </w:p>
    <w:p w:rsidR="00D92A3F" w:rsidRPr="00863226" w:rsidRDefault="00D92A3F" w:rsidP="00863ED5">
      <w:pPr>
        <w:keepNext/>
        <w:rPr>
          <w:lang w:val="en-CA"/>
        </w:rPr>
      </w:pPr>
    </w:p>
    <w:p w:rsidR="00D92A3F" w:rsidRPr="00863226" w:rsidRDefault="00D92A3F" w:rsidP="00863ED5">
      <w:pPr>
        <w:pStyle w:val="Heading1"/>
        <w:keepNext/>
        <w:rPr>
          <w:lang w:val="en-CA"/>
        </w:rPr>
      </w:pPr>
      <w:r w:rsidRPr="00863226">
        <w:rPr>
          <w:lang w:val="en-CA"/>
        </w:rPr>
        <w:t xml:space="preserve">The Executive Committee may </w:t>
      </w:r>
      <w:r w:rsidR="00C26797" w:rsidRPr="00863226">
        <w:rPr>
          <w:lang w:val="en-CA"/>
        </w:rPr>
        <w:t>wish to further adjust the 2021</w:t>
      </w:r>
      <w:r w:rsidR="00C26797" w:rsidRPr="00863226">
        <w:rPr>
          <w:lang w:val="en-CA"/>
        </w:rPr>
        <w:noBreakHyphen/>
      </w:r>
      <w:r w:rsidRPr="00863226">
        <w:rPr>
          <w:lang w:val="en-CA"/>
        </w:rPr>
        <w:t xml:space="preserve">2023 business plan </w:t>
      </w:r>
      <w:r w:rsidR="008B6AAA" w:rsidRPr="00863226">
        <w:rPr>
          <w:lang w:val="en-CA"/>
        </w:rPr>
        <w:t xml:space="preserve">in line with the </w:t>
      </w:r>
      <w:r w:rsidRPr="00863226">
        <w:rPr>
          <w:lang w:val="en-CA"/>
        </w:rPr>
        <w:t xml:space="preserve">decision </w:t>
      </w:r>
      <w:r w:rsidR="008B6AAA" w:rsidRPr="00863226">
        <w:rPr>
          <w:lang w:val="en-CA"/>
        </w:rPr>
        <w:t xml:space="preserve">that would be </w:t>
      </w:r>
      <w:r w:rsidRPr="00863226">
        <w:rPr>
          <w:lang w:val="en-CA"/>
        </w:rPr>
        <w:t>taken by the Parties to the Montreal Protocol on the level of replenishment of the Multilateral Fund for the 2021</w:t>
      </w:r>
      <w:r w:rsidR="00A6065D" w:rsidRPr="00863226">
        <w:rPr>
          <w:lang w:val="en-CA"/>
        </w:rPr>
        <w:t>–</w:t>
      </w:r>
      <w:r w:rsidRPr="00863226">
        <w:rPr>
          <w:lang w:val="en-CA"/>
        </w:rPr>
        <w:t>2023 triennium</w:t>
      </w:r>
      <w:r w:rsidR="008B6AAA" w:rsidRPr="00863226">
        <w:rPr>
          <w:lang w:val="en-CA"/>
        </w:rPr>
        <w:t>.</w:t>
      </w:r>
      <w:r w:rsidR="007779CF" w:rsidRPr="00863226">
        <w:rPr>
          <w:lang w:val="en-CA"/>
        </w:rPr>
        <w:t xml:space="preserve"> </w:t>
      </w:r>
    </w:p>
    <w:p w:rsidR="002D39BC" w:rsidRPr="00863226" w:rsidRDefault="002D39BC" w:rsidP="00177FA8">
      <w:pPr>
        <w:rPr>
          <w:u w:val="single"/>
          <w:lang w:val="en-CA"/>
        </w:rPr>
      </w:pPr>
      <w:r w:rsidRPr="00863226">
        <w:rPr>
          <w:u w:val="single"/>
          <w:lang w:val="en-CA"/>
        </w:rPr>
        <w:t>Policy issues in agency business plans</w:t>
      </w:r>
    </w:p>
    <w:p w:rsidR="002D39BC" w:rsidRPr="00863226" w:rsidRDefault="002D39BC" w:rsidP="00177FA8">
      <w:pPr>
        <w:rPr>
          <w:u w:val="single"/>
          <w:lang w:val="en-CA"/>
        </w:rPr>
      </w:pPr>
    </w:p>
    <w:p w:rsidR="002D39BC" w:rsidRPr="00863226" w:rsidRDefault="002D39BC" w:rsidP="00177FA8">
      <w:pPr>
        <w:pStyle w:val="Heading1"/>
        <w:rPr>
          <w:lang w:val="en-CA"/>
        </w:rPr>
      </w:pPr>
      <w:r w:rsidRPr="00863226">
        <w:rPr>
          <w:lang w:val="en-CA"/>
        </w:rPr>
        <w:t xml:space="preserve">UNDP raised the following policy issues: funding the market transformation by using the incremental operating cost in a more flexible and inclusive manner; challenges of LVC countries in terms of the demonstration of alternative technologies and ability to scale up with limited funding available; </w:t>
      </w:r>
      <w:r w:rsidR="000319BD" w:rsidRPr="00863226">
        <w:rPr>
          <w:lang w:val="en-CA"/>
        </w:rPr>
        <w:t xml:space="preserve">treating activities in the </w:t>
      </w:r>
      <w:r w:rsidRPr="00863226">
        <w:rPr>
          <w:lang w:val="en-CA"/>
        </w:rPr>
        <w:t xml:space="preserve">assembly sub-sector </w:t>
      </w:r>
      <w:r w:rsidR="000319BD" w:rsidRPr="00863226">
        <w:rPr>
          <w:lang w:val="en-CA"/>
        </w:rPr>
        <w:t xml:space="preserve">differently </w:t>
      </w:r>
      <w:r w:rsidRPr="00863226">
        <w:rPr>
          <w:lang w:val="en-CA"/>
        </w:rPr>
        <w:t>from other activities in the servicin</w:t>
      </w:r>
      <w:r w:rsidR="009E26FB" w:rsidRPr="00863226">
        <w:rPr>
          <w:lang w:val="en-CA"/>
        </w:rPr>
        <w:t>g sector; cost</w:t>
      </w:r>
      <w:r w:rsidR="009E26FB" w:rsidRPr="00863226">
        <w:rPr>
          <w:lang w:val="en-CA"/>
        </w:rPr>
        <w:noBreakHyphen/>
      </w:r>
      <w:r w:rsidRPr="00863226">
        <w:rPr>
          <w:lang w:val="en-CA"/>
        </w:rPr>
        <w:t>effectiveness based on CO</w:t>
      </w:r>
      <w:r w:rsidRPr="00863226">
        <w:rPr>
          <w:vertAlign w:val="subscript"/>
          <w:lang w:val="en-CA"/>
        </w:rPr>
        <w:t>2</w:t>
      </w:r>
      <w:r w:rsidRPr="00863226">
        <w:rPr>
          <w:lang w:val="en-CA"/>
        </w:rPr>
        <w:t xml:space="preserve">-equivalent; and </w:t>
      </w:r>
      <w:r w:rsidR="00104DDD" w:rsidRPr="00863226">
        <w:rPr>
          <w:lang w:val="en-CA"/>
        </w:rPr>
        <w:t>coordination</w:t>
      </w:r>
      <w:r w:rsidRPr="00863226">
        <w:rPr>
          <w:lang w:val="en-CA"/>
        </w:rPr>
        <w:t xml:space="preserve"> and synergy with the broader climate actions on the national and international levels.</w:t>
      </w:r>
      <w:r w:rsidR="00177FA8" w:rsidRPr="00863226">
        <w:rPr>
          <w:lang w:val="en-CA"/>
        </w:rPr>
        <w:t xml:space="preserve">  </w:t>
      </w:r>
    </w:p>
    <w:p w:rsidR="002D39BC" w:rsidRPr="00863226" w:rsidRDefault="002D39BC" w:rsidP="00177FA8">
      <w:pPr>
        <w:pStyle w:val="Heading1"/>
        <w:rPr>
          <w:lang w:val="en-CA"/>
        </w:rPr>
      </w:pPr>
      <w:r w:rsidRPr="00863226">
        <w:rPr>
          <w:lang w:val="en-CA"/>
        </w:rPr>
        <w:t xml:space="preserve">UNEP seeks guidance from the Executive Committee about the eligibility and guidelines for the preparation of HFC phase-down national implementation plans. </w:t>
      </w:r>
    </w:p>
    <w:p w:rsidR="002D39BC" w:rsidRPr="00863226" w:rsidRDefault="002D39BC" w:rsidP="00177FA8">
      <w:pPr>
        <w:pStyle w:val="Heading1"/>
        <w:rPr>
          <w:lang w:val="en-CA"/>
        </w:rPr>
      </w:pPr>
      <w:r w:rsidRPr="00863226">
        <w:rPr>
          <w:lang w:val="en-CA"/>
        </w:rPr>
        <w:t xml:space="preserve">The policy issues raised by the implementing agencies are covered in the individual agencies’ business plans. </w:t>
      </w:r>
    </w:p>
    <w:p w:rsidR="002C184F" w:rsidRPr="00863226" w:rsidRDefault="002C184F" w:rsidP="00177FA8">
      <w:pPr>
        <w:pStyle w:val="Footer"/>
        <w:keepNext/>
        <w:tabs>
          <w:tab w:val="clear" w:pos="4320"/>
          <w:tab w:val="clear" w:pos="8640"/>
          <w:tab w:val="left" w:pos="450"/>
          <w:tab w:val="left" w:pos="720"/>
          <w:tab w:val="left" w:pos="990"/>
          <w:tab w:val="left" w:pos="1440"/>
          <w:tab w:val="left" w:pos="2160"/>
        </w:tabs>
        <w:ind w:left="1440" w:hanging="1440"/>
        <w:rPr>
          <w:b/>
          <w:lang w:val="en-CA"/>
        </w:rPr>
      </w:pPr>
      <w:r w:rsidRPr="00863226">
        <w:rPr>
          <w:b/>
          <w:lang w:val="en-CA"/>
        </w:rPr>
        <w:t>RECOMMENDATION</w:t>
      </w:r>
    </w:p>
    <w:p w:rsidR="002C184F" w:rsidRPr="00863226" w:rsidRDefault="002C184F" w:rsidP="00177FA8">
      <w:pPr>
        <w:pStyle w:val="Footer"/>
        <w:keepNext/>
        <w:tabs>
          <w:tab w:val="clear" w:pos="4320"/>
          <w:tab w:val="clear" w:pos="8640"/>
          <w:tab w:val="left" w:pos="450"/>
          <w:tab w:val="left" w:pos="720"/>
          <w:tab w:val="left" w:pos="990"/>
          <w:tab w:val="left" w:pos="1440"/>
          <w:tab w:val="left" w:pos="2160"/>
        </w:tabs>
        <w:ind w:left="1440" w:hanging="1440"/>
        <w:rPr>
          <w:b/>
          <w:lang w:val="en-CA"/>
        </w:rPr>
      </w:pPr>
    </w:p>
    <w:p w:rsidR="002C184F" w:rsidRPr="00863226" w:rsidRDefault="002C184F" w:rsidP="00177FA8">
      <w:pPr>
        <w:pStyle w:val="Heading1"/>
        <w:rPr>
          <w:lang w:val="en-CA"/>
        </w:rPr>
      </w:pPr>
      <w:r w:rsidRPr="00863226">
        <w:rPr>
          <w:lang w:val="en-CA"/>
        </w:rPr>
        <w:t>The Executive Committee may wish:</w:t>
      </w:r>
    </w:p>
    <w:p w:rsidR="002C184F" w:rsidRPr="00863226" w:rsidRDefault="002C184F" w:rsidP="00177FA8">
      <w:pPr>
        <w:pStyle w:val="Heading2"/>
        <w:rPr>
          <w:lang w:val="en-CA"/>
        </w:rPr>
      </w:pPr>
      <w:r w:rsidRPr="00863226">
        <w:rPr>
          <w:lang w:val="en-CA"/>
        </w:rPr>
        <w:t>To note the consolidated business plan of the Multilateral Fund for 2021–2023 contained in document UNEP/OzL.Pro/ExCom/86/</w:t>
      </w:r>
      <w:r w:rsidR="00CF4F3B" w:rsidRPr="00863226">
        <w:rPr>
          <w:lang w:val="en-CA"/>
        </w:rPr>
        <w:t>25</w:t>
      </w:r>
      <w:r w:rsidRPr="00863226">
        <w:rPr>
          <w:lang w:val="en-CA"/>
        </w:rPr>
        <w:t>;</w:t>
      </w:r>
    </w:p>
    <w:p w:rsidR="002C184F" w:rsidRPr="00863226" w:rsidRDefault="002C184F" w:rsidP="00177FA8">
      <w:pPr>
        <w:pStyle w:val="Heading2"/>
        <w:rPr>
          <w:lang w:val="en-CA"/>
        </w:rPr>
      </w:pPr>
      <w:r w:rsidRPr="00863226">
        <w:rPr>
          <w:lang w:val="en-CA"/>
        </w:rPr>
        <w:t xml:space="preserve">To decide whether: </w:t>
      </w:r>
    </w:p>
    <w:p w:rsidR="002C184F" w:rsidRPr="00863226" w:rsidRDefault="002C184F" w:rsidP="00177FA8">
      <w:pPr>
        <w:pStyle w:val="Heading3"/>
        <w:rPr>
          <w:lang w:val="en-CA"/>
        </w:rPr>
      </w:pPr>
      <w:r w:rsidRPr="00863226">
        <w:rPr>
          <w:lang w:val="en-CA"/>
        </w:rPr>
        <w:t>To adjust the business plan as proposed by the Secretariat in document UNEP/OzL.Pro/ExCom/86/</w:t>
      </w:r>
      <w:r w:rsidR="00CF4F3B" w:rsidRPr="00863226">
        <w:rPr>
          <w:lang w:val="en-CA"/>
        </w:rPr>
        <w:t>25</w:t>
      </w:r>
      <w:r w:rsidRPr="00863226">
        <w:rPr>
          <w:lang w:val="en-CA"/>
        </w:rPr>
        <w:t>;</w:t>
      </w:r>
    </w:p>
    <w:p w:rsidR="002C184F" w:rsidRPr="00863226" w:rsidRDefault="002C184F" w:rsidP="00177FA8">
      <w:pPr>
        <w:pStyle w:val="Heading3"/>
        <w:rPr>
          <w:lang w:val="en-CA"/>
        </w:rPr>
      </w:pPr>
      <w:r w:rsidRPr="00863226">
        <w:rPr>
          <w:lang w:val="en-CA"/>
        </w:rPr>
        <w:t>To further adjust the business plan:</w:t>
      </w:r>
    </w:p>
    <w:p w:rsidR="002C184F" w:rsidRPr="00863226" w:rsidRDefault="002C184F" w:rsidP="00177FA8">
      <w:pPr>
        <w:pStyle w:val="Header4"/>
        <w:rPr>
          <w:lang w:val="en-CA"/>
        </w:rPr>
      </w:pPr>
      <w:r w:rsidRPr="00863226">
        <w:rPr>
          <w:lang w:val="en-CA"/>
        </w:rPr>
        <w:t xml:space="preserve">By adding to the 2021 business plan HCFC phase-out management plans (HPMPs) and HFC phase-down </w:t>
      </w:r>
      <w:r w:rsidR="000319BD" w:rsidRPr="00863226">
        <w:rPr>
          <w:lang w:val="en-CA"/>
        </w:rPr>
        <w:t>plan</w:t>
      </w:r>
      <w:r w:rsidR="00293EA4" w:rsidRPr="00863226">
        <w:rPr>
          <w:lang w:val="en-CA"/>
        </w:rPr>
        <w:t>/investment project</w:t>
      </w:r>
      <w:r w:rsidR="000319BD" w:rsidRPr="00863226">
        <w:rPr>
          <w:lang w:val="en-CA"/>
        </w:rPr>
        <w:t xml:space="preserve"> </w:t>
      </w:r>
      <w:r w:rsidRPr="00863226">
        <w:rPr>
          <w:lang w:val="en-CA"/>
        </w:rPr>
        <w:t>preparation that had been deferred at the 86</w:t>
      </w:r>
      <w:r w:rsidRPr="00863226">
        <w:rPr>
          <w:vertAlign w:val="superscript"/>
          <w:lang w:val="en-CA"/>
        </w:rPr>
        <w:t>th</w:t>
      </w:r>
      <w:r w:rsidRPr="00863226">
        <w:rPr>
          <w:lang w:val="en-CA"/>
        </w:rPr>
        <w:t xml:space="preserve"> meeting; </w:t>
      </w:r>
    </w:p>
    <w:p w:rsidR="002C184F" w:rsidRPr="00863226" w:rsidRDefault="002C184F" w:rsidP="00177FA8">
      <w:pPr>
        <w:pStyle w:val="Header4"/>
        <w:rPr>
          <w:lang w:val="en-CA"/>
        </w:rPr>
      </w:pPr>
      <w:r w:rsidRPr="00863226">
        <w:rPr>
          <w:lang w:val="en-CA"/>
        </w:rPr>
        <w:t xml:space="preserve">By </w:t>
      </w:r>
      <w:r w:rsidR="008B6AAA" w:rsidRPr="00863226">
        <w:rPr>
          <w:lang w:val="en-CA"/>
        </w:rPr>
        <w:t xml:space="preserve">taking into account </w:t>
      </w:r>
      <w:r w:rsidRPr="00863226">
        <w:rPr>
          <w:lang w:val="en-CA"/>
        </w:rPr>
        <w:t>the level of replenishment of the Multilateral Fund for the 2021</w:t>
      </w:r>
      <w:r w:rsidR="00060161" w:rsidRPr="00863226">
        <w:rPr>
          <w:lang w:val="en-CA"/>
        </w:rPr>
        <w:t>–</w:t>
      </w:r>
      <w:r w:rsidRPr="00863226">
        <w:rPr>
          <w:lang w:val="en-CA"/>
        </w:rPr>
        <w:t>2023 triennium</w:t>
      </w:r>
      <w:r w:rsidR="008B6AAA" w:rsidRPr="00863226">
        <w:rPr>
          <w:lang w:val="en-CA"/>
        </w:rPr>
        <w:t xml:space="preserve"> that would be adopted by the Parties to the Montreal Protocol</w:t>
      </w:r>
      <w:r w:rsidR="00D655E3" w:rsidRPr="00863226">
        <w:rPr>
          <w:lang w:val="en-CA"/>
        </w:rPr>
        <w:t>;</w:t>
      </w:r>
    </w:p>
    <w:p w:rsidR="001B23C9" w:rsidRPr="00863226" w:rsidRDefault="0051359A" w:rsidP="00177FA8">
      <w:pPr>
        <w:pStyle w:val="Heading2"/>
        <w:rPr>
          <w:lang w:val="en-CA"/>
        </w:rPr>
      </w:pPr>
      <w:r w:rsidRPr="00863226">
        <w:rPr>
          <w:lang w:val="en-CA"/>
        </w:rPr>
        <w:t>To consider w</w:t>
      </w:r>
      <w:r w:rsidR="001B23C9" w:rsidRPr="00863226">
        <w:rPr>
          <w:lang w:val="en-CA"/>
        </w:rPr>
        <w:t xml:space="preserve">hether to reinstate </w:t>
      </w:r>
      <w:r w:rsidR="00DF10F7" w:rsidRPr="00863226">
        <w:rPr>
          <w:lang w:val="en-CA"/>
        </w:rPr>
        <w:t xml:space="preserve">the </w:t>
      </w:r>
      <w:r w:rsidR="001B23C9" w:rsidRPr="00863226">
        <w:rPr>
          <w:lang w:val="en-CA"/>
        </w:rPr>
        <w:t>HCFC technical assistance regional project for “promoting low-global warming potential refrigerants for air-conditioning sectors in high ambient temperature countries (PRAHA III)</w:t>
      </w:r>
      <w:r w:rsidR="00B1107F" w:rsidRPr="00863226">
        <w:rPr>
          <w:lang w:val="en-CA"/>
        </w:rPr>
        <w:t>”</w:t>
      </w:r>
      <w:r w:rsidR="001B23C9" w:rsidRPr="00863226">
        <w:rPr>
          <w:lang w:val="en-CA"/>
        </w:rPr>
        <w:t xml:space="preserve">; </w:t>
      </w:r>
      <w:r w:rsidR="00AD5036" w:rsidRPr="00863226">
        <w:rPr>
          <w:lang w:val="en-CA"/>
        </w:rPr>
        <w:t>and</w:t>
      </w:r>
    </w:p>
    <w:p w:rsidR="002C184F" w:rsidRPr="00863226" w:rsidRDefault="002C184F" w:rsidP="00650EC2">
      <w:pPr>
        <w:pStyle w:val="Heading2"/>
        <w:spacing w:after="120"/>
        <w:rPr>
          <w:lang w:val="en-CA"/>
        </w:rPr>
      </w:pPr>
      <w:r w:rsidRPr="00863226">
        <w:rPr>
          <w:lang w:val="en-CA"/>
        </w:rPr>
        <w:t>To endorse the consolidated business plan of the Multilateral Fund for 2021–2023, as adjusted by the Secretariat [and the Executive Committee] taking into consideration relevant decisions taken at the 86</w:t>
      </w:r>
      <w:r w:rsidRPr="00863226">
        <w:rPr>
          <w:vertAlign w:val="superscript"/>
          <w:lang w:val="en-CA"/>
        </w:rPr>
        <w:t>th</w:t>
      </w:r>
      <w:r w:rsidRPr="00863226">
        <w:rPr>
          <w:lang w:val="en-CA"/>
        </w:rPr>
        <w:t> meeting, while noting that endorsement did not denote approval of the projects identified therein or t</w:t>
      </w:r>
      <w:r w:rsidR="00AD5036" w:rsidRPr="00863226">
        <w:rPr>
          <w:lang w:val="en-CA"/>
        </w:rPr>
        <w:t>heir funding or tonnage levels.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3E1D2C" w:rsidRPr="00863226" w:rsidTr="002170B7">
        <w:tc>
          <w:tcPr>
            <w:tcW w:w="1871" w:type="dxa"/>
          </w:tcPr>
          <w:p w:rsidR="003E1D2C" w:rsidRPr="00863226" w:rsidRDefault="003E1D2C" w:rsidP="00177FA8"/>
        </w:tc>
        <w:tc>
          <w:tcPr>
            <w:tcW w:w="1872" w:type="dxa"/>
          </w:tcPr>
          <w:p w:rsidR="003E1D2C" w:rsidRPr="00863226" w:rsidRDefault="003E1D2C" w:rsidP="00177FA8"/>
        </w:tc>
        <w:tc>
          <w:tcPr>
            <w:tcW w:w="1872" w:type="dxa"/>
            <w:tcBorders>
              <w:bottom w:val="single" w:sz="4" w:space="0" w:color="auto"/>
            </w:tcBorders>
          </w:tcPr>
          <w:p w:rsidR="003E1D2C" w:rsidRPr="00863226" w:rsidRDefault="003E1D2C" w:rsidP="00177FA8"/>
        </w:tc>
        <w:tc>
          <w:tcPr>
            <w:tcW w:w="1872" w:type="dxa"/>
          </w:tcPr>
          <w:p w:rsidR="003E1D2C" w:rsidRPr="00863226" w:rsidRDefault="003E1D2C" w:rsidP="00177FA8"/>
        </w:tc>
        <w:tc>
          <w:tcPr>
            <w:tcW w:w="1873" w:type="dxa"/>
          </w:tcPr>
          <w:p w:rsidR="003E1D2C" w:rsidRPr="00863226" w:rsidRDefault="003E1D2C" w:rsidP="00177FA8"/>
        </w:tc>
      </w:tr>
    </w:tbl>
    <w:p w:rsidR="002C184F" w:rsidRPr="00863226" w:rsidRDefault="002C184F" w:rsidP="00177FA8">
      <w:pPr>
        <w:pStyle w:val="Footer"/>
        <w:keepNext/>
        <w:tabs>
          <w:tab w:val="clear" w:pos="4320"/>
          <w:tab w:val="clear" w:pos="8640"/>
          <w:tab w:val="left" w:pos="450"/>
          <w:tab w:val="left" w:pos="720"/>
          <w:tab w:val="left" w:pos="990"/>
          <w:tab w:val="left" w:pos="1440"/>
          <w:tab w:val="left" w:pos="2160"/>
        </w:tabs>
        <w:ind w:left="1440" w:hanging="1440"/>
        <w:rPr>
          <w:b/>
          <w:lang w:val="en-CA"/>
        </w:rPr>
      </w:pPr>
      <w:bookmarkStart w:id="0" w:name="_GoBack"/>
      <w:bookmarkEnd w:id="0"/>
    </w:p>
    <w:sectPr w:rsidR="002C184F" w:rsidRPr="00863226"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01" w:rsidRDefault="00863701" w:rsidP="004A504B">
      <w:r>
        <w:separator/>
      </w:r>
    </w:p>
  </w:endnote>
  <w:endnote w:type="continuationSeparator" w:id="0">
    <w:p w:rsidR="00863701" w:rsidRDefault="0086370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B7" w:rsidRPr="0033525D" w:rsidRDefault="002170B7">
    <w:pPr>
      <w:jc w:val="center"/>
    </w:pPr>
    <w:r>
      <w:fldChar w:fldCharType="begin"/>
    </w:r>
    <w:r>
      <w:instrText xml:space="preserve"> PAGE </w:instrText>
    </w:r>
    <w:r>
      <w:fldChar w:fldCharType="separate"/>
    </w:r>
    <w:r w:rsidR="00863226">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B7" w:rsidRPr="0033525D" w:rsidRDefault="002170B7">
    <w:pPr>
      <w:jc w:val="center"/>
    </w:pPr>
    <w:r>
      <w:fldChar w:fldCharType="begin"/>
    </w:r>
    <w:r>
      <w:instrText xml:space="preserve"> PAGE </w:instrText>
    </w:r>
    <w:r>
      <w:fldChar w:fldCharType="separate"/>
    </w:r>
    <w:r w:rsidR="00863226">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B7" w:rsidRDefault="002170B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2170B7" w:rsidRDefault="002170B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01" w:rsidRDefault="00863701" w:rsidP="004A504B">
      <w:r>
        <w:separator/>
      </w:r>
    </w:p>
  </w:footnote>
  <w:footnote w:type="continuationSeparator" w:id="0">
    <w:p w:rsidR="00863701" w:rsidRDefault="00863701" w:rsidP="004A504B">
      <w:r>
        <w:continuationSeparator/>
      </w:r>
    </w:p>
  </w:footnote>
  <w:footnote w:id="1">
    <w:p w:rsidR="002170B7" w:rsidRPr="00863226" w:rsidRDefault="002170B7">
      <w:pPr>
        <w:pStyle w:val="FootnoteText"/>
        <w:rPr>
          <w:lang w:val="en-CA"/>
        </w:rPr>
      </w:pPr>
      <w:r w:rsidRPr="00863226">
        <w:rPr>
          <w:rStyle w:val="FootnoteReference"/>
        </w:rPr>
        <w:footnoteRef/>
      </w:r>
      <w:r w:rsidRPr="00863226">
        <w:t xml:space="preserve"> Due to coronavirus disease (COVID-19)</w:t>
      </w:r>
    </w:p>
  </w:footnote>
  <w:footnote w:id="2">
    <w:p w:rsidR="002170B7" w:rsidRPr="00863226" w:rsidRDefault="002170B7" w:rsidP="00952D1F">
      <w:pPr>
        <w:pStyle w:val="FootnoteText"/>
        <w:rPr>
          <w:lang w:val="en-CA"/>
        </w:rPr>
      </w:pPr>
      <w:r w:rsidRPr="00863226">
        <w:rPr>
          <w:rStyle w:val="FootnoteReference"/>
        </w:rPr>
        <w:footnoteRef/>
      </w:r>
      <w:r w:rsidRPr="00863226">
        <w:t xml:space="preserve"> The 42</w:t>
      </w:r>
      <w:r w:rsidRPr="00863226">
        <w:rPr>
          <w:vertAlign w:val="superscript"/>
        </w:rPr>
        <w:t>nd</w:t>
      </w:r>
      <w:r w:rsidRPr="00863226">
        <w:t xml:space="preserve"> meeting of the Open-ended Working Group (Montreal, Canada, 13 to 17 July 2020), and the combined twelfth meeting of the Conference of the Parties to the Vienna Convention for the Protection of the Ozone Layer and the Thirty-Second Meeting of the Parties to the Montreal Protocol on Substances that Deplete the Ozone Layer (Tashkent, Uzbekistan, 23 to 27 November 2020).</w:t>
      </w:r>
    </w:p>
  </w:footnote>
  <w:footnote w:id="3">
    <w:p w:rsidR="002170B7" w:rsidRPr="00863226" w:rsidRDefault="002170B7" w:rsidP="002C184F">
      <w:pPr>
        <w:pStyle w:val="FootnoteText"/>
      </w:pPr>
      <w:r w:rsidRPr="00863226">
        <w:rPr>
          <w:rStyle w:val="FootnoteReference"/>
        </w:rPr>
        <w:footnoteRef/>
      </w:r>
      <w:r w:rsidRPr="00863226">
        <w:t xml:space="preserve"> UNEP/</w:t>
      </w:r>
      <w:proofErr w:type="spellStart"/>
      <w:r w:rsidRPr="00863226">
        <w:t>OzL.Pro</w:t>
      </w:r>
      <w:proofErr w:type="spellEnd"/>
      <w:r w:rsidRPr="00863226">
        <w:t>/</w:t>
      </w:r>
      <w:proofErr w:type="spellStart"/>
      <w:r w:rsidRPr="00863226">
        <w:t>ExCom</w:t>
      </w:r>
      <w:proofErr w:type="spellEnd"/>
      <w:r w:rsidRPr="00863226">
        <w:t>/8</w:t>
      </w:r>
      <w:r w:rsidR="00EF0273" w:rsidRPr="00863226">
        <w:t>6</w:t>
      </w:r>
      <w:r w:rsidRPr="00863226">
        <w:t>/26</w:t>
      </w:r>
    </w:p>
  </w:footnote>
  <w:footnote w:id="4">
    <w:p w:rsidR="002170B7" w:rsidRPr="00863226" w:rsidRDefault="002170B7" w:rsidP="002C184F">
      <w:pPr>
        <w:pStyle w:val="FootnoteText"/>
      </w:pPr>
      <w:r w:rsidRPr="00863226">
        <w:rPr>
          <w:rStyle w:val="FootnoteReference"/>
        </w:rPr>
        <w:footnoteRef/>
      </w:r>
      <w:r w:rsidRPr="00863226">
        <w:t xml:space="preserve"> UNEP/</w:t>
      </w:r>
      <w:proofErr w:type="spellStart"/>
      <w:r w:rsidRPr="00863226">
        <w:t>OzL.Pro</w:t>
      </w:r>
      <w:proofErr w:type="spellEnd"/>
      <w:r w:rsidRPr="00863226">
        <w:t>/</w:t>
      </w:r>
      <w:proofErr w:type="spellStart"/>
      <w:r w:rsidRPr="00863226">
        <w:t>ExCom</w:t>
      </w:r>
      <w:proofErr w:type="spellEnd"/>
      <w:r w:rsidRPr="00863226">
        <w:t>/8</w:t>
      </w:r>
      <w:r w:rsidR="00EF0273" w:rsidRPr="00863226">
        <w:t>6</w:t>
      </w:r>
      <w:r w:rsidRPr="00863226">
        <w:t>/27</w:t>
      </w:r>
    </w:p>
  </w:footnote>
  <w:footnote w:id="5">
    <w:p w:rsidR="002170B7" w:rsidRPr="00863226" w:rsidRDefault="002170B7" w:rsidP="002C184F">
      <w:pPr>
        <w:pStyle w:val="FootnoteText"/>
      </w:pPr>
      <w:r w:rsidRPr="00863226">
        <w:rPr>
          <w:rStyle w:val="FootnoteReference"/>
        </w:rPr>
        <w:footnoteRef/>
      </w:r>
      <w:r w:rsidRPr="00863226">
        <w:t xml:space="preserve"> UNEP/</w:t>
      </w:r>
      <w:proofErr w:type="spellStart"/>
      <w:r w:rsidRPr="00863226">
        <w:t>OzL.Pro</w:t>
      </w:r>
      <w:proofErr w:type="spellEnd"/>
      <w:r w:rsidRPr="00863226">
        <w:t>/</w:t>
      </w:r>
      <w:proofErr w:type="spellStart"/>
      <w:r w:rsidRPr="00863226">
        <w:t>ExCom</w:t>
      </w:r>
      <w:proofErr w:type="spellEnd"/>
      <w:r w:rsidRPr="00863226">
        <w:t>/8</w:t>
      </w:r>
      <w:r w:rsidR="00EF0273" w:rsidRPr="00863226">
        <w:t>6</w:t>
      </w:r>
      <w:r w:rsidRPr="00863226">
        <w:t>/28</w:t>
      </w:r>
    </w:p>
  </w:footnote>
  <w:footnote w:id="6">
    <w:p w:rsidR="002170B7" w:rsidRPr="00863226" w:rsidRDefault="002170B7" w:rsidP="002C184F">
      <w:pPr>
        <w:pStyle w:val="FootnoteText"/>
      </w:pPr>
      <w:r w:rsidRPr="00863226">
        <w:rPr>
          <w:rStyle w:val="FootnoteReference"/>
        </w:rPr>
        <w:footnoteRef/>
      </w:r>
      <w:r w:rsidRPr="00863226">
        <w:t xml:space="preserve"> UNEP/</w:t>
      </w:r>
      <w:proofErr w:type="spellStart"/>
      <w:r w:rsidRPr="00863226">
        <w:t>OzL.Pro</w:t>
      </w:r>
      <w:proofErr w:type="spellEnd"/>
      <w:r w:rsidRPr="00863226">
        <w:t>/</w:t>
      </w:r>
      <w:proofErr w:type="spellStart"/>
      <w:r w:rsidRPr="00863226">
        <w:t>ExCom</w:t>
      </w:r>
      <w:proofErr w:type="spellEnd"/>
      <w:r w:rsidRPr="00863226">
        <w:t>/8</w:t>
      </w:r>
      <w:r w:rsidR="00EF0273" w:rsidRPr="00863226">
        <w:t>6</w:t>
      </w:r>
      <w:r w:rsidRPr="00863226">
        <w:t>/29</w:t>
      </w:r>
    </w:p>
  </w:footnote>
  <w:footnote w:id="7">
    <w:p w:rsidR="002170B7" w:rsidRPr="00863226" w:rsidRDefault="002170B7" w:rsidP="002C184F">
      <w:pPr>
        <w:pStyle w:val="FootnoteText"/>
        <w:rPr>
          <w:lang w:val="en-CA"/>
        </w:rPr>
      </w:pPr>
      <w:r w:rsidRPr="00863226">
        <w:rPr>
          <w:rStyle w:val="FootnoteReference"/>
        </w:rPr>
        <w:footnoteRef/>
      </w:r>
      <w:r w:rsidRPr="00863226">
        <w:rPr>
          <w:lang w:val="en-CA"/>
        </w:rPr>
        <w:t xml:space="preserve"> UNEP/</w:t>
      </w:r>
      <w:proofErr w:type="spellStart"/>
      <w:r w:rsidRPr="00863226">
        <w:rPr>
          <w:lang w:val="en-CA"/>
        </w:rPr>
        <w:t>OzL.Pro</w:t>
      </w:r>
      <w:proofErr w:type="spellEnd"/>
      <w:r w:rsidRPr="00863226">
        <w:rPr>
          <w:lang w:val="en-CA"/>
        </w:rPr>
        <w:t>/</w:t>
      </w:r>
      <w:proofErr w:type="spellStart"/>
      <w:r w:rsidRPr="00863226">
        <w:rPr>
          <w:lang w:val="en-CA"/>
        </w:rPr>
        <w:t>ExCom</w:t>
      </w:r>
      <w:proofErr w:type="spellEnd"/>
      <w:r w:rsidRPr="00863226">
        <w:rPr>
          <w:lang w:val="en-CA"/>
        </w:rPr>
        <w:t>/8</w:t>
      </w:r>
      <w:r w:rsidR="00EF0273" w:rsidRPr="00863226">
        <w:rPr>
          <w:lang w:val="en-CA"/>
        </w:rPr>
        <w:t>6</w:t>
      </w:r>
      <w:r w:rsidRPr="00863226">
        <w:rPr>
          <w:lang w:val="en-CA"/>
        </w:rPr>
        <w:t>/30</w:t>
      </w:r>
    </w:p>
  </w:footnote>
  <w:footnote w:id="8">
    <w:p w:rsidR="002170B7" w:rsidRPr="00863226" w:rsidRDefault="002170B7" w:rsidP="001E4518">
      <w:pPr>
        <w:pStyle w:val="FootnoteText"/>
      </w:pPr>
      <w:r w:rsidRPr="00863226">
        <w:rPr>
          <w:rStyle w:val="FootnoteReference"/>
        </w:rPr>
        <w:footnoteRef/>
      </w:r>
      <w:r w:rsidRPr="00863226">
        <w:t xml:space="preserve"> Decision 81/71(b) and (c)</w:t>
      </w:r>
    </w:p>
  </w:footnote>
  <w:footnote w:id="9">
    <w:p w:rsidR="002170B7" w:rsidRPr="00863226" w:rsidRDefault="002170B7" w:rsidP="002D39BC">
      <w:pPr>
        <w:pStyle w:val="FootnoteText"/>
        <w:rPr>
          <w:lang w:val="en-US"/>
        </w:rPr>
      </w:pPr>
      <w:r w:rsidRPr="00863226">
        <w:rPr>
          <w:rStyle w:val="FootnoteReference"/>
        </w:rPr>
        <w:footnoteRef/>
      </w:r>
      <w:r w:rsidRPr="00863226">
        <w:t xml:space="preserve"> Decision 61/46(c) requires verification reports for a sample of 20 per cent of the LVC countries with approved HPMPs. </w:t>
      </w:r>
    </w:p>
  </w:footnote>
  <w:footnote w:id="10">
    <w:p w:rsidR="00505712" w:rsidRPr="00863226" w:rsidRDefault="00505712">
      <w:pPr>
        <w:pStyle w:val="FootnoteText"/>
        <w:rPr>
          <w:lang w:val="en-CA"/>
        </w:rPr>
      </w:pPr>
      <w:r w:rsidRPr="00863226">
        <w:rPr>
          <w:rStyle w:val="FootnoteReference"/>
        </w:rPr>
        <w:footnoteRef/>
      </w:r>
      <w:r w:rsidRPr="00863226">
        <w:t xml:space="preserve"> Paragraph 212 of UNEP/OzL.Pro/ExCom/84/75.</w:t>
      </w:r>
    </w:p>
  </w:footnote>
  <w:footnote w:id="11">
    <w:p w:rsidR="002170B7" w:rsidRPr="00863226" w:rsidRDefault="002170B7" w:rsidP="003E150B">
      <w:pPr>
        <w:pStyle w:val="FootnoteText"/>
      </w:pPr>
      <w:r w:rsidRPr="00863226">
        <w:rPr>
          <w:rStyle w:val="FootnoteReference"/>
        </w:rPr>
        <w:footnoteRef/>
      </w:r>
      <w:r w:rsidRPr="00863226">
        <w:t xml:space="preserve"> Funding for the preparation of national implementation plans to meet initial reduction obligations for the phase</w:t>
      </w:r>
      <w:r w:rsidRPr="00863226">
        <w:noBreakHyphen/>
        <w:t xml:space="preserve">down of HFCs could be provided, at the earliest, five years prior to those obligations, after a country had ratified the Kigali Amendment and on the basis of guidelines to be approved in the future (decision 79/46(b)(iii)). In addition, decision 84/46(f) allowed the inclusion of HFC phase-down preparation activities in the business plan for countries that had not ratified the Kigali Amendment but had submitted a letter indicating their Government’s intent to make best efforts to ratify </w:t>
      </w:r>
      <w:r w:rsidR="009663CE" w:rsidRPr="00863226">
        <w:t>it</w:t>
      </w:r>
      <w:r w:rsidRPr="00863226">
        <w:t>.</w:t>
      </w:r>
    </w:p>
  </w:footnote>
  <w:footnote w:id="12">
    <w:p w:rsidR="002170B7" w:rsidRPr="00863226" w:rsidRDefault="002170B7" w:rsidP="00345351">
      <w:pPr>
        <w:pStyle w:val="FootnoteText"/>
        <w:rPr>
          <w:lang w:val="en-CA"/>
        </w:rPr>
      </w:pPr>
      <w:r w:rsidRPr="00863226">
        <w:rPr>
          <w:rStyle w:val="FootnoteReference"/>
        </w:rPr>
        <w:footnoteRef/>
      </w:r>
      <w:r w:rsidRPr="00863226">
        <w:t xml:space="preserve"> In the absence of a decision by the Parties on the level of the replenishment of the Multilateral Fund for the 2021</w:t>
      </w:r>
      <w:r w:rsidRPr="00863226">
        <w:noBreakHyphen/>
        <w:t>2023 triennium, and in light of decision XXXII/1, the indicative budget for resource allocation of the business plan for 2021–2023 was assumed at the same level of the replenishment of the 2018–2020 triennium. This issue is discussed in UNEP/OzL.Pro/ExCom/86/25.</w:t>
      </w:r>
    </w:p>
  </w:footnote>
  <w:footnote w:id="13">
    <w:p w:rsidR="002170B7" w:rsidRPr="00863226" w:rsidRDefault="002170B7" w:rsidP="00C10785">
      <w:pPr>
        <w:pStyle w:val="FootnoteText"/>
        <w:rPr>
          <w:lang w:val="en-CA"/>
        </w:rPr>
      </w:pPr>
      <w:r w:rsidRPr="00863226">
        <w:rPr>
          <w:rStyle w:val="FootnoteReference"/>
        </w:rPr>
        <w:footnoteRef/>
      </w:r>
      <w:r w:rsidRPr="00863226">
        <w:t xml:space="preserve"> </w:t>
      </w:r>
      <w:r w:rsidRPr="00863226">
        <w:rPr>
          <w:lang w:val="en-CA"/>
        </w:rPr>
        <w:t>As agreed at the Inter-agency coordination meeting.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B7" w:rsidRPr="0033525D" w:rsidRDefault="008B6AAA">
    <w:r>
      <w:fldChar w:fldCharType="begin"/>
    </w:r>
    <w:r>
      <w:instrText xml:space="preserve"> DOCPROPERTY "Document number"  \* MERGEFORMAT </w:instrText>
    </w:r>
    <w:r>
      <w:fldChar w:fldCharType="separate"/>
    </w:r>
    <w:r w:rsidR="002170B7">
      <w:t>UNEP/</w:t>
    </w:r>
    <w:proofErr w:type="spellStart"/>
    <w:r w:rsidR="002170B7">
      <w:t>OzL.Pro</w:t>
    </w:r>
    <w:proofErr w:type="spellEnd"/>
    <w:r w:rsidR="002170B7">
      <w:t>/</w:t>
    </w:r>
    <w:proofErr w:type="spellStart"/>
    <w:r w:rsidR="002170B7">
      <w:t>ExCom</w:t>
    </w:r>
    <w:proofErr w:type="spellEnd"/>
    <w:r w:rsidR="002170B7">
      <w:t>/86/25</w:t>
    </w:r>
    <w:r>
      <w:fldChar w:fldCharType="end"/>
    </w:r>
  </w:p>
  <w:p w:rsidR="002170B7" w:rsidRPr="0033525D" w:rsidRDefault="002170B7"/>
  <w:p w:rsidR="002170B7" w:rsidRPr="0033525D" w:rsidRDefault="002170B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B7" w:rsidRPr="0033525D" w:rsidRDefault="008B6AAA">
    <w:pPr>
      <w:jc w:val="right"/>
    </w:pPr>
    <w:r>
      <w:fldChar w:fldCharType="begin"/>
    </w:r>
    <w:r>
      <w:instrText xml:space="preserve"> DOCPROPERTY "Document number"  \* MERGEFORMAT </w:instrText>
    </w:r>
    <w:r>
      <w:fldChar w:fldCharType="separate"/>
    </w:r>
    <w:r w:rsidR="002170B7">
      <w:t>UNEP/</w:t>
    </w:r>
    <w:proofErr w:type="spellStart"/>
    <w:r w:rsidR="002170B7">
      <w:t>OzL.Pro</w:t>
    </w:r>
    <w:proofErr w:type="spellEnd"/>
    <w:r w:rsidR="002170B7">
      <w:t>/</w:t>
    </w:r>
    <w:proofErr w:type="spellStart"/>
    <w:r w:rsidR="002170B7">
      <w:t>ExCom</w:t>
    </w:r>
    <w:proofErr w:type="spellEnd"/>
    <w:r w:rsidR="002170B7">
      <w:t>/86/25</w:t>
    </w:r>
    <w:r>
      <w:fldChar w:fldCharType="end"/>
    </w:r>
  </w:p>
  <w:p w:rsidR="002170B7" w:rsidRPr="0033525D" w:rsidRDefault="002170B7"/>
  <w:p w:rsidR="002170B7" w:rsidRPr="0033525D" w:rsidRDefault="002170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4E4C86"/>
    <w:multiLevelType w:val="hybridMultilevel"/>
    <w:tmpl w:val="E9BEA3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2D39BC"/>
    <w:rsid w:val="00000FED"/>
    <w:rsid w:val="0000434E"/>
    <w:rsid w:val="00004F83"/>
    <w:rsid w:val="000211A9"/>
    <w:rsid w:val="00031260"/>
    <w:rsid w:val="000319BD"/>
    <w:rsid w:val="000363EA"/>
    <w:rsid w:val="0003681A"/>
    <w:rsid w:val="000372B7"/>
    <w:rsid w:val="00050F6E"/>
    <w:rsid w:val="00060161"/>
    <w:rsid w:val="00061EC2"/>
    <w:rsid w:val="00070973"/>
    <w:rsid w:val="00080ED0"/>
    <w:rsid w:val="00085B8F"/>
    <w:rsid w:val="00090481"/>
    <w:rsid w:val="000A3826"/>
    <w:rsid w:val="000A6C26"/>
    <w:rsid w:val="000B3BB4"/>
    <w:rsid w:val="000B7790"/>
    <w:rsid w:val="000C1CC7"/>
    <w:rsid w:val="000D52A4"/>
    <w:rsid w:val="000E07BC"/>
    <w:rsid w:val="000E0879"/>
    <w:rsid w:val="000E40FF"/>
    <w:rsid w:val="000E5AA0"/>
    <w:rsid w:val="000F1CD4"/>
    <w:rsid w:val="000F4103"/>
    <w:rsid w:val="000F70A7"/>
    <w:rsid w:val="00104DDD"/>
    <w:rsid w:val="00113CCA"/>
    <w:rsid w:val="00122F25"/>
    <w:rsid w:val="00124DAE"/>
    <w:rsid w:val="00135980"/>
    <w:rsid w:val="00135E32"/>
    <w:rsid w:val="00164719"/>
    <w:rsid w:val="00166FC4"/>
    <w:rsid w:val="001677AC"/>
    <w:rsid w:val="00177FA8"/>
    <w:rsid w:val="001804EA"/>
    <w:rsid w:val="0018501C"/>
    <w:rsid w:val="00185677"/>
    <w:rsid w:val="00190A61"/>
    <w:rsid w:val="001951AD"/>
    <w:rsid w:val="001A3342"/>
    <w:rsid w:val="001A3E3D"/>
    <w:rsid w:val="001A7049"/>
    <w:rsid w:val="001B1E40"/>
    <w:rsid w:val="001B23C9"/>
    <w:rsid w:val="001C764E"/>
    <w:rsid w:val="001E1052"/>
    <w:rsid w:val="001E21B1"/>
    <w:rsid w:val="001E2F93"/>
    <w:rsid w:val="001E4518"/>
    <w:rsid w:val="001E4554"/>
    <w:rsid w:val="001E61E5"/>
    <w:rsid w:val="001F2159"/>
    <w:rsid w:val="001F3F52"/>
    <w:rsid w:val="00210B8B"/>
    <w:rsid w:val="00214863"/>
    <w:rsid w:val="002156B4"/>
    <w:rsid w:val="002170B7"/>
    <w:rsid w:val="00224FCD"/>
    <w:rsid w:val="00226F42"/>
    <w:rsid w:val="00253222"/>
    <w:rsid w:val="00262847"/>
    <w:rsid w:val="00265758"/>
    <w:rsid w:val="002814CA"/>
    <w:rsid w:val="00281BB2"/>
    <w:rsid w:val="00293EA4"/>
    <w:rsid w:val="00294B75"/>
    <w:rsid w:val="002B254E"/>
    <w:rsid w:val="002B72E9"/>
    <w:rsid w:val="002C184F"/>
    <w:rsid w:val="002C2EE4"/>
    <w:rsid w:val="002C4A5F"/>
    <w:rsid w:val="002C7998"/>
    <w:rsid w:val="002D39BC"/>
    <w:rsid w:val="002E6908"/>
    <w:rsid w:val="002F1E53"/>
    <w:rsid w:val="002F2CAA"/>
    <w:rsid w:val="0030052C"/>
    <w:rsid w:val="00324525"/>
    <w:rsid w:val="003306E1"/>
    <w:rsid w:val="003320E4"/>
    <w:rsid w:val="00334C39"/>
    <w:rsid w:val="0033525D"/>
    <w:rsid w:val="003414F3"/>
    <w:rsid w:val="00345351"/>
    <w:rsid w:val="0035613E"/>
    <w:rsid w:val="00363EE9"/>
    <w:rsid w:val="00376128"/>
    <w:rsid w:val="0037742E"/>
    <w:rsid w:val="00377D56"/>
    <w:rsid w:val="0038245A"/>
    <w:rsid w:val="003840E6"/>
    <w:rsid w:val="00385CFC"/>
    <w:rsid w:val="003864F6"/>
    <w:rsid w:val="0039337A"/>
    <w:rsid w:val="00396097"/>
    <w:rsid w:val="003A3189"/>
    <w:rsid w:val="003A3CA7"/>
    <w:rsid w:val="003B33BD"/>
    <w:rsid w:val="003B569D"/>
    <w:rsid w:val="003C0139"/>
    <w:rsid w:val="003C09E0"/>
    <w:rsid w:val="003C3AFA"/>
    <w:rsid w:val="003C3C0E"/>
    <w:rsid w:val="003C7332"/>
    <w:rsid w:val="003D42A6"/>
    <w:rsid w:val="003D4F21"/>
    <w:rsid w:val="003D4FAC"/>
    <w:rsid w:val="003E150B"/>
    <w:rsid w:val="003E1D2C"/>
    <w:rsid w:val="003E3268"/>
    <w:rsid w:val="003E7906"/>
    <w:rsid w:val="003F3C50"/>
    <w:rsid w:val="00406A6A"/>
    <w:rsid w:val="00406B22"/>
    <w:rsid w:val="00414D65"/>
    <w:rsid w:val="00431509"/>
    <w:rsid w:val="004328A7"/>
    <w:rsid w:val="00434C74"/>
    <w:rsid w:val="0044484D"/>
    <w:rsid w:val="00444D4C"/>
    <w:rsid w:val="00456B82"/>
    <w:rsid w:val="00456EB4"/>
    <w:rsid w:val="004570AF"/>
    <w:rsid w:val="004632B5"/>
    <w:rsid w:val="004718F3"/>
    <w:rsid w:val="00475040"/>
    <w:rsid w:val="00483B58"/>
    <w:rsid w:val="00493D40"/>
    <w:rsid w:val="004967B6"/>
    <w:rsid w:val="004A2C52"/>
    <w:rsid w:val="004A504B"/>
    <w:rsid w:val="004A6911"/>
    <w:rsid w:val="004B54E0"/>
    <w:rsid w:val="004B7384"/>
    <w:rsid w:val="004C4269"/>
    <w:rsid w:val="004D6236"/>
    <w:rsid w:val="004D68F5"/>
    <w:rsid w:val="004D7F90"/>
    <w:rsid w:val="004E1637"/>
    <w:rsid w:val="004E4DBB"/>
    <w:rsid w:val="004E4E41"/>
    <w:rsid w:val="004E5B51"/>
    <w:rsid w:val="004E7F9C"/>
    <w:rsid w:val="004F0317"/>
    <w:rsid w:val="004F3493"/>
    <w:rsid w:val="004F5143"/>
    <w:rsid w:val="00505712"/>
    <w:rsid w:val="00512B09"/>
    <w:rsid w:val="0051359A"/>
    <w:rsid w:val="005220ED"/>
    <w:rsid w:val="005241DD"/>
    <w:rsid w:val="00533796"/>
    <w:rsid w:val="00537343"/>
    <w:rsid w:val="00555D75"/>
    <w:rsid w:val="00560DF0"/>
    <w:rsid w:val="0056759C"/>
    <w:rsid w:val="0057276F"/>
    <w:rsid w:val="0059513E"/>
    <w:rsid w:val="005A6D9F"/>
    <w:rsid w:val="005B48FF"/>
    <w:rsid w:val="005D363F"/>
    <w:rsid w:val="005D6B71"/>
    <w:rsid w:val="005F2953"/>
    <w:rsid w:val="006009EB"/>
    <w:rsid w:val="00604C15"/>
    <w:rsid w:val="006158D5"/>
    <w:rsid w:val="0062298C"/>
    <w:rsid w:val="00625D83"/>
    <w:rsid w:val="0064085B"/>
    <w:rsid w:val="00640DA3"/>
    <w:rsid w:val="006455A8"/>
    <w:rsid w:val="00650EC2"/>
    <w:rsid w:val="006623E7"/>
    <w:rsid w:val="00662B80"/>
    <w:rsid w:val="00666448"/>
    <w:rsid w:val="00670F6C"/>
    <w:rsid w:val="006773C4"/>
    <w:rsid w:val="00683B9F"/>
    <w:rsid w:val="006852C7"/>
    <w:rsid w:val="006852CE"/>
    <w:rsid w:val="00692D14"/>
    <w:rsid w:val="006A49DF"/>
    <w:rsid w:val="006A6B26"/>
    <w:rsid w:val="006B65C7"/>
    <w:rsid w:val="006C1727"/>
    <w:rsid w:val="006C32FD"/>
    <w:rsid w:val="006C39CE"/>
    <w:rsid w:val="006C42DE"/>
    <w:rsid w:val="006D0FCC"/>
    <w:rsid w:val="006D21F5"/>
    <w:rsid w:val="006E126D"/>
    <w:rsid w:val="006E1FC3"/>
    <w:rsid w:val="00704A7E"/>
    <w:rsid w:val="00704CE9"/>
    <w:rsid w:val="0070616B"/>
    <w:rsid w:val="00706295"/>
    <w:rsid w:val="00706FDA"/>
    <w:rsid w:val="00711F9A"/>
    <w:rsid w:val="00713810"/>
    <w:rsid w:val="007303A5"/>
    <w:rsid w:val="00730B3E"/>
    <w:rsid w:val="0073420B"/>
    <w:rsid w:val="0074760E"/>
    <w:rsid w:val="00753EB9"/>
    <w:rsid w:val="00754ABA"/>
    <w:rsid w:val="00770FEC"/>
    <w:rsid w:val="007779CF"/>
    <w:rsid w:val="00785C98"/>
    <w:rsid w:val="007A1546"/>
    <w:rsid w:val="007A228C"/>
    <w:rsid w:val="007A368E"/>
    <w:rsid w:val="007A5868"/>
    <w:rsid w:val="007B04CE"/>
    <w:rsid w:val="007B6871"/>
    <w:rsid w:val="007B7A2F"/>
    <w:rsid w:val="007C3D33"/>
    <w:rsid w:val="007D294A"/>
    <w:rsid w:val="007D47D2"/>
    <w:rsid w:val="007D6EC0"/>
    <w:rsid w:val="007D7E1D"/>
    <w:rsid w:val="008244A7"/>
    <w:rsid w:val="00831979"/>
    <w:rsid w:val="00844455"/>
    <w:rsid w:val="00851352"/>
    <w:rsid w:val="00857077"/>
    <w:rsid w:val="00863226"/>
    <w:rsid w:val="00863230"/>
    <w:rsid w:val="00863701"/>
    <w:rsid w:val="00863ED5"/>
    <w:rsid w:val="00865BD0"/>
    <w:rsid w:val="008711AB"/>
    <w:rsid w:val="008717D8"/>
    <w:rsid w:val="0087215C"/>
    <w:rsid w:val="00875D25"/>
    <w:rsid w:val="00880E35"/>
    <w:rsid w:val="008875FE"/>
    <w:rsid w:val="00887F8E"/>
    <w:rsid w:val="00896234"/>
    <w:rsid w:val="00897E43"/>
    <w:rsid w:val="008B36FF"/>
    <w:rsid w:val="008B6AAA"/>
    <w:rsid w:val="008C5738"/>
    <w:rsid w:val="008C7EAD"/>
    <w:rsid w:val="008D0CFE"/>
    <w:rsid w:val="008D1293"/>
    <w:rsid w:val="008D1C21"/>
    <w:rsid w:val="008D49DB"/>
    <w:rsid w:val="008D6152"/>
    <w:rsid w:val="008E4124"/>
    <w:rsid w:val="008E5B77"/>
    <w:rsid w:val="008E6321"/>
    <w:rsid w:val="008F0BFE"/>
    <w:rsid w:val="008F0F81"/>
    <w:rsid w:val="008F18C2"/>
    <w:rsid w:val="008F27BF"/>
    <w:rsid w:val="009142EC"/>
    <w:rsid w:val="009154C3"/>
    <w:rsid w:val="00923540"/>
    <w:rsid w:val="009249DA"/>
    <w:rsid w:val="00926767"/>
    <w:rsid w:val="0093409F"/>
    <w:rsid w:val="009361D5"/>
    <w:rsid w:val="00940125"/>
    <w:rsid w:val="009428A4"/>
    <w:rsid w:val="0095191E"/>
    <w:rsid w:val="00952D1F"/>
    <w:rsid w:val="00960D67"/>
    <w:rsid w:val="009659F4"/>
    <w:rsid w:val="009663CE"/>
    <w:rsid w:val="00967B40"/>
    <w:rsid w:val="00967CF6"/>
    <w:rsid w:val="00970D60"/>
    <w:rsid w:val="0099390E"/>
    <w:rsid w:val="009960E5"/>
    <w:rsid w:val="009A7ADC"/>
    <w:rsid w:val="009C0D23"/>
    <w:rsid w:val="009C19B7"/>
    <w:rsid w:val="009C5ABB"/>
    <w:rsid w:val="009D5B8E"/>
    <w:rsid w:val="009D7C51"/>
    <w:rsid w:val="009E196C"/>
    <w:rsid w:val="009E26FB"/>
    <w:rsid w:val="009E6EDD"/>
    <w:rsid w:val="009F36BF"/>
    <w:rsid w:val="00A05FE5"/>
    <w:rsid w:val="00A111B6"/>
    <w:rsid w:val="00A26D27"/>
    <w:rsid w:val="00A376EE"/>
    <w:rsid w:val="00A42A99"/>
    <w:rsid w:val="00A5151A"/>
    <w:rsid w:val="00A57E0A"/>
    <w:rsid w:val="00A6065D"/>
    <w:rsid w:val="00A823F6"/>
    <w:rsid w:val="00A855CC"/>
    <w:rsid w:val="00A8719E"/>
    <w:rsid w:val="00A95A7D"/>
    <w:rsid w:val="00AA0A89"/>
    <w:rsid w:val="00AA6429"/>
    <w:rsid w:val="00AB487D"/>
    <w:rsid w:val="00AC01AA"/>
    <w:rsid w:val="00AC4F72"/>
    <w:rsid w:val="00AC6E69"/>
    <w:rsid w:val="00AC733A"/>
    <w:rsid w:val="00AD5036"/>
    <w:rsid w:val="00AF741A"/>
    <w:rsid w:val="00B01ADB"/>
    <w:rsid w:val="00B04161"/>
    <w:rsid w:val="00B056F9"/>
    <w:rsid w:val="00B1107F"/>
    <w:rsid w:val="00B11A6D"/>
    <w:rsid w:val="00B11E3D"/>
    <w:rsid w:val="00B17E82"/>
    <w:rsid w:val="00B40A31"/>
    <w:rsid w:val="00B429FB"/>
    <w:rsid w:val="00B4575A"/>
    <w:rsid w:val="00B575BA"/>
    <w:rsid w:val="00B6345B"/>
    <w:rsid w:val="00B71608"/>
    <w:rsid w:val="00B72102"/>
    <w:rsid w:val="00B76429"/>
    <w:rsid w:val="00B82EF9"/>
    <w:rsid w:val="00B956D4"/>
    <w:rsid w:val="00B97446"/>
    <w:rsid w:val="00BA087D"/>
    <w:rsid w:val="00BA4D61"/>
    <w:rsid w:val="00BA7432"/>
    <w:rsid w:val="00BB2764"/>
    <w:rsid w:val="00BC1AA0"/>
    <w:rsid w:val="00BC2495"/>
    <w:rsid w:val="00BC7EB9"/>
    <w:rsid w:val="00BD1EAE"/>
    <w:rsid w:val="00BD2643"/>
    <w:rsid w:val="00BD56B1"/>
    <w:rsid w:val="00BD6558"/>
    <w:rsid w:val="00BF2F76"/>
    <w:rsid w:val="00BF3022"/>
    <w:rsid w:val="00BF3214"/>
    <w:rsid w:val="00BF5573"/>
    <w:rsid w:val="00C0356A"/>
    <w:rsid w:val="00C10785"/>
    <w:rsid w:val="00C12B5C"/>
    <w:rsid w:val="00C15867"/>
    <w:rsid w:val="00C17FD2"/>
    <w:rsid w:val="00C2296D"/>
    <w:rsid w:val="00C23155"/>
    <w:rsid w:val="00C26797"/>
    <w:rsid w:val="00C40C41"/>
    <w:rsid w:val="00C45885"/>
    <w:rsid w:val="00C50F22"/>
    <w:rsid w:val="00C57971"/>
    <w:rsid w:val="00C62160"/>
    <w:rsid w:val="00C65BD7"/>
    <w:rsid w:val="00C71DF9"/>
    <w:rsid w:val="00C76BA4"/>
    <w:rsid w:val="00C83A48"/>
    <w:rsid w:val="00C85865"/>
    <w:rsid w:val="00C85E85"/>
    <w:rsid w:val="00CA2EAE"/>
    <w:rsid w:val="00CA4AC1"/>
    <w:rsid w:val="00CB0316"/>
    <w:rsid w:val="00CB0B11"/>
    <w:rsid w:val="00CB426A"/>
    <w:rsid w:val="00CB5354"/>
    <w:rsid w:val="00CC3C9E"/>
    <w:rsid w:val="00CC6A14"/>
    <w:rsid w:val="00CC70A3"/>
    <w:rsid w:val="00CD0D0B"/>
    <w:rsid w:val="00CD4044"/>
    <w:rsid w:val="00CD4442"/>
    <w:rsid w:val="00CD53C3"/>
    <w:rsid w:val="00CD574E"/>
    <w:rsid w:val="00CE4C22"/>
    <w:rsid w:val="00CE5F7E"/>
    <w:rsid w:val="00CE6230"/>
    <w:rsid w:val="00CF41EC"/>
    <w:rsid w:val="00CF4F3B"/>
    <w:rsid w:val="00CF5D04"/>
    <w:rsid w:val="00CF6DEC"/>
    <w:rsid w:val="00D04DE4"/>
    <w:rsid w:val="00D063F1"/>
    <w:rsid w:val="00D14F22"/>
    <w:rsid w:val="00D4741C"/>
    <w:rsid w:val="00D57512"/>
    <w:rsid w:val="00D57918"/>
    <w:rsid w:val="00D655E3"/>
    <w:rsid w:val="00D73DC6"/>
    <w:rsid w:val="00D74815"/>
    <w:rsid w:val="00D74C1A"/>
    <w:rsid w:val="00D754C1"/>
    <w:rsid w:val="00D77393"/>
    <w:rsid w:val="00D77A35"/>
    <w:rsid w:val="00D81B3E"/>
    <w:rsid w:val="00D90C70"/>
    <w:rsid w:val="00D90E49"/>
    <w:rsid w:val="00D90FFD"/>
    <w:rsid w:val="00D92A3F"/>
    <w:rsid w:val="00D96ADE"/>
    <w:rsid w:val="00DA0CE2"/>
    <w:rsid w:val="00DA1EFB"/>
    <w:rsid w:val="00DA2364"/>
    <w:rsid w:val="00DC6A10"/>
    <w:rsid w:val="00DE38D2"/>
    <w:rsid w:val="00DE657E"/>
    <w:rsid w:val="00DF10F7"/>
    <w:rsid w:val="00DF4704"/>
    <w:rsid w:val="00E024AA"/>
    <w:rsid w:val="00E15C77"/>
    <w:rsid w:val="00E21293"/>
    <w:rsid w:val="00E250F1"/>
    <w:rsid w:val="00E3550D"/>
    <w:rsid w:val="00E474F2"/>
    <w:rsid w:val="00E52838"/>
    <w:rsid w:val="00E54B35"/>
    <w:rsid w:val="00E609AE"/>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E32D2"/>
    <w:rsid w:val="00EF0273"/>
    <w:rsid w:val="00EF06EA"/>
    <w:rsid w:val="00EF5D73"/>
    <w:rsid w:val="00EF7C3A"/>
    <w:rsid w:val="00F01B4B"/>
    <w:rsid w:val="00F2033D"/>
    <w:rsid w:val="00F21088"/>
    <w:rsid w:val="00F327E7"/>
    <w:rsid w:val="00F35746"/>
    <w:rsid w:val="00F35C6F"/>
    <w:rsid w:val="00F447C7"/>
    <w:rsid w:val="00F459B4"/>
    <w:rsid w:val="00F5211B"/>
    <w:rsid w:val="00F554A9"/>
    <w:rsid w:val="00F55B1B"/>
    <w:rsid w:val="00F716FD"/>
    <w:rsid w:val="00F80355"/>
    <w:rsid w:val="00F86CB6"/>
    <w:rsid w:val="00F87C43"/>
    <w:rsid w:val="00FA37EE"/>
    <w:rsid w:val="00FB0C81"/>
    <w:rsid w:val="00FB5754"/>
    <w:rsid w:val="00FC0BEF"/>
    <w:rsid w:val="00FC2200"/>
    <w:rsid w:val="00FC2540"/>
    <w:rsid w:val="00FE2099"/>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A93587-E6F0-43AF-BB4E-29554CBF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
    <w:basedOn w:val="Normal"/>
    <w:link w:val="FootnoteTextChar"/>
    <w:unhideWhenUsed/>
    <w:qFormat/>
    <w:rsid w:val="006E126D"/>
    <w:rPr>
      <w:sz w:val="20"/>
      <w:szCs w:val="20"/>
    </w:rPr>
  </w:style>
  <w:style w:type="character" w:customStyle="1" w:styleId="FootnoteTextChar">
    <w:name w:val="Footnote Text Char"/>
    <w:aliases w:val=" Char1 Char, Char1 Char Char Char,Fußnotentextf Char"/>
    <w:basedOn w:val="DefaultParagraphFont"/>
    <w:link w:val="FootnoteText"/>
    <w:rsid w:val="006E126D"/>
    <w:rPr>
      <w:lang w:val="en-GB"/>
    </w:rPr>
  </w:style>
  <w:style w:type="character" w:styleId="FootnoteReference">
    <w:name w:val="footnote reference"/>
    <w:aliases w:val="16 Point,Superscript 6 Point,Footnote text,Footnote Text1,Footnote Text2"/>
    <w:basedOn w:val="DefaultParagraphFont"/>
    <w:unhideWhenUsed/>
    <w:rsid w:val="006E126D"/>
    <w:rPr>
      <w:vertAlign w:val="superscript"/>
    </w:rPr>
  </w:style>
  <w:style w:type="paragraph" w:customStyle="1" w:styleId="Title2">
    <w:name w:val="Title2"/>
    <w:rsid w:val="002D39BC"/>
    <w:pPr>
      <w:jc w:val="center"/>
      <w:outlineLvl w:val="0"/>
    </w:pPr>
    <w:rPr>
      <w:b/>
      <w:caps/>
      <w:sz w:val="22"/>
      <w:szCs w:val="22"/>
      <w:lang w:val="en-GB"/>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2D39BC"/>
    <w:rPr>
      <w:sz w:val="22"/>
      <w:szCs w:val="22"/>
      <w:lang w:val="en-GB"/>
    </w:rPr>
  </w:style>
  <w:style w:type="character" w:customStyle="1" w:styleId="FooterChar">
    <w:name w:val="Footer Char"/>
    <w:link w:val="Footer"/>
    <w:uiPriority w:val="99"/>
    <w:rsid w:val="002D39BC"/>
    <w:rPr>
      <w:sz w:val="22"/>
      <w:szCs w:val="22"/>
      <w:lang w:val="en-GB"/>
    </w:rPr>
  </w:style>
  <w:style w:type="character" w:customStyle="1" w:styleId="Heading3Char3">
    <w:name w:val="Heading 3 Char3"/>
    <w:aliases w:val="Char Char3,Heading 3 Char Char1,Char Char Char2,Heading 3 Char1 Char1,Heading 3 Char Char Char1,Char Char Char Char1,Char Char1 Char1,Heading 3 Char2 Char,Heading 3 Char Char1 Char Char,Heading 3 Char1 Char Char,Char Char Char Char Char"/>
    <w:link w:val="Heading3"/>
    <w:rsid w:val="002D39BC"/>
    <w:rPr>
      <w:sz w:val="22"/>
      <w:szCs w:val="22"/>
      <w:lang w:val="en-GB"/>
    </w:rPr>
  </w:style>
  <w:style w:type="paragraph" w:styleId="ListParagraph">
    <w:name w:val="List Paragraph"/>
    <w:basedOn w:val="Normal"/>
    <w:uiPriority w:val="34"/>
    <w:qFormat/>
    <w:rsid w:val="002D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4366">
      <w:bodyDiv w:val="1"/>
      <w:marLeft w:val="0"/>
      <w:marRight w:val="0"/>
      <w:marTop w:val="0"/>
      <w:marBottom w:val="0"/>
      <w:divBdr>
        <w:top w:val="none" w:sz="0" w:space="0" w:color="auto"/>
        <w:left w:val="none" w:sz="0" w:space="0" w:color="auto"/>
        <w:bottom w:val="none" w:sz="0" w:space="0" w:color="auto"/>
        <w:right w:val="none" w:sz="0" w:space="0" w:color="auto"/>
      </w:divBdr>
    </w:div>
    <w:div w:id="783886269">
      <w:bodyDiv w:val="1"/>
      <w:marLeft w:val="0"/>
      <w:marRight w:val="0"/>
      <w:marTop w:val="0"/>
      <w:marBottom w:val="0"/>
      <w:divBdr>
        <w:top w:val="none" w:sz="0" w:space="0" w:color="auto"/>
        <w:left w:val="none" w:sz="0" w:space="0" w:color="auto"/>
        <w:bottom w:val="none" w:sz="0" w:space="0" w:color="auto"/>
        <w:right w:val="none" w:sz="0" w:space="0" w:color="auto"/>
      </w:divBdr>
    </w:div>
    <w:div w:id="1688094109">
      <w:bodyDiv w:val="1"/>
      <w:marLeft w:val="0"/>
      <w:marRight w:val="0"/>
      <w:marTop w:val="0"/>
      <w:marBottom w:val="0"/>
      <w:divBdr>
        <w:top w:val="none" w:sz="0" w:space="0" w:color="auto"/>
        <w:left w:val="none" w:sz="0" w:space="0" w:color="auto"/>
        <w:bottom w:val="none" w:sz="0" w:space="0" w:color="auto"/>
        <w:right w:val="none" w:sz="0" w:space="0" w:color="auto"/>
      </w:divBdr>
    </w:div>
    <w:div w:id="175023262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UNEP/OzL.Pro/ExCom/86/25</Document_x0020_Number>
    <Posted_x0020_after_x0020_IAP xmlns="abaacac7-de29-4bd9-9df9-38435041f724">true</Posted_x0020_after_x0020_IAP>
    <DocumentType xmlns="64e33b30-101d-41de-b951-961aab25ea29">Pre-session</DocumentType>
  </documentManagement>
</p:properties>
</file>

<file path=customXml/itemProps1.xml><?xml version="1.0" encoding="utf-8"?>
<ds:datastoreItem xmlns:ds="http://schemas.openxmlformats.org/officeDocument/2006/customXml" ds:itemID="{DC914415-246D-4B9F-9172-F7A07D0C9C98}"/>
</file>

<file path=customXml/itemProps2.xml><?xml version="1.0" encoding="utf-8"?>
<ds:datastoreItem xmlns:ds="http://schemas.openxmlformats.org/officeDocument/2006/customXml" ds:itemID="{F012957E-24E0-47BA-B67B-C4B8365530D5}"/>
</file>

<file path=customXml/itemProps3.xml><?xml version="1.0" encoding="utf-8"?>
<ds:datastoreItem xmlns:ds="http://schemas.openxmlformats.org/officeDocument/2006/customXml" ds:itemID="{AE8CC1FC-5A49-4259-B113-1094C7790393}"/>
</file>

<file path=customXml/itemProps4.xml><?xml version="1.0" encoding="utf-8"?>
<ds:datastoreItem xmlns:ds="http://schemas.openxmlformats.org/officeDocument/2006/customXml" ds:itemID="{328F1DD4-F905-47B8-9931-E8583F1BCCE5}"/>
</file>

<file path=docProps/app.xml><?xml version="1.0" encoding="utf-8"?>
<Properties xmlns="http://schemas.openxmlformats.org/officeDocument/2006/extended-properties" xmlns:vt="http://schemas.openxmlformats.org/officeDocument/2006/docPropsVTypes">
  <Template>Eec86G</Template>
  <TotalTime>104</TotalTime>
  <Pages>8</Pages>
  <Words>3108</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Consolidated business plan of the Multilateral Fund for 2021-2023</vt:lpstr>
    </vt:vector>
  </TitlesOfParts>
  <Company>UNMFS</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business plan of the Multilateral Fund for 2021-2023 (part 1)</dc:title>
  <dc:creator>Muriel Aguiar</dc:creator>
  <cp:lastModifiedBy>Muriel Aguiar</cp:lastModifiedBy>
  <cp:revision>35</cp:revision>
  <cp:lastPrinted>2001-05-26T16:40:00Z</cp:lastPrinted>
  <dcterms:created xsi:type="dcterms:W3CDTF">2021-02-14T18:12:00Z</dcterms:created>
  <dcterms:modified xsi:type="dcterms:W3CDTF">2021-02-16T23:50:00Z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UNEP/OzL.Pro/ExCom/86/25</vt:lpwstr>
  </property>
  <property fmtid="{D5CDD505-2E9C-101B-9397-08002B2CF9AE}" pid="3" name="Revision date">
    <vt:lpwstr>2/16/2021</vt:lpwstr>
  </property>
  <property fmtid="{D5CDD505-2E9C-101B-9397-08002B2CF9AE}" pid="4" name="ContentTypeId">
    <vt:lpwstr>0x0101005AF33A4CB358354C9EC302DF0A113603</vt:lpwstr>
  </property>
</Properties>
</file>