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26329D" w:rsidTr="000E04AD">
        <w:trPr>
          <w:trHeight w:val="720"/>
        </w:trPr>
        <w:tc>
          <w:tcPr>
            <w:tcW w:w="5490" w:type="dxa"/>
            <w:gridSpan w:val="2"/>
            <w:tcBorders>
              <w:bottom w:val="single" w:sz="18" w:space="0" w:color="auto"/>
            </w:tcBorders>
          </w:tcPr>
          <w:p w:rsidR="00C15867" w:rsidRPr="0026329D" w:rsidRDefault="00C15867" w:rsidP="000E04A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26329D">
              <w:rPr>
                <w:rFonts w:ascii="Univers" w:hAnsi="Univers"/>
                <w:b/>
                <w:sz w:val="28"/>
                <w:szCs w:val="28"/>
                <w:lang w:val="en-CA"/>
              </w:rPr>
              <w:t>UNITED</w:t>
            </w:r>
            <w:r w:rsidRPr="0026329D">
              <w:rPr>
                <w:rFonts w:ascii="Univers" w:hAnsi="Univers"/>
                <w:b/>
                <w:sz w:val="28"/>
                <w:szCs w:val="28"/>
                <w:lang w:val="en-CA"/>
              </w:rPr>
              <w:br/>
              <w:t>NATIONS</w:t>
            </w:r>
          </w:p>
        </w:tc>
        <w:tc>
          <w:tcPr>
            <w:tcW w:w="4590" w:type="dxa"/>
            <w:tcBorders>
              <w:bottom w:val="single" w:sz="18" w:space="0" w:color="auto"/>
            </w:tcBorders>
          </w:tcPr>
          <w:p w:rsidR="00C15867" w:rsidRPr="0026329D" w:rsidRDefault="00C15867" w:rsidP="000E04AD">
            <w:pPr>
              <w:jc w:val="right"/>
              <w:rPr>
                <w:sz w:val="52"/>
                <w:szCs w:val="52"/>
                <w:lang w:val="en-CA"/>
              </w:rPr>
            </w:pPr>
            <w:r w:rsidRPr="0026329D">
              <w:rPr>
                <w:rFonts w:ascii="Univers Bold" w:hAnsi="Univers Bold"/>
                <w:b/>
                <w:sz w:val="72"/>
                <w:lang w:val="en-CA"/>
              </w:rPr>
              <w:t>EP</w:t>
            </w:r>
          </w:p>
        </w:tc>
      </w:tr>
      <w:tr w:rsidR="00C15867" w:rsidRPr="0026329D" w:rsidTr="000E0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26329D" w:rsidRDefault="00E52838" w:rsidP="000E04AD">
            <w:pPr>
              <w:spacing w:before="120"/>
              <w:rPr>
                <w:lang w:val="en-CA"/>
              </w:rPr>
            </w:pPr>
            <w:r w:rsidRPr="0026329D">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31691D2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C15867" w:rsidRPr="0026329D" w:rsidRDefault="00C15867" w:rsidP="000E04A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26329D">
              <w:rPr>
                <w:rFonts w:ascii="Univers" w:hAnsi="Univers"/>
                <w:b/>
                <w:sz w:val="32"/>
                <w:lang w:val="en-CA"/>
              </w:rPr>
              <w:t>United Nations</w:t>
            </w:r>
          </w:p>
          <w:p w:rsidR="00C15867" w:rsidRPr="0026329D" w:rsidRDefault="00C15867" w:rsidP="000E04A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26329D">
              <w:rPr>
                <w:rFonts w:ascii="Univers" w:hAnsi="Univers"/>
                <w:b/>
                <w:sz w:val="32"/>
                <w:lang w:val="en-CA"/>
              </w:rPr>
              <w:t>Environment</w:t>
            </w:r>
          </w:p>
          <w:p w:rsidR="00C15867" w:rsidRPr="0026329D" w:rsidRDefault="00C15867" w:rsidP="000E04A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26329D">
              <w:rPr>
                <w:rFonts w:ascii="Univers" w:hAnsi="Univers"/>
                <w:b/>
                <w:sz w:val="32"/>
                <w:lang w:val="en-CA"/>
              </w:rPr>
              <w:t>Programme</w:t>
            </w:r>
          </w:p>
          <w:p w:rsidR="00C15867" w:rsidRPr="0026329D" w:rsidRDefault="00C15867" w:rsidP="000E04AD">
            <w:pPr>
              <w:spacing w:before="720"/>
              <w:ind w:left="158"/>
              <w:rPr>
                <w:lang w:val="en-CA"/>
              </w:rPr>
            </w:pPr>
          </w:p>
        </w:tc>
        <w:tc>
          <w:tcPr>
            <w:tcW w:w="4590" w:type="dxa"/>
            <w:tcBorders>
              <w:top w:val="nil"/>
              <w:left w:val="nil"/>
              <w:bottom w:val="single" w:sz="36" w:space="0" w:color="auto"/>
              <w:right w:val="nil"/>
            </w:tcBorders>
          </w:tcPr>
          <w:p w:rsidR="00C15867" w:rsidRPr="0026329D" w:rsidRDefault="00C15867" w:rsidP="000E04AD">
            <w:pPr>
              <w:rPr>
                <w:lang w:val="en-CA"/>
              </w:rPr>
            </w:pPr>
            <w:r w:rsidRPr="0026329D">
              <w:rPr>
                <w:lang w:val="en-CA"/>
              </w:rPr>
              <w:t>Distr.</w:t>
            </w:r>
          </w:p>
          <w:p w:rsidR="00923540" w:rsidRPr="0026329D" w:rsidRDefault="00923540" w:rsidP="00923540">
            <w:pPr>
              <w:rPr>
                <w:lang w:val="en-CA"/>
              </w:rPr>
            </w:pPr>
            <w:r w:rsidRPr="0026329D">
              <w:rPr>
                <w:lang w:val="en-CA"/>
              </w:rPr>
              <w:t>GENERAL</w:t>
            </w:r>
          </w:p>
          <w:p w:rsidR="00C15867" w:rsidRPr="0026329D" w:rsidRDefault="00C15867" w:rsidP="000E04AD">
            <w:pPr>
              <w:rPr>
                <w:lang w:val="en-CA"/>
              </w:rPr>
            </w:pPr>
          </w:p>
          <w:p w:rsidR="00C15867" w:rsidRPr="0026329D" w:rsidRDefault="00C15867" w:rsidP="000E04AD">
            <w:pPr>
              <w:rPr>
                <w:lang w:val="en-CA"/>
              </w:rPr>
            </w:pPr>
          </w:p>
          <w:p w:rsidR="00C15867" w:rsidRPr="0026329D" w:rsidRDefault="007C7D82" w:rsidP="000E04AD">
            <w:pPr>
              <w:rPr>
                <w:lang w:val="en-CA"/>
              </w:rPr>
            </w:pPr>
            <w:r w:rsidRPr="0026329D">
              <w:rPr>
                <w:lang w:val="en-CA"/>
              </w:rPr>
              <w:fldChar w:fldCharType="begin"/>
            </w:r>
            <w:r w:rsidRPr="0026329D">
              <w:rPr>
                <w:lang w:val="en-CA"/>
              </w:rPr>
              <w:instrText xml:space="preserve"> DOCPROPERTY "Document number"  \* MERGEFORMAT </w:instrText>
            </w:r>
            <w:r w:rsidRPr="0026329D">
              <w:rPr>
                <w:lang w:val="en-CA"/>
              </w:rPr>
              <w:fldChar w:fldCharType="separate"/>
            </w:r>
            <w:r w:rsidR="003B40B5" w:rsidRPr="0026329D">
              <w:rPr>
                <w:lang w:val="en-CA"/>
              </w:rPr>
              <w:t>UNEP/OzL.Pro/ExCom/86/21/Add.1</w:t>
            </w:r>
            <w:r w:rsidRPr="0026329D">
              <w:rPr>
                <w:lang w:val="en-CA"/>
              </w:rPr>
              <w:fldChar w:fldCharType="end"/>
            </w:r>
          </w:p>
          <w:p w:rsidR="00C15867" w:rsidRPr="0026329D" w:rsidRDefault="00BC2495" w:rsidP="000E04AD">
            <w:pPr>
              <w:rPr>
                <w:lang w:val="en-CA"/>
              </w:rPr>
            </w:pPr>
            <w:r w:rsidRPr="0026329D">
              <w:rPr>
                <w:lang w:val="en-CA"/>
              </w:rPr>
              <w:fldChar w:fldCharType="begin"/>
            </w:r>
            <w:r w:rsidR="00851352" w:rsidRPr="0026329D">
              <w:rPr>
                <w:lang w:val="en-CA"/>
              </w:rPr>
              <w:instrText xml:space="preserve"> DOCPROPERTY "Revision date" \@ "d MMMM YYYY"  \* MERGEFORMAT </w:instrText>
            </w:r>
            <w:r w:rsidRPr="0026329D">
              <w:rPr>
                <w:lang w:val="en-CA"/>
              </w:rPr>
              <w:fldChar w:fldCharType="separate"/>
            </w:r>
            <w:r w:rsidR="0026329D" w:rsidRPr="0026329D">
              <w:rPr>
                <w:lang w:val="en-CA"/>
              </w:rPr>
              <w:t>6 November 2020</w:t>
            </w:r>
            <w:r w:rsidRPr="0026329D">
              <w:rPr>
                <w:lang w:val="en-CA"/>
              </w:rPr>
              <w:fldChar w:fldCharType="end"/>
            </w:r>
          </w:p>
          <w:p w:rsidR="00C15867" w:rsidRPr="0026329D" w:rsidRDefault="00C15867" w:rsidP="000E04AD">
            <w:pPr>
              <w:rPr>
                <w:caps/>
                <w:lang w:val="en-CA"/>
              </w:rPr>
            </w:pPr>
          </w:p>
          <w:p w:rsidR="00C15867" w:rsidRPr="0026329D" w:rsidRDefault="00C15867" w:rsidP="000E04AD">
            <w:pPr>
              <w:rPr>
                <w:lang w:val="en-CA"/>
              </w:rPr>
            </w:pPr>
            <w:r w:rsidRPr="0026329D">
              <w:rPr>
                <w:lang w:val="en-CA"/>
              </w:rPr>
              <w:t>ORIGINAL: ENGLISH</w:t>
            </w:r>
          </w:p>
        </w:tc>
      </w:tr>
    </w:tbl>
    <w:p w:rsidR="00704CE9" w:rsidRPr="0026329D" w:rsidRDefault="00C15867" w:rsidP="00704CE9">
      <w:pPr>
        <w:jc w:val="left"/>
        <w:rPr>
          <w:lang w:val="en-CA"/>
        </w:rPr>
      </w:pPr>
      <w:r w:rsidRPr="0026329D">
        <w:rPr>
          <w:lang w:val="en-CA"/>
        </w:rPr>
        <w:t>EXECUTIVE COMMITTEE OF</w:t>
      </w:r>
      <w:r w:rsidRPr="0026329D">
        <w:rPr>
          <w:lang w:val="en-CA"/>
        </w:rPr>
        <w:br/>
        <w:t xml:space="preserve">  THE MULTILATERAL FUND FOR THE</w:t>
      </w:r>
      <w:r w:rsidRPr="0026329D">
        <w:rPr>
          <w:lang w:val="en-CA"/>
        </w:rPr>
        <w:br/>
        <w:t xml:space="preserve">  IMPLEMENTATION OF THE MONTREAL PROTOCOL</w:t>
      </w:r>
      <w:r w:rsidRPr="0026329D">
        <w:rPr>
          <w:lang w:val="en-CA"/>
        </w:rPr>
        <w:br/>
      </w:r>
      <w:r w:rsidR="00704CE9" w:rsidRPr="0026329D">
        <w:rPr>
          <w:lang w:val="en-CA"/>
        </w:rPr>
        <w:t>Eighty-sixth Meeting</w:t>
      </w:r>
    </w:p>
    <w:p w:rsidR="00704CE9" w:rsidRPr="0026329D" w:rsidRDefault="00704CE9" w:rsidP="00704CE9">
      <w:pPr>
        <w:jc w:val="left"/>
        <w:rPr>
          <w:lang w:val="en-CA"/>
        </w:rPr>
      </w:pPr>
      <w:r w:rsidRPr="0026329D">
        <w:rPr>
          <w:lang w:val="en-CA"/>
        </w:rPr>
        <w:t>Montreal, 2-6 November 2020</w:t>
      </w:r>
    </w:p>
    <w:p w:rsidR="005220ED" w:rsidRPr="0026329D" w:rsidRDefault="005220ED" w:rsidP="005220ED">
      <w:pPr>
        <w:jc w:val="left"/>
        <w:rPr>
          <w:lang w:val="en-CA"/>
        </w:rPr>
      </w:pPr>
      <w:r w:rsidRPr="0026329D">
        <w:rPr>
          <w:lang w:val="en-CA"/>
        </w:rPr>
        <w:t>Postponed to 8-12 March 2021</w:t>
      </w:r>
      <w:r w:rsidR="006E126D" w:rsidRPr="0026329D">
        <w:rPr>
          <w:rStyle w:val="FootnoteReference"/>
          <w:lang w:val="en-CA"/>
        </w:rPr>
        <w:footnoteReference w:id="1"/>
      </w:r>
    </w:p>
    <w:p w:rsidR="005220ED" w:rsidRPr="0026329D" w:rsidRDefault="005220ED" w:rsidP="005220ED">
      <w:pPr>
        <w:jc w:val="left"/>
        <w:rPr>
          <w:lang w:val="en-CA"/>
        </w:rPr>
      </w:pPr>
    </w:p>
    <w:p w:rsidR="00C15867" w:rsidRDefault="00C15867" w:rsidP="00857077">
      <w:pPr>
        <w:jc w:val="left"/>
        <w:rPr>
          <w:lang w:val="en-CA"/>
        </w:rPr>
      </w:pPr>
    </w:p>
    <w:p w:rsidR="0026329D" w:rsidRPr="0026329D" w:rsidRDefault="0026329D" w:rsidP="00857077">
      <w:pPr>
        <w:jc w:val="left"/>
        <w:rPr>
          <w:lang w:val="en-CA"/>
        </w:rPr>
      </w:pPr>
    </w:p>
    <w:p w:rsidR="00311EE3" w:rsidRPr="0026329D" w:rsidRDefault="00311EE3" w:rsidP="00311EE3">
      <w:pPr>
        <w:pStyle w:val="Title1"/>
        <w:rPr>
          <w:lang w:val="en-CA"/>
        </w:rPr>
      </w:pPr>
      <w:r w:rsidRPr="0026329D">
        <w:rPr>
          <w:caps w:val="0"/>
          <w:lang w:val="en-CA"/>
        </w:rPr>
        <w:t>Addendum</w:t>
      </w:r>
      <w:bookmarkStart w:id="0" w:name="_GoBack"/>
      <w:bookmarkEnd w:id="0"/>
    </w:p>
    <w:p w:rsidR="00311EE3" w:rsidRPr="0026329D" w:rsidRDefault="00311EE3" w:rsidP="004E7F9C">
      <w:pPr>
        <w:pStyle w:val="Title1"/>
        <w:rPr>
          <w:lang w:val="en-CA"/>
        </w:rPr>
      </w:pPr>
    </w:p>
    <w:p w:rsidR="004E7F9C" w:rsidRPr="0026329D" w:rsidRDefault="00913C8E" w:rsidP="004E7F9C">
      <w:pPr>
        <w:pStyle w:val="Title1"/>
        <w:rPr>
          <w:lang w:val="en-CA"/>
        </w:rPr>
      </w:pPr>
      <w:r w:rsidRPr="0026329D">
        <w:rPr>
          <w:lang w:val="en-CA"/>
        </w:rPr>
        <w:t xml:space="preserve">reports on projects with </w:t>
      </w:r>
      <w:r w:rsidR="00311EE3" w:rsidRPr="0026329D">
        <w:rPr>
          <w:lang w:val="en-CA"/>
        </w:rPr>
        <w:t xml:space="preserve">specific </w:t>
      </w:r>
      <w:r w:rsidRPr="0026329D">
        <w:rPr>
          <w:lang w:val="en-CA"/>
        </w:rPr>
        <w:t>reporting requirements</w:t>
      </w:r>
    </w:p>
    <w:p w:rsidR="00913C8E" w:rsidRPr="0026329D" w:rsidRDefault="00913C8E" w:rsidP="004E7F9C">
      <w:pPr>
        <w:pStyle w:val="Title1"/>
        <w:rPr>
          <w:lang w:val="en-CA"/>
        </w:rPr>
      </w:pPr>
    </w:p>
    <w:p w:rsidR="00FB35E3" w:rsidRPr="0026329D" w:rsidRDefault="005E3DF6" w:rsidP="00090F6A">
      <w:pPr>
        <w:pStyle w:val="Heading1"/>
        <w:rPr>
          <w:lang w:val="en-CA"/>
        </w:rPr>
      </w:pPr>
      <w:r w:rsidRPr="0026329D">
        <w:rPr>
          <w:lang w:val="en-CA"/>
        </w:rPr>
        <w:t>Due to the COVID-19</w:t>
      </w:r>
      <w:r w:rsidR="00311EE3" w:rsidRPr="0026329D">
        <w:rPr>
          <w:lang w:val="en-CA"/>
        </w:rPr>
        <w:t xml:space="preserve"> pandemic</w:t>
      </w:r>
      <w:r w:rsidRPr="0026329D">
        <w:rPr>
          <w:lang w:val="en-CA"/>
        </w:rPr>
        <w:t>, the 85</w:t>
      </w:r>
      <w:r w:rsidRPr="0026329D">
        <w:rPr>
          <w:vertAlign w:val="superscript"/>
          <w:lang w:val="en-CA"/>
        </w:rPr>
        <w:t>th</w:t>
      </w:r>
      <w:r w:rsidR="00AC6CBD" w:rsidRPr="0026329D">
        <w:rPr>
          <w:lang w:val="en-CA"/>
        </w:rPr>
        <w:t> m</w:t>
      </w:r>
      <w:r w:rsidRPr="0026329D">
        <w:rPr>
          <w:lang w:val="en-CA"/>
        </w:rPr>
        <w:t>eeting was postponed, and the Executive Committee agreed to establish an intersessional approval process (IAP) to consider certain reports and project</w:t>
      </w:r>
      <w:r w:rsidR="00311EE3" w:rsidRPr="0026329D">
        <w:rPr>
          <w:lang w:val="en-CA"/>
        </w:rPr>
        <w:t xml:space="preserve"> proposal</w:t>
      </w:r>
      <w:r w:rsidRPr="0026329D">
        <w:rPr>
          <w:lang w:val="en-CA"/>
        </w:rPr>
        <w:t>s. The Executive Committee further agreed that the 86</w:t>
      </w:r>
      <w:r w:rsidRPr="0026329D">
        <w:rPr>
          <w:vertAlign w:val="superscript"/>
          <w:lang w:val="en-CA"/>
        </w:rPr>
        <w:t>th</w:t>
      </w:r>
      <w:r w:rsidR="00AC6CBD" w:rsidRPr="0026329D">
        <w:rPr>
          <w:lang w:val="en-CA"/>
        </w:rPr>
        <w:t> </w:t>
      </w:r>
      <w:r w:rsidRPr="0026329D">
        <w:rPr>
          <w:lang w:val="en-CA"/>
        </w:rPr>
        <w:t>meeting would address the remaining agenda items from the 85</w:t>
      </w:r>
      <w:r w:rsidRPr="0026329D">
        <w:rPr>
          <w:vertAlign w:val="superscript"/>
          <w:lang w:val="en-CA"/>
        </w:rPr>
        <w:t>th</w:t>
      </w:r>
      <w:r w:rsidR="00AC6CBD" w:rsidRPr="0026329D">
        <w:rPr>
          <w:vertAlign w:val="superscript"/>
          <w:lang w:val="en-CA"/>
        </w:rPr>
        <w:t> </w:t>
      </w:r>
      <w:r w:rsidRPr="0026329D">
        <w:rPr>
          <w:lang w:val="en-CA"/>
        </w:rPr>
        <w:t>meeting noting that documents for the 85</w:t>
      </w:r>
      <w:r w:rsidRPr="0026329D">
        <w:rPr>
          <w:vertAlign w:val="superscript"/>
          <w:lang w:val="en-CA"/>
        </w:rPr>
        <w:t>th</w:t>
      </w:r>
      <w:r w:rsidR="00AC6CBD" w:rsidRPr="0026329D">
        <w:rPr>
          <w:vertAlign w:val="superscript"/>
          <w:lang w:val="en-CA"/>
        </w:rPr>
        <w:t> </w:t>
      </w:r>
      <w:r w:rsidRPr="0026329D">
        <w:rPr>
          <w:lang w:val="en-CA"/>
        </w:rPr>
        <w:t>meeting related to recurring agenda items, including reports on projects with specific reporting requirements could be submitted to the 86</w:t>
      </w:r>
      <w:r w:rsidRPr="0026329D">
        <w:rPr>
          <w:vertAlign w:val="superscript"/>
          <w:lang w:val="en-CA"/>
        </w:rPr>
        <w:t>th</w:t>
      </w:r>
      <w:r w:rsidR="00AC6CBD" w:rsidRPr="0026329D">
        <w:rPr>
          <w:vertAlign w:val="superscript"/>
          <w:lang w:val="en-CA"/>
        </w:rPr>
        <w:t> </w:t>
      </w:r>
      <w:r w:rsidRPr="0026329D">
        <w:rPr>
          <w:lang w:val="en-CA"/>
        </w:rPr>
        <w:t xml:space="preserve">meeting. Therefore, </w:t>
      </w:r>
      <w:r w:rsidR="008B435F" w:rsidRPr="0026329D">
        <w:rPr>
          <w:lang w:val="en-CA"/>
        </w:rPr>
        <w:t xml:space="preserve">the present document </w:t>
      </w:r>
      <w:r w:rsidR="00913C8E" w:rsidRPr="0026329D">
        <w:rPr>
          <w:lang w:val="en-CA"/>
        </w:rPr>
        <w:t>include</w:t>
      </w:r>
      <w:r w:rsidR="008B435F" w:rsidRPr="0026329D">
        <w:rPr>
          <w:lang w:val="en-CA"/>
        </w:rPr>
        <w:t>s</w:t>
      </w:r>
      <w:r w:rsidR="00913C8E" w:rsidRPr="0026329D">
        <w:rPr>
          <w:lang w:val="en-CA"/>
        </w:rPr>
        <w:t xml:space="preserve"> reports o</w:t>
      </w:r>
      <w:r w:rsidR="000A13B5" w:rsidRPr="0026329D">
        <w:rPr>
          <w:lang w:val="en-CA"/>
        </w:rPr>
        <w:t>n</w:t>
      </w:r>
      <w:r w:rsidR="00913C8E" w:rsidRPr="0026329D">
        <w:rPr>
          <w:lang w:val="en-CA"/>
        </w:rPr>
        <w:t xml:space="preserve"> projects with </w:t>
      </w:r>
      <w:r w:rsidR="000A13B5" w:rsidRPr="0026329D">
        <w:rPr>
          <w:lang w:val="en-CA"/>
        </w:rPr>
        <w:t xml:space="preserve">specific reporting requirements </w:t>
      </w:r>
      <w:r w:rsidR="004E5BF2" w:rsidRPr="0026329D">
        <w:rPr>
          <w:lang w:val="en-CA"/>
        </w:rPr>
        <w:t>pertaining to China, that were submitted for individual consideration to the 85</w:t>
      </w:r>
      <w:r w:rsidR="004E5BF2" w:rsidRPr="0026329D">
        <w:rPr>
          <w:vertAlign w:val="superscript"/>
          <w:lang w:val="en-CA"/>
        </w:rPr>
        <w:t>th</w:t>
      </w:r>
      <w:r w:rsidR="00AC6CBD" w:rsidRPr="0026329D">
        <w:rPr>
          <w:vertAlign w:val="superscript"/>
          <w:lang w:val="en-CA"/>
        </w:rPr>
        <w:t> </w:t>
      </w:r>
      <w:r w:rsidR="004E5BF2" w:rsidRPr="0026329D">
        <w:rPr>
          <w:lang w:val="en-CA"/>
        </w:rPr>
        <w:t xml:space="preserve">meeting </w:t>
      </w:r>
      <w:r w:rsidR="008B435F" w:rsidRPr="0026329D">
        <w:rPr>
          <w:lang w:val="en-CA"/>
        </w:rPr>
        <w:t>and deferred to the 86</w:t>
      </w:r>
      <w:r w:rsidR="008B435F" w:rsidRPr="0026329D">
        <w:rPr>
          <w:vertAlign w:val="superscript"/>
          <w:lang w:val="en-CA"/>
        </w:rPr>
        <w:t>th</w:t>
      </w:r>
      <w:r w:rsidR="009B3FC3" w:rsidRPr="0026329D">
        <w:rPr>
          <w:lang w:val="en-CA"/>
        </w:rPr>
        <w:t> meeting</w:t>
      </w:r>
      <w:r w:rsidR="008B435F" w:rsidRPr="0026329D">
        <w:rPr>
          <w:lang w:val="en-CA"/>
        </w:rPr>
        <w:t xml:space="preserve"> as </w:t>
      </w:r>
      <w:r w:rsidR="00547B54" w:rsidRPr="0026329D">
        <w:rPr>
          <w:lang w:val="en-CA"/>
        </w:rPr>
        <w:t>agreed</w:t>
      </w:r>
      <w:r w:rsidR="008B435F" w:rsidRPr="0026329D">
        <w:rPr>
          <w:lang w:val="en-CA"/>
        </w:rPr>
        <w:t xml:space="preserve"> by the Executive Committee, </w:t>
      </w:r>
      <w:r w:rsidR="004E5BF2" w:rsidRPr="0026329D">
        <w:rPr>
          <w:lang w:val="en-CA"/>
        </w:rPr>
        <w:t>and reports submitted to the 86</w:t>
      </w:r>
      <w:r w:rsidR="004E5BF2" w:rsidRPr="0026329D">
        <w:rPr>
          <w:vertAlign w:val="superscript"/>
          <w:lang w:val="en-CA"/>
        </w:rPr>
        <w:t>th</w:t>
      </w:r>
      <w:r w:rsidR="00AC6CBD" w:rsidRPr="0026329D">
        <w:rPr>
          <w:vertAlign w:val="superscript"/>
          <w:lang w:val="en-CA"/>
        </w:rPr>
        <w:t> </w:t>
      </w:r>
      <w:r w:rsidR="004E5BF2" w:rsidRPr="0026329D">
        <w:rPr>
          <w:lang w:val="en-CA"/>
        </w:rPr>
        <w:t>meeting.</w:t>
      </w:r>
      <w:r w:rsidRPr="0026329D">
        <w:rPr>
          <w:lang w:val="en-CA"/>
        </w:rPr>
        <w:t xml:space="preserve"> </w:t>
      </w:r>
    </w:p>
    <w:p w:rsidR="002E5E10" w:rsidRPr="0026329D" w:rsidRDefault="002E5E10" w:rsidP="002E5E10">
      <w:pPr>
        <w:pStyle w:val="Heading1"/>
        <w:spacing w:after="0"/>
        <w:rPr>
          <w:lang w:val="en-CA"/>
        </w:rPr>
      </w:pPr>
      <w:r w:rsidRPr="0026329D">
        <w:rPr>
          <w:lang w:val="en-CA"/>
        </w:rPr>
        <w:t xml:space="preserve">The document is divided into </w:t>
      </w:r>
      <w:r w:rsidR="001D235F" w:rsidRPr="0026329D">
        <w:rPr>
          <w:lang w:val="en-CA"/>
        </w:rPr>
        <w:t xml:space="preserve">the following </w:t>
      </w:r>
      <w:r w:rsidR="002D5B54" w:rsidRPr="0026329D">
        <w:rPr>
          <w:lang w:val="en-CA"/>
        </w:rPr>
        <w:t>seven</w:t>
      </w:r>
      <w:r w:rsidR="001D235F" w:rsidRPr="0026329D">
        <w:rPr>
          <w:lang w:val="en-CA"/>
        </w:rPr>
        <w:t xml:space="preserve"> </w:t>
      </w:r>
      <w:r w:rsidRPr="0026329D">
        <w:rPr>
          <w:lang w:val="en-CA"/>
        </w:rPr>
        <w:t>parts:</w:t>
      </w:r>
    </w:p>
    <w:p w:rsidR="002E5E10" w:rsidRPr="0026329D" w:rsidRDefault="002E5E10" w:rsidP="002E5E10">
      <w:pPr>
        <w:rPr>
          <w:lang w:val="en-CA"/>
        </w:rPr>
      </w:pPr>
    </w:p>
    <w:tbl>
      <w:tblPr>
        <w:tblStyle w:val="TableGrid"/>
        <w:tblW w:w="0" w:type="auto"/>
        <w:tblInd w:w="720" w:type="dxa"/>
        <w:tblLayout w:type="fixed"/>
        <w:tblLook w:val="04A0" w:firstRow="1" w:lastRow="0" w:firstColumn="1" w:lastColumn="0" w:noHBand="0" w:noVBand="1"/>
      </w:tblPr>
      <w:tblGrid>
        <w:gridCol w:w="715"/>
        <w:gridCol w:w="6575"/>
        <w:gridCol w:w="1318"/>
      </w:tblGrid>
      <w:tr w:rsidR="001D235F" w:rsidRPr="0026329D" w:rsidTr="002D5B54">
        <w:trPr>
          <w:tblHeader/>
        </w:trPr>
        <w:tc>
          <w:tcPr>
            <w:tcW w:w="715" w:type="dxa"/>
          </w:tcPr>
          <w:p w:rsidR="001D235F" w:rsidRPr="0026329D" w:rsidRDefault="001D235F" w:rsidP="001D235F">
            <w:pPr>
              <w:widowControl w:val="0"/>
              <w:jc w:val="left"/>
              <w:rPr>
                <w:b/>
                <w:sz w:val="20"/>
                <w:szCs w:val="20"/>
                <w:lang w:val="en-CA"/>
              </w:rPr>
            </w:pPr>
            <w:r w:rsidRPr="0026329D">
              <w:rPr>
                <w:b/>
                <w:sz w:val="20"/>
                <w:szCs w:val="20"/>
                <w:lang w:val="en-CA"/>
              </w:rPr>
              <w:t>Part</w:t>
            </w:r>
          </w:p>
        </w:tc>
        <w:tc>
          <w:tcPr>
            <w:tcW w:w="6575" w:type="dxa"/>
            <w:vAlign w:val="center"/>
          </w:tcPr>
          <w:p w:rsidR="001D235F" w:rsidRPr="0026329D" w:rsidRDefault="001D235F" w:rsidP="001D235F">
            <w:pPr>
              <w:widowControl w:val="0"/>
              <w:jc w:val="center"/>
              <w:rPr>
                <w:b/>
                <w:sz w:val="20"/>
                <w:szCs w:val="20"/>
                <w:lang w:val="en-CA"/>
              </w:rPr>
            </w:pPr>
            <w:r w:rsidRPr="0026329D">
              <w:rPr>
                <w:b/>
                <w:sz w:val="20"/>
                <w:szCs w:val="20"/>
                <w:lang w:val="en-CA"/>
              </w:rPr>
              <w:t>Document title</w:t>
            </w:r>
          </w:p>
        </w:tc>
        <w:tc>
          <w:tcPr>
            <w:tcW w:w="1318" w:type="dxa"/>
            <w:vAlign w:val="center"/>
          </w:tcPr>
          <w:p w:rsidR="001D235F" w:rsidRPr="0026329D" w:rsidRDefault="001D235F" w:rsidP="001D235F">
            <w:pPr>
              <w:widowControl w:val="0"/>
              <w:jc w:val="center"/>
              <w:rPr>
                <w:b/>
                <w:sz w:val="20"/>
                <w:szCs w:val="20"/>
                <w:lang w:val="en-CA"/>
              </w:rPr>
            </w:pPr>
            <w:r w:rsidRPr="0026329D">
              <w:rPr>
                <w:b/>
                <w:sz w:val="20"/>
                <w:szCs w:val="20"/>
                <w:lang w:val="en-CA"/>
              </w:rPr>
              <w:t>Paragraphs</w:t>
            </w:r>
          </w:p>
        </w:tc>
      </w:tr>
      <w:tr w:rsidR="001D235F" w:rsidRPr="0026329D" w:rsidTr="001D235F">
        <w:tc>
          <w:tcPr>
            <w:tcW w:w="715" w:type="dxa"/>
          </w:tcPr>
          <w:p w:rsidR="001D235F" w:rsidRPr="0026329D" w:rsidRDefault="001D235F" w:rsidP="001D235F">
            <w:pPr>
              <w:widowControl w:val="0"/>
              <w:rPr>
                <w:b/>
                <w:sz w:val="20"/>
                <w:szCs w:val="20"/>
                <w:lang w:val="en-CA"/>
              </w:rPr>
            </w:pPr>
            <w:r w:rsidRPr="0026329D">
              <w:rPr>
                <w:b/>
                <w:sz w:val="20"/>
                <w:szCs w:val="20"/>
                <w:lang w:val="en-CA"/>
              </w:rPr>
              <w:t xml:space="preserve">I </w:t>
            </w:r>
          </w:p>
        </w:tc>
        <w:tc>
          <w:tcPr>
            <w:tcW w:w="6575" w:type="dxa"/>
          </w:tcPr>
          <w:p w:rsidR="001D235F" w:rsidRPr="0026329D" w:rsidRDefault="00A81DEE" w:rsidP="001D235F">
            <w:pPr>
              <w:widowControl w:val="0"/>
              <w:jc w:val="left"/>
              <w:rPr>
                <w:b/>
                <w:sz w:val="20"/>
                <w:szCs w:val="20"/>
                <w:lang w:val="en-CA"/>
              </w:rPr>
            </w:pPr>
            <w:r w:rsidRPr="0026329D">
              <w:rPr>
                <w:b/>
                <w:sz w:val="20"/>
                <w:szCs w:val="20"/>
                <w:lang w:val="en-CA"/>
              </w:rPr>
              <w:t>Stage </w:t>
            </w:r>
            <w:r w:rsidR="001D235F" w:rsidRPr="0026329D">
              <w:rPr>
                <w:b/>
                <w:sz w:val="20"/>
                <w:szCs w:val="20"/>
                <w:lang w:val="en-CA"/>
              </w:rPr>
              <w:t>I of the HCFC phase-out management plan</w:t>
            </w:r>
          </w:p>
        </w:tc>
        <w:tc>
          <w:tcPr>
            <w:tcW w:w="1318" w:type="dxa"/>
            <w:vAlign w:val="center"/>
          </w:tcPr>
          <w:p w:rsidR="001D235F" w:rsidRPr="0026329D" w:rsidRDefault="00C41DE6" w:rsidP="00C41DE6">
            <w:pPr>
              <w:widowControl w:val="0"/>
              <w:jc w:val="center"/>
              <w:rPr>
                <w:b/>
                <w:sz w:val="20"/>
                <w:szCs w:val="20"/>
                <w:lang w:val="en-CA"/>
              </w:rPr>
            </w:pPr>
            <w:r w:rsidRPr="0026329D">
              <w:rPr>
                <w:sz w:val="20"/>
                <w:szCs w:val="20"/>
                <w:lang w:val="en-CA"/>
              </w:rPr>
              <w:t>3</w:t>
            </w:r>
            <w:r w:rsidR="001D235F" w:rsidRPr="0026329D">
              <w:rPr>
                <w:sz w:val="20"/>
                <w:szCs w:val="20"/>
                <w:lang w:val="en-CA"/>
              </w:rPr>
              <w:t xml:space="preserve"> </w:t>
            </w:r>
            <w:r w:rsidRPr="0026329D">
              <w:rPr>
                <w:sz w:val="20"/>
                <w:szCs w:val="20"/>
                <w:lang w:val="en-CA"/>
              </w:rPr>
              <w:t>–</w:t>
            </w:r>
            <w:r w:rsidR="001D235F" w:rsidRPr="0026329D">
              <w:rPr>
                <w:sz w:val="20"/>
                <w:szCs w:val="20"/>
                <w:lang w:val="en-CA"/>
              </w:rPr>
              <w:t xml:space="preserve"> </w:t>
            </w:r>
            <w:r w:rsidR="007C59D4" w:rsidRPr="0026329D">
              <w:rPr>
                <w:sz w:val="20"/>
                <w:szCs w:val="20"/>
                <w:lang w:val="en-CA"/>
              </w:rPr>
              <w:t>27</w:t>
            </w:r>
          </w:p>
        </w:tc>
      </w:tr>
      <w:tr w:rsidR="001D235F" w:rsidRPr="0026329D" w:rsidTr="006E1523">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C41DE6">
            <w:pPr>
              <w:widowControl w:val="0"/>
              <w:jc w:val="left"/>
              <w:rPr>
                <w:sz w:val="20"/>
                <w:szCs w:val="20"/>
                <w:lang w:val="en-CA"/>
              </w:rPr>
            </w:pPr>
            <w:r w:rsidRPr="0026329D">
              <w:rPr>
                <w:sz w:val="20"/>
                <w:szCs w:val="20"/>
                <w:lang w:val="en-CA"/>
              </w:rPr>
              <w:t xml:space="preserve">Overview of </w:t>
            </w:r>
            <w:r w:rsidR="00A81DEE" w:rsidRPr="0026329D">
              <w:rPr>
                <w:sz w:val="20"/>
                <w:szCs w:val="20"/>
                <w:lang w:val="en-CA"/>
              </w:rPr>
              <w:t>stage </w:t>
            </w:r>
            <w:r w:rsidRPr="0026329D">
              <w:rPr>
                <w:sz w:val="20"/>
                <w:szCs w:val="20"/>
                <w:lang w:val="en-CA"/>
              </w:rPr>
              <w:t xml:space="preserve">I including a summary of the status of implementation of the six sector plans </w:t>
            </w:r>
          </w:p>
        </w:tc>
        <w:tc>
          <w:tcPr>
            <w:tcW w:w="1318" w:type="dxa"/>
          </w:tcPr>
          <w:p w:rsidR="001D235F" w:rsidRPr="0026329D" w:rsidRDefault="00C41DE6" w:rsidP="006E1523">
            <w:pPr>
              <w:widowControl w:val="0"/>
              <w:jc w:val="center"/>
              <w:rPr>
                <w:sz w:val="20"/>
                <w:szCs w:val="20"/>
                <w:lang w:val="en-CA"/>
              </w:rPr>
            </w:pPr>
            <w:r w:rsidRPr="0026329D">
              <w:rPr>
                <w:sz w:val="20"/>
                <w:szCs w:val="20"/>
                <w:lang w:val="en-CA"/>
              </w:rPr>
              <w:t>3</w:t>
            </w:r>
            <w:r w:rsidR="001D235F" w:rsidRPr="0026329D">
              <w:rPr>
                <w:sz w:val="20"/>
                <w:szCs w:val="20"/>
                <w:lang w:val="en-CA"/>
              </w:rPr>
              <w:t xml:space="preserve"> </w:t>
            </w:r>
            <w:r w:rsidR="00C263C3" w:rsidRPr="0026329D">
              <w:rPr>
                <w:sz w:val="20"/>
                <w:szCs w:val="20"/>
                <w:lang w:val="en-CA"/>
              </w:rPr>
              <w:t>–</w:t>
            </w:r>
            <w:r w:rsidR="001D235F" w:rsidRPr="0026329D">
              <w:rPr>
                <w:sz w:val="20"/>
                <w:szCs w:val="20"/>
                <w:lang w:val="en-CA"/>
              </w:rPr>
              <w:t xml:space="preserve"> </w:t>
            </w:r>
            <w:r w:rsidR="00C263C3" w:rsidRPr="0026329D">
              <w:rPr>
                <w:sz w:val="20"/>
                <w:szCs w:val="20"/>
                <w:lang w:val="en-CA"/>
              </w:rPr>
              <w:t>1</w:t>
            </w:r>
            <w:r w:rsidRPr="0026329D">
              <w:rPr>
                <w:sz w:val="20"/>
                <w:szCs w:val="20"/>
                <w:lang w:val="en-CA"/>
              </w:rPr>
              <w:t>4</w:t>
            </w:r>
          </w:p>
        </w:tc>
      </w:tr>
      <w:tr w:rsidR="00C263C3" w:rsidRPr="0026329D" w:rsidTr="001D235F">
        <w:tc>
          <w:tcPr>
            <w:tcW w:w="715" w:type="dxa"/>
          </w:tcPr>
          <w:p w:rsidR="00C263C3" w:rsidRPr="0026329D" w:rsidRDefault="00C263C3" w:rsidP="001D235F">
            <w:pPr>
              <w:widowControl w:val="0"/>
              <w:rPr>
                <w:sz w:val="20"/>
                <w:szCs w:val="20"/>
                <w:lang w:val="en-CA"/>
              </w:rPr>
            </w:pPr>
          </w:p>
        </w:tc>
        <w:tc>
          <w:tcPr>
            <w:tcW w:w="6575" w:type="dxa"/>
          </w:tcPr>
          <w:p w:rsidR="00C263C3" w:rsidRPr="0026329D" w:rsidRDefault="00C263C3" w:rsidP="001D235F">
            <w:pPr>
              <w:widowControl w:val="0"/>
              <w:jc w:val="left"/>
              <w:rPr>
                <w:sz w:val="20"/>
                <w:szCs w:val="20"/>
                <w:lang w:val="en-CA"/>
              </w:rPr>
            </w:pPr>
            <w:r w:rsidRPr="0026329D">
              <w:rPr>
                <w:sz w:val="20"/>
                <w:szCs w:val="20"/>
                <w:lang w:val="en-CA"/>
              </w:rPr>
              <w:t>Recommendation</w:t>
            </w:r>
          </w:p>
        </w:tc>
        <w:tc>
          <w:tcPr>
            <w:tcW w:w="1318" w:type="dxa"/>
            <w:vAlign w:val="center"/>
          </w:tcPr>
          <w:p w:rsidR="00C263C3" w:rsidRPr="0026329D" w:rsidRDefault="00C263C3" w:rsidP="00C41DE6">
            <w:pPr>
              <w:widowControl w:val="0"/>
              <w:jc w:val="center"/>
              <w:rPr>
                <w:sz w:val="20"/>
                <w:szCs w:val="20"/>
                <w:lang w:val="en-CA"/>
              </w:rPr>
            </w:pPr>
            <w:r w:rsidRPr="0026329D">
              <w:rPr>
                <w:sz w:val="20"/>
                <w:szCs w:val="20"/>
                <w:lang w:val="en-CA"/>
              </w:rPr>
              <w:t>1</w:t>
            </w:r>
            <w:r w:rsidR="00C41DE6" w:rsidRPr="0026329D">
              <w:rPr>
                <w:sz w:val="20"/>
                <w:szCs w:val="20"/>
                <w:lang w:val="en-CA"/>
              </w:rPr>
              <w:t>5</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Progress report on </w:t>
            </w:r>
            <w:r w:rsidR="00A81DEE" w:rsidRPr="0026329D">
              <w:rPr>
                <w:sz w:val="20"/>
                <w:szCs w:val="20"/>
                <w:lang w:val="en-CA"/>
              </w:rPr>
              <w:t>stage </w:t>
            </w:r>
            <w:r w:rsidRPr="0026329D">
              <w:rPr>
                <w:sz w:val="20"/>
                <w:szCs w:val="20"/>
                <w:lang w:val="en-CA"/>
              </w:rPr>
              <w:t>I of the room air</w:t>
            </w:r>
            <w:r w:rsidRPr="0026329D">
              <w:rPr>
                <w:sz w:val="20"/>
                <w:szCs w:val="20"/>
                <w:lang w:val="en-CA"/>
              </w:rPr>
              <w:noBreakHyphen/>
              <w:t xml:space="preserve">conditioning (RAC) sector plan </w:t>
            </w:r>
          </w:p>
        </w:tc>
        <w:tc>
          <w:tcPr>
            <w:tcW w:w="1318" w:type="dxa"/>
          </w:tcPr>
          <w:p w:rsidR="001D235F" w:rsidRPr="0026329D" w:rsidRDefault="00C263C3" w:rsidP="00FD34FB">
            <w:pPr>
              <w:widowControl w:val="0"/>
              <w:jc w:val="center"/>
              <w:rPr>
                <w:sz w:val="20"/>
                <w:szCs w:val="20"/>
                <w:lang w:val="en-CA"/>
              </w:rPr>
            </w:pPr>
            <w:r w:rsidRPr="0026329D">
              <w:rPr>
                <w:sz w:val="20"/>
                <w:szCs w:val="20"/>
                <w:lang w:val="en-CA"/>
              </w:rPr>
              <w:t>1</w:t>
            </w:r>
            <w:r w:rsidR="00FD34FB" w:rsidRPr="0026329D">
              <w:rPr>
                <w:sz w:val="20"/>
                <w:szCs w:val="20"/>
                <w:lang w:val="en-CA"/>
              </w:rPr>
              <w:t>6</w:t>
            </w:r>
            <w:r w:rsidR="001D235F" w:rsidRPr="0026329D">
              <w:rPr>
                <w:sz w:val="20"/>
                <w:szCs w:val="20"/>
                <w:lang w:val="en-CA"/>
              </w:rPr>
              <w:t xml:space="preserve"> </w:t>
            </w:r>
            <w:r w:rsidRPr="0026329D">
              <w:rPr>
                <w:sz w:val="20"/>
                <w:szCs w:val="20"/>
                <w:lang w:val="en-CA"/>
              </w:rPr>
              <w:t>–</w:t>
            </w:r>
            <w:r w:rsidR="001D235F" w:rsidRPr="0026329D">
              <w:rPr>
                <w:sz w:val="20"/>
                <w:szCs w:val="20"/>
                <w:lang w:val="en-CA"/>
              </w:rPr>
              <w:t xml:space="preserve"> </w:t>
            </w:r>
            <w:r w:rsidR="00FD34FB" w:rsidRPr="0026329D">
              <w:rPr>
                <w:sz w:val="20"/>
                <w:szCs w:val="20"/>
                <w:lang w:val="en-CA"/>
              </w:rPr>
              <w:t>26</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Recommendation </w:t>
            </w:r>
          </w:p>
        </w:tc>
        <w:tc>
          <w:tcPr>
            <w:tcW w:w="1318" w:type="dxa"/>
          </w:tcPr>
          <w:p w:rsidR="001D235F" w:rsidRPr="0026329D" w:rsidRDefault="00C263C3" w:rsidP="00FD34FB">
            <w:pPr>
              <w:widowControl w:val="0"/>
              <w:jc w:val="center"/>
              <w:rPr>
                <w:sz w:val="20"/>
                <w:szCs w:val="20"/>
                <w:lang w:val="en-CA"/>
              </w:rPr>
            </w:pPr>
            <w:r w:rsidRPr="0026329D">
              <w:rPr>
                <w:sz w:val="20"/>
                <w:szCs w:val="20"/>
                <w:lang w:val="en-CA"/>
              </w:rPr>
              <w:t>2</w:t>
            </w:r>
            <w:r w:rsidR="00FD34FB" w:rsidRPr="0026329D">
              <w:rPr>
                <w:sz w:val="20"/>
                <w:szCs w:val="20"/>
                <w:lang w:val="en-CA"/>
              </w:rPr>
              <w:t>7</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1D235F" w:rsidRPr="0026329D" w:rsidTr="001D235F">
        <w:tc>
          <w:tcPr>
            <w:tcW w:w="715" w:type="dxa"/>
          </w:tcPr>
          <w:p w:rsidR="001D235F" w:rsidRPr="0026329D" w:rsidRDefault="001D235F" w:rsidP="001D235F">
            <w:pPr>
              <w:widowControl w:val="0"/>
              <w:rPr>
                <w:b/>
                <w:sz w:val="20"/>
                <w:szCs w:val="20"/>
                <w:lang w:val="en-CA"/>
              </w:rPr>
            </w:pPr>
            <w:r w:rsidRPr="0026329D">
              <w:rPr>
                <w:b/>
                <w:sz w:val="20"/>
                <w:szCs w:val="20"/>
                <w:lang w:val="en-CA"/>
              </w:rPr>
              <w:t xml:space="preserve">II </w:t>
            </w:r>
          </w:p>
        </w:tc>
        <w:tc>
          <w:tcPr>
            <w:tcW w:w="6575" w:type="dxa"/>
          </w:tcPr>
          <w:p w:rsidR="001D235F" w:rsidRPr="0026329D" w:rsidRDefault="00A81DEE" w:rsidP="001D235F">
            <w:pPr>
              <w:widowControl w:val="0"/>
              <w:jc w:val="left"/>
              <w:rPr>
                <w:b/>
                <w:sz w:val="20"/>
                <w:szCs w:val="20"/>
                <w:lang w:val="en-CA"/>
              </w:rPr>
            </w:pPr>
            <w:r w:rsidRPr="0026329D">
              <w:rPr>
                <w:b/>
                <w:sz w:val="20"/>
                <w:szCs w:val="20"/>
                <w:lang w:val="en-CA"/>
              </w:rPr>
              <w:t>Stage </w:t>
            </w:r>
            <w:r w:rsidR="001D235F" w:rsidRPr="0026329D">
              <w:rPr>
                <w:b/>
                <w:sz w:val="20"/>
                <w:szCs w:val="20"/>
                <w:lang w:val="en-CA"/>
              </w:rPr>
              <w:t>I</w:t>
            </w:r>
            <w:r w:rsidR="002D5B54" w:rsidRPr="0026329D">
              <w:rPr>
                <w:b/>
                <w:sz w:val="20"/>
                <w:szCs w:val="20"/>
                <w:lang w:val="en-CA"/>
              </w:rPr>
              <w:t>I</w:t>
            </w:r>
            <w:r w:rsidR="001D235F" w:rsidRPr="0026329D">
              <w:rPr>
                <w:b/>
                <w:sz w:val="20"/>
                <w:szCs w:val="20"/>
                <w:lang w:val="en-CA"/>
              </w:rPr>
              <w:t xml:space="preserve"> of the HCFC phase-out management plan </w:t>
            </w:r>
          </w:p>
        </w:tc>
        <w:tc>
          <w:tcPr>
            <w:tcW w:w="1318" w:type="dxa"/>
          </w:tcPr>
          <w:p w:rsidR="001D235F" w:rsidRPr="0026329D" w:rsidRDefault="00340B70" w:rsidP="009749EE">
            <w:pPr>
              <w:widowControl w:val="0"/>
              <w:jc w:val="center"/>
              <w:rPr>
                <w:sz w:val="20"/>
                <w:szCs w:val="20"/>
                <w:lang w:val="en-CA"/>
              </w:rPr>
            </w:pPr>
            <w:r w:rsidRPr="0026329D">
              <w:rPr>
                <w:sz w:val="20"/>
                <w:szCs w:val="20"/>
                <w:lang w:val="en-CA"/>
              </w:rPr>
              <w:t>2</w:t>
            </w:r>
            <w:r w:rsidR="009749EE" w:rsidRPr="0026329D">
              <w:rPr>
                <w:sz w:val="20"/>
                <w:szCs w:val="20"/>
                <w:lang w:val="en-CA"/>
              </w:rPr>
              <w:t>8</w:t>
            </w:r>
            <w:r w:rsidR="00B67956" w:rsidRPr="0026329D">
              <w:rPr>
                <w:sz w:val="20"/>
                <w:szCs w:val="20"/>
                <w:lang w:val="en-CA"/>
              </w:rPr>
              <w:t xml:space="preserve"> </w:t>
            </w:r>
            <w:r w:rsidR="006E1523">
              <w:rPr>
                <w:sz w:val="20"/>
                <w:szCs w:val="20"/>
                <w:lang w:val="en-CA"/>
              </w:rPr>
              <w:t>–</w:t>
            </w:r>
            <w:r w:rsidR="00B67956" w:rsidRPr="0026329D">
              <w:rPr>
                <w:sz w:val="20"/>
                <w:szCs w:val="20"/>
                <w:lang w:val="en-CA"/>
              </w:rPr>
              <w:t xml:space="preserve"> </w:t>
            </w:r>
            <w:r w:rsidR="007C59D4" w:rsidRPr="0026329D">
              <w:rPr>
                <w:sz w:val="20"/>
                <w:szCs w:val="20"/>
                <w:lang w:val="en-CA"/>
              </w:rPr>
              <w:t>51</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C41DE6">
            <w:pPr>
              <w:widowControl w:val="0"/>
              <w:jc w:val="left"/>
              <w:rPr>
                <w:sz w:val="20"/>
                <w:szCs w:val="20"/>
                <w:lang w:val="en-CA"/>
              </w:rPr>
            </w:pPr>
            <w:r w:rsidRPr="0026329D">
              <w:rPr>
                <w:sz w:val="20"/>
                <w:szCs w:val="20"/>
                <w:lang w:val="en-CA"/>
              </w:rPr>
              <w:t xml:space="preserve">Overview of </w:t>
            </w:r>
            <w:r w:rsidR="00C41DE6" w:rsidRPr="0026329D">
              <w:rPr>
                <w:sz w:val="20"/>
                <w:szCs w:val="20"/>
                <w:lang w:val="en-CA"/>
              </w:rPr>
              <w:t xml:space="preserve">the overarching strategy for </w:t>
            </w:r>
            <w:r w:rsidR="00A81DEE" w:rsidRPr="0026329D">
              <w:rPr>
                <w:sz w:val="20"/>
                <w:szCs w:val="20"/>
                <w:lang w:val="en-CA"/>
              </w:rPr>
              <w:t>stage </w:t>
            </w:r>
            <w:r w:rsidRPr="0026329D">
              <w:rPr>
                <w:sz w:val="20"/>
                <w:szCs w:val="20"/>
                <w:lang w:val="en-CA"/>
              </w:rPr>
              <w:t>II</w:t>
            </w:r>
          </w:p>
        </w:tc>
        <w:tc>
          <w:tcPr>
            <w:tcW w:w="1318" w:type="dxa"/>
          </w:tcPr>
          <w:p w:rsidR="001D235F" w:rsidRPr="0026329D" w:rsidRDefault="00C41DE6" w:rsidP="00FC6C7C">
            <w:pPr>
              <w:widowControl w:val="0"/>
              <w:jc w:val="center"/>
              <w:rPr>
                <w:sz w:val="20"/>
                <w:szCs w:val="20"/>
                <w:lang w:val="en-CA"/>
              </w:rPr>
            </w:pPr>
            <w:r w:rsidRPr="0026329D">
              <w:rPr>
                <w:sz w:val="20"/>
                <w:szCs w:val="20"/>
                <w:lang w:val="en-CA"/>
              </w:rPr>
              <w:t>2</w:t>
            </w:r>
            <w:r w:rsidR="00FC6C7C" w:rsidRPr="0026329D">
              <w:rPr>
                <w:sz w:val="20"/>
                <w:szCs w:val="20"/>
                <w:lang w:val="en-CA"/>
              </w:rPr>
              <w:t>8</w:t>
            </w:r>
            <w:r w:rsidR="001D235F" w:rsidRPr="0026329D">
              <w:rPr>
                <w:sz w:val="20"/>
                <w:szCs w:val="20"/>
                <w:lang w:val="en-CA"/>
              </w:rPr>
              <w:t xml:space="preserve"> </w:t>
            </w:r>
            <w:r w:rsidR="00FC6C7C" w:rsidRPr="0026329D">
              <w:rPr>
                <w:sz w:val="20"/>
                <w:szCs w:val="20"/>
                <w:lang w:val="en-CA"/>
              </w:rPr>
              <w:t>–</w:t>
            </w:r>
            <w:r w:rsidR="001D235F" w:rsidRPr="0026329D">
              <w:rPr>
                <w:sz w:val="20"/>
                <w:szCs w:val="20"/>
                <w:lang w:val="en-CA"/>
              </w:rPr>
              <w:t xml:space="preserve"> </w:t>
            </w:r>
            <w:r w:rsidRPr="0026329D">
              <w:rPr>
                <w:sz w:val="20"/>
                <w:szCs w:val="20"/>
                <w:lang w:val="en-CA"/>
              </w:rPr>
              <w:t>3</w:t>
            </w:r>
            <w:r w:rsidR="00FC6C7C" w:rsidRPr="0026329D">
              <w:rPr>
                <w:sz w:val="20"/>
                <w:szCs w:val="20"/>
                <w:lang w:val="en-CA"/>
              </w:rPr>
              <w:t>0</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C41DE6">
            <w:pPr>
              <w:widowControl w:val="0"/>
              <w:jc w:val="left"/>
              <w:rPr>
                <w:sz w:val="20"/>
                <w:szCs w:val="20"/>
                <w:lang w:val="en-CA"/>
              </w:rPr>
            </w:pPr>
            <w:r w:rsidRPr="0026329D">
              <w:rPr>
                <w:sz w:val="20"/>
                <w:szCs w:val="20"/>
                <w:lang w:val="en-CA"/>
              </w:rPr>
              <w:t>Adjustment</w:t>
            </w:r>
            <w:r w:rsidR="00C41DE6" w:rsidRPr="0026329D">
              <w:rPr>
                <w:sz w:val="20"/>
                <w:szCs w:val="20"/>
                <w:lang w:val="en-CA"/>
              </w:rPr>
              <w:t>s</w:t>
            </w:r>
            <w:r w:rsidRPr="0026329D">
              <w:rPr>
                <w:sz w:val="20"/>
                <w:szCs w:val="20"/>
                <w:lang w:val="en-CA"/>
              </w:rPr>
              <w:t xml:space="preserve"> to </w:t>
            </w:r>
            <w:r w:rsidR="00A81DEE" w:rsidRPr="0026329D">
              <w:rPr>
                <w:sz w:val="20"/>
                <w:szCs w:val="20"/>
                <w:lang w:val="en-CA"/>
              </w:rPr>
              <w:t>stage </w:t>
            </w:r>
            <w:r w:rsidRPr="0026329D">
              <w:rPr>
                <w:sz w:val="20"/>
                <w:szCs w:val="20"/>
                <w:lang w:val="en-CA"/>
              </w:rPr>
              <w:t>II decided at the 84</w:t>
            </w:r>
            <w:r w:rsidRPr="0026329D">
              <w:rPr>
                <w:sz w:val="20"/>
                <w:szCs w:val="20"/>
                <w:vertAlign w:val="superscript"/>
                <w:lang w:val="en-CA"/>
              </w:rPr>
              <w:t>th</w:t>
            </w:r>
            <w:r w:rsidR="009B3FC3" w:rsidRPr="0026329D">
              <w:rPr>
                <w:sz w:val="20"/>
                <w:szCs w:val="20"/>
                <w:lang w:val="en-CA"/>
              </w:rPr>
              <w:t> meeting</w:t>
            </w:r>
            <w:r w:rsidRPr="0026329D">
              <w:rPr>
                <w:sz w:val="20"/>
                <w:szCs w:val="20"/>
                <w:lang w:val="en-CA"/>
              </w:rPr>
              <w:t xml:space="preserve">, including amounts of HCFC to be phased out and associated funding </w:t>
            </w:r>
          </w:p>
        </w:tc>
        <w:tc>
          <w:tcPr>
            <w:tcW w:w="1318" w:type="dxa"/>
          </w:tcPr>
          <w:p w:rsidR="001D235F" w:rsidRPr="0026329D" w:rsidRDefault="00C41DE6" w:rsidP="001C1CB5">
            <w:pPr>
              <w:widowControl w:val="0"/>
              <w:jc w:val="center"/>
              <w:rPr>
                <w:sz w:val="20"/>
                <w:szCs w:val="20"/>
                <w:lang w:val="en-CA"/>
              </w:rPr>
            </w:pPr>
            <w:r w:rsidRPr="0026329D">
              <w:rPr>
                <w:sz w:val="20"/>
                <w:szCs w:val="20"/>
                <w:lang w:val="en-CA"/>
              </w:rPr>
              <w:t>3</w:t>
            </w:r>
            <w:r w:rsidR="00FC6C7C" w:rsidRPr="0026329D">
              <w:rPr>
                <w:sz w:val="20"/>
                <w:szCs w:val="20"/>
                <w:lang w:val="en-CA"/>
              </w:rPr>
              <w:t>1</w:t>
            </w:r>
            <w:r w:rsidR="001D235F" w:rsidRPr="0026329D">
              <w:rPr>
                <w:sz w:val="20"/>
                <w:szCs w:val="20"/>
                <w:lang w:val="en-CA"/>
              </w:rPr>
              <w:t xml:space="preserve"> </w:t>
            </w:r>
            <w:r w:rsidR="001C1CB5" w:rsidRPr="0026329D">
              <w:rPr>
                <w:sz w:val="20"/>
                <w:szCs w:val="20"/>
                <w:lang w:val="en-CA"/>
              </w:rPr>
              <w:t>–</w:t>
            </w:r>
            <w:r w:rsidR="001D235F" w:rsidRPr="0026329D">
              <w:rPr>
                <w:sz w:val="20"/>
                <w:szCs w:val="20"/>
                <w:lang w:val="en-CA"/>
              </w:rPr>
              <w:t xml:space="preserve"> </w:t>
            </w:r>
            <w:r w:rsidR="001C1CB5" w:rsidRPr="0026329D">
              <w:rPr>
                <w:sz w:val="20"/>
                <w:szCs w:val="20"/>
                <w:lang w:val="en-CA"/>
              </w:rPr>
              <w:t>32</w:t>
            </w:r>
          </w:p>
        </w:tc>
      </w:tr>
      <w:tr w:rsidR="001C1CB5" w:rsidRPr="0026329D" w:rsidTr="001D235F">
        <w:tc>
          <w:tcPr>
            <w:tcW w:w="715" w:type="dxa"/>
          </w:tcPr>
          <w:p w:rsidR="001C1CB5" w:rsidRPr="0026329D" w:rsidRDefault="001C1CB5" w:rsidP="001D235F">
            <w:pPr>
              <w:widowControl w:val="0"/>
              <w:rPr>
                <w:sz w:val="20"/>
                <w:szCs w:val="20"/>
                <w:lang w:val="en-CA"/>
              </w:rPr>
            </w:pPr>
          </w:p>
        </w:tc>
        <w:tc>
          <w:tcPr>
            <w:tcW w:w="6575" w:type="dxa"/>
          </w:tcPr>
          <w:p w:rsidR="001C1CB5" w:rsidRPr="0026329D" w:rsidRDefault="001C1CB5" w:rsidP="00C41DE6">
            <w:pPr>
              <w:widowControl w:val="0"/>
              <w:jc w:val="left"/>
              <w:rPr>
                <w:sz w:val="20"/>
                <w:szCs w:val="20"/>
                <w:lang w:val="en-CA"/>
              </w:rPr>
            </w:pPr>
            <w:r w:rsidRPr="0026329D">
              <w:rPr>
                <w:sz w:val="20"/>
                <w:szCs w:val="20"/>
                <w:lang w:val="en-CA"/>
              </w:rPr>
              <w:t xml:space="preserve">Overview of the revised plans of action for the sector plans of </w:t>
            </w:r>
            <w:r w:rsidR="00A81DEE" w:rsidRPr="0026329D">
              <w:rPr>
                <w:sz w:val="20"/>
                <w:szCs w:val="20"/>
                <w:lang w:val="en-CA"/>
              </w:rPr>
              <w:t>stage </w:t>
            </w:r>
            <w:r w:rsidR="0026329D">
              <w:rPr>
                <w:sz w:val="20"/>
                <w:szCs w:val="20"/>
                <w:lang w:val="en-CA"/>
              </w:rPr>
              <w:t>II (2021</w:t>
            </w:r>
            <w:r w:rsidR="0026329D">
              <w:rPr>
                <w:sz w:val="20"/>
                <w:szCs w:val="20"/>
                <w:lang w:val="en-CA"/>
              </w:rPr>
              <w:noBreakHyphen/>
            </w:r>
            <w:r w:rsidRPr="0026329D">
              <w:rPr>
                <w:sz w:val="20"/>
                <w:szCs w:val="20"/>
                <w:lang w:val="en-CA"/>
              </w:rPr>
              <w:t>2026)</w:t>
            </w:r>
          </w:p>
        </w:tc>
        <w:tc>
          <w:tcPr>
            <w:tcW w:w="1318" w:type="dxa"/>
          </w:tcPr>
          <w:p w:rsidR="001C1CB5" w:rsidRPr="0026329D" w:rsidRDefault="001C1CB5" w:rsidP="001C1CB5">
            <w:pPr>
              <w:widowControl w:val="0"/>
              <w:jc w:val="center"/>
              <w:rPr>
                <w:sz w:val="20"/>
                <w:szCs w:val="20"/>
                <w:lang w:val="en-CA"/>
              </w:rPr>
            </w:pPr>
            <w:r w:rsidRPr="0026329D">
              <w:rPr>
                <w:sz w:val="20"/>
                <w:szCs w:val="20"/>
                <w:lang w:val="en-CA"/>
              </w:rPr>
              <w:t xml:space="preserve">33 </w:t>
            </w:r>
            <w:r w:rsidR="006E1523">
              <w:rPr>
                <w:sz w:val="20"/>
                <w:szCs w:val="20"/>
                <w:lang w:val="en-CA"/>
              </w:rPr>
              <w:t>–</w:t>
            </w:r>
            <w:r w:rsidRPr="0026329D">
              <w:rPr>
                <w:sz w:val="20"/>
                <w:szCs w:val="20"/>
                <w:lang w:val="en-CA"/>
              </w:rPr>
              <w:t xml:space="preserve"> 42</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3A0843" w:rsidP="003A0843">
            <w:pPr>
              <w:widowControl w:val="0"/>
              <w:jc w:val="left"/>
              <w:rPr>
                <w:sz w:val="20"/>
                <w:szCs w:val="20"/>
                <w:lang w:val="en-CA"/>
              </w:rPr>
            </w:pPr>
            <w:r w:rsidRPr="0026329D">
              <w:rPr>
                <w:sz w:val="20"/>
                <w:szCs w:val="20"/>
                <w:lang w:val="en-CA"/>
              </w:rPr>
              <w:t>Draft re</w:t>
            </w:r>
            <w:r w:rsidR="001D235F" w:rsidRPr="0026329D">
              <w:rPr>
                <w:sz w:val="20"/>
                <w:szCs w:val="20"/>
                <w:lang w:val="en-CA"/>
              </w:rPr>
              <w:t>vised</w:t>
            </w:r>
            <w:r w:rsidR="00C41DE6" w:rsidRPr="0026329D">
              <w:rPr>
                <w:sz w:val="20"/>
                <w:szCs w:val="20"/>
                <w:lang w:val="en-CA"/>
              </w:rPr>
              <w:t xml:space="preserve"> </w:t>
            </w:r>
            <w:r w:rsidR="001D235F" w:rsidRPr="0026329D">
              <w:rPr>
                <w:sz w:val="20"/>
                <w:szCs w:val="20"/>
                <w:lang w:val="en-CA"/>
              </w:rPr>
              <w:t xml:space="preserve">Agreement for </w:t>
            </w:r>
            <w:r w:rsidR="00A81DEE" w:rsidRPr="0026329D">
              <w:rPr>
                <w:sz w:val="20"/>
                <w:szCs w:val="20"/>
                <w:lang w:val="en-CA"/>
              </w:rPr>
              <w:t>stage </w:t>
            </w:r>
            <w:r w:rsidR="001D235F" w:rsidRPr="0026329D">
              <w:rPr>
                <w:sz w:val="20"/>
                <w:szCs w:val="20"/>
                <w:lang w:val="en-CA"/>
              </w:rPr>
              <w:t xml:space="preserve">II of the HPMP </w:t>
            </w:r>
          </w:p>
        </w:tc>
        <w:tc>
          <w:tcPr>
            <w:tcW w:w="1318" w:type="dxa"/>
          </w:tcPr>
          <w:p w:rsidR="001D235F" w:rsidRPr="0026329D" w:rsidRDefault="001C1CB5" w:rsidP="00421B65">
            <w:pPr>
              <w:widowControl w:val="0"/>
              <w:jc w:val="center"/>
              <w:rPr>
                <w:sz w:val="20"/>
                <w:szCs w:val="20"/>
                <w:lang w:val="en-CA"/>
              </w:rPr>
            </w:pPr>
            <w:r w:rsidRPr="0026329D">
              <w:rPr>
                <w:sz w:val="20"/>
                <w:szCs w:val="20"/>
                <w:lang w:val="en-CA"/>
              </w:rPr>
              <w:t>43</w:t>
            </w:r>
            <w:r w:rsidR="001D235F" w:rsidRPr="0026329D">
              <w:rPr>
                <w:sz w:val="20"/>
                <w:szCs w:val="20"/>
                <w:lang w:val="en-CA"/>
              </w:rPr>
              <w:t xml:space="preserve"> </w:t>
            </w:r>
            <w:r w:rsidR="006E1523">
              <w:rPr>
                <w:sz w:val="20"/>
                <w:szCs w:val="20"/>
                <w:lang w:val="en-CA"/>
              </w:rPr>
              <w:t>–</w:t>
            </w:r>
            <w:r w:rsidR="001D235F" w:rsidRPr="0026329D">
              <w:rPr>
                <w:sz w:val="20"/>
                <w:szCs w:val="20"/>
                <w:lang w:val="en-CA"/>
              </w:rPr>
              <w:t xml:space="preserve"> </w:t>
            </w:r>
            <w:r w:rsidR="00421B65" w:rsidRPr="0026329D">
              <w:rPr>
                <w:sz w:val="20"/>
                <w:szCs w:val="20"/>
                <w:lang w:val="en-CA"/>
              </w:rPr>
              <w:t>45</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Secretariat’s comments </w:t>
            </w:r>
          </w:p>
        </w:tc>
        <w:tc>
          <w:tcPr>
            <w:tcW w:w="1318" w:type="dxa"/>
          </w:tcPr>
          <w:p w:rsidR="001D235F" w:rsidRPr="0026329D" w:rsidRDefault="00421B65" w:rsidP="00635DEC">
            <w:pPr>
              <w:widowControl w:val="0"/>
              <w:jc w:val="center"/>
              <w:rPr>
                <w:sz w:val="20"/>
                <w:szCs w:val="20"/>
                <w:lang w:val="en-CA"/>
              </w:rPr>
            </w:pPr>
            <w:r w:rsidRPr="0026329D">
              <w:rPr>
                <w:sz w:val="20"/>
                <w:szCs w:val="20"/>
                <w:lang w:val="en-CA"/>
              </w:rPr>
              <w:t>46</w:t>
            </w:r>
            <w:r w:rsidR="001D235F" w:rsidRPr="0026329D">
              <w:rPr>
                <w:sz w:val="20"/>
                <w:szCs w:val="20"/>
                <w:lang w:val="en-CA"/>
              </w:rPr>
              <w:t xml:space="preserve"> </w:t>
            </w:r>
            <w:r w:rsidR="006E1523">
              <w:rPr>
                <w:sz w:val="20"/>
                <w:szCs w:val="20"/>
                <w:lang w:val="en-CA"/>
              </w:rPr>
              <w:t>–</w:t>
            </w:r>
            <w:r w:rsidR="001D235F" w:rsidRPr="0026329D">
              <w:rPr>
                <w:sz w:val="20"/>
                <w:szCs w:val="20"/>
                <w:lang w:val="en-CA"/>
              </w:rPr>
              <w:t xml:space="preserve"> </w:t>
            </w:r>
            <w:r w:rsidR="00635DEC" w:rsidRPr="0026329D">
              <w:rPr>
                <w:sz w:val="20"/>
                <w:szCs w:val="20"/>
                <w:lang w:val="en-CA"/>
              </w:rPr>
              <w:t>50</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Recommendation </w:t>
            </w:r>
          </w:p>
        </w:tc>
        <w:tc>
          <w:tcPr>
            <w:tcW w:w="1318" w:type="dxa"/>
          </w:tcPr>
          <w:p w:rsidR="001D235F" w:rsidRPr="0026329D" w:rsidRDefault="00635DEC" w:rsidP="001D235F">
            <w:pPr>
              <w:widowControl w:val="0"/>
              <w:jc w:val="center"/>
              <w:rPr>
                <w:sz w:val="20"/>
                <w:szCs w:val="20"/>
                <w:lang w:val="en-CA"/>
              </w:rPr>
            </w:pPr>
            <w:r w:rsidRPr="0026329D">
              <w:rPr>
                <w:sz w:val="20"/>
                <w:szCs w:val="20"/>
                <w:lang w:val="en-CA"/>
              </w:rPr>
              <w:t>51</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5534CA" w:rsidRPr="0026329D" w:rsidTr="005534CA">
        <w:tc>
          <w:tcPr>
            <w:tcW w:w="715" w:type="dxa"/>
          </w:tcPr>
          <w:p w:rsidR="005534CA" w:rsidRPr="0026329D" w:rsidRDefault="005534CA" w:rsidP="005534CA">
            <w:pPr>
              <w:widowControl w:val="0"/>
              <w:rPr>
                <w:b/>
                <w:sz w:val="20"/>
                <w:szCs w:val="20"/>
                <w:lang w:val="en-CA"/>
              </w:rPr>
            </w:pPr>
            <w:r w:rsidRPr="0026329D">
              <w:rPr>
                <w:b/>
                <w:sz w:val="20"/>
                <w:szCs w:val="20"/>
                <w:lang w:val="en-CA"/>
              </w:rPr>
              <w:t xml:space="preserve">III </w:t>
            </w:r>
          </w:p>
        </w:tc>
        <w:tc>
          <w:tcPr>
            <w:tcW w:w="6575" w:type="dxa"/>
          </w:tcPr>
          <w:p w:rsidR="005534CA" w:rsidRPr="0026329D" w:rsidRDefault="005534CA" w:rsidP="005534CA">
            <w:pPr>
              <w:widowControl w:val="0"/>
              <w:rPr>
                <w:sz w:val="20"/>
                <w:szCs w:val="20"/>
                <w:lang w:val="en-CA"/>
              </w:rPr>
            </w:pPr>
            <w:r w:rsidRPr="0026329D">
              <w:rPr>
                <w:b/>
                <w:sz w:val="20"/>
                <w:szCs w:val="20"/>
                <w:lang w:val="en-CA"/>
              </w:rPr>
              <w:t xml:space="preserve">Revised sector plans for stage II of the HPMP for China </w:t>
            </w:r>
          </w:p>
        </w:tc>
        <w:tc>
          <w:tcPr>
            <w:tcW w:w="1318" w:type="dxa"/>
          </w:tcPr>
          <w:p w:rsidR="005534CA" w:rsidRPr="0026329D" w:rsidRDefault="005534CA" w:rsidP="005534CA">
            <w:pPr>
              <w:widowControl w:val="0"/>
              <w:jc w:val="center"/>
              <w:rPr>
                <w:sz w:val="20"/>
                <w:szCs w:val="20"/>
                <w:lang w:val="en-CA"/>
              </w:rPr>
            </w:pPr>
            <w:r w:rsidRPr="0026329D">
              <w:rPr>
                <w:sz w:val="20"/>
                <w:szCs w:val="20"/>
                <w:lang w:val="en-CA"/>
              </w:rPr>
              <w:t xml:space="preserve">52 </w:t>
            </w:r>
            <w:r w:rsidR="006E1523">
              <w:rPr>
                <w:sz w:val="20"/>
                <w:szCs w:val="20"/>
                <w:lang w:val="en-CA"/>
              </w:rPr>
              <w:t>–</w:t>
            </w:r>
            <w:r w:rsidRPr="0026329D">
              <w:rPr>
                <w:sz w:val="20"/>
                <w:szCs w:val="20"/>
                <w:lang w:val="en-CA"/>
              </w:rPr>
              <w:t xml:space="preserve"> 25</w:t>
            </w:r>
            <w:r w:rsidR="00C84F9C">
              <w:rPr>
                <w:sz w:val="20"/>
                <w:szCs w:val="20"/>
                <w:lang w:val="en-CA"/>
              </w:rPr>
              <w:t>0</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u w:val="single"/>
                <w:lang w:val="en-CA"/>
              </w:rPr>
            </w:pPr>
            <w:r w:rsidRPr="0026329D">
              <w:rPr>
                <w:sz w:val="20"/>
                <w:szCs w:val="20"/>
                <w:u w:val="single"/>
                <w:lang w:val="en-CA"/>
              </w:rPr>
              <w:t>Revised extended industrial and commercial refrigeration sector plan (UNDP)</w:t>
            </w:r>
          </w:p>
        </w:tc>
        <w:tc>
          <w:tcPr>
            <w:tcW w:w="1318" w:type="dxa"/>
          </w:tcPr>
          <w:p w:rsidR="005534CA" w:rsidRPr="0026329D" w:rsidRDefault="005534CA" w:rsidP="00C4481B">
            <w:pPr>
              <w:widowControl w:val="0"/>
              <w:jc w:val="center"/>
              <w:rPr>
                <w:sz w:val="20"/>
                <w:szCs w:val="20"/>
                <w:lang w:val="en-CA"/>
              </w:rPr>
            </w:pPr>
            <w:r w:rsidRPr="0026329D">
              <w:rPr>
                <w:sz w:val="20"/>
                <w:szCs w:val="20"/>
                <w:lang w:val="en-CA"/>
              </w:rPr>
              <w:t xml:space="preserve">54 </w:t>
            </w:r>
            <w:r w:rsidR="006E1523">
              <w:rPr>
                <w:sz w:val="20"/>
                <w:szCs w:val="20"/>
                <w:lang w:val="en-CA"/>
              </w:rPr>
              <w:t>–</w:t>
            </w:r>
            <w:r w:rsidRPr="0026329D">
              <w:rPr>
                <w:sz w:val="20"/>
                <w:szCs w:val="20"/>
                <w:lang w:val="en-CA"/>
              </w:rPr>
              <w:t xml:space="preserve"> 10</w:t>
            </w:r>
            <w:r w:rsidR="00C4481B" w:rsidRPr="0026329D">
              <w:rPr>
                <w:sz w:val="20"/>
                <w:szCs w:val="20"/>
                <w:lang w:val="en-CA"/>
              </w:rPr>
              <w:t>0</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5534CA">
            <w:pPr>
              <w:widowControl w:val="0"/>
              <w:jc w:val="center"/>
              <w:rPr>
                <w:sz w:val="20"/>
                <w:szCs w:val="20"/>
                <w:lang w:val="en-CA"/>
              </w:rPr>
            </w:pPr>
            <w:r w:rsidRPr="0026329D">
              <w:rPr>
                <w:sz w:val="20"/>
                <w:szCs w:val="20"/>
                <w:lang w:val="en-CA"/>
              </w:rPr>
              <w:t xml:space="preserve">54 </w:t>
            </w:r>
            <w:r w:rsidR="006E1523">
              <w:rPr>
                <w:sz w:val="20"/>
                <w:szCs w:val="20"/>
                <w:lang w:val="en-CA"/>
              </w:rPr>
              <w:t>–</w:t>
            </w:r>
            <w:r w:rsidRPr="0026329D">
              <w:rPr>
                <w:sz w:val="20"/>
                <w:szCs w:val="20"/>
                <w:lang w:val="en-CA"/>
              </w:rPr>
              <w:t xml:space="preserve"> 87</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 xml:space="preserve">88 - </w:t>
            </w:r>
            <w:r w:rsidR="00BD437C" w:rsidRPr="0026329D">
              <w:rPr>
                <w:sz w:val="20"/>
                <w:szCs w:val="20"/>
                <w:lang w:val="en-CA"/>
              </w:rPr>
              <w:t>99</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10</w:t>
            </w:r>
            <w:r w:rsidR="00BD437C" w:rsidRPr="0026329D">
              <w:rPr>
                <w:sz w:val="20"/>
                <w:szCs w:val="20"/>
                <w:lang w:val="en-CA"/>
              </w:rPr>
              <w:t>0</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u w:val="single"/>
                <w:lang w:val="en-CA"/>
              </w:rPr>
            </w:pPr>
            <w:r w:rsidRPr="0026329D">
              <w:rPr>
                <w:sz w:val="20"/>
                <w:szCs w:val="20"/>
                <w:u w:val="single"/>
                <w:lang w:val="en-CA"/>
              </w:rPr>
              <w:t>Revised extended room air-conditioning manufacturing and heat pump water heaters sector plan (UNIDO, Austria, Italy)</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10</w:t>
            </w:r>
            <w:r w:rsidR="00BD437C" w:rsidRPr="0026329D">
              <w:rPr>
                <w:sz w:val="20"/>
                <w:szCs w:val="20"/>
                <w:lang w:val="en-CA"/>
              </w:rPr>
              <w:t>1</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13</w:t>
            </w:r>
            <w:r w:rsidR="00BD437C" w:rsidRPr="0026329D">
              <w:rPr>
                <w:sz w:val="20"/>
                <w:szCs w:val="20"/>
                <w:lang w:val="en-CA"/>
              </w:rPr>
              <w:t>8</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10</w:t>
            </w:r>
            <w:r w:rsidR="00BD437C" w:rsidRPr="0026329D">
              <w:rPr>
                <w:sz w:val="20"/>
                <w:szCs w:val="20"/>
                <w:lang w:val="en-CA"/>
              </w:rPr>
              <w:t>1</w:t>
            </w:r>
            <w:r w:rsidRPr="0026329D">
              <w:rPr>
                <w:sz w:val="20"/>
                <w:szCs w:val="20"/>
                <w:lang w:val="en-CA"/>
              </w:rPr>
              <w:t xml:space="preserve"> – 12</w:t>
            </w:r>
            <w:r w:rsidR="00BD437C" w:rsidRPr="0026329D">
              <w:rPr>
                <w:sz w:val="20"/>
                <w:szCs w:val="20"/>
                <w:lang w:val="en-CA"/>
              </w:rPr>
              <w:t>0</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12</w:t>
            </w:r>
            <w:r w:rsidR="00BD437C" w:rsidRPr="0026329D">
              <w:rPr>
                <w:sz w:val="20"/>
                <w:szCs w:val="20"/>
                <w:lang w:val="en-CA"/>
              </w:rPr>
              <w:t>1</w:t>
            </w:r>
            <w:r w:rsidRPr="0026329D">
              <w:rPr>
                <w:sz w:val="20"/>
                <w:szCs w:val="20"/>
                <w:lang w:val="en-CA"/>
              </w:rPr>
              <w:t xml:space="preserve"> - 13</w:t>
            </w:r>
            <w:r w:rsidR="00BD437C" w:rsidRPr="0026329D">
              <w:rPr>
                <w:sz w:val="20"/>
                <w:szCs w:val="20"/>
                <w:lang w:val="en-CA"/>
              </w:rPr>
              <w:t>7</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13</w:t>
            </w:r>
            <w:r w:rsidR="00BD437C" w:rsidRPr="0026329D">
              <w:rPr>
                <w:sz w:val="20"/>
                <w:szCs w:val="20"/>
                <w:lang w:val="en-CA"/>
              </w:rPr>
              <w:t>8</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u w:val="single"/>
                <w:lang w:val="en-CA"/>
              </w:rPr>
            </w:pPr>
            <w:r w:rsidRPr="0026329D">
              <w:rPr>
                <w:sz w:val="20"/>
                <w:szCs w:val="20"/>
                <w:u w:val="single"/>
                <w:lang w:val="en-CA"/>
              </w:rPr>
              <w:t>Revised extended refrigeration servicing sector plan and national enabling programme (UNEP, Germany, Japan)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w:t>
            </w:r>
            <w:r w:rsidR="00BD437C" w:rsidRPr="0026329D">
              <w:rPr>
                <w:sz w:val="20"/>
                <w:szCs w:val="20"/>
                <w:lang w:val="en-CA"/>
              </w:rPr>
              <w:t>39</w:t>
            </w:r>
            <w:r w:rsidRPr="0026329D">
              <w:rPr>
                <w:sz w:val="20"/>
                <w:szCs w:val="20"/>
                <w:lang w:val="en-CA"/>
              </w:rPr>
              <w:t xml:space="preserve"> - 15</w:t>
            </w:r>
            <w:r w:rsidR="00BD437C" w:rsidRPr="0026329D">
              <w:rPr>
                <w:sz w:val="20"/>
                <w:szCs w:val="20"/>
                <w:lang w:val="en-CA"/>
              </w:rPr>
              <w:t>7</w:t>
            </w:r>
            <w:r w:rsidRPr="0026329D">
              <w:rPr>
                <w:sz w:val="20"/>
                <w:szCs w:val="20"/>
                <w:lang w:val="en-CA"/>
              </w:rPr>
              <w:t xml:space="preserve"> </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w:t>
            </w:r>
            <w:r w:rsidR="00BD437C" w:rsidRPr="0026329D">
              <w:rPr>
                <w:sz w:val="20"/>
                <w:szCs w:val="20"/>
                <w:lang w:val="en-CA"/>
              </w:rPr>
              <w:t>39</w:t>
            </w:r>
            <w:r w:rsidRPr="0026329D">
              <w:rPr>
                <w:sz w:val="20"/>
                <w:szCs w:val="20"/>
                <w:lang w:val="en-CA"/>
              </w:rPr>
              <w:t xml:space="preserve"> - 15</w:t>
            </w:r>
            <w:r w:rsidR="00BD437C" w:rsidRPr="0026329D">
              <w:rPr>
                <w:sz w:val="20"/>
                <w:szCs w:val="20"/>
                <w:lang w:val="en-CA"/>
              </w:rPr>
              <w:t>2</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15</w:t>
            </w:r>
            <w:r w:rsidR="00BD437C" w:rsidRPr="0026329D">
              <w:rPr>
                <w:sz w:val="20"/>
                <w:szCs w:val="20"/>
                <w:lang w:val="en-CA"/>
              </w:rPr>
              <w:t>3</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15</w:t>
            </w:r>
            <w:r w:rsidR="00BD437C" w:rsidRPr="0026329D">
              <w:rPr>
                <w:sz w:val="20"/>
                <w:szCs w:val="20"/>
                <w:lang w:val="en-CA"/>
              </w:rPr>
              <w:t>6</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15</w:t>
            </w:r>
            <w:r w:rsidR="00BD437C" w:rsidRPr="0026329D">
              <w:rPr>
                <w:sz w:val="20"/>
                <w:szCs w:val="20"/>
                <w:lang w:val="en-CA"/>
              </w:rPr>
              <w:t>7</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u w:val="single"/>
                <w:lang w:val="en-CA"/>
              </w:rPr>
            </w:pPr>
            <w:r w:rsidRPr="0026329D">
              <w:rPr>
                <w:sz w:val="20"/>
                <w:szCs w:val="20"/>
                <w:u w:val="single"/>
                <w:lang w:val="en-CA"/>
              </w:rPr>
              <w:t>Revised extruded polystyrene (XPS) foam sector plan (UNIDO, Germany)</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15</w:t>
            </w:r>
            <w:r w:rsidR="00BD437C" w:rsidRPr="0026329D">
              <w:rPr>
                <w:sz w:val="20"/>
                <w:szCs w:val="20"/>
                <w:lang w:val="en-CA"/>
              </w:rPr>
              <w:t>8</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18</w:t>
            </w:r>
            <w:r w:rsidR="00BD437C" w:rsidRPr="0026329D">
              <w:rPr>
                <w:sz w:val="20"/>
                <w:szCs w:val="20"/>
                <w:lang w:val="en-CA"/>
              </w:rPr>
              <w:t>6</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15</w:t>
            </w:r>
            <w:r w:rsidR="00BD437C" w:rsidRPr="0026329D">
              <w:rPr>
                <w:sz w:val="20"/>
                <w:szCs w:val="20"/>
                <w:lang w:val="en-CA"/>
              </w:rPr>
              <w:t>8</w:t>
            </w:r>
            <w:r w:rsidRPr="0026329D">
              <w:rPr>
                <w:sz w:val="20"/>
                <w:szCs w:val="20"/>
                <w:lang w:val="en-CA"/>
              </w:rPr>
              <w:t xml:space="preserve"> - 18</w:t>
            </w:r>
            <w:r w:rsidR="00BD437C" w:rsidRPr="0026329D">
              <w:rPr>
                <w:sz w:val="20"/>
                <w:szCs w:val="20"/>
                <w:lang w:val="en-CA"/>
              </w:rPr>
              <w:t>1</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18</w:t>
            </w:r>
            <w:r w:rsidR="00BD437C" w:rsidRPr="0026329D">
              <w:rPr>
                <w:sz w:val="20"/>
                <w:szCs w:val="20"/>
                <w:lang w:val="en-CA"/>
              </w:rPr>
              <w:t>2</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18</w:t>
            </w:r>
            <w:r w:rsidR="00BD437C" w:rsidRPr="0026329D">
              <w:rPr>
                <w:sz w:val="20"/>
                <w:szCs w:val="20"/>
                <w:lang w:val="en-CA"/>
              </w:rPr>
              <w:t>5</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18</w:t>
            </w:r>
            <w:r w:rsidR="00BD437C" w:rsidRPr="0026329D">
              <w:rPr>
                <w:sz w:val="20"/>
                <w:szCs w:val="20"/>
                <w:lang w:val="en-CA"/>
              </w:rPr>
              <w:t>6</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Revised polyurethane (PU) foam sector plan (World Bank)</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18</w:t>
            </w:r>
            <w:r w:rsidR="00BD437C" w:rsidRPr="0026329D">
              <w:rPr>
                <w:sz w:val="20"/>
                <w:szCs w:val="20"/>
                <w:lang w:val="en-CA"/>
              </w:rPr>
              <w:t>7</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22</w:t>
            </w:r>
            <w:r w:rsidR="00BD437C" w:rsidRPr="0026329D">
              <w:rPr>
                <w:sz w:val="20"/>
                <w:szCs w:val="20"/>
                <w:lang w:val="en-CA"/>
              </w:rPr>
              <w:t>7</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18</w:t>
            </w:r>
            <w:r w:rsidR="00BD437C" w:rsidRPr="0026329D">
              <w:rPr>
                <w:sz w:val="20"/>
                <w:szCs w:val="20"/>
                <w:lang w:val="en-CA"/>
              </w:rPr>
              <w:t>7</w:t>
            </w:r>
            <w:r w:rsidRPr="0026329D">
              <w:rPr>
                <w:sz w:val="20"/>
                <w:szCs w:val="20"/>
                <w:lang w:val="en-CA"/>
              </w:rPr>
              <w:t xml:space="preserve"> - 21</w:t>
            </w:r>
            <w:r w:rsidR="00BD437C" w:rsidRPr="0026329D">
              <w:rPr>
                <w:sz w:val="20"/>
                <w:szCs w:val="20"/>
                <w:lang w:val="en-CA"/>
              </w:rPr>
              <w:t>8</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w:t>
            </w:r>
            <w:r w:rsidR="00BD437C" w:rsidRPr="0026329D">
              <w:rPr>
                <w:sz w:val="20"/>
                <w:szCs w:val="20"/>
                <w:lang w:val="en-CA"/>
              </w:rPr>
              <w:t>19</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22</w:t>
            </w:r>
            <w:r w:rsidR="00BD437C" w:rsidRPr="0026329D">
              <w:rPr>
                <w:sz w:val="20"/>
                <w:szCs w:val="20"/>
                <w:lang w:val="en-CA"/>
              </w:rPr>
              <w:t>6</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22</w:t>
            </w:r>
            <w:r w:rsidR="00BD437C" w:rsidRPr="0026329D">
              <w:rPr>
                <w:sz w:val="20"/>
                <w:szCs w:val="20"/>
                <w:lang w:val="en-CA"/>
              </w:rPr>
              <w:t>7</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u w:val="single"/>
                <w:lang w:val="en-CA"/>
              </w:rPr>
            </w:pPr>
            <w:r w:rsidRPr="0026329D">
              <w:rPr>
                <w:sz w:val="20"/>
                <w:szCs w:val="20"/>
                <w:u w:val="single"/>
                <w:lang w:val="en-CA"/>
              </w:rPr>
              <w:t>Revised solvent sector plan (UNDP)</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22</w:t>
            </w:r>
            <w:r w:rsidR="00BD437C" w:rsidRPr="0026329D">
              <w:rPr>
                <w:sz w:val="20"/>
                <w:szCs w:val="20"/>
                <w:lang w:val="en-CA"/>
              </w:rPr>
              <w:t>8</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25</w:t>
            </w:r>
            <w:r w:rsidR="00BD437C" w:rsidRPr="0026329D">
              <w:rPr>
                <w:sz w:val="20"/>
                <w:szCs w:val="20"/>
                <w:lang w:val="en-CA"/>
              </w:rPr>
              <w:t>0</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Sector plan description</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22</w:t>
            </w:r>
            <w:r w:rsidR="00BD437C" w:rsidRPr="0026329D">
              <w:rPr>
                <w:sz w:val="20"/>
                <w:szCs w:val="20"/>
                <w:lang w:val="en-CA"/>
              </w:rPr>
              <w:t>8</w:t>
            </w:r>
            <w:r w:rsidRPr="0026329D">
              <w:rPr>
                <w:sz w:val="20"/>
                <w:szCs w:val="20"/>
                <w:lang w:val="en-CA"/>
              </w:rPr>
              <w:t xml:space="preserve"> - 24</w:t>
            </w:r>
            <w:r w:rsidR="00BD437C" w:rsidRPr="0026329D">
              <w:rPr>
                <w:sz w:val="20"/>
                <w:szCs w:val="20"/>
                <w:lang w:val="en-CA"/>
              </w:rPr>
              <w:t>6</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Secretariat’s comments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24</w:t>
            </w:r>
            <w:r w:rsidR="00BD437C" w:rsidRPr="0026329D">
              <w:rPr>
                <w:sz w:val="20"/>
                <w:szCs w:val="20"/>
                <w:lang w:val="en-CA"/>
              </w:rPr>
              <w:t>7</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w:t>
            </w:r>
            <w:r w:rsidR="00BD437C" w:rsidRPr="0026329D">
              <w:rPr>
                <w:sz w:val="20"/>
                <w:szCs w:val="20"/>
                <w:lang w:val="en-CA"/>
              </w:rPr>
              <w:t>49</w:t>
            </w:r>
          </w:p>
        </w:tc>
      </w:tr>
      <w:tr w:rsidR="005534CA" w:rsidRPr="0026329D" w:rsidTr="005534CA">
        <w:tc>
          <w:tcPr>
            <w:tcW w:w="715" w:type="dxa"/>
          </w:tcPr>
          <w:p w:rsidR="005534CA" w:rsidRPr="0026329D" w:rsidRDefault="005534CA" w:rsidP="005534CA">
            <w:pPr>
              <w:widowControl w:val="0"/>
              <w:rPr>
                <w:sz w:val="20"/>
                <w:szCs w:val="20"/>
                <w:lang w:val="en-CA"/>
              </w:rPr>
            </w:pPr>
          </w:p>
        </w:tc>
        <w:tc>
          <w:tcPr>
            <w:tcW w:w="6575" w:type="dxa"/>
          </w:tcPr>
          <w:p w:rsidR="005534CA" w:rsidRPr="0026329D" w:rsidRDefault="005534CA" w:rsidP="005534CA">
            <w:pPr>
              <w:widowControl w:val="0"/>
              <w:jc w:val="left"/>
              <w:rPr>
                <w:sz w:val="20"/>
                <w:szCs w:val="20"/>
                <w:lang w:val="en-CA"/>
              </w:rPr>
            </w:pPr>
            <w:r w:rsidRPr="0026329D">
              <w:rPr>
                <w:sz w:val="20"/>
                <w:szCs w:val="20"/>
                <w:lang w:val="en-CA"/>
              </w:rPr>
              <w:t xml:space="preserve">Recommendation </w:t>
            </w:r>
          </w:p>
        </w:tc>
        <w:tc>
          <w:tcPr>
            <w:tcW w:w="1318" w:type="dxa"/>
          </w:tcPr>
          <w:p w:rsidR="005534CA" w:rsidRPr="0026329D" w:rsidRDefault="005534CA" w:rsidP="00BD437C">
            <w:pPr>
              <w:widowControl w:val="0"/>
              <w:jc w:val="center"/>
              <w:rPr>
                <w:sz w:val="20"/>
                <w:szCs w:val="20"/>
                <w:lang w:val="en-CA"/>
              </w:rPr>
            </w:pPr>
            <w:r w:rsidRPr="0026329D">
              <w:rPr>
                <w:sz w:val="20"/>
                <w:szCs w:val="20"/>
                <w:lang w:val="en-CA"/>
              </w:rPr>
              <w:t>25</w:t>
            </w:r>
            <w:r w:rsidR="00BD437C" w:rsidRPr="0026329D">
              <w:rPr>
                <w:sz w:val="20"/>
                <w:szCs w:val="20"/>
                <w:lang w:val="en-CA"/>
              </w:rPr>
              <w:t>0</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1D235F" w:rsidRPr="0026329D" w:rsidTr="001D235F">
        <w:tc>
          <w:tcPr>
            <w:tcW w:w="715" w:type="dxa"/>
          </w:tcPr>
          <w:p w:rsidR="001D235F" w:rsidRPr="0026329D" w:rsidRDefault="001D235F" w:rsidP="001D235F">
            <w:pPr>
              <w:widowControl w:val="0"/>
              <w:rPr>
                <w:b/>
                <w:sz w:val="20"/>
                <w:szCs w:val="20"/>
                <w:lang w:val="en-CA"/>
              </w:rPr>
            </w:pPr>
            <w:r w:rsidRPr="0026329D">
              <w:rPr>
                <w:b/>
                <w:sz w:val="20"/>
                <w:szCs w:val="20"/>
                <w:lang w:val="en-CA"/>
              </w:rPr>
              <w:t>IV</w:t>
            </w:r>
          </w:p>
        </w:tc>
        <w:tc>
          <w:tcPr>
            <w:tcW w:w="6575" w:type="dxa"/>
          </w:tcPr>
          <w:p w:rsidR="001D235F" w:rsidRPr="0026329D" w:rsidRDefault="001D235F" w:rsidP="001D235F">
            <w:pPr>
              <w:widowControl w:val="0"/>
              <w:jc w:val="left"/>
              <w:rPr>
                <w:b/>
                <w:sz w:val="20"/>
                <w:szCs w:val="20"/>
                <w:lang w:val="en-CA"/>
              </w:rPr>
            </w:pPr>
            <w:r w:rsidRPr="0026329D">
              <w:rPr>
                <w:b/>
                <w:sz w:val="20"/>
                <w:szCs w:val="20"/>
                <w:lang w:val="en-CA"/>
              </w:rPr>
              <w:t>Report on progress in the implementation of activities listed in decision 83/41(e)</w:t>
            </w:r>
          </w:p>
        </w:tc>
        <w:tc>
          <w:tcPr>
            <w:tcW w:w="1318" w:type="dxa"/>
          </w:tcPr>
          <w:p w:rsidR="001D235F" w:rsidRPr="0026329D" w:rsidRDefault="007C59D4" w:rsidP="00BD437C">
            <w:pPr>
              <w:widowControl w:val="0"/>
              <w:jc w:val="center"/>
              <w:rPr>
                <w:sz w:val="20"/>
                <w:szCs w:val="20"/>
                <w:lang w:val="en-CA"/>
              </w:rPr>
            </w:pPr>
            <w:r w:rsidRPr="0026329D">
              <w:rPr>
                <w:sz w:val="20"/>
                <w:szCs w:val="20"/>
                <w:lang w:val="en-CA"/>
              </w:rPr>
              <w:t>25</w:t>
            </w:r>
            <w:r w:rsidR="00BD437C" w:rsidRPr="0026329D">
              <w:rPr>
                <w:sz w:val="20"/>
                <w:szCs w:val="20"/>
                <w:lang w:val="en-CA"/>
              </w:rPr>
              <w:t>1</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25</w:t>
            </w:r>
            <w:r w:rsidR="00BD437C" w:rsidRPr="0026329D">
              <w:rPr>
                <w:sz w:val="20"/>
                <w:szCs w:val="20"/>
                <w:lang w:val="en-CA"/>
              </w:rPr>
              <w:t>4</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1D235F" w:rsidRPr="0026329D" w:rsidTr="001D235F">
        <w:tc>
          <w:tcPr>
            <w:tcW w:w="715" w:type="dxa"/>
          </w:tcPr>
          <w:p w:rsidR="001D235F" w:rsidRPr="0026329D" w:rsidRDefault="001D235F" w:rsidP="001D235F">
            <w:pPr>
              <w:widowControl w:val="0"/>
              <w:rPr>
                <w:b/>
                <w:sz w:val="20"/>
                <w:szCs w:val="20"/>
                <w:lang w:val="en-CA"/>
              </w:rPr>
            </w:pPr>
            <w:r w:rsidRPr="0026329D">
              <w:rPr>
                <w:b/>
                <w:sz w:val="20"/>
                <w:szCs w:val="20"/>
                <w:lang w:val="en-CA"/>
              </w:rPr>
              <w:t>V</w:t>
            </w:r>
          </w:p>
        </w:tc>
        <w:tc>
          <w:tcPr>
            <w:tcW w:w="6575" w:type="dxa"/>
          </w:tcPr>
          <w:p w:rsidR="001D235F" w:rsidRPr="0026329D" w:rsidRDefault="001D235F" w:rsidP="001D235F">
            <w:pPr>
              <w:widowControl w:val="0"/>
              <w:jc w:val="left"/>
              <w:rPr>
                <w:b/>
                <w:sz w:val="20"/>
                <w:szCs w:val="20"/>
                <w:lang w:val="en-CA"/>
              </w:rPr>
            </w:pPr>
            <w:r w:rsidRPr="0026329D">
              <w:rPr>
                <w:b/>
                <w:sz w:val="20"/>
                <w:szCs w:val="20"/>
                <w:lang w:val="en-CA"/>
              </w:rPr>
              <w:t>Study to determine the regulatory, enforcement, policy or market circumstances that might have led to the illegal production and use of CFC-11 and CFC-12 (decision 83/41(d)</w:t>
            </w:r>
            <w:r w:rsidR="005B6963" w:rsidRPr="0026329D">
              <w:rPr>
                <w:b/>
                <w:sz w:val="20"/>
                <w:szCs w:val="20"/>
                <w:lang w:val="en-CA"/>
              </w:rPr>
              <w:t>)</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25</w:t>
            </w:r>
            <w:r w:rsidR="00BD437C" w:rsidRPr="0026329D">
              <w:rPr>
                <w:sz w:val="20"/>
                <w:szCs w:val="20"/>
                <w:lang w:val="en-CA"/>
              </w:rPr>
              <w:t>5–</w:t>
            </w:r>
            <w:r w:rsidR="001D235F" w:rsidRPr="0026329D">
              <w:rPr>
                <w:sz w:val="20"/>
                <w:szCs w:val="20"/>
                <w:lang w:val="en-CA"/>
              </w:rPr>
              <w:t xml:space="preserve"> </w:t>
            </w:r>
            <w:r w:rsidRPr="0026329D">
              <w:rPr>
                <w:sz w:val="20"/>
                <w:szCs w:val="20"/>
                <w:lang w:val="en-CA"/>
              </w:rPr>
              <w:t>25</w:t>
            </w:r>
            <w:r w:rsidR="00BD437C" w:rsidRPr="0026329D">
              <w:rPr>
                <w:sz w:val="20"/>
                <w:szCs w:val="20"/>
                <w:lang w:val="en-CA"/>
              </w:rPr>
              <w:t>6</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1D235F" w:rsidRPr="0026329D" w:rsidTr="001D235F">
        <w:tc>
          <w:tcPr>
            <w:tcW w:w="715" w:type="dxa"/>
          </w:tcPr>
          <w:p w:rsidR="001D235F" w:rsidRPr="0026329D" w:rsidRDefault="001D235F" w:rsidP="001D235F">
            <w:pPr>
              <w:widowControl w:val="0"/>
              <w:rPr>
                <w:b/>
                <w:sz w:val="20"/>
                <w:szCs w:val="20"/>
                <w:lang w:val="en-CA"/>
              </w:rPr>
            </w:pPr>
            <w:r w:rsidRPr="0026329D">
              <w:rPr>
                <w:b/>
                <w:sz w:val="20"/>
                <w:szCs w:val="20"/>
                <w:lang w:val="en-CA"/>
              </w:rPr>
              <w:t>VI</w:t>
            </w:r>
          </w:p>
        </w:tc>
        <w:tc>
          <w:tcPr>
            <w:tcW w:w="6575" w:type="dxa"/>
          </w:tcPr>
          <w:p w:rsidR="001D235F" w:rsidRPr="0026329D" w:rsidRDefault="001D235F" w:rsidP="001D235F">
            <w:pPr>
              <w:widowControl w:val="0"/>
              <w:jc w:val="left"/>
              <w:rPr>
                <w:b/>
                <w:sz w:val="20"/>
                <w:szCs w:val="20"/>
                <w:lang w:val="en-CA"/>
              </w:rPr>
            </w:pPr>
            <w:r w:rsidRPr="0026329D">
              <w:rPr>
                <w:b/>
                <w:sz w:val="20"/>
                <w:szCs w:val="20"/>
                <w:lang w:val="en-CA"/>
              </w:rPr>
              <w:t>Financial audit reports for the CFC production, halon, PU foam, process agent II, refrigeration servicing and solvent sectors</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25</w:t>
            </w:r>
            <w:r w:rsidR="00BD437C" w:rsidRPr="0026329D">
              <w:rPr>
                <w:sz w:val="20"/>
                <w:szCs w:val="20"/>
                <w:lang w:val="en-CA"/>
              </w:rPr>
              <w:t>7</w:t>
            </w:r>
            <w:r w:rsidR="001D235F" w:rsidRPr="0026329D">
              <w:rPr>
                <w:sz w:val="20"/>
                <w:szCs w:val="20"/>
                <w:lang w:val="en-CA"/>
              </w:rPr>
              <w:t xml:space="preserve"> </w:t>
            </w:r>
            <w:r w:rsidR="00BD437C" w:rsidRPr="0026329D">
              <w:rPr>
                <w:sz w:val="20"/>
                <w:szCs w:val="20"/>
                <w:lang w:val="en-CA"/>
              </w:rPr>
              <w:t>–</w:t>
            </w:r>
            <w:r w:rsidR="001D235F" w:rsidRPr="0026329D">
              <w:rPr>
                <w:sz w:val="20"/>
                <w:szCs w:val="20"/>
                <w:lang w:val="en-CA"/>
              </w:rPr>
              <w:t xml:space="preserve"> </w:t>
            </w:r>
            <w:r w:rsidRPr="0026329D">
              <w:rPr>
                <w:sz w:val="20"/>
                <w:szCs w:val="20"/>
                <w:lang w:val="en-CA"/>
              </w:rPr>
              <w:t>26</w:t>
            </w:r>
            <w:r w:rsidR="00BD437C" w:rsidRPr="0026329D">
              <w:rPr>
                <w:sz w:val="20"/>
                <w:szCs w:val="20"/>
                <w:lang w:val="en-CA"/>
              </w:rPr>
              <w:t>4</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Note by the Secretariat</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25</w:t>
            </w:r>
            <w:r w:rsidR="00BD437C" w:rsidRPr="0026329D">
              <w:rPr>
                <w:sz w:val="20"/>
                <w:szCs w:val="20"/>
                <w:lang w:val="en-CA"/>
              </w:rPr>
              <w:t>7</w:t>
            </w:r>
            <w:r w:rsidRPr="0026329D">
              <w:rPr>
                <w:sz w:val="20"/>
                <w:szCs w:val="20"/>
                <w:lang w:val="en-CA"/>
              </w:rPr>
              <w:t xml:space="preserve"> – 25</w:t>
            </w:r>
            <w:r w:rsidR="00BD437C" w:rsidRPr="0026329D">
              <w:rPr>
                <w:sz w:val="20"/>
                <w:szCs w:val="20"/>
                <w:lang w:val="en-CA"/>
              </w:rPr>
              <w:t>8</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Secretariat’s comments </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26</w:t>
            </w:r>
            <w:r w:rsidR="00BD437C" w:rsidRPr="0026329D">
              <w:rPr>
                <w:sz w:val="20"/>
                <w:szCs w:val="20"/>
                <w:lang w:val="en-CA"/>
              </w:rPr>
              <w:t>2</w:t>
            </w:r>
            <w:r w:rsidRPr="0026329D">
              <w:rPr>
                <w:sz w:val="20"/>
                <w:szCs w:val="20"/>
                <w:lang w:val="en-CA"/>
              </w:rPr>
              <w:t xml:space="preserve"> – 26</w:t>
            </w:r>
            <w:r w:rsidR="00BD437C" w:rsidRPr="0026329D">
              <w:rPr>
                <w:sz w:val="20"/>
                <w:szCs w:val="20"/>
                <w:lang w:val="en-CA"/>
              </w:rPr>
              <w:t>3</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r w:rsidRPr="0026329D">
              <w:rPr>
                <w:sz w:val="20"/>
                <w:szCs w:val="20"/>
                <w:lang w:val="en-CA"/>
              </w:rPr>
              <w:t xml:space="preserve">Recommendation </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26</w:t>
            </w:r>
            <w:r w:rsidR="00BD437C" w:rsidRPr="0026329D">
              <w:rPr>
                <w:sz w:val="20"/>
                <w:szCs w:val="20"/>
                <w:lang w:val="en-CA"/>
              </w:rPr>
              <w:t>4</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jc w:val="left"/>
              <w:rPr>
                <w:sz w:val="20"/>
                <w:szCs w:val="20"/>
                <w:lang w:val="en-CA"/>
              </w:rPr>
            </w:pPr>
          </w:p>
        </w:tc>
        <w:tc>
          <w:tcPr>
            <w:tcW w:w="1318" w:type="dxa"/>
          </w:tcPr>
          <w:p w:rsidR="001D235F" w:rsidRPr="0026329D" w:rsidRDefault="001D235F" w:rsidP="001D235F">
            <w:pPr>
              <w:widowControl w:val="0"/>
              <w:jc w:val="center"/>
              <w:rPr>
                <w:sz w:val="20"/>
                <w:szCs w:val="20"/>
                <w:lang w:val="en-CA"/>
              </w:rPr>
            </w:pPr>
          </w:p>
        </w:tc>
      </w:tr>
      <w:tr w:rsidR="001D235F" w:rsidRPr="0026329D" w:rsidTr="001D235F">
        <w:tc>
          <w:tcPr>
            <w:tcW w:w="715" w:type="dxa"/>
          </w:tcPr>
          <w:p w:rsidR="001D235F" w:rsidRPr="0026329D" w:rsidRDefault="001D235F" w:rsidP="00C23E62">
            <w:pPr>
              <w:widowControl w:val="0"/>
              <w:rPr>
                <w:b/>
                <w:sz w:val="20"/>
                <w:szCs w:val="20"/>
                <w:lang w:val="en-CA"/>
              </w:rPr>
            </w:pPr>
            <w:r w:rsidRPr="0026329D">
              <w:rPr>
                <w:b/>
                <w:sz w:val="20"/>
                <w:szCs w:val="20"/>
                <w:lang w:val="en-CA"/>
              </w:rPr>
              <w:t>VII</w:t>
            </w:r>
          </w:p>
        </w:tc>
        <w:tc>
          <w:tcPr>
            <w:tcW w:w="6575" w:type="dxa"/>
          </w:tcPr>
          <w:p w:rsidR="001D235F" w:rsidRPr="0026329D" w:rsidRDefault="001D235F" w:rsidP="001D235F">
            <w:pPr>
              <w:widowControl w:val="0"/>
              <w:jc w:val="left"/>
              <w:rPr>
                <w:b/>
                <w:sz w:val="20"/>
                <w:szCs w:val="20"/>
                <w:lang w:val="en-CA"/>
              </w:rPr>
            </w:pPr>
            <w:r w:rsidRPr="0026329D">
              <w:rPr>
                <w:b/>
                <w:sz w:val="20"/>
                <w:szCs w:val="20"/>
                <w:lang w:val="en-CA"/>
              </w:rPr>
              <w:t>Sector plan for the phase-out of methyl bromide (MB) production</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26</w:t>
            </w:r>
            <w:r w:rsidR="00BD437C" w:rsidRPr="0026329D">
              <w:rPr>
                <w:sz w:val="20"/>
                <w:szCs w:val="20"/>
                <w:lang w:val="en-CA"/>
              </w:rPr>
              <w:t>5</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27</w:t>
            </w:r>
            <w:r w:rsidR="00BD437C" w:rsidRPr="0026329D">
              <w:rPr>
                <w:sz w:val="20"/>
                <w:szCs w:val="20"/>
                <w:lang w:val="en-CA"/>
              </w:rPr>
              <w:t>3</w:t>
            </w:r>
          </w:p>
        </w:tc>
      </w:tr>
      <w:tr w:rsidR="001D235F" w:rsidRPr="0026329D" w:rsidTr="001D235F">
        <w:tc>
          <w:tcPr>
            <w:tcW w:w="715" w:type="dxa"/>
          </w:tcPr>
          <w:p w:rsidR="001D235F" w:rsidRPr="0026329D" w:rsidRDefault="001D235F" w:rsidP="001D235F">
            <w:pPr>
              <w:widowControl w:val="0"/>
              <w:rPr>
                <w:b/>
                <w:sz w:val="20"/>
                <w:szCs w:val="20"/>
                <w:lang w:val="en-CA"/>
              </w:rPr>
            </w:pPr>
          </w:p>
        </w:tc>
        <w:tc>
          <w:tcPr>
            <w:tcW w:w="6575" w:type="dxa"/>
          </w:tcPr>
          <w:p w:rsidR="001D235F" w:rsidRPr="0026329D" w:rsidRDefault="001D235F" w:rsidP="001D235F">
            <w:pPr>
              <w:widowControl w:val="0"/>
              <w:rPr>
                <w:sz w:val="20"/>
                <w:szCs w:val="20"/>
                <w:lang w:val="en-CA"/>
              </w:rPr>
            </w:pPr>
            <w:r w:rsidRPr="0026329D">
              <w:rPr>
                <w:sz w:val="20"/>
                <w:szCs w:val="20"/>
                <w:lang w:val="en-CA"/>
              </w:rPr>
              <w:t>Progress report</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w:t>
            </w:r>
            <w:r w:rsidR="00BD437C" w:rsidRPr="0026329D">
              <w:rPr>
                <w:sz w:val="20"/>
                <w:szCs w:val="20"/>
                <w:lang w:val="en-CA"/>
              </w:rPr>
              <w:t>69</w:t>
            </w:r>
            <w:r w:rsidRPr="0026329D">
              <w:rPr>
                <w:sz w:val="20"/>
                <w:szCs w:val="20"/>
                <w:lang w:val="en-CA"/>
              </w:rPr>
              <w:t xml:space="preserve"> </w:t>
            </w:r>
            <w:r w:rsidR="00BD437C" w:rsidRPr="0026329D">
              <w:rPr>
                <w:sz w:val="20"/>
                <w:szCs w:val="20"/>
                <w:lang w:val="en-CA"/>
              </w:rPr>
              <w:t>–</w:t>
            </w:r>
            <w:r w:rsidRPr="0026329D">
              <w:rPr>
                <w:sz w:val="20"/>
                <w:szCs w:val="20"/>
                <w:lang w:val="en-CA"/>
              </w:rPr>
              <w:t xml:space="preserve"> 27</w:t>
            </w:r>
            <w:r w:rsidR="00BD437C" w:rsidRPr="0026329D">
              <w:rPr>
                <w:sz w:val="20"/>
                <w:szCs w:val="20"/>
                <w:lang w:val="en-CA"/>
              </w:rPr>
              <w:t>1</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rPr>
                <w:sz w:val="20"/>
                <w:szCs w:val="20"/>
                <w:lang w:val="en-CA"/>
              </w:rPr>
            </w:pPr>
            <w:r w:rsidRPr="0026329D">
              <w:rPr>
                <w:sz w:val="20"/>
                <w:szCs w:val="20"/>
                <w:lang w:val="en-CA"/>
              </w:rPr>
              <w:t xml:space="preserve">Secretariat’s comments </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27</w:t>
            </w:r>
            <w:r w:rsidR="00BD437C" w:rsidRPr="0026329D">
              <w:rPr>
                <w:sz w:val="20"/>
                <w:szCs w:val="20"/>
                <w:lang w:val="en-CA"/>
              </w:rPr>
              <w:t>2</w:t>
            </w:r>
          </w:p>
        </w:tc>
      </w:tr>
      <w:tr w:rsidR="001D235F" w:rsidRPr="0026329D" w:rsidTr="001D235F">
        <w:tc>
          <w:tcPr>
            <w:tcW w:w="715" w:type="dxa"/>
          </w:tcPr>
          <w:p w:rsidR="001D235F" w:rsidRPr="0026329D" w:rsidRDefault="001D235F" w:rsidP="001D235F">
            <w:pPr>
              <w:widowControl w:val="0"/>
              <w:rPr>
                <w:sz w:val="20"/>
                <w:szCs w:val="20"/>
                <w:lang w:val="en-CA"/>
              </w:rPr>
            </w:pPr>
          </w:p>
        </w:tc>
        <w:tc>
          <w:tcPr>
            <w:tcW w:w="6575" w:type="dxa"/>
          </w:tcPr>
          <w:p w:rsidR="001D235F" w:rsidRPr="0026329D" w:rsidRDefault="001D235F" w:rsidP="001D235F">
            <w:pPr>
              <w:widowControl w:val="0"/>
              <w:rPr>
                <w:sz w:val="20"/>
                <w:szCs w:val="20"/>
                <w:lang w:val="en-CA"/>
              </w:rPr>
            </w:pPr>
            <w:r w:rsidRPr="0026329D">
              <w:rPr>
                <w:sz w:val="20"/>
                <w:szCs w:val="20"/>
                <w:lang w:val="en-CA"/>
              </w:rPr>
              <w:t xml:space="preserve">Recommendation </w:t>
            </w:r>
          </w:p>
        </w:tc>
        <w:tc>
          <w:tcPr>
            <w:tcW w:w="1318" w:type="dxa"/>
          </w:tcPr>
          <w:p w:rsidR="001D235F" w:rsidRPr="0026329D" w:rsidRDefault="00F374CB" w:rsidP="00BD437C">
            <w:pPr>
              <w:widowControl w:val="0"/>
              <w:jc w:val="center"/>
              <w:rPr>
                <w:sz w:val="20"/>
                <w:szCs w:val="20"/>
                <w:lang w:val="en-CA"/>
              </w:rPr>
            </w:pPr>
            <w:r w:rsidRPr="0026329D">
              <w:rPr>
                <w:sz w:val="20"/>
                <w:szCs w:val="20"/>
                <w:lang w:val="en-CA"/>
              </w:rPr>
              <w:t>27</w:t>
            </w:r>
            <w:r w:rsidR="00BD437C" w:rsidRPr="0026329D">
              <w:rPr>
                <w:sz w:val="20"/>
                <w:szCs w:val="20"/>
                <w:lang w:val="en-CA"/>
              </w:rPr>
              <w:t>3</w:t>
            </w:r>
          </w:p>
        </w:tc>
      </w:tr>
    </w:tbl>
    <w:p w:rsidR="002E5E10" w:rsidRPr="0026329D" w:rsidRDefault="002E5E10" w:rsidP="00C41DE6">
      <w:pPr>
        <w:pStyle w:val="Heading1"/>
        <w:numPr>
          <w:ilvl w:val="0"/>
          <w:numId w:val="0"/>
        </w:numPr>
        <w:jc w:val="left"/>
        <w:rPr>
          <w:lang w:val="en-CA"/>
        </w:rPr>
      </w:pPr>
      <w:r w:rsidRPr="0026329D">
        <w:rPr>
          <w:lang w:val="en-CA"/>
        </w:rPr>
        <w:br w:type="page"/>
      </w:r>
    </w:p>
    <w:p w:rsidR="00ED782D" w:rsidRPr="0026329D" w:rsidRDefault="00D54FFA" w:rsidP="00641E90">
      <w:pPr>
        <w:spacing w:after="240"/>
        <w:ind w:left="1440" w:hanging="1440"/>
        <w:rPr>
          <w:b/>
          <w:lang w:val="en-CA"/>
        </w:rPr>
      </w:pPr>
      <w:r w:rsidRPr="0026329D">
        <w:rPr>
          <w:b/>
          <w:lang w:val="en-CA"/>
        </w:rPr>
        <w:lastRenderedPageBreak/>
        <w:t>PART I</w:t>
      </w:r>
      <w:r w:rsidRPr="0026329D">
        <w:rPr>
          <w:b/>
          <w:lang w:val="en-CA"/>
        </w:rPr>
        <w:tab/>
      </w:r>
      <w:r w:rsidR="00A81DEE" w:rsidRPr="0026329D">
        <w:rPr>
          <w:b/>
          <w:lang w:val="en-CA"/>
        </w:rPr>
        <w:t>STAGE </w:t>
      </w:r>
      <w:r w:rsidR="00ED782D" w:rsidRPr="0026329D">
        <w:rPr>
          <w:b/>
          <w:lang w:val="en-CA"/>
        </w:rPr>
        <w:t xml:space="preserve">I OF THE </w:t>
      </w:r>
      <w:r w:rsidRPr="0026329D">
        <w:rPr>
          <w:b/>
          <w:lang w:val="en-CA"/>
        </w:rPr>
        <w:t xml:space="preserve">HCFC PHASE-OUT MANAGEMENT PLAN </w:t>
      </w:r>
    </w:p>
    <w:p w:rsidR="00ED782D" w:rsidRPr="0026329D" w:rsidRDefault="007C59D4" w:rsidP="007C59D4">
      <w:pPr>
        <w:spacing w:after="240"/>
        <w:outlineLvl w:val="0"/>
        <w:rPr>
          <w:b/>
          <w:lang w:val="en-CA"/>
        </w:rPr>
      </w:pPr>
      <w:r w:rsidRPr="0026329D">
        <w:rPr>
          <w:b/>
          <w:lang w:val="en-CA"/>
        </w:rPr>
        <w:t>Overview of stage I including a summary of the status of implementation of the six sector plans</w:t>
      </w:r>
    </w:p>
    <w:p w:rsidR="006322A8" w:rsidRPr="0026329D" w:rsidRDefault="006322A8" w:rsidP="006322A8">
      <w:pPr>
        <w:numPr>
          <w:ilvl w:val="0"/>
          <w:numId w:val="1"/>
        </w:numPr>
        <w:spacing w:after="240"/>
        <w:outlineLvl w:val="0"/>
        <w:rPr>
          <w:lang w:val="en-CA"/>
        </w:rPr>
      </w:pPr>
      <w:r w:rsidRPr="0026329D">
        <w:rPr>
          <w:lang w:val="en-CA"/>
        </w:rPr>
        <w:t>At its 64</w:t>
      </w:r>
      <w:r w:rsidRPr="0026329D">
        <w:rPr>
          <w:vertAlign w:val="superscript"/>
          <w:lang w:val="en-CA"/>
        </w:rPr>
        <w:t>th </w:t>
      </w:r>
      <w:r w:rsidRPr="0026329D">
        <w:rPr>
          <w:lang w:val="en-CA"/>
        </w:rPr>
        <w:t xml:space="preserve">meeting, the Executive Committee approved, in principle, </w:t>
      </w:r>
      <w:r w:rsidR="00A81DEE" w:rsidRPr="0026329D">
        <w:rPr>
          <w:lang w:val="en-CA"/>
        </w:rPr>
        <w:t>stage </w:t>
      </w:r>
      <w:r w:rsidRPr="0026329D">
        <w:rPr>
          <w:lang w:val="en-CA"/>
        </w:rPr>
        <w:t>I of the HCFC phase</w:t>
      </w:r>
      <w:r w:rsidRPr="0026329D">
        <w:rPr>
          <w:lang w:val="en-CA"/>
        </w:rPr>
        <w:noBreakHyphen/>
        <w:t xml:space="preserve">out management plan (HPMP) for China for the period 2011 to 2015 at the amount of </w:t>
      </w:r>
      <w:r w:rsidR="00475A50" w:rsidRPr="0026329D">
        <w:rPr>
          <w:lang w:val="en-CA"/>
        </w:rPr>
        <w:t>US $</w:t>
      </w:r>
      <w:r w:rsidRPr="0026329D">
        <w:rPr>
          <w:lang w:val="en-CA"/>
        </w:rPr>
        <w:t xml:space="preserve">265 million (excluding agency support costs), associated with </w:t>
      </w:r>
      <w:r w:rsidR="006B7E87" w:rsidRPr="0026329D">
        <w:rPr>
          <w:lang w:val="en-CA"/>
        </w:rPr>
        <w:t xml:space="preserve">the </w:t>
      </w:r>
      <w:r w:rsidRPr="0026329D">
        <w:rPr>
          <w:lang w:val="en-CA"/>
        </w:rPr>
        <w:t>extruded polystyrene (XPS) foam, polyurethane (PU) foam, industrial and commercial refrigeration and air</w:t>
      </w:r>
      <w:r w:rsidRPr="0026329D">
        <w:rPr>
          <w:lang w:val="en-CA"/>
        </w:rPr>
        <w:noBreakHyphen/>
        <w:t>conditioning (ICR), room air</w:t>
      </w:r>
      <w:r w:rsidRPr="0026329D">
        <w:rPr>
          <w:lang w:val="en-CA"/>
        </w:rPr>
        <w:noBreakHyphen/>
        <w:t xml:space="preserve">conditioning manufacturing (RAC) and refrigeration servicing sector </w:t>
      </w:r>
      <w:r w:rsidR="00B410D2" w:rsidRPr="0026329D">
        <w:rPr>
          <w:lang w:val="en-CA"/>
        </w:rPr>
        <w:t>and</w:t>
      </w:r>
      <w:r w:rsidRPr="0026329D">
        <w:rPr>
          <w:lang w:val="en-CA"/>
        </w:rPr>
        <w:t xml:space="preserve"> national enabling programme</w:t>
      </w:r>
      <w:r w:rsidR="006B7E87" w:rsidRPr="0026329D">
        <w:rPr>
          <w:lang w:val="en-CA"/>
        </w:rPr>
        <w:t>,</w:t>
      </w:r>
      <w:r w:rsidRPr="0026329D">
        <w:rPr>
          <w:lang w:val="en-CA"/>
        </w:rPr>
        <w:t xml:space="preserve"> and the national co-ordination plan. The Committee also decided that the solvent sector, at a maximum level of funding of up to </w:t>
      </w:r>
      <w:r w:rsidR="00475A50" w:rsidRPr="0026329D">
        <w:rPr>
          <w:lang w:val="en-CA"/>
        </w:rPr>
        <w:t>US $</w:t>
      </w:r>
      <w:r w:rsidRPr="0026329D">
        <w:rPr>
          <w:lang w:val="en-CA"/>
        </w:rPr>
        <w:t>5,000,000, (excluding support costs), could be considered at the 65</w:t>
      </w:r>
      <w:r w:rsidRPr="0026329D">
        <w:rPr>
          <w:vertAlign w:val="superscript"/>
          <w:lang w:val="en-CA"/>
        </w:rPr>
        <w:t>th</w:t>
      </w:r>
      <w:r w:rsidRPr="0026329D">
        <w:rPr>
          <w:lang w:val="en-CA"/>
        </w:rPr>
        <w:t> meeting (decision 64/49). With the approval of the solvent sector plan at the 65</w:t>
      </w:r>
      <w:r w:rsidRPr="0026329D">
        <w:rPr>
          <w:vertAlign w:val="superscript"/>
          <w:lang w:val="en-CA"/>
        </w:rPr>
        <w:t>th</w:t>
      </w:r>
      <w:r w:rsidRPr="0026329D">
        <w:rPr>
          <w:lang w:val="en-CA"/>
        </w:rPr>
        <w:t xml:space="preserve"> meeting (decision 65/36), the overall funding for </w:t>
      </w:r>
      <w:r w:rsidR="00A81DEE" w:rsidRPr="0026329D">
        <w:rPr>
          <w:lang w:val="en-CA"/>
        </w:rPr>
        <w:t>stage </w:t>
      </w:r>
      <w:r w:rsidRPr="0026329D">
        <w:rPr>
          <w:lang w:val="en-CA"/>
        </w:rPr>
        <w:t xml:space="preserve">I of the HPMP for China amounted to </w:t>
      </w:r>
      <w:r w:rsidR="00475A50" w:rsidRPr="0026329D">
        <w:rPr>
          <w:lang w:val="en-CA"/>
        </w:rPr>
        <w:t>US $</w:t>
      </w:r>
      <w:r w:rsidRPr="0026329D">
        <w:rPr>
          <w:lang w:val="en-CA"/>
        </w:rPr>
        <w:t xml:space="preserve">270,000,000. </w:t>
      </w:r>
    </w:p>
    <w:p w:rsidR="006322A8" w:rsidRPr="0026329D" w:rsidRDefault="006322A8" w:rsidP="006322A8">
      <w:pPr>
        <w:numPr>
          <w:ilvl w:val="0"/>
          <w:numId w:val="1"/>
        </w:numPr>
        <w:spacing w:after="240"/>
        <w:outlineLvl w:val="0"/>
        <w:rPr>
          <w:lang w:val="en-CA"/>
        </w:rPr>
      </w:pPr>
      <w:r w:rsidRPr="0026329D">
        <w:rPr>
          <w:lang w:val="en-CA"/>
        </w:rPr>
        <w:t>The Agreement between the Government of China and the Executive Committee was updated several times and finalized at the 67</w:t>
      </w:r>
      <w:r w:rsidRPr="0026329D">
        <w:rPr>
          <w:vertAlign w:val="superscript"/>
          <w:lang w:val="en-CA"/>
        </w:rPr>
        <w:t>th</w:t>
      </w:r>
      <w:r w:rsidRPr="0026329D">
        <w:rPr>
          <w:lang w:val="en-CA"/>
        </w:rPr>
        <w:t> meeting, reflecting the newly established HCFC baseline for compliance in China, the change in responsibility of co-operating agencies, and the established agency support costs (decision 67/20).</w:t>
      </w:r>
    </w:p>
    <w:p w:rsidR="006322A8" w:rsidRPr="0026329D" w:rsidRDefault="006322A8" w:rsidP="006322A8">
      <w:pPr>
        <w:numPr>
          <w:ilvl w:val="0"/>
          <w:numId w:val="1"/>
        </w:numPr>
        <w:spacing w:after="240"/>
        <w:outlineLvl w:val="0"/>
        <w:rPr>
          <w:lang w:val="en-CA"/>
        </w:rPr>
      </w:pPr>
      <w:r w:rsidRPr="0026329D">
        <w:rPr>
          <w:lang w:val="en-CA"/>
        </w:rPr>
        <w:t xml:space="preserve">To ensure compliance with the Montreal Protocol 2013 and 2015 HCFC consumption control targets </w:t>
      </w:r>
      <w:r w:rsidR="006B7E87" w:rsidRPr="0026329D">
        <w:rPr>
          <w:lang w:val="en-CA"/>
        </w:rPr>
        <w:t xml:space="preserve">in China, consumption targets were established for each of </w:t>
      </w:r>
      <w:r w:rsidRPr="0026329D">
        <w:rPr>
          <w:lang w:val="en-CA"/>
        </w:rPr>
        <w:t>the six sector plans</w:t>
      </w:r>
      <w:r w:rsidR="006B7E87" w:rsidRPr="0026329D">
        <w:rPr>
          <w:lang w:val="en-CA"/>
        </w:rPr>
        <w:t xml:space="preserve">, as </w:t>
      </w:r>
      <w:r w:rsidRPr="0026329D">
        <w:rPr>
          <w:lang w:val="en-CA"/>
        </w:rPr>
        <w:t>shown in Table 1.</w:t>
      </w:r>
    </w:p>
    <w:p w:rsidR="006322A8" w:rsidRPr="0026329D" w:rsidRDefault="006322A8" w:rsidP="006322A8">
      <w:pPr>
        <w:rPr>
          <w:b/>
          <w:sz w:val="21"/>
          <w:szCs w:val="21"/>
          <w:lang w:val="en-CA"/>
        </w:rPr>
      </w:pPr>
      <w:r w:rsidRPr="0026329D">
        <w:rPr>
          <w:b/>
          <w:sz w:val="21"/>
          <w:szCs w:val="21"/>
          <w:lang w:val="en-CA"/>
        </w:rPr>
        <w:t xml:space="preserve">Table 1. HCFC consumption limits and targeted phase-out amount in consumption sectors for </w:t>
      </w:r>
      <w:r w:rsidR="00A81DEE" w:rsidRPr="0026329D">
        <w:rPr>
          <w:b/>
          <w:sz w:val="21"/>
          <w:szCs w:val="21"/>
          <w:lang w:val="en-CA"/>
        </w:rPr>
        <w:t>stage </w:t>
      </w:r>
      <w:r w:rsidRPr="0026329D">
        <w:rPr>
          <w:b/>
          <w:sz w:val="21"/>
          <w:szCs w:val="21"/>
          <w:lang w:val="en-CA"/>
        </w:rPr>
        <w:t>I of the HPMP for China</w:t>
      </w:r>
    </w:p>
    <w:tbl>
      <w:tblPr>
        <w:tblStyle w:val="TableGrid10"/>
        <w:tblW w:w="0" w:type="auto"/>
        <w:tblInd w:w="-5" w:type="dxa"/>
        <w:tblLook w:val="04A0" w:firstRow="1" w:lastRow="0" w:firstColumn="1" w:lastColumn="0" w:noHBand="0" w:noVBand="1"/>
      </w:tblPr>
      <w:tblGrid>
        <w:gridCol w:w="3068"/>
        <w:gridCol w:w="1571"/>
        <w:gridCol w:w="1572"/>
        <w:gridCol w:w="1572"/>
        <w:gridCol w:w="1572"/>
      </w:tblGrid>
      <w:tr w:rsidR="006322A8" w:rsidRPr="0026329D" w:rsidTr="006B7E87">
        <w:tc>
          <w:tcPr>
            <w:tcW w:w="3068" w:type="dxa"/>
            <w:vMerge w:val="restart"/>
            <w:vAlign w:val="center"/>
          </w:tcPr>
          <w:p w:rsidR="006322A8" w:rsidRPr="0026329D" w:rsidRDefault="00ED782D" w:rsidP="006322A8">
            <w:pPr>
              <w:jc w:val="left"/>
              <w:rPr>
                <w:b/>
                <w:sz w:val="20"/>
                <w:szCs w:val="20"/>
                <w:lang w:val="en-CA"/>
              </w:rPr>
            </w:pPr>
            <w:r w:rsidRPr="0026329D">
              <w:rPr>
                <w:b/>
                <w:sz w:val="20"/>
                <w:szCs w:val="20"/>
                <w:lang w:val="en-CA"/>
              </w:rPr>
              <w:t>National/s</w:t>
            </w:r>
            <w:r w:rsidR="006322A8" w:rsidRPr="0026329D">
              <w:rPr>
                <w:b/>
                <w:sz w:val="20"/>
                <w:szCs w:val="20"/>
                <w:lang w:val="en-CA"/>
              </w:rPr>
              <w:t>ectoral level</w:t>
            </w:r>
          </w:p>
        </w:tc>
        <w:tc>
          <w:tcPr>
            <w:tcW w:w="3143" w:type="dxa"/>
            <w:gridSpan w:val="2"/>
          </w:tcPr>
          <w:p w:rsidR="006322A8" w:rsidRPr="0026329D" w:rsidRDefault="006322A8" w:rsidP="006322A8">
            <w:pPr>
              <w:jc w:val="center"/>
              <w:rPr>
                <w:b/>
                <w:sz w:val="20"/>
                <w:szCs w:val="20"/>
                <w:lang w:val="en-CA"/>
              </w:rPr>
            </w:pPr>
            <w:r w:rsidRPr="0026329D">
              <w:rPr>
                <w:b/>
                <w:sz w:val="20"/>
                <w:szCs w:val="20"/>
                <w:lang w:val="en-CA"/>
              </w:rPr>
              <w:t>2013 (ODP tonnes)</w:t>
            </w:r>
          </w:p>
        </w:tc>
        <w:tc>
          <w:tcPr>
            <w:tcW w:w="3144" w:type="dxa"/>
            <w:gridSpan w:val="2"/>
          </w:tcPr>
          <w:p w:rsidR="006322A8" w:rsidRPr="0026329D" w:rsidRDefault="006322A8" w:rsidP="006322A8">
            <w:pPr>
              <w:jc w:val="center"/>
              <w:rPr>
                <w:b/>
                <w:sz w:val="20"/>
                <w:szCs w:val="20"/>
                <w:lang w:val="en-CA"/>
              </w:rPr>
            </w:pPr>
            <w:r w:rsidRPr="0026329D">
              <w:rPr>
                <w:b/>
                <w:sz w:val="20"/>
                <w:szCs w:val="20"/>
                <w:lang w:val="en-CA"/>
              </w:rPr>
              <w:t>2015 (ODP tonnes)</w:t>
            </w:r>
          </w:p>
        </w:tc>
      </w:tr>
      <w:tr w:rsidR="006322A8" w:rsidRPr="0026329D" w:rsidTr="006B7E87">
        <w:tc>
          <w:tcPr>
            <w:tcW w:w="3068" w:type="dxa"/>
            <w:vMerge/>
          </w:tcPr>
          <w:p w:rsidR="006322A8" w:rsidRPr="0026329D" w:rsidRDefault="006322A8" w:rsidP="006322A8">
            <w:pPr>
              <w:rPr>
                <w:sz w:val="20"/>
                <w:szCs w:val="20"/>
                <w:lang w:val="en-CA"/>
              </w:rPr>
            </w:pPr>
          </w:p>
        </w:tc>
        <w:tc>
          <w:tcPr>
            <w:tcW w:w="1571" w:type="dxa"/>
            <w:tcMar>
              <w:left w:w="0" w:type="dxa"/>
              <w:right w:w="0" w:type="dxa"/>
            </w:tcMar>
          </w:tcPr>
          <w:p w:rsidR="006322A8" w:rsidRPr="0026329D" w:rsidRDefault="006322A8" w:rsidP="006322A8">
            <w:pPr>
              <w:jc w:val="center"/>
              <w:rPr>
                <w:sz w:val="20"/>
                <w:szCs w:val="20"/>
                <w:lang w:val="en-CA"/>
              </w:rPr>
            </w:pPr>
            <w:r w:rsidRPr="0026329D">
              <w:rPr>
                <w:sz w:val="20"/>
                <w:szCs w:val="20"/>
                <w:lang w:val="en-CA"/>
              </w:rPr>
              <w:t>Max. allowable consumption</w:t>
            </w:r>
          </w:p>
        </w:tc>
        <w:tc>
          <w:tcPr>
            <w:tcW w:w="1572" w:type="dxa"/>
            <w:tcMar>
              <w:left w:w="0" w:type="dxa"/>
              <w:right w:w="0" w:type="dxa"/>
            </w:tcMar>
          </w:tcPr>
          <w:p w:rsidR="006322A8" w:rsidRPr="0026329D" w:rsidRDefault="006322A8" w:rsidP="006322A8">
            <w:pPr>
              <w:jc w:val="center"/>
              <w:rPr>
                <w:sz w:val="20"/>
                <w:szCs w:val="20"/>
                <w:lang w:val="en-CA"/>
              </w:rPr>
            </w:pPr>
            <w:r w:rsidRPr="0026329D">
              <w:rPr>
                <w:sz w:val="20"/>
                <w:szCs w:val="20"/>
                <w:lang w:val="en-CA"/>
              </w:rPr>
              <w:t>Phase-out amount</w:t>
            </w:r>
          </w:p>
        </w:tc>
        <w:tc>
          <w:tcPr>
            <w:tcW w:w="1572" w:type="dxa"/>
            <w:tcMar>
              <w:left w:w="0" w:type="dxa"/>
              <w:right w:w="0" w:type="dxa"/>
            </w:tcMar>
          </w:tcPr>
          <w:p w:rsidR="006322A8" w:rsidRPr="0026329D" w:rsidRDefault="006322A8" w:rsidP="006322A8">
            <w:pPr>
              <w:jc w:val="center"/>
              <w:rPr>
                <w:sz w:val="20"/>
                <w:szCs w:val="20"/>
                <w:lang w:val="en-CA"/>
              </w:rPr>
            </w:pPr>
            <w:r w:rsidRPr="0026329D">
              <w:rPr>
                <w:sz w:val="20"/>
                <w:szCs w:val="20"/>
                <w:lang w:val="en-CA"/>
              </w:rPr>
              <w:t>Max. allowable consumption</w:t>
            </w:r>
          </w:p>
        </w:tc>
        <w:tc>
          <w:tcPr>
            <w:tcW w:w="1572" w:type="dxa"/>
            <w:tcMar>
              <w:left w:w="0" w:type="dxa"/>
              <w:right w:w="0" w:type="dxa"/>
            </w:tcMar>
          </w:tcPr>
          <w:p w:rsidR="006322A8" w:rsidRPr="0026329D" w:rsidRDefault="006322A8" w:rsidP="006322A8">
            <w:pPr>
              <w:jc w:val="center"/>
              <w:rPr>
                <w:sz w:val="20"/>
                <w:szCs w:val="20"/>
                <w:lang w:val="en-CA"/>
              </w:rPr>
            </w:pPr>
            <w:r w:rsidRPr="0026329D">
              <w:rPr>
                <w:sz w:val="20"/>
                <w:szCs w:val="20"/>
                <w:lang w:val="en-CA"/>
              </w:rPr>
              <w:t>Phase-out amount</w:t>
            </w:r>
          </w:p>
        </w:tc>
      </w:tr>
      <w:tr w:rsidR="006322A8" w:rsidRPr="0026329D" w:rsidTr="006B7E87">
        <w:tc>
          <w:tcPr>
            <w:tcW w:w="3068" w:type="dxa"/>
          </w:tcPr>
          <w:p w:rsidR="006322A8" w:rsidRPr="0026329D" w:rsidRDefault="006322A8" w:rsidP="006322A8">
            <w:pPr>
              <w:rPr>
                <w:b/>
                <w:sz w:val="20"/>
                <w:szCs w:val="20"/>
                <w:lang w:val="en-CA"/>
              </w:rPr>
            </w:pPr>
            <w:r w:rsidRPr="0026329D">
              <w:rPr>
                <w:b/>
                <w:sz w:val="20"/>
                <w:szCs w:val="20"/>
                <w:lang w:val="en-CA"/>
              </w:rPr>
              <w:t>National</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18,865</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n/a</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16,979</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n/a</w:t>
            </w:r>
          </w:p>
        </w:tc>
      </w:tr>
      <w:tr w:rsidR="006322A8" w:rsidRPr="0026329D" w:rsidTr="00475A50">
        <w:tc>
          <w:tcPr>
            <w:tcW w:w="9355" w:type="dxa"/>
            <w:gridSpan w:val="5"/>
            <w:tcMar>
              <w:left w:w="115" w:type="dxa"/>
              <w:right w:w="173" w:type="dxa"/>
            </w:tcMar>
          </w:tcPr>
          <w:p w:rsidR="006322A8" w:rsidRPr="0026329D" w:rsidRDefault="006322A8" w:rsidP="006322A8">
            <w:pPr>
              <w:jc w:val="left"/>
              <w:rPr>
                <w:b/>
                <w:sz w:val="20"/>
                <w:szCs w:val="20"/>
                <w:lang w:val="en-CA"/>
              </w:rPr>
            </w:pPr>
            <w:r w:rsidRPr="0026329D">
              <w:rPr>
                <w:b/>
                <w:sz w:val="20"/>
                <w:szCs w:val="20"/>
                <w:lang w:val="en-CA"/>
              </w:rPr>
              <w:t>Sector plans</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XPS</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2,540</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338</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2,286</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254</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PU</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5,392</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673</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4,450</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942</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ICR</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2,403</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224</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2,163</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240</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RAC</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4,109</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176</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3,698</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411</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Solvent</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494</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30</w:t>
            </w:r>
          </w:p>
        </w:tc>
        <w:tc>
          <w:tcPr>
            <w:tcW w:w="1572" w:type="dxa"/>
            <w:tcMar>
              <w:left w:w="115" w:type="dxa"/>
              <w:right w:w="173" w:type="dxa"/>
            </w:tcMar>
          </w:tcPr>
          <w:p w:rsidR="006322A8" w:rsidRPr="0026329D" w:rsidRDefault="006322A8" w:rsidP="006322A8">
            <w:pPr>
              <w:jc w:val="right"/>
              <w:rPr>
                <w:color w:val="000000" w:themeColor="text1"/>
                <w:sz w:val="20"/>
                <w:szCs w:val="20"/>
                <w:lang w:val="en-CA"/>
              </w:rPr>
            </w:pPr>
            <w:r w:rsidRPr="0026329D">
              <w:rPr>
                <w:color w:val="000000" w:themeColor="text1"/>
                <w:sz w:val="20"/>
                <w:szCs w:val="20"/>
                <w:lang w:val="en-CA"/>
              </w:rPr>
              <w:t>455</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39</w:t>
            </w:r>
          </w:p>
        </w:tc>
      </w:tr>
      <w:tr w:rsidR="006322A8" w:rsidRPr="0026329D" w:rsidTr="006B7E87">
        <w:tc>
          <w:tcPr>
            <w:tcW w:w="3068" w:type="dxa"/>
          </w:tcPr>
          <w:p w:rsidR="006322A8" w:rsidRPr="0026329D" w:rsidRDefault="006322A8" w:rsidP="006322A8">
            <w:pPr>
              <w:rPr>
                <w:sz w:val="20"/>
                <w:szCs w:val="20"/>
                <w:lang w:val="en-CA"/>
              </w:rPr>
            </w:pPr>
            <w:r w:rsidRPr="0026329D">
              <w:rPr>
                <w:sz w:val="20"/>
                <w:szCs w:val="20"/>
                <w:lang w:val="en-CA"/>
              </w:rPr>
              <w:t>Servicing</w:t>
            </w:r>
          </w:p>
        </w:tc>
        <w:tc>
          <w:tcPr>
            <w:tcW w:w="1571"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n/a</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61</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n/a</w:t>
            </w:r>
          </w:p>
        </w:tc>
        <w:tc>
          <w:tcPr>
            <w:tcW w:w="1572" w:type="dxa"/>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0</w:t>
            </w:r>
          </w:p>
        </w:tc>
      </w:tr>
      <w:tr w:rsidR="006322A8" w:rsidRPr="0026329D" w:rsidTr="006B7E87">
        <w:tc>
          <w:tcPr>
            <w:tcW w:w="3068" w:type="dxa"/>
          </w:tcPr>
          <w:p w:rsidR="006322A8" w:rsidRPr="0026329D" w:rsidRDefault="006322A8" w:rsidP="006322A8">
            <w:pPr>
              <w:rPr>
                <w:b/>
                <w:sz w:val="20"/>
                <w:szCs w:val="20"/>
                <w:lang w:val="en-CA"/>
              </w:rPr>
            </w:pPr>
            <w:r w:rsidRPr="0026329D">
              <w:rPr>
                <w:b/>
                <w:sz w:val="20"/>
                <w:szCs w:val="20"/>
                <w:lang w:val="en-CA"/>
              </w:rPr>
              <w:t>Total</w:t>
            </w:r>
          </w:p>
        </w:tc>
        <w:tc>
          <w:tcPr>
            <w:tcW w:w="1571" w:type="dxa"/>
            <w:tcMar>
              <w:left w:w="115" w:type="dxa"/>
              <w:right w:w="173" w:type="dxa"/>
            </w:tcMar>
          </w:tcPr>
          <w:p w:rsidR="006322A8" w:rsidRPr="0026329D" w:rsidRDefault="006322A8" w:rsidP="006322A8">
            <w:pPr>
              <w:jc w:val="right"/>
              <w:rPr>
                <w:b/>
                <w:sz w:val="20"/>
                <w:szCs w:val="20"/>
                <w:lang w:val="en-CA"/>
              </w:rPr>
            </w:pPr>
            <w:r w:rsidRPr="0026329D">
              <w:rPr>
                <w:b/>
                <w:sz w:val="20"/>
                <w:szCs w:val="20"/>
                <w:lang w:val="en-CA"/>
              </w:rPr>
              <w:t>n/a</w:t>
            </w:r>
          </w:p>
        </w:tc>
        <w:tc>
          <w:tcPr>
            <w:tcW w:w="1572" w:type="dxa"/>
            <w:tcMar>
              <w:left w:w="115" w:type="dxa"/>
              <w:right w:w="173" w:type="dxa"/>
            </w:tcMar>
          </w:tcPr>
          <w:p w:rsidR="006322A8" w:rsidRPr="0026329D" w:rsidRDefault="006322A8" w:rsidP="006322A8">
            <w:pPr>
              <w:jc w:val="right"/>
              <w:rPr>
                <w:b/>
                <w:sz w:val="20"/>
                <w:szCs w:val="20"/>
                <w:lang w:val="en-CA"/>
              </w:rPr>
            </w:pPr>
            <w:r w:rsidRPr="0026329D">
              <w:rPr>
                <w:b/>
                <w:sz w:val="20"/>
                <w:szCs w:val="20"/>
                <w:lang w:val="en-CA"/>
              </w:rPr>
              <w:t>1,502</w:t>
            </w:r>
          </w:p>
        </w:tc>
        <w:tc>
          <w:tcPr>
            <w:tcW w:w="1572" w:type="dxa"/>
            <w:tcMar>
              <w:left w:w="115" w:type="dxa"/>
              <w:right w:w="173" w:type="dxa"/>
            </w:tcMar>
          </w:tcPr>
          <w:p w:rsidR="006322A8" w:rsidRPr="0026329D" w:rsidRDefault="006322A8" w:rsidP="006322A8">
            <w:pPr>
              <w:jc w:val="right"/>
              <w:rPr>
                <w:b/>
                <w:sz w:val="20"/>
                <w:szCs w:val="20"/>
                <w:lang w:val="en-CA"/>
              </w:rPr>
            </w:pPr>
            <w:r w:rsidRPr="0026329D">
              <w:rPr>
                <w:b/>
                <w:sz w:val="20"/>
                <w:szCs w:val="20"/>
                <w:lang w:val="en-CA"/>
              </w:rPr>
              <w:t>n/a</w:t>
            </w:r>
          </w:p>
        </w:tc>
        <w:tc>
          <w:tcPr>
            <w:tcW w:w="1572" w:type="dxa"/>
            <w:tcMar>
              <w:left w:w="115" w:type="dxa"/>
              <w:right w:w="173" w:type="dxa"/>
            </w:tcMar>
          </w:tcPr>
          <w:p w:rsidR="006322A8" w:rsidRPr="0026329D" w:rsidRDefault="006322A8" w:rsidP="006322A8">
            <w:pPr>
              <w:jc w:val="right"/>
              <w:rPr>
                <w:b/>
                <w:sz w:val="20"/>
                <w:szCs w:val="20"/>
                <w:lang w:val="en-CA"/>
              </w:rPr>
            </w:pPr>
            <w:r w:rsidRPr="0026329D">
              <w:rPr>
                <w:b/>
                <w:sz w:val="20"/>
                <w:szCs w:val="20"/>
                <w:lang w:val="en-CA"/>
              </w:rPr>
              <w:t>1,886</w:t>
            </w:r>
          </w:p>
        </w:tc>
      </w:tr>
    </w:tbl>
    <w:p w:rsidR="006322A8" w:rsidRPr="0026329D" w:rsidRDefault="006322A8" w:rsidP="006322A8">
      <w:pPr>
        <w:rPr>
          <w:lang w:val="en-CA"/>
        </w:rPr>
      </w:pPr>
    </w:p>
    <w:p w:rsidR="006322A8" w:rsidRPr="0026329D" w:rsidRDefault="006322A8" w:rsidP="006322A8">
      <w:pPr>
        <w:numPr>
          <w:ilvl w:val="0"/>
          <w:numId w:val="1"/>
        </w:numPr>
        <w:spacing w:after="240"/>
        <w:outlineLvl w:val="0"/>
        <w:rPr>
          <w:lang w:val="en-CA"/>
        </w:rPr>
      </w:pPr>
      <w:r w:rsidRPr="0026329D">
        <w:rPr>
          <w:lang w:val="en-CA"/>
        </w:rPr>
        <w:t xml:space="preserve">All tranches associated with the sector plans </w:t>
      </w:r>
      <w:r w:rsidR="00800CC5" w:rsidRPr="0026329D">
        <w:rPr>
          <w:lang w:val="en-CA"/>
        </w:rPr>
        <w:t xml:space="preserve">of </w:t>
      </w:r>
      <w:r w:rsidR="00A81DEE" w:rsidRPr="0026329D">
        <w:rPr>
          <w:lang w:val="en-CA"/>
        </w:rPr>
        <w:t>stage </w:t>
      </w:r>
      <w:r w:rsidR="00800CC5" w:rsidRPr="0026329D">
        <w:rPr>
          <w:lang w:val="en-CA"/>
        </w:rPr>
        <w:t xml:space="preserve">I of the HPMP </w:t>
      </w:r>
      <w:r w:rsidRPr="0026329D">
        <w:rPr>
          <w:lang w:val="en-CA"/>
        </w:rPr>
        <w:t>have been approved as listed in Table 2.</w:t>
      </w:r>
    </w:p>
    <w:p w:rsidR="006322A8" w:rsidRPr="0026329D" w:rsidRDefault="006322A8" w:rsidP="006322A8">
      <w:pPr>
        <w:rPr>
          <w:b/>
          <w:lang w:val="en-CA"/>
        </w:rPr>
      </w:pPr>
      <w:r w:rsidRPr="0026329D">
        <w:rPr>
          <w:b/>
          <w:lang w:val="en-CA"/>
        </w:rPr>
        <w:t xml:space="preserve">Table 2. Approvals of tranches for each sector plan of </w:t>
      </w:r>
      <w:r w:rsidR="00A81DEE" w:rsidRPr="0026329D">
        <w:rPr>
          <w:b/>
          <w:lang w:val="en-CA"/>
        </w:rPr>
        <w:t>stage </w:t>
      </w:r>
      <w:r w:rsidR="00800CC5" w:rsidRPr="0026329D">
        <w:rPr>
          <w:b/>
          <w:lang w:val="en-CA"/>
        </w:rPr>
        <w:t xml:space="preserve">I of </w:t>
      </w:r>
      <w:r w:rsidRPr="0026329D">
        <w:rPr>
          <w:b/>
          <w:lang w:val="en-CA"/>
        </w:rPr>
        <w:t>the HPMP for China</w:t>
      </w:r>
    </w:p>
    <w:tbl>
      <w:tblPr>
        <w:tblW w:w="5000" w:type="pct"/>
        <w:tblLook w:val="04A0" w:firstRow="1" w:lastRow="0" w:firstColumn="1" w:lastColumn="0" w:noHBand="0" w:noVBand="1"/>
      </w:tblPr>
      <w:tblGrid>
        <w:gridCol w:w="1219"/>
        <w:gridCol w:w="911"/>
        <w:gridCol w:w="914"/>
        <w:gridCol w:w="914"/>
        <w:gridCol w:w="912"/>
        <w:gridCol w:w="914"/>
        <w:gridCol w:w="914"/>
        <w:gridCol w:w="912"/>
        <w:gridCol w:w="914"/>
        <w:gridCol w:w="916"/>
      </w:tblGrid>
      <w:tr w:rsidR="006322A8" w:rsidRPr="0026329D" w:rsidTr="006B7E87">
        <w:trPr>
          <w:trHeight w:val="170"/>
          <w:tblHeader/>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2A8" w:rsidRPr="0026329D" w:rsidRDefault="006322A8" w:rsidP="006322A8">
            <w:pPr>
              <w:jc w:val="left"/>
              <w:rPr>
                <w:b/>
                <w:bCs/>
                <w:color w:val="000000"/>
                <w:sz w:val="20"/>
                <w:szCs w:val="20"/>
                <w:lang w:val="en-CA"/>
              </w:rPr>
            </w:pPr>
            <w:r w:rsidRPr="0026329D">
              <w:rPr>
                <w:b/>
                <w:bCs/>
                <w:color w:val="000000"/>
                <w:sz w:val="20"/>
                <w:szCs w:val="20"/>
                <w:lang w:val="en-CA"/>
              </w:rPr>
              <w:t>Sector plan</w:t>
            </w:r>
          </w:p>
        </w:tc>
        <w:tc>
          <w:tcPr>
            <w:tcW w:w="4354" w:type="pct"/>
            <w:gridSpan w:val="9"/>
            <w:tcBorders>
              <w:top w:val="single" w:sz="4" w:space="0" w:color="auto"/>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Meeting of the Executive Committee</w:t>
            </w:r>
          </w:p>
        </w:tc>
      </w:tr>
      <w:tr w:rsidR="006322A8" w:rsidRPr="0026329D" w:rsidTr="006B7E87">
        <w:trPr>
          <w:trHeight w:val="50"/>
          <w:tblHeader/>
        </w:trPr>
        <w:tc>
          <w:tcPr>
            <w:tcW w:w="646" w:type="pct"/>
            <w:vMerge/>
            <w:tcBorders>
              <w:top w:val="single" w:sz="4" w:space="0" w:color="auto"/>
              <w:left w:val="single" w:sz="4" w:space="0" w:color="auto"/>
              <w:bottom w:val="single" w:sz="4" w:space="0" w:color="auto"/>
              <w:right w:val="single" w:sz="4" w:space="0" w:color="auto"/>
            </w:tcBorders>
            <w:hideMark/>
          </w:tcPr>
          <w:p w:rsidR="006322A8" w:rsidRPr="0026329D" w:rsidRDefault="006322A8" w:rsidP="006322A8">
            <w:pPr>
              <w:jc w:val="left"/>
              <w:rPr>
                <w:b/>
                <w:bCs/>
                <w:color w:val="000000"/>
                <w:sz w:val="20"/>
                <w:szCs w:val="20"/>
                <w:lang w:val="en-CA"/>
              </w:rPr>
            </w:pP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64</w:t>
            </w:r>
            <w:r w:rsidRPr="0026329D">
              <w:rPr>
                <w:b/>
                <w:bCs/>
                <w:color w:val="000000"/>
                <w:sz w:val="20"/>
                <w:szCs w:val="20"/>
                <w:vertAlign w:val="superscript"/>
                <w:lang w:val="en-CA"/>
              </w:rPr>
              <w:t>th</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65</w:t>
            </w:r>
            <w:r w:rsidRPr="0026329D">
              <w:rPr>
                <w:b/>
                <w:bCs/>
                <w:color w:val="000000"/>
                <w:sz w:val="20"/>
                <w:szCs w:val="20"/>
                <w:vertAlign w:val="superscript"/>
                <w:lang w:val="en-CA"/>
              </w:rPr>
              <w:t>th</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68</w:t>
            </w:r>
            <w:r w:rsidRPr="0026329D">
              <w:rPr>
                <w:b/>
                <w:bCs/>
                <w:color w:val="000000"/>
                <w:sz w:val="20"/>
                <w:szCs w:val="20"/>
                <w:vertAlign w:val="superscript"/>
                <w:lang w:val="en-CA"/>
              </w:rPr>
              <w:t>th</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69</w:t>
            </w:r>
            <w:r w:rsidRPr="0026329D">
              <w:rPr>
                <w:b/>
                <w:bCs/>
                <w:color w:val="000000"/>
                <w:sz w:val="20"/>
                <w:szCs w:val="20"/>
                <w:vertAlign w:val="superscript"/>
                <w:lang w:val="en-CA"/>
              </w:rPr>
              <w:t>th</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71</w:t>
            </w:r>
            <w:r w:rsidRPr="0026329D">
              <w:rPr>
                <w:b/>
                <w:bCs/>
                <w:color w:val="000000"/>
                <w:sz w:val="20"/>
                <w:szCs w:val="20"/>
                <w:vertAlign w:val="superscript"/>
                <w:lang w:val="en-CA"/>
              </w:rPr>
              <w:t>st</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72</w:t>
            </w:r>
            <w:r w:rsidRPr="0026329D">
              <w:rPr>
                <w:b/>
                <w:bCs/>
                <w:color w:val="000000"/>
                <w:sz w:val="20"/>
                <w:szCs w:val="20"/>
                <w:vertAlign w:val="superscript"/>
                <w:lang w:val="en-CA"/>
              </w:rPr>
              <w:t>nd</w:t>
            </w:r>
          </w:p>
        </w:tc>
        <w:tc>
          <w:tcPr>
            <w:tcW w:w="483" w:type="pct"/>
            <w:tcBorders>
              <w:top w:val="nil"/>
              <w:left w:val="nil"/>
              <w:bottom w:val="single" w:sz="4" w:space="0" w:color="auto"/>
              <w:right w:val="single" w:sz="4" w:space="0" w:color="auto"/>
            </w:tcBorders>
          </w:tcPr>
          <w:p w:rsidR="006322A8" w:rsidRPr="0026329D" w:rsidRDefault="006322A8" w:rsidP="006322A8">
            <w:pPr>
              <w:jc w:val="center"/>
              <w:rPr>
                <w:b/>
                <w:bCs/>
                <w:color w:val="000000"/>
                <w:sz w:val="20"/>
                <w:szCs w:val="20"/>
                <w:lang w:val="en-CA"/>
              </w:rPr>
            </w:pPr>
            <w:r w:rsidRPr="0026329D">
              <w:rPr>
                <w:b/>
                <w:bCs/>
                <w:color w:val="000000"/>
                <w:sz w:val="20"/>
                <w:szCs w:val="20"/>
                <w:lang w:val="en-CA"/>
              </w:rPr>
              <w:t>73</w:t>
            </w:r>
            <w:r w:rsidRPr="0026329D">
              <w:rPr>
                <w:b/>
                <w:bCs/>
                <w:color w:val="000000"/>
                <w:sz w:val="20"/>
                <w:szCs w:val="20"/>
                <w:vertAlign w:val="superscript"/>
                <w:lang w:val="en-CA"/>
              </w:rPr>
              <w:t>rd</w:t>
            </w:r>
          </w:p>
        </w:tc>
        <w:tc>
          <w:tcPr>
            <w:tcW w:w="484" w:type="pct"/>
            <w:tcBorders>
              <w:top w:val="nil"/>
              <w:left w:val="nil"/>
              <w:bottom w:val="single" w:sz="4" w:space="0" w:color="auto"/>
              <w:right w:val="single" w:sz="4" w:space="0" w:color="auto"/>
            </w:tcBorders>
          </w:tcPr>
          <w:p w:rsidR="006322A8" w:rsidRPr="0026329D" w:rsidRDefault="006322A8" w:rsidP="006322A8">
            <w:pPr>
              <w:jc w:val="center"/>
              <w:rPr>
                <w:b/>
                <w:bCs/>
                <w:color w:val="000000"/>
                <w:sz w:val="20"/>
                <w:szCs w:val="20"/>
                <w:lang w:val="en-CA"/>
              </w:rPr>
            </w:pPr>
            <w:r w:rsidRPr="0026329D">
              <w:rPr>
                <w:b/>
                <w:bCs/>
                <w:color w:val="000000"/>
                <w:sz w:val="20"/>
                <w:szCs w:val="20"/>
                <w:lang w:val="en-CA"/>
              </w:rPr>
              <w:t>74</w:t>
            </w:r>
            <w:r w:rsidRPr="0026329D">
              <w:rPr>
                <w:b/>
                <w:bCs/>
                <w:color w:val="000000"/>
                <w:sz w:val="20"/>
                <w:szCs w:val="20"/>
                <w:vertAlign w:val="superscript"/>
                <w:lang w:val="en-CA"/>
              </w:rPr>
              <w:t>th</w:t>
            </w:r>
          </w:p>
        </w:tc>
        <w:tc>
          <w:tcPr>
            <w:tcW w:w="484" w:type="pct"/>
            <w:tcBorders>
              <w:top w:val="nil"/>
              <w:left w:val="nil"/>
              <w:bottom w:val="single" w:sz="4" w:space="0" w:color="auto"/>
              <w:right w:val="single" w:sz="4" w:space="0" w:color="auto"/>
            </w:tcBorders>
          </w:tcPr>
          <w:p w:rsidR="006322A8" w:rsidRPr="0026329D" w:rsidRDefault="006322A8" w:rsidP="006322A8">
            <w:pPr>
              <w:jc w:val="center"/>
              <w:rPr>
                <w:b/>
                <w:bCs/>
                <w:color w:val="000000"/>
                <w:sz w:val="20"/>
                <w:szCs w:val="20"/>
                <w:lang w:val="en-CA"/>
              </w:rPr>
            </w:pPr>
            <w:r w:rsidRPr="0026329D">
              <w:rPr>
                <w:b/>
                <w:bCs/>
                <w:color w:val="000000"/>
                <w:sz w:val="20"/>
                <w:szCs w:val="20"/>
                <w:lang w:val="en-CA"/>
              </w:rPr>
              <w:t>75</w:t>
            </w:r>
            <w:r w:rsidRPr="0026329D">
              <w:rPr>
                <w:b/>
                <w:bCs/>
                <w:color w:val="000000"/>
                <w:sz w:val="20"/>
                <w:szCs w:val="20"/>
                <w:vertAlign w:val="superscript"/>
                <w:lang w:val="en-CA"/>
              </w:rPr>
              <w:t>th</w:t>
            </w:r>
          </w:p>
        </w:tc>
      </w:tr>
      <w:tr w:rsidR="006322A8" w:rsidRPr="0026329D" w:rsidTr="006322A8">
        <w:trPr>
          <w:trHeight w:val="50"/>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XPS</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Third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Fourth</w:t>
            </w: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Fifth</w:t>
            </w:r>
          </w:p>
        </w:tc>
      </w:tr>
      <w:tr w:rsidR="006322A8" w:rsidRPr="0026329D" w:rsidTr="006322A8">
        <w:trPr>
          <w:trHeight w:val="89"/>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PU</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340B70">
            <w:pPr>
              <w:jc w:val="left"/>
              <w:rPr>
                <w:color w:val="000000"/>
                <w:sz w:val="20"/>
                <w:szCs w:val="20"/>
                <w:lang w:val="en-CA"/>
              </w:rPr>
            </w:pPr>
            <w:r w:rsidRPr="0026329D">
              <w:rPr>
                <w:color w:val="000000"/>
                <w:sz w:val="20"/>
                <w:szCs w:val="20"/>
                <w:lang w:val="en-CA"/>
              </w:rPr>
              <w:t>Third</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Fourth</w:t>
            </w: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Fifth</w:t>
            </w:r>
          </w:p>
        </w:tc>
      </w:tr>
      <w:tr w:rsidR="006322A8" w:rsidRPr="0026329D" w:rsidTr="006322A8">
        <w:trPr>
          <w:trHeight w:val="116"/>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ICR</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Third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Fourth</w:t>
            </w: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Fifth</w:t>
            </w:r>
          </w:p>
        </w:tc>
      </w:tr>
      <w:tr w:rsidR="006322A8" w:rsidRPr="0026329D" w:rsidTr="006322A8">
        <w:trPr>
          <w:trHeight w:val="56"/>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RAC</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Third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Fourth</w:t>
            </w: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Fifth</w:t>
            </w:r>
          </w:p>
        </w:tc>
      </w:tr>
      <w:tr w:rsidR="006322A8" w:rsidRPr="0026329D" w:rsidTr="006322A8">
        <w:trPr>
          <w:trHeight w:val="80"/>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Solvent</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Third</w:t>
            </w:r>
          </w:p>
        </w:tc>
      </w:tr>
      <w:tr w:rsidR="006322A8" w:rsidRPr="0026329D" w:rsidTr="006322A8">
        <w:trPr>
          <w:trHeight w:val="50"/>
        </w:trPr>
        <w:tc>
          <w:tcPr>
            <w:tcW w:w="646" w:type="pct"/>
            <w:tcBorders>
              <w:top w:val="nil"/>
              <w:left w:val="single" w:sz="4" w:space="0" w:color="auto"/>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Servicing</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First </w:t>
            </w: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Second </w:t>
            </w:r>
          </w:p>
        </w:tc>
        <w:tc>
          <w:tcPr>
            <w:tcW w:w="483"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shd w:val="clear" w:color="auto" w:fill="auto"/>
            <w:noWrap/>
            <w:hideMark/>
          </w:tcPr>
          <w:p w:rsidR="006322A8" w:rsidRPr="0026329D" w:rsidRDefault="006322A8" w:rsidP="006322A8">
            <w:pPr>
              <w:jc w:val="left"/>
              <w:rPr>
                <w:color w:val="000000"/>
                <w:sz w:val="20"/>
                <w:szCs w:val="20"/>
                <w:lang w:val="en-CA"/>
              </w:rPr>
            </w:pPr>
            <w:r w:rsidRPr="0026329D">
              <w:rPr>
                <w:color w:val="000000"/>
                <w:sz w:val="20"/>
                <w:szCs w:val="20"/>
                <w:lang w:val="en-CA"/>
              </w:rPr>
              <w:t xml:space="preserve">Third </w:t>
            </w:r>
          </w:p>
        </w:tc>
        <w:tc>
          <w:tcPr>
            <w:tcW w:w="483"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Fourth</w:t>
            </w:r>
          </w:p>
        </w:tc>
        <w:tc>
          <w:tcPr>
            <w:tcW w:w="484" w:type="pct"/>
            <w:tcBorders>
              <w:top w:val="nil"/>
              <w:left w:val="nil"/>
              <w:bottom w:val="single" w:sz="4" w:space="0" w:color="auto"/>
              <w:right w:val="single" w:sz="4" w:space="0" w:color="auto"/>
            </w:tcBorders>
          </w:tcPr>
          <w:p w:rsidR="006322A8" w:rsidRPr="0026329D" w:rsidRDefault="006322A8" w:rsidP="006322A8">
            <w:pPr>
              <w:jc w:val="left"/>
              <w:rPr>
                <w:color w:val="000000"/>
                <w:sz w:val="20"/>
                <w:szCs w:val="20"/>
                <w:lang w:val="en-CA"/>
              </w:rPr>
            </w:pPr>
            <w:r w:rsidRPr="0026329D">
              <w:rPr>
                <w:color w:val="000000"/>
                <w:sz w:val="20"/>
                <w:szCs w:val="20"/>
                <w:lang w:val="en-CA"/>
              </w:rPr>
              <w:t>Fifth</w:t>
            </w:r>
          </w:p>
        </w:tc>
      </w:tr>
    </w:tbl>
    <w:p w:rsidR="00800CC5" w:rsidRPr="0026329D" w:rsidRDefault="00800CC5" w:rsidP="00800CC5">
      <w:pPr>
        <w:rPr>
          <w:b/>
          <w:lang w:val="en-CA"/>
        </w:rPr>
      </w:pPr>
    </w:p>
    <w:p w:rsidR="006322A8" w:rsidRPr="0026329D" w:rsidRDefault="006322A8" w:rsidP="006322A8">
      <w:pPr>
        <w:rPr>
          <w:u w:val="single"/>
          <w:lang w:val="en-CA"/>
        </w:rPr>
      </w:pPr>
      <w:r w:rsidRPr="0026329D">
        <w:rPr>
          <w:u w:val="single"/>
          <w:lang w:val="en-CA"/>
        </w:rPr>
        <w:t xml:space="preserve">HCFC consumption </w:t>
      </w:r>
    </w:p>
    <w:p w:rsidR="006322A8" w:rsidRPr="0026329D" w:rsidRDefault="006322A8" w:rsidP="006322A8">
      <w:pPr>
        <w:rPr>
          <w:u w:val="single"/>
          <w:lang w:val="en-CA"/>
        </w:rPr>
      </w:pPr>
    </w:p>
    <w:p w:rsidR="006322A8" w:rsidRPr="0026329D" w:rsidRDefault="006322A8" w:rsidP="006322A8">
      <w:pPr>
        <w:numPr>
          <w:ilvl w:val="0"/>
          <w:numId w:val="1"/>
        </w:numPr>
        <w:spacing w:after="240"/>
        <w:outlineLvl w:val="0"/>
        <w:rPr>
          <w:lang w:val="en-CA"/>
        </w:rPr>
      </w:pPr>
      <w:r w:rsidRPr="0026329D">
        <w:rPr>
          <w:lang w:val="en-CA"/>
        </w:rPr>
        <w:t xml:space="preserve">The Government of China has reported HCFC consumption for 2019 under Article 7 of the Montreal Protocol as shown in Table 3. </w:t>
      </w:r>
    </w:p>
    <w:p w:rsidR="006322A8" w:rsidRPr="0026329D" w:rsidRDefault="006322A8" w:rsidP="00475A50">
      <w:pPr>
        <w:widowControl w:val="0"/>
        <w:jc w:val="left"/>
        <w:outlineLvl w:val="0"/>
        <w:rPr>
          <w:b/>
          <w:lang w:val="en-CA"/>
        </w:rPr>
      </w:pPr>
      <w:r w:rsidRPr="0026329D">
        <w:rPr>
          <w:b/>
          <w:lang w:val="en-CA"/>
        </w:rPr>
        <w:t>Table 3. HCFC consumption in China (2015 to 2019) (Article 7)</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256"/>
        <w:gridCol w:w="1257"/>
        <w:gridCol w:w="1257"/>
        <w:gridCol w:w="1257"/>
        <w:gridCol w:w="1257"/>
        <w:gridCol w:w="1259"/>
      </w:tblGrid>
      <w:tr w:rsidR="006322A8" w:rsidRPr="0026329D" w:rsidTr="006322A8">
        <w:trPr>
          <w:trHeight w:val="206"/>
          <w:tblHeader/>
        </w:trPr>
        <w:tc>
          <w:tcPr>
            <w:tcW w:w="1009" w:type="pct"/>
            <w:shd w:val="clear" w:color="auto" w:fill="auto"/>
            <w:noWrap/>
            <w:hideMark/>
          </w:tcPr>
          <w:p w:rsidR="006322A8" w:rsidRPr="0026329D" w:rsidRDefault="006322A8" w:rsidP="00475A50">
            <w:pPr>
              <w:widowControl w:val="0"/>
              <w:jc w:val="left"/>
              <w:rPr>
                <w:b/>
                <w:bCs/>
                <w:color w:val="000000"/>
                <w:sz w:val="20"/>
                <w:szCs w:val="20"/>
                <w:lang w:val="en-CA" w:eastAsia="en-CA"/>
              </w:rPr>
            </w:pPr>
            <w:r w:rsidRPr="0026329D">
              <w:rPr>
                <w:b/>
                <w:bCs/>
                <w:color w:val="000000"/>
                <w:sz w:val="20"/>
                <w:szCs w:val="20"/>
                <w:lang w:val="en-CA" w:eastAsia="en-CA"/>
              </w:rPr>
              <w:t>HCFC</w:t>
            </w:r>
          </w:p>
        </w:tc>
        <w:tc>
          <w:tcPr>
            <w:tcW w:w="665" w:type="pct"/>
            <w:shd w:val="clear" w:color="auto" w:fill="auto"/>
            <w:noWrap/>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2015</w:t>
            </w:r>
          </w:p>
        </w:tc>
        <w:tc>
          <w:tcPr>
            <w:tcW w:w="665" w:type="pct"/>
            <w:shd w:val="clear" w:color="auto" w:fill="auto"/>
            <w:noWrap/>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2016</w:t>
            </w:r>
          </w:p>
        </w:tc>
        <w:tc>
          <w:tcPr>
            <w:tcW w:w="665" w:type="pct"/>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2017</w:t>
            </w:r>
          </w:p>
        </w:tc>
        <w:tc>
          <w:tcPr>
            <w:tcW w:w="665" w:type="pct"/>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2018</w:t>
            </w:r>
          </w:p>
        </w:tc>
        <w:tc>
          <w:tcPr>
            <w:tcW w:w="665" w:type="pct"/>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2019</w:t>
            </w:r>
          </w:p>
        </w:tc>
        <w:tc>
          <w:tcPr>
            <w:tcW w:w="666" w:type="pct"/>
            <w:shd w:val="clear" w:color="auto" w:fill="auto"/>
            <w:noWrap/>
            <w:tcMar>
              <w:left w:w="0" w:type="dxa"/>
              <w:right w:w="0" w:type="dxa"/>
            </w:tcMar>
            <w:hideMark/>
          </w:tcPr>
          <w:p w:rsidR="006322A8" w:rsidRPr="0026329D" w:rsidRDefault="006322A8" w:rsidP="00475A50">
            <w:pPr>
              <w:widowControl w:val="0"/>
              <w:jc w:val="center"/>
              <w:rPr>
                <w:b/>
                <w:bCs/>
                <w:iCs/>
                <w:color w:val="000000"/>
                <w:sz w:val="20"/>
                <w:szCs w:val="20"/>
                <w:lang w:val="en-CA" w:eastAsia="en-CA"/>
              </w:rPr>
            </w:pPr>
            <w:r w:rsidRPr="0026329D">
              <w:rPr>
                <w:b/>
                <w:bCs/>
                <w:iCs/>
                <w:color w:val="000000"/>
                <w:sz w:val="20"/>
                <w:szCs w:val="20"/>
                <w:lang w:val="en-CA" w:eastAsia="en-CA"/>
              </w:rPr>
              <w:t>Starting point</w:t>
            </w:r>
          </w:p>
        </w:tc>
      </w:tr>
      <w:tr w:rsidR="006322A8" w:rsidRPr="0026329D" w:rsidTr="006322A8">
        <w:trPr>
          <w:trHeight w:val="206"/>
          <w:tblHeader/>
        </w:trPr>
        <w:tc>
          <w:tcPr>
            <w:tcW w:w="5000" w:type="pct"/>
            <w:gridSpan w:val="7"/>
            <w:shd w:val="clear" w:color="auto" w:fill="auto"/>
            <w:noWrap/>
          </w:tcPr>
          <w:p w:rsidR="006322A8" w:rsidRPr="0026329D" w:rsidRDefault="006322A8" w:rsidP="00475A50">
            <w:pPr>
              <w:widowControl w:val="0"/>
              <w:jc w:val="center"/>
              <w:rPr>
                <w:b/>
                <w:bCs/>
                <w:iCs/>
                <w:color w:val="000000"/>
                <w:sz w:val="20"/>
                <w:szCs w:val="20"/>
                <w:lang w:val="en-CA" w:eastAsia="en-CA"/>
              </w:rPr>
            </w:pPr>
            <w:r w:rsidRPr="0026329D">
              <w:rPr>
                <w:b/>
                <w:bCs/>
                <w:color w:val="000000"/>
                <w:sz w:val="20"/>
                <w:szCs w:val="20"/>
                <w:lang w:val="en-CA" w:eastAsia="en-CA"/>
              </w:rPr>
              <w:t>Metric tonnes</w:t>
            </w:r>
          </w:p>
        </w:tc>
      </w:tr>
      <w:tr w:rsidR="006322A8" w:rsidRPr="0026329D" w:rsidTr="006322A8">
        <w:trPr>
          <w:trHeight w:val="124"/>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HCFC-22*</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153,971</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168,687</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172,970</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178,658</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173,6</w:t>
            </w:r>
            <w:r w:rsidR="00AB34FB" w:rsidRPr="0026329D">
              <w:rPr>
                <w:iCs/>
                <w:color w:val="000000"/>
                <w:sz w:val="20"/>
                <w:szCs w:val="20"/>
                <w:lang w:val="en-CA" w:eastAsia="en-CA"/>
              </w:rPr>
              <w:t>56</w:t>
            </w:r>
            <w:r w:rsidR="00CD62CA" w:rsidRPr="0026329D">
              <w:rPr>
                <w:iCs/>
                <w:color w:val="000000"/>
                <w:sz w:val="20"/>
                <w:szCs w:val="20"/>
                <w:lang w:val="en-CA" w:eastAsia="en-CA"/>
              </w:rPr>
              <w:t>*</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209,006</w:t>
            </w:r>
          </w:p>
        </w:tc>
      </w:tr>
      <w:tr w:rsidR="006322A8" w:rsidRPr="0026329D" w:rsidTr="006322A8">
        <w:trPr>
          <w:trHeight w:val="215"/>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HCFC-123</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900</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943</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990</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991</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958</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507</w:t>
            </w:r>
          </w:p>
        </w:tc>
      </w:tr>
      <w:tr w:rsidR="006322A8" w:rsidRPr="0026329D" w:rsidTr="006322A8">
        <w:trPr>
          <w:trHeight w:val="215"/>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HCFC-124</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(46)</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67</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(6)</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5</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38</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140</w:t>
            </w:r>
          </w:p>
        </w:tc>
      </w:tr>
      <w:tr w:rsidR="006322A8" w:rsidRPr="0026329D" w:rsidTr="006322A8">
        <w:trPr>
          <w:trHeight w:val="228"/>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HCFC-141b</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38,584</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39,144</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40,039</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38,057</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38,449</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53,502</w:t>
            </w:r>
          </w:p>
        </w:tc>
      </w:tr>
      <w:tr w:rsidR="006322A8" w:rsidRPr="0026329D" w:rsidTr="006322A8">
        <w:trPr>
          <w:trHeight w:val="134"/>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HCFC-142b</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11,616</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9,471</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10,253</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5,367</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6,500</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22,624</w:t>
            </w:r>
          </w:p>
        </w:tc>
      </w:tr>
      <w:tr w:rsidR="006322A8" w:rsidRPr="0026329D" w:rsidTr="006322A8">
        <w:trPr>
          <w:trHeight w:val="197"/>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HCFC-225ca/cb</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15</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38</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38</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38</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0.57</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17</w:t>
            </w:r>
          </w:p>
        </w:tc>
      </w:tr>
      <w:tr w:rsidR="006322A8" w:rsidRPr="0026329D" w:rsidTr="006322A8">
        <w:trPr>
          <w:trHeight w:val="197"/>
        </w:trPr>
        <w:tc>
          <w:tcPr>
            <w:tcW w:w="1009" w:type="pct"/>
            <w:shd w:val="clear" w:color="auto" w:fill="auto"/>
            <w:noWrap/>
          </w:tcPr>
          <w:p w:rsidR="006322A8" w:rsidRPr="0026329D" w:rsidRDefault="006322A8" w:rsidP="00475A50">
            <w:pPr>
              <w:widowControl w:val="0"/>
              <w:jc w:val="left"/>
              <w:rPr>
                <w:b/>
                <w:color w:val="000000"/>
                <w:sz w:val="20"/>
                <w:szCs w:val="20"/>
                <w:lang w:val="en-CA" w:eastAsia="en-CA"/>
              </w:rPr>
            </w:pPr>
            <w:r w:rsidRPr="0026329D">
              <w:rPr>
                <w:b/>
                <w:color w:val="000000"/>
                <w:sz w:val="20"/>
                <w:szCs w:val="20"/>
                <w:lang w:val="en-CA" w:eastAsia="en-CA"/>
              </w:rPr>
              <w:t>Total</w:t>
            </w:r>
          </w:p>
        </w:tc>
        <w:tc>
          <w:tcPr>
            <w:tcW w:w="665" w:type="pct"/>
            <w:shd w:val="clear" w:color="auto" w:fill="auto"/>
            <w:noWrap/>
            <w:tcMar>
              <w:left w:w="115" w:type="dxa"/>
              <w:right w:w="173" w:type="dxa"/>
            </w:tcMar>
          </w:tcPr>
          <w:p w:rsidR="006322A8" w:rsidRPr="0026329D" w:rsidRDefault="006322A8" w:rsidP="00475A50">
            <w:pPr>
              <w:widowControl w:val="0"/>
              <w:jc w:val="right"/>
              <w:rPr>
                <w:b/>
                <w:sz w:val="20"/>
                <w:szCs w:val="20"/>
                <w:lang w:val="en-CA"/>
              </w:rPr>
            </w:pPr>
            <w:r w:rsidRPr="0026329D">
              <w:rPr>
                <w:b/>
                <w:sz w:val="20"/>
                <w:szCs w:val="20"/>
                <w:lang w:val="en-CA"/>
              </w:rPr>
              <w:t>205,040</w:t>
            </w:r>
          </w:p>
        </w:tc>
        <w:tc>
          <w:tcPr>
            <w:tcW w:w="665" w:type="pct"/>
            <w:shd w:val="clear" w:color="auto" w:fill="auto"/>
            <w:noWrap/>
            <w:tcMar>
              <w:left w:w="115" w:type="dxa"/>
              <w:right w:w="173" w:type="dxa"/>
            </w:tcMar>
          </w:tcPr>
          <w:p w:rsidR="006322A8" w:rsidRPr="0026329D" w:rsidRDefault="006322A8" w:rsidP="00475A50">
            <w:pPr>
              <w:widowControl w:val="0"/>
              <w:jc w:val="right"/>
              <w:rPr>
                <w:b/>
                <w:sz w:val="20"/>
                <w:szCs w:val="20"/>
                <w:lang w:val="en-CA"/>
              </w:rPr>
            </w:pPr>
            <w:r w:rsidRPr="0026329D">
              <w:rPr>
                <w:b/>
                <w:iCs/>
                <w:color w:val="000000"/>
                <w:sz w:val="20"/>
                <w:szCs w:val="20"/>
                <w:lang w:val="en-CA" w:eastAsia="en-CA"/>
              </w:rPr>
              <w:t>218,350</w:t>
            </w:r>
          </w:p>
        </w:tc>
        <w:tc>
          <w:tcPr>
            <w:tcW w:w="665" w:type="pct"/>
            <w:tcMar>
              <w:left w:w="115" w:type="dxa"/>
              <w:right w:w="173" w:type="dxa"/>
            </w:tcMar>
          </w:tcPr>
          <w:p w:rsidR="006322A8" w:rsidRPr="0026329D" w:rsidRDefault="006322A8" w:rsidP="00475A50">
            <w:pPr>
              <w:widowControl w:val="0"/>
              <w:jc w:val="right"/>
              <w:rPr>
                <w:b/>
                <w:iCs/>
                <w:color w:val="000000"/>
                <w:sz w:val="20"/>
                <w:szCs w:val="20"/>
                <w:lang w:val="en-CA" w:eastAsia="en-CA"/>
              </w:rPr>
            </w:pPr>
            <w:r w:rsidRPr="0026329D">
              <w:rPr>
                <w:b/>
                <w:iCs/>
                <w:color w:val="000000"/>
                <w:sz w:val="20"/>
                <w:szCs w:val="20"/>
                <w:lang w:val="en-CA" w:eastAsia="en-CA"/>
              </w:rPr>
              <w:t>224,284</w:t>
            </w:r>
          </w:p>
        </w:tc>
        <w:tc>
          <w:tcPr>
            <w:tcW w:w="665" w:type="pct"/>
            <w:tcMar>
              <w:left w:w="115" w:type="dxa"/>
              <w:right w:w="173" w:type="dxa"/>
            </w:tcMar>
          </w:tcPr>
          <w:p w:rsidR="006322A8" w:rsidRPr="0026329D" w:rsidRDefault="006322A8" w:rsidP="00475A50">
            <w:pPr>
              <w:widowControl w:val="0"/>
              <w:jc w:val="right"/>
              <w:rPr>
                <w:b/>
                <w:iCs/>
                <w:color w:val="000000"/>
                <w:sz w:val="20"/>
                <w:szCs w:val="20"/>
                <w:lang w:val="en-CA" w:eastAsia="en-CA"/>
              </w:rPr>
            </w:pPr>
            <w:r w:rsidRPr="0026329D">
              <w:rPr>
                <w:b/>
                <w:iCs/>
                <w:color w:val="000000"/>
                <w:sz w:val="20"/>
                <w:szCs w:val="20"/>
                <w:lang w:val="en-CA" w:eastAsia="en-CA"/>
              </w:rPr>
              <w:t>223,105</w:t>
            </w:r>
          </w:p>
        </w:tc>
        <w:tc>
          <w:tcPr>
            <w:tcW w:w="665" w:type="pct"/>
            <w:tcMar>
              <w:left w:w="115" w:type="dxa"/>
              <w:right w:w="173" w:type="dxa"/>
            </w:tcMar>
          </w:tcPr>
          <w:p w:rsidR="006322A8" w:rsidRPr="0026329D" w:rsidRDefault="00AB34FB" w:rsidP="00475A50">
            <w:pPr>
              <w:widowControl w:val="0"/>
              <w:jc w:val="right"/>
              <w:rPr>
                <w:b/>
                <w:color w:val="000000"/>
                <w:sz w:val="20"/>
                <w:szCs w:val="20"/>
                <w:lang w:val="en-CA"/>
              </w:rPr>
            </w:pPr>
            <w:r w:rsidRPr="0026329D">
              <w:rPr>
                <w:b/>
                <w:color w:val="000000"/>
                <w:sz w:val="20"/>
                <w:szCs w:val="20"/>
                <w:lang w:val="en-CA"/>
              </w:rPr>
              <w:t>219,600</w:t>
            </w:r>
          </w:p>
        </w:tc>
        <w:tc>
          <w:tcPr>
            <w:tcW w:w="666" w:type="pct"/>
            <w:shd w:val="clear" w:color="auto" w:fill="auto"/>
            <w:noWrap/>
            <w:tcMar>
              <w:left w:w="115" w:type="dxa"/>
              <w:right w:w="173" w:type="dxa"/>
            </w:tcMar>
          </w:tcPr>
          <w:p w:rsidR="006322A8" w:rsidRPr="0026329D" w:rsidRDefault="006322A8" w:rsidP="00475A50">
            <w:pPr>
              <w:widowControl w:val="0"/>
              <w:jc w:val="right"/>
              <w:rPr>
                <w:b/>
                <w:iCs/>
                <w:color w:val="000000"/>
                <w:sz w:val="20"/>
                <w:szCs w:val="20"/>
                <w:lang w:val="en-CA" w:eastAsia="en-CA"/>
              </w:rPr>
            </w:pPr>
            <w:r w:rsidRPr="0026329D">
              <w:rPr>
                <w:b/>
                <w:iCs/>
                <w:color w:val="000000"/>
                <w:sz w:val="20"/>
                <w:szCs w:val="20"/>
                <w:lang w:val="en-CA" w:eastAsia="en-CA"/>
              </w:rPr>
              <w:fldChar w:fldCharType="begin"/>
            </w:r>
            <w:r w:rsidRPr="0026329D">
              <w:rPr>
                <w:b/>
                <w:iCs/>
                <w:color w:val="000000"/>
                <w:sz w:val="20"/>
                <w:szCs w:val="20"/>
                <w:lang w:val="en-CA" w:eastAsia="en-CA"/>
              </w:rPr>
              <w:instrText xml:space="preserve"> =SUM(ABOVE) </w:instrText>
            </w:r>
            <w:r w:rsidRPr="0026329D">
              <w:rPr>
                <w:b/>
                <w:iCs/>
                <w:color w:val="000000"/>
                <w:sz w:val="20"/>
                <w:szCs w:val="20"/>
                <w:lang w:val="en-CA" w:eastAsia="en-CA"/>
              </w:rPr>
              <w:fldChar w:fldCharType="separate"/>
            </w:r>
            <w:r w:rsidRPr="0026329D">
              <w:rPr>
                <w:b/>
                <w:iCs/>
                <w:noProof/>
                <w:color w:val="000000"/>
                <w:sz w:val="20"/>
                <w:szCs w:val="20"/>
                <w:lang w:val="en-CA" w:eastAsia="en-CA"/>
              </w:rPr>
              <w:t>285,7</w:t>
            </w:r>
            <w:r w:rsidRPr="0026329D">
              <w:rPr>
                <w:b/>
                <w:iCs/>
                <w:color w:val="000000"/>
                <w:sz w:val="20"/>
                <w:szCs w:val="20"/>
                <w:lang w:val="en-CA" w:eastAsia="en-CA"/>
              </w:rPr>
              <w:fldChar w:fldCharType="end"/>
            </w:r>
            <w:r w:rsidRPr="0026329D">
              <w:rPr>
                <w:b/>
                <w:iCs/>
                <w:color w:val="000000"/>
                <w:sz w:val="20"/>
                <w:szCs w:val="20"/>
                <w:lang w:val="en-CA" w:eastAsia="en-CA"/>
              </w:rPr>
              <w:t>96</w:t>
            </w:r>
          </w:p>
        </w:tc>
      </w:tr>
      <w:tr w:rsidR="006322A8" w:rsidRPr="0026329D" w:rsidTr="006322A8">
        <w:trPr>
          <w:trHeight w:val="197"/>
        </w:trPr>
        <w:tc>
          <w:tcPr>
            <w:tcW w:w="5000" w:type="pct"/>
            <w:gridSpan w:val="7"/>
            <w:shd w:val="clear" w:color="auto" w:fill="auto"/>
            <w:noWrap/>
          </w:tcPr>
          <w:p w:rsidR="006322A8" w:rsidRPr="0026329D" w:rsidRDefault="006322A8" w:rsidP="00475A50">
            <w:pPr>
              <w:widowControl w:val="0"/>
              <w:jc w:val="center"/>
              <w:rPr>
                <w:b/>
                <w:iCs/>
                <w:color w:val="000000"/>
                <w:sz w:val="20"/>
                <w:szCs w:val="20"/>
                <w:lang w:val="en-CA" w:eastAsia="en-CA"/>
              </w:rPr>
            </w:pPr>
            <w:r w:rsidRPr="0026329D">
              <w:rPr>
                <w:b/>
                <w:color w:val="000000"/>
                <w:sz w:val="20"/>
                <w:szCs w:val="20"/>
                <w:lang w:val="en-CA" w:eastAsia="en-CA"/>
              </w:rPr>
              <w:t>ODP tonnes</w:t>
            </w:r>
          </w:p>
        </w:tc>
      </w:tr>
      <w:tr w:rsidR="006322A8" w:rsidRPr="0026329D" w:rsidTr="006322A8">
        <w:trPr>
          <w:trHeight w:val="152"/>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HCFC-22*</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8,468</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9,278</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9,513</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9,826</w:t>
            </w:r>
          </w:p>
        </w:tc>
        <w:tc>
          <w:tcPr>
            <w:tcW w:w="665" w:type="pct"/>
            <w:tcMar>
              <w:left w:w="115" w:type="dxa"/>
              <w:right w:w="173" w:type="dxa"/>
            </w:tcMar>
          </w:tcPr>
          <w:p w:rsidR="006322A8" w:rsidRPr="0026329D" w:rsidRDefault="006322A8" w:rsidP="00475A50">
            <w:pPr>
              <w:widowControl w:val="0"/>
              <w:jc w:val="right"/>
              <w:rPr>
                <w:rFonts w:eastAsiaTheme="minorHAnsi"/>
                <w:color w:val="000000"/>
                <w:sz w:val="20"/>
                <w:szCs w:val="20"/>
                <w:lang w:val="en-CA"/>
              </w:rPr>
            </w:pPr>
            <w:r w:rsidRPr="0026329D">
              <w:rPr>
                <w:rFonts w:eastAsiaTheme="minorHAnsi"/>
                <w:color w:val="000000"/>
                <w:sz w:val="20"/>
                <w:szCs w:val="20"/>
                <w:lang w:val="en-CA"/>
              </w:rPr>
              <w:t>9,551</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11,495</w:t>
            </w:r>
          </w:p>
        </w:tc>
      </w:tr>
      <w:tr w:rsidR="006322A8" w:rsidRPr="0026329D" w:rsidTr="006322A8">
        <w:trPr>
          <w:trHeight w:val="197"/>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HCFC-123</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18</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19</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20</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20</w:t>
            </w:r>
          </w:p>
        </w:tc>
        <w:tc>
          <w:tcPr>
            <w:tcW w:w="665" w:type="pct"/>
            <w:tcMar>
              <w:left w:w="115" w:type="dxa"/>
              <w:right w:w="173" w:type="dxa"/>
            </w:tcMar>
          </w:tcPr>
          <w:p w:rsidR="006322A8" w:rsidRPr="0026329D" w:rsidRDefault="006322A8" w:rsidP="00475A50">
            <w:pPr>
              <w:widowControl w:val="0"/>
              <w:jc w:val="right"/>
              <w:rPr>
                <w:rFonts w:eastAsiaTheme="minorHAnsi"/>
                <w:color w:val="000000"/>
                <w:sz w:val="20"/>
                <w:szCs w:val="20"/>
                <w:lang w:val="en-CA"/>
              </w:rPr>
            </w:pPr>
            <w:r w:rsidRPr="0026329D">
              <w:rPr>
                <w:rFonts w:eastAsiaTheme="minorHAnsi"/>
                <w:color w:val="000000"/>
                <w:sz w:val="20"/>
                <w:szCs w:val="20"/>
                <w:lang w:val="en-CA"/>
              </w:rPr>
              <w:t>19</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10</w:t>
            </w:r>
          </w:p>
        </w:tc>
      </w:tr>
      <w:tr w:rsidR="006322A8" w:rsidRPr="0026329D" w:rsidTr="006322A8">
        <w:trPr>
          <w:trHeight w:val="124"/>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HCFC-124</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(1)</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1</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(0.13)</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0.12</w:t>
            </w:r>
          </w:p>
        </w:tc>
        <w:tc>
          <w:tcPr>
            <w:tcW w:w="665" w:type="pct"/>
            <w:tcMar>
              <w:left w:w="115" w:type="dxa"/>
              <w:right w:w="173" w:type="dxa"/>
            </w:tcMar>
          </w:tcPr>
          <w:p w:rsidR="006322A8" w:rsidRPr="0026329D" w:rsidRDefault="006322A8" w:rsidP="00475A50">
            <w:pPr>
              <w:widowControl w:val="0"/>
              <w:jc w:val="right"/>
              <w:rPr>
                <w:rFonts w:eastAsiaTheme="minorHAnsi"/>
                <w:color w:val="000000"/>
                <w:sz w:val="20"/>
                <w:szCs w:val="20"/>
                <w:lang w:val="en-CA"/>
              </w:rPr>
            </w:pPr>
            <w:r w:rsidRPr="0026329D">
              <w:rPr>
                <w:rFonts w:eastAsiaTheme="minorHAnsi"/>
                <w:color w:val="000000"/>
                <w:sz w:val="20"/>
                <w:szCs w:val="20"/>
                <w:lang w:val="en-CA"/>
              </w:rPr>
              <w:t>0.83</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3</w:t>
            </w:r>
          </w:p>
        </w:tc>
      </w:tr>
      <w:tr w:rsidR="006322A8" w:rsidRPr="0026329D" w:rsidTr="006322A8">
        <w:trPr>
          <w:trHeight w:val="143"/>
        </w:trPr>
        <w:tc>
          <w:tcPr>
            <w:tcW w:w="1009" w:type="pct"/>
            <w:shd w:val="clear" w:color="auto" w:fill="auto"/>
            <w:noWrap/>
            <w:hideMark/>
          </w:tcPr>
          <w:p w:rsidR="006322A8" w:rsidRPr="0026329D" w:rsidRDefault="006322A8" w:rsidP="00475A50">
            <w:pPr>
              <w:widowControl w:val="0"/>
              <w:jc w:val="left"/>
              <w:rPr>
                <w:color w:val="000000"/>
                <w:sz w:val="20"/>
                <w:szCs w:val="20"/>
                <w:lang w:val="en-CA" w:eastAsia="en-CA"/>
              </w:rPr>
            </w:pPr>
            <w:r w:rsidRPr="0026329D">
              <w:rPr>
                <w:color w:val="000000"/>
                <w:sz w:val="20"/>
                <w:szCs w:val="20"/>
                <w:lang w:val="en-CA" w:eastAsia="en-CA"/>
              </w:rPr>
              <w:t>HCFC-141b</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sz w:val="20"/>
                <w:szCs w:val="20"/>
                <w:lang w:val="en-CA"/>
              </w:rPr>
              <w:t>4,244</w:t>
            </w:r>
          </w:p>
        </w:tc>
        <w:tc>
          <w:tcPr>
            <w:tcW w:w="665" w:type="pct"/>
            <w:shd w:val="clear" w:color="auto" w:fill="auto"/>
            <w:noWrap/>
            <w:tcMar>
              <w:left w:w="115" w:type="dxa"/>
              <w:right w:w="173" w:type="dxa"/>
            </w:tcMar>
          </w:tcPr>
          <w:p w:rsidR="006322A8" w:rsidRPr="0026329D" w:rsidRDefault="006322A8" w:rsidP="00475A50">
            <w:pPr>
              <w:widowControl w:val="0"/>
              <w:jc w:val="right"/>
              <w:rPr>
                <w:sz w:val="20"/>
                <w:szCs w:val="20"/>
                <w:lang w:val="en-CA"/>
              </w:rPr>
            </w:pPr>
            <w:r w:rsidRPr="0026329D">
              <w:rPr>
                <w:iCs/>
                <w:color w:val="000000"/>
                <w:sz w:val="20"/>
                <w:szCs w:val="20"/>
                <w:lang w:val="en-CA" w:eastAsia="en-CA"/>
              </w:rPr>
              <w:t>4,306</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4,404</w:t>
            </w:r>
          </w:p>
        </w:tc>
        <w:tc>
          <w:tcPr>
            <w:tcW w:w="665" w:type="pct"/>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4,186</w:t>
            </w:r>
          </w:p>
        </w:tc>
        <w:tc>
          <w:tcPr>
            <w:tcW w:w="665" w:type="pct"/>
            <w:tcMar>
              <w:left w:w="115" w:type="dxa"/>
              <w:right w:w="173" w:type="dxa"/>
            </w:tcMar>
          </w:tcPr>
          <w:p w:rsidR="006322A8" w:rsidRPr="0026329D" w:rsidRDefault="006322A8" w:rsidP="00475A50">
            <w:pPr>
              <w:widowControl w:val="0"/>
              <w:jc w:val="right"/>
              <w:rPr>
                <w:rFonts w:eastAsiaTheme="minorHAnsi"/>
                <w:color w:val="000000"/>
                <w:sz w:val="20"/>
                <w:szCs w:val="20"/>
                <w:lang w:val="en-CA"/>
              </w:rPr>
            </w:pPr>
            <w:r w:rsidRPr="0026329D">
              <w:rPr>
                <w:rFonts w:eastAsiaTheme="minorHAnsi"/>
                <w:color w:val="000000"/>
                <w:sz w:val="20"/>
                <w:szCs w:val="20"/>
                <w:lang w:val="en-CA"/>
              </w:rPr>
              <w:t>4,229</w:t>
            </w:r>
          </w:p>
        </w:tc>
        <w:tc>
          <w:tcPr>
            <w:tcW w:w="666" w:type="pct"/>
            <w:shd w:val="clear" w:color="auto" w:fill="auto"/>
            <w:noWrap/>
            <w:tcMar>
              <w:left w:w="115" w:type="dxa"/>
              <w:right w:w="173" w:type="dxa"/>
            </w:tcMar>
          </w:tcPr>
          <w:p w:rsidR="006322A8" w:rsidRPr="0026329D" w:rsidRDefault="006322A8" w:rsidP="00475A50">
            <w:pPr>
              <w:widowControl w:val="0"/>
              <w:jc w:val="right"/>
              <w:rPr>
                <w:iCs/>
                <w:color w:val="000000"/>
                <w:sz w:val="20"/>
                <w:szCs w:val="20"/>
                <w:lang w:val="en-CA" w:eastAsia="en-CA"/>
              </w:rPr>
            </w:pPr>
            <w:r w:rsidRPr="0026329D">
              <w:rPr>
                <w:iCs/>
                <w:color w:val="000000"/>
                <w:sz w:val="20"/>
                <w:szCs w:val="20"/>
                <w:lang w:val="en-CA" w:eastAsia="en-CA"/>
              </w:rPr>
              <w:t>5,885</w:t>
            </w:r>
          </w:p>
        </w:tc>
      </w:tr>
      <w:tr w:rsidR="006322A8" w:rsidRPr="0026329D" w:rsidTr="006322A8">
        <w:trPr>
          <w:trHeight w:val="82"/>
        </w:trPr>
        <w:tc>
          <w:tcPr>
            <w:tcW w:w="1009" w:type="pct"/>
            <w:shd w:val="clear" w:color="auto" w:fill="auto"/>
            <w:noWrap/>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HCFC-142b</w:t>
            </w:r>
          </w:p>
        </w:tc>
        <w:tc>
          <w:tcPr>
            <w:tcW w:w="665" w:type="pct"/>
            <w:shd w:val="clear" w:color="auto" w:fill="auto"/>
            <w:noWrap/>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755</w:t>
            </w:r>
          </w:p>
        </w:tc>
        <w:tc>
          <w:tcPr>
            <w:tcW w:w="665" w:type="pct"/>
            <w:shd w:val="clear" w:color="auto" w:fill="auto"/>
            <w:noWrap/>
            <w:tcMar>
              <w:left w:w="115" w:type="dxa"/>
              <w:right w:w="173" w:type="dxa"/>
            </w:tcMar>
          </w:tcPr>
          <w:p w:rsidR="006322A8" w:rsidRPr="0026329D" w:rsidRDefault="006322A8" w:rsidP="006322A8">
            <w:pPr>
              <w:jc w:val="right"/>
              <w:rPr>
                <w:sz w:val="20"/>
                <w:szCs w:val="20"/>
                <w:lang w:val="en-CA"/>
              </w:rPr>
            </w:pPr>
            <w:r w:rsidRPr="0026329D">
              <w:rPr>
                <w:iCs/>
                <w:color w:val="000000"/>
                <w:sz w:val="20"/>
                <w:szCs w:val="20"/>
                <w:lang w:val="en-CA" w:eastAsia="en-CA"/>
              </w:rPr>
              <w:t>616</w:t>
            </w:r>
          </w:p>
        </w:tc>
        <w:tc>
          <w:tcPr>
            <w:tcW w:w="665" w:type="pct"/>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666</w:t>
            </w:r>
          </w:p>
        </w:tc>
        <w:tc>
          <w:tcPr>
            <w:tcW w:w="665" w:type="pct"/>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349</w:t>
            </w:r>
          </w:p>
        </w:tc>
        <w:tc>
          <w:tcPr>
            <w:tcW w:w="665" w:type="pct"/>
            <w:tcMar>
              <w:left w:w="115" w:type="dxa"/>
              <w:right w:w="173" w:type="dxa"/>
            </w:tcMar>
          </w:tcPr>
          <w:p w:rsidR="006322A8" w:rsidRPr="0026329D" w:rsidRDefault="006322A8" w:rsidP="006322A8">
            <w:pPr>
              <w:jc w:val="right"/>
              <w:rPr>
                <w:rFonts w:eastAsiaTheme="minorHAnsi"/>
                <w:color w:val="000000"/>
                <w:sz w:val="20"/>
                <w:szCs w:val="20"/>
                <w:lang w:val="en-CA"/>
              </w:rPr>
            </w:pPr>
            <w:r w:rsidRPr="0026329D">
              <w:rPr>
                <w:rFonts w:eastAsiaTheme="minorHAnsi"/>
                <w:color w:val="000000"/>
                <w:sz w:val="20"/>
                <w:szCs w:val="20"/>
                <w:lang w:val="en-CA"/>
              </w:rPr>
              <w:t>422</w:t>
            </w:r>
          </w:p>
        </w:tc>
        <w:tc>
          <w:tcPr>
            <w:tcW w:w="666" w:type="pct"/>
            <w:shd w:val="clear" w:color="auto" w:fill="auto"/>
            <w:noWrap/>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1,471</w:t>
            </w:r>
          </w:p>
        </w:tc>
      </w:tr>
      <w:tr w:rsidR="006322A8" w:rsidRPr="0026329D" w:rsidTr="006322A8">
        <w:trPr>
          <w:trHeight w:val="217"/>
        </w:trPr>
        <w:tc>
          <w:tcPr>
            <w:tcW w:w="1009" w:type="pct"/>
            <w:shd w:val="clear" w:color="auto" w:fill="auto"/>
            <w:noWrap/>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HCFC-225ca/cb</w:t>
            </w:r>
          </w:p>
        </w:tc>
        <w:tc>
          <w:tcPr>
            <w:tcW w:w="665" w:type="pct"/>
            <w:shd w:val="clear" w:color="auto" w:fill="auto"/>
            <w:noWrap/>
            <w:tcMar>
              <w:left w:w="115" w:type="dxa"/>
              <w:right w:w="173" w:type="dxa"/>
            </w:tcMar>
          </w:tcPr>
          <w:p w:rsidR="006322A8" w:rsidRPr="0026329D" w:rsidRDefault="006322A8" w:rsidP="006322A8">
            <w:pPr>
              <w:jc w:val="right"/>
              <w:rPr>
                <w:sz w:val="20"/>
                <w:szCs w:val="20"/>
                <w:lang w:val="en-CA"/>
              </w:rPr>
            </w:pPr>
            <w:r w:rsidRPr="0026329D">
              <w:rPr>
                <w:sz w:val="20"/>
                <w:szCs w:val="20"/>
                <w:lang w:val="en-CA"/>
              </w:rPr>
              <w:t>1</w:t>
            </w:r>
          </w:p>
        </w:tc>
        <w:tc>
          <w:tcPr>
            <w:tcW w:w="665" w:type="pct"/>
            <w:shd w:val="clear" w:color="auto" w:fill="auto"/>
            <w:noWrap/>
            <w:tcMar>
              <w:left w:w="115" w:type="dxa"/>
              <w:right w:w="173" w:type="dxa"/>
            </w:tcMar>
          </w:tcPr>
          <w:p w:rsidR="006322A8" w:rsidRPr="0026329D" w:rsidRDefault="006322A8" w:rsidP="006322A8">
            <w:pPr>
              <w:jc w:val="right"/>
              <w:rPr>
                <w:sz w:val="20"/>
                <w:szCs w:val="20"/>
                <w:lang w:val="en-CA"/>
              </w:rPr>
            </w:pPr>
            <w:r w:rsidRPr="0026329D">
              <w:rPr>
                <w:iCs/>
                <w:color w:val="000000"/>
                <w:sz w:val="20"/>
                <w:szCs w:val="20"/>
                <w:lang w:val="en-CA" w:eastAsia="en-CA"/>
              </w:rPr>
              <w:t>1</w:t>
            </w:r>
          </w:p>
        </w:tc>
        <w:tc>
          <w:tcPr>
            <w:tcW w:w="665" w:type="pct"/>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1</w:t>
            </w:r>
          </w:p>
        </w:tc>
        <w:tc>
          <w:tcPr>
            <w:tcW w:w="665" w:type="pct"/>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1</w:t>
            </w:r>
          </w:p>
        </w:tc>
        <w:tc>
          <w:tcPr>
            <w:tcW w:w="665" w:type="pct"/>
            <w:tcMar>
              <w:left w:w="115" w:type="dxa"/>
              <w:right w:w="173" w:type="dxa"/>
            </w:tcMar>
          </w:tcPr>
          <w:p w:rsidR="006322A8" w:rsidRPr="0026329D" w:rsidRDefault="006322A8" w:rsidP="006322A8">
            <w:pPr>
              <w:jc w:val="right"/>
              <w:rPr>
                <w:rFonts w:eastAsiaTheme="minorHAnsi"/>
                <w:color w:val="000000"/>
                <w:sz w:val="20"/>
                <w:szCs w:val="20"/>
                <w:lang w:val="en-CA"/>
              </w:rPr>
            </w:pPr>
            <w:r w:rsidRPr="0026329D">
              <w:rPr>
                <w:rFonts w:eastAsiaTheme="minorHAnsi"/>
                <w:color w:val="000000"/>
                <w:sz w:val="20"/>
                <w:szCs w:val="20"/>
                <w:lang w:val="en-CA"/>
              </w:rPr>
              <w:t>0.017</w:t>
            </w:r>
          </w:p>
        </w:tc>
        <w:tc>
          <w:tcPr>
            <w:tcW w:w="666" w:type="pct"/>
            <w:shd w:val="clear" w:color="auto" w:fill="auto"/>
            <w:noWrap/>
            <w:tcMar>
              <w:left w:w="115" w:type="dxa"/>
              <w:right w:w="173" w:type="dxa"/>
            </w:tcMar>
          </w:tcPr>
          <w:p w:rsidR="006322A8" w:rsidRPr="0026329D" w:rsidRDefault="006322A8" w:rsidP="006322A8">
            <w:pPr>
              <w:jc w:val="right"/>
              <w:rPr>
                <w:iCs/>
                <w:color w:val="000000"/>
                <w:sz w:val="20"/>
                <w:szCs w:val="20"/>
                <w:lang w:val="en-CA" w:eastAsia="en-CA"/>
              </w:rPr>
            </w:pPr>
            <w:r w:rsidRPr="0026329D">
              <w:rPr>
                <w:iCs/>
                <w:color w:val="000000"/>
                <w:sz w:val="20"/>
                <w:szCs w:val="20"/>
                <w:lang w:val="en-CA" w:eastAsia="en-CA"/>
              </w:rPr>
              <w:t>1</w:t>
            </w:r>
          </w:p>
        </w:tc>
      </w:tr>
      <w:tr w:rsidR="006322A8" w:rsidRPr="0026329D" w:rsidTr="006322A8">
        <w:trPr>
          <w:trHeight w:val="152"/>
        </w:trPr>
        <w:tc>
          <w:tcPr>
            <w:tcW w:w="1009" w:type="pct"/>
            <w:shd w:val="clear" w:color="auto" w:fill="auto"/>
            <w:noWrap/>
            <w:hideMark/>
          </w:tcPr>
          <w:p w:rsidR="006322A8" w:rsidRPr="0026329D" w:rsidRDefault="006322A8" w:rsidP="006322A8">
            <w:pPr>
              <w:jc w:val="left"/>
              <w:rPr>
                <w:b/>
                <w:bCs/>
                <w:color w:val="000000"/>
                <w:sz w:val="20"/>
                <w:szCs w:val="20"/>
                <w:lang w:val="en-CA" w:eastAsia="en-CA"/>
              </w:rPr>
            </w:pPr>
            <w:r w:rsidRPr="0026329D">
              <w:rPr>
                <w:b/>
                <w:bCs/>
                <w:color w:val="000000"/>
                <w:sz w:val="20"/>
                <w:szCs w:val="20"/>
                <w:lang w:val="en-CA" w:eastAsia="en-CA"/>
              </w:rPr>
              <w:t>Total</w:t>
            </w:r>
          </w:p>
        </w:tc>
        <w:tc>
          <w:tcPr>
            <w:tcW w:w="665" w:type="pct"/>
            <w:shd w:val="clear" w:color="auto" w:fill="auto"/>
            <w:noWrap/>
            <w:tcMar>
              <w:left w:w="115" w:type="dxa"/>
              <w:right w:w="173" w:type="dxa"/>
            </w:tcMar>
          </w:tcPr>
          <w:p w:rsidR="006322A8" w:rsidRPr="0026329D" w:rsidRDefault="006322A8" w:rsidP="006322A8">
            <w:pPr>
              <w:jc w:val="right"/>
              <w:rPr>
                <w:b/>
                <w:sz w:val="20"/>
                <w:szCs w:val="20"/>
                <w:lang w:val="en-CA"/>
              </w:rPr>
            </w:pPr>
            <w:r w:rsidRPr="0026329D">
              <w:rPr>
                <w:b/>
                <w:sz w:val="20"/>
                <w:szCs w:val="20"/>
                <w:lang w:val="en-CA"/>
              </w:rPr>
              <w:t>13,485</w:t>
            </w:r>
          </w:p>
        </w:tc>
        <w:tc>
          <w:tcPr>
            <w:tcW w:w="665" w:type="pct"/>
            <w:shd w:val="clear" w:color="auto" w:fill="auto"/>
            <w:noWrap/>
            <w:tcMar>
              <w:left w:w="115" w:type="dxa"/>
              <w:right w:w="173" w:type="dxa"/>
            </w:tcMar>
          </w:tcPr>
          <w:p w:rsidR="006322A8" w:rsidRPr="0026329D" w:rsidRDefault="006322A8" w:rsidP="006322A8">
            <w:pPr>
              <w:jc w:val="right"/>
              <w:rPr>
                <w:b/>
                <w:sz w:val="20"/>
                <w:szCs w:val="20"/>
                <w:lang w:val="en-CA"/>
              </w:rPr>
            </w:pPr>
            <w:r w:rsidRPr="0026329D">
              <w:rPr>
                <w:b/>
                <w:bCs/>
                <w:iCs/>
                <w:color w:val="000000"/>
                <w:sz w:val="20"/>
                <w:szCs w:val="20"/>
                <w:lang w:val="en-CA" w:eastAsia="en-CA"/>
              </w:rPr>
              <w:t>14,221</w:t>
            </w:r>
          </w:p>
        </w:tc>
        <w:tc>
          <w:tcPr>
            <w:tcW w:w="665" w:type="pct"/>
            <w:tcMar>
              <w:left w:w="115" w:type="dxa"/>
              <w:right w:w="173" w:type="dxa"/>
            </w:tcMar>
          </w:tcPr>
          <w:p w:rsidR="006322A8" w:rsidRPr="0026329D" w:rsidRDefault="006322A8" w:rsidP="006322A8">
            <w:pPr>
              <w:jc w:val="right"/>
              <w:rPr>
                <w:b/>
                <w:bCs/>
                <w:iCs/>
                <w:color w:val="000000"/>
                <w:sz w:val="20"/>
                <w:szCs w:val="20"/>
                <w:lang w:val="en-CA" w:eastAsia="en-CA"/>
              </w:rPr>
            </w:pPr>
            <w:r w:rsidRPr="0026329D">
              <w:rPr>
                <w:b/>
                <w:bCs/>
                <w:iCs/>
                <w:color w:val="000000"/>
                <w:sz w:val="20"/>
                <w:szCs w:val="20"/>
                <w:lang w:val="en-CA" w:eastAsia="en-CA"/>
              </w:rPr>
              <w:t>14,604</w:t>
            </w:r>
          </w:p>
        </w:tc>
        <w:tc>
          <w:tcPr>
            <w:tcW w:w="665" w:type="pct"/>
            <w:tcMar>
              <w:left w:w="115" w:type="dxa"/>
              <w:right w:w="173" w:type="dxa"/>
            </w:tcMar>
          </w:tcPr>
          <w:p w:rsidR="006322A8" w:rsidRPr="0026329D" w:rsidRDefault="006322A8" w:rsidP="006322A8">
            <w:pPr>
              <w:jc w:val="right"/>
              <w:rPr>
                <w:b/>
                <w:bCs/>
                <w:iCs/>
                <w:color w:val="000000"/>
                <w:sz w:val="20"/>
                <w:szCs w:val="20"/>
                <w:lang w:val="en-CA" w:eastAsia="en-CA"/>
              </w:rPr>
            </w:pPr>
            <w:r w:rsidRPr="0026329D">
              <w:rPr>
                <w:b/>
                <w:bCs/>
                <w:iCs/>
                <w:color w:val="000000"/>
                <w:sz w:val="20"/>
                <w:szCs w:val="20"/>
                <w:lang w:val="en-CA" w:eastAsia="en-CA"/>
              </w:rPr>
              <w:t>14,382</w:t>
            </w:r>
          </w:p>
        </w:tc>
        <w:tc>
          <w:tcPr>
            <w:tcW w:w="665" w:type="pct"/>
            <w:tcMar>
              <w:left w:w="115" w:type="dxa"/>
              <w:right w:w="173" w:type="dxa"/>
            </w:tcMar>
          </w:tcPr>
          <w:p w:rsidR="006322A8" w:rsidRPr="0026329D" w:rsidRDefault="006322A8" w:rsidP="006322A8">
            <w:pPr>
              <w:jc w:val="right"/>
              <w:rPr>
                <w:b/>
                <w:bCs/>
                <w:iCs/>
                <w:color w:val="000000"/>
                <w:sz w:val="20"/>
                <w:szCs w:val="20"/>
                <w:lang w:val="en-CA" w:eastAsia="en-CA"/>
              </w:rPr>
            </w:pPr>
            <w:r w:rsidRPr="0026329D">
              <w:rPr>
                <w:b/>
                <w:bCs/>
                <w:iCs/>
                <w:color w:val="000000"/>
                <w:sz w:val="20"/>
                <w:szCs w:val="20"/>
                <w:lang w:val="en-CA" w:eastAsia="en-CA"/>
              </w:rPr>
              <w:t>14,223</w:t>
            </w:r>
          </w:p>
        </w:tc>
        <w:tc>
          <w:tcPr>
            <w:tcW w:w="666" w:type="pct"/>
            <w:shd w:val="clear" w:color="auto" w:fill="auto"/>
            <w:noWrap/>
            <w:tcMar>
              <w:left w:w="115" w:type="dxa"/>
              <w:right w:w="173" w:type="dxa"/>
            </w:tcMar>
          </w:tcPr>
          <w:p w:rsidR="006322A8" w:rsidRPr="0026329D" w:rsidRDefault="006322A8" w:rsidP="006322A8">
            <w:pPr>
              <w:jc w:val="right"/>
              <w:rPr>
                <w:b/>
                <w:bCs/>
                <w:iCs/>
                <w:color w:val="000000"/>
                <w:sz w:val="20"/>
                <w:szCs w:val="20"/>
                <w:lang w:val="en-CA" w:eastAsia="en-CA"/>
              </w:rPr>
            </w:pPr>
            <w:r w:rsidRPr="0026329D">
              <w:rPr>
                <w:b/>
                <w:bCs/>
                <w:iCs/>
                <w:color w:val="000000"/>
                <w:sz w:val="20"/>
                <w:szCs w:val="20"/>
                <w:lang w:val="en-CA" w:eastAsia="en-CA"/>
              </w:rPr>
              <w:t>18,865</w:t>
            </w:r>
          </w:p>
        </w:tc>
      </w:tr>
    </w:tbl>
    <w:p w:rsidR="006322A8" w:rsidRPr="0026329D" w:rsidRDefault="00CD62CA" w:rsidP="00CD62CA">
      <w:pPr>
        <w:rPr>
          <w:strike/>
          <w:sz w:val="18"/>
          <w:szCs w:val="18"/>
          <w:lang w:val="en-CA"/>
        </w:rPr>
      </w:pPr>
      <w:r w:rsidRPr="0026329D">
        <w:rPr>
          <w:sz w:val="18"/>
          <w:szCs w:val="18"/>
          <w:vertAlign w:val="superscript"/>
          <w:lang w:val="en-CA"/>
        </w:rPr>
        <w:t xml:space="preserve">* </w:t>
      </w:r>
      <w:r w:rsidRPr="0026329D">
        <w:rPr>
          <w:sz w:val="18"/>
          <w:szCs w:val="18"/>
          <w:lang w:val="en-CA"/>
        </w:rPr>
        <w:t>The Government of China reported consumption of 173,662</w:t>
      </w:r>
      <w:r w:rsidR="009B3FC3" w:rsidRPr="0026329D">
        <w:rPr>
          <w:sz w:val="18"/>
          <w:szCs w:val="18"/>
          <w:lang w:val="en-CA"/>
        </w:rPr>
        <w:t> mt</w:t>
      </w:r>
      <w:r w:rsidRPr="0026329D">
        <w:rPr>
          <w:sz w:val="18"/>
          <w:szCs w:val="18"/>
          <w:lang w:val="en-CA"/>
        </w:rPr>
        <w:t xml:space="preserve"> under the 2019 CP report</w:t>
      </w:r>
      <w:r w:rsidR="00340B70" w:rsidRPr="0026329D">
        <w:rPr>
          <w:sz w:val="18"/>
          <w:szCs w:val="18"/>
          <w:lang w:val="en-CA"/>
        </w:rPr>
        <w:t>.</w:t>
      </w:r>
      <w:r w:rsidR="006D68E1" w:rsidRPr="0026329D">
        <w:rPr>
          <w:sz w:val="18"/>
          <w:szCs w:val="18"/>
          <w:lang w:val="en-CA"/>
        </w:rPr>
        <w:t xml:space="preserve"> </w:t>
      </w:r>
    </w:p>
    <w:p w:rsidR="006322A8" w:rsidRPr="0026329D" w:rsidRDefault="006322A8" w:rsidP="006322A8">
      <w:pPr>
        <w:rPr>
          <w:lang w:val="en-CA"/>
        </w:rPr>
      </w:pPr>
    </w:p>
    <w:p w:rsidR="006322A8" w:rsidRPr="0026329D" w:rsidRDefault="006322A8" w:rsidP="006322A8">
      <w:pPr>
        <w:numPr>
          <w:ilvl w:val="0"/>
          <w:numId w:val="1"/>
        </w:numPr>
        <w:spacing w:after="240"/>
        <w:outlineLvl w:val="0"/>
        <w:rPr>
          <w:lang w:val="en-CA"/>
        </w:rPr>
      </w:pPr>
      <w:r w:rsidRPr="0026329D">
        <w:rPr>
          <w:lang w:val="en-CA"/>
        </w:rPr>
        <w:t>HCFC consumption in China continues to be dominated by three substances, HCFC-22, HCFC</w:t>
      </w:r>
      <w:r w:rsidRPr="0026329D">
        <w:rPr>
          <w:lang w:val="en-CA"/>
        </w:rPr>
        <w:noBreakHyphen/>
        <w:t xml:space="preserve">141b and HCFC-142b, which collectively account for 99.9 per cent of the country’s consumption (in ODP tonnes). Overall HCFC consumption in 2019 was marginally lower than in 2018. Despite economic fluctuations, China continues to be in compliance with the Montreal Protocol and with its Agreement with the Executive Committee for </w:t>
      </w:r>
      <w:r w:rsidR="00A81DEE" w:rsidRPr="0026329D">
        <w:rPr>
          <w:lang w:val="en-CA"/>
        </w:rPr>
        <w:t>stage </w:t>
      </w:r>
      <w:r w:rsidRPr="0026329D">
        <w:rPr>
          <w:lang w:val="en-CA"/>
        </w:rPr>
        <w:t xml:space="preserve">II of the HPMP (last consumption target in </w:t>
      </w:r>
      <w:r w:rsidR="00A81DEE" w:rsidRPr="0026329D">
        <w:rPr>
          <w:lang w:val="en-CA"/>
        </w:rPr>
        <w:t>stage </w:t>
      </w:r>
      <w:r w:rsidRPr="0026329D">
        <w:rPr>
          <w:lang w:val="en-CA"/>
        </w:rPr>
        <w:t>I was 2015).</w:t>
      </w:r>
    </w:p>
    <w:p w:rsidR="006322A8" w:rsidRPr="0026329D" w:rsidRDefault="006322A8" w:rsidP="002B5CC9">
      <w:pPr>
        <w:widowControl w:val="0"/>
        <w:numPr>
          <w:ilvl w:val="0"/>
          <w:numId w:val="1"/>
        </w:numPr>
        <w:spacing w:after="240"/>
        <w:outlineLvl w:val="0"/>
        <w:rPr>
          <w:lang w:val="en-CA"/>
        </w:rPr>
      </w:pPr>
      <w:r w:rsidRPr="0026329D">
        <w:rPr>
          <w:lang w:val="en-CA"/>
        </w:rPr>
        <w:t xml:space="preserve">The Government of China has reported country programme (CP) data for 2019. Table 4 presents HCFC consumption per sector which demonstrates compliance with the manufacturing sector consumption limits set out in its Agreement with the Executive Committee for </w:t>
      </w:r>
      <w:r w:rsidR="00A81DEE" w:rsidRPr="0026329D">
        <w:rPr>
          <w:lang w:val="en-CA"/>
        </w:rPr>
        <w:t>stage </w:t>
      </w:r>
      <w:r w:rsidRPr="0026329D">
        <w:rPr>
          <w:lang w:val="en-CA"/>
        </w:rPr>
        <w:t>II of the HPMP.</w:t>
      </w:r>
      <w:r w:rsidRPr="0026329D">
        <w:rPr>
          <w:rStyle w:val="FootnoteReference"/>
          <w:lang w:val="en-CA"/>
        </w:rPr>
        <w:footnoteReference w:id="2"/>
      </w:r>
      <w:r w:rsidRPr="0026329D">
        <w:rPr>
          <w:lang w:val="en-CA"/>
        </w:rPr>
        <w:t xml:space="preserve"> </w:t>
      </w:r>
    </w:p>
    <w:p w:rsidR="006322A8" w:rsidRPr="0026329D" w:rsidRDefault="006322A8" w:rsidP="006322A8">
      <w:pPr>
        <w:tabs>
          <w:tab w:val="left" w:pos="8442"/>
        </w:tabs>
        <w:rPr>
          <w:b/>
          <w:lang w:val="en-CA"/>
        </w:rPr>
      </w:pPr>
      <w:r w:rsidRPr="0026329D">
        <w:rPr>
          <w:b/>
          <w:lang w:val="en-CA"/>
        </w:rPr>
        <w:t>Table 4. HCFC consumption per sector in China in 2019</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004"/>
        <w:gridCol w:w="1004"/>
        <w:gridCol w:w="1004"/>
        <w:gridCol w:w="1004"/>
        <w:gridCol w:w="1004"/>
        <w:gridCol w:w="1004"/>
        <w:gridCol w:w="1004"/>
        <w:gridCol w:w="1005"/>
      </w:tblGrid>
      <w:tr w:rsidR="006322A8" w:rsidRPr="0026329D" w:rsidTr="006322A8">
        <w:trPr>
          <w:tblHeader/>
        </w:trPr>
        <w:tc>
          <w:tcPr>
            <w:tcW w:w="1317" w:type="dxa"/>
            <w:shd w:val="clear" w:color="auto" w:fill="auto"/>
            <w:noWrap/>
            <w:vAlign w:val="center"/>
            <w:hideMark/>
          </w:tcPr>
          <w:p w:rsidR="006322A8" w:rsidRPr="0026329D" w:rsidRDefault="006322A8" w:rsidP="006322A8">
            <w:pPr>
              <w:jc w:val="left"/>
              <w:rPr>
                <w:b/>
                <w:bCs/>
                <w:color w:val="000000"/>
                <w:sz w:val="20"/>
                <w:szCs w:val="20"/>
                <w:lang w:val="en-CA" w:eastAsia="en-CA"/>
              </w:rPr>
            </w:pPr>
            <w:r w:rsidRPr="0026329D">
              <w:rPr>
                <w:b/>
                <w:bCs/>
                <w:color w:val="000000"/>
                <w:sz w:val="20"/>
                <w:szCs w:val="20"/>
                <w:lang w:val="en-CA" w:eastAsia="en-CA"/>
              </w:rPr>
              <w:t>Substance</w:t>
            </w:r>
          </w:p>
        </w:tc>
        <w:tc>
          <w:tcPr>
            <w:tcW w:w="1004" w:type="dxa"/>
            <w:shd w:val="clear" w:color="auto" w:fill="auto"/>
            <w:tcMar>
              <w:left w:w="0" w:type="dxa"/>
              <w:right w:w="58" w:type="dxa"/>
            </w:tcMar>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XPS foam</w:t>
            </w:r>
          </w:p>
        </w:tc>
        <w:tc>
          <w:tcPr>
            <w:tcW w:w="1004" w:type="dxa"/>
            <w:shd w:val="clear" w:color="auto" w:fill="auto"/>
            <w:tcMar>
              <w:left w:w="0" w:type="dxa"/>
              <w:right w:w="58" w:type="dxa"/>
            </w:tcMar>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PU foam</w:t>
            </w:r>
          </w:p>
        </w:tc>
        <w:tc>
          <w:tcPr>
            <w:tcW w:w="1004" w:type="dxa"/>
            <w:shd w:val="clear" w:color="auto" w:fill="auto"/>
            <w:tcMar>
              <w:left w:w="0" w:type="dxa"/>
              <w:right w:w="58" w:type="dxa"/>
            </w:tcMar>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ICR</w:t>
            </w:r>
          </w:p>
        </w:tc>
        <w:tc>
          <w:tcPr>
            <w:tcW w:w="1004" w:type="dxa"/>
            <w:shd w:val="clear" w:color="auto" w:fill="auto"/>
            <w:noWrap/>
            <w:tcMar>
              <w:left w:w="0" w:type="dxa"/>
              <w:right w:w="58"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RAC</w:t>
            </w:r>
          </w:p>
        </w:tc>
        <w:tc>
          <w:tcPr>
            <w:tcW w:w="1004" w:type="dxa"/>
            <w:shd w:val="clear" w:color="auto" w:fill="auto"/>
            <w:tcMar>
              <w:left w:w="0" w:type="dxa"/>
              <w:right w:w="58" w:type="dxa"/>
            </w:tcMar>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Solvent</w:t>
            </w:r>
          </w:p>
        </w:tc>
        <w:tc>
          <w:tcPr>
            <w:tcW w:w="1004" w:type="dxa"/>
            <w:shd w:val="clear" w:color="auto" w:fill="auto"/>
            <w:noWrap/>
            <w:tcMar>
              <w:left w:w="0" w:type="dxa"/>
              <w:right w:w="58"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Servicing</w:t>
            </w:r>
          </w:p>
        </w:tc>
        <w:tc>
          <w:tcPr>
            <w:tcW w:w="1004" w:type="dxa"/>
            <w:shd w:val="clear" w:color="auto" w:fill="auto"/>
            <w:noWrap/>
            <w:tcMar>
              <w:left w:w="0" w:type="dxa"/>
              <w:right w:w="58"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Aerosol</w:t>
            </w:r>
          </w:p>
        </w:tc>
        <w:tc>
          <w:tcPr>
            <w:tcW w:w="1005" w:type="dxa"/>
            <w:shd w:val="clear" w:color="auto" w:fill="auto"/>
            <w:noWrap/>
            <w:tcMar>
              <w:left w:w="0" w:type="dxa"/>
              <w:right w:w="58"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Total</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HCFC-22</w:t>
            </w: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28,000</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36,000</w:t>
            </w: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50,000</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58,006</w:t>
            </w: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1,656</w:t>
            </w: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173,662</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HCFC-141b</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34,289</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3,500</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660</w:t>
            </w: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38,449</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HCFC-142b</w:t>
            </w: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5,500</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90</w:t>
            </w:r>
          </w:p>
        </w:tc>
        <w:tc>
          <w:tcPr>
            <w:tcW w:w="1004" w:type="dxa"/>
            <w:shd w:val="clear" w:color="auto" w:fill="auto"/>
            <w:noWrap/>
            <w:tcMar>
              <w:left w:w="0" w:type="dxa"/>
              <w:right w:w="173" w:type="dxa"/>
            </w:tcMar>
            <w:hideMark/>
          </w:tcPr>
          <w:p w:rsidR="006322A8" w:rsidRPr="0026329D" w:rsidRDefault="006322A8" w:rsidP="006322A8">
            <w:pPr>
              <w:jc w:val="right"/>
              <w:rPr>
                <w:rFonts w:eastAsia="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910</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6,500</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HCFC-123</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553</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405</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958</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HCFC-124</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color w:val="000000"/>
                <w:sz w:val="20"/>
                <w:szCs w:val="20"/>
                <w:lang w:val="en-CA" w:eastAsia="en-CA"/>
              </w:rPr>
            </w:pPr>
            <w:r w:rsidRPr="0026329D">
              <w:rPr>
                <w:sz w:val="20"/>
                <w:szCs w:val="20"/>
                <w:lang w:val="en-CA"/>
              </w:rPr>
              <w:t>38</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38</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HCFC-225ca</w:t>
            </w: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tcMar>
              <w:left w:w="0" w:type="dxa"/>
              <w:right w:w="173" w:type="dxa"/>
            </w:tcMar>
          </w:tcPr>
          <w:p w:rsidR="006322A8" w:rsidRPr="0026329D" w:rsidRDefault="006322A8" w:rsidP="006322A8">
            <w:pPr>
              <w:jc w:val="right"/>
              <w:rPr>
                <w:color w:val="000000"/>
                <w:sz w:val="20"/>
                <w:szCs w:val="20"/>
                <w:lang w:val="en-CA" w:eastAsia="en-CA"/>
              </w:rPr>
            </w:pPr>
            <w:r w:rsidRPr="0026329D">
              <w:rPr>
                <w:sz w:val="20"/>
                <w:szCs w:val="20"/>
                <w:lang w:val="en-CA"/>
              </w:rPr>
              <w:t>1</w:t>
            </w: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4" w:type="dxa"/>
            <w:shd w:val="clear" w:color="auto" w:fill="auto"/>
            <w:noWrap/>
            <w:tcMar>
              <w:left w:w="0" w:type="dxa"/>
              <w:right w:w="173" w:type="dxa"/>
            </w:tcMar>
            <w:hideMark/>
          </w:tcPr>
          <w:p w:rsidR="006322A8" w:rsidRPr="0026329D" w:rsidRDefault="006322A8" w:rsidP="006322A8">
            <w:pPr>
              <w:jc w:val="right"/>
              <w:rPr>
                <w:rFonts w:ascii="SimSun" w:eastAsia="SimSun" w:hAnsi="SimSun"/>
                <w:color w:val="000000"/>
                <w:sz w:val="20"/>
                <w:szCs w:val="20"/>
                <w:lang w:val="en-CA" w:eastAsia="en-CA"/>
              </w:rPr>
            </w:pP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1</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bCs/>
                <w:color w:val="000000"/>
                <w:sz w:val="20"/>
                <w:szCs w:val="20"/>
                <w:lang w:val="en-CA" w:eastAsia="en-CA"/>
              </w:rPr>
            </w:pPr>
            <w:r w:rsidRPr="0026329D">
              <w:rPr>
                <w:bCs/>
                <w:color w:val="000000"/>
                <w:sz w:val="20"/>
                <w:szCs w:val="20"/>
                <w:lang w:val="en-CA" w:eastAsia="en-CA"/>
              </w:rPr>
              <w:t>Total (mt)</w:t>
            </w:r>
          </w:p>
        </w:tc>
        <w:tc>
          <w:tcPr>
            <w:tcW w:w="1004" w:type="dxa"/>
            <w:shd w:val="clear" w:color="auto" w:fill="auto"/>
            <w:tcMar>
              <w:left w:w="0" w:type="dxa"/>
              <w:right w:w="173" w:type="dxa"/>
            </w:tcMar>
          </w:tcPr>
          <w:p w:rsidR="006322A8" w:rsidRPr="0026329D" w:rsidRDefault="006322A8" w:rsidP="006322A8">
            <w:pPr>
              <w:jc w:val="right"/>
              <w:rPr>
                <w:bCs/>
                <w:color w:val="000000"/>
                <w:sz w:val="20"/>
                <w:szCs w:val="20"/>
                <w:lang w:val="en-CA" w:eastAsia="en-CA"/>
              </w:rPr>
            </w:pPr>
            <w:r w:rsidRPr="0026329D">
              <w:rPr>
                <w:sz w:val="20"/>
                <w:szCs w:val="20"/>
                <w:lang w:val="en-CA"/>
              </w:rPr>
              <w:t>33,500</w:t>
            </w:r>
          </w:p>
        </w:tc>
        <w:tc>
          <w:tcPr>
            <w:tcW w:w="1004" w:type="dxa"/>
            <w:shd w:val="clear" w:color="auto" w:fill="auto"/>
            <w:tcMar>
              <w:left w:w="0" w:type="dxa"/>
              <w:right w:w="173" w:type="dxa"/>
            </w:tcMar>
          </w:tcPr>
          <w:p w:rsidR="006322A8" w:rsidRPr="0026329D" w:rsidRDefault="006322A8" w:rsidP="006322A8">
            <w:pPr>
              <w:jc w:val="right"/>
              <w:rPr>
                <w:bCs/>
                <w:color w:val="000000"/>
                <w:sz w:val="20"/>
                <w:szCs w:val="20"/>
                <w:lang w:val="en-CA" w:eastAsia="en-CA"/>
              </w:rPr>
            </w:pPr>
            <w:r w:rsidRPr="0026329D">
              <w:rPr>
                <w:sz w:val="20"/>
                <w:szCs w:val="20"/>
                <w:lang w:val="en-CA"/>
              </w:rPr>
              <w:t>34,289</w:t>
            </w:r>
          </w:p>
        </w:tc>
        <w:tc>
          <w:tcPr>
            <w:tcW w:w="1004" w:type="dxa"/>
            <w:shd w:val="clear" w:color="auto" w:fill="auto"/>
            <w:tcMar>
              <w:left w:w="0" w:type="dxa"/>
              <w:right w:w="173" w:type="dxa"/>
            </w:tcMar>
          </w:tcPr>
          <w:p w:rsidR="006322A8" w:rsidRPr="0026329D" w:rsidRDefault="006322A8" w:rsidP="006322A8">
            <w:pPr>
              <w:jc w:val="right"/>
              <w:rPr>
                <w:bCs/>
                <w:color w:val="000000"/>
                <w:sz w:val="20"/>
                <w:szCs w:val="20"/>
                <w:lang w:val="en-CA" w:eastAsia="en-CA"/>
              </w:rPr>
            </w:pPr>
            <w:r w:rsidRPr="0026329D">
              <w:rPr>
                <w:sz w:val="20"/>
                <w:szCs w:val="20"/>
                <w:lang w:val="en-CA"/>
              </w:rPr>
              <w:t>36,643</w:t>
            </w:r>
          </w:p>
        </w:tc>
        <w:tc>
          <w:tcPr>
            <w:tcW w:w="1004"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50,000</w:t>
            </w:r>
          </w:p>
        </w:tc>
        <w:tc>
          <w:tcPr>
            <w:tcW w:w="1004" w:type="dxa"/>
            <w:shd w:val="clear" w:color="auto" w:fill="auto"/>
            <w:tcMar>
              <w:left w:w="0" w:type="dxa"/>
              <w:right w:w="173" w:type="dxa"/>
            </w:tcMar>
          </w:tcPr>
          <w:p w:rsidR="006322A8" w:rsidRPr="0026329D" w:rsidRDefault="006322A8" w:rsidP="006322A8">
            <w:pPr>
              <w:jc w:val="right"/>
              <w:rPr>
                <w:bCs/>
                <w:color w:val="000000"/>
                <w:sz w:val="20"/>
                <w:szCs w:val="20"/>
                <w:lang w:val="en-CA" w:eastAsia="en-CA"/>
              </w:rPr>
            </w:pPr>
            <w:r w:rsidRPr="0026329D">
              <w:rPr>
                <w:sz w:val="20"/>
                <w:szCs w:val="20"/>
                <w:lang w:val="en-CA"/>
              </w:rPr>
              <w:t>3,501</w:t>
            </w:r>
          </w:p>
        </w:tc>
        <w:tc>
          <w:tcPr>
            <w:tcW w:w="1004"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59,357</w:t>
            </w:r>
          </w:p>
        </w:tc>
        <w:tc>
          <w:tcPr>
            <w:tcW w:w="1004"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2,316</w:t>
            </w:r>
          </w:p>
        </w:tc>
        <w:tc>
          <w:tcPr>
            <w:tcW w:w="1005" w:type="dxa"/>
            <w:shd w:val="clear" w:color="auto" w:fill="auto"/>
            <w:noWrap/>
            <w:tcMar>
              <w:left w:w="0" w:type="dxa"/>
              <w:right w:w="173" w:type="dxa"/>
            </w:tcMar>
            <w:hideMark/>
          </w:tcPr>
          <w:p w:rsidR="006322A8" w:rsidRPr="0026329D" w:rsidRDefault="006322A8" w:rsidP="006322A8">
            <w:pPr>
              <w:jc w:val="right"/>
              <w:rPr>
                <w:bCs/>
                <w:color w:val="000000"/>
                <w:sz w:val="20"/>
                <w:szCs w:val="20"/>
                <w:lang w:val="en-CA" w:eastAsia="en-CA"/>
              </w:rPr>
            </w:pPr>
            <w:r w:rsidRPr="0026329D">
              <w:rPr>
                <w:sz w:val="20"/>
                <w:szCs w:val="20"/>
                <w:lang w:val="en-CA"/>
              </w:rPr>
              <w:t>219,605</w:t>
            </w:r>
          </w:p>
        </w:tc>
      </w:tr>
      <w:tr w:rsidR="006322A8" w:rsidRPr="0026329D" w:rsidTr="006322A8">
        <w:tc>
          <w:tcPr>
            <w:tcW w:w="1317" w:type="dxa"/>
            <w:shd w:val="clear" w:color="auto" w:fill="auto"/>
            <w:noWrap/>
            <w:tcMar>
              <w:left w:w="29" w:type="dxa"/>
              <w:right w:w="0" w:type="dxa"/>
            </w:tcMar>
            <w:hideMark/>
          </w:tcPr>
          <w:p w:rsidR="006322A8" w:rsidRPr="0026329D" w:rsidRDefault="006322A8" w:rsidP="006322A8">
            <w:pPr>
              <w:jc w:val="left"/>
              <w:rPr>
                <w:b/>
                <w:bCs/>
                <w:color w:val="000000"/>
                <w:sz w:val="20"/>
                <w:szCs w:val="20"/>
                <w:lang w:val="en-CA" w:eastAsia="en-CA"/>
              </w:rPr>
            </w:pPr>
            <w:r w:rsidRPr="0026329D">
              <w:rPr>
                <w:b/>
                <w:bCs/>
                <w:color w:val="000000"/>
                <w:sz w:val="20"/>
                <w:szCs w:val="20"/>
                <w:lang w:val="en-CA" w:eastAsia="en-CA"/>
              </w:rPr>
              <w:t>Total</w:t>
            </w:r>
          </w:p>
        </w:tc>
        <w:tc>
          <w:tcPr>
            <w:tcW w:w="1004" w:type="dxa"/>
            <w:shd w:val="clear" w:color="auto" w:fill="auto"/>
            <w:tcMar>
              <w:left w:w="0" w:type="dxa"/>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1,898</w:t>
            </w:r>
          </w:p>
        </w:tc>
        <w:tc>
          <w:tcPr>
            <w:tcW w:w="1004" w:type="dxa"/>
            <w:shd w:val="clear" w:color="auto" w:fill="auto"/>
            <w:tcMar>
              <w:left w:w="0" w:type="dxa"/>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3,772</w:t>
            </w:r>
          </w:p>
        </w:tc>
        <w:tc>
          <w:tcPr>
            <w:tcW w:w="1004" w:type="dxa"/>
            <w:shd w:val="clear" w:color="auto" w:fill="auto"/>
            <w:tcMar>
              <w:left w:w="0" w:type="dxa"/>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1,997</w:t>
            </w:r>
          </w:p>
        </w:tc>
        <w:tc>
          <w:tcPr>
            <w:tcW w:w="1004" w:type="dxa"/>
            <w:shd w:val="clear" w:color="auto" w:fill="auto"/>
            <w:noWrap/>
            <w:tcMar>
              <w:left w:w="0" w:type="dxa"/>
              <w:right w:w="173" w:type="dxa"/>
            </w:tcMar>
            <w:hideMark/>
          </w:tcPr>
          <w:p w:rsidR="006322A8" w:rsidRPr="0026329D" w:rsidRDefault="006322A8" w:rsidP="006322A8">
            <w:pPr>
              <w:jc w:val="right"/>
              <w:rPr>
                <w:b/>
                <w:bCs/>
                <w:color w:val="000000"/>
                <w:sz w:val="20"/>
                <w:szCs w:val="20"/>
                <w:lang w:val="en-CA" w:eastAsia="en-CA"/>
              </w:rPr>
            </w:pPr>
            <w:r w:rsidRPr="0026329D">
              <w:rPr>
                <w:sz w:val="20"/>
                <w:szCs w:val="20"/>
                <w:lang w:val="en-CA"/>
              </w:rPr>
              <w:t>2,750</w:t>
            </w:r>
          </w:p>
        </w:tc>
        <w:tc>
          <w:tcPr>
            <w:tcW w:w="1004" w:type="dxa"/>
            <w:shd w:val="clear" w:color="auto" w:fill="auto"/>
            <w:tcMar>
              <w:left w:w="0" w:type="dxa"/>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385</w:t>
            </w:r>
          </w:p>
        </w:tc>
        <w:tc>
          <w:tcPr>
            <w:tcW w:w="1004" w:type="dxa"/>
            <w:shd w:val="clear" w:color="auto" w:fill="auto"/>
            <w:noWrap/>
            <w:tcMar>
              <w:left w:w="0" w:type="dxa"/>
              <w:right w:w="173" w:type="dxa"/>
            </w:tcMar>
            <w:hideMark/>
          </w:tcPr>
          <w:p w:rsidR="006322A8" w:rsidRPr="0026329D" w:rsidRDefault="006322A8" w:rsidP="006322A8">
            <w:pPr>
              <w:jc w:val="right"/>
              <w:rPr>
                <w:b/>
                <w:bCs/>
                <w:color w:val="000000"/>
                <w:sz w:val="20"/>
                <w:szCs w:val="20"/>
                <w:lang w:val="en-CA" w:eastAsia="en-CA"/>
              </w:rPr>
            </w:pPr>
            <w:r w:rsidRPr="0026329D">
              <w:rPr>
                <w:sz w:val="20"/>
                <w:szCs w:val="20"/>
                <w:lang w:val="en-CA"/>
              </w:rPr>
              <w:t>3,258</w:t>
            </w:r>
          </w:p>
        </w:tc>
        <w:tc>
          <w:tcPr>
            <w:tcW w:w="1004" w:type="dxa"/>
            <w:shd w:val="clear" w:color="auto" w:fill="auto"/>
            <w:noWrap/>
            <w:tcMar>
              <w:left w:w="0" w:type="dxa"/>
              <w:right w:w="173" w:type="dxa"/>
            </w:tcMar>
            <w:hideMark/>
          </w:tcPr>
          <w:p w:rsidR="006322A8" w:rsidRPr="0026329D" w:rsidRDefault="006322A8" w:rsidP="006322A8">
            <w:pPr>
              <w:jc w:val="right"/>
              <w:rPr>
                <w:b/>
                <w:bCs/>
                <w:color w:val="000000"/>
                <w:sz w:val="20"/>
                <w:szCs w:val="20"/>
                <w:lang w:val="en-CA" w:eastAsia="en-CA"/>
              </w:rPr>
            </w:pPr>
            <w:r w:rsidRPr="0026329D">
              <w:rPr>
                <w:sz w:val="20"/>
                <w:szCs w:val="20"/>
                <w:lang w:val="en-CA"/>
              </w:rPr>
              <w:t>164</w:t>
            </w:r>
          </w:p>
        </w:tc>
        <w:tc>
          <w:tcPr>
            <w:tcW w:w="1005" w:type="dxa"/>
            <w:shd w:val="clear" w:color="auto" w:fill="auto"/>
            <w:noWrap/>
            <w:tcMar>
              <w:left w:w="0" w:type="dxa"/>
              <w:right w:w="173" w:type="dxa"/>
            </w:tcMar>
            <w:hideMark/>
          </w:tcPr>
          <w:p w:rsidR="006322A8" w:rsidRPr="0026329D" w:rsidRDefault="006322A8" w:rsidP="006322A8">
            <w:pPr>
              <w:jc w:val="right"/>
              <w:rPr>
                <w:b/>
                <w:bCs/>
                <w:color w:val="000000"/>
                <w:sz w:val="20"/>
                <w:szCs w:val="20"/>
                <w:lang w:val="en-CA" w:eastAsia="en-CA"/>
              </w:rPr>
            </w:pPr>
            <w:r w:rsidRPr="0026329D">
              <w:rPr>
                <w:sz w:val="20"/>
                <w:szCs w:val="20"/>
                <w:lang w:val="en-CA"/>
              </w:rPr>
              <w:t>14,223</w:t>
            </w:r>
          </w:p>
        </w:tc>
      </w:tr>
      <w:tr w:rsidR="006322A8" w:rsidRPr="0026329D" w:rsidTr="006322A8">
        <w:tc>
          <w:tcPr>
            <w:tcW w:w="1317" w:type="dxa"/>
            <w:shd w:val="clear" w:color="auto" w:fill="auto"/>
            <w:noWrap/>
            <w:tcMar>
              <w:left w:w="29" w:type="dxa"/>
              <w:right w:w="0" w:type="dxa"/>
            </w:tcMar>
          </w:tcPr>
          <w:p w:rsidR="006322A8" w:rsidRPr="0026329D" w:rsidRDefault="006322A8" w:rsidP="006322A8">
            <w:pPr>
              <w:jc w:val="left"/>
              <w:rPr>
                <w:b/>
                <w:bCs/>
                <w:color w:val="000000"/>
                <w:sz w:val="19"/>
                <w:szCs w:val="19"/>
                <w:lang w:val="en-CA" w:eastAsia="en-CA"/>
              </w:rPr>
            </w:pPr>
            <w:r w:rsidRPr="0026329D">
              <w:rPr>
                <w:b/>
                <w:color w:val="000000"/>
                <w:sz w:val="20"/>
                <w:szCs w:val="20"/>
                <w:lang w:val="en-CA"/>
              </w:rPr>
              <w:t xml:space="preserve">Allowable*** </w:t>
            </w:r>
          </w:p>
        </w:tc>
        <w:tc>
          <w:tcPr>
            <w:tcW w:w="1004" w:type="dxa"/>
            <w:shd w:val="clear" w:color="auto" w:fill="auto"/>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2,032</w:t>
            </w:r>
          </w:p>
        </w:tc>
        <w:tc>
          <w:tcPr>
            <w:tcW w:w="1004" w:type="dxa"/>
            <w:shd w:val="clear" w:color="auto" w:fill="auto"/>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3,775</w:t>
            </w:r>
          </w:p>
        </w:tc>
        <w:tc>
          <w:tcPr>
            <w:tcW w:w="1004" w:type="dxa"/>
            <w:shd w:val="clear" w:color="auto" w:fill="auto"/>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2,042</w:t>
            </w:r>
          </w:p>
        </w:tc>
        <w:tc>
          <w:tcPr>
            <w:tcW w:w="1004" w:type="dxa"/>
            <w:shd w:val="clear" w:color="auto" w:fill="auto"/>
            <w:noWrap/>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2,876</w:t>
            </w:r>
          </w:p>
        </w:tc>
        <w:tc>
          <w:tcPr>
            <w:tcW w:w="1004" w:type="dxa"/>
            <w:shd w:val="clear" w:color="auto" w:fill="auto"/>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395</w:t>
            </w:r>
          </w:p>
        </w:tc>
        <w:tc>
          <w:tcPr>
            <w:tcW w:w="1004" w:type="dxa"/>
            <w:shd w:val="clear" w:color="auto" w:fill="auto"/>
            <w:noWrap/>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n/a*</w:t>
            </w:r>
          </w:p>
        </w:tc>
        <w:tc>
          <w:tcPr>
            <w:tcW w:w="1004" w:type="dxa"/>
            <w:shd w:val="clear" w:color="auto" w:fill="auto"/>
            <w:noWrap/>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n/a**</w:t>
            </w:r>
          </w:p>
        </w:tc>
        <w:tc>
          <w:tcPr>
            <w:tcW w:w="1005" w:type="dxa"/>
            <w:shd w:val="clear" w:color="auto" w:fill="auto"/>
            <w:noWrap/>
            <w:tcMar>
              <w:right w:w="173" w:type="dxa"/>
            </w:tcMar>
          </w:tcPr>
          <w:p w:rsidR="006322A8" w:rsidRPr="0026329D" w:rsidRDefault="006322A8" w:rsidP="006322A8">
            <w:pPr>
              <w:jc w:val="right"/>
              <w:rPr>
                <w:b/>
                <w:bCs/>
                <w:color w:val="000000"/>
                <w:sz w:val="20"/>
                <w:szCs w:val="20"/>
                <w:lang w:val="en-CA" w:eastAsia="en-CA"/>
              </w:rPr>
            </w:pPr>
            <w:r w:rsidRPr="0026329D">
              <w:rPr>
                <w:sz w:val="20"/>
                <w:szCs w:val="20"/>
                <w:lang w:val="en-CA"/>
              </w:rPr>
              <w:t>15,048</w:t>
            </w:r>
          </w:p>
        </w:tc>
      </w:tr>
    </w:tbl>
    <w:p w:rsidR="006322A8" w:rsidRPr="0026329D" w:rsidRDefault="006322A8" w:rsidP="006322A8">
      <w:pPr>
        <w:rPr>
          <w:sz w:val="19"/>
          <w:szCs w:val="19"/>
          <w:lang w:val="en-CA"/>
        </w:rPr>
      </w:pPr>
      <w:r w:rsidRPr="0026329D">
        <w:rPr>
          <w:sz w:val="19"/>
          <w:szCs w:val="19"/>
          <w:lang w:val="en-CA"/>
        </w:rPr>
        <w:t>* No annual consumption target established for the refrigeration s</w:t>
      </w:r>
      <w:r w:rsidR="005B7C48" w:rsidRPr="0026329D">
        <w:rPr>
          <w:sz w:val="19"/>
          <w:szCs w:val="19"/>
          <w:lang w:val="en-CA"/>
        </w:rPr>
        <w:t>ervicing sector</w:t>
      </w:r>
      <w:r w:rsidRPr="0026329D">
        <w:rPr>
          <w:sz w:val="19"/>
          <w:szCs w:val="19"/>
          <w:lang w:val="en-CA"/>
        </w:rPr>
        <w:t>.</w:t>
      </w:r>
    </w:p>
    <w:p w:rsidR="006322A8" w:rsidRPr="0026329D" w:rsidRDefault="006322A8" w:rsidP="006322A8">
      <w:pPr>
        <w:rPr>
          <w:sz w:val="19"/>
          <w:szCs w:val="19"/>
          <w:lang w:val="en-CA"/>
        </w:rPr>
      </w:pPr>
      <w:r w:rsidRPr="0026329D">
        <w:rPr>
          <w:sz w:val="19"/>
          <w:szCs w:val="19"/>
          <w:lang w:val="en-CA"/>
        </w:rPr>
        <w:t xml:space="preserve">** Aerosol sector is not part of </w:t>
      </w:r>
      <w:r w:rsidR="00A81DEE" w:rsidRPr="0026329D">
        <w:rPr>
          <w:sz w:val="19"/>
          <w:szCs w:val="19"/>
          <w:lang w:val="en-CA"/>
        </w:rPr>
        <w:t>stage </w:t>
      </w:r>
      <w:r w:rsidRPr="0026329D">
        <w:rPr>
          <w:sz w:val="19"/>
          <w:szCs w:val="19"/>
          <w:lang w:val="en-CA"/>
        </w:rPr>
        <w:t>II of the HPMP.</w:t>
      </w:r>
    </w:p>
    <w:p w:rsidR="006322A8" w:rsidRPr="0026329D" w:rsidRDefault="006322A8" w:rsidP="006322A8">
      <w:pPr>
        <w:rPr>
          <w:sz w:val="19"/>
          <w:szCs w:val="19"/>
          <w:lang w:val="en-CA"/>
        </w:rPr>
      </w:pPr>
      <w:r w:rsidRPr="0026329D">
        <w:rPr>
          <w:sz w:val="19"/>
          <w:szCs w:val="19"/>
          <w:lang w:val="en-CA"/>
        </w:rPr>
        <w:t>*** Maximum allowable level of consumption.</w:t>
      </w:r>
    </w:p>
    <w:p w:rsidR="006322A8" w:rsidRPr="0026329D" w:rsidRDefault="006322A8" w:rsidP="006322A8">
      <w:pPr>
        <w:rPr>
          <w:sz w:val="19"/>
          <w:szCs w:val="19"/>
          <w:lang w:val="en-CA"/>
        </w:rPr>
      </w:pPr>
    </w:p>
    <w:p w:rsidR="006322A8" w:rsidRPr="0026329D" w:rsidRDefault="006322A8" w:rsidP="006322A8">
      <w:pPr>
        <w:numPr>
          <w:ilvl w:val="0"/>
          <w:numId w:val="1"/>
        </w:numPr>
        <w:spacing w:after="240"/>
        <w:outlineLvl w:val="0"/>
        <w:rPr>
          <w:lang w:val="en-CA"/>
        </w:rPr>
      </w:pPr>
      <w:r w:rsidRPr="0026329D">
        <w:rPr>
          <w:lang w:val="en-CA"/>
        </w:rPr>
        <w:t>The Government of China continued to monitor HCFC consumption in each of the different sectors. Each year for which a funding tranche is due, the Foreign Environmental Cooperation Centre (FECO) collects data from different sources including beneficiary enterprises, verification report of the production sector, the license system and industrial associations. Data is cross-verified with the actual consumption in the enterprises only for some sectors and substances, such as the RAC sector (with limited consuming enterprises) and HCFC</w:t>
      </w:r>
      <w:r w:rsidRPr="0026329D">
        <w:rPr>
          <w:lang w:val="en-CA"/>
        </w:rPr>
        <w:noBreakHyphen/>
        <w:t>22. For sectors with large number of small and medium-sized enterprises (SMEs) (i.e., XPS foam, PU foam, ICR, and servicing sector</w:t>
      </w:r>
      <w:r w:rsidR="003F682B" w:rsidRPr="0026329D">
        <w:rPr>
          <w:lang w:val="en-CA"/>
        </w:rPr>
        <w:t>s</w:t>
      </w:r>
      <w:r w:rsidRPr="0026329D">
        <w:rPr>
          <w:lang w:val="en-CA"/>
        </w:rPr>
        <w:t>)</w:t>
      </w:r>
      <w:r w:rsidR="003F682B" w:rsidRPr="0026329D">
        <w:rPr>
          <w:lang w:val="en-CA"/>
        </w:rPr>
        <w:t>,</w:t>
      </w:r>
      <w:r w:rsidRPr="0026329D">
        <w:rPr>
          <w:lang w:val="en-CA"/>
        </w:rPr>
        <w:t xml:space="preserve"> consumption is monitored through the national system of licensing and quotas for HCFC imports, exports, production and consumption. The domestic production quotas control HCFC sold in the local market and subsequent consumption in SMEs. Quotas are also issued to enterprises with an annual consumption of HCFCs over 100 metric tonnes (mt), for each of the different sectors; enterprises with consumption smaller than 100 mt are not required to have a quota but are monitored by local Ecology and Environment Bureaus (EEBs). </w:t>
      </w:r>
    </w:p>
    <w:p w:rsidR="006322A8" w:rsidRPr="0026329D" w:rsidRDefault="006322A8" w:rsidP="006322A8">
      <w:pPr>
        <w:numPr>
          <w:ilvl w:val="0"/>
          <w:numId w:val="1"/>
        </w:numPr>
        <w:spacing w:after="240"/>
        <w:outlineLvl w:val="0"/>
        <w:rPr>
          <w:lang w:val="en-CA"/>
        </w:rPr>
      </w:pPr>
      <w:r w:rsidRPr="0026329D">
        <w:rPr>
          <w:lang w:val="en-CA"/>
        </w:rPr>
        <w:t>In addition, FECO is cooperating with the local EEBs to strengthen policies that can support the reduction of HCFC consumption, including a ban for new HCFC</w:t>
      </w:r>
      <w:r w:rsidRPr="0026329D">
        <w:rPr>
          <w:lang w:val="en-CA"/>
        </w:rPr>
        <w:noBreakHyphen/>
        <w:t xml:space="preserve">based manufacturing facilities. </w:t>
      </w:r>
    </w:p>
    <w:p w:rsidR="006322A8" w:rsidRPr="0026329D" w:rsidRDefault="006322A8" w:rsidP="006322A8">
      <w:pPr>
        <w:rPr>
          <w:u w:val="single"/>
          <w:lang w:val="en-CA"/>
        </w:rPr>
      </w:pPr>
      <w:r w:rsidRPr="0026329D">
        <w:rPr>
          <w:u w:val="single"/>
          <w:lang w:val="en-CA"/>
        </w:rPr>
        <w:t>Verification of consumption of HCFCs in China</w:t>
      </w:r>
    </w:p>
    <w:p w:rsidR="006322A8" w:rsidRPr="0026329D" w:rsidRDefault="006322A8" w:rsidP="006322A8">
      <w:pPr>
        <w:rPr>
          <w:lang w:val="en-CA"/>
        </w:rPr>
      </w:pPr>
    </w:p>
    <w:p w:rsidR="006322A8" w:rsidRPr="0026329D" w:rsidRDefault="006322A8" w:rsidP="006322A8">
      <w:pPr>
        <w:pStyle w:val="Heading1"/>
        <w:rPr>
          <w:lang w:val="en-CA"/>
        </w:rPr>
      </w:pPr>
      <w:r w:rsidRPr="0026329D">
        <w:rPr>
          <w:lang w:val="en-CA"/>
        </w:rPr>
        <w:t xml:space="preserve">The World Bank will undertake an independent verification of both the 2019 and 2020 HCFC production and consumption in China under </w:t>
      </w:r>
      <w:r w:rsidR="00A81DEE" w:rsidRPr="0026329D">
        <w:rPr>
          <w:lang w:val="en-CA"/>
        </w:rPr>
        <w:t>stage </w:t>
      </w:r>
      <w:r w:rsidRPr="0026329D">
        <w:rPr>
          <w:lang w:val="en-CA"/>
        </w:rPr>
        <w:t>II of the HPPMP in 2021</w:t>
      </w:r>
      <w:r w:rsidR="003F682B" w:rsidRPr="0026329D">
        <w:rPr>
          <w:lang w:val="en-CA"/>
        </w:rPr>
        <w:t>,</w:t>
      </w:r>
      <w:r w:rsidRPr="0026329D">
        <w:rPr>
          <w:lang w:val="en-CA"/>
        </w:rPr>
        <w:t xml:space="preserve"> once both the World Bank’s and China’s travel restrictions related to the COVID-19 pandemic are lifted. The HCFC consumption per sector provided by the Government of China was within the limits established by the Agreement for the consumption sector. </w:t>
      </w:r>
    </w:p>
    <w:p w:rsidR="006322A8" w:rsidRPr="0026329D" w:rsidRDefault="006322A8" w:rsidP="006322A8">
      <w:pPr>
        <w:spacing w:after="240"/>
        <w:outlineLvl w:val="0"/>
        <w:rPr>
          <w:u w:val="single"/>
          <w:lang w:val="en-CA"/>
        </w:rPr>
      </w:pPr>
      <w:r w:rsidRPr="0026329D">
        <w:rPr>
          <w:u w:val="single"/>
          <w:lang w:val="en-CA"/>
        </w:rPr>
        <w:t>Overview of progress</w:t>
      </w:r>
      <w:r w:rsidR="003949EA" w:rsidRPr="0026329D">
        <w:rPr>
          <w:rStyle w:val="FootnoteReference"/>
          <w:u w:val="single"/>
          <w:lang w:val="en-CA"/>
        </w:rPr>
        <w:footnoteReference w:id="3"/>
      </w:r>
    </w:p>
    <w:p w:rsidR="006322A8" w:rsidRPr="0026329D" w:rsidRDefault="006322A8" w:rsidP="006322A8">
      <w:pPr>
        <w:numPr>
          <w:ilvl w:val="0"/>
          <w:numId w:val="1"/>
        </w:numPr>
        <w:spacing w:after="240"/>
        <w:outlineLvl w:val="0"/>
        <w:rPr>
          <w:lang w:val="en-CA"/>
        </w:rPr>
      </w:pPr>
      <w:r w:rsidRPr="0026329D">
        <w:rPr>
          <w:lang w:val="en-CA"/>
        </w:rPr>
        <w:t xml:space="preserve">An overview of the main achievements in the implementation of </w:t>
      </w:r>
      <w:r w:rsidR="00A81DEE" w:rsidRPr="0026329D">
        <w:rPr>
          <w:lang w:val="en-CA"/>
        </w:rPr>
        <w:t>stage </w:t>
      </w:r>
      <w:r w:rsidRPr="0026329D">
        <w:rPr>
          <w:lang w:val="en-CA"/>
        </w:rPr>
        <w:t xml:space="preserve">I of the HPMP include: </w:t>
      </w:r>
    </w:p>
    <w:p w:rsidR="006322A8" w:rsidRPr="0026329D" w:rsidRDefault="006322A8" w:rsidP="006322A8">
      <w:pPr>
        <w:widowControl w:val="0"/>
        <w:numPr>
          <w:ilvl w:val="1"/>
          <w:numId w:val="1"/>
        </w:numPr>
        <w:spacing w:after="240"/>
        <w:outlineLvl w:val="1"/>
        <w:rPr>
          <w:lang w:val="en-CA"/>
        </w:rPr>
      </w:pPr>
      <w:r w:rsidRPr="0026329D">
        <w:rPr>
          <w:i/>
          <w:lang w:val="en-CA"/>
        </w:rPr>
        <w:t>XPS foam sector:</w:t>
      </w:r>
      <w:r w:rsidRPr="0026329D">
        <w:rPr>
          <w:lang w:val="en-CA"/>
        </w:rPr>
        <w:t xml:space="preserve"> Sector plan operationally completed and project completion report (PCR) submitted at the 82</w:t>
      </w:r>
      <w:r w:rsidRPr="0026329D">
        <w:rPr>
          <w:vertAlign w:val="superscript"/>
          <w:lang w:val="en-CA"/>
        </w:rPr>
        <w:t>nd</w:t>
      </w:r>
      <w:r w:rsidRPr="0026329D">
        <w:rPr>
          <w:lang w:val="en-CA"/>
        </w:rPr>
        <w:t> meeting. All tranches were financially completed in June 2019;</w:t>
      </w:r>
    </w:p>
    <w:p w:rsidR="006322A8" w:rsidRPr="0026329D" w:rsidRDefault="006322A8" w:rsidP="006322A8">
      <w:pPr>
        <w:widowControl w:val="0"/>
        <w:numPr>
          <w:ilvl w:val="1"/>
          <w:numId w:val="1"/>
        </w:numPr>
        <w:spacing w:after="240"/>
        <w:outlineLvl w:val="1"/>
        <w:rPr>
          <w:lang w:val="en-CA"/>
        </w:rPr>
      </w:pPr>
      <w:r w:rsidRPr="0026329D">
        <w:rPr>
          <w:i/>
          <w:lang w:val="en-CA"/>
        </w:rPr>
        <w:t>PU foam sector:</w:t>
      </w:r>
      <w:r w:rsidRPr="0026329D">
        <w:rPr>
          <w:lang w:val="en-CA"/>
        </w:rPr>
        <w:t xml:space="preserve"> Sector plan operationally completed (June 2019), PCR submitted at the 84</w:t>
      </w:r>
      <w:r w:rsidRPr="0026329D">
        <w:rPr>
          <w:vertAlign w:val="superscript"/>
          <w:lang w:val="en-CA"/>
        </w:rPr>
        <w:t>th</w:t>
      </w:r>
      <w:r w:rsidRPr="0026329D">
        <w:rPr>
          <w:lang w:val="en-CA"/>
        </w:rPr>
        <w:t> meeting, and fund balances returned at 84</w:t>
      </w:r>
      <w:r w:rsidRPr="0026329D">
        <w:rPr>
          <w:vertAlign w:val="superscript"/>
          <w:lang w:val="en-CA"/>
        </w:rPr>
        <w:t>th</w:t>
      </w:r>
      <w:r w:rsidRPr="0026329D">
        <w:rPr>
          <w:lang w:val="en-CA"/>
        </w:rPr>
        <w:t xml:space="preserve"> meeting; </w:t>
      </w:r>
    </w:p>
    <w:p w:rsidR="006322A8" w:rsidRPr="0026329D" w:rsidRDefault="006322A8" w:rsidP="006322A8">
      <w:pPr>
        <w:widowControl w:val="0"/>
        <w:numPr>
          <w:ilvl w:val="1"/>
          <w:numId w:val="1"/>
        </w:numPr>
        <w:spacing w:after="240"/>
        <w:outlineLvl w:val="1"/>
        <w:rPr>
          <w:lang w:val="en-CA"/>
        </w:rPr>
      </w:pPr>
      <w:r w:rsidRPr="0026329D">
        <w:rPr>
          <w:i/>
          <w:lang w:val="en-CA"/>
        </w:rPr>
        <w:t>ICR sector:</w:t>
      </w:r>
      <w:r w:rsidRPr="0026329D">
        <w:rPr>
          <w:lang w:val="en-CA"/>
        </w:rPr>
        <w:t xml:space="preserve"> Sector plan operationally completed (December 2019), PCR submitted at the 85</w:t>
      </w:r>
      <w:r w:rsidRPr="0026329D">
        <w:rPr>
          <w:vertAlign w:val="superscript"/>
          <w:lang w:val="en-CA"/>
        </w:rPr>
        <w:t>th</w:t>
      </w:r>
      <w:r w:rsidRPr="0026329D">
        <w:rPr>
          <w:lang w:val="en-CA"/>
        </w:rPr>
        <w:t xml:space="preserve"> meeting, and fund balances will be returned upon financial completion; </w:t>
      </w:r>
    </w:p>
    <w:p w:rsidR="006322A8" w:rsidRPr="0026329D" w:rsidRDefault="006322A8" w:rsidP="006322A8">
      <w:pPr>
        <w:widowControl w:val="0"/>
        <w:numPr>
          <w:ilvl w:val="1"/>
          <w:numId w:val="1"/>
        </w:numPr>
        <w:spacing w:after="240"/>
        <w:outlineLvl w:val="1"/>
        <w:rPr>
          <w:lang w:val="en-CA"/>
        </w:rPr>
      </w:pPr>
      <w:r w:rsidRPr="0026329D">
        <w:rPr>
          <w:i/>
          <w:lang w:val="en-CA"/>
        </w:rPr>
        <w:t>RAC sector:</w:t>
      </w:r>
      <w:r w:rsidRPr="0026329D">
        <w:rPr>
          <w:lang w:val="en-CA"/>
        </w:rPr>
        <w:t xml:space="preserve"> All technical assistance and conversions have been completed, including twenty-nine RAC lines (R-290, R-410A and compressors) with the total phase-out of 10,813.7 mt of HCFC-22 (of which 10,488.1 mt are associated with locally-owned enterprises). An extension to 31 December 2021 is requested to allow continued sales of R</w:t>
      </w:r>
      <w:r w:rsidR="003F682B" w:rsidRPr="0026329D">
        <w:rPr>
          <w:lang w:val="en-CA"/>
        </w:rPr>
        <w:noBreakHyphen/>
      </w:r>
      <w:r w:rsidRPr="0026329D">
        <w:rPr>
          <w:lang w:val="en-CA"/>
        </w:rPr>
        <w:t>290 RAC equipment, and associated disbursement of incremental operating costs</w:t>
      </w:r>
      <w:r w:rsidR="003949EA" w:rsidRPr="0026329D">
        <w:rPr>
          <w:lang w:val="en-CA"/>
        </w:rPr>
        <w:t xml:space="preserve"> (a detailed progress report submitted to the 86</w:t>
      </w:r>
      <w:r w:rsidR="003949EA" w:rsidRPr="0026329D">
        <w:rPr>
          <w:vertAlign w:val="superscript"/>
          <w:lang w:val="en-CA"/>
        </w:rPr>
        <w:t>th</w:t>
      </w:r>
      <w:r w:rsidR="009B3FC3" w:rsidRPr="0026329D">
        <w:rPr>
          <w:lang w:val="en-CA"/>
        </w:rPr>
        <w:t> meeting</w:t>
      </w:r>
      <w:r w:rsidR="003949EA" w:rsidRPr="0026329D">
        <w:rPr>
          <w:lang w:val="en-CA"/>
        </w:rPr>
        <w:t xml:space="preserve"> is presented below)</w:t>
      </w:r>
      <w:r w:rsidRPr="0026329D">
        <w:rPr>
          <w:lang w:val="en-CA"/>
        </w:rPr>
        <w:t>;</w:t>
      </w:r>
    </w:p>
    <w:p w:rsidR="006322A8" w:rsidRPr="0026329D" w:rsidRDefault="006322A8" w:rsidP="003949EA">
      <w:pPr>
        <w:pStyle w:val="Heading2"/>
        <w:rPr>
          <w:lang w:val="en-CA"/>
        </w:rPr>
      </w:pPr>
      <w:r w:rsidRPr="0026329D">
        <w:rPr>
          <w:i/>
          <w:lang w:val="en-CA"/>
        </w:rPr>
        <w:t>Solvent sector:</w:t>
      </w:r>
      <w:r w:rsidRPr="0026329D">
        <w:rPr>
          <w:lang w:val="en-CA"/>
        </w:rPr>
        <w:t xml:space="preserve"> Sector plan operationally completed (December 2017), PCR submitted to the 81</w:t>
      </w:r>
      <w:r w:rsidRPr="0026329D">
        <w:rPr>
          <w:vertAlign w:val="superscript"/>
          <w:lang w:val="en-CA"/>
        </w:rPr>
        <w:t>st</w:t>
      </w:r>
      <w:r w:rsidRPr="0026329D">
        <w:rPr>
          <w:lang w:val="en-CA"/>
        </w:rPr>
        <w:t> meeting, and there were no balances reported; and</w:t>
      </w:r>
    </w:p>
    <w:p w:rsidR="006322A8" w:rsidRPr="0026329D" w:rsidRDefault="006322A8" w:rsidP="006322A8">
      <w:pPr>
        <w:pStyle w:val="Heading2"/>
        <w:rPr>
          <w:lang w:val="en-CA"/>
        </w:rPr>
      </w:pPr>
      <w:r w:rsidRPr="0026329D">
        <w:rPr>
          <w:i/>
          <w:lang w:val="en-CA"/>
        </w:rPr>
        <w:t>Refrigeration servicing sector:</w:t>
      </w:r>
      <w:r w:rsidRPr="0026329D">
        <w:rPr>
          <w:lang w:val="en-CA"/>
        </w:rPr>
        <w:t xml:space="preserve"> Sector plan operationally completed (December 2018), PCR submitted to the 84</w:t>
      </w:r>
      <w:r w:rsidRPr="0026329D">
        <w:rPr>
          <w:vertAlign w:val="superscript"/>
          <w:lang w:val="en-CA"/>
        </w:rPr>
        <w:t>th</w:t>
      </w:r>
      <w:r w:rsidRPr="0026329D">
        <w:rPr>
          <w:lang w:val="en-CA"/>
        </w:rPr>
        <w:t> meeting, and there were no balances reported.</w:t>
      </w:r>
    </w:p>
    <w:p w:rsidR="006322A8" w:rsidRPr="0026329D" w:rsidRDefault="006322A8" w:rsidP="006322A8">
      <w:pPr>
        <w:spacing w:after="240"/>
        <w:outlineLvl w:val="0"/>
        <w:rPr>
          <w:u w:val="single"/>
          <w:lang w:val="en-CA"/>
        </w:rPr>
      </w:pPr>
      <w:r w:rsidRPr="0026329D">
        <w:rPr>
          <w:u w:val="single"/>
          <w:lang w:val="en-CA"/>
        </w:rPr>
        <w:t xml:space="preserve">Disbursement of funds and interest accrued under </w:t>
      </w:r>
      <w:r w:rsidR="00A81DEE" w:rsidRPr="0026329D">
        <w:rPr>
          <w:u w:val="single"/>
          <w:lang w:val="en-CA"/>
        </w:rPr>
        <w:t>stage </w:t>
      </w:r>
      <w:r w:rsidRPr="0026329D">
        <w:rPr>
          <w:u w:val="single"/>
          <w:lang w:val="en-CA"/>
        </w:rPr>
        <w:t xml:space="preserve">I and </w:t>
      </w:r>
      <w:r w:rsidR="00A81DEE" w:rsidRPr="0026329D">
        <w:rPr>
          <w:u w:val="single"/>
          <w:lang w:val="en-CA"/>
        </w:rPr>
        <w:t>stage </w:t>
      </w:r>
      <w:r w:rsidRPr="0026329D">
        <w:rPr>
          <w:u w:val="single"/>
          <w:lang w:val="en-CA"/>
        </w:rPr>
        <w:t>II</w:t>
      </w:r>
    </w:p>
    <w:p w:rsidR="006322A8" w:rsidRPr="0026329D" w:rsidRDefault="006322A8" w:rsidP="006322A8">
      <w:pPr>
        <w:numPr>
          <w:ilvl w:val="0"/>
          <w:numId w:val="1"/>
        </w:numPr>
        <w:outlineLvl w:val="0"/>
        <w:rPr>
          <w:lang w:val="en-CA"/>
        </w:rPr>
      </w:pPr>
      <w:r w:rsidRPr="0026329D">
        <w:rPr>
          <w:lang w:val="en-CA"/>
        </w:rPr>
        <w:t xml:space="preserve">Based on decision 69/24, information on interest accrued as of the end of 2019 was provided through an audit report on the disbursement for </w:t>
      </w:r>
      <w:r w:rsidR="00A81DEE" w:rsidRPr="0026329D">
        <w:rPr>
          <w:lang w:val="en-CA"/>
        </w:rPr>
        <w:t>stage </w:t>
      </w:r>
      <w:r w:rsidRPr="0026329D">
        <w:rPr>
          <w:lang w:val="en-CA"/>
        </w:rPr>
        <w:t xml:space="preserve">I and </w:t>
      </w:r>
      <w:r w:rsidR="00A81DEE" w:rsidRPr="0026329D">
        <w:rPr>
          <w:lang w:val="en-CA"/>
        </w:rPr>
        <w:t>stage </w:t>
      </w:r>
      <w:r w:rsidRPr="0026329D">
        <w:rPr>
          <w:lang w:val="en-CA"/>
        </w:rPr>
        <w:t>II of the HPMP sector plans of 2019 submitted by UNDP on 8 September 2020, as shown in Table 5. The audit report also indicated that “the financial statement of project grant and disbursement of the HPMP (stages I and II) is complied with the rules of the Montreal Protocol on ODS and the Chinese Institution Accounting Standard. The statement of project grant and expenditure has been fairly and justly presented in all material respects from 1 January to 31 December 2019 by FECO.”</w:t>
      </w:r>
    </w:p>
    <w:p w:rsidR="006322A8" w:rsidRPr="0026329D" w:rsidRDefault="006322A8" w:rsidP="006322A8">
      <w:pPr>
        <w:rPr>
          <w:lang w:val="en-CA"/>
        </w:rPr>
      </w:pPr>
    </w:p>
    <w:p w:rsidR="006322A8" w:rsidRPr="0026329D" w:rsidRDefault="006322A8" w:rsidP="006322A8">
      <w:pPr>
        <w:rPr>
          <w:b/>
          <w:lang w:val="en-CA"/>
        </w:rPr>
      </w:pPr>
      <w:r w:rsidRPr="0026329D">
        <w:rPr>
          <w:b/>
          <w:lang w:val="en-CA"/>
        </w:rPr>
        <w:t>Table 5. Information provided on interest accrued in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892"/>
        <w:gridCol w:w="1892"/>
        <w:gridCol w:w="2030"/>
      </w:tblGrid>
      <w:tr w:rsidR="006322A8" w:rsidRPr="0026329D" w:rsidTr="00A1637C">
        <w:trPr>
          <w:trHeight w:val="204"/>
        </w:trPr>
        <w:tc>
          <w:tcPr>
            <w:tcW w:w="1921" w:type="pct"/>
            <w:vMerge w:val="restart"/>
            <w:shd w:val="clear" w:color="auto" w:fill="auto"/>
            <w:noWrap/>
            <w:vAlign w:val="center"/>
            <w:hideMark/>
          </w:tcPr>
          <w:p w:rsidR="006322A8" w:rsidRPr="0026329D" w:rsidRDefault="006322A8" w:rsidP="00A1637C">
            <w:pPr>
              <w:jc w:val="left"/>
              <w:rPr>
                <w:b/>
                <w:bCs/>
                <w:color w:val="000000"/>
                <w:sz w:val="20"/>
                <w:szCs w:val="20"/>
                <w:lang w:val="en-CA" w:eastAsia="en-CA"/>
              </w:rPr>
            </w:pPr>
            <w:r w:rsidRPr="0026329D">
              <w:rPr>
                <w:b/>
                <w:bCs/>
                <w:color w:val="000000"/>
                <w:sz w:val="20"/>
                <w:szCs w:val="20"/>
                <w:lang w:val="en-CA" w:eastAsia="en-CA"/>
              </w:rPr>
              <w:t>Sector plan</w:t>
            </w:r>
          </w:p>
        </w:tc>
        <w:tc>
          <w:tcPr>
            <w:tcW w:w="3079" w:type="pct"/>
            <w:gridSpan w:val="3"/>
            <w:shd w:val="clear" w:color="auto" w:fill="auto"/>
            <w:noWrap/>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Interests accrued 2019 (</w:t>
            </w:r>
            <w:r w:rsidR="00475A50" w:rsidRPr="0026329D">
              <w:rPr>
                <w:b/>
                <w:bCs/>
                <w:color w:val="000000"/>
                <w:sz w:val="20"/>
                <w:szCs w:val="20"/>
                <w:lang w:val="en-CA" w:eastAsia="en-CA"/>
              </w:rPr>
              <w:t>US $</w:t>
            </w:r>
            <w:r w:rsidRPr="0026329D">
              <w:rPr>
                <w:b/>
                <w:bCs/>
                <w:color w:val="000000"/>
                <w:sz w:val="20"/>
                <w:szCs w:val="20"/>
                <w:lang w:val="en-CA" w:eastAsia="en-CA"/>
              </w:rPr>
              <w:t>)</w:t>
            </w:r>
          </w:p>
        </w:tc>
      </w:tr>
      <w:tr w:rsidR="006322A8" w:rsidRPr="0026329D" w:rsidTr="006322A8">
        <w:trPr>
          <w:trHeight w:val="250"/>
        </w:trPr>
        <w:tc>
          <w:tcPr>
            <w:tcW w:w="1921" w:type="pct"/>
            <w:vMerge/>
            <w:shd w:val="clear" w:color="auto" w:fill="auto"/>
            <w:noWrap/>
            <w:vAlign w:val="center"/>
          </w:tcPr>
          <w:p w:rsidR="006322A8" w:rsidRPr="0026329D" w:rsidRDefault="006322A8" w:rsidP="006322A8">
            <w:pPr>
              <w:jc w:val="center"/>
              <w:rPr>
                <w:b/>
                <w:bCs/>
                <w:color w:val="000000"/>
                <w:sz w:val="20"/>
                <w:szCs w:val="20"/>
                <w:lang w:val="en-CA" w:eastAsia="en-CA"/>
              </w:rPr>
            </w:pPr>
          </w:p>
        </w:tc>
        <w:tc>
          <w:tcPr>
            <w:tcW w:w="1002" w:type="pct"/>
            <w:tcBorders>
              <w:bottom w:val="single" w:sz="4" w:space="0" w:color="auto"/>
            </w:tcBorders>
            <w:shd w:val="clear" w:color="auto" w:fill="auto"/>
            <w:noWrap/>
            <w:vAlign w:val="center"/>
          </w:tcPr>
          <w:p w:rsidR="006322A8" w:rsidRPr="0026329D" w:rsidRDefault="00A81DEE" w:rsidP="006322A8">
            <w:pPr>
              <w:jc w:val="center"/>
              <w:rPr>
                <w:b/>
                <w:bCs/>
                <w:color w:val="000000"/>
                <w:sz w:val="20"/>
                <w:szCs w:val="20"/>
                <w:lang w:val="en-CA" w:eastAsia="en-CA"/>
              </w:rPr>
            </w:pPr>
            <w:r w:rsidRPr="0026329D">
              <w:rPr>
                <w:b/>
                <w:bCs/>
                <w:color w:val="000000"/>
                <w:sz w:val="20"/>
                <w:szCs w:val="20"/>
                <w:lang w:val="en-CA" w:eastAsia="en-CA"/>
              </w:rPr>
              <w:t>Stage </w:t>
            </w:r>
            <w:r w:rsidR="006322A8" w:rsidRPr="0026329D">
              <w:rPr>
                <w:b/>
                <w:bCs/>
                <w:color w:val="000000"/>
                <w:sz w:val="20"/>
                <w:szCs w:val="20"/>
                <w:lang w:val="en-CA" w:eastAsia="en-CA"/>
              </w:rPr>
              <w:t>I</w:t>
            </w:r>
          </w:p>
        </w:tc>
        <w:tc>
          <w:tcPr>
            <w:tcW w:w="1002" w:type="pct"/>
            <w:tcBorders>
              <w:bottom w:val="single" w:sz="4" w:space="0" w:color="auto"/>
            </w:tcBorders>
            <w:shd w:val="clear" w:color="auto" w:fill="auto"/>
            <w:noWrap/>
            <w:vAlign w:val="center"/>
          </w:tcPr>
          <w:p w:rsidR="006322A8" w:rsidRPr="0026329D" w:rsidRDefault="00A81DEE" w:rsidP="006322A8">
            <w:pPr>
              <w:jc w:val="center"/>
              <w:rPr>
                <w:b/>
                <w:bCs/>
                <w:color w:val="000000"/>
                <w:sz w:val="20"/>
                <w:szCs w:val="20"/>
                <w:lang w:val="en-CA" w:eastAsia="en-CA"/>
              </w:rPr>
            </w:pPr>
            <w:r w:rsidRPr="0026329D">
              <w:rPr>
                <w:b/>
                <w:bCs/>
                <w:color w:val="000000"/>
                <w:sz w:val="20"/>
                <w:szCs w:val="20"/>
                <w:lang w:val="en-CA" w:eastAsia="en-CA"/>
              </w:rPr>
              <w:t>Stage </w:t>
            </w:r>
            <w:r w:rsidR="006322A8" w:rsidRPr="0026329D">
              <w:rPr>
                <w:b/>
                <w:bCs/>
                <w:color w:val="000000"/>
                <w:sz w:val="20"/>
                <w:szCs w:val="20"/>
                <w:lang w:val="en-CA" w:eastAsia="en-CA"/>
              </w:rPr>
              <w:t>II</w:t>
            </w:r>
          </w:p>
        </w:tc>
        <w:tc>
          <w:tcPr>
            <w:tcW w:w="1075" w:type="pct"/>
            <w:tcBorders>
              <w:bottom w:val="single" w:sz="4" w:space="0" w:color="auto"/>
            </w:tcBorders>
            <w:shd w:val="clear" w:color="auto" w:fill="auto"/>
            <w:noWrap/>
            <w:vAlign w:val="center"/>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 xml:space="preserve">Total </w:t>
            </w:r>
          </w:p>
        </w:tc>
      </w:tr>
      <w:tr w:rsidR="006322A8" w:rsidRPr="0026329D" w:rsidTr="00B72984">
        <w:trPr>
          <w:trHeight w:val="161"/>
        </w:trPr>
        <w:tc>
          <w:tcPr>
            <w:tcW w:w="1921" w:type="pct"/>
            <w:shd w:val="clear" w:color="auto" w:fill="auto"/>
            <w:noWrap/>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XPS foam (UNIDO/Germany)</w:t>
            </w:r>
          </w:p>
        </w:tc>
        <w:tc>
          <w:tcPr>
            <w:tcW w:w="10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1,670</w:t>
            </w:r>
          </w:p>
        </w:tc>
        <w:tc>
          <w:tcPr>
            <w:tcW w:w="10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3,995</w:t>
            </w:r>
          </w:p>
        </w:tc>
        <w:tc>
          <w:tcPr>
            <w:tcW w:w="107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5,665</w:t>
            </w:r>
          </w:p>
        </w:tc>
      </w:tr>
      <w:tr w:rsidR="006322A8" w:rsidRPr="0026329D" w:rsidTr="00B72984">
        <w:trPr>
          <w:trHeight w:val="66"/>
        </w:trPr>
        <w:tc>
          <w:tcPr>
            <w:tcW w:w="1921" w:type="pct"/>
            <w:shd w:val="clear" w:color="auto" w:fill="auto"/>
            <w:noWrap/>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PU foam (World Bank)</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3,251</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628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3,879</w:t>
            </w:r>
          </w:p>
        </w:tc>
      </w:tr>
      <w:tr w:rsidR="006322A8" w:rsidRPr="0026329D" w:rsidTr="00B72984">
        <w:trPr>
          <w:trHeight w:val="111"/>
        </w:trPr>
        <w:tc>
          <w:tcPr>
            <w:tcW w:w="1921" w:type="pct"/>
            <w:shd w:val="clear" w:color="auto" w:fill="auto"/>
            <w:noWrap/>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ICR (UNDP)</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41,456</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45,418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86,874</w:t>
            </w:r>
          </w:p>
        </w:tc>
      </w:tr>
      <w:tr w:rsidR="006322A8" w:rsidRPr="0026329D" w:rsidTr="00B72984">
        <w:trPr>
          <w:trHeight w:val="158"/>
        </w:trPr>
        <w:tc>
          <w:tcPr>
            <w:tcW w:w="1921" w:type="pct"/>
            <w:shd w:val="clear" w:color="auto" w:fill="auto"/>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RAC (UNIDO)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24,085</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2,128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26,213</w:t>
            </w:r>
          </w:p>
        </w:tc>
      </w:tr>
      <w:tr w:rsidR="006322A8" w:rsidRPr="0026329D" w:rsidTr="00B72984">
        <w:trPr>
          <w:trHeight w:val="62"/>
        </w:trPr>
        <w:tc>
          <w:tcPr>
            <w:tcW w:w="1921" w:type="pct"/>
            <w:shd w:val="clear" w:color="auto" w:fill="auto"/>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Solvent (UNDP)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6322A8" w:rsidRPr="0026329D" w:rsidRDefault="00B72984" w:rsidP="006322A8">
            <w:pPr>
              <w:jc w:val="right"/>
              <w:rPr>
                <w:color w:val="000000"/>
                <w:sz w:val="20"/>
                <w:szCs w:val="20"/>
                <w:lang w:val="en-CA"/>
              </w:rPr>
            </w:pPr>
            <w:r w:rsidRPr="0026329D">
              <w:rPr>
                <w:color w:val="000000"/>
                <w:sz w:val="20"/>
                <w:szCs w:val="20"/>
                <w:lang w:val="en-CA"/>
              </w:rPr>
              <w:t>0</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891</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891</w:t>
            </w:r>
          </w:p>
        </w:tc>
      </w:tr>
      <w:tr w:rsidR="006322A8" w:rsidRPr="0026329D" w:rsidTr="00B72984">
        <w:trPr>
          <w:trHeight w:val="94"/>
        </w:trPr>
        <w:tc>
          <w:tcPr>
            <w:tcW w:w="1921" w:type="pct"/>
            <w:shd w:val="clear" w:color="auto" w:fill="auto"/>
            <w:vAlign w:val="center"/>
            <w:hideMark/>
          </w:tcPr>
          <w:p w:rsidR="006322A8" w:rsidRPr="0026329D" w:rsidRDefault="006322A8" w:rsidP="006322A8">
            <w:pPr>
              <w:rPr>
                <w:color w:val="000000"/>
                <w:sz w:val="20"/>
                <w:szCs w:val="20"/>
                <w:lang w:val="en-CA" w:eastAsia="en-CA"/>
              </w:rPr>
            </w:pPr>
            <w:r w:rsidRPr="0026329D">
              <w:rPr>
                <w:bCs/>
                <w:color w:val="000000"/>
                <w:sz w:val="20"/>
                <w:szCs w:val="20"/>
                <w:lang w:val="en-CA" w:eastAsia="en-CA"/>
              </w:rPr>
              <w:t>Servicing (UNEP /Japan)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746</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rsidR="006322A8" w:rsidRPr="0026329D" w:rsidRDefault="006322A8" w:rsidP="006322A8">
            <w:pPr>
              <w:jc w:val="right"/>
              <w:rPr>
                <w:color w:val="000000"/>
                <w:sz w:val="20"/>
                <w:szCs w:val="20"/>
                <w:lang w:val="en-CA"/>
              </w:rPr>
            </w:pPr>
            <w:r w:rsidRPr="0026329D">
              <w:rPr>
                <w:color w:val="000000"/>
                <w:sz w:val="20"/>
                <w:szCs w:val="20"/>
                <w:lang w:val="en-CA"/>
              </w:rPr>
              <w:t>6,726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color w:val="000000"/>
                <w:sz w:val="20"/>
                <w:szCs w:val="20"/>
                <w:lang w:val="en-CA"/>
              </w:rPr>
            </w:pPr>
            <w:r w:rsidRPr="0026329D">
              <w:rPr>
                <w:color w:val="000000"/>
                <w:sz w:val="20"/>
                <w:szCs w:val="20"/>
                <w:lang w:val="en-CA"/>
              </w:rPr>
              <w:t>7,472</w:t>
            </w:r>
          </w:p>
        </w:tc>
      </w:tr>
      <w:tr w:rsidR="006322A8" w:rsidRPr="0026329D" w:rsidTr="00B72984">
        <w:trPr>
          <w:trHeight w:val="37"/>
        </w:trPr>
        <w:tc>
          <w:tcPr>
            <w:tcW w:w="1921" w:type="pct"/>
            <w:shd w:val="clear" w:color="auto" w:fill="auto"/>
            <w:noWrap/>
            <w:vAlign w:val="center"/>
            <w:hideMark/>
          </w:tcPr>
          <w:p w:rsidR="006322A8" w:rsidRPr="0026329D" w:rsidRDefault="006322A8" w:rsidP="003949EA">
            <w:pPr>
              <w:rPr>
                <w:b/>
                <w:bCs/>
                <w:color w:val="000000"/>
                <w:sz w:val="20"/>
                <w:szCs w:val="20"/>
                <w:lang w:val="en-CA" w:eastAsia="en-CA"/>
              </w:rPr>
            </w:pPr>
            <w:r w:rsidRPr="0026329D">
              <w:rPr>
                <w:b/>
                <w:bCs/>
                <w:color w:val="000000"/>
                <w:sz w:val="20"/>
                <w:szCs w:val="20"/>
                <w:lang w:val="en-CA" w:eastAsia="en-CA"/>
              </w:rPr>
              <w:t xml:space="preserve">Total </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b/>
                <w:bCs/>
                <w:color w:val="000000"/>
                <w:sz w:val="20"/>
                <w:szCs w:val="20"/>
                <w:lang w:val="en-CA"/>
              </w:rPr>
            </w:pPr>
            <w:r w:rsidRPr="0026329D">
              <w:rPr>
                <w:b/>
                <w:bCs/>
                <w:color w:val="000000"/>
                <w:sz w:val="20"/>
                <w:szCs w:val="20"/>
                <w:lang w:val="en-CA"/>
              </w:rPr>
              <w:t>71,207</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b/>
                <w:bCs/>
                <w:color w:val="000000"/>
                <w:sz w:val="20"/>
                <w:szCs w:val="20"/>
                <w:lang w:val="en-CA"/>
              </w:rPr>
            </w:pPr>
            <w:r w:rsidRPr="0026329D">
              <w:rPr>
                <w:b/>
                <w:bCs/>
                <w:color w:val="000000"/>
                <w:sz w:val="20"/>
                <w:szCs w:val="20"/>
                <w:lang w:val="en-CA"/>
              </w:rPr>
              <w:t>59,786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6322A8" w:rsidRPr="0026329D" w:rsidRDefault="006322A8" w:rsidP="006322A8">
            <w:pPr>
              <w:jc w:val="right"/>
              <w:rPr>
                <w:b/>
                <w:bCs/>
                <w:color w:val="000000"/>
                <w:sz w:val="20"/>
                <w:szCs w:val="20"/>
                <w:lang w:val="en-CA"/>
              </w:rPr>
            </w:pPr>
            <w:r w:rsidRPr="0026329D">
              <w:rPr>
                <w:b/>
                <w:color w:val="000000"/>
                <w:sz w:val="20"/>
                <w:szCs w:val="20"/>
                <w:lang w:val="en-CA"/>
              </w:rPr>
              <w:t>130,993</w:t>
            </w:r>
          </w:p>
        </w:tc>
      </w:tr>
    </w:tbl>
    <w:p w:rsidR="006322A8" w:rsidRPr="0026329D" w:rsidRDefault="006322A8" w:rsidP="006322A8">
      <w:pPr>
        <w:rPr>
          <w:b/>
          <w:lang w:val="en-CA"/>
        </w:rPr>
      </w:pPr>
    </w:p>
    <w:p w:rsidR="006322A8" w:rsidRPr="0026329D" w:rsidRDefault="003304E4" w:rsidP="006322A8">
      <w:pPr>
        <w:rPr>
          <w:b/>
          <w:lang w:val="en-CA"/>
        </w:rPr>
      </w:pPr>
      <w:r w:rsidRPr="0026329D">
        <w:rPr>
          <w:b/>
          <w:lang w:val="en-CA"/>
        </w:rPr>
        <w:t>Recommendation</w:t>
      </w:r>
    </w:p>
    <w:p w:rsidR="006322A8" w:rsidRPr="0026329D" w:rsidRDefault="006322A8" w:rsidP="006322A8">
      <w:pPr>
        <w:rPr>
          <w:lang w:val="en-CA"/>
        </w:rPr>
      </w:pPr>
    </w:p>
    <w:p w:rsidR="00872560" w:rsidRPr="0026329D" w:rsidRDefault="00872560" w:rsidP="00872560">
      <w:pPr>
        <w:pStyle w:val="Heading1"/>
        <w:rPr>
          <w:lang w:val="en-CA"/>
        </w:rPr>
      </w:pPr>
      <w:r w:rsidRPr="0026329D">
        <w:rPr>
          <w:lang w:val="en-CA"/>
        </w:rPr>
        <w:t xml:space="preserve">The Executive Committee may wish to request the Treasurer to offset the interest accrued by the Government of China up to 31 December 2019 from funds previously transferred for the implementation of sector plans under </w:t>
      </w:r>
      <w:r w:rsidR="00A81DEE" w:rsidRPr="0026329D">
        <w:rPr>
          <w:lang w:val="en-CA"/>
        </w:rPr>
        <w:t>stages </w:t>
      </w:r>
      <w:r w:rsidRPr="0026329D">
        <w:rPr>
          <w:lang w:val="en-CA"/>
        </w:rPr>
        <w:t>I and II of the HCFC phase-out managemen</w:t>
      </w:r>
      <w:r w:rsidR="00E17D45" w:rsidRPr="0026329D">
        <w:rPr>
          <w:lang w:val="en-CA"/>
        </w:rPr>
        <w:t>t plan (HPMP), as per decisions </w:t>
      </w:r>
      <w:r w:rsidRPr="0026329D">
        <w:rPr>
          <w:lang w:val="en-CA"/>
        </w:rPr>
        <w:t>69/24 and 77/49(b)(iii), as follows:</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UNIDO by </w:t>
      </w:r>
      <w:r w:rsidR="00475A50" w:rsidRPr="0026329D">
        <w:rPr>
          <w:lang w:val="en-CA"/>
        </w:rPr>
        <w:t>US $</w:t>
      </w:r>
      <w:r w:rsidRPr="0026329D">
        <w:rPr>
          <w:lang w:val="en-CA"/>
        </w:rPr>
        <w:t>5,665 representing interest accrued by the Government of China up to 31 December 2019 from funds previously transferred for the implementation of the extruded polystyrene foam sector plan under stages I and II of the HCFC phase-out management plan (HPMP), as per decisions 69/24 and 77/49(b)(iii);</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the World Bank by </w:t>
      </w:r>
      <w:r w:rsidR="00475A50" w:rsidRPr="0026329D">
        <w:rPr>
          <w:lang w:val="en-CA"/>
        </w:rPr>
        <w:t>US $</w:t>
      </w:r>
      <w:r w:rsidRPr="0026329D">
        <w:rPr>
          <w:lang w:val="en-CA"/>
        </w:rPr>
        <w:t>3,879, representing interest accrued by the Government of China up to 31 December 2019 from funds previously transferred for the implementation of the polyurethane foam sector plan under stages I and II of the HPMP, as decisions 69/24 and 77/49(b)(iii);</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UNDP by </w:t>
      </w:r>
      <w:r w:rsidR="00475A50" w:rsidRPr="0026329D">
        <w:rPr>
          <w:lang w:val="en-CA"/>
        </w:rPr>
        <w:t>US $</w:t>
      </w:r>
      <w:r w:rsidRPr="0026329D">
        <w:rPr>
          <w:lang w:val="en-CA"/>
        </w:rPr>
        <w:t>86,874, representing interest accrued by the Government of China up to 31 December 2019 from funds previously transferred for the implementation of the industrial and commercial refrigeration sector plan under stages I and II of the HPMP as per decisions 69/24 and 77/49(b)(iii);</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UNIDO by </w:t>
      </w:r>
      <w:r w:rsidR="00475A50" w:rsidRPr="0026329D">
        <w:rPr>
          <w:lang w:val="en-CA"/>
        </w:rPr>
        <w:t>US $</w:t>
      </w:r>
      <w:r w:rsidRPr="0026329D">
        <w:rPr>
          <w:lang w:val="en-CA"/>
        </w:rPr>
        <w:t xml:space="preserve">26,213, representing interest accrued by the Government of China up to 31 December 2019 from funds previously transferred for the implementation of the room air-conditioning sector plan under stages I and II of the HPMP, as per decisions 69/24 and 77/49(b)(iii); </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UNEP by </w:t>
      </w:r>
      <w:r w:rsidR="00475A50" w:rsidRPr="0026329D">
        <w:rPr>
          <w:lang w:val="en-CA"/>
        </w:rPr>
        <w:t>US $</w:t>
      </w:r>
      <w:r w:rsidRPr="0026329D">
        <w:rPr>
          <w:lang w:val="en-CA"/>
        </w:rPr>
        <w:t xml:space="preserve">7,472, representing interest accrued by the Government of China up to 31 December 2019 from funds previously transferred for the implementation of the refrigeration servicing sector plan and the national enabling programme under stages I and II of the HPMP, as per decisions 69/24 and 77/49(b)(iii); and </w:t>
      </w:r>
    </w:p>
    <w:p w:rsidR="006322A8" w:rsidRPr="0026329D" w:rsidRDefault="006322A8" w:rsidP="006322A8">
      <w:pPr>
        <w:widowControl w:val="0"/>
        <w:numPr>
          <w:ilvl w:val="1"/>
          <w:numId w:val="1"/>
        </w:numPr>
        <w:spacing w:after="240"/>
        <w:outlineLvl w:val="1"/>
        <w:rPr>
          <w:lang w:val="en-CA"/>
        </w:rPr>
      </w:pPr>
      <w:r w:rsidRPr="0026329D">
        <w:rPr>
          <w:lang w:val="en-CA"/>
        </w:rPr>
        <w:t xml:space="preserve">To request the Treasurer to offset future transfers to UNDP by </w:t>
      </w:r>
      <w:r w:rsidR="00475A50" w:rsidRPr="0026329D">
        <w:rPr>
          <w:lang w:val="en-CA"/>
        </w:rPr>
        <w:t>US $</w:t>
      </w:r>
      <w:r w:rsidRPr="0026329D">
        <w:rPr>
          <w:lang w:val="en-CA"/>
        </w:rPr>
        <w:t xml:space="preserve">891, representing interest accrued by the Government of China up to 31 December 2019 from funds previously transferred for the implementation of the solvent sector plan under </w:t>
      </w:r>
      <w:r w:rsidR="00A81DEE" w:rsidRPr="0026329D">
        <w:rPr>
          <w:lang w:val="en-CA"/>
        </w:rPr>
        <w:t>stage </w:t>
      </w:r>
      <w:r w:rsidRPr="0026329D">
        <w:rPr>
          <w:lang w:val="en-CA"/>
        </w:rPr>
        <w:t>II of the HPMP, as per decisions 69/24 and 77/49(b)(iii).</w:t>
      </w:r>
    </w:p>
    <w:p w:rsidR="0026329D" w:rsidRDefault="0026329D" w:rsidP="00960E0A">
      <w:pPr>
        <w:keepNext/>
        <w:keepLines/>
        <w:rPr>
          <w:b/>
          <w:lang w:val="en-CA"/>
        </w:rPr>
      </w:pPr>
    </w:p>
    <w:p w:rsidR="006322A8" w:rsidRPr="0026329D" w:rsidRDefault="003949EA" w:rsidP="00960E0A">
      <w:pPr>
        <w:keepNext/>
        <w:keepLines/>
        <w:rPr>
          <w:b/>
          <w:lang w:val="en-CA"/>
        </w:rPr>
      </w:pPr>
      <w:r w:rsidRPr="0026329D">
        <w:rPr>
          <w:b/>
          <w:lang w:val="en-CA"/>
        </w:rPr>
        <w:t xml:space="preserve">Progress report on </w:t>
      </w:r>
      <w:r w:rsidR="00A81DEE" w:rsidRPr="0026329D">
        <w:rPr>
          <w:b/>
          <w:lang w:val="en-CA"/>
        </w:rPr>
        <w:t>stage </w:t>
      </w:r>
      <w:r w:rsidRPr="0026329D">
        <w:rPr>
          <w:b/>
          <w:lang w:val="en-CA"/>
        </w:rPr>
        <w:t>I of the room air conditioning (RAC) sector plan (UNIDO)</w:t>
      </w:r>
    </w:p>
    <w:p w:rsidR="006322A8" w:rsidRPr="0026329D" w:rsidRDefault="006322A8" w:rsidP="00960E0A">
      <w:pPr>
        <w:keepNext/>
        <w:keepLines/>
        <w:rPr>
          <w:lang w:val="en-CA"/>
        </w:rPr>
      </w:pPr>
    </w:p>
    <w:p w:rsidR="006322A8" w:rsidRPr="0026329D" w:rsidRDefault="006322A8" w:rsidP="00960E0A">
      <w:pPr>
        <w:pStyle w:val="Heading1"/>
        <w:keepNext/>
        <w:keepLines/>
        <w:rPr>
          <w:lang w:val="en-CA"/>
        </w:rPr>
      </w:pPr>
      <w:r w:rsidRPr="0026329D">
        <w:rPr>
          <w:lang w:val="en-CA"/>
        </w:rPr>
        <w:t xml:space="preserve">On behalf of the Government of China, UNIDO submitted a progress report on the implementation of the room air-conditioning (RAC) sector plan under </w:t>
      </w:r>
      <w:r w:rsidR="00A81DEE" w:rsidRPr="0026329D">
        <w:rPr>
          <w:lang w:val="en-CA"/>
        </w:rPr>
        <w:t>stage </w:t>
      </w:r>
      <w:r w:rsidRPr="0026329D">
        <w:rPr>
          <w:lang w:val="en-CA"/>
        </w:rPr>
        <w:t xml:space="preserve">I of the HCFC phase-out management plan (HPMP), in line with decision 84/68(d)(i). </w:t>
      </w:r>
    </w:p>
    <w:p w:rsidR="006322A8" w:rsidRPr="0026329D" w:rsidRDefault="006322A8" w:rsidP="006322A8">
      <w:pPr>
        <w:pStyle w:val="Heading1"/>
        <w:rPr>
          <w:lang w:val="en-CA"/>
        </w:rPr>
      </w:pPr>
      <w:r w:rsidRPr="0026329D">
        <w:rPr>
          <w:lang w:val="en-CA"/>
        </w:rPr>
        <w:t>All 24 RAC lines and three compressors lines based on HFCF-22 refrigerant had been fully converted and completed national acceptance to R-290 (18 RAC lines) R-410A (eight RAC lines) and R</w:t>
      </w:r>
      <w:r w:rsidRPr="0026329D">
        <w:rPr>
          <w:lang w:val="en-CA"/>
        </w:rPr>
        <w:noBreakHyphen/>
        <w:t>290 (three compressor lines) as presented in Table 1. Of the 10,813.7 mt of HCFC</w:t>
      </w:r>
      <w:r w:rsidRPr="0026329D">
        <w:rPr>
          <w:lang w:val="en-CA"/>
        </w:rPr>
        <w:noBreakHyphen/>
        <w:t>22 phased out through the conversion of those lines, 325.6 mt were associated with enterprises with non</w:t>
      </w:r>
      <w:r w:rsidRPr="0026329D">
        <w:rPr>
          <w:lang w:val="en-CA"/>
        </w:rPr>
        <w:noBreakHyphen/>
        <w:t>Article 5 ownership and were funded from sources outside the Multilateral Fund. In addition, 240 mt of HCFC-22 were phased out through the demonstration project at Midea approved at the 61</w:t>
      </w:r>
      <w:r w:rsidRPr="0026329D">
        <w:rPr>
          <w:vertAlign w:val="superscript"/>
          <w:lang w:val="en-CA"/>
        </w:rPr>
        <w:t>st</w:t>
      </w:r>
      <w:r w:rsidRPr="0026329D">
        <w:rPr>
          <w:lang w:val="en-CA"/>
        </w:rPr>
        <w:t> meeting.</w:t>
      </w:r>
    </w:p>
    <w:p w:rsidR="006322A8" w:rsidRPr="0026329D" w:rsidRDefault="006322A8" w:rsidP="006322A8">
      <w:pPr>
        <w:rPr>
          <w:b/>
          <w:lang w:val="en-CA"/>
        </w:rPr>
      </w:pPr>
      <w:r w:rsidRPr="0026329D">
        <w:rPr>
          <w:b/>
          <w:lang w:val="en-CA"/>
        </w:rPr>
        <w:t>Table 1. Progress in the implementation of the RAC sector plan in China</w:t>
      </w:r>
    </w:p>
    <w:tbl>
      <w:tblPr>
        <w:tblW w:w="5053" w:type="pct"/>
        <w:tblInd w:w="-5" w:type="dxa"/>
        <w:tblLook w:val="04A0" w:firstRow="1" w:lastRow="0" w:firstColumn="1" w:lastColumn="0" w:noHBand="0" w:noVBand="1"/>
      </w:tblPr>
      <w:tblGrid>
        <w:gridCol w:w="2342"/>
        <w:gridCol w:w="1800"/>
        <w:gridCol w:w="1800"/>
        <w:gridCol w:w="1799"/>
        <w:gridCol w:w="1799"/>
      </w:tblGrid>
      <w:tr w:rsidR="006322A8" w:rsidRPr="0026329D" w:rsidTr="00B72984">
        <w:trPr>
          <w:trHeight w:val="179"/>
        </w:trPr>
        <w:tc>
          <w:tcPr>
            <w:tcW w:w="12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322A8" w:rsidRPr="0026329D" w:rsidRDefault="006322A8" w:rsidP="006322A8">
            <w:pPr>
              <w:jc w:val="left"/>
              <w:rPr>
                <w:b/>
                <w:bCs/>
                <w:color w:val="000000"/>
                <w:sz w:val="20"/>
                <w:szCs w:val="20"/>
                <w:lang w:val="en-CA"/>
              </w:rPr>
            </w:pPr>
            <w:r w:rsidRPr="0026329D">
              <w:rPr>
                <w:b/>
                <w:bCs/>
                <w:color w:val="000000"/>
                <w:sz w:val="20"/>
                <w:szCs w:val="20"/>
                <w:lang w:val="en-CA"/>
              </w:rPr>
              <w:t>Type of lines</w:t>
            </w:r>
          </w:p>
        </w:tc>
        <w:tc>
          <w:tcPr>
            <w:tcW w:w="943" w:type="pct"/>
            <w:tcBorders>
              <w:top w:val="single" w:sz="4" w:space="0" w:color="000000"/>
              <w:left w:val="single" w:sz="4" w:space="0" w:color="000000"/>
              <w:bottom w:val="single" w:sz="4" w:space="0" w:color="000000"/>
              <w:right w:val="single" w:sz="4" w:space="0" w:color="000000"/>
            </w:tcBorders>
            <w:vAlign w:val="center"/>
          </w:tcPr>
          <w:p w:rsidR="006322A8" w:rsidRPr="0026329D" w:rsidRDefault="006322A8" w:rsidP="006322A8">
            <w:pPr>
              <w:jc w:val="center"/>
              <w:rPr>
                <w:b/>
                <w:bCs/>
                <w:color w:val="000000"/>
                <w:sz w:val="20"/>
                <w:szCs w:val="20"/>
                <w:lang w:val="en-CA"/>
              </w:rPr>
            </w:pPr>
            <w:r w:rsidRPr="0026329D">
              <w:rPr>
                <w:b/>
                <w:bCs/>
                <w:color w:val="000000"/>
                <w:sz w:val="20"/>
                <w:szCs w:val="20"/>
                <w:lang w:val="en-CA"/>
              </w:rPr>
              <w:t>Total</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Converted</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National acceptance</w:t>
            </w:r>
          </w:p>
        </w:tc>
        <w:tc>
          <w:tcPr>
            <w:tcW w:w="943" w:type="pct"/>
            <w:tcBorders>
              <w:top w:val="single" w:sz="4" w:space="0" w:color="000000"/>
              <w:left w:val="single" w:sz="4" w:space="0" w:color="000000"/>
              <w:bottom w:val="single" w:sz="4" w:space="0" w:color="000000"/>
              <w:right w:val="single" w:sz="4" w:space="0" w:color="000000"/>
            </w:tcBorders>
            <w:shd w:val="clear" w:color="auto" w:fill="auto"/>
            <w:hideMark/>
          </w:tcPr>
          <w:p w:rsidR="006322A8" w:rsidRPr="0026329D" w:rsidRDefault="006322A8" w:rsidP="006322A8">
            <w:pPr>
              <w:jc w:val="center"/>
              <w:rPr>
                <w:b/>
                <w:bCs/>
                <w:color w:val="000000"/>
                <w:sz w:val="20"/>
                <w:szCs w:val="20"/>
                <w:lang w:val="en-CA"/>
              </w:rPr>
            </w:pPr>
            <w:r w:rsidRPr="0026329D">
              <w:rPr>
                <w:b/>
                <w:bCs/>
                <w:color w:val="000000"/>
                <w:sz w:val="20"/>
                <w:szCs w:val="20"/>
                <w:lang w:val="en-CA"/>
              </w:rPr>
              <w:t>HCFC-22 consumption (mt)</w:t>
            </w:r>
          </w:p>
        </w:tc>
      </w:tr>
      <w:tr w:rsidR="006322A8" w:rsidRPr="0026329D" w:rsidTr="00B72984">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rsidR="006322A8" w:rsidRPr="0026329D" w:rsidRDefault="006322A8" w:rsidP="006322A8">
            <w:pPr>
              <w:jc w:val="left"/>
              <w:rPr>
                <w:bCs/>
                <w:sz w:val="20"/>
                <w:szCs w:val="20"/>
                <w:lang w:val="en-CA"/>
              </w:rPr>
            </w:pPr>
            <w:r w:rsidRPr="0026329D">
              <w:rPr>
                <w:sz w:val="20"/>
                <w:szCs w:val="20"/>
                <w:lang w:val="en-CA" w:eastAsia="zh-CN"/>
              </w:rPr>
              <w:t>R-290 RAC</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6322A8" w:rsidRPr="0026329D" w:rsidRDefault="006322A8" w:rsidP="006322A8">
            <w:pPr>
              <w:jc w:val="right"/>
              <w:rPr>
                <w:bCs/>
                <w:sz w:val="20"/>
                <w:szCs w:val="20"/>
                <w:lang w:val="en-CA"/>
              </w:rPr>
            </w:pPr>
            <w:r w:rsidRPr="0026329D">
              <w:rPr>
                <w:bCs/>
                <w:sz w:val="20"/>
                <w:szCs w:val="20"/>
                <w:lang w:val="en-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sz w:val="20"/>
                <w:szCs w:val="20"/>
                <w:lang w:val="en-CA"/>
              </w:rPr>
            </w:pPr>
            <w:r w:rsidRPr="0026329D">
              <w:rPr>
                <w:sz w:val="20"/>
                <w:szCs w:val="20"/>
                <w:lang w:val="en-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bCs/>
                <w:sz w:val="20"/>
                <w:szCs w:val="20"/>
                <w:lang w:val="en-CA"/>
              </w:rPr>
            </w:pPr>
            <w:r w:rsidRPr="0026329D">
              <w:rPr>
                <w:bCs/>
                <w:sz w:val="20"/>
                <w:szCs w:val="20"/>
                <w:lang w:val="en-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rsidR="006322A8" w:rsidRPr="0026329D" w:rsidRDefault="006322A8" w:rsidP="006322A8">
            <w:pPr>
              <w:jc w:val="right"/>
              <w:rPr>
                <w:bCs/>
                <w:sz w:val="20"/>
                <w:szCs w:val="20"/>
                <w:lang w:val="en-CA"/>
              </w:rPr>
            </w:pPr>
            <w:r w:rsidRPr="0026329D">
              <w:rPr>
                <w:bCs/>
                <w:sz w:val="20"/>
                <w:szCs w:val="20"/>
                <w:lang w:val="en-CA"/>
              </w:rPr>
              <w:t>7,827.3</w:t>
            </w:r>
          </w:p>
        </w:tc>
      </w:tr>
      <w:tr w:rsidR="006322A8" w:rsidRPr="0026329D" w:rsidTr="00B72984">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rsidR="006322A8" w:rsidRPr="0026329D" w:rsidRDefault="006322A8" w:rsidP="006322A8">
            <w:pPr>
              <w:jc w:val="left"/>
              <w:rPr>
                <w:sz w:val="20"/>
                <w:szCs w:val="20"/>
                <w:lang w:val="en-CA"/>
              </w:rPr>
            </w:pPr>
            <w:r w:rsidRPr="0026329D">
              <w:rPr>
                <w:sz w:val="20"/>
                <w:szCs w:val="20"/>
                <w:lang w:val="en-CA" w:eastAsia="zh-CN"/>
              </w:rPr>
              <w:t xml:space="preserve">R-410A RAC </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6322A8" w:rsidRPr="0026329D" w:rsidRDefault="006322A8" w:rsidP="006322A8">
            <w:pPr>
              <w:jc w:val="right"/>
              <w:rPr>
                <w:sz w:val="20"/>
                <w:szCs w:val="20"/>
                <w:lang w:val="en-CA"/>
              </w:rPr>
            </w:pPr>
            <w:r w:rsidRPr="0026329D">
              <w:rPr>
                <w:sz w:val="20"/>
                <w:szCs w:val="20"/>
                <w:lang w:val="en-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sz w:val="20"/>
                <w:szCs w:val="20"/>
                <w:lang w:val="en-CA"/>
              </w:rPr>
            </w:pPr>
            <w:r w:rsidRPr="0026329D">
              <w:rPr>
                <w:sz w:val="20"/>
                <w:szCs w:val="20"/>
                <w:lang w:val="en-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sz w:val="20"/>
                <w:szCs w:val="20"/>
                <w:lang w:val="en-CA"/>
              </w:rPr>
            </w:pPr>
            <w:r w:rsidRPr="0026329D">
              <w:rPr>
                <w:sz w:val="20"/>
                <w:szCs w:val="20"/>
                <w:lang w:val="en-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tcPr>
          <w:p w:rsidR="006322A8" w:rsidRPr="0026329D" w:rsidRDefault="006322A8" w:rsidP="006322A8">
            <w:pPr>
              <w:jc w:val="right"/>
              <w:rPr>
                <w:sz w:val="20"/>
                <w:szCs w:val="20"/>
                <w:lang w:val="en-CA"/>
              </w:rPr>
            </w:pPr>
            <w:r w:rsidRPr="0026329D">
              <w:rPr>
                <w:sz w:val="20"/>
                <w:szCs w:val="20"/>
                <w:lang w:val="en-CA"/>
              </w:rPr>
              <w:t>2,986.4</w:t>
            </w:r>
          </w:p>
        </w:tc>
      </w:tr>
      <w:tr w:rsidR="006322A8" w:rsidRPr="0026329D" w:rsidTr="00B72984">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rsidR="006322A8" w:rsidRPr="0026329D" w:rsidRDefault="006322A8" w:rsidP="006322A8">
            <w:pPr>
              <w:jc w:val="left"/>
              <w:rPr>
                <w:bCs/>
                <w:sz w:val="20"/>
                <w:szCs w:val="20"/>
                <w:lang w:val="en-CA"/>
              </w:rPr>
            </w:pPr>
            <w:r w:rsidRPr="0026329D">
              <w:rPr>
                <w:sz w:val="20"/>
                <w:szCs w:val="20"/>
                <w:lang w:val="en-CA" w:eastAsia="zh-CN"/>
              </w:rPr>
              <w:t xml:space="preserve">R-290 compressor </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6322A8" w:rsidRPr="0026329D" w:rsidRDefault="006322A8" w:rsidP="006322A8">
            <w:pPr>
              <w:jc w:val="right"/>
              <w:rPr>
                <w:bCs/>
                <w:sz w:val="20"/>
                <w:szCs w:val="20"/>
                <w:lang w:val="en-CA"/>
              </w:rPr>
            </w:pPr>
            <w:r w:rsidRPr="0026329D">
              <w:rPr>
                <w:bCs/>
                <w:sz w:val="20"/>
                <w:szCs w:val="20"/>
                <w:lang w:val="en-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bCs/>
                <w:sz w:val="20"/>
                <w:szCs w:val="20"/>
                <w:lang w:val="en-CA"/>
              </w:rPr>
            </w:pPr>
            <w:r w:rsidRPr="0026329D">
              <w:rPr>
                <w:bCs/>
                <w:sz w:val="20"/>
                <w:szCs w:val="20"/>
                <w:lang w:val="en-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rsidR="006322A8" w:rsidRPr="0026329D" w:rsidRDefault="006322A8" w:rsidP="006322A8">
            <w:pPr>
              <w:jc w:val="right"/>
              <w:rPr>
                <w:bCs/>
                <w:sz w:val="20"/>
                <w:szCs w:val="20"/>
                <w:lang w:val="en-CA"/>
              </w:rPr>
            </w:pPr>
            <w:r w:rsidRPr="0026329D">
              <w:rPr>
                <w:bCs/>
                <w:sz w:val="20"/>
                <w:szCs w:val="20"/>
                <w:lang w:val="en-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rsidR="006322A8" w:rsidRPr="0026329D" w:rsidRDefault="006322A8" w:rsidP="006322A8">
            <w:pPr>
              <w:jc w:val="right"/>
              <w:rPr>
                <w:sz w:val="20"/>
                <w:szCs w:val="20"/>
                <w:lang w:val="en-CA"/>
              </w:rPr>
            </w:pPr>
            <w:r w:rsidRPr="0026329D">
              <w:rPr>
                <w:sz w:val="20"/>
                <w:szCs w:val="20"/>
                <w:lang w:val="en-CA"/>
              </w:rPr>
              <w:t>n/a</w:t>
            </w:r>
          </w:p>
        </w:tc>
      </w:tr>
      <w:tr w:rsidR="006322A8" w:rsidRPr="0026329D" w:rsidTr="00B72984">
        <w:trPr>
          <w:trHeight w:val="50"/>
        </w:trPr>
        <w:tc>
          <w:tcPr>
            <w:tcW w:w="1227" w:type="pct"/>
            <w:tcBorders>
              <w:top w:val="nil"/>
              <w:left w:val="single" w:sz="4" w:space="0" w:color="auto"/>
              <w:bottom w:val="single" w:sz="4" w:space="0" w:color="auto"/>
              <w:right w:val="single" w:sz="4" w:space="0" w:color="000000"/>
            </w:tcBorders>
            <w:shd w:val="clear" w:color="auto" w:fill="auto"/>
            <w:noWrap/>
            <w:hideMark/>
          </w:tcPr>
          <w:p w:rsidR="006322A8" w:rsidRPr="0026329D" w:rsidRDefault="006322A8" w:rsidP="006322A8">
            <w:pPr>
              <w:jc w:val="left"/>
              <w:rPr>
                <w:b/>
                <w:bCs/>
                <w:sz w:val="20"/>
                <w:szCs w:val="20"/>
                <w:lang w:val="en-CA"/>
              </w:rPr>
            </w:pPr>
            <w:r w:rsidRPr="0026329D">
              <w:rPr>
                <w:b/>
                <w:sz w:val="20"/>
                <w:szCs w:val="20"/>
                <w:lang w:val="en-CA"/>
              </w:rPr>
              <w:t>Total</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rsidR="006322A8" w:rsidRPr="0026329D" w:rsidRDefault="006322A8" w:rsidP="006322A8">
            <w:pPr>
              <w:jc w:val="right"/>
              <w:rPr>
                <w:b/>
                <w:sz w:val="20"/>
                <w:szCs w:val="20"/>
                <w:lang w:val="en-CA"/>
              </w:rPr>
            </w:pPr>
            <w:r w:rsidRPr="0026329D">
              <w:rPr>
                <w:b/>
                <w:sz w:val="20"/>
                <w:szCs w:val="20"/>
                <w:lang w:val="en-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rsidR="006322A8" w:rsidRPr="0026329D" w:rsidRDefault="006322A8" w:rsidP="006322A8">
            <w:pPr>
              <w:jc w:val="right"/>
              <w:rPr>
                <w:b/>
                <w:sz w:val="20"/>
                <w:szCs w:val="20"/>
                <w:lang w:val="en-CA"/>
              </w:rPr>
            </w:pPr>
            <w:r w:rsidRPr="0026329D">
              <w:rPr>
                <w:b/>
                <w:sz w:val="20"/>
                <w:szCs w:val="20"/>
                <w:lang w:val="en-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rsidR="006322A8" w:rsidRPr="0026329D" w:rsidRDefault="006322A8" w:rsidP="006322A8">
            <w:pPr>
              <w:jc w:val="right"/>
              <w:rPr>
                <w:b/>
                <w:bCs/>
                <w:sz w:val="20"/>
                <w:szCs w:val="20"/>
                <w:lang w:val="en-CA"/>
              </w:rPr>
            </w:pPr>
            <w:r w:rsidRPr="0026329D">
              <w:rPr>
                <w:b/>
                <w:bCs/>
                <w:sz w:val="20"/>
                <w:szCs w:val="20"/>
                <w:lang w:val="en-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hideMark/>
          </w:tcPr>
          <w:p w:rsidR="006322A8" w:rsidRPr="0026329D" w:rsidRDefault="006322A8" w:rsidP="006322A8">
            <w:pPr>
              <w:jc w:val="right"/>
              <w:rPr>
                <w:b/>
                <w:sz w:val="20"/>
                <w:szCs w:val="20"/>
                <w:lang w:val="en-CA"/>
              </w:rPr>
            </w:pPr>
            <w:r w:rsidRPr="0026329D">
              <w:rPr>
                <w:b/>
                <w:sz w:val="20"/>
                <w:szCs w:val="20"/>
                <w:lang w:val="en-CA"/>
              </w:rPr>
              <w:t>10,813.7</w:t>
            </w:r>
          </w:p>
        </w:tc>
      </w:tr>
    </w:tbl>
    <w:p w:rsidR="006322A8" w:rsidRPr="0026329D" w:rsidRDefault="006322A8" w:rsidP="006322A8">
      <w:pPr>
        <w:rPr>
          <w:lang w:val="en-CA"/>
        </w:rPr>
      </w:pPr>
    </w:p>
    <w:p w:rsidR="006322A8" w:rsidRPr="0026329D" w:rsidRDefault="006322A8" w:rsidP="00185708">
      <w:pPr>
        <w:pStyle w:val="Heading1"/>
        <w:widowControl w:val="0"/>
        <w:rPr>
          <w:lang w:val="en-CA"/>
        </w:rPr>
      </w:pPr>
      <w:r w:rsidRPr="0026329D">
        <w:rPr>
          <w:lang w:val="en-CA"/>
        </w:rPr>
        <w:t>As of August 2019</w:t>
      </w:r>
      <w:r w:rsidR="00185708" w:rsidRPr="0026329D">
        <w:rPr>
          <w:lang w:val="en-CA"/>
        </w:rPr>
        <w:t>,</w:t>
      </w:r>
      <w:r w:rsidRPr="0026329D">
        <w:rPr>
          <w:lang w:val="en-CA"/>
        </w:rPr>
        <w:t xml:space="preserve"> a total of 183,970 R</w:t>
      </w:r>
      <w:r w:rsidRPr="0026329D">
        <w:rPr>
          <w:lang w:val="en-CA"/>
        </w:rPr>
        <w:noBreakHyphen/>
        <w:t>290 split units and 473,009 factory</w:t>
      </w:r>
      <w:r w:rsidRPr="0026329D">
        <w:rPr>
          <w:lang w:val="en-CA"/>
        </w:rPr>
        <w:noBreakHyphen/>
        <w:t>sealed R-290 units had been manufactured.</w:t>
      </w:r>
      <w:r w:rsidRPr="0026329D">
        <w:rPr>
          <w:rStyle w:val="FootnoteReference"/>
          <w:lang w:val="en-CA"/>
        </w:rPr>
        <w:footnoteReference w:id="4"/>
      </w:r>
      <w:r w:rsidRPr="0026329D">
        <w:rPr>
          <w:lang w:val="en-CA"/>
        </w:rPr>
        <w:t xml:space="preserve"> Between 1 September 2019 and 31 August 2020</w:t>
      </w:r>
      <w:r w:rsidR="00185708" w:rsidRPr="0026329D">
        <w:rPr>
          <w:lang w:val="en-CA"/>
        </w:rPr>
        <w:t>,</w:t>
      </w:r>
      <w:r w:rsidRPr="0026329D">
        <w:rPr>
          <w:lang w:val="en-CA"/>
        </w:rPr>
        <w:t xml:space="preserve"> a further approximately 100,000 R</w:t>
      </w:r>
      <w:r w:rsidRPr="0026329D">
        <w:rPr>
          <w:lang w:val="en-CA"/>
        </w:rPr>
        <w:noBreakHyphen/>
        <w:t>290 split units and over 1,000,000 factor-sealed R-290 units were manufactured;</w:t>
      </w:r>
      <w:r w:rsidRPr="0026329D">
        <w:rPr>
          <w:rStyle w:val="FootnoteReference"/>
          <w:lang w:val="en-CA"/>
        </w:rPr>
        <w:footnoteReference w:id="5"/>
      </w:r>
      <w:r w:rsidRPr="0026329D">
        <w:rPr>
          <w:lang w:val="en-CA"/>
        </w:rPr>
        <w:t xml:space="preserve"> third party verification of those sales is ongoing. A total of </w:t>
      </w:r>
      <w:r w:rsidR="00475A50" w:rsidRPr="0026329D">
        <w:rPr>
          <w:lang w:val="en-CA"/>
        </w:rPr>
        <w:t>US $</w:t>
      </w:r>
      <w:r w:rsidRPr="0026329D">
        <w:rPr>
          <w:lang w:val="en-CA"/>
        </w:rPr>
        <w:t xml:space="preserve">3,374,145 has been disbursed under </w:t>
      </w:r>
      <w:r w:rsidR="00A81DEE" w:rsidRPr="0026329D">
        <w:rPr>
          <w:lang w:val="en-CA"/>
        </w:rPr>
        <w:t>stage </w:t>
      </w:r>
      <w:r w:rsidRPr="0026329D">
        <w:rPr>
          <w:lang w:val="en-CA"/>
        </w:rPr>
        <w:t>I for the project implementation and monitoring unit (PMU) to cover personnel costs, travel, meetings and costs shared across the sectors to operate the PMU.</w:t>
      </w:r>
    </w:p>
    <w:p w:rsidR="006322A8" w:rsidRPr="0026329D" w:rsidRDefault="006322A8" w:rsidP="003949EA">
      <w:pPr>
        <w:widowControl w:val="0"/>
        <w:rPr>
          <w:u w:val="single"/>
          <w:lang w:val="en-CA"/>
        </w:rPr>
      </w:pPr>
      <w:r w:rsidRPr="0026329D">
        <w:rPr>
          <w:u w:val="single"/>
          <w:lang w:val="en-CA"/>
        </w:rPr>
        <w:t>Level of fund disbursement</w:t>
      </w:r>
    </w:p>
    <w:p w:rsidR="006322A8" w:rsidRPr="0026329D" w:rsidRDefault="006322A8" w:rsidP="003949EA">
      <w:pPr>
        <w:widowControl w:val="0"/>
        <w:rPr>
          <w:lang w:val="en-CA"/>
        </w:rPr>
      </w:pPr>
    </w:p>
    <w:p w:rsidR="006322A8" w:rsidRPr="0026329D" w:rsidRDefault="006322A8" w:rsidP="003949EA">
      <w:pPr>
        <w:pStyle w:val="Heading1"/>
        <w:widowControl w:val="0"/>
        <w:rPr>
          <w:lang w:val="en-CA"/>
        </w:rPr>
      </w:pPr>
      <w:r w:rsidRPr="0026329D">
        <w:rPr>
          <w:lang w:val="en-CA"/>
        </w:rPr>
        <w:t xml:space="preserve">As of September 2020, of the </w:t>
      </w:r>
      <w:r w:rsidR="00475A50" w:rsidRPr="0026329D">
        <w:rPr>
          <w:lang w:val="en-CA"/>
        </w:rPr>
        <w:t>US $</w:t>
      </w:r>
      <w:r w:rsidRPr="0026329D">
        <w:rPr>
          <w:lang w:val="en-CA"/>
        </w:rPr>
        <w:t xml:space="preserve">75,000,000 approved, </w:t>
      </w:r>
      <w:r w:rsidR="00475A50" w:rsidRPr="0026329D">
        <w:rPr>
          <w:lang w:val="en-CA"/>
        </w:rPr>
        <w:t>US $</w:t>
      </w:r>
      <w:r w:rsidRPr="0026329D">
        <w:rPr>
          <w:lang w:val="en-CA"/>
        </w:rPr>
        <w:t xml:space="preserve">60,727,617 (81 per cent) had been disbursed by UNIDO and </w:t>
      </w:r>
      <w:r w:rsidR="00475A50" w:rsidRPr="0026329D">
        <w:rPr>
          <w:lang w:val="en-CA"/>
        </w:rPr>
        <w:t>US $</w:t>
      </w:r>
      <w:r w:rsidRPr="0026329D">
        <w:rPr>
          <w:color w:val="000000"/>
          <w:lang w:val="en-CA"/>
        </w:rPr>
        <w:t xml:space="preserve">64,077,440 </w:t>
      </w:r>
      <w:r w:rsidRPr="0026329D">
        <w:rPr>
          <w:lang w:val="en-CA"/>
        </w:rPr>
        <w:t>(85 per cent) had been disbursed by FECO</w:t>
      </w:r>
      <w:r w:rsidRPr="0026329D">
        <w:rPr>
          <w:rStyle w:val="FootnoteReference"/>
          <w:lang w:val="en-CA"/>
        </w:rPr>
        <w:footnoteReference w:id="6"/>
      </w:r>
      <w:r w:rsidRPr="0026329D">
        <w:rPr>
          <w:lang w:val="en-CA"/>
        </w:rPr>
        <w:t xml:space="preserve"> to the beneficiaries, as shown in Table 2.</w:t>
      </w:r>
    </w:p>
    <w:p w:rsidR="006322A8" w:rsidRPr="0026329D" w:rsidRDefault="006322A8" w:rsidP="003949EA">
      <w:pPr>
        <w:widowControl w:val="0"/>
        <w:rPr>
          <w:b/>
          <w:lang w:val="en-CA"/>
        </w:rPr>
      </w:pPr>
      <w:r w:rsidRPr="0026329D">
        <w:rPr>
          <w:b/>
          <w:lang w:val="en-CA"/>
        </w:rPr>
        <w:t>Table 2. Disbursement (</w:t>
      </w:r>
      <w:r w:rsidR="00475A50" w:rsidRPr="0026329D">
        <w:rPr>
          <w:b/>
          <w:lang w:val="en-CA"/>
        </w:rPr>
        <w:t>US $</w:t>
      </w:r>
      <w:r w:rsidRPr="0026329D">
        <w:rPr>
          <w:b/>
          <w:lang w:val="en-CA"/>
        </w:rPr>
        <w:t>) by tranche in the RAC sector</w:t>
      </w:r>
    </w:p>
    <w:tbl>
      <w:tblPr>
        <w:tblW w:w="94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255"/>
        <w:gridCol w:w="1255"/>
        <w:gridCol w:w="1255"/>
        <w:gridCol w:w="1255"/>
        <w:gridCol w:w="1255"/>
        <w:gridCol w:w="1256"/>
      </w:tblGrid>
      <w:tr w:rsidR="006322A8" w:rsidRPr="0026329D" w:rsidTr="00A1637C">
        <w:tc>
          <w:tcPr>
            <w:tcW w:w="1885" w:type="dxa"/>
            <w:shd w:val="clear" w:color="auto" w:fill="auto"/>
            <w:hideMark/>
          </w:tcPr>
          <w:p w:rsidR="006322A8" w:rsidRPr="0026329D" w:rsidRDefault="006322A8" w:rsidP="003949EA">
            <w:pPr>
              <w:widowControl w:val="0"/>
              <w:jc w:val="left"/>
              <w:rPr>
                <w:b/>
                <w:sz w:val="20"/>
                <w:szCs w:val="20"/>
                <w:lang w:val="en-CA"/>
              </w:rPr>
            </w:pPr>
            <w:r w:rsidRPr="0026329D">
              <w:rPr>
                <w:b/>
                <w:sz w:val="20"/>
                <w:szCs w:val="20"/>
                <w:lang w:val="en-CA"/>
              </w:rPr>
              <w:t>Description</w:t>
            </w:r>
          </w:p>
        </w:tc>
        <w:tc>
          <w:tcPr>
            <w:tcW w:w="1255"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Tranche 1</w:t>
            </w:r>
          </w:p>
        </w:tc>
        <w:tc>
          <w:tcPr>
            <w:tcW w:w="1255"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Tranche 2</w:t>
            </w:r>
          </w:p>
        </w:tc>
        <w:tc>
          <w:tcPr>
            <w:tcW w:w="1255"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Tranche 3</w:t>
            </w:r>
          </w:p>
        </w:tc>
        <w:tc>
          <w:tcPr>
            <w:tcW w:w="1255"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Tranche 4</w:t>
            </w:r>
          </w:p>
        </w:tc>
        <w:tc>
          <w:tcPr>
            <w:tcW w:w="1255"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Tranche 5</w:t>
            </w:r>
          </w:p>
        </w:tc>
        <w:tc>
          <w:tcPr>
            <w:tcW w:w="1256" w:type="dxa"/>
            <w:shd w:val="clear" w:color="auto" w:fill="auto"/>
            <w:vAlign w:val="center"/>
            <w:hideMark/>
          </w:tcPr>
          <w:p w:rsidR="006322A8" w:rsidRPr="0026329D" w:rsidRDefault="006322A8" w:rsidP="003949EA">
            <w:pPr>
              <w:widowControl w:val="0"/>
              <w:jc w:val="center"/>
              <w:rPr>
                <w:b/>
                <w:color w:val="000000"/>
                <w:sz w:val="20"/>
                <w:szCs w:val="20"/>
                <w:lang w:val="en-CA"/>
              </w:rPr>
            </w:pPr>
            <w:r w:rsidRPr="0026329D">
              <w:rPr>
                <w:b/>
                <w:color w:val="000000"/>
                <w:sz w:val="20"/>
                <w:szCs w:val="20"/>
                <w:lang w:val="en-CA"/>
              </w:rPr>
              <w:t>Total</w:t>
            </w:r>
          </w:p>
        </w:tc>
      </w:tr>
      <w:tr w:rsidR="006322A8" w:rsidRPr="0026329D" w:rsidTr="00A1637C">
        <w:trPr>
          <w:trHeight w:val="170"/>
        </w:trPr>
        <w:tc>
          <w:tcPr>
            <w:tcW w:w="1885" w:type="dxa"/>
            <w:shd w:val="clear" w:color="auto" w:fill="auto"/>
            <w:tcMar>
              <w:left w:w="29" w:type="dxa"/>
              <w:right w:w="0" w:type="dxa"/>
            </w:tcMar>
            <w:hideMark/>
          </w:tcPr>
          <w:p w:rsidR="006322A8" w:rsidRPr="0026329D" w:rsidRDefault="006322A8" w:rsidP="003949EA">
            <w:pPr>
              <w:widowControl w:val="0"/>
              <w:jc w:val="left"/>
              <w:rPr>
                <w:bCs/>
                <w:sz w:val="20"/>
                <w:szCs w:val="20"/>
                <w:lang w:val="en-CA"/>
              </w:rPr>
            </w:pPr>
            <w:r w:rsidRPr="0026329D">
              <w:rPr>
                <w:bCs/>
                <w:sz w:val="20"/>
                <w:szCs w:val="20"/>
                <w:lang w:val="en-CA"/>
              </w:rPr>
              <w:t>Funding</w:t>
            </w:r>
            <w:r w:rsidRPr="0026329D">
              <w:rPr>
                <w:bCs/>
                <w:sz w:val="20"/>
                <w:szCs w:val="20"/>
                <w:vertAlign w:val="superscript"/>
                <w:lang w:val="en-CA"/>
              </w:rPr>
              <w:t>*</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36,430,000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9,200,000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8,495,000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9,625,000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11,250,000</w:t>
            </w:r>
          </w:p>
        </w:tc>
        <w:tc>
          <w:tcPr>
            <w:tcW w:w="1256" w:type="dxa"/>
            <w:shd w:val="clear" w:color="auto" w:fill="auto"/>
            <w:noWrap/>
            <w:hideMark/>
          </w:tcPr>
          <w:p w:rsidR="006322A8" w:rsidRPr="0026329D" w:rsidRDefault="006322A8" w:rsidP="003949EA">
            <w:pPr>
              <w:widowControl w:val="0"/>
              <w:jc w:val="right"/>
              <w:rPr>
                <w:sz w:val="20"/>
                <w:szCs w:val="20"/>
                <w:lang w:val="en-CA"/>
              </w:rPr>
            </w:pPr>
            <w:r w:rsidRPr="0026329D">
              <w:rPr>
                <w:sz w:val="20"/>
                <w:szCs w:val="20"/>
                <w:lang w:val="en-CA"/>
              </w:rPr>
              <w:t>75,000,000</w:t>
            </w:r>
          </w:p>
        </w:tc>
      </w:tr>
      <w:tr w:rsidR="006322A8" w:rsidRPr="0026329D" w:rsidTr="00A1637C">
        <w:trPr>
          <w:trHeight w:val="107"/>
        </w:trPr>
        <w:tc>
          <w:tcPr>
            <w:tcW w:w="1885" w:type="dxa"/>
            <w:shd w:val="clear" w:color="auto" w:fill="auto"/>
            <w:tcMar>
              <w:left w:w="29" w:type="dxa"/>
              <w:right w:w="0" w:type="dxa"/>
            </w:tcMar>
            <w:hideMark/>
          </w:tcPr>
          <w:p w:rsidR="006322A8" w:rsidRPr="0026329D" w:rsidRDefault="006322A8" w:rsidP="003949EA">
            <w:pPr>
              <w:widowControl w:val="0"/>
              <w:jc w:val="left"/>
              <w:rPr>
                <w:bCs/>
                <w:sz w:val="20"/>
                <w:szCs w:val="20"/>
                <w:lang w:val="en-CA"/>
              </w:rPr>
            </w:pPr>
            <w:r w:rsidRPr="0026329D">
              <w:rPr>
                <w:bCs/>
                <w:sz w:val="20"/>
                <w:szCs w:val="20"/>
                <w:lang w:val="en-CA"/>
              </w:rPr>
              <w:t>Disbursed by UNIDO</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32,786,917</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8,316,800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7,608,900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8,662,500</w:t>
            </w:r>
          </w:p>
        </w:tc>
        <w:tc>
          <w:tcPr>
            <w:tcW w:w="1255" w:type="dxa"/>
            <w:shd w:val="clear" w:color="auto" w:fill="auto"/>
            <w:hideMark/>
          </w:tcPr>
          <w:p w:rsidR="006322A8" w:rsidRPr="0026329D" w:rsidRDefault="006322A8" w:rsidP="003949EA">
            <w:pPr>
              <w:widowControl w:val="0"/>
              <w:jc w:val="right"/>
              <w:rPr>
                <w:sz w:val="20"/>
                <w:szCs w:val="20"/>
                <w:lang w:val="en-CA"/>
              </w:rPr>
            </w:pPr>
            <w:r w:rsidRPr="0026329D">
              <w:rPr>
                <w:sz w:val="20"/>
                <w:szCs w:val="20"/>
                <w:lang w:val="en-CA"/>
              </w:rPr>
              <w:t>3,352,500</w:t>
            </w:r>
          </w:p>
        </w:tc>
        <w:tc>
          <w:tcPr>
            <w:tcW w:w="1256" w:type="dxa"/>
            <w:shd w:val="clear" w:color="auto" w:fill="auto"/>
            <w:noWrap/>
            <w:hideMark/>
          </w:tcPr>
          <w:p w:rsidR="006322A8" w:rsidRPr="0026329D" w:rsidRDefault="006322A8" w:rsidP="003949EA">
            <w:pPr>
              <w:widowControl w:val="0"/>
              <w:jc w:val="right"/>
              <w:rPr>
                <w:sz w:val="20"/>
                <w:szCs w:val="20"/>
                <w:lang w:val="en-CA"/>
              </w:rPr>
            </w:pPr>
            <w:r w:rsidRPr="0026329D">
              <w:rPr>
                <w:sz w:val="20"/>
                <w:szCs w:val="20"/>
                <w:lang w:val="en-CA"/>
              </w:rPr>
              <w:t>60,727,617</w:t>
            </w:r>
          </w:p>
        </w:tc>
      </w:tr>
      <w:tr w:rsidR="006322A8" w:rsidRPr="0026329D" w:rsidTr="00A1637C">
        <w:trPr>
          <w:trHeight w:val="50"/>
        </w:trPr>
        <w:tc>
          <w:tcPr>
            <w:tcW w:w="1885" w:type="dxa"/>
            <w:shd w:val="clear" w:color="auto" w:fill="auto"/>
            <w:tcMar>
              <w:left w:w="29" w:type="dxa"/>
              <w:right w:w="0" w:type="dxa"/>
            </w:tcMar>
            <w:hideMark/>
          </w:tcPr>
          <w:p w:rsidR="006322A8" w:rsidRPr="0026329D" w:rsidRDefault="006322A8" w:rsidP="003949EA">
            <w:pPr>
              <w:widowControl w:val="0"/>
              <w:jc w:val="left"/>
              <w:rPr>
                <w:bCs/>
                <w:sz w:val="20"/>
                <w:szCs w:val="20"/>
                <w:lang w:val="en-CA"/>
              </w:rPr>
            </w:pPr>
            <w:r w:rsidRPr="0026329D">
              <w:rPr>
                <w:bCs/>
                <w:sz w:val="20"/>
                <w:szCs w:val="20"/>
                <w:lang w:val="en-CA"/>
              </w:rPr>
              <w:t>Disbursed by FECO</w:t>
            </w:r>
          </w:p>
        </w:tc>
        <w:tc>
          <w:tcPr>
            <w:tcW w:w="1255" w:type="dxa"/>
            <w:shd w:val="clear" w:color="auto" w:fill="auto"/>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 xml:space="preserve">33,259,197 </w:t>
            </w:r>
          </w:p>
        </w:tc>
        <w:tc>
          <w:tcPr>
            <w:tcW w:w="1255" w:type="dxa"/>
            <w:shd w:val="clear" w:color="auto" w:fill="auto"/>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 xml:space="preserve"> 7,005,129 </w:t>
            </w:r>
          </w:p>
        </w:tc>
        <w:tc>
          <w:tcPr>
            <w:tcW w:w="1255" w:type="dxa"/>
            <w:shd w:val="clear" w:color="auto" w:fill="auto"/>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 xml:space="preserve">8,069,073 </w:t>
            </w:r>
          </w:p>
        </w:tc>
        <w:tc>
          <w:tcPr>
            <w:tcW w:w="1255" w:type="dxa"/>
            <w:shd w:val="clear" w:color="auto" w:fill="auto"/>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 xml:space="preserve">9,545,113 </w:t>
            </w:r>
          </w:p>
        </w:tc>
        <w:tc>
          <w:tcPr>
            <w:tcW w:w="1255" w:type="dxa"/>
            <w:shd w:val="clear" w:color="auto" w:fill="auto"/>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 xml:space="preserve">6,198,929 </w:t>
            </w:r>
          </w:p>
        </w:tc>
        <w:tc>
          <w:tcPr>
            <w:tcW w:w="1256" w:type="dxa"/>
            <w:shd w:val="clear" w:color="auto" w:fill="auto"/>
            <w:noWrap/>
            <w:vAlign w:val="bottom"/>
            <w:hideMark/>
          </w:tcPr>
          <w:p w:rsidR="006322A8" w:rsidRPr="0026329D" w:rsidRDefault="006322A8" w:rsidP="003949EA">
            <w:pPr>
              <w:widowControl w:val="0"/>
              <w:jc w:val="right"/>
              <w:rPr>
                <w:color w:val="000000"/>
                <w:sz w:val="20"/>
                <w:szCs w:val="20"/>
                <w:lang w:val="en-CA"/>
              </w:rPr>
            </w:pPr>
            <w:r w:rsidRPr="0026329D">
              <w:rPr>
                <w:color w:val="000000"/>
                <w:sz w:val="20"/>
                <w:szCs w:val="20"/>
                <w:lang w:val="en-CA"/>
              </w:rPr>
              <w:t>64,077,440</w:t>
            </w:r>
            <w:r w:rsidRPr="0026329D">
              <w:rPr>
                <w:color w:val="000000"/>
                <w:sz w:val="20"/>
                <w:szCs w:val="20"/>
                <w:vertAlign w:val="superscript"/>
                <w:lang w:val="en-CA"/>
              </w:rPr>
              <w:t>**</w:t>
            </w:r>
            <w:r w:rsidRPr="0026329D">
              <w:rPr>
                <w:color w:val="000000"/>
                <w:sz w:val="20"/>
                <w:szCs w:val="20"/>
                <w:lang w:val="en-CA"/>
              </w:rPr>
              <w:t xml:space="preserve"> </w:t>
            </w:r>
          </w:p>
        </w:tc>
      </w:tr>
    </w:tbl>
    <w:p w:rsidR="006322A8" w:rsidRPr="0026329D" w:rsidRDefault="006322A8" w:rsidP="003949EA">
      <w:pPr>
        <w:widowControl w:val="0"/>
        <w:rPr>
          <w:sz w:val="18"/>
          <w:szCs w:val="18"/>
          <w:lang w:val="en-CA"/>
        </w:rPr>
      </w:pPr>
      <w:r w:rsidRPr="0026329D">
        <w:rPr>
          <w:sz w:val="18"/>
          <w:szCs w:val="18"/>
          <w:vertAlign w:val="superscript"/>
          <w:lang w:val="en-CA"/>
        </w:rPr>
        <w:t>*</w:t>
      </w:r>
      <w:r w:rsidRPr="0026329D">
        <w:rPr>
          <w:sz w:val="18"/>
          <w:szCs w:val="18"/>
          <w:lang w:val="en-CA"/>
        </w:rPr>
        <w:t xml:space="preserve"> Excluding agency support costs</w:t>
      </w:r>
    </w:p>
    <w:p w:rsidR="006322A8" w:rsidRPr="0026329D" w:rsidRDefault="006322A8" w:rsidP="003949EA">
      <w:pPr>
        <w:widowControl w:val="0"/>
        <w:rPr>
          <w:sz w:val="18"/>
          <w:szCs w:val="18"/>
          <w:lang w:val="en-CA"/>
        </w:rPr>
      </w:pPr>
      <w:r w:rsidRPr="0026329D">
        <w:rPr>
          <w:sz w:val="18"/>
          <w:szCs w:val="18"/>
          <w:vertAlign w:val="superscript"/>
          <w:lang w:val="en-CA"/>
        </w:rPr>
        <w:t>**</w:t>
      </w:r>
      <w:r w:rsidRPr="0026329D">
        <w:rPr>
          <w:sz w:val="18"/>
          <w:szCs w:val="18"/>
          <w:lang w:val="en-CA"/>
        </w:rPr>
        <w:t xml:space="preserve"> Higher disbursement than that of UNIDO given disbursements by FECO with its own resources for IOC payments in 2020.</w:t>
      </w:r>
    </w:p>
    <w:p w:rsidR="006322A8" w:rsidRPr="0026329D" w:rsidRDefault="006322A8" w:rsidP="003949EA">
      <w:pPr>
        <w:widowControl w:val="0"/>
        <w:rPr>
          <w:lang w:val="en-CA"/>
        </w:rPr>
      </w:pPr>
    </w:p>
    <w:p w:rsidR="006322A8" w:rsidRPr="0026329D" w:rsidRDefault="006322A8" w:rsidP="00960E0A">
      <w:pPr>
        <w:pStyle w:val="Heading1"/>
        <w:keepNext/>
        <w:keepLines/>
        <w:widowControl w:val="0"/>
        <w:numPr>
          <w:ilvl w:val="0"/>
          <w:numId w:val="0"/>
        </w:numPr>
        <w:rPr>
          <w:u w:val="single"/>
          <w:lang w:val="en-CA"/>
        </w:rPr>
      </w:pPr>
      <w:r w:rsidRPr="0026329D">
        <w:rPr>
          <w:u w:val="single"/>
          <w:lang w:val="en-CA"/>
        </w:rPr>
        <w:t>Remaining activities in the RAC sector plan</w:t>
      </w:r>
    </w:p>
    <w:p w:rsidR="006322A8" w:rsidRPr="0026329D" w:rsidRDefault="006322A8" w:rsidP="00960E0A">
      <w:pPr>
        <w:pStyle w:val="Heading1"/>
        <w:keepNext/>
        <w:keepLines/>
        <w:widowControl w:val="0"/>
        <w:rPr>
          <w:lang w:val="en-CA"/>
        </w:rPr>
      </w:pPr>
      <w:r w:rsidRPr="0026329D">
        <w:rPr>
          <w:lang w:val="en-CA"/>
        </w:rPr>
        <w:t>All conversion projects and technical assistance activities</w:t>
      </w:r>
      <w:r w:rsidRPr="0026329D">
        <w:rPr>
          <w:rStyle w:val="FootnoteReference"/>
          <w:lang w:val="en-CA"/>
        </w:rPr>
        <w:footnoteReference w:id="7"/>
      </w:r>
      <w:r w:rsidRPr="0026329D">
        <w:rPr>
          <w:lang w:val="en-CA"/>
        </w:rPr>
        <w:t xml:space="preserve"> have been completed. However, sales of R-290 RAC equipment have been lower than expected given the COVID-19 pandemic, which affected the manufacturing and marketing of R-290 RAC equipment; moreover, it has not yet been possible to independently verify the sales that took place after 1 September 2019. Accordingly, China is proposing to extend the date of completion of </w:t>
      </w:r>
      <w:r w:rsidR="00A81DEE" w:rsidRPr="0026329D">
        <w:rPr>
          <w:lang w:val="en-CA"/>
        </w:rPr>
        <w:t>stage </w:t>
      </w:r>
      <w:r w:rsidRPr="0026329D">
        <w:rPr>
          <w:lang w:val="en-CA"/>
        </w:rPr>
        <w:t xml:space="preserve">I to 31 December 2021, to allow for increasing sales of R-290 RAC equipment and payment of the associated IOCs to beneficiary enterprises. </w:t>
      </w:r>
    </w:p>
    <w:p w:rsidR="006322A8" w:rsidRPr="0026329D" w:rsidRDefault="006322A8" w:rsidP="003949EA">
      <w:pPr>
        <w:pStyle w:val="Heading1"/>
        <w:widowControl w:val="0"/>
        <w:numPr>
          <w:ilvl w:val="0"/>
          <w:numId w:val="0"/>
        </w:numPr>
        <w:rPr>
          <w:b/>
          <w:lang w:val="en-CA"/>
        </w:rPr>
      </w:pPr>
      <w:r w:rsidRPr="0026329D">
        <w:rPr>
          <w:b/>
          <w:lang w:val="en-CA"/>
        </w:rPr>
        <w:t>Secretariat’s comments</w:t>
      </w:r>
    </w:p>
    <w:p w:rsidR="006322A8" w:rsidRPr="0026329D" w:rsidRDefault="006322A8" w:rsidP="003949EA">
      <w:pPr>
        <w:widowControl w:val="0"/>
        <w:rPr>
          <w:u w:val="single"/>
          <w:lang w:val="en-CA"/>
        </w:rPr>
      </w:pPr>
      <w:r w:rsidRPr="0026329D">
        <w:rPr>
          <w:u w:val="single"/>
          <w:lang w:val="en-CA"/>
        </w:rPr>
        <w:t>HCFC consumption</w:t>
      </w:r>
    </w:p>
    <w:p w:rsidR="006322A8" w:rsidRPr="0026329D" w:rsidRDefault="006322A8" w:rsidP="003949EA">
      <w:pPr>
        <w:widowControl w:val="0"/>
        <w:rPr>
          <w:lang w:val="en-CA"/>
        </w:rPr>
      </w:pPr>
    </w:p>
    <w:p w:rsidR="006322A8" w:rsidRPr="0026329D" w:rsidRDefault="006322A8" w:rsidP="003949EA">
      <w:pPr>
        <w:pStyle w:val="Heading1"/>
        <w:widowControl w:val="0"/>
        <w:rPr>
          <w:lang w:val="en-CA"/>
        </w:rPr>
      </w:pPr>
      <w:r w:rsidRPr="0026329D">
        <w:rPr>
          <w:lang w:val="en-CA"/>
        </w:rPr>
        <w:t>The consumption of HCFC-22 in the RAC sector in 2019 was 50,000 mt (2,750 ODP tonnes), which is lower than the maximum allowable consumption in the Agreement between the Government of China and the Executive Committee (Table 3); however, that consumption is higher than the 2019 quota of 2,692 ODP tonnes given consumption by RAC manufacturing enterprises smaller than 100 mt/year of HCFC-22, which do not require a quota. Given consumption by those smaller enterprises, at the 81</w:t>
      </w:r>
      <w:r w:rsidRPr="0026329D">
        <w:rPr>
          <w:vertAlign w:val="superscript"/>
          <w:lang w:val="en-CA"/>
        </w:rPr>
        <w:t>st</w:t>
      </w:r>
      <w:r w:rsidR="009B3FC3" w:rsidRPr="0026329D">
        <w:rPr>
          <w:lang w:val="en-CA"/>
        </w:rPr>
        <w:t> meeting</w:t>
      </w:r>
      <w:r w:rsidRPr="0026329D">
        <w:rPr>
          <w:lang w:val="en-CA"/>
        </w:rPr>
        <w:t xml:space="preserve"> the Secretariat had noted the potential future risk of non-compliance with the sector target, and suggested allocating a lower quota than the target, or reducing the level of consumption of enterprises that do not require a quota.</w:t>
      </w:r>
      <w:r w:rsidRPr="0026329D">
        <w:rPr>
          <w:rStyle w:val="FootnoteReference"/>
          <w:lang w:val="en-CA"/>
        </w:rPr>
        <w:footnoteReference w:id="8"/>
      </w:r>
      <w:r w:rsidRPr="0026329D">
        <w:rPr>
          <w:lang w:val="en-CA"/>
        </w:rPr>
        <w:t xml:space="preserve"> The 2019 quota was set below the maximum allowable consumption for that year. The 2020 quota for the sector has been issued at 35,215 mt (1,937 ODP tonnes).</w:t>
      </w:r>
    </w:p>
    <w:p w:rsidR="006322A8" w:rsidRPr="0026329D" w:rsidRDefault="006322A8" w:rsidP="006322A8">
      <w:pPr>
        <w:rPr>
          <w:b/>
          <w:sz w:val="21"/>
          <w:szCs w:val="21"/>
          <w:lang w:val="en-CA"/>
        </w:rPr>
      </w:pPr>
      <w:r w:rsidRPr="0026329D">
        <w:rPr>
          <w:b/>
          <w:sz w:val="21"/>
          <w:szCs w:val="21"/>
          <w:lang w:val="en-CA"/>
        </w:rPr>
        <w:t>Table 3. HCFC-22 consumption and targets for the RAC sector</w:t>
      </w:r>
    </w:p>
    <w:tbl>
      <w:tblPr>
        <w:tblW w:w="5003" w:type="pct"/>
        <w:tblLayout w:type="fixed"/>
        <w:tblLook w:val="04A0" w:firstRow="1" w:lastRow="0" w:firstColumn="1" w:lastColumn="0" w:noHBand="0" w:noVBand="1"/>
      </w:tblPr>
      <w:tblGrid>
        <w:gridCol w:w="1979"/>
        <w:gridCol w:w="1263"/>
        <w:gridCol w:w="1240"/>
        <w:gridCol w:w="1240"/>
        <w:gridCol w:w="1240"/>
        <w:gridCol w:w="1239"/>
        <w:gridCol w:w="1245"/>
      </w:tblGrid>
      <w:tr w:rsidR="006322A8" w:rsidRPr="0026329D" w:rsidTr="00A1637C">
        <w:trPr>
          <w:tblHeader/>
        </w:trPr>
        <w:tc>
          <w:tcPr>
            <w:tcW w:w="1715" w:type="pct"/>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6322A8" w:rsidRPr="0026329D" w:rsidRDefault="006322A8" w:rsidP="006322A8">
            <w:pPr>
              <w:widowControl w:val="0"/>
              <w:rPr>
                <w:b/>
                <w:sz w:val="20"/>
                <w:szCs w:val="20"/>
                <w:lang w:val="en-CA"/>
              </w:rPr>
            </w:pPr>
            <w:r w:rsidRPr="0026329D">
              <w:rPr>
                <w:b/>
                <w:sz w:val="20"/>
                <w:szCs w:val="20"/>
                <w:lang w:val="en-CA"/>
              </w:rPr>
              <w:t>RAC sector plan</w:t>
            </w:r>
          </w:p>
        </w:tc>
        <w:tc>
          <w:tcPr>
            <w:tcW w:w="656"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6322A8" w:rsidRPr="0026329D" w:rsidRDefault="006322A8" w:rsidP="006322A8">
            <w:pPr>
              <w:widowControl w:val="0"/>
              <w:jc w:val="center"/>
              <w:rPr>
                <w:b/>
                <w:sz w:val="20"/>
                <w:szCs w:val="20"/>
                <w:lang w:val="en-CA"/>
              </w:rPr>
            </w:pPr>
            <w:r w:rsidRPr="0026329D">
              <w:rPr>
                <w:b/>
                <w:sz w:val="20"/>
                <w:szCs w:val="20"/>
                <w:lang w:val="en-CA"/>
              </w:rPr>
              <w:t>2015</w:t>
            </w:r>
          </w:p>
        </w:tc>
        <w:tc>
          <w:tcPr>
            <w:tcW w:w="656" w:type="pct"/>
            <w:tcBorders>
              <w:top w:val="single" w:sz="4" w:space="0" w:color="auto"/>
              <w:left w:val="nil"/>
              <w:bottom w:val="single" w:sz="4" w:space="0" w:color="auto"/>
              <w:right w:val="single" w:sz="4" w:space="0" w:color="auto"/>
            </w:tcBorders>
            <w:tcMar>
              <w:left w:w="29" w:type="dxa"/>
              <w:right w:w="29" w:type="dxa"/>
            </w:tcMar>
          </w:tcPr>
          <w:p w:rsidR="006322A8" w:rsidRPr="0026329D" w:rsidRDefault="006322A8" w:rsidP="006322A8">
            <w:pPr>
              <w:widowControl w:val="0"/>
              <w:jc w:val="center"/>
              <w:rPr>
                <w:b/>
                <w:sz w:val="20"/>
                <w:szCs w:val="20"/>
                <w:lang w:val="en-CA"/>
              </w:rPr>
            </w:pPr>
            <w:r w:rsidRPr="0026329D">
              <w:rPr>
                <w:b/>
                <w:sz w:val="20"/>
                <w:szCs w:val="20"/>
                <w:lang w:val="en-CA"/>
              </w:rPr>
              <w:t>2016</w:t>
            </w:r>
          </w:p>
        </w:tc>
        <w:tc>
          <w:tcPr>
            <w:tcW w:w="656" w:type="pct"/>
            <w:tcBorders>
              <w:top w:val="single" w:sz="4" w:space="0" w:color="auto"/>
              <w:left w:val="nil"/>
              <w:bottom w:val="single" w:sz="4" w:space="0" w:color="auto"/>
              <w:right w:val="single" w:sz="4" w:space="0" w:color="auto"/>
            </w:tcBorders>
            <w:tcMar>
              <w:left w:w="29" w:type="dxa"/>
              <w:right w:w="29" w:type="dxa"/>
            </w:tcMar>
          </w:tcPr>
          <w:p w:rsidR="006322A8" w:rsidRPr="0026329D" w:rsidRDefault="006322A8" w:rsidP="006322A8">
            <w:pPr>
              <w:widowControl w:val="0"/>
              <w:jc w:val="center"/>
              <w:rPr>
                <w:b/>
                <w:sz w:val="20"/>
                <w:szCs w:val="20"/>
                <w:lang w:val="en-CA"/>
              </w:rPr>
            </w:pPr>
            <w:r w:rsidRPr="0026329D">
              <w:rPr>
                <w:b/>
                <w:sz w:val="20"/>
                <w:szCs w:val="20"/>
                <w:lang w:val="en-CA"/>
              </w:rPr>
              <w:t>2017</w:t>
            </w:r>
          </w:p>
        </w:tc>
        <w:tc>
          <w:tcPr>
            <w:tcW w:w="656" w:type="pct"/>
            <w:tcBorders>
              <w:top w:val="single" w:sz="4" w:space="0" w:color="auto"/>
              <w:left w:val="nil"/>
              <w:bottom w:val="single" w:sz="4" w:space="0" w:color="auto"/>
              <w:right w:val="single" w:sz="4" w:space="0" w:color="auto"/>
            </w:tcBorders>
          </w:tcPr>
          <w:p w:rsidR="006322A8" w:rsidRPr="0026329D" w:rsidRDefault="006322A8" w:rsidP="006322A8">
            <w:pPr>
              <w:widowControl w:val="0"/>
              <w:jc w:val="center"/>
              <w:rPr>
                <w:b/>
                <w:sz w:val="20"/>
                <w:szCs w:val="20"/>
                <w:lang w:val="en-CA"/>
              </w:rPr>
            </w:pPr>
            <w:r w:rsidRPr="0026329D">
              <w:rPr>
                <w:b/>
                <w:sz w:val="20"/>
                <w:szCs w:val="20"/>
                <w:lang w:val="en-CA"/>
              </w:rPr>
              <w:t>2018</w:t>
            </w:r>
          </w:p>
        </w:tc>
        <w:tc>
          <w:tcPr>
            <w:tcW w:w="659" w:type="pct"/>
            <w:tcBorders>
              <w:top w:val="single" w:sz="4" w:space="0" w:color="auto"/>
              <w:left w:val="nil"/>
              <w:bottom w:val="single" w:sz="4" w:space="0" w:color="auto"/>
              <w:right w:val="single" w:sz="4" w:space="0" w:color="auto"/>
            </w:tcBorders>
          </w:tcPr>
          <w:p w:rsidR="006322A8" w:rsidRPr="0026329D" w:rsidRDefault="006322A8" w:rsidP="006322A8">
            <w:pPr>
              <w:widowControl w:val="0"/>
              <w:jc w:val="center"/>
              <w:rPr>
                <w:b/>
                <w:sz w:val="20"/>
                <w:szCs w:val="20"/>
                <w:lang w:val="en-CA"/>
              </w:rPr>
            </w:pPr>
            <w:r w:rsidRPr="0026329D">
              <w:rPr>
                <w:b/>
                <w:sz w:val="20"/>
                <w:szCs w:val="20"/>
                <w:lang w:val="en-CA"/>
              </w:rPr>
              <w:t>2019</w:t>
            </w:r>
          </w:p>
        </w:tc>
      </w:tr>
      <w:tr w:rsidR="006322A8" w:rsidRPr="0026329D" w:rsidTr="00A1637C">
        <w:tc>
          <w:tcPr>
            <w:tcW w:w="1047" w:type="pct"/>
            <w:vMerge w:val="restart"/>
            <w:tcBorders>
              <w:top w:val="single" w:sz="4" w:space="0" w:color="auto"/>
              <w:left w:val="single" w:sz="4" w:space="0" w:color="auto"/>
              <w:right w:val="single" w:sz="4" w:space="0" w:color="auto"/>
            </w:tcBorders>
            <w:shd w:val="clear" w:color="auto" w:fill="auto"/>
            <w:noWrap/>
            <w:tcMar>
              <w:left w:w="29" w:type="dxa"/>
              <w:right w:w="29" w:type="dxa"/>
            </w:tcMar>
            <w:vAlign w:val="center"/>
            <w:hideMark/>
          </w:tcPr>
          <w:p w:rsidR="006322A8" w:rsidRPr="0026329D" w:rsidRDefault="006322A8" w:rsidP="006322A8">
            <w:pPr>
              <w:widowControl w:val="0"/>
              <w:jc w:val="left"/>
              <w:rPr>
                <w:sz w:val="20"/>
                <w:szCs w:val="20"/>
                <w:lang w:val="en-CA"/>
              </w:rPr>
            </w:pPr>
            <w:r w:rsidRPr="0026329D">
              <w:rPr>
                <w:sz w:val="20"/>
                <w:szCs w:val="20"/>
                <w:lang w:val="en-CA"/>
              </w:rPr>
              <w:t>Consumption</w:t>
            </w:r>
          </w:p>
        </w:tc>
        <w:tc>
          <w:tcPr>
            <w:tcW w:w="66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6322A8" w:rsidRPr="0026329D" w:rsidRDefault="006322A8" w:rsidP="006322A8">
            <w:pPr>
              <w:widowControl w:val="0"/>
              <w:jc w:val="left"/>
              <w:rPr>
                <w:sz w:val="20"/>
                <w:szCs w:val="20"/>
                <w:lang w:val="en-CA"/>
              </w:rPr>
            </w:pPr>
            <w:r w:rsidRPr="0026329D">
              <w:rPr>
                <w:sz w:val="20"/>
                <w:szCs w:val="20"/>
                <w:lang w:val="en-CA"/>
              </w:rPr>
              <w:t>mt</w:t>
            </w:r>
          </w:p>
        </w:tc>
        <w:tc>
          <w:tcPr>
            <w:tcW w:w="656" w:type="pct"/>
            <w:tcBorders>
              <w:top w:val="single" w:sz="4" w:space="0" w:color="auto"/>
              <w:left w:val="nil"/>
              <w:bottom w:val="single" w:sz="4" w:space="0" w:color="auto"/>
              <w:right w:val="single" w:sz="4" w:space="0" w:color="auto"/>
            </w:tcBorders>
            <w:shd w:val="clear" w:color="auto" w:fill="auto"/>
            <w:noWrap/>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54,000.0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55,000.0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55,000.0</w:t>
            </w:r>
          </w:p>
        </w:tc>
        <w:tc>
          <w:tcPr>
            <w:tcW w:w="656" w:type="pct"/>
            <w:tcBorders>
              <w:top w:val="single" w:sz="4" w:space="0" w:color="auto"/>
              <w:left w:val="nil"/>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52,000.0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50,000.0</w:t>
            </w:r>
          </w:p>
        </w:tc>
      </w:tr>
      <w:tr w:rsidR="006322A8" w:rsidRPr="0026329D" w:rsidTr="00A1637C">
        <w:trPr>
          <w:trHeight w:val="98"/>
        </w:trPr>
        <w:tc>
          <w:tcPr>
            <w:tcW w:w="1047" w:type="pct"/>
            <w:vMerge/>
            <w:tcBorders>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6322A8" w:rsidRPr="0026329D" w:rsidRDefault="006322A8" w:rsidP="006322A8">
            <w:pPr>
              <w:widowControl w:val="0"/>
              <w:jc w:val="left"/>
              <w:rPr>
                <w:sz w:val="20"/>
                <w:szCs w:val="20"/>
                <w:lang w:val="en-CA"/>
              </w:rPr>
            </w:pPr>
          </w:p>
        </w:tc>
        <w:tc>
          <w:tcPr>
            <w:tcW w:w="668" w:type="pct"/>
            <w:tcBorders>
              <w:top w:val="nil"/>
              <w:left w:val="single" w:sz="4" w:space="0" w:color="auto"/>
              <w:bottom w:val="single" w:sz="4" w:space="0" w:color="auto"/>
              <w:right w:val="single" w:sz="4" w:space="0" w:color="auto"/>
            </w:tcBorders>
            <w:shd w:val="clear" w:color="auto" w:fill="auto"/>
            <w:tcMar>
              <w:left w:w="29" w:type="dxa"/>
              <w:right w:w="29" w:type="dxa"/>
            </w:tcMar>
          </w:tcPr>
          <w:p w:rsidR="006322A8" w:rsidRPr="0026329D" w:rsidRDefault="006322A8" w:rsidP="006322A8">
            <w:pPr>
              <w:widowControl w:val="0"/>
              <w:jc w:val="left"/>
              <w:rPr>
                <w:sz w:val="20"/>
                <w:szCs w:val="20"/>
                <w:lang w:val="en-CA"/>
              </w:rPr>
            </w:pPr>
            <w:r w:rsidRPr="0026329D">
              <w:rPr>
                <w:sz w:val="20"/>
                <w:szCs w:val="20"/>
                <w:lang w:val="en-CA"/>
              </w:rPr>
              <w:t>ODP tonnes</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2,970.0</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3,025.0</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3,025.0</w:t>
            </w:r>
          </w:p>
        </w:tc>
        <w:tc>
          <w:tcPr>
            <w:tcW w:w="656" w:type="pct"/>
            <w:tcBorders>
              <w:top w:val="single" w:sz="4" w:space="0" w:color="auto"/>
              <w:left w:val="nil"/>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2,860.0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2,750.0</w:t>
            </w:r>
          </w:p>
        </w:tc>
      </w:tr>
      <w:tr w:rsidR="006322A8" w:rsidRPr="0026329D" w:rsidTr="00A1637C">
        <w:tc>
          <w:tcPr>
            <w:tcW w:w="1047" w:type="pct"/>
            <w:vMerge w:val="restart"/>
            <w:tcBorders>
              <w:top w:val="nil"/>
              <w:left w:val="single" w:sz="4" w:space="0" w:color="auto"/>
              <w:right w:val="single" w:sz="4" w:space="0" w:color="auto"/>
            </w:tcBorders>
            <w:shd w:val="clear" w:color="auto" w:fill="auto"/>
            <w:noWrap/>
            <w:tcMar>
              <w:left w:w="29" w:type="dxa"/>
              <w:right w:w="0" w:type="dxa"/>
            </w:tcMar>
            <w:vAlign w:val="center"/>
          </w:tcPr>
          <w:p w:rsidR="006322A8" w:rsidRPr="0026329D" w:rsidRDefault="006322A8" w:rsidP="006322A8">
            <w:pPr>
              <w:widowControl w:val="0"/>
              <w:jc w:val="left"/>
              <w:rPr>
                <w:sz w:val="20"/>
                <w:szCs w:val="20"/>
                <w:lang w:val="en-CA"/>
              </w:rPr>
            </w:pPr>
            <w:r w:rsidRPr="0026329D">
              <w:rPr>
                <w:sz w:val="20"/>
                <w:szCs w:val="20"/>
                <w:lang w:val="en-CA"/>
              </w:rPr>
              <w:t xml:space="preserve">Maximum allowable consumption </w:t>
            </w:r>
          </w:p>
        </w:tc>
        <w:tc>
          <w:tcPr>
            <w:tcW w:w="668" w:type="pct"/>
            <w:tcBorders>
              <w:top w:val="nil"/>
              <w:left w:val="single" w:sz="4" w:space="0" w:color="auto"/>
              <w:bottom w:val="single" w:sz="4" w:space="0" w:color="auto"/>
              <w:right w:val="single" w:sz="4" w:space="0" w:color="auto"/>
            </w:tcBorders>
            <w:shd w:val="clear" w:color="auto" w:fill="auto"/>
            <w:tcMar>
              <w:left w:w="29" w:type="dxa"/>
              <w:right w:w="29" w:type="dxa"/>
            </w:tcMar>
          </w:tcPr>
          <w:p w:rsidR="006322A8" w:rsidRPr="0026329D" w:rsidRDefault="006322A8" w:rsidP="006322A8">
            <w:pPr>
              <w:widowControl w:val="0"/>
              <w:jc w:val="left"/>
              <w:rPr>
                <w:sz w:val="20"/>
                <w:szCs w:val="20"/>
                <w:lang w:val="en-CA"/>
              </w:rPr>
            </w:pPr>
            <w:r w:rsidRPr="0026329D">
              <w:rPr>
                <w:sz w:val="20"/>
                <w:szCs w:val="20"/>
                <w:lang w:val="en-CA"/>
              </w:rPr>
              <w:t>m</w:t>
            </w:r>
            <w:r w:rsidR="00F22439" w:rsidRPr="0026329D">
              <w:rPr>
                <w:sz w:val="20"/>
                <w:szCs w:val="20"/>
                <w:lang w:val="en-CA"/>
              </w:rPr>
              <w:t>t</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67,231.0</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67,231.0</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67,231.0</w:t>
            </w:r>
          </w:p>
        </w:tc>
        <w:tc>
          <w:tcPr>
            <w:tcW w:w="656" w:type="pct"/>
            <w:tcBorders>
              <w:top w:val="single" w:sz="4" w:space="0" w:color="auto"/>
              <w:left w:val="nil"/>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52,291.0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52,291.0</w:t>
            </w:r>
          </w:p>
        </w:tc>
      </w:tr>
      <w:tr w:rsidR="006322A8" w:rsidRPr="0026329D" w:rsidTr="00A1637C">
        <w:tc>
          <w:tcPr>
            <w:tcW w:w="1047" w:type="pct"/>
            <w:vMerge/>
            <w:tcBorders>
              <w:left w:val="single" w:sz="4" w:space="0" w:color="auto"/>
              <w:bottom w:val="single" w:sz="4" w:space="0" w:color="auto"/>
              <w:right w:val="single" w:sz="4" w:space="0" w:color="auto"/>
            </w:tcBorders>
            <w:shd w:val="clear" w:color="auto" w:fill="auto"/>
            <w:noWrap/>
            <w:tcMar>
              <w:left w:w="29" w:type="dxa"/>
              <w:right w:w="29" w:type="dxa"/>
            </w:tcMar>
          </w:tcPr>
          <w:p w:rsidR="006322A8" w:rsidRPr="0026329D" w:rsidRDefault="006322A8" w:rsidP="006322A8">
            <w:pPr>
              <w:widowControl w:val="0"/>
              <w:jc w:val="left"/>
              <w:rPr>
                <w:sz w:val="20"/>
                <w:szCs w:val="20"/>
                <w:lang w:val="en-CA"/>
              </w:rPr>
            </w:pPr>
          </w:p>
        </w:tc>
        <w:tc>
          <w:tcPr>
            <w:tcW w:w="668" w:type="pct"/>
            <w:tcBorders>
              <w:top w:val="nil"/>
              <w:left w:val="single" w:sz="4" w:space="0" w:color="auto"/>
              <w:bottom w:val="single" w:sz="4" w:space="0" w:color="auto"/>
              <w:right w:val="single" w:sz="4" w:space="0" w:color="auto"/>
            </w:tcBorders>
            <w:shd w:val="clear" w:color="auto" w:fill="auto"/>
            <w:tcMar>
              <w:left w:w="29" w:type="dxa"/>
              <w:right w:w="29" w:type="dxa"/>
            </w:tcMar>
          </w:tcPr>
          <w:p w:rsidR="006322A8" w:rsidRPr="0026329D" w:rsidRDefault="006322A8" w:rsidP="006322A8">
            <w:pPr>
              <w:widowControl w:val="0"/>
              <w:jc w:val="left"/>
              <w:rPr>
                <w:sz w:val="20"/>
                <w:szCs w:val="20"/>
                <w:lang w:val="en-CA"/>
              </w:rPr>
            </w:pPr>
            <w:r w:rsidRPr="0026329D">
              <w:rPr>
                <w:sz w:val="20"/>
                <w:szCs w:val="20"/>
                <w:lang w:val="en-CA"/>
              </w:rPr>
              <w:t>ODP tonnes</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3,697.7</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3,697.7</w:t>
            </w:r>
          </w:p>
        </w:tc>
        <w:tc>
          <w:tcPr>
            <w:tcW w:w="656" w:type="pct"/>
            <w:tcBorders>
              <w:top w:val="nil"/>
              <w:left w:val="nil"/>
              <w:bottom w:val="single" w:sz="4" w:space="0" w:color="auto"/>
              <w:right w:val="single" w:sz="4" w:space="0" w:color="auto"/>
            </w:tcBorders>
            <w:tcMar>
              <w:left w:w="29" w:type="dxa"/>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3,697.7</w:t>
            </w:r>
          </w:p>
        </w:tc>
        <w:tc>
          <w:tcPr>
            <w:tcW w:w="656" w:type="pct"/>
            <w:tcBorders>
              <w:top w:val="single" w:sz="4" w:space="0" w:color="auto"/>
              <w:left w:val="nil"/>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2876.0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rsidR="006322A8" w:rsidRPr="0026329D" w:rsidRDefault="006322A8" w:rsidP="006322A8">
            <w:pPr>
              <w:widowControl w:val="0"/>
              <w:jc w:val="right"/>
              <w:rPr>
                <w:sz w:val="20"/>
                <w:szCs w:val="20"/>
                <w:lang w:val="en-CA"/>
              </w:rPr>
            </w:pPr>
            <w:r w:rsidRPr="0026329D">
              <w:rPr>
                <w:sz w:val="20"/>
                <w:szCs w:val="20"/>
                <w:lang w:val="en-CA"/>
              </w:rPr>
              <w:t>2876.0</w:t>
            </w:r>
          </w:p>
        </w:tc>
      </w:tr>
    </w:tbl>
    <w:p w:rsidR="006322A8" w:rsidRPr="0026329D" w:rsidRDefault="006322A8" w:rsidP="006322A8">
      <w:pPr>
        <w:widowControl w:val="0"/>
        <w:rPr>
          <w:lang w:val="en-CA"/>
        </w:rPr>
      </w:pPr>
    </w:p>
    <w:p w:rsidR="006322A8" w:rsidRPr="0026329D" w:rsidRDefault="006322A8" w:rsidP="006322A8">
      <w:pPr>
        <w:rPr>
          <w:u w:val="single"/>
          <w:lang w:val="en-CA"/>
        </w:rPr>
      </w:pPr>
      <w:r w:rsidRPr="0026329D">
        <w:rPr>
          <w:u w:val="single"/>
          <w:lang w:val="en-CA"/>
        </w:rPr>
        <w:t xml:space="preserve">Implementation of the IOC incentive scheme </w:t>
      </w:r>
    </w:p>
    <w:p w:rsidR="006322A8" w:rsidRPr="0026329D" w:rsidRDefault="006322A8" w:rsidP="006322A8">
      <w:pPr>
        <w:rPr>
          <w:b/>
          <w:lang w:val="en-CA"/>
        </w:rPr>
      </w:pPr>
    </w:p>
    <w:p w:rsidR="006322A8" w:rsidRPr="0026329D" w:rsidRDefault="006322A8" w:rsidP="006322A8">
      <w:pPr>
        <w:pStyle w:val="Heading1"/>
        <w:rPr>
          <w:lang w:val="en-CA"/>
        </w:rPr>
      </w:pPr>
      <w:r w:rsidRPr="0026329D">
        <w:rPr>
          <w:lang w:val="en-CA"/>
        </w:rPr>
        <w:t>In September 2019, in consultation with the China Household Electric Appliances Association (CHEAA) and the manufacturers, FECO modified the IOC incentive scheme as follows: R-290 split air</w:t>
      </w:r>
      <w:r w:rsidRPr="0026329D">
        <w:rPr>
          <w:lang w:val="en-CA"/>
        </w:rPr>
        <w:noBreakHyphen/>
        <w:t>conditioning (AC) units manufactured before 31 August 2019 would be paid according to the energy efficiency and type of compressors used (inverter or fixed-speed), in line with the scheme proposed at the 83</w:t>
      </w:r>
      <w:r w:rsidRPr="0026329D">
        <w:rPr>
          <w:vertAlign w:val="superscript"/>
          <w:lang w:val="en-CA"/>
        </w:rPr>
        <w:t>rd </w:t>
      </w:r>
      <w:r w:rsidRPr="0026329D">
        <w:rPr>
          <w:lang w:val="en-CA"/>
        </w:rPr>
        <w:t xml:space="preserve">meeting, (as shown in Table 4), with the subsidy decreasing with time (i.e., units manufactured between 1 September 2019 and 29 February 2020 would receive a subsidy at 50 per cent; between 1 March and 31 August 2020 at 25 per cent; and after 1 September 2020 at 12.5 per cent). </w:t>
      </w:r>
    </w:p>
    <w:p w:rsidR="006322A8" w:rsidRPr="0026329D" w:rsidRDefault="006322A8" w:rsidP="006322A8">
      <w:pPr>
        <w:rPr>
          <w:lang w:val="en-CA"/>
        </w:rPr>
      </w:pPr>
      <w:r w:rsidRPr="0026329D">
        <w:rPr>
          <w:b/>
          <w:lang w:val="en-CA"/>
        </w:rPr>
        <w:t>Table 4. IOC incentive scheme agreed at the 84</w:t>
      </w:r>
      <w:r w:rsidRPr="0026329D">
        <w:rPr>
          <w:b/>
          <w:vertAlign w:val="superscript"/>
          <w:lang w:val="en-CA"/>
        </w:rPr>
        <w:t>th</w:t>
      </w:r>
      <w:r w:rsidRPr="0026329D">
        <w:rPr>
          <w:b/>
          <w:lang w:val="en-CA"/>
        </w:rPr>
        <w:t> meeting (RMB*/unit)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835"/>
        <w:gridCol w:w="2835"/>
      </w:tblGrid>
      <w:tr w:rsidR="006322A8" w:rsidRPr="0026329D" w:rsidTr="002B5CC9">
        <w:tc>
          <w:tcPr>
            <w:tcW w:w="3780" w:type="dxa"/>
            <w:vMerge w:val="restart"/>
            <w:shd w:val="clear" w:color="auto" w:fill="auto"/>
            <w:noWrap/>
            <w:vAlign w:val="center"/>
            <w:hideMark/>
          </w:tcPr>
          <w:p w:rsidR="006322A8" w:rsidRPr="0026329D" w:rsidRDefault="006322A8" w:rsidP="006322A8">
            <w:pPr>
              <w:jc w:val="left"/>
              <w:rPr>
                <w:b/>
                <w:color w:val="000000"/>
                <w:sz w:val="20"/>
                <w:szCs w:val="20"/>
                <w:lang w:val="en-CA" w:eastAsia="en-CA"/>
              </w:rPr>
            </w:pPr>
            <w:r w:rsidRPr="0026329D">
              <w:rPr>
                <w:b/>
                <w:color w:val="000000"/>
                <w:sz w:val="20"/>
                <w:szCs w:val="20"/>
                <w:lang w:val="en-CA" w:eastAsia="en-CA"/>
              </w:rPr>
              <w:t>Split units </w:t>
            </w:r>
          </w:p>
        </w:tc>
        <w:tc>
          <w:tcPr>
            <w:tcW w:w="5670" w:type="dxa"/>
            <w:gridSpan w:val="2"/>
            <w:shd w:val="clear" w:color="auto" w:fill="auto"/>
            <w:noWrap/>
            <w:tcMar>
              <w:right w:w="43" w:type="dxa"/>
            </w:tcMar>
            <w:vAlign w:val="center"/>
            <w:hideMark/>
          </w:tcPr>
          <w:p w:rsidR="006322A8" w:rsidRPr="0026329D" w:rsidRDefault="006322A8" w:rsidP="006322A8">
            <w:pPr>
              <w:jc w:val="center"/>
              <w:rPr>
                <w:b/>
                <w:color w:val="000000"/>
                <w:sz w:val="20"/>
                <w:szCs w:val="20"/>
                <w:lang w:val="en-CA" w:eastAsia="en-CA"/>
              </w:rPr>
            </w:pPr>
            <w:r w:rsidRPr="0026329D">
              <w:rPr>
                <w:b/>
                <w:color w:val="000000"/>
                <w:sz w:val="20"/>
                <w:szCs w:val="20"/>
                <w:lang w:val="en-CA" w:eastAsia="en-CA"/>
              </w:rPr>
              <w:t>Criteria</w:t>
            </w:r>
          </w:p>
        </w:tc>
      </w:tr>
      <w:tr w:rsidR="006322A8" w:rsidRPr="0026329D" w:rsidTr="002B5CC9">
        <w:tc>
          <w:tcPr>
            <w:tcW w:w="3780" w:type="dxa"/>
            <w:vMerge/>
            <w:shd w:val="clear" w:color="auto" w:fill="auto"/>
            <w:noWrap/>
            <w:vAlign w:val="bottom"/>
            <w:hideMark/>
          </w:tcPr>
          <w:p w:rsidR="006322A8" w:rsidRPr="0026329D" w:rsidRDefault="006322A8" w:rsidP="006322A8">
            <w:pPr>
              <w:jc w:val="left"/>
              <w:rPr>
                <w:color w:val="000000"/>
                <w:sz w:val="20"/>
                <w:szCs w:val="20"/>
                <w:lang w:val="en-CA" w:eastAsia="en-CA"/>
              </w:rPr>
            </w:pPr>
          </w:p>
        </w:tc>
        <w:tc>
          <w:tcPr>
            <w:tcW w:w="2835" w:type="dxa"/>
            <w:shd w:val="clear" w:color="auto" w:fill="auto"/>
            <w:noWrap/>
            <w:tcMar>
              <w:right w:w="43" w:type="dxa"/>
            </w:tcMar>
            <w:vAlign w:val="center"/>
            <w:hideMark/>
          </w:tcPr>
          <w:p w:rsidR="006322A8" w:rsidRPr="0026329D" w:rsidRDefault="006322A8" w:rsidP="006322A8">
            <w:pPr>
              <w:jc w:val="center"/>
              <w:rPr>
                <w:b/>
                <w:color w:val="000000"/>
                <w:sz w:val="20"/>
                <w:szCs w:val="20"/>
                <w:lang w:val="en-CA" w:eastAsia="en-CA"/>
              </w:rPr>
            </w:pPr>
            <w:r w:rsidRPr="0026329D">
              <w:rPr>
                <w:b/>
                <w:color w:val="000000"/>
                <w:sz w:val="20"/>
                <w:szCs w:val="20"/>
                <w:lang w:val="en-CA" w:eastAsia="en-CA"/>
              </w:rPr>
              <w:t>Inverter</w:t>
            </w:r>
          </w:p>
        </w:tc>
        <w:tc>
          <w:tcPr>
            <w:tcW w:w="2835" w:type="dxa"/>
            <w:shd w:val="clear" w:color="auto" w:fill="auto"/>
            <w:noWrap/>
            <w:tcMar>
              <w:right w:w="43" w:type="dxa"/>
            </w:tcMar>
            <w:vAlign w:val="center"/>
            <w:hideMark/>
          </w:tcPr>
          <w:p w:rsidR="006322A8" w:rsidRPr="0026329D" w:rsidRDefault="006322A8" w:rsidP="006322A8">
            <w:pPr>
              <w:jc w:val="center"/>
              <w:rPr>
                <w:b/>
                <w:color w:val="000000"/>
                <w:sz w:val="20"/>
                <w:szCs w:val="20"/>
                <w:lang w:val="en-CA" w:eastAsia="en-CA"/>
              </w:rPr>
            </w:pPr>
            <w:r w:rsidRPr="0026329D">
              <w:rPr>
                <w:b/>
                <w:color w:val="000000"/>
                <w:sz w:val="20"/>
                <w:szCs w:val="20"/>
                <w:lang w:val="en-CA" w:eastAsia="en-CA"/>
              </w:rPr>
              <w:t>Fixed-speed</w:t>
            </w:r>
          </w:p>
        </w:tc>
      </w:tr>
      <w:tr w:rsidR="006322A8" w:rsidRPr="0026329D" w:rsidTr="002B5CC9">
        <w:tc>
          <w:tcPr>
            <w:tcW w:w="3780" w:type="dxa"/>
            <w:shd w:val="clear" w:color="auto" w:fill="auto"/>
            <w:noWrap/>
            <w:vAlign w:val="bottom"/>
            <w:hideMark/>
          </w:tcPr>
          <w:p w:rsidR="006322A8" w:rsidRPr="0026329D" w:rsidRDefault="006322A8" w:rsidP="006322A8">
            <w:pPr>
              <w:jc w:val="left"/>
              <w:rPr>
                <w:b/>
                <w:color w:val="000000"/>
                <w:sz w:val="20"/>
                <w:szCs w:val="20"/>
                <w:lang w:val="en-CA" w:eastAsia="en-CA"/>
              </w:rPr>
            </w:pPr>
            <w:r w:rsidRPr="0026329D">
              <w:rPr>
                <w:b/>
                <w:color w:val="000000"/>
                <w:sz w:val="20"/>
                <w:szCs w:val="20"/>
                <w:lang w:val="en-CA" w:eastAsia="en-CA"/>
              </w:rPr>
              <w:t>Local sales</w:t>
            </w:r>
          </w:p>
        </w:tc>
        <w:tc>
          <w:tcPr>
            <w:tcW w:w="2835" w:type="dxa"/>
            <w:shd w:val="clear" w:color="auto" w:fill="auto"/>
            <w:noWrap/>
            <w:tcMar>
              <w:right w:w="43" w:type="dxa"/>
            </w:tcMar>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 </w:t>
            </w:r>
          </w:p>
        </w:tc>
        <w:tc>
          <w:tcPr>
            <w:tcW w:w="2835" w:type="dxa"/>
            <w:shd w:val="clear" w:color="auto" w:fill="auto"/>
            <w:noWrap/>
            <w:tcMar>
              <w:right w:w="43" w:type="dxa"/>
            </w:tcMar>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 </w:t>
            </w:r>
          </w:p>
        </w:tc>
      </w:tr>
      <w:tr w:rsidR="006322A8" w:rsidRPr="0026329D" w:rsidTr="002B5CC9">
        <w:tc>
          <w:tcPr>
            <w:tcW w:w="3780" w:type="dxa"/>
            <w:shd w:val="clear" w:color="auto" w:fill="auto"/>
            <w:noWrap/>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1 energy efficiency</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600</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500</w:t>
            </w:r>
          </w:p>
        </w:tc>
      </w:tr>
      <w:tr w:rsidR="006322A8" w:rsidRPr="0026329D" w:rsidTr="002B5CC9">
        <w:tc>
          <w:tcPr>
            <w:tcW w:w="3780" w:type="dxa"/>
            <w:shd w:val="clear" w:color="auto" w:fill="auto"/>
            <w:noWrap/>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2 energy efficiency</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360</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300</w:t>
            </w:r>
          </w:p>
        </w:tc>
      </w:tr>
      <w:tr w:rsidR="006322A8" w:rsidRPr="0026329D" w:rsidTr="002B5CC9">
        <w:tc>
          <w:tcPr>
            <w:tcW w:w="3780" w:type="dxa"/>
            <w:shd w:val="clear" w:color="auto" w:fill="auto"/>
            <w:noWrap/>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3 energy efficiency</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200</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150</w:t>
            </w:r>
          </w:p>
        </w:tc>
      </w:tr>
      <w:tr w:rsidR="006322A8" w:rsidRPr="0026329D" w:rsidTr="002B5CC9">
        <w:tc>
          <w:tcPr>
            <w:tcW w:w="3780" w:type="dxa"/>
            <w:shd w:val="clear" w:color="auto" w:fill="auto"/>
            <w:noWrap/>
            <w:vAlign w:val="bottom"/>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Export to Article 5 countries</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360</w:t>
            </w:r>
          </w:p>
        </w:tc>
        <w:tc>
          <w:tcPr>
            <w:tcW w:w="2835" w:type="dxa"/>
            <w:shd w:val="clear" w:color="auto" w:fill="auto"/>
            <w:noWrap/>
            <w:tcMar>
              <w:left w:w="115" w:type="dxa"/>
              <w:right w:w="1440" w:type="dxa"/>
            </w:tcMar>
            <w:vAlign w:val="bottom"/>
            <w:hideMark/>
          </w:tcPr>
          <w:p w:rsidR="006322A8" w:rsidRPr="0026329D" w:rsidRDefault="006322A8" w:rsidP="006322A8">
            <w:pPr>
              <w:ind w:right="-314"/>
              <w:jc w:val="right"/>
              <w:rPr>
                <w:sz w:val="20"/>
                <w:szCs w:val="20"/>
                <w:lang w:val="en-CA" w:eastAsia="en-CA"/>
              </w:rPr>
            </w:pPr>
            <w:r w:rsidRPr="0026329D">
              <w:rPr>
                <w:sz w:val="20"/>
                <w:szCs w:val="20"/>
                <w:lang w:val="en-CA" w:eastAsia="en-CA"/>
              </w:rPr>
              <w:t>300</w:t>
            </w:r>
          </w:p>
        </w:tc>
      </w:tr>
      <w:tr w:rsidR="006322A8" w:rsidRPr="0026329D" w:rsidTr="002B5CC9">
        <w:tc>
          <w:tcPr>
            <w:tcW w:w="3780" w:type="dxa"/>
            <w:shd w:val="clear" w:color="auto" w:fill="auto"/>
            <w:noWrap/>
            <w:vAlign w:val="bottom"/>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Export to non-Article 5 countries</w:t>
            </w:r>
          </w:p>
        </w:tc>
        <w:tc>
          <w:tcPr>
            <w:tcW w:w="2835" w:type="dxa"/>
            <w:shd w:val="clear" w:color="auto" w:fill="auto"/>
            <w:noWrap/>
            <w:tcMar>
              <w:left w:w="115" w:type="dxa"/>
              <w:right w:w="1440" w:type="dxa"/>
            </w:tcMar>
            <w:vAlign w:val="bottom"/>
          </w:tcPr>
          <w:p w:rsidR="006322A8" w:rsidRPr="0026329D" w:rsidRDefault="006322A8" w:rsidP="006322A8">
            <w:pPr>
              <w:ind w:right="-314"/>
              <w:jc w:val="right"/>
              <w:rPr>
                <w:sz w:val="20"/>
                <w:szCs w:val="20"/>
                <w:lang w:val="en-CA" w:eastAsia="en-CA"/>
              </w:rPr>
            </w:pPr>
            <w:r w:rsidRPr="0026329D">
              <w:rPr>
                <w:sz w:val="20"/>
                <w:szCs w:val="20"/>
                <w:lang w:val="en-CA" w:eastAsia="en-CA"/>
              </w:rPr>
              <w:t>0</w:t>
            </w:r>
          </w:p>
        </w:tc>
        <w:tc>
          <w:tcPr>
            <w:tcW w:w="2835" w:type="dxa"/>
            <w:shd w:val="clear" w:color="auto" w:fill="auto"/>
            <w:noWrap/>
            <w:tcMar>
              <w:left w:w="115" w:type="dxa"/>
              <w:right w:w="1440" w:type="dxa"/>
            </w:tcMar>
            <w:vAlign w:val="bottom"/>
          </w:tcPr>
          <w:p w:rsidR="006322A8" w:rsidRPr="0026329D" w:rsidRDefault="006322A8" w:rsidP="006322A8">
            <w:pPr>
              <w:ind w:right="-314"/>
              <w:jc w:val="right"/>
              <w:rPr>
                <w:sz w:val="20"/>
                <w:szCs w:val="20"/>
                <w:lang w:val="en-CA" w:eastAsia="en-CA"/>
              </w:rPr>
            </w:pPr>
            <w:r w:rsidRPr="0026329D">
              <w:rPr>
                <w:sz w:val="20"/>
                <w:szCs w:val="20"/>
                <w:lang w:val="en-CA" w:eastAsia="en-CA"/>
              </w:rPr>
              <w:t>0</w:t>
            </w:r>
          </w:p>
        </w:tc>
      </w:tr>
    </w:tbl>
    <w:p w:rsidR="006322A8" w:rsidRPr="0026329D" w:rsidRDefault="006322A8" w:rsidP="006322A8">
      <w:pPr>
        <w:rPr>
          <w:sz w:val="18"/>
          <w:szCs w:val="18"/>
          <w:lang w:val="en-CA"/>
        </w:rPr>
      </w:pPr>
      <w:r w:rsidRPr="0026329D">
        <w:rPr>
          <w:sz w:val="18"/>
          <w:szCs w:val="18"/>
          <w:lang w:val="en-CA"/>
        </w:rPr>
        <w:t>* Renminbi = RMB</w:t>
      </w:r>
    </w:p>
    <w:p w:rsidR="006322A8" w:rsidRPr="0026329D" w:rsidRDefault="006322A8" w:rsidP="006322A8">
      <w:pPr>
        <w:rPr>
          <w:sz w:val="20"/>
          <w:szCs w:val="20"/>
          <w:lang w:val="en-CA"/>
        </w:rPr>
      </w:pPr>
    </w:p>
    <w:p w:rsidR="006322A8" w:rsidRPr="0026329D" w:rsidRDefault="006322A8" w:rsidP="006322A8">
      <w:pPr>
        <w:pStyle w:val="Heading1"/>
        <w:rPr>
          <w:lang w:val="en-CA"/>
        </w:rPr>
      </w:pPr>
      <w:r w:rsidRPr="0026329D">
        <w:rPr>
          <w:lang w:val="en-CA"/>
        </w:rPr>
        <w:t>Subsequent to the 84</w:t>
      </w:r>
      <w:r w:rsidRPr="0026329D">
        <w:rPr>
          <w:vertAlign w:val="superscript"/>
          <w:lang w:val="en-CA"/>
        </w:rPr>
        <w:t>th</w:t>
      </w:r>
      <w:r w:rsidRPr="0026329D">
        <w:rPr>
          <w:lang w:val="en-CA"/>
        </w:rPr>
        <w:t xml:space="preserve"> meeting, the COVID-19 pandemic broke out and production and marketing of R-290 ACs were interrupted. Moreover, given the global downturn in the economy, the market uptake of R-290 RAC technology faced increased challenges. Accordingly, China proposed to modify the IOC incentive scheme such that 25 per cent of the IOCs would be provided for R-290 split units sold until 31 August 2021, and 12.5 per cent for units sold on 1 September 2021 and beyond, as shown in Table 5. </w:t>
      </w:r>
    </w:p>
    <w:p w:rsidR="006322A8" w:rsidRPr="0026329D" w:rsidRDefault="006322A8" w:rsidP="006E1A17">
      <w:pPr>
        <w:rPr>
          <w:lang w:val="en-CA"/>
        </w:rPr>
      </w:pPr>
      <w:r w:rsidRPr="0026329D">
        <w:rPr>
          <w:b/>
          <w:lang w:val="en-CA"/>
        </w:rPr>
        <w:t>Table 5. Revised IOC incentive scheme (RMB/unit)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4A0" w:firstRow="1" w:lastRow="0" w:firstColumn="1" w:lastColumn="0" w:noHBand="0" w:noVBand="1"/>
      </w:tblPr>
      <w:tblGrid>
        <w:gridCol w:w="773"/>
        <w:gridCol w:w="2488"/>
        <w:gridCol w:w="1546"/>
        <w:gridCol w:w="1546"/>
        <w:gridCol w:w="1546"/>
        <w:gridCol w:w="1546"/>
      </w:tblGrid>
      <w:tr w:rsidR="006322A8" w:rsidRPr="0026329D" w:rsidTr="00A1637C">
        <w:trPr>
          <w:trHeight w:val="46"/>
        </w:trPr>
        <w:tc>
          <w:tcPr>
            <w:tcW w:w="3261" w:type="dxa"/>
            <w:gridSpan w:val="2"/>
            <w:vMerge w:val="restart"/>
            <w:shd w:val="clear" w:color="auto" w:fill="auto"/>
            <w:noWrap/>
            <w:vAlign w:val="center"/>
            <w:hideMark/>
          </w:tcPr>
          <w:p w:rsidR="006322A8" w:rsidRPr="0026329D" w:rsidRDefault="006322A8" w:rsidP="006E1A17">
            <w:pPr>
              <w:jc w:val="left"/>
              <w:rPr>
                <w:color w:val="000000"/>
                <w:sz w:val="20"/>
                <w:szCs w:val="20"/>
                <w:lang w:val="en-CA" w:eastAsia="en-CA"/>
              </w:rPr>
            </w:pPr>
            <w:r w:rsidRPr="0026329D">
              <w:rPr>
                <w:b/>
                <w:color w:val="000000"/>
                <w:sz w:val="20"/>
                <w:szCs w:val="20"/>
                <w:lang w:val="en-CA" w:eastAsia="en-CA"/>
              </w:rPr>
              <w:t>Split units</w:t>
            </w:r>
          </w:p>
        </w:tc>
        <w:tc>
          <w:tcPr>
            <w:tcW w:w="3092" w:type="dxa"/>
            <w:gridSpan w:val="2"/>
            <w:shd w:val="clear" w:color="auto" w:fill="auto"/>
            <w:vAlign w:val="center"/>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Until 31 August 2021</w:t>
            </w:r>
          </w:p>
        </w:tc>
        <w:tc>
          <w:tcPr>
            <w:tcW w:w="3092" w:type="dxa"/>
            <w:gridSpan w:val="2"/>
            <w:shd w:val="clear" w:color="auto" w:fill="auto"/>
            <w:noWrap/>
            <w:vAlign w:val="bottom"/>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After 1 September 2021</w:t>
            </w:r>
          </w:p>
        </w:tc>
      </w:tr>
      <w:tr w:rsidR="006322A8" w:rsidRPr="0026329D" w:rsidTr="00A1637C">
        <w:trPr>
          <w:trHeight w:val="62"/>
        </w:trPr>
        <w:tc>
          <w:tcPr>
            <w:tcW w:w="3261" w:type="dxa"/>
            <w:gridSpan w:val="2"/>
            <w:vMerge/>
            <w:shd w:val="clear" w:color="auto" w:fill="auto"/>
            <w:vAlign w:val="center"/>
            <w:hideMark/>
          </w:tcPr>
          <w:p w:rsidR="006322A8" w:rsidRPr="0026329D" w:rsidRDefault="006322A8" w:rsidP="006E1A17">
            <w:pPr>
              <w:jc w:val="center"/>
              <w:rPr>
                <w:b/>
                <w:color w:val="000000"/>
                <w:sz w:val="20"/>
                <w:szCs w:val="20"/>
                <w:lang w:val="en-CA" w:eastAsia="en-CA"/>
              </w:rPr>
            </w:pPr>
          </w:p>
        </w:tc>
        <w:tc>
          <w:tcPr>
            <w:tcW w:w="1546" w:type="dxa"/>
            <w:shd w:val="clear" w:color="auto" w:fill="auto"/>
            <w:noWrap/>
            <w:vAlign w:val="bottom"/>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Inverter</w:t>
            </w:r>
          </w:p>
        </w:tc>
        <w:tc>
          <w:tcPr>
            <w:tcW w:w="1546" w:type="dxa"/>
            <w:shd w:val="clear" w:color="auto" w:fill="auto"/>
            <w:noWrap/>
            <w:vAlign w:val="bottom"/>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Fixed-speed</w:t>
            </w:r>
          </w:p>
        </w:tc>
        <w:tc>
          <w:tcPr>
            <w:tcW w:w="1546" w:type="dxa"/>
            <w:shd w:val="clear" w:color="auto" w:fill="auto"/>
            <w:noWrap/>
            <w:vAlign w:val="bottom"/>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Inverter</w:t>
            </w:r>
          </w:p>
        </w:tc>
        <w:tc>
          <w:tcPr>
            <w:tcW w:w="1546" w:type="dxa"/>
            <w:shd w:val="clear" w:color="auto" w:fill="auto"/>
            <w:noWrap/>
            <w:vAlign w:val="bottom"/>
            <w:hideMark/>
          </w:tcPr>
          <w:p w:rsidR="006322A8" w:rsidRPr="0026329D" w:rsidRDefault="006322A8" w:rsidP="006E1A17">
            <w:pPr>
              <w:jc w:val="center"/>
              <w:rPr>
                <w:b/>
                <w:color w:val="000000"/>
                <w:sz w:val="20"/>
                <w:szCs w:val="20"/>
                <w:lang w:val="en-CA" w:eastAsia="en-CA"/>
              </w:rPr>
            </w:pPr>
            <w:r w:rsidRPr="0026329D">
              <w:rPr>
                <w:b/>
                <w:color w:val="000000"/>
                <w:sz w:val="20"/>
                <w:szCs w:val="20"/>
                <w:lang w:val="en-CA" w:eastAsia="en-CA"/>
              </w:rPr>
              <w:t>Fixed-speed</w:t>
            </w:r>
          </w:p>
        </w:tc>
      </w:tr>
      <w:tr w:rsidR="006322A8" w:rsidRPr="0026329D" w:rsidTr="00A1637C">
        <w:trPr>
          <w:trHeight w:val="125"/>
        </w:trPr>
        <w:tc>
          <w:tcPr>
            <w:tcW w:w="773" w:type="dxa"/>
            <w:vMerge w:val="restart"/>
            <w:shd w:val="clear" w:color="auto" w:fill="auto"/>
            <w:vAlign w:val="center"/>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Local</w:t>
            </w:r>
          </w:p>
        </w:tc>
        <w:tc>
          <w:tcPr>
            <w:tcW w:w="2488" w:type="dxa"/>
            <w:shd w:val="clear" w:color="auto" w:fill="auto"/>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Grade 1 energy efficiency</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150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125</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75</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62.50</w:t>
            </w:r>
          </w:p>
        </w:tc>
      </w:tr>
      <w:tr w:rsidR="006322A8" w:rsidRPr="0026329D" w:rsidTr="00A1637C">
        <w:trPr>
          <w:trHeight w:val="179"/>
        </w:trPr>
        <w:tc>
          <w:tcPr>
            <w:tcW w:w="773" w:type="dxa"/>
            <w:vMerge/>
            <w:vAlign w:val="center"/>
            <w:hideMark/>
          </w:tcPr>
          <w:p w:rsidR="006322A8" w:rsidRPr="0026329D" w:rsidRDefault="006322A8" w:rsidP="006E1A17">
            <w:pPr>
              <w:jc w:val="left"/>
              <w:rPr>
                <w:color w:val="000000"/>
                <w:sz w:val="20"/>
                <w:szCs w:val="20"/>
                <w:lang w:val="en-CA" w:eastAsia="en-CA"/>
              </w:rPr>
            </w:pPr>
          </w:p>
        </w:tc>
        <w:tc>
          <w:tcPr>
            <w:tcW w:w="2488" w:type="dxa"/>
            <w:shd w:val="clear" w:color="auto" w:fill="auto"/>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Grade 2 energy efficiency</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90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75</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45</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37.50</w:t>
            </w:r>
          </w:p>
        </w:tc>
      </w:tr>
      <w:tr w:rsidR="006322A8" w:rsidRPr="0026329D" w:rsidTr="00A1637C">
        <w:trPr>
          <w:trHeight w:val="46"/>
        </w:trPr>
        <w:tc>
          <w:tcPr>
            <w:tcW w:w="773" w:type="dxa"/>
            <w:vMerge/>
            <w:vAlign w:val="center"/>
            <w:hideMark/>
          </w:tcPr>
          <w:p w:rsidR="006322A8" w:rsidRPr="0026329D" w:rsidRDefault="006322A8" w:rsidP="006E1A17">
            <w:pPr>
              <w:jc w:val="left"/>
              <w:rPr>
                <w:color w:val="000000"/>
                <w:sz w:val="20"/>
                <w:szCs w:val="20"/>
                <w:lang w:val="en-CA" w:eastAsia="en-CA"/>
              </w:rPr>
            </w:pPr>
          </w:p>
        </w:tc>
        <w:tc>
          <w:tcPr>
            <w:tcW w:w="2488" w:type="dxa"/>
            <w:shd w:val="clear" w:color="auto" w:fill="auto"/>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Grade 3 energy efficiency</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50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38</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25</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18.75</w:t>
            </w:r>
          </w:p>
        </w:tc>
      </w:tr>
      <w:tr w:rsidR="006322A8" w:rsidRPr="0026329D" w:rsidTr="00A1637C">
        <w:trPr>
          <w:trHeight w:val="107"/>
        </w:trPr>
        <w:tc>
          <w:tcPr>
            <w:tcW w:w="3261" w:type="dxa"/>
            <w:gridSpan w:val="2"/>
            <w:shd w:val="clear" w:color="auto" w:fill="auto"/>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Export to Article 5 countries</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90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75</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45</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37.50</w:t>
            </w:r>
          </w:p>
        </w:tc>
      </w:tr>
      <w:tr w:rsidR="006322A8" w:rsidRPr="0026329D" w:rsidTr="00A1637C">
        <w:trPr>
          <w:trHeight w:val="170"/>
        </w:trPr>
        <w:tc>
          <w:tcPr>
            <w:tcW w:w="3261" w:type="dxa"/>
            <w:gridSpan w:val="2"/>
            <w:shd w:val="clear" w:color="auto" w:fill="auto"/>
            <w:hideMark/>
          </w:tcPr>
          <w:p w:rsidR="006322A8" w:rsidRPr="0026329D" w:rsidRDefault="006322A8" w:rsidP="006E1A17">
            <w:pPr>
              <w:jc w:val="left"/>
              <w:rPr>
                <w:color w:val="000000"/>
                <w:sz w:val="20"/>
                <w:szCs w:val="20"/>
                <w:lang w:val="en-CA" w:eastAsia="en-CA"/>
              </w:rPr>
            </w:pPr>
            <w:r w:rsidRPr="0026329D">
              <w:rPr>
                <w:color w:val="000000"/>
                <w:sz w:val="20"/>
                <w:szCs w:val="20"/>
                <w:lang w:val="en-CA" w:eastAsia="en-CA"/>
              </w:rPr>
              <w:t>Export to non-Article 5 countries</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0</w:t>
            </w:r>
          </w:p>
        </w:tc>
        <w:tc>
          <w:tcPr>
            <w:tcW w:w="1546" w:type="dxa"/>
            <w:shd w:val="clear" w:color="auto" w:fill="auto"/>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0</w:t>
            </w:r>
          </w:p>
        </w:tc>
        <w:tc>
          <w:tcPr>
            <w:tcW w:w="1546" w:type="dxa"/>
            <w:shd w:val="clear" w:color="auto" w:fill="auto"/>
            <w:noWrap/>
            <w:tcMar>
              <w:right w:w="173" w:type="dxa"/>
            </w:tcMar>
            <w:hideMark/>
          </w:tcPr>
          <w:p w:rsidR="006322A8" w:rsidRPr="0026329D" w:rsidRDefault="006322A8" w:rsidP="006E1A17">
            <w:pPr>
              <w:jc w:val="right"/>
              <w:rPr>
                <w:color w:val="000000"/>
                <w:sz w:val="20"/>
                <w:szCs w:val="20"/>
                <w:lang w:val="en-CA" w:eastAsia="en-CA"/>
              </w:rPr>
            </w:pPr>
            <w:r w:rsidRPr="0026329D">
              <w:rPr>
                <w:color w:val="000000"/>
                <w:sz w:val="20"/>
                <w:szCs w:val="20"/>
                <w:lang w:val="en-CA" w:eastAsia="en-CA"/>
              </w:rPr>
              <w:t>0.00</w:t>
            </w:r>
          </w:p>
        </w:tc>
      </w:tr>
    </w:tbl>
    <w:p w:rsidR="006322A8" w:rsidRPr="0026329D" w:rsidRDefault="006322A8" w:rsidP="006322A8">
      <w:pPr>
        <w:rPr>
          <w:lang w:val="en-CA"/>
        </w:rPr>
      </w:pPr>
    </w:p>
    <w:p w:rsidR="006322A8" w:rsidRPr="0026329D" w:rsidRDefault="006322A8" w:rsidP="006322A8">
      <w:pPr>
        <w:pStyle w:val="Heading1"/>
        <w:rPr>
          <w:lang w:val="en-CA"/>
        </w:rPr>
      </w:pPr>
      <w:r w:rsidRPr="0026329D">
        <w:rPr>
          <w:lang w:val="en-CA"/>
        </w:rPr>
        <w:t xml:space="preserve">The revised IOC incentive scheme would continue to use the first-come, first-served principle; would not limit the amount of IOC for any individual manufacturer; and would continue to be provided </w:t>
      </w:r>
      <w:r w:rsidR="002841E7" w:rsidRPr="0026329D">
        <w:rPr>
          <w:lang w:val="en-CA"/>
        </w:rPr>
        <w:t xml:space="preserve">only </w:t>
      </w:r>
      <w:r w:rsidRPr="0026329D">
        <w:rPr>
          <w:lang w:val="en-CA"/>
        </w:rPr>
        <w:t>on the sale of split R-290 ACs to China and other Article 5 countries. IOCs will</w:t>
      </w:r>
      <w:r w:rsidR="00E17D45" w:rsidRPr="0026329D">
        <w:rPr>
          <w:lang w:val="en-CA"/>
        </w:rPr>
        <w:t xml:space="preserve"> not be paid on sale of factory</w:t>
      </w:r>
      <w:r w:rsidR="00E17D45" w:rsidRPr="0026329D">
        <w:rPr>
          <w:lang w:val="en-CA"/>
        </w:rPr>
        <w:noBreakHyphen/>
      </w:r>
      <w:r w:rsidRPr="0026329D">
        <w:rPr>
          <w:lang w:val="en-CA"/>
        </w:rPr>
        <w:t>sealed units, such as portable ACs, window</w:t>
      </w:r>
      <w:r w:rsidRPr="0026329D">
        <w:rPr>
          <w:lang w:val="en-CA"/>
        </w:rPr>
        <w:noBreakHyphen/>
        <w:t xml:space="preserve">type ACs, and dehumidifiers, which are already established in the marketplace. The Secretariat noted that IOCs would only be provided under </w:t>
      </w:r>
      <w:r w:rsidR="00A81DEE" w:rsidRPr="0026329D">
        <w:rPr>
          <w:lang w:val="en-CA"/>
        </w:rPr>
        <w:t>stage </w:t>
      </w:r>
      <w:r w:rsidR="00E17D45" w:rsidRPr="0026329D">
        <w:rPr>
          <w:lang w:val="en-CA"/>
        </w:rPr>
        <w:t>I for R</w:t>
      </w:r>
      <w:r w:rsidR="00E17D45" w:rsidRPr="0026329D">
        <w:rPr>
          <w:lang w:val="en-CA"/>
        </w:rPr>
        <w:noBreakHyphen/>
      </w:r>
      <w:r w:rsidRPr="0026329D">
        <w:rPr>
          <w:lang w:val="en-CA"/>
        </w:rPr>
        <w:t xml:space="preserve">290 RAC units sold before the completion of </w:t>
      </w:r>
      <w:r w:rsidR="00A81DEE" w:rsidRPr="0026329D">
        <w:rPr>
          <w:lang w:val="en-CA"/>
        </w:rPr>
        <w:t>stage </w:t>
      </w:r>
      <w:r w:rsidRPr="0026329D">
        <w:rPr>
          <w:lang w:val="en-CA"/>
        </w:rPr>
        <w:t xml:space="preserve">I (i.e., the right-hand columns would apply between 1 September 2021 and 31 December 2021). </w:t>
      </w:r>
    </w:p>
    <w:p w:rsidR="006322A8" w:rsidRPr="0026329D" w:rsidRDefault="006322A8" w:rsidP="006322A8">
      <w:pPr>
        <w:pStyle w:val="Heading1"/>
        <w:rPr>
          <w:lang w:val="en-CA"/>
        </w:rPr>
      </w:pPr>
      <w:r w:rsidRPr="0026329D">
        <w:rPr>
          <w:lang w:val="en-CA"/>
        </w:rPr>
        <w:t>In line with decision 84/68(d)(ii), UNIDO provided information on the effect of the IOC incentive scheme on the market uptake of R-290 split AC units. All the 183,970 R</w:t>
      </w:r>
      <w:r w:rsidRPr="0026329D">
        <w:rPr>
          <w:lang w:val="en-CA"/>
        </w:rPr>
        <w:noBreakHyphen/>
        <w:t xml:space="preserve">290 split units sold by August 2019, were sold locally; the majority of the sales were for fixed-speed units; and approximately two-thirds of the sales were for units with grade 2 energy efficiency, as shown in Table 6. </w:t>
      </w:r>
    </w:p>
    <w:p w:rsidR="006322A8" w:rsidRPr="0026329D" w:rsidRDefault="006322A8" w:rsidP="006322A8">
      <w:pPr>
        <w:rPr>
          <w:lang w:val="en-CA"/>
        </w:rPr>
      </w:pPr>
      <w:r w:rsidRPr="0026329D">
        <w:rPr>
          <w:b/>
          <w:lang w:val="en-CA"/>
        </w:rPr>
        <w:t>Table 6. Percentage of R-290 RAC split units by energy class sold by 31 August 2019</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273"/>
        <w:gridCol w:w="2273"/>
      </w:tblGrid>
      <w:tr w:rsidR="006322A8" w:rsidRPr="0026329D" w:rsidTr="002B5CC9">
        <w:trPr>
          <w:trHeight w:val="98"/>
        </w:trPr>
        <w:tc>
          <w:tcPr>
            <w:tcW w:w="2594" w:type="pct"/>
            <w:vMerge w:val="restart"/>
            <w:shd w:val="clear" w:color="auto" w:fill="auto"/>
            <w:noWrap/>
            <w:tcMar>
              <w:left w:w="115" w:type="dxa"/>
              <w:right w:w="173" w:type="dxa"/>
            </w:tcMar>
            <w:vAlign w:val="center"/>
            <w:hideMark/>
          </w:tcPr>
          <w:p w:rsidR="006322A8" w:rsidRPr="0026329D" w:rsidRDefault="006322A8" w:rsidP="006322A8">
            <w:pPr>
              <w:jc w:val="left"/>
              <w:rPr>
                <w:b/>
                <w:bCs/>
                <w:color w:val="000000"/>
                <w:sz w:val="20"/>
                <w:szCs w:val="20"/>
                <w:lang w:val="en-CA" w:eastAsia="en-CA"/>
              </w:rPr>
            </w:pPr>
            <w:r w:rsidRPr="0026329D">
              <w:rPr>
                <w:b/>
                <w:bCs/>
                <w:color w:val="000000"/>
                <w:sz w:val="20"/>
                <w:szCs w:val="20"/>
                <w:lang w:val="en-CA" w:eastAsia="en-CA"/>
              </w:rPr>
              <w:t>Split units </w:t>
            </w:r>
          </w:p>
        </w:tc>
        <w:tc>
          <w:tcPr>
            <w:tcW w:w="2406" w:type="pct"/>
            <w:gridSpan w:val="2"/>
            <w:shd w:val="clear" w:color="auto" w:fill="auto"/>
            <w:noWrap/>
            <w:tcMar>
              <w:left w:w="115" w:type="dxa"/>
              <w:right w:w="173"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Criteria</w:t>
            </w:r>
          </w:p>
        </w:tc>
      </w:tr>
      <w:tr w:rsidR="006322A8" w:rsidRPr="0026329D" w:rsidTr="002B5CC9">
        <w:trPr>
          <w:trHeight w:val="143"/>
        </w:trPr>
        <w:tc>
          <w:tcPr>
            <w:tcW w:w="2594" w:type="pct"/>
            <w:vMerge/>
            <w:tcMar>
              <w:left w:w="115" w:type="dxa"/>
              <w:right w:w="173" w:type="dxa"/>
            </w:tcMar>
            <w:vAlign w:val="center"/>
            <w:hideMark/>
          </w:tcPr>
          <w:p w:rsidR="006322A8" w:rsidRPr="0026329D" w:rsidRDefault="006322A8" w:rsidP="006322A8">
            <w:pPr>
              <w:jc w:val="left"/>
              <w:rPr>
                <w:b/>
                <w:bCs/>
                <w:color w:val="000000"/>
                <w:sz w:val="20"/>
                <w:szCs w:val="20"/>
                <w:lang w:val="en-CA" w:eastAsia="en-CA"/>
              </w:rPr>
            </w:pPr>
          </w:p>
        </w:tc>
        <w:tc>
          <w:tcPr>
            <w:tcW w:w="1203" w:type="pct"/>
            <w:shd w:val="clear" w:color="auto" w:fill="auto"/>
            <w:noWrap/>
            <w:tcMar>
              <w:left w:w="115" w:type="dxa"/>
              <w:right w:w="173"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 xml:space="preserve">Inverter </w:t>
            </w:r>
          </w:p>
        </w:tc>
        <w:tc>
          <w:tcPr>
            <w:tcW w:w="1203" w:type="pct"/>
            <w:shd w:val="clear" w:color="auto" w:fill="auto"/>
            <w:noWrap/>
            <w:tcMar>
              <w:left w:w="115" w:type="dxa"/>
              <w:right w:w="173" w:type="dxa"/>
            </w:tcMar>
            <w:vAlign w:val="center"/>
            <w:hideMark/>
          </w:tcPr>
          <w:p w:rsidR="006322A8" w:rsidRPr="0026329D" w:rsidRDefault="006322A8" w:rsidP="006322A8">
            <w:pPr>
              <w:jc w:val="center"/>
              <w:rPr>
                <w:b/>
                <w:bCs/>
                <w:color w:val="000000"/>
                <w:sz w:val="20"/>
                <w:szCs w:val="20"/>
                <w:lang w:val="en-CA" w:eastAsia="en-CA"/>
              </w:rPr>
            </w:pPr>
            <w:r w:rsidRPr="0026329D">
              <w:rPr>
                <w:b/>
                <w:bCs/>
                <w:color w:val="000000"/>
                <w:sz w:val="20"/>
                <w:szCs w:val="20"/>
                <w:lang w:val="en-CA" w:eastAsia="en-CA"/>
              </w:rPr>
              <w:t xml:space="preserve">Fixed-speed </w:t>
            </w:r>
          </w:p>
        </w:tc>
      </w:tr>
      <w:tr w:rsidR="006322A8" w:rsidRPr="0026329D" w:rsidTr="002B5CC9">
        <w:trPr>
          <w:trHeight w:val="152"/>
        </w:trPr>
        <w:tc>
          <w:tcPr>
            <w:tcW w:w="2594" w:type="pct"/>
            <w:shd w:val="clear" w:color="auto" w:fill="auto"/>
            <w:noWrap/>
            <w:tcMar>
              <w:left w:w="115" w:type="dxa"/>
              <w:right w:w="173" w:type="dxa"/>
            </w:tcMar>
            <w:vAlign w:val="center"/>
            <w:hideMark/>
          </w:tcPr>
          <w:p w:rsidR="006322A8" w:rsidRPr="0026329D" w:rsidRDefault="006322A8" w:rsidP="006322A8">
            <w:pPr>
              <w:jc w:val="left"/>
              <w:rPr>
                <w:b/>
                <w:bCs/>
                <w:color w:val="000000"/>
                <w:sz w:val="20"/>
                <w:szCs w:val="20"/>
                <w:lang w:val="en-CA" w:eastAsia="en-CA"/>
              </w:rPr>
            </w:pPr>
            <w:r w:rsidRPr="0026329D">
              <w:rPr>
                <w:b/>
                <w:bCs/>
                <w:color w:val="000000"/>
                <w:sz w:val="20"/>
                <w:szCs w:val="20"/>
                <w:lang w:val="en-CA" w:eastAsia="en-CA"/>
              </w:rPr>
              <w:t>Local sales</w:t>
            </w:r>
          </w:p>
        </w:tc>
        <w:tc>
          <w:tcPr>
            <w:tcW w:w="1203"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 </w:t>
            </w:r>
          </w:p>
        </w:tc>
        <w:tc>
          <w:tcPr>
            <w:tcW w:w="1203"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 </w:t>
            </w:r>
          </w:p>
        </w:tc>
      </w:tr>
      <w:tr w:rsidR="006322A8" w:rsidRPr="0026329D" w:rsidTr="002B5CC9">
        <w:trPr>
          <w:trHeight w:val="152"/>
        </w:trPr>
        <w:tc>
          <w:tcPr>
            <w:tcW w:w="2594"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1 energy efficiency</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0</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27</w:t>
            </w:r>
          </w:p>
        </w:tc>
      </w:tr>
      <w:tr w:rsidR="006322A8" w:rsidRPr="0026329D" w:rsidTr="002B5CC9">
        <w:trPr>
          <w:trHeight w:val="116"/>
        </w:trPr>
        <w:tc>
          <w:tcPr>
            <w:tcW w:w="2594"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2 energy efficiency</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6</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65</w:t>
            </w:r>
          </w:p>
        </w:tc>
      </w:tr>
      <w:tr w:rsidR="006322A8" w:rsidRPr="0026329D" w:rsidTr="002B5CC9">
        <w:trPr>
          <w:trHeight w:val="71"/>
        </w:trPr>
        <w:tc>
          <w:tcPr>
            <w:tcW w:w="2594"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Grade 3 energy efficiency</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0</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2</w:t>
            </w:r>
          </w:p>
        </w:tc>
      </w:tr>
      <w:tr w:rsidR="006322A8" w:rsidRPr="0026329D" w:rsidTr="002B5CC9">
        <w:trPr>
          <w:trHeight w:val="46"/>
        </w:trPr>
        <w:tc>
          <w:tcPr>
            <w:tcW w:w="2594" w:type="pct"/>
            <w:shd w:val="clear" w:color="auto" w:fill="auto"/>
            <w:noWrap/>
            <w:tcMar>
              <w:left w:w="115" w:type="dxa"/>
              <w:right w:w="173" w:type="dxa"/>
            </w:tcMar>
            <w:vAlign w:val="center"/>
            <w:hideMark/>
          </w:tcPr>
          <w:p w:rsidR="006322A8" w:rsidRPr="0026329D" w:rsidRDefault="006322A8" w:rsidP="006322A8">
            <w:pPr>
              <w:jc w:val="left"/>
              <w:rPr>
                <w:color w:val="000000"/>
                <w:sz w:val="20"/>
                <w:szCs w:val="20"/>
                <w:lang w:val="en-CA" w:eastAsia="en-CA"/>
              </w:rPr>
            </w:pPr>
            <w:r w:rsidRPr="0026329D">
              <w:rPr>
                <w:color w:val="000000"/>
                <w:sz w:val="20"/>
                <w:szCs w:val="20"/>
                <w:lang w:val="en-CA" w:eastAsia="en-CA"/>
              </w:rPr>
              <w:t>Export to Article 5 and non-Article 5 countries</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0</w:t>
            </w:r>
          </w:p>
        </w:tc>
        <w:tc>
          <w:tcPr>
            <w:tcW w:w="1203" w:type="pct"/>
            <w:shd w:val="clear" w:color="auto" w:fill="auto"/>
            <w:noWrap/>
            <w:tcMar>
              <w:left w:w="115" w:type="dxa"/>
              <w:right w:w="173" w:type="dxa"/>
            </w:tcMar>
            <w:vAlign w:val="center"/>
            <w:hideMark/>
          </w:tcPr>
          <w:p w:rsidR="006322A8" w:rsidRPr="0026329D" w:rsidRDefault="006322A8" w:rsidP="009A2BA2">
            <w:pPr>
              <w:jc w:val="center"/>
              <w:rPr>
                <w:color w:val="000000"/>
                <w:sz w:val="20"/>
                <w:szCs w:val="20"/>
                <w:lang w:val="en-CA" w:eastAsia="en-CA"/>
              </w:rPr>
            </w:pPr>
            <w:r w:rsidRPr="0026329D">
              <w:rPr>
                <w:color w:val="000000"/>
                <w:sz w:val="20"/>
                <w:szCs w:val="20"/>
                <w:lang w:val="en-CA" w:eastAsia="en-CA"/>
              </w:rPr>
              <w:t>0</w:t>
            </w:r>
          </w:p>
        </w:tc>
      </w:tr>
    </w:tbl>
    <w:p w:rsidR="006322A8" w:rsidRPr="0026329D" w:rsidRDefault="006322A8" w:rsidP="006322A8">
      <w:pPr>
        <w:rPr>
          <w:lang w:val="en-CA"/>
        </w:rPr>
      </w:pPr>
    </w:p>
    <w:p w:rsidR="006322A8" w:rsidRPr="0026329D" w:rsidRDefault="006322A8" w:rsidP="006322A8">
      <w:pPr>
        <w:rPr>
          <w:u w:val="single"/>
          <w:lang w:val="en-CA"/>
        </w:rPr>
      </w:pPr>
      <w:r w:rsidRPr="0026329D">
        <w:rPr>
          <w:u w:val="single"/>
          <w:lang w:val="en-CA"/>
        </w:rPr>
        <w:t xml:space="preserve">Conclusion </w:t>
      </w:r>
    </w:p>
    <w:p w:rsidR="006322A8" w:rsidRPr="0026329D" w:rsidRDefault="006322A8" w:rsidP="006322A8">
      <w:pPr>
        <w:rPr>
          <w:lang w:val="en-CA"/>
        </w:rPr>
      </w:pPr>
    </w:p>
    <w:p w:rsidR="006322A8" w:rsidRPr="0026329D" w:rsidRDefault="006322A8" w:rsidP="006322A8">
      <w:pPr>
        <w:pStyle w:val="Heading1"/>
        <w:rPr>
          <w:lang w:val="en-CA"/>
        </w:rPr>
      </w:pPr>
      <w:r w:rsidRPr="0026329D">
        <w:rPr>
          <w:lang w:val="en-CA"/>
        </w:rPr>
        <w:t>All conversions and technical assistance activities have been completed. The disbursement from FECO to the final beneficiaries is 81 per cent, and the consumption of HCFC-22 in the sector remains below the targets specified in the Agreement with the Executive Committee. Notwithstanding continued efforts by the Government of China, CHEAA, industry and UNIDO, manufacturing of R</w:t>
      </w:r>
      <w:r w:rsidRPr="0026329D">
        <w:rPr>
          <w:lang w:val="en-CA"/>
        </w:rPr>
        <w:noBreakHyphen/>
        <w:t>290 RAC equipment on the converted lines continues to be very low,</w:t>
      </w:r>
      <w:r w:rsidRPr="0026329D">
        <w:rPr>
          <w:rStyle w:val="FootnoteReference"/>
          <w:lang w:val="en-CA"/>
        </w:rPr>
        <w:footnoteReference w:id="9"/>
      </w:r>
      <w:r w:rsidRPr="0026329D">
        <w:rPr>
          <w:lang w:val="en-CA"/>
        </w:rPr>
        <w:t xml:space="preserve"> reflecting limited local and globa</w:t>
      </w:r>
      <w:r w:rsidR="00E17D45" w:rsidRPr="0026329D">
        <w:rPr>
          <w:lang w:val="en-CA"/>
        </w:rPr>
        <w:t>l market penetration; the COVID</w:t>
      </w:r>
      <w:r w:rsidR="00E17D45" w:rsidRPr="0026329D">
        <w:rPr>
          <w:lang w:val="en-CA"/>
        </w:rPr>
        <w:noBreakHyphen/>
      </w:r>
      <w:r w:rsidRPr="0026329D">
        <w:rPr>
          <w:lang w:val="en-CA"/>
        </w:rPr>
        <w:t xml:space="preserve">19 pandemic has further limited the market update of the technology. Accordingly, the Secretariat supports the extension of </w:t>
      </w:r>
      <w:r w:rsidR="00A81DEE" w:rsidRPr="0026329D">
        <w:rPr>
          <w:lang w:val="en-CA"/>
        </w:rPr>
        <w:t>stage </w:t>
      </w:r>
      <w:r w:rsidRPr="0026329D">
        <w:rPr>
          <w:lang w:val="en-CA"/>
        </w:rPr>
        <w:t xml:space="preserve">I to 31 December 2021 and the revised IOC incentive scheme proposed by the Government of China, while noting that additional and sustained efforts will be required, including those planned under </w:t>
      </w:r>
      <w:r w:rsidR="00A81DEE" w:rsidRPr="0026329D">
        <w:rPr>
          <w:lang w:val="en-CA"/>
        </w:rPr>
        <w:t>stage </w:t>
      </w:r>
      <w:r w:rsidRPr="0026329D">
        <w:rPr>
          <w:lang w:val="en-CA"/>
        </w:rPr>
        <w:t xml:space="preserve">II, for the successful market introduction of the technology. The Secretariat notes that all other sectors under </w:t>
      </w:r>
      <w:r w:rsidR="00A81DEE" w:rsidRPr="0026329D">
        <w:rPr>
          <w:lang w:val="en-CA"/>
        </w:rPr>
        <w:t>stage </w:t>
      </w:r>
      <w:r w:rsidRPr="0026329D">
        <w:rPr>
          <w:lang w:val="en-CA"/>
        </w:rPr>
        <w:t xml:space="preserve">I have been completed, and that any remaining balances from those sectors would be returned in line with the financial completion of those sectors, irrespective of the extension of </w:t>
      </w:r>
      <w:r w:rsidR="00A81DEE" w:rsidRPr="0026329D">
        <w:rPr>
          <w:lang w:val="en-CA"/>
        </w:rPr>
        <w:t>stage </w:t>
      </w:r>
      <w:r w:rsidRPr="0026329D">
        <w:rPr>
          <w:lang w:val="en-CA"/>
        </w:rPr>
        <w:t xml:space="preserve">I of the RAC sector. </w:t>
      </w:r>
    </w:p>
    <w:p w:rsidR="006322A8" w:rsidRPr="0026329D" w:rsidRDefault="003304E4" w:rsidP="006322A8">
      <w:pPr>
        <w:keepNext/>
        <w:keepLines/>
        <w:rPr>
          <w:b/>
          <w:lang w:val="en-CA"/>
        </w:rPr>
      </w:pPr>
      <w:r w:rsidRPr="0026329D">
        <w:rPr>
          <w:b/>
          <w:lang w:val="en-CA"/>
        </w:rPr>
        <w:t>Recommendation</w:t>
      </w:r>
    </w:p>
    <w:p w:rsidR="006322A8" w:rsidRPr="0026329D" w:rsidRDefault="006322A8" w:rsidP="006322A8">
      <w:pPr>
        <w:keepNext/>
        <w:keepLines/>
        <w:rPr>
          <w:lang w:val="en-CA"/>
        </w:rPr>
      </w:pPr>
    </w:p>
    <w:p w:rsidR="006322A8" w:rsidRPr="0026329D" w:rsidRDefault="006322A8" w:rsidP="006322A8">
      <w:pPr>
        <w:pStyle w:val="Heading1"/>
        <w:keepNext/>
        <w:keepLines/>
        <w:rPr>
          <w:lang w:val="en-CA"/>
        </w:rPr>
      </w:pPr>
      <w:r w:rsidRPr="0026329D">
        <w:rPr>
          <w:lang w:val="en-CA"/>
        </w:rPr>
        <w:t xml:space="preserve">The Executive Committee may wish to consider: </w:t>
      </w:r>
    </w:p>
    <w:p w:rsidR="006322A8" w:rsidRPr="0026329D" w:rsidRDefault="006322A8" w:rsidP="006322A8">
      <w:pPr>
        <w:pStyle w:val="Heading2"/>
        <w:rPr>
          <w:lang w:val="en-CA"/>
        </w:rPr>
      </w:pPr>
      <w:r w:rsidRPr="0026329D">
        <w:rPr>
          <w:lang w:val="en-CA"/>
        </w:rPr>
        <w:t>Noting the progress report on the implementation of the room air</w:t>
      </w:r>
      <w:r w:rsidRPr="0026329D">
        <w:rPr>
          <w:lang w:val="en-CA"/>
        </w:rPr>
        <w:noBreakHyphen/>
        <w:t xml:space="preserve">conditioning (RAC) sector plan of </w:t>
      </w:r>
      <w:r w:rsidR="00A81DEE" w:rsidRPr="0026329D">
        <w:rPr>
          <w:lang w:val="en-CA"/>
        </w:rPr>
        <w:t>stage </w:t>
      </w:r>
      <w:r w:rsidRPr="0026329D">
        <w:rPr>
          <w:lang w:val="en-CA"/>
        </w:rPr>
        <w:t xml:space="preserve">I of the HCFC phase-out management plan (HPMP), including the progress on the effect of the incremental-operating-cost (IOC) incentive scheme on the market uptake of R-290 split air-conditioning units in China submitted by UNIDO in line with decision 84/68; </w:t>
      </w:r>
    </w:p>
    <w:p w:rsidR="006322A8" w:rsidRPr="0026329D" w:rsidRDefault="006322A8" w:rsidP="006322A8">
      <w:pPr>
        <w:pStyle w:val="Heading2"/>
        <w:rPr>
          <w:lang w:val="en-CA"/>
        </w:rPr>
      </w:pPr>
      <w:r w:rsidRPr="0026329D">
        <w:rPr>
          <w:lang w:val="en-CA"/>
        </w:rPr>
        <w:t xml:space="preserve">Noting the revision to the IOC incentive scheme for the RAC sector plan, as reflected in document UNEP/OzL.Pro/ExCom/86/21/Add.1; </w:t>
      </w:r>
    </w:p>
    <w:p w:rsidR="006322A8" w:rsidRPr="0026329D" w:rsidRDefault="006322A8" w:rsidP="006322A8">
      <w:pPr>
        <w:pStyle w:val="Heading2"/>
        <w:rPr>
          <w:lang w:val="en-CA"/>
        </w:rPr>
      </w:pPr>
      <w:r w:rsidRPr="0026329D">
        <w:rPr>
          <w:lang w:val="en-CA"/>
        </w:rPr>
        <w:t xml:space="preserve">Approving the extension of implementation of the RAC sector plan of </w:t>
      </w:r>
      <w:r w:rsidR="00A81DEE" w:rsidRPr="0026329D">
        <w:rPr>
          <w:lang w:val="en-CA"/>
        </w:rPr>
        <w:t>stage </w:t>
      </w:r>
      <w:r w:rsidRPr="0026329D">
        <w:rPr>
          <w:lang w:val="en-CA"/>
        </w:rPr>
        <w:t xml:space="preserve">I of the HPMP to 31 December 2021, on an exceptional basis noting that the COVID-19 pandemic affected the manufacturing and marketing of R-290 RAC equipment, and on the understanding that no further extension would be requested, and that any remaining balances from other sectors under </w:t>
      </w:r>
      <w:r w:rsidR="00A81DEE" w:rsidRPr="0026329D">
        <w:rPr>
          <w:lang w:val="en-CA"/>
        </w:rPr>
        <w:t>stage </w:t>
      </w:r>
      <w:r w:rsidRPr="0026329D">
        <w:rPr>
          <w:lang w:val="en-CA"/>
        </w:rPr>
        <w:t>I that have been completed would be returned in line with the financial completion of those sectors; and</w:t>
      </w:r>
    </w:p>
    <w:p w:rsidR="006322A8" w:rsidRPr="0026329D" w:rsidRDefault="006322A8" w:rsidP="006322A8">
      <w:pPr>
        <w:pStyle w:val="Heading2"/>
        <w:rPr>
          <w:lang w:val="en-CA"/>
        </w:rPr>
      </w:pPr>
      <w:r w:rsidRPr="0026329D">
        <w:rPr>
          <w:lang w:val="en-CA"/>
        </w:rPr>
        <w:t xml:space="preserve">Requesting the Government of China and UNIDO to submit progress reports on the implementation of the work programme associated with the final tranche of the RAC sector plan on a yearly basis through the completion of the project, the project completion report by 30 June 2022, and to return any remaining balances by 31 December 2022. </w:t>
      </w:r>
    </w:p>
    <w:p w:rsidR="00D04C51" w:rsidRPr="0026329D" w:rsidRDefault="00D04C51">
      <w:pPr>
        <w:jc w:val="left"/>
        <w:rPr>
          <w:b/>
          <w:lang w:val="en-CA"/>
        </w:rPr>
      </w:pPr>
      <w:r w:rsidRPr="0026329D">
        <w:rPr>
          <w:b/>
          <w:lang w:val="en-CA"/>
        </w:rPr>
        <w:br w:type="page"/>
      </w:r>
    </w:p>
    <w:p w:rsidR="0026329D" w:rsidRDefault="0026329D" w:rsidP="0026329D">
      <w:pPr>
        <w:rPr>
          <w:lang w:val="en-CA"/>
        </w:rPr>
      </w:pPr>
    </w:p>
    <w:p w:rsidR="00D54FFA" w:rsidRPr="0026329D" w:rsidRDefault="00D54FFA" w:rsidP="00641E90">
      <w:pPr>
        <w:spacing w:after="240"/>
        <w:rPr>
          <w:b/>
          <w:lang w:val="en-CA"/>
        </w:rPr>
      </w:pPr>
      <w:r w:rsidRPr="0026329D">
        <w:rPr>
          <w:b/>
          <w:lang w:val="en-CA"/>
        </w:rPr>
        <w:t>PART II</w:t>
      </w:r>
      <w:r w:rsidRPr="0026329D">
        <w:rPr>
          <w:b/>
          <w:lang w:val="en-CA"/>
        </w:rPr>
        <w:tab/>
      </w:r>
      <w:r w:rsidR="00A81DEE" w:rsidRPr="0026329D">
        <w:rPr>
          <w:b/>
          <w:lang w:val="en-CA"/>
        </w:rPr>
        <w:t>STAGE </w:t>
      </w:r>
      <w:r w:rsidR="003949EA" w:rsidRPr="0026329D">
        <w:rPr>
          <w:b/>
          <w:lang w:val="en-CA"/>
        </w:rPr>
        <w:t>II OF THE HCFC PHASE-OUT MANAGEMENT PLAN</w:t>
      </w:r>
    </w:p>
    <w:p w:rsidR="00D04C51" w:rsidRPr="0026329D" w:rsidRDefault="00D04C51" w:rsidP="00D04C51">
      <w:pPr>
        <w:spacing w:after="240"/>
        <w:outlineLvl w:val="0"/>
        <w:rPr>
          <w:b/>
          <w:lang w:val="en-CA"/>
        </w:rPr>
      </w:pPr>
      <w:r w:rsidRPr="0026329D">
        <w:rPr>
          <w:b/>
          <w:lang w:val="en-CA"/>
        </w:rPr>
        <w:t xml:space="preserve">Overview of the overarching strategy for </w:t>
      </w:r>
      <w:r w:rsidR="00A81DEE" w:rsidRPr="0026329D">
        <w:rPr>
          <w:b/>
          <w:lang w:val="en-CA"/>
        </w:rPr>
        <w:t>stage </w:t>
      </w:r>
      <w:r w:rsidRPr="0026329D">
        <w:rPr>
          <w:b/>
          <w:lang w:val="en-CA"/>
        </w:rPr>
        <w:t xml:space="preserve">II </w:t>
      </w:r>
    </w:p>
    <w:p w:rsidR="007C7D82" w:rsidRPr="0026329D" w:rsidRDefault="007C7D82" w:rsidP="007C7D82">
      <w:pPr>
        <w:pStyle w:val="Heading1"/>
        <w:rPr>
          <w:lang w:val="en-CA"/>
        </w:rPr>
      </w:pPr>
      <w:r w:rsidRPr="0026329D">
        <w:rPr>
          <w:lang w:val="en-CA"/>
        </w:rPr>
        <w:t>Between its 76</w:t>
      </w:r>
      <w:r w:rsidRPr="0026329D">
        <w:rPr>
          <w:vertAlign w:val="superscript"/>
          <w:lang w:val="en-CA"/>
        </w:rPr>
        <w:t>th</w:t>
      </w:r>
      <w:r w:rsidRPr="0026329D">
        <w:rPr>
          <w:lang w:val="en-CA"/>
        </w:rPr>
        <w:t xml:space="preserve"> and 7</w:t>
      </w:r>
      <w:r w:rsidR="00F87C0C" w:rsidRPr="0026329D">
        <w:rPr>
          <w:lang w:val="en-CA"/>
        </w:rPr>
        <w:t>7</w:t>
      </w:r>
      <w:r w:rsidRPr="0026329D">
        <w:rPr>
          <w:vertAlign w:val="superscript"/>
          <w:lang w:val="en-CA"/>
        </w:rPr>
        <w:t>th</w:t>
      </w:r>
      <w:r w:rsidRPr="0026329D">
        <w:rPr>
          <w:lang w:val="en-CA"/>
        </w:rPr>
        <w:t xml:space="preserve"> meetings, the Executive Committee approved </w:t>
      </w:r>
      <w:r w:rsidR="00A81DEE" w:rsidRPr="0026329D">
        <w:rPr>
          <w:lang w:val="en-CA"/>
        </w:rPr>
        <w:t>stage </w:t>
      </w:r>
      <w:r w:rsidRPr="0026329D">
        <w:rPr>
          <w:lang w:val="en-CA"/>
        </w:rPr>
        <w:t>II of HPMP for China with associated sectors plans, and at its 79</w:t>
      </w:r>
      <w:r w:rsidRPr="0026329D">
        <w:rPr>
          <w:vertAlign w:val="superscript"/>
          <w:lang w:val="en-CA"/>
        </w:rPr>
        <w:t>th</w:t>
      </w:r>
      <w:r w:rsidRPr="0026329D">
        <w:rPr>
          <w:lang w:val="en-CA"/>
        </w:rPr>
        <w:t xml:space="preserve"> meeting, approved its Agreement with the Government for the implementation of </w:t>
      </w:r>
      <w:r w:rsidR="00A81DEE" w:rsidRPr="0026329D">
        <w:rPr>
          <w:lang w:val="en-CA"/>
        </w:rPr>
        <w:t>stage </w:t>
      </w:r>
      <w:r w:rsidRPr="0026329D">
        <w:rPr>
          <w:lang w:val="en-CA"/>
        </w:rPr>
        <w:t xml:space="preserve">II of the HPMP. </w:t>
      </w:r>
    </w:p>
    <w:p w:rsidR="007C7D82" w:rsidRPr="0026329D" w:rsidRDefault="007C7D82" w:rsidP="007C7D82">
      <w:pPr>
        <w:pStyle w:val="Heading1"/>
        <w:rPr>
          <w:lang w:val="en-CA"/>
        </w:rPr>
      </w:pPr>
      <w:r w:rsidRPr="0026329D">
        <w:rPr>
          <w:lang w:val="en-CA"/>
        </w:rPr>
        <w:t xml:space="preserve">The HCFC consumption limits and targeted phase-out amounts for the period of 2016 to 2026 associated with the six sector plans of </w:t>
      </w:r>
      <w:r w:rsidR="00A81DEE" w:rsidRPr="0026329D">
        <w:rPr>
          <w:lang w:val="en-CA"/>
        </w:rPr>
        <w:t>stage </w:t>
      </w:r>
      <w:r w:rsidRPr="0026329D">
        <w:rPr>
          <w:lang w:val="en-CA"/>
        </w:rPr>
        <w:t xml:space="preserve">II, are shown in Table 1. </w:t>
      </w:r>
    </w:p>
    <w:p w:rsidR="007C7D82" w:rsidRPr="0026329D" w:rsidRDefault="007C7D82" w:rsidP="007C7D82">
      <w:pPr>
        <w:rPr>
          <w:b/>
          <w:sz w:val="21"/>
          <w:szCs w:val="21"/>
          <w:lang w:val="en-CA"/>
        </w:rPr>
      </w:pPr>
      <w:r w:rsidRPr="0026329D">
        <w:rPr>
          <w:b/>
          <w:sz w:val="21"/>
          <w:szCs w:val="21"/>
          <w:lang w:val="en-CA"/>
        </w:rPr>
        <w:t xml:space="preserve">Table 1. HCFC consumption limits and phase-out for </w:t>
      </w:r>
      <w:r w:rsidR="00A81DEE" w:rsidRPr="0026329D">
        <w:rPr>
          <w:b/>
          <w:sz w:val="21"/>
          <w:szCs w:val="21"/>
          <w:lang w:val="en-CA"/>
        </w:rPr>
        <w:t>stage </w:t>
      </w:r>
      <w:r w:rsidRPr="0026329D">
        <w:rPr>
          <w:b/>
          <w:sz w:val="21"/>
          <w:szCs w:val="21"/>
          <w:lang w:val="en-CA"/>
        </w:rPr>
        <w:t>II of the HPMP (ODP tonnes)</w:t>
      </w:r>
    </w:p>
    <w:tbl>
      <w:tblPr>
        <w:tblStyle w:val="TableGrid"/>
        <w:tblW w:w="9355" w:type="dxa"/>
        <w:tblLayout w:type="fixed"/>
        <w:tblLook w:val="04A0" w:firstRow="1" w:lastRow="0" w:firstColumn="1" w:lastColumn="0" w:noHBand="0" w:noVBand="1"/>
      </w:tblPr>
      <w:tblGrid>
        <w:gridCol w:w="1170"/>
        <w:gridCol w:w="1170"/>
        <w:gridCol w:w="1199"/>
        <w:gridCol w:w="1134"/>
        <w:gridCol w:w="1134"/>
        <w:gridCol w:w="1134"/>
        <w:gridCol w:w="1134"/>
        <w:gridCol w:w="1280"/>
      </w:tblGrid>
      <w:tr w:rsidR="00F87C0C" w:rsidRPr="0026329D" w:rsidTr="00835A0A">
        <w:trPr>
          <w:tblHeader/>
        </w:trPr>
        <w:tc>
          <w:tcPr>
            <w:tcW w:w="9355" w:type="dxa"/>
            <w:gridSpan w:val="8"/>
          </w:tcPr>
          <w:p w:rsidR="00F87C0C" w:rsidRPr="0026329D" w:rsidRDefault="00F87C0C" w:rsidP="00665A83">
            <w:pPr>
              <w:jc w:val="center"/>
              <w:rPr>
                <w:b/>
                <w:sz w:val="19"/>
                <w:szCs w:val="19"/>
                <w:lang w:val="en-CA"/>
              </w:rPr>
            </w:pPr>
            <w:r w:rsidRPr="0026329D">
              <w:rPr>
                <w:b/>
                <w:sz w:val="19"/>
                <w:szCs w:val="19"/>
                <w:lang w:val="en-CA"/>
              </w:rPr>
              <w:t>Maximum allowable consumption</w:t>
            </w:r>
          </w:p>
        </w:tc>
      </w:tr>
      <w:tr w:rsidR="00F87C0C" w:rsidRPr="0026329D" w:rsidTr="00D04C51">
        <w:trPr>
          <w:tblHeader/>
        </w:trPr>
        <w:tc>
          <w:tcPr>
            <w:tcW w:w="1170" w:type="dxa"/>
            <w:tcMar>
              <w:left w:w="29" w:type="dxa"/>
            </w:tcMar>
            <w:vAlign w:val="center"/>
          </w:tcPr>
          <w:p w:rsidR="00F87C0C" w:rsidRPr="0026329D" w:rsidRDefault="00F87C0C" w:rsidP="00F87C0C">
            <w:pPr>
              <w:jc w:val="left"/>
              <w:rPr>
                <w:b/>
                <w:sz w:val="19"/>
                <w:szCs w:val="19"/>
                <w:lang w:val="en-CA"/>
              </w:rPr>
            </w:pPr>
            <w:r w:rsidRPr="0026329D">
              <w:rPr>
                <w:b/>
                <w:sz w:val="19"/>
                <w:szCs w:val="19"/>
                <w:lang w:val="en-CA"/>
              </w:rPr>
              <w:t>Sector plan</w:t>
            </w:r>
          </w:p>
        </w:tc>
        <w:tc>
          <w:tcPr>
            <w:tcW w:w="1170" w:type="dxa"/>
          </w:tcPr>
          <w:p w:rsidR="00F87C0C" w:rsidRPr="0026329D" w:rsidRDefault="00F87C0C" w:rsidP="00F87C0C">
            <w:pPr>
              <w:jc w:val="center"/>
              <w:rPr>
                <w:b/>
                <w:sz w:val="19"/>
                <w:szCs w:val="19"/>
                <w:lang w:val="en-CA"/>
              </w:rPr>
            </w:pPr>
            <w:r w:rsidRPr="0026329D">
              <w:rPr>
                <w:b/>
                <w:sz w:val="19"/>
                <w:szCs w:val="19"/>
                <w:lang w:val="en-CA"/>
              </w:rPr>
              <w:t>2016-17</w:t>
            </w:r>
          </w:p>
        </w:tc>
        <w:tc>
          <w:tcPr>
            <w:tcW w:w="1199" w:type="dxa"/>
          </w:tcPr>
          <w:p w:rsidR="00F87C0C" w:rsidRPr="0026329D" w:rsidRDefault="00F87C0C" w:rsidP="00F87C0C">
            <w:pPr>
              <w:jc w:val="center"/>
              <w:rPr>
                <w:b/>
                <w:sz w:val="19"/>
                <w:szCs w:val="19"/>
                <w:lang w:val="en-CA"/>
              </w:rPr>
            </w:pPr>
            <w:r w:rsidRPr="0026329D">
              <w:rPr>
                <w:b/>
                <w:sz w:val="19"/>
                <w:szCs w:val="19"/>
                <w:lang w:val="en-CA"/>
              </w:rPr>
              <w:t>2018-19</w:t>
            </w:r>
          </w:p>
        </w:tc>
        <w:tc>
          <w:tcPr>
            <w:tcW w:w="1134" w:type="dxa"/>
          </w:tcPr>
          <w:p w:rsidR="00F87C0C" w:rsidRPr="0026329D" w:rsidRDefault="00F87C0C" w:rsidP="00F87C0C">
            <w:pPr>
              <w:jc w:val="center"/>
              <w:rPr>
                <w:b/>
                <w:sz w:val="19"/>
                <w:szCs w:val="19"/>
                <w:lang w:val="en-CA"/>
              </w:rPr>
            </w:pPr>
            <w:r w:rsidRPr="0026329D">
              <w:rPr>
                <w:b/>
                <w:sz w:val="19"/>
                <w:szCs w:val="19"/>
                <w:lang w:val="en-CA"/>
              </w:rPr>
              <w:t>2020-21</w:t>
            </w:r>
          </w:p>
        </w:tc>
        <w:tc>
          <w:tcPr>
            <w:tcW w:w="1134" w:type="dxa"/>
          </w:tcPr>
          <w:p w:rsidR="00F87C0C" w:rsidRPr="0026329D" w:rsidRDefault="00F87C0C" w:rsidP="00F87C0C">
            <w:pPr>
              <w:jc w:val="center"/>
              <w:rPr>
                <w:b/>
                <w:sz w:val="19"/>
                <w:szCs w:val="19"/>
                <w:lang w:val="en-CA"/>
              </w:rPr>
            </w:pPr>
            <w:r w:rsidRPr="0026329D">
              <w:rPr>
                <w:b/>
                <w:sz w:val="19"/>
                <w:szCs w:val="19"/>
                <w:lang w:val="en-CA"/>
              </w:rPr>
              <w:t>2022</w:t>
            </w:r>
          </w:p>
        </w:tc>
        <w:tc>
          <w:tcPr>
            <w:tcW w:w="1134" w:type="dxa"/>
          </w:tcPr>
          <w:p w:rsidR="00F87C0C" w:rsidRPr="0026329D" w:rsidRDefault="00F87C0C" w:rsidP="00F87C0C">
            <w:pPr>
              <w:jc w:val="center"/>
              <w:rPr>
                <w:b/>
                <w:sz w:val="19"/>
                <w:szCs w:val="19"/>
                <w:lang w:val="en-CA"/>
              </w:rPr>
            </w:pPr>
            <w:r w:rsidRPr="0026329D">
              <w:rPr>
                <w:b/>
                <w:sz w:val="19"/>
                <w:szCs w:val="19"/>
                <w:lang w:val="en-CA"/>
              </w:rPr>
              <w:t>2023-24</w:t>
            </w:r>
          </w:p>
        </w:tc>
        <w:tc>
          <w:tcPr>
            <w:tcW w:w="1134" w:type="dxa"/>
          </w:tcPr>
          <w:p w:rsidR="00F87C0C" w:rsidRPr="0026329D" w:rsidRDefault="00F87C0C" w:rsidP="00F87C0C">
            <w:pPr>
              <w:jc w:val="center"/>
              <w:rPr>
                <w:b/>
                <w:sz w:val="19"/>
                <w:szCs w:val="19"/>
                <w:lang w:val="en-CA"/>
              </w:rPr>
            </w:pPr>
            <w:r w:rsidRPr="0026329D">
              <w:rPr>
                <w:b/>
                <w:sz w:val="19"/>
                <w:szCs w:val="19"/>
                <w:lang w:val="en-CA"/>
              </w:rPr>
              <w:t>2025</w:t>
            </w:r>
          </w:p>
        </w:tc>
        <w:tc>
          <w:tcPr>
            <w:tcW w:w="1280" w:type="dxa"/>
          </w:tcPr>
          <w:p w:rsidR="00F87C0C" w:rsidRPr="0026329D" w:rsidRDefault="00F87C0C" w:rsidP="00F87C0C">
            <w:pPr>
              <w:jc w:val="center"/>
              <w:rPr>
                <w:b/>
                <w:sz w:val="19"/>
                <w:szCs w:val="19"/>
                <w:lang w:val="en-CA"/>
              </w:rPr>
            </w:pPr>
            <w:r w:rsidRPr="0026329D">
              <w:rPr>
                <w:b/>
                <w:sz w:val="19"/>
                <w:szCs w:val="19"/>
                <w:lang w:val="en-CA"/>
              </w:rPr>
              <w:t>2026</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National</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16,978.9</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15,048.1</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11,772.0**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280" w:type="dxa"/>
          </w:tcPr>
          <w:p w:rsidR="00F87C0C" w:rsidRPr="0026329D" w:rsidRDefault="00F87C0C" w:rsidP="00F87C0C">
            <w:pPr>
              <w:jc w:val="right"/>
              <w:rPr>
                <w:sz w:val="19"/>
                <w:szCs w:val="19"/>
                <w:lang w:val="en-CA"/>
              </w:rPr>
            </w:pPr>
            <w:r w:rsidRPr="0026329D">
              <w:rPr>
                <w:sz w:val="19"/>
                <w:szCs w:val="19"/>
                <w:lang w:val="en-CA"/>
              </w:rPr>
              <w:t>n/a</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XPS*</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2,286.0</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2,032.0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1,397.0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1,397.0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762.0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165.0</w:t>
            </w:r>
          </w:p>
        </w:tc>
        <w:tc>
          <w:tcPr>
            <w:tcW w:w="1280" w:type="dxa"/>
          </w:tcPr>
          <w:p w:rsidR="00F87C0C" w:rsidRPr="0026329D" w:rsidRDefault="00F87C0C" w:rsidP="00F87C0C">
            <w:pPr>
              <w:jc w:val="right"/>
              <w:rPr>
                <w:sz w:val="19"/>
                <w:szCs w:val="19"/>
                <w:lang w:val="en-CA"/>
              </w:rPr>
            </w:pPr>
            <w:r w:rsidRPr="0026329D">
              <w:rPr>
                <w:sz w:val="19"/>
                <w:szCs w:val="19"/>
                <w:lang w:val="en-CA"/>
              </w:rPr>
              <w:t>0.0</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PU*</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4,449.6</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3,774.5</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2,965.7</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2,965.7</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1,078.4</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330.0</w:t>
            </w:r>
          </w:p>
        </w:tc>
        <w:tc>
          <w:tcPr>
            <w:tcW w:w="1280" w:type="dxa"/>
          </w:tcPr>
          <w:p w:rsidR="00F87C0C" w:rsidRPr="0026329D" w:rsidRDefault="00F87C0C" w:rsidP="00F87C0C">
            <w:pPr>
              <w:jc w:val="right"/>
              <w:rPr>
                <w:sz w:val="19"/>
                <w:szCs w:val="19"/>
                <w:lang w:val="en-CA"/>
              </w:rPr>
            </w:pPr>
            <w:r w:rsidRPr="0026329D">
              <w:rPr>
                <w:sz w:val="19"/>
                <w:szCs w:val="19"/>
                <w:lang w:val="en-CA"/>
              </w:rPr>
              <w:t>0.0</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ICR*</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2,162.5</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2,042.4</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1,609.9**</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280" w:type="dxa"/>
          </w:tcPr>
          <w:p w:rsidR="00F87C0C" w:rsidRPr="0026329D" w:rsidRDefault="00F87C0C" w:rsidP="00F87C0C">
            <w:pPr>
              <w:jc w:val="right"/>
              <w:rPr>
                <w:sz w:val="19"/>
                <w:szCs w:val="19"/>
                <w:lang w:val="en-CA"/>
              </w:rPr>
            </w:pPr>
            <w:r w:rsidRPr="0026329D">
              <w:rPr>
                <w:sz w:val="19"/>
                <w:szCs w:val="19"/>
                <w:lang w:val="en-CA"/>
              </w:rPr>
              <w:t>n/a</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RAC*</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3,697.7</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2,876.0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2,259.7**</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280" w:type="dxa"/>
          </w:tcPr>
          <w:p w:rsidR="00F87C0C" w:rsidRPr="0026329D" w:rsidRDefault="00F87C0C" w:rsidP="00F87C0C">
            <w:pPr>
              <w:jc w:val="right"/>
              <w:rPr>
                <w:sz w:val="19"/>
                <w:szCs w:val="19"/>
                <w:lang w:val="en-CA"/>
              </w:rPr>
            </w:pPr>
            <w:r w:rsidRPr="0026329D">
              <w:rPr>
                <w:sz w:val="19"/>
                <w:szCs w:val="19"/>
                <w:lang w:val="en-CA"/>
              </w:rPr>
              <w:t>n/a</w:t>
            </w:r>
          </w:p>
        </w:tc>
      </w:tr>
      <w:tr w:rsidR="00F87C0C" w:rsidRPr="0026329D" w:rsidTr="00D04C51">
        <w:tc>
          <w:tcPr>
            <w:tcW w:w="1170" w:type="dxa"/>
            <w:tcMar>
              <w:left w:w="29" w:type="dxa"/>
            </w:tcMar>
          </w:tcPr>
          <w:p w:rsidR="00F87C0C" w:rsidRPr="0026329D" w:rsidRDefault="00F87C0C" w:rsidP="00F87C0C">
            <w:pPr>
              <w:jc w:val="left"/>
              <w:rPr>
                <w:sz w:val="19"/>
                <w:szCs w:val="19"/>
                <w:lang w:val="en-CA"/>
              </w:rPr>
            </w:pPr>
            <w:r w:rsidRPr="0026329D">
              <w:rPr>
                <w:sz w:val="19"/>
                <w:szCs w:val="19"/>
                <w:lang w:val="en-CA"/>
              </w:rPr>
              <w:t>Solvent</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455.2</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395.4</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321.2</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321.2</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148.3</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55.0</w:t>
            </w:r>
          </w:p>
        </w:tc>
        <w:tc>
          <w:tcPr>
            <w:tcW w:w="1280" w:type="dxa"/>
          </w:tcPr>
          <w:p w:rsidR="00F87C0C" w:rsidRPr="0026329D" w:rsidRDefault="00F87C0C" w:rsidP="00F87C0C">
            <w:pPr>
              <w:jc w:val="right"/>
              <w:rPr>
                <w:sz w:val="19"/>
                <w:szCs w:val="19"/>
                <w:lang w:val="en-CA"/>
              </w:rPr>
            </w:pPr>
            <w:r w:rsidRPr="0026329D">
              <w:rPr>
                <w:sz w:val="19"/>
                <w:szCs w:val="19"/>
                <w:lang w:val="en-CA"/>
              </w:rPr>
              <w:t>0.0</w:t>
            </w:r>
          </w:p>
        </w:tc>
      </w:tr>
      <w:tr w:rsidR="00F87C0C" w:rsidRPr="0026329D" w:rsidTr="00D04C51">
        <w:tc>
          <w:tcPr>
            <w:tcW w:w="1170" w:type="dxa"/>
            <w:tcMar>
              <w:left w:w="29" w:type="dxa"/>
            </w:tcMar>
          </w:tcPr>
          <w:p w:rsidR="00F87C0C" w:rsidRPr="0026329D" w:rsidRDefault="00F87C0C" w:rsidP="009A2BA2">
            <w:pPr>
              <w:jc w:val="left"/>
              <w:rPr>
                <w:sz w:val="19"/>
                <w:szCs w:val="19"/>
                <w:lang w:val="en-CA"/>
              </w:rPr>
            </w:pPr>
            <w:r w:rsidRPr="0026329D">
              <w:rPr>
                <w:sz w:val="19"/>
                <w:szCs w:val="19"/>
                <w:lang w:val="en-CA"/>
              </w:rPr>
              <w:t>Servicing</w:t>
            </w:r>
            <w:r w:rsidR="00D04C51" w:rsidRPr="0026329D">
              <w:rPr>
                <w:sz w:val="19"/>
                <w:szCs w:val="19"/>
                <w:lang w:val="en-CA"/>
              </w:rPr>
              <w:t xml:space="preserve"> an</w:t>
            </w:r>
            <w:r w:rsidRPr="0026329D">
              <w:rPr>
                <w:sz w:val="19"/>
                <w:szCs w:val="19"/>
                <w:lang w:val="en-CA"/>
              </w:rPr>
              <w:t xml:space="preserve">d enabling </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280" w:type="dxa"/>
          </w:tcPr>
          <w:p w:rsidR="00F87C0C" w:rsidRPr="0026329D" w:rsidRDefault="00F87C0C" w:rsidP="00F87C0C">
            <w:pPr>
              <w:jc w:val="right"/>
              <w:rPr>
                <w:sz w:val="19"/>
                <w:szCs w:val="19"/>
                <w:lang w:val="en-CA"/>
              </w:rPr>
            </w:pPr>
            <w:r w:rsidRPr="0026329D">
              <w:rPr>
                <w:sz w:val="19"/>
                <w:szCs w:val="19"/>
                <w:lang w:val="en-CA"/>
              </w:rPr>
              <w:t>n/a</w:t>
            </w:r>
          </w:p>
        </w:tc>
      </w:tr>
      <w:tr w:rsidR="00D04C51" w:rsidRPr="0026329D" w:rsidTr="004E0D63">
        <w:tc>
          <w:tcPr>
            <w:tcW w:w="9355" w:type="dxa"/>
            <w:gridSpan w:val="8"/>
            <w:tcMar>
              <w:left w:w="29" w:type="dxa"/>
              <w:right w:w="173" w:type="dxa"/>
            </w:tcMar>
          </w:tcPr>
          <w:p w:rsidR="00D04C51" w:rsidRPr="0026329D" w:rsidRDefault="00D04C51" w:rsidP="00F87C0C">
            <w:pPr>
              <w:jc w:val="center"/>
              <w:rPr>
                <w:b/>
                <w:sz w:val="19"/>
                <w:szCs w:val="19"/>
                <w:lang w:val="en-CA"/>
              </w:rPr>
            </w:pPr>
            <w:r w:rsidRPr="0026329D">
              <w:rPr>
                <w:b/>
                <w:sz w:val="19"/>
                <w:szCs w:val="19"/>
                <w:lang w:val="en-CA"/>
              </w:rPr>
              <w:t>Phase-out by sector</w:t>
            </w:r>
          </w:p>
        </w:tc>
      </w:tr>
      <w:tr w:rsidR="00F87C0C" w:rsidRPr="0026329D" w:rsidTr="00D04C51">
        <w:tc>
          <w:tcPr>
            <w:tcW w:w="1170" w:type="dxa"/>
            <w:tcMar>
              <w:left w:w="29" w:type="dxa"/>
            </w:tcMar>
            <w:vAlign w:val="center"/>
          </w:tcPr>
          <w:p w:rsidR="00F87C0C" w:rsidRPr="0026329D" w:rsidRDefault="00F87C0C" w:rsidP="00F87C0C">
            <w:pPr>
              <w:jc w:val="left"/>
              <w:rPr>
                <w:sz w:val="19"/>
                <w:szCs w:val="19"/>
                <w:lang w:val="en-CA"/>
              </w:rPr>
            </w:pPr>
            <w:r w:rsidRPr="0026329D">
              <w:rPr>
                <w:b/>
                <w:sz w:val="19"/>
                <w:szCs w:val="19"/>
                <w:lang w:val="en-CA"/>
              </w:rPr>
              <w:t>Sector plan</w:t>
            </w:r>
          </w:p>
        </w:tc>
        <w:tc>
          <w:tcPr>
            <w:tcW w:w="1170"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2018</w:t>
            </w:r>
          </w:p>
        </w:tc>
        <w:tc>
          <w:tcPr>
            <w:tcW w:w="1199"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2020</w:t>
            </w:r>
          </w:p>
        </w:tc>
        <w:tc>
          <w:tcPr>
            <w:tcW w:w="1134"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2023</w:t>
            </w:r>
          </w:p>
        </w:tc>
        <w:tc>
          <w:tcPr>
            <w:tcW w:w="1134"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2025</w:t>
            </w:r>
          </w:p>
        </w:tc>
        <w:tc>
          <w:tcPr>
            <w:tcW w:w="1134"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2026</w:t>
            </w:r>
          </w:p>
        </w:tc>
        <w:tc>
          <w:tcPr>
            <w:tcW w:w="1134" w:type="dxa"/>
            <w:tcMar>
              <w:left w:w="0" w:type="dxa"/>
              <w:right w:w="173" w:type="dxa"/>
            </w:tcMar>
            <w:vAlign w:val="center"/>
          </w:tcPr>
          <w:p w:rsidR="00F87C0C" w:rsidRPr="0026329D" w:rsidRDefault="00F87C0C" w:rsidP="00F87C0C">
            <w:pPr>
              <w:jc w:val="center"/>
              <w:rPr>
                <w:b/>
                <w:sz w:val="19"/>
                <w:szCs w:val="19"/>
                <w:lang w:val="en-CA"/>
              </w:rPr>
            </w:pPr>
            <w:r w:rsidRPr="0026329D">
              <w:rPr>
                <w:b/>
                <w:sz w:val="19"/>
                <w:szCs w:val="19"/>
                <w:lang w:val="en-CA"/>
              </w:rPr>
              <w:t>Total</w:t>
            </w:r>
          </w:p>
        </w:tc>
        <w:tc>
          <w:tcPr>
            <w:tcW w:w="1280" w:type="dxa"/>
            <w:tcMar>
              <w:left w:w="0" w:type="dxa"/>
              <w:right w:w="0" w:type="dxa"/>
            </w:tcMar>
          </w:tcPr>
          <w:p w:rsidR="00F87C0C" w:rsidRPr="0026329D" w:rsidRDefault="00F87C0C" w:rsidP="00F87C0C">
            <w:pPr>
              <w:jc w:val="center"/>
              <w:rPr>
                <w:b/>
                <w:sz w:val="19"/>
                <w:szCs w:val="19"/>
                <w:lang w:val="en-CA"/>
              </w:rPr>
            </w:pPr>
            <w:r w:rsidRPr="0026329D">
              <w:rPr>
                <w:b/>
                <w:sz w:val="19"/>
                <w:szCs w:val="19"/>
                <w:lang w:val="en-CA"/>
              </w:rPr>
              <w:t>Reduction by baseline (%)</w:t>
            </w:r>
          </w:p>
        </w:tc>
      </w:tr>
      <w:tr w:rsidR="00F87C0C" w:rsidRPr="0026329D" w:rsidTr="00D04C51">
        <w:tc>
          <w:tcPr>
            <w:tcW w:w="1170" w:type="dxa"/>
            <w:tcMar>
              <w:left w:w="29" w:type="dxa"/>
            </w:tcMar>
          </w:tcPr>
          <w:p w:rsidR="00F87C0C" w:rsidRPr="0026329D" w:rsidRDefault="00F87C0C" w:rsidP="00F87C0C">
            <w:pPr>
              <w:rPr>
                <w:b/>
                <w:sz w:val="19"/>
                <w:szCs w:val="19"/>
                <w:lang w:val="en-CA"/>
              </w:rPr>
            </w:pPr>
            <w:r w:rsidRPr="0026329D">
              <w:rPr>
                <w:sz w:val="19"/>
                <w:szCs w:val="19"/>
                <w:lang w:val="en-CA"/>
              </w:rPr>
              <w:t>XPS*</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254.0</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635.0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635.0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597.0</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165.0</w:t>
            </w:r>
          </w:p>
        </w:tc>
        <w:tc>
          <w:tcPr>
            <w:tcW w:w="1134" w:type="dxa"/>
            <w:tcMar>
              <w:left w:w="0" w:type="dxa"/>
              <w:right w:w="173" w:type="dxa"/>
            </w:tcMar>
            <w:vAlign w:val="center"/>
          </w:tcPr>
          <w:p w:rsidR="00F87C0C" w:rsidRPr="0026329D" w:rsidRDefault="00F87C0C" w:rsidP="00F87C0C">
            <w:pPr>
              <w:jc w:val="right"/>
              <w:rPr>
                <w:sz w:val="19"/>
                <w:szCs w:val="19"/>
                <w:lang w:val="en-CA"/>
              </w:rPr>
            </w:pPr>
            <w:r w:rsidRPr="0026329D">
              <w:rPr>
                <w:color w:val="000000"/>
                <w:sz w:val="19"/>
                <w:szCs w:val="19"/>
                <w:lang w:val="en-CA"/>
              </w:rPr>
              <w:t>2,286</w:t>
            </w:r>
          </w:p>
        </w:tc>
        <w:tc>
          <w:tcPr>
            <w:tcW w:w="1280" w:type="dxa"/>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100 in 2026</w:t>
            </w:r>
          </w:p>
        </w:tc>
      </w:tr>
      <w:tr w:rsidR="00F87C0C" w:rsidRPr="0026329D" w:rsidTr="00D04C51">
        <w:tc>
          <w:tcPr>
            <w:tcW w:w="1170" w:type="dxa"/>
            <w:tcMar>
              <w:left w:w="29" w:type="dxa"/>
            </w:tcMar>
          </w:tcPr>
          <w:p w:rsidR="00F87C0C" w:rsidRPr="0026329D" w:rsidRDefault="00F87C0C" w:rsidP="00F87C0C">
            <w:pPr>
              <w:rPr>
                <w:b/>
                <w:sz w:val="19"/>
                <w:szCs w:val="19"/>
                <w:lang w:val="en-CA"/>
              </w:rPr>
            </w:pPr>
            <w:r w:rsidRPr="0026329D">
              <w:rPr>
                <w:sz w:val="19"/>
                <w:szCs w:val="19"/>
                <w:lang w:val="en-CA"/>
              </w:rPr>
              <w:t>PU*</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675.1</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808.8</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1,887.3</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748.4</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330.0</w:t>
            </w:r>
          </w:p>
        </w:tc>
        <w:tc>
          <w:tcPr>
            <w:tcW w:w="1134" w:type="dxa"/>
            <w:tcMar>
              <w:left w:w="0" w:type="dxa"/>
              <w:right w:w="173" w:type="dxa"/>
            </w:tcMar>
            <w:vAlign w:val="center"/>
          </w:tcPr>
          <w:p w:rsidR="00F87C0C" w:rsidRPr="0026329D" w:rsidRDefault="00F87C0C" w:rsidP="00F87C0C">
            <w:pPr>
              <w:jc w:val="right"/>
              <w:rPr>
                <w:sz w:val="19"/>
                <w:szCs w:val="19"/>
                <w:lang w:val="en-CA"/>
              </w:rPr>
            </w:pPr>
            <w:r w:rsidRPr="0026329D">
              <w:rPr>
                <w:color w:val="000000"/>
                <w:sz w:val="19"/>
                <w:szCs w:val="19"/>
                <w:lang w:val="en-CA"/>
              </w:rPr>
              <w:t>4,449.6</w:t>
            </w:r>
          </w:p>
        </w:tc>
        <w:tc>
          <w:tcPr>
            <w:tcW w:w="1280" w:type="dxa"/>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100 in 2026</w:t>
            </w:r>
          </w:p>
        </w:tc>
      </w:tr>
      <w:tr w:rsidR="00F87C0C" w:rsidRPr="0026329D" w:rsidTr="00D04C51">
        <w:tc>
          <w:tcPr>
            <w:tcW w:w="1170" w:type="dxa"/>
            <w:tcMar>
              <w:left w:w="29" w:type="dxa"/>
            </w:tcMar>
          </w:tcPr>
          <w:p w:rsidR="00F87C0C" w:rsidRPr="0026329D" w:rsidRDefault="00F87C0C" w:rsidP="00F87C0C">
            <w:pPr>
              <w:rPr>
                <w:b/>
                <w:sz w:val="19"/>
                <w:szCs w:val="19"/>
                <w:lang w:val="en-CA"/>
              </w:rPr>
            </w:pPr>
            <w:r w:rsidRPr="0026329D">
              <w:rPr>
                <w:sz w:val="19"/>
                <w:szCs w:val="19"/>
                <w:lang w:val="en-CA"/>
              </w:rPr>
              <w:t>ICR*</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120.1</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432.5</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 xml:space="preserve">n/a </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vAlign w:val="center"/>
          </w:tcPr>
          <w:p w:rsidR="00F87C0C" w:rsidRPr="0026329D" w:rsidRDefault="00F87C0C" w:rsidP="00F87C0C">
            <w:pPr>
              <w:jc w:val="right"/>
              <w:rPr>
                <w:sz w:val="19"/>
                <w:szCs w:val="19"/>
                <w:lang w:val="en-CA"/>
              </w:rPr>
            </w:pPr>
            <w:r w:rsidRPr="0026329D">
              <w:rPr>
                <w:color w:val="000000"/>
                <w:sz w:val="19"/>
                <w:szCs w:val="19"/>
                <w:lang w:val="en-CA"/>
              </w:rPr>
              <w:t>552.6</w:t>
            </w:r>
          </w:p>
        </w:tc>
        <w:tc>
          <w:tcPr>
            <w:tcW w:w="1280" w:type="dxa"/>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33 in 2020</w:t>
            </w:r>
          </w:p>
        </w:tc>
      </w:tr>
      <w:tr w:rsidR="00F87C0C" w:rsidRPr="0026329D" w:rsidTr="00D04C51">
        <w:tc>
          <w:tcPr>
            <w:tcW w:w="1170" w:type="dxa"/>
            <w:tcMar>
              <w:left w:w="29" w:type="dxa"/>
            </w:tcMar>
          </w:tcPr>
          <w:p w:rsidR="00F87C0C" w:rsidRPr="0026329D" w:rsidRDefault="00F87C0C" w:rsidP="00F87C0C">
            <w:pPr>
              <w:rPr>
                <w:b/>
                <w:sz w:val="19"/>
                <w:szCs w:val="19"/>
                <w:lang w:val="en-CA"/>
              </w:rPr>
            </w:pPr>
            <w:r w:rsidRPr="0026329D">
              <w:rPr>
                <w:sz w:val="19"/>
                <w:szCs w:val="19"/>
                <w:lang w:val="en-CA"/>
              </w:rPr>
              <w:t>RAC</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821.7</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616.3</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Mar>
              <w:left w:w="0" w:type="dxa"/>
              <w:right w:w="173" w:type="dxa"/>
            </w:tcMar>
            <w:vAlign w:val="center"/>
          </w:tcPr>
          <w:p w:rsidR="00F87C0C" w:rsidRPr="0026329D" w:rsidRDefault="00F87C0C" w:rsidP="00F87C0C">
            <w:pPr>
              <w:jc w:val="right"/>
              <w:rPr>
                <w:sz w:val="19"/>
                <w:szCs w:val="19"/>
                <w:lang w:val="en-CA"/>
              </w:rPr>
            </w:pPr>
            <w:r w:rsidRPr="0026329D">
              <w:rPr>
                <w:color w:val="000000"/>
                <w:sz w:val="19"/>
                <w:szCs w:val="19"/>
                <w:lang w:val="en-CA"/>
              </w:rPr>
              <w:t>1,438</w:t>
            </w:r>
          </w:p>
        </w:tc>
        <w:tc>
          <w:tcPr>
            <w:tcW w:w="1280" w:type="dxa"/>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45 in 2020</w:t>
            </w:r>
          </w:p>
        </w:tc>
      </w:tr>
      <w:tr w:rsidR="00F87C0C" w:rsidRPr="0026329D" w:rsidTr="00D04C51">
        <w:tc>
          <w:tcPr>
            <w:tcW w:w="1170" w:type="dxa"/>
            <w:tcMar>
              <w:left w:w="29" w:type="dxa"/>
            </w:tcMar>
          </w:tcPr>
          <w:p w:rsidR="00F87C0C" w:rsidRPr="0026329D" w:rsidRDefault="00F87C0C" w:rsidP="00F87C0C">
            <w:pPr>
              <w:rPr>
                <w:b/>
                <w:sz w:val="19"/>
                <w:szCs w:val="19"/>
                <w:lang w:val="en-CA"/>
              </w:rPr>
            </w:pPr>
            <w:r w:rsidRPr="0026329D">
              <w:rPr>
                <w:sz w:val="19"/>
                <w:szCs w:val="19"/>
                <w:lang w:val="en-CA"/>
              </w:rPr>
              <w:t>Solvent</w:t>
            </w:r>
          </w:p>
        </w:tc>
        <w:tc>
          <w:tcPr>
            <w:tcW w:w="1170"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59.8</w:t>
            </w:r>
          </w:p>
        </w:tc>
        <w:tc>
          <w:tcPr>
            <w:tcW w:w="1199"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74.2</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172.9</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93.3</w:t>
            </w:r>
          </w:p>
        </w:tc>
        <w:tc>
          <w:tcPr>
            <w:tcW w:w="1134" w:type="dxa"/>
            <w:tcMar>
              <w:left w:w="0" w:type="dxa"/>
              <w:right w:w="173" w:type="dxa"/>
            </w:tcMar>
          </w:tcPr>
          <w:p w:rsidR="00F87C0C" w:rsidRPr="0026329D" w:rsidRDefault="00F87C0C" w:rsidP="00F87C0C">
            <w:pPr>
              <w:jc w:val="right"/>
              <w:rPr>
                <w:sz w:val="19"/>
                <w:szCs w:val="19"/>
                <w:lang w:val="en-CA"/>
              </w:rPr>
            </w:pPr>
            <w:r w:rsidRPr="0026329D">
              <w:rPr>
                <w:sz w:val="19"/>
                <w:szCs w:val="19"/>
                <w:lang w:val="en-CA"/>
              </w:rPr>
              <w:t>55.0</w:t>
            </w:r>
          </w:p>
        </w:tc>
        <w:tc>
          <w:tcPr>
            <w:tcW w:w="1134" w:type="dxa"/>
            <w:tcMar>
              <w:left w:w="0" w:type="dxa"/>
              <w:right w:w="173" w:type="dxa"/>
            </w:tcMar>
            <w:vAlign w:val="center"/>
          </w:tcPr>
          <w:p w:rsidR="00F87C0C" w:rsidRPr="0026329D" w:rsidRDefault="00F87C0C" w:rsidP="00F87C0C">
            <w:pPr>
              <w:jc w:val="right"/>
              <w:rPr>
                <w:sz w:val="19"/>
                <w:szCs w:val="19"/>
                <w:lang w:val="en-CA"/>
              </w:rPr>
            </w:pPr>
            <w:r w:rsidRPr="0026329D">
              <w:rPr>
                <w:color w:val="000000"/>
                <w:sz w:val="19"/>
                <w:szCs w:val="19"/>
                <w:lang w:val="en-CA"/>
              </w:rPr>
              <w:t>455.2</w:t>
            </w:r>
          </w:p>
        </w:tc>
        <w:tc>
          <w:tcPr>
            <w:tcW w:w="1280" w:type="dxa"/>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100 in 2026</w:t>
            </w:r>
          </w:p>
        </w:tc>
      </w:tr>
      <w:tr w:rsidR="00F87C0C" w:rsidRPr="0026329D" w:rsidTr="00D04C51">
        <w:tc>
          <w:tcPr>
            <w:tcW w:w="1170" w:type="dxa"/>
            <w:tcBorders>
              <w:bottom w:val="single" w:sz="4" w:space="0" w:color="auto"/>
            </w:tcBorders>
            <w:tcMar>
              <w:left w:w="29" w:type="dxa"/>
            </w:tcMar>
            <w:vAlign w:val="center"/>
          </w:tcPr>
          <w:p w:rsidR="00F87C0C" w:rsidRPr="0026329D" w:rsidRDefault="00F87C0C" w:rsidP="009A2BA2">
            <w:pPr>
              <w:jc w:val="left"/>
              <w:rPr>
                <w:b/>
                <w:sz w:val="19"/>
                <w:szCs w:val="19"/>
                <w:lang w:val="en-CA"/>
              </w:rPr>
            </w:pPr>
            <w:r w:rsidRPr="0026329D">
              <w:rPr>
                <w:sz w:val="19"/>
                <w:szCs w:val="19"/>
                <w:lang w:val="en-CA"/>
              </w:rPr>
              <w:t xml:space="preserve">Servicing and enabling </w:t>
            </w:r>
          </w:p>
        </w:tc>
        <w:tc>
          <w:tcPr>
            <w:tcW w:w="2369" w:type="dxa"/>
            <w:gridSpan w:val="2"/>
            <w:tcBorders>
              <w:bottom w:val="single" w:sz="4" w:space="0" w:color="auto"/>
            </w:tcBorders>
            <w:tcMar>
              <w:left w:w="0" w:type="dxa"/>
              <w:right w:w="173" w:type="dxa"/>
            </w:tcMar>
          </w:tcPr>
          <w:p w:rsidR="00F87C0C" w:rsidRPr="0026329D" w:rsidRDefault="00F87C0C" w:rsidP="00F87C0C">
            <w:pPr>
              <w:jc w:val="right"/>
              <w:rPr>
                <w:sz w:val="19"/>
                <w:szCs w:val="19"/>
                <w:lang w:val="en-CA"/>
              </w:rPr>
            </w:pPr>
            <w:r w:rsidRPr="0026329D">
              <w:rPr>
                <w:sz w:val="19"/>
                <w:szCs w:val="19"/>
                <w:lang w:val="en-CA"/>
              </w:rPr>
              <w:t>734.0</w:t>
            </w:r>
          </w:p>
        </w:tc>
        <w:tc>
          <w:tcPr>
            <w:tcW w:w="1134" w:type="dxa"/>
            <w:tcBorders>
              <w:bottom w:val="single" w:sz="4" w:space="0" w:color="auto"/>
            </w:tcBorders>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Borders>
              <w:bottom w:val="single" w:sz="4" w:space="0" w:color="auto"/>
            </w:tcBorders>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Borders>
              <w:bottom w:val="single" w:sz="4" w:space="0" w:color="auto"/>
            </w:tcBorders>
            <w:tcMar>
              <w:left w:w="0" w:type="dxa"/>
              <w:right w:w="173" w:type="dxa"/>
            </w:tcMar>
          </w:tcPr>
          <w:p w:rsidR="00F87C0C" w:rsidRPr="0026329D" w:rsidRDefault="00F87C0C" w:rsidP="00F87C0C">
            <w:pPr>
              <w:jc w:val="right"/>
              <w:rPr>
                <w:sz w:val="19"/>
                <w:szCs w:val="19"/>
                <w:lang w:val="en-CA"/>
              </w:rPr>
            </w:pPr>
            <w:r w:rsidRPr="0026329D">
              <w:rPr>
                <w:sz w:val="19"/>
                <w:szCs w:val="19"/>
                <w:lang w:val="en-CA"/>
              </w:rPr>
              <w:t>n/a</w:t>
            </w:r>
          </w:p>
        </w:tc>
        <w:tc>
          <w:tcPr>
            <w:tcW w:w="1134" w:type="dxa"/>
            <w:tcBorders>
              <w:bottom w:val="single" w:sz="4" w:space="0" w:color="auto"/>
            </w:tcBorders>
            <w:tcMar>
              <w:left w:w="0" w:type="dxa"/>
              <w:right w:w="173" w:type="dxa"/>
            </w:tcMar>
          </w:tcPr>
          <w:p w:rsidR="00F87C0C" w:rsidRPr="0026329D" w:rsidRDefault="00F87C0C" w:rsidP="00F87C0C">
            <w:pPr>
              <w:jc w:val="right"/>
              <w:rPr>
                <w:sz w:val="19"/>
                <w:szCs w:val="19"/>
                <w:lang w:val="en-CA"/>
              </w:rPr>
            </w:pPr>
            <w:r w:rsidRPr="0026329D">
              <w:rPr>
                <w:color w:val="000000"/>
                <w:sz w:val="19"/>
                <w:szCs w:val="19"/>
                <w:lang w:val="en-CA"/>
              </w:rPr>
              <w:t>734.0</w:t>
            </w:r>
          </w:p>
        </w:tc>
        <w:tc>
          <w:tcPr>
            <w:tcW w:w="1280" w:type="dxa"/>
            <w:tcBorders>
              <w:bottom w:val="single" w:sz="4" w:space="0" w:color="auto"/>
            </w:tcBorders>
            <w:tcMar>
              <w:left w:w="115" w:type="dxa"/>
              <w:right w:w="173" w:type="dxa"/>
            </w:tcMar>
          </w:tcPr>
          <w:p w:rsidR="00F87C0C" w:rsidRPr="0026329D" w:rsidRDefault="00F87C0C" w:rsidP="00F87C0C">
            <w:pPr>
              <w:jc w:val="right"/>
              <w:rPr>
                <w:color w:val="000000"/>
                <w:sz w:val="19"/>
                <w:szCs w:val="19"/>
                <w:lang w:val="en-CA"/>
              </w:rPr>
            </w:pPr>
            <w:r w:rsidRPr="0026329D">
              <w:rPr>
                <w:color w:val="000000"/>
                <w:sz w:val="19"/>
                <w:szCs w:val="19"/>
                <w:lang w:val="en-CA"/>
              </w:rPr>
              <w:t>n/a</w:t>
            </w:r>
          </w:p>
        </w:tc>
      </w:tr>
      <w:tr w:rsidR="00F87C0C" w:rsidRPr="0026329D" w:rsidTr="00D04C51">
        <w:tc>
          <w:tcPr>
            <w:tcW w:w="1170" w:type="dxa"/>
            <w:tcBorders>
              <w:bottom w:val="single" w:sz="4" w:space="0" w:color="auto"/>
            </w:tcBorders>
            <w:tcMar>
              <w:left w:w="29" w:type="dxa"/>
            </w:tcMar>
          </w:tcPr>
          <w:p w:rsidR="00F87C0C" w:rsidRPr="0026329D" w:rsidRDefault="00F87C0C" w:rsidP="00F87C0C">
            <w:pPr>
              <w:rPr>
                <w:b/>
                <w:sz w:val="19"/>
                <w:szCs w:val="19"/>
                <w:lang w:val="en-CA"/>
              </w:rPr>
            </w:pPr>
            <w:r w:rsidRPr="0026329D">
              <w:rPr>
                <w:b/>
                <w:sz w:val="19"/>
                <w:szCs w:val="19"/>
                <w:lang w:val="en-CA"/>
              </w:rPr>
              <w:t>Total</w:t>
            </w:r>
          </w:p>
        </w:tc>
        <w:tc>
          <w:tcPr>
            <w:tcW w:w="1170" w:type="dxa"/>
            <w:tcBorders>
              <w:bottom w:val="single" w:sz="4" w:space="0" w:color="auto"/>
            </w:tcBorders>
            <w:vAlign w:val="center"/>
          </w:tcPr>
          <w:p w:rsidR="00F87C0C" w:rsidRPr="0026329D" w:rsidRDefault="00F87C0C" w:rsidP="00F87C0C">
            <w:pPr>
              <w:jc w:val="right"/>
              <w:rPr>
                <w:b/>
                <w:sz w:val="19"/>
                <w:szCs w:val="19"/>
                <w:lang w:val="en-CA"/>
              </w:rPr>
            </w:pPr>
            <w:r w:rsidRPr="0026329D">
              <w:rPr>
                <w:b/>
                <w:bCs/>
                <w:color w:val="000000"/>
                <w:sz w:val="19"/>
                <w:szCs w:val="19"/>
                <w:lang w:val="en-CA"/>
              </w:rPr>
              <w:t>1,930.7</w:t>
            </w:r>
          </w:p>
        </w:tc>
        <w:tc>
          <w:tcPr>
            <w:tcW w:w="1199" w:type="dxa"/>
            <w:tcBorders>
              <w:bottom w:val="single" w:sz="4" w:space="0" w:color="auto"/>
            </w:tcBorders>
            <w:vAlign w:val="center"/>
          </w:tcPr>
          <w:p w:rsidR="00F87C0C" w:rsidRPr="0026329D" w:rsidRDefault="00F87C0C" w:rsidP="00F87C0C">
            <w:pPr>
              <w:jc w:val="right"/>
              <w:rPr>
                <w:b/>
                <w:sz w:val="19"/>
                <w:szCs w:val="19"/>
                <w:lang w:val="en-CA"/>
              </w:rPr>
            </w:pPr>
            <w:r w:rsidRPr="0026329D">
              <w:rPr>
                <w:b/>
                <w:bCs/>
                <w:color w:val="000000"/>
                <w:sz w:val="19"/>
                <w:szCs w:val="19"/>
                <w:lang w:val="en-CA"/>
              </w:rPr>
              <w:t>3,300.8</w:t>
            </w:r>
          </w:p>
        </w:tc>
        <w:tc>
          <w:tcPr>
            <w:tcW w:w="1134" w:type="dxa"/>
            <w:tcBorders>
              <w:bottom w:val="single" w:sz="4" w:space="0" w:color="auto"/>
            </w:tcBorders>
            <w:vAlign w:val="center"/>
          </w:tcPr>
          <w:p w:rsidR="00F87C0C" w:rsidRPr="0026329D" w:rsidRDefault="00F87C0C" w:rsidP="00F87C0C">
            <w:pPr>
              <w:jc w:val="right"/>
              <w:rPr>
                <w:b/>
                <w:sz w:val="19"/>
                <w:szCs w:val="19"/>
                <w:lang w:val="en-CA"/>
              </w:rPr>
            </w:pPr>
            <w:r w:rsidRPr="0026329D">
              <w:rPr>
                <w:b/>
                <w:bCs/>
                <w:color w:val="000000"/>
                <w:sz w:val="19"/>
                <w:szCs w:val="19"/>
                <w:lang w:val="en-CA"/>
              </w:rPr>
              <w:t>2,695.2</w:t>
            </w:r>
          </w:p>
        </w:tc>
        <w:tc>
          <w:tcPr>
            <w:tcW w:w="1134" w:type="dxa"/>
            <w:tcBorders>
              <w:bottom w:val="single" w:sz="4" w:space="0" w:color="auto"/>
            </w:tcBorders>
            <w:vAlign w:val="center"/>
          </w:tcPr>
          <w:p w:rsidR="00F87C0C" w:rsidRPr="0026329D" w:rsidRDefault="00F87C0C" w:rsidP="00F87C0C">
            <w:pPr>
              <w:jc w:val="right"/>
              <w:rPr>
                <w:b/>
                <w:sz w:val="19"/>
                <w:szCs w:val="19"/>
                <w:lang w:val="en-CA"/>
              </w:rPr>
            </w:pPr>
            <w:r w:rsidRPr="0026329D">
              <w:rPr>
                <w:b/>
                <w:bCs/>
                <w:color w:val="000000"/>
                <w:sz w:val="19"/>
                <w:szCs w:val="19"/>
                <w:lang w:val="en-CA"/>
              </w:rPr>
              <w:t>1,438.7</w:t>
            </w:r>
          </w:p>
        </w:tc>
        <w:tc>
          <w:tcPr>
            <w:tcW w:w="1134" w:type="dxa"/>
            <w:tcBorders>
              <w:bottom w:val="single" w:sz="4" w:space="0" w:color="auto"/>
            </w:tcBorders>
            <w:vAlign w:val="center"/>
          </w:tcPr>
          <w:p w:rsidR="00F87C0C" w:rsidRPr="0026329D" w:rsidRDefault="00F87C0C" w:rsidP="00F87C0C">
            <w:pPr>
              <w:jc w:val="right"/>
              <w:rPr>
                <w:b/>
                <w:sz w:val="19"/>
                <w:szCs w:val="19"/>
                <w:lang w:val="en-CA"/>
              </w:rPr>
            </w:pPr>
            <w:r w:rsidRPr="0026329D">
              <w:rPr>
                <w:b/>
                <w:bCs/>
                <w:color w:val="000000"/>
                <w:sz w:val="19"/>
                <w:szCs w:val="19"/>
                <w:lang w:val="en-CA"/>
              </w:rPr>
              <w:t>550.0</w:t>
            </w:r>
          </w:p>
        </w:tc>
        <w:tc>
          <w:tcPr>
            <w:tcW w:w="1134" w:type="dxa"/>
            <w:tcBorders>
              <w:bottom w:val="single" w:sz="4" w:space="0" w:color="auto"/>
            </w:tcBorders>
            <w:vAlign w:val="center"/>
          </w:tcPr>
          <w:p w:rsidR="00F87C0C" w:rsidRPr="0026329D" w:rsidRDefault="00F87C0C" w:rsidP="00F87C0C">
            <w:pPr>
              <w:jc w:val="right"/>
              <w:rPr>
                <w:b/>
                <w:sz w:val="19"/>
                <w:szCs w:val="19"/>
                <w:lang w:val="en-CA"/>
              </w:rPr>
            </w:pPr>
            <w:r w:rsidRPr="0026329D">
              <w:rPr>
                <w:b/>
                <w:color w:val="000000"/>
                <w:sz w:val="19"/>
                <w:szCs w:val="19"/>
                <w:lang w:val="en-CA"/>
              </w:rPr>
              <w:t>9,915.4</w:t>
            </w:r>
          </w:p>
        </w:tc>
        <w:tc>
          <w:tcPr>
            <w:tcW w:w="1280" w:type="dxa"/>
            <w:tcBorders>
              <w:bottom w:val="single" w:sz="4" w:space="0" w:color="auto"/>
            </w:tcBorders>
          </w:tcPr>
          <w:p w:rsidR="00F87C0C" w:rsidRPr="0026329D" w:rsidRDefault="00F87C0C" w:rsidP="00F87C0C">
            <w:pPr>
              <w:jc w:val="right"/>
              <w:rPr>
                <w:b/>
                <w:color w:val="000000"/>
                <w:sz w:val="19"/>
                <w:szCs w:val="19"/>
                <w:lang w:val="en-CA"/>
              </w:rPr>
            </w:pPr>
          </w:p>
        </w:tc>
      </w:tr>
    </w:tbl>
    <w:p w:rsidR="007C7D82" w:rsidRPr="0026329D" w:rsidRDefault="007C7D82" w:rsidP="007C7D82">
      <w:pPr>
        <w:rPr>
          <w:color w:val="000000"/>
          <w:sz w:val="18"/>
          <w:szCs w:val="18"/>
          <w:lang w:val="en-CA"/>
        </w:rPr>
      </w:pPr>
      <w:r w:rsidRPr="0026329D">
        <w:rPr>
          <w:color w:val="000000"/>
          <w:sz w:val="18"/>
          <w:szCs w:val="18"/>
          <w:lang w:val="en-CA"/>
        </w:rPr>
        <w:t>* XPS= extruded polystyrene foam; PU= polyurethane foam; ICR=industrial and commercial refrigeration and air-conditioning; RAC=room air</w:t>
      </w:r>
      <w:r w:rsidRPr="0026329D">
        <w:rPr>
          <w:color w:val="000000"/>
          <w:sz w:val="18"/>
          <w:szCs w:val="18"/>
          <w:lang w:val="en-CA"/>
        </w:rPr>
        <w:noBreakHyphen/>
        <w:t>conditioning manufacturing and heat pump water heaters.</w:t>
      </w:r>
    </w:p>
    <w:p w:rsidR="007C7D82" w:rsidRPr="0026329D" w:rsidRDefault="007C7D82" w:rsidP="007C7D82">
      <w:pPr>
        <w:rPr>
          <w:sz w:val="18"/>
          <w:szCs w:val="18"/>
          <w:lang w:val="en-CA"/>
        </w:rPr>
      </w:pPr>
      <w:r w:rsidRPr="0026329D">
        <w:rPr>
          <w:color w:val="000000"/>
          <w:sz w:val="18"/>
          <w:szCs w:val="18"/>
          <w:lang w:val="en-CA"/>
        </w:rPr>
        <w:t xml:space="preserve">** This is the national maximum allowable consumption for 2020 only; for the period 2021 to 2026, it will be determined during submission of </w:t>
      </w:r>
      <w:r w:rsidR="00A81DEE" w:rsidRPr="0026329D">
        <w:rPr>
          <w:color w:val="000000"/>
          <w:sz w:val="18"/>
          <w:szCs w:val="18"/>
          <w:lang w:val="en-CA"/>
        </w:rPr>
        <w:t>stage </w:t>
      </w:r>
      <w:r w:rsidRPr="0026329D">
        <w:rPr>
          <w:color w:val="000000"/>
          <w:sz w:val="18"/>
          <w:szCs w:val="18"/>
          <w:lang w:val="en-CA"/>
        </w:rPr>
        <w:t>III of the HPMP.</w:t>
      </w:r>
    </w:p>
    <w:p w:rsidR="007C7D82" w:rsidRPr="0026329D" w:rsidRDefault="007C7D82" w:rsidP="007C7D82">
      <w:pPr>
        <w:rPr>
          <w:lang w:val="en-CA"/>
        </w:rPr>
      </w:pPr>
    </w:p>
    <w:p w:rsidR="007C7D82" w:rsidRPr="0026329D" w:rsidRDefault="00F87C0C" w:rsidP="007C7D82">
      <w:pPr>
        <w:pStyle w:val="Heading1"/>
        <w:rPr>
          <w:lang w:val="en-CA"/>
        </w:rPr>
      </w:pPr>
      <w:r w:rsidRPr="0026329D">
        <w:rPr>
          <w:lang w:val="en-CA"/>
        </w:rPr>
        <w:t>At the 80</w:t>
      </w:r>
      <w:r w:rsidRPr="0026329D">
        <w:rPr>
          <w:vertAlign w:val="superscript"/>
          <w:lang w:val="en-CA"/>
        </w:rPr>
        <w:t>th</w:t>
      </w:r>
      <w:r w:rsidRPr="0026329D">
        <w:rPr>
          <w:lang w:val="en-CA"/>
        </w:rPr>
        <w:t xml:space="preserve"> and 81</w:t>
      </w:r>
      <w:r w:rsidRPr="0026329D">
        <w:rPr>
          <w:vertAlign w:val="superscript"/>
          <w:lang w:val="en-CA"/>
        </w:rPr>
        <w:t>st</w:t>
      </w:r>
      <w:r w:rsidR="009B3FC3" w:rsidRPr="0026329D">
        <w:rPr>
          <w:lang w:val="en-CA"/>
        </w:rPr>
        <w:t> meeting</w:t>
      </w:r>
      <w:r w:rsidRPr="0026329D">
        <w:rPr>
          <w:lang w:val="en-CA"/>
        </w:rPr>
        <w:t>s, the Executive Committee approved the second tranches for all sector</w:t>
      </w:r>
      <w:r w:rsidR="00E002BC" w:rsidRPr="0026329D">
        <w:rPr>
          <w:lang w:val="en-CA"/>
        </w:rPr>
        <w:t xml:space="preserve"> plans</w:t>
      </w:r>
      <w:r w:rsidRPr="0026329D">
        <w:rPr>
          <w:lang w:val="en-CA"/>
        </w:rPr>
        <w:t xml:space="preserve"> except </w:t>
      </w:r>
      <w:r w:rsidR="00E002BC" w:rsidRPr="0026329D">
        <w:rPr>
          <w:lang w:val="en-CA"/>
        </w:rPr>
        <w:t xml:space="preserve">for the </w:t>
      </w:r>
      <w:r w:rsidRPr="0026329D">
        <w:rPr>
          <w:lang w:val="en-CA"/>
        </w:rPr>
        <w:t>PU foam</w:t>
      </w:r>
      <w:r w:rsidR="00E002BC" w:rsidRPr="0026329D">
        <w:rPr>
          <w:lang w:val="en-CA"/>
        </w:rPr>
        <w:t xml:space="preserve"> sector plan</w:t>
      </w:r>
      <w:r w:rsidRPr="0026329D">
        <w:rPr>
          <w:lang w:val="en-CA"/>
        </w:rPr>
        <w:t xml:space="preserve">. </w:t>
      </w:r>
      <w:r w:rsidR="007C7D82" w:rsidRPr="0026329D">
        <w:rPr>
          <w:lang w:val="en-CA"/>
        </w:rPr>
        <w:t>At the 82</w:t>
      </w:r>
      <w:r w:rsidR="007C7D82" w:rsidRPr="0026329D">
        <w:rPr>
          <w:vertAlign w:val="superscript"/>
          <w:lang w:val="en-CA"/>
        </w:rPr>
        <w:t>nd</w:t>
      </w:r>
      <w:r w:rsidR="007C7D82" w:rsidRPr="0026329D">
        <w:rPr>
          <w:lang w:val="en-CA"/>
        </w:rPr>
        <w:t xml:space="preserve"> and 83</w:t>
      </w:r>
      <w:r w:rsidR="007C7D82" w:rsidRPr="0026329D">
        <w:rPr>
          <w:vertAlign w:val="superscript"/>
          <w:lang w:val="en-CA"/>
        </w:rPr>
        <w:t>rd</w:t>
      </w:r>
      <w:r w:rsidR="007C7D82" w:rsidRPr="0026329D">
        <w:rPr>
          <w:lang w:val="en-CA"/>
        </w:rPr>
        <w:t> meetings, on behalf of the Government of China, UNDP, UNEP, UNIDO, the World Bank and the Governments of Germany and Japan submitted requests for the third tranches of the XPS foam (</w:t>
      </w:r>
      <w:r w:rsidR="00475A50" w:rsidRPr="0026329D">
        <w:rPr>
          <w:lang w:val="en-CA"/>
        </w:rPr>
        <w:t>US $</w:t>
      </w:r>
      <w:r w:rsidR="007C7D82" w:rsidRPr="0026329D">
        <w:rPr>
          <w:lang w:val="en-CA"/>
        </w:rPr>
        <w:t>8,000,000), ICR (</w:t>
      </w:r>
      <w:r w:rsidR="00475A50" w:rsidRPr="0026329D">
        <w:rPr>
          <w:lang w:val="en-CA"/>
        </w:rPr>
        <w:t>US $</w:t>
      </w:r>
      <w:r w:rsidR="007C7D82" w:rsidRPr="0026329D">
        <w:rPr>
          <w:lang w:val="en-CA"/>
        </w:rPr>
        <w:t>12,000,000), and solvent (</w:t>
      </w:r>
      <w:r w:rsidR="00475A50" w:rsidRPr="0026329D">
        <w:rPr>
          <w:lang w:val="en-CA"/>
        </w:rPr>
        <w:t>US $</w:t>
      </w:r>
      <w:r w:rsidR="007C7D82" w:rsidRPr="0026329D">
        <w:rPr>
          <w:lang w:val="en-CA"/>
        </w:rPr>
        <w:t>5,549,492) sector plans, and the refrigeration servicing sector and</w:t>
      </w:r>
      <w:r w:rsidR="005B7C48" w:rsidRPr="0026329D">
        <w:rPr>
          <w:lang w:val="en-CA"/>
        </w:rPr>
        <w:t xml:space="preserve"> national</w:t>
      </w:r>
      <w:r w:rsidR="007C7D82" w:rsidRPr="0026329D">
        <w:rPr>
          <w:lang w:val="en-CA"/>
        </w:rPr>
        <w:t xml:space="preserve"> enabling programme (</w:t>
      </w:r>
      <w:r w:rsidR="00475A50" w:rsidRPr="0026329D">
        <w:rPr>
          <w:lang w:val="en-CA"/>
        </w:rPr>
        <w:t>US $</w:t>
      </w:r>
      <w:r w:rsidR="007C7D82" w:rsidRPr="0026329D">
        <w:rPr>
          <w:lang w:val="en-CA"/>
        </w:rPr>
        <w:t>3,850,000); and for the second tranche of the PU foam (</w:t>
      </w:r>
      <w:r w:rsidR="00475A50" w:rsidRPr="0026329D">
        <w:rPr>
          <w:lang w:val="en-CA"/>
        </w:rPr>
        <w:t>US $</w:t>
      </w:r>
      <w:r w:rsidR="007C7D82" w:rsidRPr="0026329D">
        <w:rPr>
          <w:lang w:val="en-CA"/>
        </w:rPr>
        <w:t>10,600,000) sector plan. Consideration of these requests were subsequently deferred, and details on the deliberation of these funding tranches and decisions taken by the Executive Committee are included in Annex I to the present document.</w:t>
      </w:r>
    </w:p>
    <w:p w:rsidR="00F77EAE" w:rsidRPr="0026329D" w:rsidRDefault="00C479ED" w:rsidP="0026329D">
      <w:pPr>
        <w:keepNext/>
        <w:keepLines/>
        <w:widowControl w:val="0"/>
        <w:rPr>
          <w:b/>
          <w:lang w:val="en-CA"/>
        </w:rPr>
      </w:pPr>
      <w:r w:rsidRPr="0026329D">
        <w:rPr>
          <w:b/>
          <w:lang w:val="en-CA"/>
        </w:rPr>
        <w:t>Adjustments to stage II decided at the 84</w:t>
      </w:r>
      <w:r w:rsidRPr="0026329D">
        <w:rPr>
          <w:b/>
          <w:vertAlign w:val="superscript"/>
          <w:lang w:val="en-CA"/>
        </w:rPr>
        <w:t>th</w:t>
      </w:r>
      <w:r w:rsidRPr="0026329D">
        <w:rPr>
          <w:b/>
          <w:lang w:val="en-CA"/>
        </w:rPr>
        <w:t> meeting, including amounts of HCFC to be phased out and associated funding</w:t>
      </w:r>
    </w:p>
    <w:p w:rsidR="00F77EAE" w:rsidRPr="0026329D" w:rsidRDefault="00F77EAE" w:rsidP="0026329D">
      <w:pPr>
        <w:keepNext/>
        <w:keepLines/>
        <w:widowControl w:val="0"/>
        <w:rPr>
          <w:lang w:val="en-CA"/>
        </w:rPr>
      </w:pPr>
    </w:p>
    <w:p w:rsidR="007C7D82" w:rsidRPr="0026329D" w:rsidRDefault="007C7D82" w:rsidP="0026329D">
      <w:pPr>
        <w:pStyle w:val="Heading1"/>
        <w:keepNext/>
        <w:keepLines/>
        <w:widowControl w:val="0"/>
        <w:rPr>
          <w:lang w:val="en-CA"/>
        </w:rPr>
      </w:pPr>
      <w:r w:rsidRPr="0026329D">
        <w:rPr>
          <w:lang w:val="en-CA"/>
        </w:rPr>
        <w:t>At the 84</w:t>
      </w:r>
      <w:r w:rsidRPr="0026329D">
        <w:rPr>
          <w:vertAlign w:val="superscript"/>
          <w:lang w:val="en-CA"/>
        </w:rPr>
        <w:t>th </w:t>
      </w:r>
      <w:r w:rsidRPr="0026329D">
        <w:rPr>
          <w:lang w:val="en-CA"/>
        </w:rPr>
        <w:t xml:space="preserve">meeting, upon consideration of the funding tranche requests of sector plans of </w:t>
      </w:r>
      <w:r w:rsidR="00A81DEE" w:rsidRPr="0026329D">
        <w:rPr>
          <w:lang w:val="en-CA"/>
        </w:rPr>
        <w:t>stage </w:t>
      </w:r>
      <w:r w:rsidRPr="0026329D">
        <w:rPr>
          <w:lang w:val="en-CA"/>
        </w:rPr>
        <w:t>II of the HPMP that were submitted by relevant bilateral and implementing agencies on behalf of the Government of China, the Executive Committee decided (decision 84/69):</w:t>
      </w:r>
    </w:p>
    <w:p w:rsidR="007C7D82" w:rsidRPr="0026329D" w:rsidRDefault="007C7D82" w:rsidP="0026329D">
      <w:pPr>
        <w:pStyle w:val="Heading2"/>
        <w:keepNext/>
        <w:keepLines/>
        <w:rPr>
          <w:lang w:val="en-CA"/>
        </w:rPr>
      </w:pPr>
      <w:r w:rsidRPr="0026329D">
        <w:rPr>
          <w:lang w:val="en-CA"/>
        </w:rPr>
        <w:t xml:space="preserve">With regard to </w:t>
      </w:r>
      <w:r w:rsidR="00A81DEE" w:rsidRPr="0026329D">
        <w:rPr>
          <w:lang w:val="en-CA"/>
        </w:rPr>
        <w:t>stage </w:t>
      </w:r>
      <w:r w:rsidRPr="0026329D">
        <w:rPr>
          <w:lang w:val="en-CA"/>
        </w:rPr>
        <w:t>II of the HPMP:</w:t>
      </w:r>
    </w:p>
    <w:p w:rsidR="007C7D82" w:rsidRPr="0026329D" w:rsidRDefault="007C7D82" w:rsidP="0026329D">
      <w:pPr>
        <w:pStyle w:val="Heading3"/>
        <w:keepNext/>
        <w:keepLines/>
        <w:rPr>
          <w:lang w:val="en-CA"/>
        </w:rPr>
      </w:pPr>
      <w:r w:rsidRPr="0026329D">
        <w:rPr>
          <w:lang w:val="en-CA"/>
        </w:rPr>
        <w:t>To request the relevant bilateral and implementing agencies, on behalf of the Government of China, to submit, at the 85</w:t>
      </w:r>
      <w:r w:rsidRPr="0026329D">
        <w:rPr>
          <w:vertAlign w:val="superscript"/>
          <w:lang w:val="en-CA"/>
        </w:rPr>
        <w:t>th</w:t>
      </w:r>
      <w:r w:rsidRPr="0026329D">
        <w:rPr>
          <w:lang w:val="en-CA"/>
        </w:rPr>
        <w:t xml:space="preserve"> meeting, the 2020 funding tranche requests for the PU foam, XPS foam, ICR and the solvent sector plans of </w:t>
      </w:r>
      <w:r w:rsidR="00A81DEE" w:rsidRPr="0026329D">
        <w:rPr>
          <w:lang w:val="en-CA"/>
        </w:rPr>
        <w:t>stage </w:t>
      </w:r>
      <w:r w:rsidRPr="0026329D">
        <w:rPr>
          <w:lang w:val="en-CA"/>
        </w:rPr>
        <w:t>II of the HPMP;</w:t>
      </w:r>
    </w:p>
    <w:p w:rsidR="007C7D82" w:rsidRPr="0026329D" w:rsidRDefault="007C7D82" w:rsidP="007C7D82">
      <w:pPr>
        <w:pStyle w:val="Heading3"/>
        <w:rPr>
          <w:lang w:val="en-CA"/>
        </w:rPr>
      </w:pPr>
      <w:r w:rsidRPr="0026329D">
        <w:rPr>
          <w:lang w:val="en-CA"/>
        </w:rPr>
        <w:t xml:space="preserve">To approve the revised </w:t>
      </w:r>
      <w:r w:rsidR="00FB35E3" w:rsidRPr="0026329D">
        <w:rPr>
          <w:lang w:val="en-CA"/>
        </w:rPr>
        <w:t>Appendix </w:t>
      </w:r>
      <w:r w:rsidRPr="0026329D">
        <w:rPr>
          <w:lang w:val="en-CA"/>
        </w:rPr>
        <w:t xml:space="preserve">2-A, “The Targets and Funding”, of the Agreement between the Government of China and the Executive Committee for </w:t>
      </w:r>
      <w:r w:rsidR="00A81DEE" w:rsidRPr="0026329D">
        <w:rPr>
          <w:lang w:val="en-CA"/>
        </w:rPr>
        <w:t>stage </w:t>
      </w:r>
      <w:r w:rsidRPr="0026329D">
        <w:rPr>
          <w:lang w:val="en-CA"/>
        </w:rPr>
        <w:t>II of the HPMP approved at the 79</w:t>
      </w:r>
      <w:r w:rsidRPr="0026329D">
        <w:rPr>
          <w:vertAlign w:val="superscript"/>
          <w:lang w:val="en-CA"/>
        </w:rPr>
        <w:t>th</w:t>
      </w:r>
      <w:r w:rsidRPr="0026329D">
        <w:rPr>
          <w:lang w:val="en-CA"/>
        </w:rPr>
        <w:t> meeting, as contained in Annex XXII to the report of the 84</w:t>
      </w:r>
      <w:r w:rsidRPr="0026329D">
        <w:rPr>
          <w:vertAlign w:val="superscript"/>
          <w:lang w:val="en-CA"/>
        </w:rPr>
        <w:t>th</w:t>
      </w:r>
      <w:r w:rsidRPr="0026329D">
        <w:rPr>
          <w:lang w:val="en-CA"/>
        </w:rPr>
        <w:t> meeting (UNEP/OzL.Pro/ExCom/84/75), to reflect the revised maximum allowable total consumption of HCFCs in row 1.2 and the revised total funding in rows 3.1, 3.2 and 3.3 and the sector funding and support costs;</w:t>
      </w:r>
    </w:p>
    <w:p w:rsidR="007C7D82" w:rsidRPr="0026329D" w:rsidRDefault="007C7D82" w:rsidP="007C7D82">
      <w:pPr>
        <w:pStyle w:val="Heading3"/>
        <w:rPr>
          <w:lang w:val="en-CA"/>
        </w:rPr>
      </w:pPr>
      <w:r w:rsidRPr="0026329D">
        <w:rPr>
          <w:lang w:val="en-CA"/>
        </w:rPr>
        <w:t>To request the Government of China, through the relevant bilateral and implementing agencies, to submit, no later than eight weeks prior to the 86</w:t>
      </w:r>
      <w:r w:rsidRPr="0026329D">
        <w:rPr>
          <w:vertAlign w:val="superscript"/>
          <w:lang w:val="en-CA"/>
        </w:rPr>
        <w:t>th</w:t>
      </w:r>
      <w:r w:rsidRPr="0026329D">
        <w:rPr>
          <w:lang w:val="en-CA"/>
        </w:rPr>
        <w:t xml:space="preserve"> meeting, a revised plan of action that included related activities and information on the technology selected, and associated funding tranches to extend through 2026 </w:t>
      </w:r>
      <w:r w:rsidR="00A81DEE" w:rsidRPr="0026329D">
        <w:rPr>
          <w:lang w:val="en-CA"/>
        </w:rPr>
        <w:t>stage </w:t>
      </w:r>
      <w:r w:rsidRPr="0026329D">
        <w:rPr>
          <w:lang w:val="en-CA"/>
        </w:rPr>
        <w:t xml:space="preserve">II of the RAC, ICR, and refrigeration servicing sectors and </w:t>
      </w:r>
      <w:r w:rsidR="005B7C48" w:rsidRPr="0026329D">
        <w:rPr>
          <w:lang w:val="en-CA"/>
        </w:rPr>
        <w:t xml:space="preserve">national </w:t>
      </w:r>
      <w:r w:rsidRPr="0026329D">
        <w:rPr>
          <w:lang w:val="en-CA"/>
        </w:rPr>
        <w:t>enabling programme, and, for the RAC and ICR sector plans, the maximum allowable sectoral consumption levels of HCFC as described in rows 1.3.1 and 1.3.4;</w:t>
      </w:r>
    </w:p>
    <w:p w:rsidR="007C7D82" w:rsidRPr="0026329D" w:rsidRDefault="007C7D82" w:rsidP="007C7D82">
      <w:pPr>
        <w:pStyle w:val="Heading3"/>
        <w:rPr>
          <w:lang w:val="en-CA"/>
        </w:rPr>
      </w:pPr>
      <w:r w:rsidRPr="0026329D">
        <w:rPr>
          <w:lang w:val="en-CA"/>
        </w:rPr>
        <w:t>Also to request the Government of China, through the relevant bilateral and implementing agencies, to submit, at the 86</w:t>
      </w:r>
      <w:r w:rsidRPr="0026329D">
        <w:rPr>
          <w:vertAlign w:val="superscript"/>
          <w:lang w:val="en-CA"/>
        </w:rPr>
        <w:t>th</w:t>
      </w:r>
      <w:r w:rsidRPr="0026329D">
        <w:rPr>
          <w:lang w:val="en-CA"/>
        </w:rPr>
        <w:t xml:space="preserve"> meeting, figures for potential revisions to </w:t>
      </w:r>
      <w:r w:rsidR="00FB35E3" w:rsidRPr="0026329D">
        <w:rPr>
          <w:lang w:val="en-CA"/>
        </w:rPr>
        <w:t>Appendix </w:t>
      </w:r>
      <w:r w:rsidRPr="0026329D">
        <w:rPr>
          <w:lang w:val="en-CA"/>
        </w:rPr>
        <w:t xml:space="preserve">2-A for: </w:t>
      </w:r>
    </w:p>
    <w:p w:rsidR="007C7D82" w:rsidRPr="0026329D" w:rsidRDefault="007C7D82" w:rsidP="007C7D82">
      <w:pPr>
        <w:pStyle w:val="Header4"/>
        <w:numPr>
          <w:ilvl w:val="0"/>
          <w:numId w:val="40"/>
        </w:numPr>
        <w:tabs>
          <w:tab w:val="clear" w:pos="3600"/>
        </w:tabs>
        <w:ind w:left="2835" w:hanging="708"/>
        <w:rPr>
          <w:lang w:val="en-CA"/>
        </w:rPr>
      </w:pPr>
      <w:r w:rsidRPr="0026329D">
        <w:rPr>
          <w:lang w:val="en-CA"/>
        </w:rPr>
        <w:t>Row 1.2 specifying the maximum allowable total consumption of HCFCs in 2021–2026 to reflect the information under sub</w:t>
      </w:r>
      <w:r w:rsidRPr="0026329D">
        <w:rPr>
          <w:lang w:val="en-CA"/>
        </w:rPr>
        <w:noBreakHyphen/>
        <w:t xml:space="preserve">paragraph (a)(iii), above; </w:t>
      </w:r>
    </w:p>
    <w:p w:rsidR="007C7D82" w:rsidRPr="0026329D" w:rsidRDefault="007C7D82" w:rsidP="007C7D82">
      <w:pPr>
        <w:pStyle w:val="Header4"/>
        <w:numPr>
          <w:ilvl w:val="0"/>
          <w:numId w:val="40"/>
        </w:numPr>
        <w:tabs>
          <w:tab w:val="clear" w:pos="3600"/>
        </w:tabs>
        <w:ind w:left="2835" w:hanging="708"/>
        <w:rPr>
          <w:lang w:val="en-CA"/>
        </w:rPr>
      </w:pPr>
      <w:r w:rsidRPr="0026329D">
        <w:rPr>
          <w:lang w:val="en-CA"/>
        </w:rPr>
        <w:t>The XPS foam, PU foam and solvent sector funding tranches for 2021</w:t>
      </w:r>
      <w:r w:rsidRPr="0026329D">
        <w:rPr>
          <w:lang w:val="en-CA"/>
        </w:rPr>
        <w:noBreakHyphen/>
        <w:t xml:space="preserve">2026 in </w:t>
      </w:r>
      <w:r w:rsidR="00FB35E3" w:rsidRPr="0026329D">
        <w:rPr>
          <w:lang w:val="en-CA"/>
        </w:rPr>
        <w:t>rows </w:t>
      </w:r>
      <w:r w:rsidRPr="0026329D">
        <w:rPr>
          <w:lang w:val="en-CA"/>
        </w:rPr>
        <w:t>2.2.1 to 2.2.4, 2.3.1 to 2.3.2 and 2.6.1 to 2.6.2, respectively; and</w:t>
      </w:r>
    </w:p>
    <w:p w:rsidR="007C7D82" w:rsidRPr="0026329D" w:rsidRDefault="007C7D82" w:rsidP="007C7D82">
      <w:pPr>
        <w:pStyle w:val="Header4"/>
        <w:numPr>
          <w:ilvl w:val="0"/>
          <w:numId w:val="40"/>
        </w:numPr>
        <w:tabs>
          <w:tab w:val="clear" w:pos="3600"/>
        </w:tabs>
        <w:ind w:left="2835" w:hanging="708"/>
        <w:rPr>
          <w:lang w:val="en-CA"/>
        </w:rPr>
      </w:pPr>
      <w:r w:rsidRPr="0026329D">
        <w:rPr>
          <w:lang w:val="en-CA"/>
        </w:rPr>
        <w:t xml:space="preserve">Tonnages associated with </w:t>
      </w:r>
      <w:r w:rsidR="005534CA" w:rsidRPr="0026329D">
        <w:rPr>
          <w:lang w:val="en-CA"/>
        </w:rPr>
        <w:t>rows </w:t>
      </w:r>
      <w:r w:rsidRPr="0026329D">
        <w:rPr>
          <w:lang w:val="en-CA"/>
        </w:rPr>
        <w:t xml:space="preserve">4.1.1 to 4.6.3 to reflect the information in </w:t>
      </w:r>
      <w:r w:rsidR="00FB35E3" w:rsidRPr="0026329D">
        <w:rPr>
          <w:lang w:val="en-CA"/>
        </w:rPr>
        <w:t>sub-paragraphs </w:t>
      </w:r>
      <w:r w:rsidRPr="0026329D">
        <w:rPr>
          <w:lang w:val="en-CA"/>
        </w:rPr>
        <w:t>(a)(iii), above;</w:t>
      </w:r>
    </w:p>
    <w:p w:rsidR="007C7D82" w:rsidRPr="0026329D" w:rsidRDefault="007C7D82" w:rsidP="007C7D82">
      <w:pPr>
        <w:pStyle w:val="Heading3"/>
        <w:rPr>
          <w:lang w:val="en-CA"/>
        </w:rPr>
      </w:pPr>
      <w:r w:rsidRPr="0026329D">
        <w:rPr>
          <w:lang w:val="en-CA"/>
        </w:rPr>
        <w:t>Further to request the Government of China to update the information on necessary revisions to reflect the present decision for the approved XPS foam, PU foam and solvent sector plans;</w:t>
      </w:r>
    </w:p>
    <w:p w:rsidR="007C7D82" w:rsidRPr="0026329D" w:rsidRDefault="007C7D82" w:rsidP="007C7D82">
      <w:pPr>
        <w:pStyle w:val="Heading3"/>
        <w:rPr>
          <w:lang w:val="en-CA"/>
        </w:rPr>
      </w:pPr>
      <w:r w:rsidRPr="0026329D">
        <w:rPr>
          <w:lang w:val="en-CA"/>
        </w:rPr>
        <w:t xml:space="preserve">To approve </w:t>
      </w:r>
      <w:r w:rsidR="00475A50" w:rsidRPr="0026329D">
        <w:rPr>
          <w:lang w:val="en-CA"/>
        </w:rPr>
        <w:t>US $</w:t>
      </w:r>
      <w:r w:rsidRPr="0026329D">
        <w:rPr>
          <w:lang w:val="en-CA"/>
        </w:rPr>
        <w:t xml:space="preserve">1,000,000, plus agency support costs of </w:t>
      </w:r>
      <w:r w:rsidR="00475A50" w:rsidRPr="0026329D">
        <w:rPr>
          <w:lang w:val="en-CA"/>
        </w:rPr>
        <w:t>US $</w:t>
      </w:r>
      <w:r w:rsidRPr="0026329D">
        <w:rPr>
          <w:lang w:val="en-CA"/>
        </w:rPr>
        <w:t>120,000 for UNEP, for the refrigeration servicing sector and</w:t>
      </w:r>
      <w:r w:rsidR="005B7C48" w:rsidRPr="0026329D">
        <w:rPr>
          <w:lang w:val="en-CA"/>
        </w:rPr>
        <w:t xml:space="preserve"> national</w:t>
      </w:r>
      <w:r w:rsidRPr="0026329D">
        <w:rPr>
          <w:lang w:val="en-CA"/>
        </w:rPr>
        <w:t xml:space="preserve"> enabling programme, consistent with the revised </w:t>
      </w:r>
      <w:r w:rsidR="00FB35E3" w:rsidRPr="0026329D">
        <w:rPr>
          <w:lang w:val="en-CA"/>
        </w:rPr>
        <w:t>Appendix </w:t>
      </w:r>
      <w:r w:rsidRPr="0026329D">
        <w:rPr>
          <w:lang w:val="en-CA"/>
        </w:rPr>
        <w:t>2-A referred to in sub</w:t>
      </w:r>
      <w:r w:rsidRPr="0026329D">
        <w:rPr>
          <w:lang w:val="en-CA"/>
        </w:rPr>
        <w:noBreakHyphen/>
        <w:t>paragraph (a)(ii), above;</w:t>
      </w:r>
    </w:p>
    <w:p w:rsidR="007C7D82" w:rsidRPr="0026329D" w:rsidRDefault="007C7D82" w:rsidP="006F33C5">
      <w:pPr>
        <w:pStyle w:val="Heading3"/>
        <w:rPr>
          <w:lang w:val="en-CA"/>
        </w:rPr>
      </w:pPr>
      <w:r w:rsidRPr="0026329D">
        <w:rPr>
          <w:lang w:val="en-CA"/>
        </w:rPr>
        <w:t xml:space="preserve">To request UNDP as the lead implementing agency of the overall </w:t>
      </w:r>
      <w:r w:rsidR="00A81DEE" w:rsidRPr="0026329D">
        <w:rPr>
          <w:lang w:val="en-CA"/>
        </w:rPr>
        <w:t>stage </w:t>
      </w:r>
      <w:r w:rsidRPr="0026329D">
        <w:rPr>
          <w:lang w:val="en-CA"/>
        </w:rPr>
        <w:t>II of the HPMP, on behalf of the Government of China, to submit, at the 86</w:t>
      </w:r>
      <w:r w:rsidRPr="0026329D">
        <w:rPr>
          <w:vertAlign w:val="superscript"/>
          <w:lang w:val="en-CA"/>
        </w:rPr>
        <w:t>th</w:t>
      </w:r>
      <w:r w:rsidRPr="0026329D">
        <w:rPr>
          <w:lang w:val="en-CA"/>
        </w:rPr>
        <w:t> meeting, a draft revised Agreement between the Government of China and the Executive Committee reflecting only the relevant outcomes approved at the 84</w:t>
      </w:r>
      <w:r w:rsidRPr="0026329D">
        <w:rPr>
          <w:vertAlign w:val="superscript"/>
          <w:lang w:val="en-CA"/>
        </w:rPr>
        <w:t>th</w:t>
      </w:r>
      <w:r w:rsidRPr="0026329D">
        <w:rPr>
          <w:lang w:val="en-CA"/>
        </w:rPr>
        <w:t xml:space="preserve"> meeting or those relevant to </w:t>
      </w:r>
      <w:r w:rsidR="00FB35E3" w:rsidRPr="0026329D">
        <w:rPr>
          <w:lang w:val="en-CA"/>
        </w:rPr>
        <w:t>sub-paragraphs </w:t>
      </w:r>
      <w:r w:rsidRPr="0026329D">
        <w:rPr>
          <w:lang w:val="en-CA"/>
        </w:rPr>
        <w:t xml:space="preserve">(a)(iii) and (a)(iv), above, and the revised plan of action for the RAC, ICR and refrigeration servicing sectors and </w:t>
      </w:r>
      <w:r w:rsidR="005B7C48" w:rsidRPr="0026329D">
        <w:rPr>
          <w:lang w:val="en-CA"/>
        </w:rPr>
        <w:t xml:space="preserve">national </w:t>
      </w:r>
      <w:r w:rsidRPr="0026329D">
        <w:rPr>
          <w:lang w:val="en-CA"/>
        </w:rPr>
        <w:t>enabling programme also due for submission at the 86</w:t>
      </w:r>
      <w:r w:rsidRPr="0026329D">
        <w:rPr>
          <w:vertAlign w:val="superscript"/>
          <w:lang w:val="en-CA"/>
        </w:rPr>
        <w:t>th</w:t>
      </w:r>
      <w:r w:rsidRPr="0026329D">
        <w:rPr>
          <w:lang w:val="en-CA"/>
        </w:rPr>
        <w:t xml:space="preserve"> meeting; and </w:t>
      </w:r>
    </w:p>
    <w:p w:rsidR="007C7D82" w:rsidRPr="0026329D" w:rsidRDefault="007C7D82" w:rsidP="007C7D82">
      <w:pPr>
        <w:pStyle w:val="Heading2"/>
        <w:rPr>
          <w:lang w:val="en-CA"/>
        </w:rPr>
      </w:pPr>
      <w:r w:rsidRPr="0026329D">
        <w:rPr>
          <w:lang w:val="en-CA"/>
        </w:rPr>
        <w:t>To request the World Bank, on behalf of the Government of China, to submit at the 86</w:t>
      </w:r>
      <w:r w:rsidRPr="0026329D">
        <w:rPr>
          <w:vertAlign w:val="superscript"/>
          <w:lang w:val="en-CA"/>
        </w:rPr>
        <w:t>th</w:t>
      </w:r>
      <w:r w:rsidRPr="0026329D">
        <w:rPr>
          <w:lang w:val="en-CA"/>
        </w:rPr>
        <w:t xml:space="preserve"> meeting a revised proposal for </w:t>
      </w:r>
      <w:r w:rsidR="00A81DEE" w:rsidRPr="0026329D">
        <w:rPr>
          <w:lang w:val="en-CA"/>
        </w:rPr>
        <w:t>stage </w:t>
      </w:r>
      <w:r w:rsidRPr="0026329D">
        <w:rPr>
          <w:lang w:val="en-CA"/>
        </w:rPr>
        <w:t xml:space="preserve">II of the HCFC production phase-out management plan (HPPMP) for the country. </w:t>
      </w:r>
    </w:p>
    <w:p w:rsidR="00FC2995" w:rsidRPr="0026329D" w:rsidRDefault="00FC2995" w:rsidP="00A1637C">
      <w:pPr>
        <w:pStyle w:val="Heading1"/>
        <w:widowControl w:val="0"/>
        <w:rPr>
          <w:lang w:val="en-CA"/>
        </w:rPr>
      </w:pPr>
      <w:r w:rsidRPr="0026329D">
        <w:rPr>
          <w:lang w:val="en-CA"/>
        </w:rPr>
        <w:t>At the 85</w:t>
      </w:r>
      <w:r w:rsidRPr="0026329D">
        <w:rPr>
          <w:vertAlign w:val="superscript"/>
          <w:lang w:val="en-CA"/>
        </w:rPr>
        <w:t>th</w:t>
      </w:r>
      <w:r w:rsidRPr="0026329D">
        <w:rPr>
          <w:lang w:val="en-CA"/>
        </w:rPr>
        <w:t xml:space="preserve"> meeting, the relevant bilateral and implementing agencies re-submitted requests for the third tranches of the XPS foam, ICR, and solvent sector plans, and for the second tranche of the PU foam sector plan, that had been submitted prior to adoption of </w:t>
      </w:r>
      <w:r w:rsidR="00A81DEE" w:rsidRPr="0026329D">
        <w:rPr>
          <w:lang w:val="en-CA"/>
        </w:rPr>
        <w:t>decision </w:t>
      </w:r>
      <w:r w:rsidRPr="0026329D">
        <w:rPr>
          <w:lang w:val="en-CA"/>
        </w:rPr>
        <w:t>84/69, but had been deferred. Subsequently, at the 86</w:t>
      </w:r>
      <w:r w:rsidRPr="0026329D">
        <w:rPr>
          <w:vertAlign w:val="superscript"/>
          <w:lang w:val="en-CA"/>
        </w:rPr>
        <w:t>th</w:t>
      </w:r>
      <w:r w:rsidR="009B3FC3" w:rsidRPr="0026329D">
        <w:rPr>
          <w:lang w:val="en-CA"/>
        </w:rPr>
        <w:t> meeting</w:t>
      </w:r>
      <w:r w:rsidRPr="0026329D">
        <w:rPr>
          <w:lang w:val="en-CA"/>
        </w:rPr>
        <w:t xml:space="preserve">, the agencies submitted revised plans of action for the sector plans of </w:t>
      </w:r>
      <w:r w:rsidR="00A81DEE" w:rsidRPr="0026329D">
        <w:rPr>
          <w:lang w:val="en-CA"/>
        </w:rPr>
        <w:t>stage </w:t>
      </w:r>
      <w:r w:rsidRPr="0026329D">
        <w:rPr>
          <w:lang w:val="en-CA"/>
        </w:rPr>
        <w:t xml:space="preserve">II of the HPMP addressing all the elements of </w:t>
      </w:r>
      <w:r w:rsidR="00A81DEE" w:rsidRPr="0026329D">
        <w:rPr>
          <w:lang w:val="en-CA"/>
        </w:rPr>
        <w:t>decision </w:t>
      </w:r>
      <w:r w:rsidRPr="0026329D">
        <w:rPr>
          <w:lang w:val="en-CA"/>
        </w:rPr>
        <w:t xml:space="preserve">84/69, including HCFC phase-out targets from 2021 to 2026, related activities, information on the technology selected, associated funding tranches, and a draft revised Agreement between the Government of China and the Executive Committee. </w:t>
      </w:r>
    </w:p>
    <w:p w:rsidR="00BD506F" w:rsidRPr="0026329D" w:rsidRDefault="00EF5413" w:rsidP="00EF5413">
      <w:pPr>
        <w:rPr>
          <w:b/>
          <w:lang w:val="en-CA"/>
        </w:rPr>
      </w:pPr>
      <w:r w:rsidRPr="0026329D">
        <w:rPr>
          <w:b/>
          <w:lang w:val="en-CA"/>
        </w:rPr>
        <w:t xml:space="preserve">Overview of the revised plans of action for </w:t>
      </w:r>
      <w:r w:rsidR="007576C7" w:rsidRPr="0026329D">
        <w:rPr>
          <w:b/>
          <w:lang w:val="en-CA"/>
        </w:rPr>
        <w:t xml:space="preserve">the </w:t>
      </w:r>
      <w:r w:rsidRPr="0026329D">
        <w:rPr>
          <w:b/>
          <w:lang w:val="en-CA"/>
        </w:rPr>
        <w:t xml:space="preserve">sector plans of </w:t>
      </w:r>
      <w:r w:rsidR="00A81DEE" w:rsidRPr="0026329D">
        <w:rPr>
          <w:b/>
          <w:lang w:val="en-CA"/>
        </w:rPr>
        <w:t>stage </w:t>
      </w:r>
      <w:r w:rsidRPr="0026329D">
        <w:rPr>
          <w:b/>
          <w:lang w:val="en-CA"/>
        </w:rPr>
        <w:t>II</w:t>
      </w:r>
      <w:r w:rsidR="001C1CB5" w:rsidRPr="0026329D">
        <w:rPr>
          <w:b/>
          <w:lang w:val="en-CA"/>
        </w:rPr>
        <w:t xml:space="preserve"> (2021-2026)</w:t>
      </w:r>
    </w:p>
    <w:p w:rsidR="007C7D82" w:rsidRPr="0026329D" w:rsidRDefault="007C7D82" w:rsidP="007C7D82">
      <w:pPr>
        <w:rPr>
          <w:lang w:val="en-CA"/>
        </w:rPr>
      </w:pPr>
    </w:p>
    <w:p w:rsidR="000104D3" w:rsidRPr="0026329D" w:rsidRDefault="000104D3" w:rsidP="000104D3">
      <w:pPr>
        <w:pStyle w:val="Heading1"/>
        <w:rPr>
          <w:lang w:val="en-CA"/>
        </w:rPr>
      </w:pPr>
      <w:r w:rsidRPr="0026329D">
        <w:rPr>
          <w:lang w:val="en-CA"/>
        </w:rPr>
        <w:t xml:space="preserve">In considering all the elements of </w:t>
      </w:r>
      <w:r w:rsidR="00A81DEE" w:rsidRPr="0026329D">
        <w:rPr>
          <w:lang w:val="en-CA"/>
        </w:rPr>
        <w:t>decision </w:t>
      </w:r>
      <w:r w:rsidRPr="0026329D">
        <w:rPr>
          <w:lang w:val="en-CA"/>
        </w:rPr>
        <w:t xml:space="preserve">84/69, UNDP, as lead implementing agency, submitted on behalf of the Government of China an overview of the adjustment made to the six sector plans associated with </w:t>
      </w:r>
      <w:r w:rsidR="00A81DEE" w:rsidRPr="0026329D">
        <w:rPr>
          <w:lang w:val="en-CA"/>
        </w:rPr>
        <w:t>stage </w:t>
      </w:r>
      <w:r w:rsidRPr="0026329D">
        <w:rPr>
          <w:lang w:val="en-CA"/>
        </w:rPr>
        <w:t xml:space="preserve">II of the HPMP. Taking into account the knowledge and experience accumulated during preparation and implementation of </w:t>
      </w:r>
      <w:r w:rsidR="00A81DEE" w:rsidRPr="0026329D">
        <w:rPr>
          <w:lang w:val="en-CA"/>
        </w:rPr>
        <w:t>stage </w:t>
      </w:r>
      <w:r w:rsidRPr="0026329D">
        <w:rPr>
          <w:lang w:val="en-CA"/>
        </w:rPr>
        <w:t xml:space="preserve">I (completed) and </w:t>
      </w:r>
      <w:r w:rsidR="00A81DEE" w:rsidRPr="0026329D">
        <w:rPr>
          <w:lang w:val="en-CA"/>
        </w:rPr>
        <w:t>stage </w:t>
      </w:r>
      <w:r w:rsidRPr="0026329D">
        <w:rPr>
          <w:lang w:val="en-CA"/>
        </w:rPr>
        <w:t xml:space="preserve">II, the </w:t>
      </w:r>
      <w:r w:rsidR="00FC2995" w:rsidRPr="0026329D">
        <w:rPr>
          <w:lang w:val="en-CA"/>
        </w:rPr>
        <w:t>revision of the</w:t>
      </w:r>
      <w:r w:rsidRPr="0026329D">
        <w:rPr>
          <w:lang w:val="en-CA"/>
        </w:rPr>
        <w:t xml:space="preserve"> sector plans was undertaken by the </w:t>
      </w:r>
      <w:r w:rsidR="005E3572" w:rsidRPr="0026329D">
        <w:rPr>
          <w:lang w:val="en-CA"/>
        </w:rPr>
        <w:t xml:space="preserve">Government </w:t>
      </w:r>
      <w:r w:rsidR="0005184D" w:rsidRPr="0026329D">
        <w:rPr>
          <w:lang w:val="en-CA"/>
        </w:rPr>
        <w:t>o</w:t>
      </w:r>
      <w:r w:rsidR="005E3572" w:rsidRPr="0026329D">
        <w:rPr>
          <w:lang w:val="en-CA"/>
        </w:rPr>
        <w:t>f China with the support of the relevant b</w:t>
      </w:r>
      <w:r w:rsidRPr="0026329D">
        <w:rPr>
          <w:lang w:val="en-CA"/>
        </w:rPr>
        <w:t xml:space="preserve">ilateral and implementing agencies providing assistance under </w:t>
      </w:r>
      <w:r w:rsidR="00A81DEE" w:rsidRPr="0026329D">
        <w:rPr>
          <w:lang w:val="en-CA"/>
        </w:rPr>
        <w:t>stage </w:t>
      </w:r>
      <w:r w:rsidRPr="0026329D">
        <w:rPr>
          <w:lang w:val="en-CA"/>
        </w:rPr>
        <w:t xml:space="preserve">II, </w:t>
      </w:r>
      <w:r w:rsidR="00FC2995" w:rsidRPr="0026329D">
        <w:rPr>
          <w:lang w:val="en-CA"/>
        </w:rPr>
        <w:t>including</w:t>
      </w:r>
      <w:r w:rsidRPr="0026329D">
        <w:rPr>
          <w:lang w:val="en-CA"/>
        </w:rPr>
        <w:t xml:space="preserve"> the Government of Austria as cooperating agency in the RAC sector, as shown in Table </w:t>
      </w:r>
      <w:r w:rsidR="00E61F32" w:rsidRPr="0026329D">
        <w:rPr>
          <w:lang w:val="en-CA"/>
        </w:rPr>
        <w:t>2</w:t>
      </w:r>
      <w:r w:rsidRPr="0026329D">
        <w:rPr>
          <w:lang w:val="en-CA"/>
        </w:rPr>
        <w:t>.</w:t>
      </w:r>
    </w:p>
    <w:p w:rsidR="000104D3" w:rsidRPr="0026329D" w:rsidRDefault="000104D3" w:rsidP="000104D3">
      <w:pPr>
        <w:pStyle w:val="Heading1"/>
        <w:numPr>
          <w:ilvl w:val="0"/>
          <w:numId w:val="0"/>
        </w:numPr>
        <w:spacing w:after="0"/>
        <w:rPr>
          <w:b/>
          <w:sz w:val="21"/>
          <w:szCs w:val="21"/>
          <w:lang w:val="en-CA"/>
        </w:rPr>
      </w:pPr>
      <w:r w:rsidRPr="0026329D">
        <w:rPr>
          <w:b/>
          <w:sz w:val="21"/>
          <w:szCs w:val="21"/>
          <w:lang w:val="en-CA"/>
        </w:rPr>
        <w:t>Table </w:t>
      </w:r>
      <w:r w:rsidR="00E61F32" w:rsidRPr="0026329D">
        <w:rPr>
          <w:b/>
          <w:sz w:val="21"/>
          <w:szCs w:val="21"/>
          <w:lang w:val="en-CA"/>
        </w:rPr>
        <w:t>2</w:t>
      </w:r>
      <w:r w:rsidRPr="0026329D">
        <w:rPr>
          <w:b/>
          <w:sz w:val="21"/>
          <w:szCs w:val="21"/>
          <w:lang w:val="en-CA"/>
        </w:rPr>
        <w:t xml:space="preserve">. Agencies involved in the preparation of the revised plans of action for </w:t>
      </w:r>
      <w:r w:rsidR="00A81DEE" w:rsidRPr="0026329D">
        <w:rPr>
          <w:b/>
          <w:sz w:val="21"/>
          <w:szCs w:val="21"/>
          <w:lang w:val="en-CA"/>
        </w:rPr>
        <w:t>stage </w:t>
      </w:r>
      <w:r w:rsidRPr="0026329D">
        <w:rPr>
          <w:b/>
          <w:sz w:val="21"/>
          <w:szCs w:val="21"/>
          <w:lang w:val="en-CA"/>
        </w:rPr>
        <w:t xml:space="preserve">II of the HPMP </w:t>
      </w:r>
    </w:p>
    <w:tbl>
      <w:tblPr>
        <w:tblStyle w:val="TableGrid"/>
        <w:tblW w:w="5000" w:type="pct"/>
        <w:tblLook w:val="04A0" w:firstRow="1" w:lastRow="0" w:firstColumn="1" w:lastColumn="0" w:noHBand="0" w:noVBand="1"/>
      </w:tblPr>
      <w:tblGrid>
        <w:gridCol w:w="1506"/>
        <w:gridCol w:w="5600"/>
        <w:gridCol w:w="2334"/>
      </w:tblGrid>
      <w:tr w:rsidR="000104D3" w:rsidRPr="0026329D" w:rsidTr="00425F95">
        <w:trPr>
          <w:tblHeader/>
        </w:trPr>
        <w:tc>
          <w:tcPr>
            <w:tcW w:w="798" w:type="pct"/>
            <w:vAlign w:val="center"/>
          </w:tcPr>
          <w:p w:rsidR="000104D3" w:rsidRPr="0026329D" w:rsidRDefault="000104D3" w:rsidP="00425F95">
            <w:pPr>
              <w:jc w:val="left"/>
              <w:rPr>
                <w:rFonts w:eastAsia="SimSun"/>
                <w:b/>
                <w:bCs/>
                <w:color w:val="000000"/>
                <w:sz w:val="20"/>
                <w:szCs w:val="20"/>
                <w:lang w:val="en-CA"/>
              </w:rPr>
            </w:pPr>
            <w:r w:rsidRPr="0026329D">
              <w:rPr>
                <w:rFonts w:eastAsia="SimSun"/>
                <w:b/>
                <w:bCs/>
                <w:color w:val="000000"/>
                <w:sz w:val="20"/>
                <w:szCs w:val="20"/>
                <w:lang w:val="en-CA"/>
              </w:rPr>
              <w:t>Sectors</w:t>
            </w:r>
          </w:p>
        </w:tc>
        <w:tc>
          <w:tcPr>
            <w:tcW w:w="2966" w:type="pct"/>
            <w:vAlign w:val="center"/>
          </w:tcPr>
          <w:p w:rsidR="000104D3" w:rsidRPr="0026329D" w:rsidRDefault="000104D3" w:rsidP="00425F95">
            <w:pPr>
              <w:pStyle w:val="ListParagraph"/>
              <w:ind w:left="0" w:firstLine="482"/>
              <w:jc w:val="center"/>
              <w:rPr>
                <w:rFonts w:eastAsia="SimSun"/>
                <w:b/>
                <w:bCs/>
                <w:color w:val="000000"/>
                <w:sz w:val="20"/>
                <w:szCs w:val="20"/>
                <w:lang w:val="en-CA"/>
              </w:rPr>
            </w:pPr>
            <w:r w:rsidRPr="0026329D">
              <w:rPr>
                <w:rFonts w:eastAsia="SimSun"/>
                <w:b/>
                <w:bCs/>
                <w:color w:val="000000"/>
                <w:sz w:val="20"/>
                <w:szCs w:val="20"/>
                <w:lang w:val="en-CA"/>
              </w:rPr>
              <w:t>Preparation agency</w:t>
            </w:r>
          </w:p>
        </w:tc>
        <w:tc>
          <w:tcPr>
            <w:tcW w:w="1236" w:type="pct"/>
            <w:vAlign w:val="center"/>
          </w:tcPr>
          <w:p w:rsidR="000104D3" w:rsidRPr="0026329D" w:rsidRDefault="000104D3" w:rsidP="00425F95">
            <w:pPr>
              <w:jc w:val="center"/>
              <w:rPr>
                <w:rFonts w:eastAsia="SimSun"/>
                <w:b/>
                <w:bCs/>
                <w:color w:val="000000"/>
                <w:sz w:val="20"/>
                <w:szCs w:val="20"/>
                <w:lang w:val="en-CA"/>
              </w:rPr>
            </w:pPr>
            <w:r w:rsidRPr="0026329D">
              <w:rPr>
                <w:rFonts w:eastAsia="SimSun"/>
                <w:b/>
                <w:bCs/>
                <w:color w:val="000000"/>
                <w:sz w:val="20"/>
                <w:szCs w:val="20"/>
                <w:lang w:val="en-CA"/>
              </w:rPr>
              <w:t>Bilateral and implementing agencies</w:t>
            </w:r>
          </w:p>
        </w:tc>
      </w:tr>
      <w:tr w:rsidR="006E1A17" w:rsidRPr="0026329D" w:rsidTr="009749EE">
        <w:tc>
          <w:tcPr>
            <w:tcW w:w="798" w:type="pct"/>
          </w:tcPr>
          <w:p w:rsidR="006E1A17" w:rsidRPr="0026329D" w:rsidRDefault="006E1A17" w:rsidP="009749EE">
            <w:pPr>
              <w:jc w:val="left"/>
              <w:rPr>
                <w:rFonts w:eastAsia="SimSun"/>
                <w:color w:val="000000"/>
                <w:sz w:val="20"/>
                <w:szCs w:val="20"/>
                <w:lang w:val="en-CA"/>
              </w:rPr>
            </w:pPr>
            <w:r w:rsidRPr="0026329D">
              <w:rPr>
                <w:rFonts w:eastAsia="SimSun"/>
                <w:color w:val="000000"/>
                <w:sz w:val="20"/>
                <w:szCs w:val="20"/>
                <w:lang w:val="en-CA"/>
              </w:rPr>
              <w:t>Overarching</w:t>
            </w:r>
          </w:p>
        </w:tc>
        <w:tc>
          <w:tcPr>
            <w:tcW w:w="2966" w:type="pct"/>
          </w:tcPr>
          <w:p w:rsidR="006E1A17" w:rsidRPr="0026329D" w:rsidRDefault="006E1A17" w:rsidP="009749EE">
            <w:pPr>
              <w:jc w:val="left"/>
              <w:rPr>
                <w:rFonts w:eastAsia="SimSun"/>
                <w:color w:val="000000"/>
                <w:sz w:val="20"/>
                <w:szCs w:val="20"/>
                <w:lang w:val="en-CA"/>
              </w:rPr>
            </w:pPr>
            <w:r w:rsidRPr="0026329D">
              <w:rPr>
                <w:rFonts w:eastAsia="SimSun"/>
                <w:color w:val="000000"/>
                <w:sz w:val="20"/>
                <w:szCs w:val="20"/>
                <w:lang w:val="en-CA"/>
              </w:rPr>
              <w:t>FECO/MEE</w:t>
            </w:r>
          </w:p>
        </w:tc>
        <w:tc>
          <w:tcPr>
            <w:tcW w:w="1236" w:type="pct"/>
          </w:tcPr>
          <w:p w:rsidR="006E1A17" w:rsidRPr="0026329D" w:rsidRDefault="006E1A17" w:rsidP="009749EE">
            <w:pPr>
              <w:jc w:val="left"/>
              <w:rPr>
                <w:rFonts w:eastAsia="SimSun"/>
                <w:color w:val="000000"/>
                <w:sz w:val="20"/>
                <w:szCs w:val="20"/>
                <w:lang w:val="en-CA"/>
              </w:rPr>
            </w:pPr>
            <w:r w:rsidRPr="0026329D">
              <w:rPr>
                <w:rFonts w:eastAsia="SimSun"/>
                <w:color w:val="000000"/>
                <w:sz w:val="20"/>
                <w:szCs w:val="20"/>
                <w:lang w:val="en-CA"/>
              </w:rPr>
              <w:t>UNDP</w:t>
            </w:r>
          </w:p>
        </w:tc>
      </w:tr>
      <w:tr w:rsidR="000104D3" w:rsidRPr="0026329D" w:rsidTr="00425F95">
        <w:tc>
          <w:tcPr>
            <w:tcW w:w="798"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ICR</w:t>
            </w:r>
          </w:p>
        </w:tc>
        <w:tc>
          <w:tcPr>
            <w:tcW w:w="2966" w:type="pct"/>
          </w:tcPr>
          <w:p w:rsidR="000104D3" w:rsidRPr="0026329D" w:rsidRDefault="000104D3" w:rsidP="00F4375C">
            <w:pPr>
              <w:pStyle w:val="ListParagraph"/>
              <w:ind w:left="0"/>
              <w:jc w:val="left"/>
              <w:rPr>
                <w:rFonts w:eastAsia="SimSun"/>
                <w:color w:val="000000"/>
                <w:sz w:val="20"/>
                <w:szCs w:val="20"/>
                <w:lang w:val="en-CA"/>
              </w:rPr>
            </w:pPr>
            <w:r w:rsidRPr="0026329D">
              <w:rPr>
                <w:rFonts w:eastAsia="SimSun"/>
                <w:color w:val="000000"/>
                <w:sz w:val="20"/>
                <w:szCs w:val="20"/>
                <w:lang w:val="en-CA"/>
              </w:rPr>
              <w:t xml:space="preserve">FECO/MEE, China Refrigeration and Air-conditioning Industry Association (CRAA) </w:t>
            </w:r>
          </w:p>
        </w:tc>
        <w:tc>
          <w:tcPr>
            <w:tcW w:w="1236"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UNDP</w:t>
            </w:r>
          </w:p>
        </w:tc>
      </w:tr>
      <w:tr w:rsidR="000104D3" w:rsidRPr="0026329D" w:rsidTr="00425F95">
        <w:tc>
          <w:tcPr>
            <w:tcW w:w="798"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RAC</w:t>
            </w:r>
          </w:p>
        </w:tc>
        <w:tc>
          <w:tcPr>
            <w:tcW w:w="2966" w:type="pct"/>
          </w:tcPr>
          <w:p w:rsidR="000104D3" w:rsidRPr="0026329D" w:rsidRDefault="000104D3" w:rsidP="00F4375C">
            <w:pPr>
              <w:jc w:val="left"/>
              <w:rPr>
                <w:rFonts w:eastAsia="SimSun"/>
                <w:color w:val="000000"/>
                <w:sz w:val="20"/>
                <w:szCs w:val="20"/>
                <w:lang w:val="en-CA"/>
              </w:rPr>
            </w:pPr>
            <w:r w:rsidRPr="0026329D">
              <w:rPr>
                <w:rFonts w:eastAsia="SimSun"/>
                <w:color w:val="000000"/>
                <w:sz w:val="20"/>
                <w:szCs w:val="20"/>
                <w:lang w:val="en-CA"/>
              </w:rPr>
              <w:t xml:space="preserve">FECO/MEE, China Household Electrical Appliances Associations (CHEAA) </w:t>
            </w:r>
          </w:p>
        </w:tc>
        <w:tc>
          <w:tcPr>
            <w:tcW w:w="1236" w:type="pct"/>
          </w:tcPr>
          <w:p w:rsidR="000104D3" w:rsidRPr="0026329D" w:rsidRDefault="000104D3" w:rsidP="0005184D">
            <w:pPr>
              <w:jc w:val="left"/>
              <w:rPr>
                <w:rFonts w:eastAsia="SimSun"/>
                <w:color w:val="000000"/>
                <w:sz w:val="20"/>
                <w:szCs w:val="20"/>
                <w:lang w:val="en-CA"/>
              </w:rPr>
            </w:pPr>
            <w:r w:rsidRPr="0026329D">
              <w:rPr>
                <w:rFonts w:eastAsia="SimSun"/>
                <w:color w:val="000000"/>
                <w:sz w:val="20"/>
                <w:szCs w:val="20"/>
                <w:lang w:val="en-CA"/>
              </w:rPr>
              <w:t>UNIDO, Austria</w:t>
            </w:r>
            <w:r w:rsidR="003F352F" w:rsidRPr="0026329D">
              <w:rPr>
                <w:rFonts w:eastAsia="SimSun"/>
                <w:color w:val="000000"/>
                <w:sz w:val="20"/>
                <w:szCs w:val="20"/>
                <w:lang w:val="en-CA"/>
              </w:rPr>
              <w:t>, Italy</w:t>
            </w:r>
          </w:p>
        </w:tc>
      </w:tr>
      <w:tr w:rsidR="000104D3" w:rsidRPr="0026329D" w:rsidTr="00425F95">
        <w:tc>
          <w:tcPr>
            <w:tcW w:w="798" w:type="pct"/>
          </w:tcPr>
          <w:p w:rsidR="000104D3" w:rsidRPr="0026329D" w:rsidRDefault="000104D3" w:rsidP="00425F95">
            <w:pPr>
              <w:pStyle w:val="ListParagraph"/>
              <w:ind w:left="0"/>
              <w:jc w:val="left"/>
              <w:rPr>
                <w:rFonts w:eastAsia="SimSun"/>
                <w:color w:val="000000"/>
                <w:sz w:val="20"/>
                <w:szCs w:val="20"/>
                <w:lang w:val="en-CA"/>
              </w:rPr>
            </w:pPr>
            <w:r w:rsidRPr="0026329D">
              <w:rPr>
                <w:rFonts w:eastAsia="SimSun"/>
                <w:color w:val="000000"/>
                <w:sz w:val="20"/>
                <w:szCs w:val="20"/>
                <w:lang w:val="en-CA"/>
              </w:rPr>
              <w:t xml:space="preserve">Servicing </w:t>
            </w:r>
          </w:p>
        </w:tc>
        <w:tc>
          <w:tcPr>
            <w:tcW w:w="2966" w:type="pct"/>
          </w:tcPr>
          <w:p w:rsidR="000104D3" w:rsidRPr="0026329D" w:rsidRDefault="000104D3" w:rsidP="00F4375C">
            <w:pPr>
              <w:jc w:val="left"/>
              <w:rPr>
                <w:rFonts w:eastAsia="SimSun"/>
                <w:color w:val="000000"/>
                <w:sz w:val="20"/>
                <w:szCs w:val="20"/>
                <w:lang w:val="en-CA"/>
              </w:rPr>
            </w:pPr>
            <w:r w:rsidRPr="0026329D">
              <w:rPr>
                <w:rFonts w:eastAsia="SimSun"/>
                <w:color w:val="000000"/>
                <w:sz w:val="20"/>
                <w:szCs w:val="20"/>
                <w:lang w:val="en-CA"/>
              </w:rPr>
              <w:t>FECO/MEE, CRAA</w:t>
            </w:r>
            <w:r w:rsidRPr="0026329D">
              <w:rPr>
                <w:sz w:val="20"/>
                <w:szCs w:val="20"/>
                <w:lang w:val="en-CA"/>
              </w:rPr>
              <w:t xml:space="preserve">, </w:t>
            </w:r>
            <w:r w:rsidRPr="0026329D">
              <w:rPr>
                <w:rFonts w:eastAsia="SimSun"/>
                <w:color w:val="000000"/>
                <w:sz w:val="20"/>
                <w:szCs w:val="20"/>
                <w:lang w:val="en-CA"/>
              </w:rPr>
              <w:t>CHEAA</w:t>
            </w:r>
          </w:p>
        </w:tc>
        <w:tc>
          <w:tcPr>
            <w:tcW w:w="1236"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UNEP, Germany, Japan</w:t>
            </w:r>
          </w:p>
        </w:tc>
      </w:tr>
      <w:tr w:rsidR="000104D3" w:rsidRPr="0026329D" w:rsidTr="00425F95">
        <w:tc>
          <w:tcPr>
            <w:tcW w:w="798"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XPS foam</w:t>
            </w:r>
          </w:p>
        </w:tc>
        <w:tc>
          <w:tcPr>
            <w:tcW w:w="2966" w:type="pct"/>
          </w:tcPr>
          <w:p w:rsidR="000104D3" w:rsidRPr="0026329D" w:rsidRDefault="000104D3" w:rsidP="00F4375C">
            <w:pPr>
              <w:pStyle w:val="ListParagraph"/>
              <w:ind w:left="0"/>
              <w:jc w:val="left"/>
              <w:rPr>
                <w:rFonts w:eastAsia="SimSun"/>
                <w:color w:val="000000"/>
                <w:sz w:val="20"/>
                <w:szCs w:val="20"/>
                <w:lang w:val="en-CA"/>
              </w:rPr>
            </w:pPr>
            <w:r w:rsidRPr="0026329D">
              <w:rPr>
                <w:rFonts w:eastAsia="SimSun"/>
                <w:color w:val="000000"/>
                <w:sz w:val="20"/>
                <w:szCs w:val="20"/>
                <w:lang w:val="en-CA"/>
              </w:rPr>
              <w:t>FECO/MEE, Beijing Technology and Business University</w:t>
            </w:r>
          </w:p>
        </w:tc>
        <w:tc>
          <w:tcPr>
            <w:tcW w:w="1236"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UNIDO, Germany</w:t>
            </w:r>
          </w:p>
        </w:tc>
      </w:tr>
      <w:tr w:rsidR="000104D3" w:rsidRPr="0026329D" w:rsidTr="00425F95">
        <w:tc>
          <w:tcPr>
            <w:tcW w:w="798"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PU foam</w:t>
            </w:r>
          </w:p>
        </w:tc>
        <w:tc>
          <w:tcPr>
            <w:tcW w:w="2966" w:type="pct"/>
          </w:tcPr>
          <w:p w:rsidR="000104D3" w:rsidRPr="0026329D" w:rsidRDefault="000104D3" w:rsidP="00F4375C">
            <w:pPr>
              <w:pStyle w:val="ListParagraph"/>
              <w:ind w:left="0"/>
              <w:jc w:val="left"/>
              <w:rPr>
                <w:rFonts w:eastAsia="SimSun"/>
                <w:color w:val="000000"/>
                <w:sz w:val="20"/>
                <w:szCs w:val="20"/>
                <w:lang w:val="en-CA"/>
              </w:rPr>
            </w:pPr>
            <w:r w:rsidRPr="0026329D">
              <w:rPr>
                <w:rFonts w:eastAsia="SimSun"/>
                <w:color w:val="000000"/>
                <w:sz w:val="20"/>
                <w:szCs w:val="20"/>
                <w:lang w:val="en-CA"/>
              </w:rPr>
              <w:t>FECO/MEE, Peking University, China Plastics Processing Industry Association (CPPIA)</w:t>
            </w:r>
          </w:p>
        </w:tc>
        <w:tc>
          <w:tcPr>
            <w:tcW w:w="1236"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World Bank</w:t>
            </w:r>
          </w:p>
        </w:tc>
      </w:tr>
      <w:tr w:rsidR="000104D3" w:rsidRPr="0026329D" w:rsidTr="00425F95">
        <w:tc>
          <w:tcPr>
            <w:tcW w:w="798"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Solvent</w:t>
            </w:r>
          </w:p>
        </w:tc>
        <w:tc>
          <w:tcPr>
            <w:tcW w:w="2966" w:type="pct"/>
          </w:tcPr>
          <w:p w:rsidR="000104D3" w:rsidRPr="0026329D" w:rsidRDefault="000104D3" w:rsidP="00F4375C">
            <w:pPr>
              <w:jc w:val="left"/>
              <w:rPr>
                <w:rFonts w:eastAsia="SimSun"/>
                <w:color w:val="000000"/>
                <w:sz w:val="20"/>
                <w:szCs w:val="20"/>
                <w:lang w:val="en-CA"/>
              </w:rPr>
            </w:pPr>
            <w:r w:rsidRPr="0026329D">
              <w:rPr>
                <w:rFonts w:eastAsia="SimSun"/>
                <w:color w:val="000000"/>
                <w:sz w:val="20"/>
                <w:szCs w:val="20"/>
                <w:lang w:val="en-CA"/>
              </w:rPr>
              <w:t>FECO/MEE, Beijing University of Chemical Technology</w:t>
            </w:r>
          </w:p>
        </w:tc>
        <w:tc>
          <w:tcPr>
            <w:tcW w:w="1236" w:type="pct"/>
          </w:tcPr>
          <w:p w:rsidR="000104D3" w:rsidRPr="0026329D" w:rsidRDefault="000104D3" w:rsidP="00425F95">
            <w:pPr>
              <w:jc w:val="left"/>
              <w:rPr>
                <w:rFonts w:eastAsia="SimSun"/>
                <w:color w:val="000000"/>
                <w:sz w:val="20"/>
                <w:szCs w:val="20"/>
                <w:lang w:val="en-CA"/>
              </w:rPr>
            </w:pPr>
            <w:r w:rsidRPr="0026329D">
              <w:rPr>
                <w:rFonts w:eastAsia="SimSun"/>
                <w:color w:val="000000"/>
                <w:sz w:val="20"/>
                <w:szCs w:val="20"/>
                <w:lang w:val="en-CA"/>
              </w:rPr>
              <w:t>UNDP</w:t>
            </w:r>
          </w:p>
        </w:tc>
      </w:tr>
    </w:tbl>
    <w:p w:rsidR="000104D3" w:rsidRPr="0026329D" w:rsidRDefault="000104D3" w:rsidP="000104D3">
      <w:pPr>
        <w:rPr>
          <w:sz w:val="19"/>
          <w:szCs w:val="19"/>
          <w:lang w:val="en-CA"/>
        </w:rPr>
      </w:pPr>
    </w:p>
    <w:p w:rsidR="00DF259B" w:rsidRPr="0026329D" w:rsidRDefault="00DF259B" w:rsidP="00DF259B">
      <w:pPr>
        <w:rPr>
          <w:u w:val="single"/>
          <w:lang w:val="en-CA"/>
        </w:rPr>
      </w:pPr>
      <w:r w:rsidRPr="0026329D">
        <w:rPr>
          <w:u w:val="single"/>
          <w:lang w:val="en-CA"/>
        </w:rPr>
        <w:t xml:space="preserve">Adjustment to the amounts of HCFCs to be phased-out </w:t>
      </w:r>
    </w:p>
    <w:p w:rsidR="00DF259B" w:rsidRPr="0026329D" w:rsidRDefault="00DF259B" w:rsidP="00DF259B">
      <w:pPr>
        <w:rPr>
          <w:lang w:val="en-CA"/>
        </w:rPr>
      </w:pPr>
    </w:p>
    <w:p w:rsidR="007576C7" w:rsidRPr="0026329D" w:rsidRDefault="007576C7" w:rsidP="00425F95">
      <w:pPr>
        <w:pStyle w:val="Heading1"/>
        <w:rPr>
          <w:lang w:val="en-CA"/>
        </w:rPr>
      </w:pPr>
      <w:r w:rsidRPr="0026329D">
        <w:rPr>
          <w:lang w:val="en-CA"/>
        </w:rPr>
        <w:t>The Government of China applied the following principles regarding the HCFC phase-out targets:</w:t>
      </w:r>
    </w:p>
    <w:p w:rsidR="007576C7" w:rsidRPr="0026329D" w:rsidRDefault="007576C7" w:rsidP="007576C7">
      <w:pPr>
        <w:pStyle w:val="Heading2"/>
        <w:rPr>
          <w:lang w:val="en-CA"/>
        </w:rPr>
      </w:pPr>
      <w:r w:rsidRPr="0026329D">
        <w:rPr>
          <w:lang w:val="en-CA"/>
        </w:rPr>
        <w:t>For the XPS foam, PU foam and solvent sector plans, the phase-out targets remain as originally approved;</w:t>
      </w:r>
    </w:p>
    <w:p w:rsidR="007576C7" w:rsidRPr="0026329D" w:rsidRDefault="007576C7" w:rsidP="007576C7">
      <w:pPr>
        <w:pStyle w:val="Heading2"/>
        <w:rPr>
          <w:lang w:val="en-CA"/>
        </w:rPr>
      </w:pPr>
      <w:r w:rsidRPr="0026329D">
        <w:rPr>
          <w:lang w:val="en-CA"/>
        </w:rPr>
        <w:t>For the ICR and RAC sectors, the phase-out targets were extended from 202</w:t>
      </w:r>
      <w:r w:rsidR="005E3572" w:rsidRPr="0026329D">
        <w:rPr>
          <w:lang w:val="en-CA"/>
        </w:rPr>
        <w:t>2</w:t>
      </w:r>
      <w:r w:rsidRPr="0026329D">
        <w:rPr>
          <w:lang w:val="en-CA"/>
        </w:rPr>
        <w:t xml:space="preserve"> to 2026 considering the timetable stipulated by the Montreal Protocol and the specific situation of each sector; and</w:t>
      </w:r>
    </w:p>
    <w:p w:rsidR="007576C7" w:rsidRPr="0026329D" w:rsidRDefault="007576C7" w:rsidP="0026329D">
      <w:pPr>
        <w:pStyle w:val="Heading2"/>
        <w:keepNext/>
        <w:keepLines/>
        <w:rPr>
          <w:lang w:val="en-CA"/>
        </w:rPr>
      </w:pPr>
      <w:r w:rsidRPr="0026329D">
        <w:rPr>
          <w:lang w:val="en-CA"/>
        </w:rPr>
        <w:t>For the refrigeration servicing sector and national enabling programme there are no specific consumption targets stipulated in the Agreement; thus,</w:t>
      </w:r>
      <w:r w:rsidR="009A2BA2" w:rsidRPr="0026329D">
        <w:rPr>
          <w:lang w:val="en-CA"/>
        </w:rPr>
        <w:t xml:space="preserve"> </w:t>
      </w:r>
      <w:r w:rsidR="00D92E3E" w:rsidRPr="0026329D">
        <w:rPr>
          <w:lang w:val="en-CA"/>
        </w:rPr>
        <w:t xml:space="preserve">consumption </w:t>
      </w:r>
      <w:r w:rsidRPr="0026329D">
        <w:rPr>
          <w:lang w:val="en-CA"/>
        </w:rPr>
        <w:t xml:space="preserve">will be based on the servicing demand for HCFCs, maintaining flexibility </w:t>
      </w:r>
      <w:r w:rsidR="00BB3CD8" w:rsidRPr="0026329D">
        <w:rPr>
          <w:lang w:val="en-CA"/>
        </w:rPr>
        <w:t xml:space="preserve">under the precondition of </w:t>
      </w:r>
      <w:r w:rsidRPr="0026329D">
        <w:rPr>
          <w:lang w:val="en-CA"/>
        </w:rPr>
        <w:t xml:space="preserve">meeting </w:t>
      </w:r>
      <w:r w:rsidR="00BD506F" w:rsidRPr="0026329D">
        <w:rPr>
          <w:lang w:val="en-CA"/>
        </w:rPr>
        <w:t xml:space="preserve">the </w:t>
      </w:r>
      <w:r w:rsidRPr="0026329D">
        <w:rPr>
          <w:lang w:val="en-CA"/>
        </w:rPr>
        <w:t>overall national compliance targets.</w:t>
      </w:r>
    </w:p>
    <w:p w:rsidR="00BD506F" w:rsidRPr="0026329D" w:rsidRDefault="00BD506F" w:rsidP="00BD506F">
      <w:pPr>
        <w:pStyle w:val="Heading1"/>
        <w:rPr>
          <w:lang w:val="en-CA"/>
        </w:rPr>
      </w:pPr>
      <w:r w:rsidRPr="0026329D">
        <w:rPr>
          <w:lang w:val="en-CA"/>
        </w:rPr>
        <w:t>A summary of the changes to the remaining eligible consumption due to additional reductions in HCFC consumption between 202</w:t>
      </w:r>
      <w:r w:rsidR="003C4FEF" w:rsidRPr="0026329D">
        <w:rPr>
          <w:lang w:val="en-CA"/>
        </w:rPr>
        <w:t>1</w:t>
      </w:r>
      <w:r w:rsidRPr="0026329D">
        <w:rPr>
          <w:lang w:val="en-CA"/>
        </w:rPr>
        <w:t xml:space="preserve"> and 2026 in the ICR and RAC sector plans and the refrigeration servicing sector and enabling programme is presented in Table 3.</w:t>
      </w:r>
    </w:p>
    <w:p w:rsidR="00BD506F" w:rsidRPr="0026329D" w:rsidRDefault="00BD506F" w:rsidP="00A1637C">
      <w:pPr>
        <w:pStyle w:val="Heading1"/>
        <w:keepNext/>
        <w:numPr>
          <w:ilvl w:val="0"/>
          <w:numId w:val="0"/>
        </w:numPr>
        <w:spacing w:after="0"/>
        <w:rPr>
          <w:b/>
          <w:lang w:val="en-CA"/>
        </w:rPr>
      </w:pPr>
      <w:r w:rsidRPr="0026329D">
        <w:rPr>
          <w:b/>
          <w:lang w:val="en-CA"/>
        </w:rPr>
        <w:t xml:space="preserve">Table 3. Additional HCFC to be phased-out during </w:t>
      </w:r>
      <w:r w:rsidR="00A81DEE" w:rsidRPr="0026329D">
        <w:rPr>
          <w:b/>
          <w:lang w:val="en-CA"/>
        </w:rPr>
        <w:t>stage </w:t>
      </w:r>
      <w:r w:rsidRPr="0026329D">
        <w:rPr>
          <w:b/>
          <w:lang w:val="en-CA"/>
        </w:rPr>
        <w:t>II of the HPMP (ODP tonnes)*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360"/>
        <w:gridCol w:w="2360"/>
        <w:gridCol w:w="2360"/>
      </w:tblGrid>
      <w:tr w:rsidR="00BD506F" w:rsidRPr="0026329D" w:rsidTr="00F4375C">
        <w:trPr>
          <w:trHeight w:val="224"/>
        </w:trPr>
        <w:tc>
          <w:tcPr>
            <w:tcW w:w="1250" w:type="pct"/>
            <w:shd w:val="clear" w:color="auto" w:fill="auto"/>
            <w:noWrap/>
            <w:hideMark/>
          </w:tcPr>
          <w:p w:rsidR="00BD506F" w:rsidRPr="0026329D" w:rsidRDefault="00BD506F" w:rsidP="00A1637C">
            <w:pPr>
              <w:keepNext/>
              <w:jc w:val="left"/>
              <w:rPr>
                <w:b/>
                <w:sz w:val="21"/>
                <w:szCs w:val="21"/>
                <w:lang w:val="en-CA"/>
              </w:rPr>
            </w:pPr>
            <w:r w:rsidRPr="0026329D">
              <w:rPr>
                <w:b/>
                <w:sz w:val="21"/>
                <w:szCs w:val="21"/>
                <w:lang w:val="en-CA"/>
              </w:rPr>
              <w:t>Substance</w:t>
            </w:r>
          </w:p>
        </w:tc>
        <w:tc>
          <w:tcPr>
            <w:tcW w:w="1250" w:type="pct"/>
            <w:shd w:val="clear" w:color="auto" w:fill="auto"/>
            <w:noWrap/>
            <w:vAlign w:val="center"/>
            <w:hideMark/>
          </w:tcPr>
          <w:p w:rsidR="00BD506F" w:rsidRPr="0026329D" w:rsidRDefault="00BD506F" w:rsidP="00A1637C">
            <w:pPr>
              <w:keepNext/>
              <w:jc w:val="center"/>
              <w:rPr>
                <w:b/>
                <w:color w:val="000000"/>
                <w:sz w:val="21"/>
                <w:szCs w:val="21"/>
                <w:lang w:val="en-CA"/>
              </w:rPr>
            </w:pPr>
            <w:r w:rsidRPr="0026329D">
              <w:rPr>
                <w:b/>
                <w:color w:val="000000"/>
                <w:sz w:val="21"/>
                <w:szCs w:val="21"/>
                <w:lang w:val="en-CA"/>
              </w:rPr>
              <w:t>Original</w:t>
            </w:r>
          </w:p>
        </w:tc>
        <w:tc>
          <w:tcPr>
            <w:tcW w:w="1250" w:type="pct"/>
            <w:shd w:val="clear" w:color="auto" w:fill="auto"/>
            <w:noWrap/>
            <w:vAlign w:val="center"/>
            <w:hideMark/>
          </w:tcPr>
          <w:p w:rsidR="00BD506F" w:rsidRPr="0026329D" w:rsidRDefault="00BD506F" w:rsidP="00A1637C">
            <w:pPr>
              <w:keepNext/>
              <w:jc w:val="center"/>
              <w:rPr>
                <w:b/>
                <w:color w:val="000000"/>
                <w:sz w:val="21"/>
                <w:szCs w:val="21"/>
                <w:lang w:val="en-CA"/>
              </w:rPr>
            </w:pPr>
            <w:r w:rsidRPr="0026329D">
              <w:rPr>
                <w:b/>
                <w:color w:val="000000"/>
                <w:sz w:val="21"/>
                <w:szCs w:val="21"/>
                <w:lang w:val="en-CA"/>
              </w:rPr>
              <w:t>Revised</w:t>
            </w:r>
          </w:p>
        </w:tc>
        <w:tc>
          <w:tcPr>
            <w:tcW w:w="1250" w:type="pct"/>
            <w:shd w:val="clear" w:color="auto" w:fill="auto"/>
            <w:noWrap/>
            <w:vAlign w:val="center"/>
            <w:hideMark/>
          </w:tcPr>
          <w:p w:rsidR="00BD506F" w:rsidRPr="0026329D" w:rsidRDefault="00BD506F" w:rsidP="00A1637C">
            <w:pPr>
              <w:keepNext/>
              <w:jc w:val="center"/>
              <w:rPr>
                <w:b/>
                <w:color w:val="000000"/>
                <w:sz w:val="21"/>
                <w:szCs w:val="21"/>
                <w:lang w:val="en-CA"/>
              </w:rPr>
            </w:pPr>
            <w:r w:rsidRPr="0026329D">
              <w:rPr>
                <w:b/>
                <w:color w:val="000000"/>
                <w:sz w:val="21"/>
                <w:szCs w:val="21"/>
                <w:lang w:val="en-CA"/>
              </w:rPr>
              <w:t>Difference</w:t>
            </w:r>
          </w:p>
        </w:tc>
      </w:tr>
      <w:tr w:rsidR="00BD506F" w:rsidRPr="0026329D" w:rsidTr="00F4375C">
        <w:trPr>
          <w:trHeight w:val="80"/>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HCFC-22</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3,878.80</w:t>
            </w:r>
          </w:p>
        </w:tc>
        <w:tc>
          <w:tcPr>
            <w:tcW w:w="1250" w:type="pct"/>
            <w:shd w:val="clear" w:color="auto" w:fill="auto"/>
            <w:noWrap/>
            <w:tcMar>
              <w:left w:w="115" w:type="dxa"/>
              <w:right w:w="288" w:type="dxa"/>
            </w:tcMar>
            <w:hideMark/>
          </w:tcPr>
          <w:p w:rsidR="00BD506F" w:rsidRPr="0026329D" w:rsidRDefault="00BD506F" w:rsidP="00007DF6">
            <w:pPr>
              <w:jc w:val="right"/>
              <w:rPr>
                <w:color w:val="000000"/>
                <w:sz w:val="21"/>
                <w:szCs w:val="21"/>
                <w:lang w:val="en-CA"/>
              </w:rPr>
            </w:pPr>
            <w:r w:rsidRPr="0026329D">
              <w:rPr>
                <w:color w:val="000000"/>
                <w:sz w:val="21"/>
                <w:szCs w:val="21"/>
                <w:lang w:val="en-CA"/>
              </w:rPr>
              <w:t>6,</w:t>
            </w:r>
            <w:r w:rsidR="00007DF6" w:rsidRPr="0026329D">
              <w:rPr>
                <w:color w:val="000000"/>
                <w:sz w:val="21"/>
                <w:szCs w:val="21"/>
                <w:lang w:val="en-CA"/>
              </w:rPr>
              <w:t>631.46</w:t>
            </w:r>
          </w:p>
        </w:tc>
        <w:tc>
          <w:tcPr>
            <w:tcW w:w="1250" w:type="pct"/>
            <w:shd w:val="clear" w:color="auto" w:fill="auto"/>
            <w:noWrap/>
            <w:tcMar>
              <w:left w:w="115" w:type="dxa"/>
              <w:right w:w="288" w:type="dxa"/>
            </w:tcMar>
            <w:hideMark/>
          </w:tcPr>
          <w:p w:rsidR="00BD506F" w:rsidRPr="0026329D" w:rsidRDefault="00BD506F" w:rsidP="00007DF6">
            <w:pPr>
              <w:jc w:val="right"/>
              <w:rPr>
                <w:color w:val="000000"/>
                <w:sz w:val="21"/>
                <w:szCs w:val="21"/>
                <w:lang w:val="en-CA"/>
              </w:rPr>
            </w:pPr>
            <w:r w:rsidRPr="0026329D">
              <w:rPr>
                <w:color w:val="000000"/>
                <w:sz w:val="21"/>
                <w:szCs w:val="21"/>
                <w:lang w:val="en-CA"/>
              </w:rPr>
              <w:t>2,</w:t>
            </w:r>
            <w:r w:rsidR="00007DF6" w:rsidRPr="0026329D">
              <w:rPr>
                <w:color w:val="000000"/>
                <w:sz w:val="21"/>
                <w:szCs w:val="21"/>
                <w:lang w:val="en-CA"/>
              </w:rPr>
              <w:t>572.66</w:t>
            </w:r>
          </w:p>
        </w:tc>
      </w:tr>
      <w:tr w:rsidR="00BD506F" w:rsidRPr="0026329D" w:rsidTr="00F4375C">
        <w:trPr>
          <w:trHeight w:val="107"/>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HCFC-123</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2.70</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7.94</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5.24</w:t>
            </w:r>
          </w:p>
        </w:tc>
      </w:tr>
      <w:tr w:rsidR="00BD506F" w:rsidRPr="0026329D" w:rsidTr="00F4375C">
        <w:trPr>
          <w:trHeight w:val="134"/>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HCFC-124</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0.00</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0.86</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0.86</w:t>
            </w:r>
          </w:p>
        </w:tc>
      </w:tr>
      <w:tr w:rsidR="00BD506F" w:rsidRPr="0026329D" w:rsidTr="00F4375C">
        <w:trPr>
          <w:trHeight w:val="161"/>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HCFC-141</w:t>
            </w:r>
            <w:r w:rsidR="00E61F32" w:rsidRPr="0026329D">
              <w:rPr>
                <w:color w:val="000000"/>
                <w:sz w:val="21"/>
                <w:szCs w:val="21"/>
                <w:lang w:val="en-CA"/>
              </w:rPr>
              <w:t>b</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4,187.18</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4,187.18</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0.00</w:t>
            </w:r>
          </w:p>
        </w:tc>
      </w:tr>
      <w:tr w:rsidR="00BD506F" w:rsidRPr="0026329D" w:rsidTr="00F4375C">
        <w:trPr>
          <w:trHeight w:val="107"/>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HCFC-142b</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646.02</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727.87</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81.85</w:t>
            </w:r>
          </w:p>
        </w:tc>
      </w:tr>
      <w:tr w:rsidR="00BD506F" w:rsidRPr="0026329D" w:rsidTr="00F4375C">
        <w:trPr>
          <w:trHeight w:val="206"/>
        </w:trPr>
        <w:tc>
          <w:tcPr>
            <w:tcW w:w="1250" w:type="pct"/>
            <w:shd w:val="clear" w:color="auto" w:fill="auto"/>
            <w:noWrap/>
            <w:vAlign w:val="center"/>
            <w:hideMark/>
          </w:tcPr>
          <w:p w:rsidR="00BD506F" w:rsidRPr="0026329D" w:rsidRDefault="00BD506F" w:rsidP="00425F95">
            <w:pPr>
              <w:jc w:val="left"/>
              <w:rPr>
                <w:color w:val="000000"/>
                <w:sz w:val="21"/>
                <w:szCs w:val="21"/>
                <w:lang w:val="en-CA"/>
              </w:rPr>
            </w:pPr>
            <w:r w:rsidRPr="0026329D">
              <w:rPr>
                <w:color w:val="000000"/>
                <w:sz w:val="21"/>
                <w:szCs w:val="21"/>
                <w:lang w:val="en-CA"/>
              </w:rPr>
              <w:t>HCFC-225</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1.13</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1.13</w:t>
            </w:r>
          </w:p>
        </w:tc>
        <w:tc>
          <w:tcPr>
            <w:tcW w:w="1250" w:type="pct"/>
            <w:shd w:val="clear" w:color="auto" w:fill="auto"/>
            <w:noWrap/>
            <w:tcMar>
              <w:left w:w="115" w:type="dxa"/>
              <w:right w:w="288" w:type="dxa"/>
            </w:tcMar>
            <w:hideMark/>
          </w:tcPr>
          <w:p w:rsidR="00BD506F" w:rsidRPr="0026329D" w:rsidRDefault="00BD506F" w:rsidP="00425F95">
            <w:pPr>
              <w:jc w:val="right"/>
              <w:rPr>
                <w:color w:val="000000"/>
                <w:sz w:val="21"/>
                <w:szCs w:val="21"/>
                <w:lang w:val="en-CA"/>
              </w:rPr>
            </w:pPr>
            <w:r w:rsidRPr="0026329D">
              <w:rPr>
                <w:color w:val="000000"/>
                <w:sz w:val="21"/>
                <w:szCs w:val="21"/>
                <w:lang w:val="en-CA"/>
              </w:rPr>
              <w:t>0.00</w:t>
            </w:r>
          </w:p>
        </w:tc>
      </w:tr>
    </w:tbl>
    <w:p w:rsidR="00BD506F" w:rsidRPr="0026329D" w:rsidRDefault="00BD506F" w:rsidP="00BD506F">
      <w:pPr>
        <w:rPr>
          <w:sz w:val="20"/>
          <w:szCs w:val="20"/>
          <w:lang w:val="en-CA"/>
        </w:rPr>
      </w:pPr>
      <w:r w:rsidRPr="0026329D">
        <w:rPr>
          <w:sz w:val="20"/>
          <w:szCs w:val="20"/>
          <w:lang w:val="en-CA"/>
        </w:rPr>
        <w:t xml:space="preserve">* Total phase-out to be achieved under the revised </w:t>
      </w:r>
      <w:r w:rsidR="00A81DEE" w:rsidRPr="0026329D">
        <w:rPr>
          <w:sz w:val="20"/>
          <w:szCs w:val="20"/>
          <w:lang w:val="en-CA"/>
        </w:rPr>
        <w:t>stage </w:t>
      </w:r>
      <w:r w:rsidRPr="0026329D">
        <w:rPr>
          <w:sz w:val="20"/>
          <w:szCs w:val="20"/>
          <w:lang w:val="en-CA"/>
        </w:rPr>
        <w:t>II of the HPMP.</w:t>
      </w:r>
    </w:p>
    <w:p w:rsidR="00BD506F" w:rsidRPr="0026329D" w:rsidRDefault="00BD506F" w:rsidP="00BD506F">
      <w:pPr>
        <w:rPr>
          <w:lang w:val="en-CA"/>
        </w:rPr>
      </w:pPr>
    </w:p>
    <w:p w:rsidR="00F4375C" w:rsidRPr="0026329D" w:rsidRDefault="00F4375C" w:rsidP="00F4375C">
      <w:pPr>
        <w:pStyle w:val="Heading1"/>
        <w:numPr>
          <w:ilvl w:val="0"/>
          <w:numId w:val="0"/>
        </w:numPr>
        <w:rPr>
          <w:u w:val="single"/>
          <w:lang w:val="en-CA"/>
        </w:rPr>
      </w:pPr>
      <w:r w:rsidRPr="0026329D">
        <w:rPr>
          <w:u w:val="single"/>
          <w:lang w:val="en-CA"/>
        </w:rPr>
        <w:t>Funds allocation and approaches proposed per sector (2021-2026)</w:t>
      </w:r>
    </w:p>
    <w:p w:rsidR="00F4375C" w:rsidRPr="0026329D" w:rsidRDefault="00A2636B" w:rsidP="00425F95">
      <w:pPr>
        <w:pStyle w:val="Heading1"/>
        <w:rPr>
          <w:lang w:val="en-CA"/>
        </w:rPr>
      </w:pPr>
      <w:r w:rsidRPr="0026329D">
        <w:rPr>
          <w:lang w:val="en-CA"/>
        </w:rPr>
        <w:t xml:space="preserve">As a result of </w:t>
      </w:r>
      <w:r w:rsidR="00A81DEE" w:rsidRPr="0026329D">
        <w:rPr>
          <w:lang w:val="en-CA"/>
        </w:rPr>
        <w:t>decision </w:t>
      </w:r>
      <w:r w:rsidRPr="0026329D">
        <w:rPr>
          <w:lang w:val="en-CA"/>
        </w:rPr>
        <w:t xml:space="preserve">84/69, funding for </w:t>
      </w:r>
      <w:r w:rsidR="00A81DEE" w:rsidRPr="0026329D">
        <w:rPr>
          <w:lang w:val="en-CA"/>
        </w:rPr>
        <w:t>stage </w:t>
      </w:r>
      <w:r w:rsidRPr="0026329D">
        <w:rPr>
          <w:lang w:val="en-CA"/>
        </w:rPr>
        <w:t xml:space="preserve">II of the HPMP was adjusted from US $500,100,000 </w:t>
      </w:r>
      <w:r w:rsidR="00752974" w:rsidRPr="0026329D">
        <w:rPr>
          <w:lang w:val="en-CA"/>
        </w:rPr>
        <w:t xml:space="preserve">approved in principle </w:t>
      </w:r>
      <w:r w:rsidRPr="0026329D">
        <w:rPr>
          <w:lang w:val="en-CA"/>
        </w:rPr>
        <w:t xml:space="preserve">to US $247,419,890. </w:t>
      </w:r>
      <w:r w:rsidR="00F4375C" w:rsidRPr="0026329D">
        <w:rPr>
          <w:lang w:val="en-CA"/>
        </w:rPr>
        <w:t xml:space="preserve">Prior to the </w:t>
      </w:r>
      <w:r w:rsidR="00CA1844" w:rsidRPr="0026329D">
        <w:rPr>
          <w:lang w:val="en-CA"/>
        </w:rPr>
        <w:t>85</w:t>
      </w:r>
      <w:r w:rsidR="00CA1844" w:rsidRPr="0026329D">
        <w:rPr>
          <w:vertAlign w:val="superscript"/>
          <w:lang w:val="en-CA"/>
        </w:rPr>
        <w:t>th</w:t>
      </w:r>
      <w:r w:rsidR="009B3FC3" w:rsidRPr="0026329D">
        <w:rPr>
          <w:lang w:val="en-CA"/>
        </w:rPr>
        <w:t> meeting</w:t>
      </w:r>
      <w:r w:rsidR="00F4375C" w:rsidRPr="0026329D">
        <w:rPr>
          <w:lang w:val="en-CA"/>
        </w:rPr>
        <w:t xml:space="preserve">, US $102,419,890 </w:t>
      </w:r>
      <w:r w:rsidRPr="0026329D">
        <w:rPr>
          <w:lang w:val="en-CA"/>
        </w:rPr>
        <w:t xml:space="preserve">was </w:t>
      </w:r>
      <w:r w:rsidR="00F4375C" w:rsidRPr="0026329D">
        <w:rPr>
          <w:lang w:val="en-CA"/>
        </w:rPr>
        <w:t>approved for tranches of the six sector plans</w:t>
      </w:r>
      <w:r w:rsidR="00752974" w:rsidRPr="0026329D">
        <w:rPr>
          <w:lang w:val="en-CA"/>
        </w:rPr>
        <w:t xml:space="preserve">, and </w:t>
      </w:r>
      <w:r w:rsidR="0019615D" w:rsidRPr="0026329D">
        <w:rPr>
          <w:lang w:val="en-CA"/>
        </w:rPr>
        <w:t xml:space="preserve">an </w:t>
      </w:r>
      <w:r w:rsidR="00752974" w:rsidRPr="0026329D">
        <w:rPr>
          <w:lang w:val="en-CA"/>
        </w:rPr>
        <w:t xml:space="preserve">additional US $27,000,000 was approved for tranches of the PU foam, </w:t>
      </w:r>
      <w:r w:rsidR="00F4375C" w:rsidRPr="0026329D">
        <w:rPr>
          <w:lang w:val="en-CA"/>
        </w:rPr>
        <w:t>XPS foam, ICR, and solvent sector plans</w:t>
      </w:r>
      <w:r w:rsidR="00A601D9" w:rsidRPr="0026329D">
        <w:rPr>
          <w:lang w:val="en-CA"/>
        </w:rPr>
        <w:t xml:space="preserve"> at the 85</w:t>
      </w:r>
      <w:r w:rsidR="00A601D9" w:rsidRPr="0026329D">
        <w:rPr>
          <w:vertAlign w:val="superscript"/>
          <w:lang w:val="en-CA"/>
        </w:rPr>
        <w:t>th</w:t>
      </w:r>
      <w:r w:rsidR="009B3FC3" w:rsidRPr="0026329D">
        <w:rPr>
          <w:lang w:val="en-CA"/>
        </w:rPr>
        <w:t> meeting</w:t>
      </w:r>
      <w:r w:rsidR="00752974" w:rsidRPr="0026329D">
        <w:rPr>
          <w:lang w:val="en-CA"/>
        </w:rPr>
        <w:t xml:space="preserve">, bringing the total funding </w:t>
      </w:r>
      <w:r w:rsidR="0019615D" w:rsidRPr="0026329D">
        <w:rPr>
          <w:lang w:val="en-CA"/>
        </w:rPr>
        <w:t xml:space="preserve">so far </w:t>
      </w:r>
      <w:r w:rsidR="00752974" w:rsidRPr="0026329D">
        <w:rPr>
          <w:lang w:val="en-CA"/>
        </w:rPr>
        <w:t xml:space="preserve">approved </w:t>
      </w:r>
      <w:r w:rsidR="00F4375C" w:rsidRPr="0026329D">
        <w:rPr>
          <w:lang w:val="en-CA"/>
        </w:rPr>
        <w:t xml:space="preserve">to US $129,419,890. </w:t>
      </w:r>
      <w:r w:rsidR="00A601D9" w:rsidRPr="0026329D">
        <w:rPr>
          <w:lang w:val="en-CA"/>
        </w:rPr>
        <w:t>Accordingly, the balance available for activities between 2021 and 2026 amounts to US $118,000,000.</w:t>
      </w:r>
    </w:p>
    <w:p w:rsidR="00F4375C" w:rsidRPr="0026329D" w:rsidRDefault="00A601D9" w:rsidP="00425F95">
      <w:pPr>
        <w:pStyle w:val="Heading1"/>
        <w:rPr>
          <w:lang w:val="en-CA"/>
        </w:rPr>
      </w:pPr>
      <w:r w:rsidRPr="0026329D">
        <w:rPr>
          <w:lang w:val="en-CA"/>
        </w:rPr>
        <w:t xml:space="preserve">For allocating the balance available </w:t>
      </w:r>
      <w:r w:rsidR="00F4375C" w:rsidRPr="0026329D">
        <w:rPr>
          <w:lang w:val="en-CA"/>
        </w:rPr>
        <w:t xml:space="preserve">among the sector plans, </w:t>
      </w:r>
      <w:r w:rsidRPr="0026329D">
        <w:rPr>
          <w:lang w:val="en-CA"/>
        </w:rPr>
        <w:t xml:space="preserve">the Government took </w:t>
      </w:r>
      <w:r w:rsidR="00F4375C" w:rsidRPr="0026329D">
        <w:rPr>
          <w:lang w:val="en-CA"/>
        </w:rPr>
        <w:t>into consideration the specific situation of each sector, including amounts of HCFCs to be phased out</w:t>
      </w:r>
      <w:r w:rsidR="00244F6B" w:rsidRPr="0026329D">
        <w:rPr>
          <w:lang w:val="en-CA"/>
        </w:rPr>
        <w:t>,</w:t>
      </w:r>
      <w:r w:rsidR="00F4375C" w:rsidRPr="0026329D">
        <w:rPr>
          <w:lang w:val="en-CA"/>
        </w:rPr>
        <w:t xml:space="preserve"> cost-effectiveness approved in previous sector plans</w:t>
      </w:r>
      <w:r w:rsidR="00244F6B" w:rsidRPr="0026329D">
        <w:rPr>
          <w:lang w:val="en-CA"/>
        </w:rPr>
        <w:t>,</w:t>
      </w:r>
      <w:r w:rsidR="00F4375C" w:rsidRPr="0026329D">
        <w:rPr>
          <w:lang w:val="en-CA"/>
        </w:rPr>
        <w:t xml:space="preserve"> the implementation progress achieved</w:t>
      </w:r>
      <w:r w:rsidR="00244F6B" w:rsidRPr="0026329D">
        <w:rPr>
          <w:lang w:val="en-CA"/>
        </w:rPr>
        <w:t>,</w:t>
      </w:r>
      <w:r w:rsidR="00F4375C" w:rsidRPr="0026329D">
        <w:rPr>
          <w:lang w:val="en-CA"/>
        </w:rPr>
        <w:t xml:space="preserve"> alternative technology maturity</w:t>
      </w:r>
      <w:r w:rsidR="00244F6B" w:rsidRPr="0026329D">
        <w:rPr>
          <w:lang w:val="en-CA"/>
        </w:rPr>
        <w:t>,</w:t>
      </w:r>
      <w:r w:rsidR="00F4375C" w:rsidRPr="0026329D">
        <w:rPr>
          <w:lang w:val="en-CA"/>
        </w:rPr>
        <w:t xml:space="preserve"> and the challenges being faced. </w:t>
      </w:r>
    </w:p>
    <w:p w:rsidR="006A0413" w:rsidRPr="0026329D" w:rsidRDefault="006A0413" w:rsidP="006A0413">
      <w:pPr>
        <w:pStyle w:val="Heading1"/>
        <w:rPr>
          <w:lang w:val="en-CA"/>
        </w:rPr>
      </w:pPr>
      <w:r w:rsidRPr="0026329D">
        <w:rPr>
          <w:lang w:val="en-CA"/>
        </w:rPr>
        <w:t>The Government will be allocating approximately 10</w:t>
      </w:r>
      <w:r w:rsidR="00A81DEE" w:rsidRPr="0026329D">
        <w:rPr>
          <w:lang w:val="en-CA"/>
        </w:rPr>
        <w:t> per cent</w:t>
      </w:r>
      <w:r w:rsidRPr="0026329D">
        <w:rPr>
          <w:lang w:val="en-CA"/>
        </w:rPr>
        <w:t xml:space="preserve"> of the funding available for activities related to policy development and revision, sectoral coordination, international exchange and cooperation, and capacity building at both the national level and sector level. The activities included in each sector are described in more detail in each revised plan of action contained Part III of the present document. </w:t>
      </w:r>
    </w:p>
    <w:p w:rsidR="00DF259B" w:rsidRPr="0026329D" w:rsidRDefault="00A601D9" w:rsidP="00DF259B">
      <w:pPr>
        <w:pStyle w:val="Heading1"/>
        <w:rPr>
          <w:lang w:val="en-CA"/>
        </w:rPr>
      </w:pPr>
      <w:r w:rsidRPr="0026329D">
        <w:rPr>
          <w:lang w:val="en-CA"/>
        </w:rPr>
        <w:t xml:space="preserve">In the case of the </w:t>
      </w:r>
      <w:r w:rsidR="00DF259B" w:rsidRPr="0026329D">
        <w:rPr>
          <w:lang w:val="en-CA"/>
        </w:rPr>
        <w:t>ICR and RAC sector</w:t>
      </w:r>
      <w:r w:rsidRPr="0026329D">
        <w:rPr>
          <w:lang w:val="en-CA"/>
        </w:rPr>
        <w:t xml:space="preserve"> plans, due consideration wa</w:t>
      </w:r>
      <w:r w:rsidR="004A7E96" w:rsidRPr="0026329D">
        <w:rPr>
          <w:lang w:val="en-CA"/>
        </w:rPr>
        <w:t>s given to the additional phase</w:t>
      </w:r>
      <w:r w:rsidR="004A7E96" w:rsidRPr="0026329D">
        <w:rPr>
          <w:lang w:val="en-CA"/>
        </w:rPr>
        <w:noBreakHyphen/>
      </w:r>
      <w:r w:rsidRPr="0026329D">
        <w:rPr>
          <w:lang w:val="en-CA"/>
        </w:rPr>
        <w:t>out of HCFCs to be</w:t>
      </w:r>
      <w:r w:rsidR="00136D35" w:rsidRPr="0026329D">
        <w:rPr>
          <w:lang w:val="en-CA"/>
        </w:rPr>
        <w:t xml:space="preserve"> achieved between 2021 and 2026</w:t>
      </w:r>
      <w:r w:rsidRPr="0026329D">
        <w:rPr>
          <w:lang w:val="en-CA"/>
        </w:rPr>
        <w:t xml:space="preserve">. A summary of the adjustments in HCFC consumption targets, and funding tranches for the ICR and RAC sector plans </w:t>
      </w:r>
      <w:r w:rsidR="00DF259B" w:rsidRPr="0026329D">
        <w:rPr>
          <w:lang w:val="en-CA"/>
        </w:rPr>
        <w:t>is presented in Table</w:t>
      </w:r>
      <w:r w:rsidRPr="0026329D">
        <w:rPr>
          <w:lang w:val="en-CA"/>
        </w:rPr>
        <w:t xml:space="preserve"> 4</w:t>
      </w:r>
      <w:r w:rsidR="00DF259B" w:rsidRPr="0026329D">
        <w:rPr>
          <w:lang w:val="en-CA"/>
        </w:rPr>
        <w:t xml:space="preserve">. </w:t>
      </w:r>
    </w:p>
    <w:p w:rsidR="00DF259B" w:rsidRPr="0026329D" w:rsidRDefault="00DF259B" w:rsidP="00DF259B">
      <w:pPr>
        <w:pStyle w:val="Heading1"/>
        <w:numPr>
          <w:ilvl w:val="0"/>
          <w:numId w:val="0"/>
        </w:numPr>
        <w:spacing w:after="0"/>
        <w:rPr>
          <w:b/>
          <w:sz w:val="21"/>
          <w:szCs w:val="21"/>
          <w:lang w:val="en-CA"/>
        </w:rPr>
      </w:pPr>
      <w:r w:rsidRPr="0026329D">
        <w:rPr>
          <w:b/>
          <w:sz w:val="21"/>
          <w:szCs w:val="21"/>
          <w:lang w:val="en-CA"/>
        </w:rPr>
        <w:t>Table </w:t>
      </w:r>
      <w:r w:rsidR="00BC39C1" w:rsidRPr="0026329D">
        <w:rPr>
          <w:b/>
          <w:sz w:val="21"/>
          <w:szCs w:val="21"/>
          <w:lang w:val="en-CA"/>
        </w:rPr>
        <w:t>4</w:t>
      </w:r>
      <w:r w:rsidRPr="0026329D">
        <w:rPr>
          <w:b/>
          <w:sz w:val="21"/>
          <w:szCs w:val="21"/>
          <w:lang w:val="en-CA"/>
        </w:rPr>
        <w:t>. HCFC consumption targets and adjusted funding tranches for the ICR and RAC sectors</w:t>
      </w:r>
    </w:p>
    <w:tbl>
      <w:tblPr>
        <w:tblW w:w="5000" w:type="pct"/>
        <w:tblLayout w:type="fixed"/>
        <w:tblLook w:val="04A0" w:firstRow="1" w:lastRow="0" w:firstColumn="1" w:lastColumn="0" w:noHBand="0" w:noVBand="1"/>
      </w:tblPr>
      <w:tblGrid>
        <w:gridCol w:w="816"/>
        <w:gridCol w:w="1078"/>
        <w:gridCol w:w="1078"/>
        <w:gridCol w:w="1078"/>
        <w:gridCol w:w="1078"/>
        <w:gridCol w:w="1078"/>
        <w:gridCol w:w="1078"/>
        <w:gridCol w:w="1078"/>
        <w:gridCol w:w="1078"/>
      </w:tblGrid>
      <w:tr w:rsidR="00DF259B" w:rsidRPr="0026329D" w:rsidTr="00A601D9">
        <w:trPr>
          <w:trHeight w:val="89"/>
          <w:tblHeader/>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9B" w:rsidRPr="0026329D" w:rsidRDefault="00DF259B" w:rsidP="00A601D9">
            <w:pPr>
              <w:jc w:val="left"/>
              <w:rPr>
                <w:b/>
                <w:bCs/>
                <w:color w:val="000000"/>
                <w:sz w:val="20"/>
                <w:szCs w:val="20"/>
                <w:lang w:val="en-CA"/>
              </w:rPr>
            </w:pPr>
            <w:r w:rsidRPr="0026329D">
              <w:rPr>
                <w:b/>
                <w:bCs/>
                <w:color w:val="000000"/>
                <w:sz w:val="20"/>
                <w:szCs w:val="20"/>
                <w:lang w:val="en-CA"/>
              </w:rPr>
              <w:t>Year</w:t>
            </w:r>
          </w:p>
        </w:tc>
        <w:tc>
          <w:tcPr>
            <w:tcW w:w="2284" w:type="pct"/>
            <w:gridSpan w:val="4"/>
            <w:tcBorders>
              <w:top w:val="single" w:sz="4" w:space="0" w:color="auto"/>
              <w:left w:val="nil"/>
              <w:bottom w:val="single" w:sz="4" w:space="0" w:color="auto"/>
              <w:right w:val="single" w:sz="4" w:space="0" w:color="auto"/>
            </w:tcBorders>
            <w:shd w:val="clear" w:color="auto" w:fill="auto"/>
            <w:noWrap/>
            <w:hideMark/>
          </w:tcPr>
          <w:p w:rsidR="00DF259B" w:rsidRPr="0026329D" w:rsidRDefault="00DF259B" w:rsidP="00425F95">
            <w:pPr>
              <w:jc w:val="center"/>
              <w:rPr>
                <w:b/>
                <w:bCs/>
                <w:color w:val="000000"/>
                <w:sz w:val="20"/>
                <w:szCs w:val="20"/>
                <w:lang w:val="en-CA"/>
              </w:rPr>
            </w:pPr>
            <w:r w:rsidRPr="0026329D">
              <w:rPr>
                <w:b/>
                <w:sz w:val="20"/>
                <w:szCs w:val="20"/>
                <w:lang w:val="en-CA"/>
              </w:rPr>
              <w:t>ICR sector plan</w:t>
            </w:r>
          </w:p>
        </w:tc>
        <w:tc>
          <w:tcPr>
            <w:tcW w:w="2284" w:type="pct"/>
            <w:gridSpan w:val="4"/>
            <w:tcBorders>
              <w:top w:val="single" w:sz="4" w:space="0" w:color="auto"/>
              <w:left w:val="nil"/>
              <w:bottom w:val="single" w:sz="4" w:space="0" w:color="auto"/>
              <w:right w:val="single" w:sz="4" w:space="0" w:color="auto"/>
            </w:tcBorders>
            <w:shd w:val="clear" w:color="auto" w:fill="auto"/>
            <w:noWrap/>
            <w:hideMark/>
          </w:tcPr>
          <w:p w:rsidR="00DF259B" w:rsidRPr="0026329D" w:rsidRDefault="00DF259B" w:rsidP="00425F95">
            <w:pPr>
              <w:jc w:val="center"/>
              <w:rPr>
                <w:b/>
                <w:bCs/>
                <w:color w:val="000000"/>
                <w:sz w:val="20"/>
                <w:szCs w:val="20"/>
                <w:lang w:val="en-CA"/>
              </w:rPr>
            </w:pPr>
            <w:r w:rsidRPr="0026329D">
              <w:rPr>
                <w:b/>
                <w:sz w:val="20"/>
                <w:szCs w:val="20"/>
                <w:lang w:val="en-CA"/>
              </w:rPr>
              <w:t>RAC sector plan</w:t>
            </w:r>
          </w:p>
        </w:tc>
      </w:tr>
      <w:tr w:rsidR="00DF259B" w:rsidRPr="0026329D" w:rsidTr="00A601D9">
        <w:trPr>
          <w:trHeight w:val="263"/>
          <w:tblHeader/>
        </w:trPr>
        <w:tc>
          <w:tcPr>
            <w:tcW w:w="432" w:type="pct"/>
            <w:vMerge/>
            <w:tcBorders>
              <w:top w:val="single" w:sz="4" w:space="0" w:color="auto"/>
              <w:left w:val="single" w:sz="4" w:space="0" w:color="auto"/>
              <w:bottom w:val="single" w:sz="4" w:space="0" w:color="000000"/>
              <w:right w:val="single" w:sz="4" w:space="0" w:color="auto"/>
            </w:tcBorders>
            <w:hideMark/>
          </w:tcPr>
          <w:p w:rsidR="00DF259B" w:rsidRPr="0026329D" w:rsidRDefault="00DF259B" w:rsidP="00425F95">
            <w:pPr>
              <w:jc w:val="left"/>
              <w:rPr>
                <w:b/>
                <w:bCs/>
                <w:color w:val="000000"/>
                <w:sz w:val="20"/>
                <w:szCs w:val="20"/>
                <w:lang w:val="en-CA"/>
              </w:rPr>
            </w:pP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Maximum allowable consumption</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Funding (US $)</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Maximum allowable consumption</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Funding (US $)</w:t>
            </w:r>
          </w:p>
        </w:tc>
      </w:tr>
      <w:tr w:rsidR="00DF259B" w:rsidRPr="0026329D" w:rsidTr="00A601D9">
        <w:trPr>
          <w:trHeight w:val="80"/>
        </w:trPr>
        <w:tc>
          <w:tcPr>
            <w:tcW w:w="432" w:type="pct"/>
            <w:vMerge/>
            <w:tcBorders>
              <w:top w:val="single" w:sz="4" w:space="0" w:color="auto"/>
              <w:left w:val="single" w:sz="4" w:space="0" w:color="auto"/>
              <w:bottom w:val="single" w:sz="4" w:space="0" w:color="000000"/>
              <w:right w:val="single" w:sz="4" w:space="0" w:color="auto"/>
            </w:tcBorders>
            <w:hideMark/>
          </w:tcPr>
          <w:p w:rsidR="00DF259B" w:rsidRPr="0026329D" w:rsidRDefault="00DF259B" w:rsidP="00425F95">
            <w:pPr>
              <w:jc w:val="lef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Original</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Revised</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bCs/>
                <w:color w:val="000000"/>
                <w:sz w:val="20"/>
                <w:szCs w:val="20"/>
                <w:lang w:val="en-CA"/>
              </w:rPr>
              <w:t>Original</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Revised</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sz w:val="20"/>
                <w:szCs w:val="20"/>
                <w:lang w:val="en-CA"/>
              </w:rPr>
              <w:t>Original</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bCs/>
                <w:color w:val="000000"/>
                <w:sz w:val="20"/>
                <w:szCs w:val="20"/>
                <w:lang w:val="en-CA"/>
              </w:rPr>
              <w:t>Revised</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bCs/>
                <w:color w:val="000000"/>
                <w:sz w:val="20"/>
                <w:szCs w:val="20"/>
                <w:lang w:val="en-CA"/>
              </w:rPr>
              <w:t>Original</w:t>
            </w:r>
          </w:p>
        </w:tc>
        <w:tc>
          <w:tcPr>
            <w:tcW w:w="571"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20"/>
                <w:szCs w:val="20"/>
                <w:lang w:val="en-CA"/>
              </w:rPr>
            </w:pPr>
            <w:r w:rsidRPr="0026329D">
              <w:rPr>
                <w:b/>
                <w:bCs/>
                <w:color w:val="000000"/>
                <w:sz w:val="20"/>
                <w:szCs w:val="20"/>
                <w:lang w:val="en-CA"/>
              </w:rPr>
              <w:t>Revised</w:t>
            </w:r>
          </w:p>
        </w:tc>
      </w:tr>
      <w:tr w:rsidR="00DF259B" w:rsidRPr="0026329D" w:rsidTr="00A601D9">
        <w:trPr>
          <w:trHeight w:val="53"/>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2016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2,162.50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2,162.50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13,368,756</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13,368,756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3,697.70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3,697.70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15,562,981</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15,562,981</w:t>
            </w:r>
          </w:p>
        </w:tc>
      </w:tr>
      <w:tr w:rsidR="00DF259B" w:rsidRPr="0026329D" w:rsidTr="00A601D9">
        <w:trPr>
          <w:trHeight w:val="98"/>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2017</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2,162.50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2,162.50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20,000,000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20,000,000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3,697.70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3,697.70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20"/>
                <w:szCs w:val="20"/>
                <w:lang w:val="en-CA"/>
              </w:rPr>
            </w:pPr>
            <w:r w:rsidRPr="0026329D">
              <w:rPr>
                <w:sz w:val="20"/>
                <w:szCs w:val="20"/>
                <w:lang w:val="en-CA"/>
              </w:rPr>
              <w:t>16,000,000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16,000,000</w:t>
            </w:r>
          </w:p>
        </w:tc>
      </w:tr>
      <w:tr w:rsidR="00DF259B" w:rsidRPr="0026329D" w:rsidTr="00A601D9">
        <w:trPr>
          <w:trHeight w:val="62"/>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2018</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2,042.40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2,042.40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12,000,000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2,876.00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2,876.00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20"/>
                <w:szCs w:val="20"/>
                <w:lang w:val="en-CA"/>
              </w:rPr>
            </w:pPr>
            <w:r w:rsidRPr="0026329D">
              <w:rPr>
                <w:sz w:val="20"/>
                <w:szCs w:val="20"/>
                <w:lang w:val="en-CA"/>
              </w:rPr>
              <w:t>18,000,000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2019</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2,042.40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2,042.40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2,876.00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2,876.00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20"/>
                <w:szCs w:val="20"/>
                <w:lang w:val="en-CA"/>
              </w:rPr>
            </w:pPr>
            <w:r w:rsidRPr="0026329D">
              <w:rPr>
                <w:sz w:val="20"/>
                <w:szCs w:val="20"/>
                <w:lang w:val="en-CA"/>
              </w:rPr>
              <w:t>14,000,000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1,609.90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2,095,775</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2,259.70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20"/>
                <w:szCs w:val="20"/>
                <w:lang w:val="en-CA"/>
              </w:rPr>
            </w:pPr>
            <w:r w:rsidRPr="0026329D">
              <w:rPr>
                <w:sz w:val="20"/>
                <w:szCs w:val="20"/>
                <w:lang w:val="en-CA"/>
              </w:rPr>
              <w:t>14,000,000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r>
      <w:tr w:rsidR="00DF259B" w:rsidRPr="0026329D" w:rsidTr="00A601D9">
        <w:trPr>
          <w:trHeight w:val="44"/>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2021</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1,609.90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11,776,041</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9,000,000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sz w:val="20"/>
                <w:szCs w:val="20"/>
                <w:lang w:val="en-CA"/>
              </w:rPr>
            </w:pPr>
            <w:r w:rsidRPr="0026329D">
              <w:rPr>
                <w:sz w:val="20"/>
                <w:szCs w:val="20"/>
                <w:lang w:val="en-CA"/>
              </w:rPr>
              <w:t>11,581,816</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4,500,000</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2022</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2,259.70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2023</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1,369.62</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8,000,000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1,614.10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7,000,000</w:t>
            </w:r>
          </w:p>
        </w:tc>
      </w:tr>
      <w:tr w:rsidR="00DF259B" w:rsidRPr="0026329D" w:rsidTr="00A601D9">
        <w:trPr>
          <w:trHeight w:val="107"/>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2024</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1,369.62</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1,614.10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0</w:t>
            </w:r>
          </w:p>
        </w:tc>
      </w:tr>
      <w:tr w:rsidR="00DF259B" w:rsidRPr="0026329D" w:rsidTr="00A601D9">
        <w:trPr>
          <w:trHeight w:val="7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2025</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780.91</w:t>
            </w:r>
          </w:p>
        </w:tc>
        <w:tc>
          <w:tcPr>
            <w:tcW w:w="571" w:type="pct"/>
            <w:tcBorders>
              <w:top w:val="nil"/>
              <w:left w:val="nil"/>
              <w:bottom w:val="single" w:sz="4" w:space="0" w:color="auto"/>
              <w:right w:val="nil"/>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7,559,464</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1,232.60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8,717,105</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hideMark/>
          </w:tcPr>
          <w:p w:rsidR="00DF259B" w:rsidRPr="0026329D" w:rsidRDefault="00DF259B" w:rsidP="00A601D9">
            <w:pPr>
              <w:jc w:val="center"/>
              <w:rPr>
                <w:color w:val="000000"/>
                <w:sz w:val="20"/>
                <w:szCs w:val="20"/>
                <w:lang w:val="en-CA"/>
              </w:rPr>
            </w:pPr>
            <w:r w:rsidRPr="0026329D">
              <w:rPr>
                <w:color w:val="000000"/>
                <w:sz w:val="20"/>
                <w:szCs w:val="20"/>
                <w:lang w:val="en-CA"/>
              </w:rPr>
              <w:t>2026</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780.91</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8,134,246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sz w:val="20"/>
                <w:szCs w:val="20"/>
                <w:lang w:val="en-CA"/>
              </w:rPr>
              <w:t>1,232.60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20"/>
                <w:szCs w:val="20"/>
                <w:lang w:val="en-CA"/>
              </w:rPr>
            </w:pPr>
            <w:r w:rsidRPr="0026329D">
              <w:rPr>
                <w:color w:val="000000"/>
                <w:sz w:val="20"/>
                <w:szCs w:val="20"/>
                <w:lang w:val="en-CA"/>
              </w:rPr>
              <w:t>8,613,995</w:t>
            </w:r>
          </w:p>
        </w:tc>
      </w:tr>
      <w:tr w:rsidR="00DF259B" w:rsidRPr="0026329D" w:rsidTr="00A601D9">
        <w:trPr>
          <w:trHeight w:val="41"/>
        </w:trPr>
        <w:tc>
          <w:tcPr>
            <w:tcW w:w="432" w:type="pct"/>
            <w:tcBorders>
              <w:top w:val="nil"/>
              <w:left w:val="single" w:sz="4" w:space="0" w:color="auto"/>
              <w:bottom w:val="single" w:sz="4" w:space="0" w:color="auto"/>
              <w:right w:val="single" w:sz="4" w:space="0" w:color="auto"/>
            </w:tcBorders>
            <w:shd w:val="clear" w:color="auto" w:fill="auto"/>
            <w:noWrap/>
            <w:hideMark/>
          </w:tcPr>
          <w:p w:rsidR="00DF259B" w:rsidRPr="0026329D" w:rsidRDefault="00DF259B" w:rsidP="00A601D9">
            <w:pPr>
              <w:jc w:val="center"/>
              <w:rPr>
                <w:b/>
                <w:bCs/>
                <w:color w:val="000000"/>
                <w:sz w:val="20"/>
                <w:szCs w:val="20"/>
                <w:lang w:val="en-CA"/>
              </w:rPr>
            </w:pPr>
            <w:r w:rsidRPr="0026329D">
              <w:rPr>
                <w:b/>
                <w:bCs/>
                <w:color w:val="000000"/>
                <w:sz w:val="20"/>
                <w:szCs w:val="20"/>
                <w:lang w:val="en-CA"/>
              </w:rPr>
              <w:t>Total</w:t>
            </w:r>
          </w:p>
        </w:tc>
        <w:tc>
          <w:tcPr>
            <w:tcW w:w="571" w:type="pct"/>
            <w:tcBorders>
              <w:top w:val="nil"/>
              <w:left w:val="nil"/>
              <w:bottom w:val="single" w:sz="4" w:space="0" w:color="auto"/>
              <w:right w:val="nil"/>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r w:rsidRPr="0026329D">
              <w:rPr>
                <w:b/>
                <w:bCs/>
                <w:color w:val="000000"/>
                <w:sz w:val="20"/>
                <w:szCs w:val="20"/>
                <w:lang w:val="en-CA"/>
              </w:rPr>
              <w:t>89,144,797</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b/>
                <w:bCs/>
                <w:color w:val="000000"/>
                <w:sz w:val="20"/>
                <w:szCs w:val="20"/>
                <w:lang w:val="en-CA"/>
              </w:rPr>
            </w:pPr>
            <w:r w:rsidRPr="0026329D">
              <w:rPr>
                <w:b/>
                <w:bCs/>
                <w:color w:val="000000"/>
                <w:sz w:val="20"/>
                <w:szCs w:val="20"/>
                <w:lang w:val="en-CA"/>
              </w:rPr>
              <w:t>68,158,241</w:t>
            </w:r>
          </w:p>
        </w:tc>
        <w:tc>
          <w:tcPr>
            <w:tcW w:w="571" w:type="pct"/>
            <w:tcBorders>
              <w:top w:val="nil"/>
              <w:left w:val="nil"/>
              <w:bottom w:val="single" w:sz="4" w:space="0" w:color="auto"/>
              <w:right w:val="single" w:sz="4" w:space="0" w:color="auto"/>
            </w:tcBorders>
            <w:shd w:val="clear" w:color="auto" w:fill="auto"/>
            <w:tcMar>
              <w:left w:w="0" w:type="dxa"/>
              <w:right w:w="115" w:type="dxa"/>
            </w:tcMar>
          </w:tcPr>
          <w:p w:rsidR="00DF259B" w:rsidRPr="0026329D" w:rsidRDefault="00DF259B" w:rsidP="00425F95">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r w:rsidRPr="0026329D">
              <w:rPr>
                <w:b/>
                <w:bCs/>
                <w:color w:val="000000"/>
                <w:sz w:val="20"/>
                <w:szCs w:val="20"/>
                <w:lang w:val="en-CA"/>
              </w:rPr>
              <w:t>89,144,797</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20"/>
                <w:szCs w:val="20"/>
                <w:lang w:val="en-CA"/>
              </w:rPr>
            </w:pPr>
            <w:r w:rsidRPr="0026329D">
              <w:rPr>
                <w:b/>
                <w:bCs/>
                <w:color w:val="000000"/>
                <w:sz w:val="20"/>
                <w:szCs w:val="20"/>
                <w:lang w:val="en-CA"/>
              </w:rPr>
              <w:t>60,394,081</w:t>
            </w:r>
          </w:p>
        </w:tc>
      </w:tr>
    </w:tbl>
    <w:p w:rsidR="00DF259B" w:rsidRPr="0026329D" w:rsidRDefault="00DF259B" w:rsidP="00DF259B">
      <w:pPr>
        <w:rPr>
          <w:b/>
          <w:sz w:val="19"/>
          <w:szCs w:val="19"/>
          <w:lang w:val="en-CA"/>
        </w:rPr>
      </w:pPr>
      <w:r w:rsidRPr="0026329D">
        <w:rPr>
          <w:sz w:val="19"/>
          <w:szCs w:val="19"/>
          <w:lang w:val="en-CA"/>
        </w:rPr>
        <w:t xml:space="preserve">*Not established at the time of approval of </w:t>
      </w:r>
      <w:r w:rsidR="00A81DEE" w:rsidRPr="0026329D">
        <w:rPr>
          <w:sz w:val="19"/>
          <w:szCs w:val="19"/>
          <w:lang w:val="en-CA"/>
        </w:rPr>
        <w:t>stage </w:t>
      </w:r>
      <w:r w:rsidRPr="0026329D">
        <w:rPr>
          <w:sz w:val="19"/>
          <w:szCs w:val="19"/>
          <w:lang w:val="en-CA"/>
        </w:rPr>
        <w:t>II.</w:t>
      </w:r>
    </w:p>
    <w:p w:rsidR="00DF259B" w:rsidRPr="0026329D" w:rsidRDefault="00DF259B" w:rsidP="00DF259B">
      <w:pPr>
        <w:rPr>
          <w:b/>
          <w:lang w:val="en-CA"/>
        </w:rPr>
      </w:pPr>
    </w:p>
    <w:p w:rsidR="00DF259B" w:rsidRPr="0026329D" w:rsidRDefault="00BC39C1" w:rsidP="00DF259B">
      <w:pPr>
        <w:pStyle w:val="Heading1"/>
        <w:rPr>
          <w:lang w:val="en-CA"/>
        </w:rPr>
      </w:pPr>
      <w:r w:rsidRPr="0026329D">
        <w:rPr>
          <w:lang w:val="en-CA"/>
        </w:rPr>
        <w:t>F</w:t>
      </w:r>
      <w:r w:rsidR="00DF259B" w:rsidRPr="0026329D">
        <w:rPr>
          <w:lang w:val="en-CA"/>
        </w:rPr>
        <w:t>or the XPS foam, PU foam</w:t>
      </w:r>
      <w:r w:rsidR="004A7E96" w:rsidRPr="0026329D">
        <w:rPr>
          <w:lang w:val="en-CA"/>
        </w:rPr>
        <w:t>,</w:t>
      </w:r>
      <w:r w:rsidR="00DF259B" w:rsidRPr="0026329D">
        <w:rPr>
          <w:lang w:val="en-CA"/>
        </w:rPr>
        <w:t xml:space="preserve"> solvent </w:t>
      </w:r>
      <w:r w:rsidRPr="0026329D">
        <w:rPr>
          <w:lang w:val="en-CA"/>
        </w:rPr>
        <w:t>sector plans</w:t>
      </w:r>
      <w:r w:rsidR="004A7E96" w:rsidRPr="0026329D">
        <w:rPr>
          <w:lang w:val="en-CA"/>
        </w:rPr>
        <w:t>,</w:t>
      </w:r>
      <w:r w:rsidRPr="0026329D">
        <w:rPr>
          <w:lang w:val="en-CA"/>
        </w:rPr>
        <w:t xml:space="preserve"> </w:t>
      </w:r>
      <w:r w:rsidR="00DF259B" w:rsidRPr="0026329D">
        <w:rPr>
          <w:lang w:val="en-CA"/>
        </w:rPr>
        <w:t xml:space="preserve">and </w:t>
      </w:r>
      <w:r w:rsidRPr="0026329D">
        <w:rPr>
          <w:lang w:val="en-CA"/>
        </w:rPr>
        <w:t xml:space="preserve">the </w:t>
      </w:r>
      <w:r w:rsidR="00DF259B" w:rsidRPr="0026329D">
        <w:rPr>
          <w:lang w:val="en-CA"/>
        </w:rPr>
        <w:t xml:space="preserve">refrigeration servicing sector </w:t>
      </w:r>
      <w:r w:rsidRPr="0026329D">
        <w:rPr>
          <w:lang w:val="en-CA"/>
        </w:rPr>
        <w:t>an</w:t>
      </w:r>
      <w:r w:rsidR="004A7E96" w:rsidRPr="0026329D">
        <w:rPr>
          <w:lang w:val="en-CA"/>
        </w:rPr>
        <w:t xml:space="preserve">d national </w:t>
      </w:r>
      <w:r w:rsidRPr="0026329D">
        <w:rPr>
          <w:lang w:val="en-CA"/>
        </w:rPr>
        <w:t>enabling</w:t>
      </w:r>
      <w:r w:rsidR="004A7E96" w:rsidRPr="0026329D">
        <w:rPr>
          <w:lang w:val="en-CA"/>
        </w:rPr>
        <w:t xml:space="preserve"> programme</w:t>
      </w:r>
      <w:r w:rsidRPr="0026329D">
        <w:rPr>
          <w:lang w:val="en-CA"/>
        </w:rPr>
        <w:t xml:space="preserve">, only </w:t>
      </w:r>
      <w:r w:rsidR="009A2BA2" w:rsidRPr="0026329D">
        <w:rPr>
          <w:lang w:val="en-CA"/>
        </w:rPr>
        <w:t xml:space="preserve">the </w:t>
      </w:r>
      <w:r w:rsidRPr="0026329D">
        <w:rPr>
          <w:lang w:val="en-CA"/>
        </w:rPr>
        <w:t xml:space="preserve">funding </w:t>
      </w:r>
      <w:r w:rsidR="009A2BA2" w:rsidRPr="0026329D">
        <w:rPr>
          <w:lang w:val="en-CA"/>
        </w:rPr>
        <w:t xml:space="preserve">level </w:t>
      </w:r>
      <w:r w:rsidRPr="0026329D">
        <w:rPr>
          <w:lang w:val="en-CA"/>
        </w:rPr>
        <w:t xml:space="preserve">was adjusted as shown in </w:t>
      </w:r>
      <w:r w:rsidR="00DF259B" w:rsidRPr="0026329D">
        <w:rPr>
          <w:lang w:val="en-CA"/>
        </w:rPr>
        <w:t>Table </w:t>
      </w:r>
      <w:r w:rsidRPr="0026329D">
        <w:rPr>
          <w:lang w:val="en-CA"/>
        </w:rPr>
        <w:t>5</w:t>
      </w:r>
      <w:r w:rsidR="00DF259B" w:rsidRPr="0026329D">
        <w:rPr>
          <w:lang w:val="en-CA"/>
        </w:rPr>
        <w:t xml:space="preserve">. </w:t>
      </w:r>
    </w:p>
    <w:p w:rsidR="00DF259B" w:rsidRPr="0026329D" w:rsidRDefault="00DF259B" w:rsidP="00DF259B">
      <w:pPr>
        <w:rPr>
          <w:b/>
          <w:sz w:val="21"/>
          <w:szCs w:val="21"/>
          <w:lang w:val="en-CA"/>
        </w:rPr>
      </w:pPr>
      <w:r w:rsidRPr="0026329D">
        <w:rPr>
          <w:b/>
          <w:sz w:val="21"/>
          <w:szCs w:val="21"/>
          <w:lang w:val="en-CA"/>
        </w:rPr>
        <w:t>Table </w:t>
      </w:r>
      <w:r w:rsidR="00BC39C1" w:rsidRPr="0026329D">
        <w:rPr>
          <w:b/>
          <w:sz w:val="21"/>
          <w:szCs w:val="21"/>
          <w:lang w:val="en-CA"/>
        </w:rPr>
        <w:t>5</w:t>
      </w:r>
      <w:r w:rsidRPr="0026329D">
        <w:rPr>
          <w:b/>
          <w:sz w:val="21"/>
          <w:szCs w:val="21"/>
          <w:lang w:val="en-CA"/>
        </w:rPr>
        <w:t>. Adjusted funding tranches XPS foam, PU foam, solvent and refrigeration servicing sector</w:t>
      </w:r>
      <w:r w:rsidR="00BC39C1" w:rsidRPr="0026329D">
        <w:rPr>
          <w:b/>
          <w:sz w:val="21"/>
          <w:szCs w:val="21"/>
          <w:lang w:val="en-CA"/>
        </w:rPr>
        <w:t xml:space="preserve"> (US $)</w:t>
      </w:r>
    </w:p>
    <w:tbl>
      <w:tblPr>
        <w:tblW w:w="5000" w:type="pct"/>
        <w:tblLayout w:type="fixed"/>
        <w:tblLook w:val="04A0" w:firstRow="1" w:lastRow="0" w:firstColumn="1" w:lastColumn="0" w:noHBand="0" w:noVBand="1"/>
      </w:tblPr>
      <w:tblGrid>
        <w:gridCol w:w="626"/>
        <w:gridCol w:w="1100"/>
        <w:gridCol w:w="1102"/>
        <w:gridCol w:w="1103"/>
        <w:gridCol w:w="1103"/>
        <w:gridCol w:w="1103"/>
        <w:gridCol w:w="1103"/>
        <w:gridCol w:w="1103"/>
        <w:gridCol w:w="1097"/>
      </w:tblGrid>
      <w:tr w:rsidR="00DF259B" w:rsidRPr="0026329D" w:rsidTr="00BC39C1">
        <w:trPr>
          <w:tblHeader/>
        </w:trPr>
        <w:tc>
          <w:tcPr>
            <w:tcW w:w="332" w:type="pct"/>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hideMark/>
          </w:tcPr>
          <w:p w:rsidR="00DF259B" w:rsidRPr="0026329D" w:rsidRDefault="00DF259B" w:rsidP="00A601D9">
            <w:pPr>
              <w:jc w:val="left"/>
              <w:rPr>
                <w:b/>
                <w:bCs/>
                <w:color w:val="000000"/>
                <w:sz w:val="19"/>
                <w:szCs w:val="19"/>
                <w:lang w:val="en-CA"/>
              </w:rPr>
            </w:pPr>
            <w:r w:rsidRPr="0026329D">
              <w:rPr>
                <w:b/>
                <w:bCs/>
                <w:color w:val="000000"/>
                <w:sz w:val="19"/>
                <w:szCs w:val="19"/>
                <w:lang w:val="en-CA"/>
              </w:rPr>
              <w:t>Year</w:t>
            </w:r>
          </w:p>
        </w:tc>
        <w:tc>
          <w:tcPr>
            <w:tcW w:w="1166"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BC39C1">
            <w:pPr>
              <w:jc w:val="center"/>
              <w:rPr>
                <w:b/>
                <w:bCs/>
                <w:color w:val="000000"/>
                <w:sz w:val="19"/>
                <w:szCs w:val="19"/>
                <w:lang w:val="en-CA"/>
              </w:rPr>
            </w:pPr>
            <w:r w:rsidRPr="0026329D">
              <w:rPr>
                <w:b/>
                <w:bCs/>
                <w:color w:val="000000"/>
                <w:sz w:val="19"/>
                <w:szCs w:val="19"/>
                <w:lang w:val="en-CA"/>
              </w:rPr>
              <w:t xml:space="preserve">XPS foam </w:t>
            </w:r>
          </w:p>
        </w:tc>
        <w:tc>
          <w:tcPr>
            <w:tcW w:w="1167"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BC39C1">
            <w:pPr>
              <w:jc w:val="center"/>
              <w:rPr>
                <w:b/>
                <w:bCs/>
                <w:color w:val="000000"/>
                <w:sz w:val="19"/>
                <w:szCs w:val="19"/>
                <w:lang w:val="en-CA"/>
              </w:rPr>
            </w:pPr>
            <w:r w:rsidRPr="0026329D">
              <w:rPr>
                <w:b/>
                <w:bCs/>
                <w:color w:val="000000"/>
                <w:sz w:val="19"/>
                <w:szCs w:val="19"/>
                <w:lang w:val="en-CA"/>
              </w:rPr>
              <w:t>PU foam)</w:t>
            </w:r>
          </w:p>
        </w:tc>
        <w:tc>
          <w:tcPr>
            <w:tcW w:w="1167"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BC39C1">
            <w:pPr>
              <w:jc w:val="center"/>
              <w:rPr>
                <w:b/>
                <w:bCs/>
                <w:color w:val="000000"/>
                <w:sz w:val="19"/>
                <w:szCs w:val="19"/>
                <w:lang w:val="en-CA"/>
              </w:rPr>
            </w:pPr>
            <w:r w:rsidRPr="0026329D">
              <w:rPr>
                <w:b/>
                <w:bCs/>
                <w:color w:val="000000"/>
                <w:sz w:val="19"/>
                <w:szCs w:val="19"/>
                <w:lang w:val="en-CA"/>
              </w:rPr>
              <w:t xml:space="preserve">Solvent </w:t>
            </w:r>
          </w:p>
        </w:tc>
        <w:tc>
          <w:tcPr>
            <w:tcW w:w="1167" w:type="pct"/>
            <w:gridSpan w:val="2"/>
            <w:tcBorders>
              <w:top w:val="single" w:sz="4" w:space="0" w:color="auto"/>
              <w:left w:val="nil"/>
              <w:bottom w:val="single" w:sz="4" w:space="0" w:color="auto"/>
              <w:right w:val="single" w:sz="4" w:space="0" w:color="auto"/>
            </w:tcBorders>
            <w:shd w:val="clear" w:color="auto" w:fill="auto"/>
            <w:vAlign w:val="center"/>
            <w:hideMark/>
          </w:tcPr>
          <w:p w:rsidR="00DF259B" w:rsidRPr="0026329D" w:rsidRDefault="00DF259B" w:rsidP="00BC39C1">
            <w:pPr>
              <w:jc w:val="center"/>
              <w:rPr>
                <w:b/>
                <w:bCs/>
                <w:color w:val="000000"/>
                <w:sz w:val="19"/>
                <w:szCs w:val="19"/>
                <w:lang w:val="en-CA"/>
              </w:rPr>
            </w:pPr>
            <w:r w:rsidRPr="0026329D">
              <w:rPr>
                <w:b/>
                <w:bCs/>
                <w:color w:val="000000"/>
                <w:sz w:val="19"/>
                <w:szCs w:val="19"/>
                <w:lang w:val="en-CA"/>
              </w:rPr>
              <w:t xml:space="preserve">Refrigeration servicing </w:t>
            </w:r>
          </w:p>
        </w:tc>
      </w:tr>
      <w:tr w:rsidR="00A601D9" w:rsidRPr="0026329D" w:rsidTr="00BC39C1">
        <w:trPr>
          <w:tblHeader/>
        </w:trPr>
        <w:tc>
          <w:tcPr>
            <w:tcW w:w="332" w:type="pct"/>
            <w:vMerge/>
            <w:tcBorders>
              <w:top w:val="single" w:sz="4" w:space="0" w:color="auto"/>
              <w:left w:val="single" w:sz="4" w:space="0" w:color="auto"/>
              <w:bottom w:val="single" w:sz="4" w:space="0" w:color="auto"/>
              <w:right w:val="single" w:sz="4" w:space="0" w:color="auto"/>
            </w:tcBorders>
            <w:tcMar>
              <w:left w:w="43" w:type="dxa"/>
              <w:right w:w="0" w:type="dxa"/>
            </w:tcMar>
            <w:hideMark/>
          </w:tcPr>
          <w:p w:rsidR="00DF259B" w:rsidRPr="0026329D" w:rsidRDefault="00DF259B" w:rsidP="00425F95">
            <w:pPr>
              <w:jc w:val="left"/>
              <w:rPr>
                <w:b/>
                <w:bCs/>
                <w:color w:val="000000"/>
                <w:sz w:val="19"/>
                <w:szCs w:val="19"/>
                <w:lang w:val="en-CA"/>
              </w:rPr>
            </w:pPr>
          </w:p>
        </w:tc>
        <w:tc>
          <w:tcPr>
            <w:tcW w:w="583"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Original</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Revised</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Original</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Revised</w:t>
            </w:r>
          </w:p>
        </w:tc>
        <w:tc>
          <w:tcPr>
            <w:tcW w:w="583"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Original</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Revised</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Original</w:t>
            </w:r>
          </w:p>
        </w:tc>
        <w:tc>
          <w:tcPr>
            <w:tcW w:w="584" w:type="pct"/>
            <w:tcBorders>
              <w:top w:val="nil"/>
              <w:left w:val="nil"/>
              <w:bottom w:val="single" w:sz="4" w:space="0" w:color="auto"/>
              <w:right w:val="single" w:sz="4" w:space="0" w:color="auto"/>
            </w:tcBorders>
            <w:shd w:val="clear" w:color="auto" w:fill="auto"/>
            <w:vAlign w:val="center"/>
            <w:hideMark/>
          </w:tcPr>
          <w:p w:rsidR="00DF259B" w:rsidRPr="0026329D" w:rsidRDefault="00DF259B" w:rsidP="00425F95">
            <w:pPr>
              <w:jc w:val="center"/>
              <w:rPr>
                <w:b/>
                <w:bCs/>
                <w:color w:val="000000"/>
                <w:sz w:val="19"/>
                <w:szCs w:val="19"/>
                <w:lang w:val="en-CA"/>
              </w:rPr>
            </w:pPr>
            <w:r w:rsidRPr="0026329D">
              <w:rPr>
                <w:b/>
                <w:bCs/>
                <w:color w:val="000000"/>
                <w:sz w:val="19"/>
                <w:szCs w:val="19"/>
                <w:lang w:val="en-CA"/>
              </w:rPr>
              <w:t>Revised</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2016</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7,514,867</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7,514,867</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7,045,027</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7,045,027</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2,821,937</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2,821,937</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3,679,132</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3,679,132</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2017</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9,000,000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9,000,000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10,600,000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3,777,190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3,777,190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2,650,000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2,650,000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2018</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8,000,000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9,500,000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2,959,930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3,650,000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F4375C" w:rsidP="00425F95">
            <w:pPr>
              <w:jc w:val="right"/>
              <w:rPr>
                <w:color w:val="000000"/>
                <w:sz w:val="19"/>
                <w:szCs w:val="19"/>
                <w:lang w:val="en-CA"/>
              </w:rPr>
            </w:pPr>
            <w:r w:rsidRPr="0026329D">
              <w:rPr>
                <w:color w:val="000000"/>
                <w:sz w:val="19"/>
                <w:szCs w:val="19"/>
                <w:lang w:val="en-CA"/>
              </w:rPr>
              <w:t>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2019</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9,600,000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12,700,000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3,229,030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3,650,000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1,000,000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9,600,000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9,890,431</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12,700,000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2,067,012</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3,601,083</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12,946,782</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3,650,000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2021</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15,000,000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5,000,000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20,000,000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4,000,000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sz w:val="19"/>
                <w:szCs w:val="19"/>
                <w:lang w:val="en-CA"/>
              </w:rPr>
            </w:pPr>
            <w:r w:rsidRPr="0026329D">
              <w:rPr>
                <w:sz w:val="19"/>
                <w:szCs w:val="19"/>
                <w:lang w:val="en-CA"/>
              </w:rPr>
              <w:t>7,888,921</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2,500,000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3,010,868</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2022</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11,400,000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2,000,000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15,700,000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7,128,589</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2023</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11,300,000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3,000,000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15,600,000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5,000,000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3,664,360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2,000,000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2024</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9,800,000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1,000,000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10,500,000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1,000,000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5,481,592</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3,000,000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2025</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9,600,000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4,000,000</w:t>
            </w:r>
          </w:p>
        </w:tc>
        <w:tc>
          <w:tcPr>
            <w:tcW w:w="583" w:type="pct"/>
            <w:tcBorders>
              <w:top w:val="nil"/>
              <w:left w:val="nil"/>
              <w:bottom w:val="single" w:sz="4" w:space="0" w:color="auto"/>
              <w:right w:val="nil"/>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13,100,000</w:t>
            </w:r>
          </w:p>
        </w:tc>
        <w:tc>
          <w:tcPr>
            <w:tcW w:w="584"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5,000,000</w:t>
            </w:r>
          </w:p>
        </w:tc>
        <w:tc>
          <w:tcPr>
            <w:tcW w:w="584" w:type="pct"/>
            <w:tcBorders>
              <w:top w:val="nil"/>
              <w:left w:val="nil"/>
              <w:bottom w:val="single" w:sz="4" w:space="0" w:color="auto"/>
              <w:right w:val="nil"/>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2,707,880</w:t>
            </w:r>
          </w:p>
        </w:tc>
        <w:tc>
          <w:tcPr>
            <w:tcW w:w="583"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523,431</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1,200,000</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rsidR="00DF259B" w:rsidRPr="0026329D" w:rsidRDefault="00DF259B" w:rsidP="00F4375C">
            <w:pPr>
              <w:jc w:val="center"/>
              <w:rPr>
                <w:color w:val="000000"/>
                <w:sz w:val="19"/>
                <w:szCs w:val="19"/>
                <w:lang w:val="en-CA"/>
              </w:rPr>
            </w:pPr>
            <w:r w:rsidRPr="0026329D">
              <w:rPr>
                <w:color w:val="000000"/>
                <w:sz w:val="19"/>
                <w:szCs w:val="19"/>
                <w:lang w:val="en-CA"/>
              </w:rPr>
              <w:t>2026</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11,971,763</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3,534,654</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14,026,183</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4,200,000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4,002,054</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color w:val="000000"/>
                <w:sz w:val="19"/>
                <w:szCs w:val="19"/>
                <w:lang w:val="en-CA"/>
              </w:rPr>
            </w:pPr>
            <w:r w:rsidRPr="0026329D">
              <w:rPr>
                <w:color w:val="000000"/>
                <w:sz w:val="19"/>
                <w:szCs w:val="19"/>
                <w:lang w:val="en-CA"/>
              </w:rPr>
              <w:t>2,517,105</w:t>
            </w:r>
          </w:p>
        </w:tc>
      </w:tr>
      <w:tr w:rsidR="00A601D9" w:rsidRPr="0026329D" w:rsidTr="00BC39C1">
        <w:tc>
          <w:tcPr>
            <w:tcW w:w="332" w:type="pct"/>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rsidR="00DF259B" w:rsidRPr="0026329D" w:rsidRDefault="00DF259B" w:rsidP="00425F95">
            <w:pPr>
              <w:jc w:val="left"/>
              <w:rPr>
                <w:b/>
                <w:bCs/>
                <w:color w:val="000000"/>
                <w:sz w:val="19"/>
                <w:szCs w:val="19"/>
                <w:lang w:val="en-CA"/>
              </w:rPr>
            </w:pPr>
            <w:r w:rsidRPr="0026329D">
              <w:rPr>
                <w:b/>
                <w:bCs/>
                <w:color w:val="000000"/>
                <w:sz w:val="19"/>
                <w:szCs w:val="19"/>
                <w:lang w:val="en-CA"/>
              </w:rPr>
              <w:t>Total</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112,786,630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44,939,952</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141,471,210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28,312,039</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47,262,566</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25,569,340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20,290,000</w:t>
            </w:r>
          </w:p>
        </w:tc>
        <w:tc>
          <w:tcPr>
            <w:tcW w:w="583" w:type="pct"/>
            <w:tcBorders>
              <w:top w:val="nil"/>
              <w:left w:val="nil"/>
              <w:bottom w:val="single" w:sz="4" w:space="0" w:color="auto"/>
              <w:right w:val="single" w:sz="4" w:space="0" w:color="auto"/>
            </w:tcBorders>
            <w:shd w:val="clear" w:color="auto" w:fill="auto"/>
            <w:noWrap/>
            <w:tcMar>
              <w:left w:w="0" w:type="dxa"/>
              <w:right w:w="115" w:type="dxa"/>
            </w:tcMar>
            <w:hideMark/>
          </w:tcPr>
          <w:p w:rsidR="00DF259B" w:rsidRPr="0026329D" w:rsidRDefault="00DF259B" w:rsidP="00425F95">
            <w:pPr>
              <w:jc w:val="right"/>
              <w:rPr>
                <w:b/>
                <w:bCs/>
                <w:color w:val="000000"/>
                <w:sz w:val="19"/>
                <w:szCs w:val="19"/>
                <w:lang w:val="en-CA"/>
              </w:rPr>
            </w:pPr>
            <w:r w:rsidRPr="0026329D">
              <w:rPr>
                <w:b/>
                <w:bCs/>
                <w:color w:val="000000"/>
                <w:sz w:val="19"/>
                <w:szCs w:val="19"/>
                <w:lang w:val="en-CA"/>
              </w:rPr>
              <w:t>20,046,237</w:t>
            </w:r>
          </w:p>
        </w:tc>
      </w:tr>
    </w:tbl>
    <w:p w:rsidR="00DF259B" w:rsidRPr="0026329D" w:rsidRDefault="00DF259B" w:rsidP="00DF259B">
      <w:pPr>
        <w:rPr>
          <w:lang w:val="en-CA"/>
        </w:rPr>
      </w:pPr>
    </w:p>
    <w:p w:rsidR="00A2636B" w:rsidRPr="0026329D" w:rsidRDefault="00BC39C1" w:rsidP="00BC39C1">
      <w:pPr>
        <w:pStyle w:val="Heading1"/>
        <w:rPr>
          <w:lang w:val="en-CA"/>
        </w:rPr>
      </w:pPr>
      <w:r w:rsidRPr="0026329D">
        <w:rPr>
          <w:lang w:val="en-CA"/>
        </w:rPr>
        <w:t xml:space="preserve">Table 6 presents a summary of the overall funding allocation for </w:t>
      </w:r>
      <w:r w:rsidR="00A81DEE" w:rsidRPr="0026329D">
        <w:rPr>
          <w:lang w:val="en-CA"/>
        </w:rPr>
        <w:t>stage </w:t>
      </w:r>
      <w:r w:rsidRPr="0026329D">
        <w:rPr>
          <w:lang w:val="en-CA"/>
        </w:rPr>
        <w:t>II of the HPMP for China.</w:t>
      </w:r>
    </w:p>
    <w:p w:rsidR="00A2636B" w:rsidRPr="0026329D" w:rsidRDefault="00A2636B" w:rsidP="00A2636B">
      <w:pPr>
        <w:rPr>
          <w:b/>
          <w:lang w:val="en-CA"/>
        </w:rPr>
      </w:pPr>
      <w:r w:rsidRPr="0026329D">
        <w:rPr>
          <w:b/>
          <w:lang w:val="en-CA"/>
        </w:rPr>
        <w:t xml:space="preserve">Table </w:t>
      </w:r>
      <w:r w:rsidR="00BC39C1" w:rsidRPr="0026329D">
        <w:rPr>
          <w:b/>
          <w:lang w:val="en-CA"/>
        </w:rPr>
        <w:t>6</w:t>
      </w:r>
      <w:r w:rsidRPr="0026329D">
        <w:rPr>
          <w:b/>
          <w:lang w:val="en-CA"/>
        </w:rPr>
        <w:t xml:space="preserve">. Summary of funding allocation for </w:t>
      </w:r>
      <w:r w:rsidR="00A81DEE" w:rsidRPr="0026329D">
        <w:rPr>
          <w:b/>
          <w:lang w:val="en-CA"/>
        </w:rPr>
        <w:t>stage </w:t>
      </w:r>
      <w:r w:rsidRPr="0026329D">
        <w:rPr>
          <w:b/>
          <w:lang w:val="en-CA"/>
        </w:rPr>
        <w:t>II of the HPMP (US $)</w:t>
      </w:r>
    </w:p>
    <w:tbl>
      <w:tblPr>
        <w:tblW w:w="5000" w:type="pct"/>
        <w:tblLook w:val="04A0" w:firstRow="1" w:lastRow="0" w:firstColumn="1" w:lastColumn="0" w:noHBand="0" w:noVBand="1"/>
      </w:tblPr>
      <w:tblGrid>
        <w:gridCol w:w="2066"/>
        <w:gridCol w:w="1842"/>
        <w:gridCol w:w="1844"/>
        <w:gridCol w:w="1843"/>
        <w:gridCol w:w="1845"/>
      </w:tblGrid>
      <w:tr w:rsidR="00A2636B" w:rsidRPr="0026329D" w:rsidTr="00425F95">
        <w:trPr>
          <w:tblHead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36B" w:rsidRPr="0026329D" w:rsidRDefault="00A2636B" w:rsidP="00425F95">
            <w:pPr>
              <w:jc w:val="left"/>
              <w:rPr>
                <w:b/>
                <w:color w:val="000000"/>
                <w:sz w:val="20"/>
                <w:szCs w:val="20"/>
                <w:lang w:val="en-CA" w:eastAsia="en-CA"/>
              </w:rPr>
            </w:pPr>
            <w:r w:rsidRPr="0026329D">
              <w:rPr>
                <w:b/>
                <w:color w:val="000000"/>
                <w:sz w:val="20"/>
                <w:szCs w:val="20"/>
                <w:lang w:val="en-CA" w:eastAsia="en-CA"/>
              </w:rPr>
              <w:t>Sector plan</w:t>
            </w:r>
          </w:p>
        </w:tc>
        <w:tc>
          <w:tcPr>
            <w:tcW w:w="976" w:type="pct"/>
            <w:tcBorders>
              <w:top w:val="single" w:sz="4" w:space="0" w:color="auto"/>
              <w:left w:val="nil"/>
              <w:bottom w:val="single" w:sz="4" w:space="0" w:color="auto"/>
              <w:right w:val="single" w:sz="4" w:space="0" w:color="auto"/>
            </w:tcBorders>
            <w:shd w:val="clear" w:color="auto" w:fill="auto"/>
            <w:noWrap/>
            <w:hideMark/>
          </w:tcPr>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 xml:space="preserve">Approval in </w:t>
            </w:r>
          </w:p>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principle</w:t>
            </w:r>
          </w:p>
        </w:tc>
        <w:tc>
          <w:tcPr>
            <w:tcW w:w="977" w:type="pct"/>
            <w:tcBorders>
              <w:top w:val="single" w:sz="4" w:space="0" w:color="auto"/>
              <w:left w:val="nil"/>
              <w:bottom w:val="single" w:sz="4" w:space="0" w:color="auto"/>
              <w:right w:val="single" w:sz="4" w:space="0" w:color="auto"/>
            </w:tcBorders>
            <w:shd w:val="clear" w:color="auto" w:fill="auto"/>
            <w:noWrap/>
            <w:hideMark/>
          </w:tcPr>
          <w:p w:rsidR="00A2636B" w:rsidRPr="0026329D" w:rsidRDefault="004A7E96" w:rsidP="00425F95">
            <w:pPr>
              <w:jc w:val="center"/>
              <w:rPr>
                <w:b/>
                <w:color w:val="000000"/>
                <w:sz w:val="20"/>
                <w:szCs w:val="20"/>
                <w:lang w:val="en-CA" w:eastAsia="en-CA"/>
              </w:rPr>
            </w:pPr>
            <w:r w:rsidRPr="0026329D">
              <w:rPr>
                <w:b/>
                <w:color w:val="000000"/>
                <w:sz w:val="20"/>
                <w:szCs w:val="20"/>
                <w:lang w:val="en-CA" w:eastAsia="en-CA"/>
              </w:rPr>
              <w:t>Funding approved</w:t>
            </w:r>
          </w:p>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(2016-2020)*</w:t>
            </w:r>
          </w:p>
        </w:tc>
        <w:tc>
          <w:tcPr>
            <w:tcW w:w="976" w:type="pct"/>
            <w:tcBorders>
              <w:top w:val="single" w:sz="4" w:space="0" w:color="auto"/>
              <w:left w:val="nil"/>
              <w:bottom w:val="single" w:sz="4" w:space="0" w:color="auto"/>
              <w:right w:val="single" w:sz="4" w:space="0" w:color="auto"/>
            </w:tcBorders>
            <w:shd w:val="clear" w:color="auto" w:fill="auto"/>
            <w:noWrap/>
            <w:hideMark/>
          </w:tcPr>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Revised plan</w:t>
            </w:r>
          </w:p>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(2021-2026)</w:t>
            </w:r>
          </w:p>
        </w:tc>
        <w:tc>
          <w:tcPr>
            <w:tcW w:w="977" w:type="pct"/>
            <w:tcBorders>
              <w:top w:val="single" w:sz="4" w:space="0" w:color="auto"/>
              <w:left w:val="nil"/>
              <w:bottom w:val="single" w:sz="4" w:space="0" w:color="auto"/>
              <w:right w:val="single" w:sz="4" w:space="0" w:color="auto"/>
            </w:tcBorders>
            <w:shd w:val="clear" w:color="auto" w:fill="auto"/>
            <w:noWrap/>
            <w:hideMark/>
          </w:tcPr>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Adjusted approval</w:t>
            </w:r>
          </w:p>
          <w:p w:rsidR="00A2636B" w:rsidRPr="0026329D" w:rsidRDefault="00A2636B" w:rsidP="00425F95">
            <w:pPr>
              <w:jc w:val="center"/>
              <w:rPr>
                <w:b/>
                <w:color w:val="000000"/>
                <w:sz w:val="20"/>
                <w:szCs w:val="20"/>
                <w:lang w:val="en-CA" w:eastAsia="en-CA"/>
              </w:rPr>
            </w:pPr>
            <w:r w:rsidRPr="0026329D">
              <w:rPr>
                <w:b/>
                <w:color w:val="000000"/>
                <w:sz w:val="20"/>
                <w:szCs w:val="20"/>
                <w:lang w:val="en-CA" w:eastAsia="en-CA"/>
              </w:rPr>
              <w:t>in principle</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ICR</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89,144,797</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35,464,531</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32,693,710</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68,158,241</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RAC</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89,144,797</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31,562,981</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28,831,100</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60,394,081</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Refrigeration servicing</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20,290,000</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7,329,132</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12,717,105</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20,046,237</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XPS foam</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112,786,630</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26,405,298</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18,534,654</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44,939,952</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PU foam</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141,471,210</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9,112,039</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19,200,000</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28,312,039</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color w:val="000000"/>
                <w:sz w:val="20"/>
                <w:szCs w:val="20"/>
                <w:lang w:val="en-CA" w:eastAsia="en-CA"/>
              </w:rPr>
            </w:pPr>
            <w:r w:rsidRPr="0026329D">
              <w:rPr>
                <w:color w:val="000000"/>
                <w:sz w:val="20"/>
                <w:szCs w:val="20"/>
                <w:lang w:val="en-CA" w:eastAsia="en-CA"/>
              </w:rPr>
              <w:t>Solvent</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47,262,566</w:t>
            </w:r>
          </w:p>
        </w:tc>
        <w:tc>
          <w:tcPr>
            <w:tcW w:w="977" w:type="pct"/>
            <w:tcBorders>
              <w:top w:val="nil"/>
              <w:left w:val="nil"/>
              <w:bottom w:val="single" w:sz="4" w:space="0" w:color="auto"/>
              <w:right w:val="single" w:sz="4" w:space="0" w:color="auto"/>
            </w:tcBorders>
            <w:shd w:val="clear" w:color="auto" w:fill="auto"/>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19,545,909</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6,023,431</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color w:val="000000"/>
                <w:sz w:val="20"/>
                <w:szCs w:val="20"/>
                <w:lang w:val="en-CA" w:eastAsia="en-CA"/>
              </w:rPr>
            </w:pPr>
            <w:r w:rsidRPr="0026329D">
              <w:rPr>
                <w:color w:val="000000"/>
                <w:sz w:val="20"/>
                <w:szCs w:val="20"/>
                <w:lang w:val="en-CA" w:eastAsia="en-CA"/>
              </w:rPr>
              <w:t>25,569,340</w:t>
            </w:r>
          </w:p>
        </w:tc>
      </w:tr>
      <w:tr w:rsidR="00A2636B" w:rsidRPr="0026329D" w:rsidTr="00425F95">
        <w:tc>
          <w:tcPr>
            <w:tcW w:w="1094" w:type="pct"/>
            <w:tcBorders>
              <w:top w:val="nil"/>
              <w:left w:val="single" w:sz="4" w:space="0" w:color="auto"/>
              <w:bottom w:val="single" w:sz="4" w:space="0" w:color="auto"/>
              <w:right w:val="single" w:sz="4" w:space="0" w:color="auto"/>
            </w:tcBorders>
            <w:shd w:val="clear" w:color="auto" w:fill="auto"/>
            <w:noWrap/>
            <w:hideMark/>
          </w:tcPr>
          <w:p w:rsidR="00A2636B" w:rsidRPr="0026329D" w:rsidRDefault="00A2636B" w:rsidP="00425F95">
            <w:pPr>
              <w:jc w:val="left"/>
              <w:rPr>
                <w:b/>
                <w:color w:val="000000"/>
                <w:sz w:val="20"/>
                <w:szCs w:val="20"/>
                <w:lang w:val="en-CA" w:eastAsia="en-CA"/>
              </w:rPr>
            </w:pPr>
            <w:r w:rsidRPr="0026329D">
              <w:rPr>
                <w:b/>
                <w:color w:val="000000"/>
                <w:sz w:val="20"/>
                <w:szCs w:val="20"/>
                <w:lang w:val="en-CA" w:eastAsia="en-CA"/>
              </w:rPr>
              <w:t>Total</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b/>
                <w:color w:val="000000"/>
                <w:sz w:val="20"/>
                <w:szCs w:val="20"/>
                <w:lang w:val="en-CA" w:eastAsia="en-CA"/>
              </w:rPr>
            </w:pPr>
            <w:r w:rsidRPr="0026329D">
              <w:rPr>
                <w:b/>
                <w:color w:val="000000"/>
                <w:sz w:val="20"/>
                <w:szCs w:val="20"/>
                <w:lang w:val="en-CA" w:eastAsia="en-CA"/>
              </w:rPr>
              <w:t>500,100,000</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b/>
                <w:color w:val="000000"/>
                <w:sz w:val="20"/>
                <w:szCs w:val="20"/>
                <w:lang w:val="en-CA" w:eastAsia="en-CA"/>
              </w:rPr>
            </w:pPr>
            <w:r w:rsidRPr="0026329D">
              <w:rPr>
                <w:b/>
                <w:color w:val="000000"/>
                <w:sz w:val="20"/>
                <w:szCs w:val="20"/>
                <w:lang w:val="en-CA" w:eastAsia="en-CA"/>
              </w:rPr>
              <w:t>129,419,890</w:t>
            </w:r>
          </w:p>
        </w:tc>
        <w:tc>
          <w:tcPr>
            <w:tcW w:w="976"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b/>
                <w:color w:val="000000"/>
                <w:sz w:val="20"/>
                <w:szCs w:val="20"/>
                <w:lang w:val="en-CA" w:eastAsia="en-CA"/>
              </w:rPr>
            </w:pPr>
            <w:r w:rsidRPr="0026329D">
              <w:rPr>
                <w:b/>
                <w:color w:val="000000"/>
                <w:sz w:val="20"/>
                <w:szCs w:val="20"/>
                <w:lang w:val="en-CA" w:eastAsia="en-CA"/>
              </w:rPr>
              <w:t>118,000,000</w:t>
            </w:r>
          </w:p>
        </w:tc>
        <w:tc>
          <w:tcPr>
            <w:tcW w:w="977" w:type="pct"/>
            <w:tcBorders>
              <w:top w:val="nil"/>
              <w:left w:val="nil"/>
              <w:bottom w:val="single" w:sz="4" w:space="0" w:color="auto"/>
              <w:right w:val="single" w:sz="4" w:space="0" w:color="auto"/>
            </w:tcBorders>
            <w:shd w:val="clear" w:color="auto" w:fill="auto"/>
            <w:noWrap/>
            <w:tcMar>
              <w:left w:w="115" w:type="dxa"/>
              <w:right w:w="202" w:type="dxa"/>
            </w:tcMar>
            <w:hideMark/>
          </w:tcPr>
          <w:p w:rsidR="00A2636B" w:rsidRPr="0026329D" w:rsidRDefault="00A2636B" w:rsidP="00425F95">
            <w:pPr>
              <w:jc w:val="right"/>
              <w:rPr>
                <w:b/>
                <w:color w:val="000000"/>
                <w:sz w:val="20"/>
                <w:szCs w:val="20"/>
                <w:lang w:val="en-CA" w:eastAsia="en-CA"/>
              </w:rPr>
            </w:pPr>
            <w:r w:rsidRPr="0026329D">
              <w:rPr>
                <w:b/>
                <w:color w:val="000000"/>
                <w:sz w:val="20"/>
                <w:szCs w:val="20"/>
                <w:lang w:val="en-CA" w:eastAsia="en-CA"/>
              </w:rPr>
              <w:t>247,419,890</w:t>
            </w:r>
          </w:p>
        </w:tc>
      </w:tr>
    </w:tbl>
    <w:p w:rsidR="00A2636B" w:rsidRPr="0026329D" w:rsidRDefault="00A2636B" w:rsidP="00A2636B">
      <w:pPr>
        <w:rPr>
          <w:sz w:val="18"/>
          <w:szCs w:val="18"/>
          <w:lang w:val="en-CA"/>
        </w:rPr>
      </w:pPr>
      <w:r w:rsidRPr="0026329D">
        <w:rPr>
          <w:sz w:val="18"/>
          <w:szCs w:val="18"/>
          <w:lang w:val="en-CA"/>
        </w:rPr>
        <w:t>* Including US $1,000,000 approved at the 84</w:t>
      </w:r>
      <w:r w:rsidRPr="0026329D">
        <w:rPr>
          <w:sz w:val="18"/>
          <w:szCs w:val="18"/>
          <w:vertAlign w:val="superscript"/>
          <w:lang w:val="en-CA"/>
        </w:rPr>
        <w:t>th</w:t>
      </w:r>
      <w:r w:rsidR="009B3FC3" w:rsidRPr="0026329D">
        <w:rPr>
          <w:sz w:val="18"/>
          <w:szCs w:val="18"/>
          <w:lang w:val="en-CA"/>
        </w:rPr>
        <w:t> meeting</w:t>
      </w:r>
      <w:r w:rsidRPr="0026329D">
        <w:rPr>
          <w:sz w:val="18"/>
          <w:szCs w:val="18"/>
          <w:lang w:val="en-CA"/>
        </w:rPr>
        <w:t xml:space="preserve"> for the refrigeration servicing sector and enabling activities, and US $27,000,000 approved at the 85</w:t>
      </w:r>
      <w:r w:rsidRPr="0026329D">
        <w:rPr>
          <w:sz w:val="18"/>
          <w:szCs w:val="18"/>
          <w:vertAlign w:val="superscript"/>
          <w:lang w:val="en-CA"/>
        </w:rPr>
        <w:t>th</w:t>
      </w:r>
      <w:r w:rsidR="009B3FC3" w:rsidRPr="0026329D">
        <w:rPr>
          <w:sz w:val="18"/>
          <w:szCs w:val="18"/>
          <w:lang w:val="en-CA"/>
        </w:rPr>
        <w:t> meeting</w:t>
      </w:r>
      <w:r w:rsidRPr="0026329D">
        <w:rPr>
          <w:sz w:val="18"/>
          <w:szCs w:val="18"/>
          <w:lang w:val="en-CA"/>
        </w:rPr>
        <w:t xml:space="preserve"> for the ICR, XPS foam, PU foam and solvent sector plans.</w:t>
      </w:r>
    </w:p>
    <w:p w:rsidR="00A2636B" w:rsidRPr="0026329D" w:rsidRDefault="00A2636B" w:rsidP="00DF259B">
      <w:pPr>
        <w:rPr>
          <w:lang w:val="en-CA"/>
        </w:rPr>
      </w:pPr>
    </w:p>
    <w:p w:rsidR="007C7D82" w:rsidRPr="0026329D" w:rsidRDefault="00BC39C1" w:rsidP="007C7D82">
      <w:pPr>
        <w:rPr>
          <w:u w:val="single"/>
          <w:lang w:val="en-CA"/>
        </w:rPr>
      </w:pPr>
      <w:r w:rsidRPr="0026329D">
        <w:rPr>
          <w:u w:val="single"/>
          <w:lang w:val="en-CA"/>
        </w:rPr>
        <w:t xml:space="preserve">Overview of the priorities of sector plans for </w:t>
      </w:r>
      <w:r w:rsidR="00A81DEE" w:rsidRPr="0026329D">
        <w:rPr>
          <w:u w:val="single"/>
          <w:lang w:val="en-CA"/>
        </w:rPr>
        <w:t>stage </w:t>
      </w:r>
      <w:r w:rsidRPr="0026329D">
        <w:rPr>
          <w:u w:val="single"/>
          <w:lang w:val="en-CA"/>
        </w:rPr>
        <w:t>II of the HPMP for the period 2021 to 2026</w:t>
      </w:r>
    </w:p>
    <w:p w:rsidR="007C7D82" w:rsidRPr="0026329D" w:rsidRDefault="007C7D82" w:rsidP="007C7D82">
      <w:pPr>
        <w:rPr>
          <w:lang w:val="en-CA"/>
        </w:rPr>
      </w:pPr>
    </w:p>
    <w:p w:rsidR="007C7D82" w:rsidRPr="0026329D" w:rsidRDefault="006A0413" w:rsidP="007C7D82">
      <w:pPr>
        <w:pStyle w:val="Heading1"/>
        <w:rPr>
          <w:lang w:val="en-CA"/>
        </w:rPr>
      </w:pPr>
      <w:r w:rsidRPr="0026329D">
        <w:rPr>
          <w:lang w:val="en-CA"/>
        </w:rPr>
        <w:t>A summary</w:t>
      </w:r>
      <w:r w:rsidR="001A1122" w:rsidRPr="0026329D">
        <w:rPr>
          <w:lang w:val="en-CA"/>
        </w:rPr>
        <w:t xml:space="preserve"> of </w:t>
      </w:r>
      <w:r w:rsidR="007C7D82" w:rsidRPr="0026329D">
        <w:rPr>
          <w:lang w:val="en-CA"/>
        </w:rPr>
        <w:t xml:space="preserve">the priorities for each sector </w:t>
      </w:r>
      <w:r w:rsidR="001A1122" w:rsidRPr="0026329D">
        <w:rPr>
          <w:lang w:val="en-CA"/>
        </w:rPr>
        <w:t>plan</w:t>
      </w:r>
      <w:r w:rsidR="00BC39C1" w:rsidRPr="0026329D">
        <w:rPr>
          <w:lang w:val="en-CA"/>
        </w:rPr>
        <w:t>, for the period 2021 to 2026,</w:t>
      </w:r>
      <w:r w:rsidR="001A1122" w:rsidRPr="0026329D">
        <w:rPr>
          <w:lang w:val="en-CA"/>
        </w:rPr>
        <w:t xml:space="preserve"> </w:t>
      </w:r>
      <w:r w:rsidR="007C7D82" w:rsidRPr="0026329D">
        <w:rPr>
          <w:lang w:val="en-CA"/>
        </w:rPr>
        <w:t>is presented below:</w:t>
      </w:r>
    </w:p>
    <w:p w:rsidR="007C7D82" w:rsidRPr="0026329D" w:rsidRDefault="007C7D82" w:rsidP="001A1122">
      <w:pPr>
        <w:pStyle w:val="Heading2"/>
        <w:rPr>
          <w:lang w:val="en-CA"/>
        </w:rPr>
      </w:pPr>
      <w:r w:rsidRPr="0026329D">
        <w:rPr>
          <w:i/>
          <w:lang w:val="en-CA"/>
        </w:rPr>
        <w:t>ICR sector</w:t>
      </w:r>
      <w:r w:rsidRPr="0026329D">
        <w:rPr>
          <w:lang w:val="en-CA"/>
        </w:rPr>
        <w:t xml:space="preserve">: Considering the limited funding and the large number of sub-sectors with complex product types and alternative technologies, the </w:t>
      </w:r>
      <w:r w:rsidR="00795DCC" w:rsidRPr="0026329D">
        <w:rPr>
          <w:lang w:val="en-CA"/>
        </w:rPr>
        <w:t xml:space="preserve">revised </w:t>
      </w:r>
      <w:r w:rsidRPr="0026329D">
        <w:rPr>
          <w:lang w:val="en-CA"/>
        </w:rPr>
        <w:t xml:space="preserve">extended sector plan would fund first production line conversion projects to low-GWP alternative technologies in the four sub-sectors of freezer and refrigeration and condensing units, water chillers (heat pumps), unitary air-conditioners, and heat pump water heaters. Focus would be given to promote the production lines conversion in </w:t>
      </w:r>
      <w:r w:rsidR="00580733" w:rsidRPr="0026329D">
        <w:rPr>
          <w:lang w:val="en-CA"/>
        </w:rPr>
        <w:t xml:space="preserve">SMEs </w:t>
      </w:r>
      <w:r w:rsidRPr="0026329D">
        <w:rPr>
          <w:lang w:val="en-CA"/>
        </w:rPr>
        <w:t xml:space="preserve">to test the feasibility and applicability of the selected alternative technologies. As a key component of the ICR equipment, the conversion of compressor manufacturing lines was given priority. The </w:t>
      </w:r>
      <w:r w:rsidR="00580733" w:rsidRPr="0026329D">
        <w:rPr>
          <w:lang w:val="en-CA"/>
        </w:rPr>
        <w:t>revised extended</w:t>
      </w:r>
      <w:r w:rsidRPr="0026329D">
        <w:rPr>
          <w:lang w:val="en-CA"/>
        </w:rPr>
        <w:t xml:space="preserve"> sector plan also includes alternative technology research, revision of relevant standards, policies, publicity and training activities (UNDP) (</w:t>
      </w:r>
      <w:r w:rsidR="00475A50" w:rsidRPr="0026329D">
        <w:rPr>
          <w:lang w:val="en-CA"/>
        </w:rPr>
        <w:t>US $</w:t>
      </w:r>
      <w:r w:rsidRPr="0026329D">
        <w:rPr>
          <w:lang w:val="en-CA"/>
        </w:rPr>
        <w:t>32,693,710);</w:t>
      </w:r>
    </w:p>
    <w:p w:rsidR="007C7D82" w:rsidRPr="0026329D" w:rsidRDefault="007C7D82" w:rsidP="001A1122">
      <w:pPr>
        <w:pStyle w:val="Heading2"/>
        <w:rPr>
          <w:lang w:val="en-CA"/>
        </w:rPr>
      </w:pPr>
      <w:r w:rsidRPr="0026329D">
        <w:rPr>
          <w:i/>
          <w:lang w:val="en-CA"/>
        </w:rPr>
        <w:t>RAC sector</w:t>
      </w:r>
      <w:r w:rsidRPr="0026329D">
        <w:rPr>
          <w:lang w:val="en-CA"/>
        </w:rPr>
        <w:t xml:space="preserve">: Considering R-290 production line conversions completed under </w:t>
      </w:r>
      <w:r w:rsidR="00A81DEE" w:rsidRPr="0026329D">
        <w:rPr>
          <w:lang w:val="en-CA"/>
        </w:rPr>
        <w:t>stage </w:t>
      </w:r>
      <w:r w:rsidRPr="0026329D">
        <w:rPr>
          <w:lang w:val="en-CA"/>
        </w:rPr>
        <w:t>I of HPMP, as well as</w:t>
      </w:r>
      <w:r w:rsidR="00580733" w:rsidRPr="0026329D">
        <w:rPr>
          <w:lang w:val="en-CA"/>
        </w:rPr>
        <w:t xml:space="preserve"> those being converted </w:t>
      </w:r>
      <w:r w:rsidRPr="0026329D">
        <w:rPr>
          <w:lang w:val="en-CA"/>
        </w:rPr>
        <w:t xml:space="preserve">under the approved first two tranches of </w:t>
      </w:r>
      <w:r w:rsidR="00A81DEE" w:rsidRPr="0026329D">
        <w:rPr>
          <w:lang w:val="en-CA"/>
        </w:rPr>
        <w:t>stage </w:t>
      </w:r>
      <w:r w:rsidRPr="0026329D">
        <w:rPr>
          <w:lang w:val="en-CA"/>
        </w:rPr>
        <w:t>II, the revised extended sector plan focus on promoting the uptake into the market of R-290 RAC equipment, alternative technologies research, revision of relevant standards and policies, publicity and training activities. A limited number of additional manufacturing lines would be converted</w:t>
      </w:r>
      <w:r w:rsidR="00580733" w:rsidRPr="0026329D">
        <w:rPr>
          <w:lang w:val="en-CA"/>
        </w:rPr>
        <w:t xml:space="preserve"> under the remaining tranches</w:t>
      </w:r>
      <w:r w:rsidRPr="0026329D">
        <w:rPr>
          <w:lang w:val="en-CA"/>
        </w:rPr>
        <w:t xml:space="preserve"> to R-290, and IOCs </w:t>
      </w:r>
      <w:r w:rsidR="001A1122" w:rsidRPr="0026329D">
        <w:rPr>
          <w:lang w:val="en-CA"/>
        </w:rPr>
        <w:t xml:space="preserve">would be </w:t>
      </w:r>
      <w:r w:rsidRPr="0026329D">
        <w:rPr>
          <w:lang w:val="en-CA"/>
        </w:rPr>
        <w:t>provided (UNIDO, Government of Austria) (</w:t>
      </w:r>
      <w:r w:rsidR="00475A50" w:rsidRPr="0026329D">
        <w:rPr>
          <w:lang w:val="en-CA"/>
        </w:rPr>
        <w:t>US $</w:t>
      </w:r>
      <w:r w:rsidRPr="0026329D">
        <w:rPr>
          <w:lang w:val="en-CA"/>
        </w:rPr>
        <w:t>28,831,100);</w:t>
      </w:r>
    </w:p>
    <w:p w:rsidR="007C7D82" w:rsidRPr="0026329D" w:rsidRDefault="007C7D82" w:rsidP="001A1122">
      <w:pPr>
        <w:pStyle w:val="Heading2"/>
        <w:rPr>
          <w:lang w:val="en-CA"/>
        </w:rPr>
      </w:pPr>
      <w:r w:rsidRPr="0026329D">
        <w:rPr>
          <w:i/>
          <w:lang w:val="en-CA"/>
        </w:rPr>
        <w:t>Servicing sector</w:t>
      </w:r>
      <w:r w:rsidRPr="0026329D">
        <w:rPr>
          <w:lang w:val="en-CA"/>
        </w:rPr>
        <w:t xml:space="preserve">: Based on activities carried out </w:t>
      </w:r>
      <w:r w:rsidR="001A1122" w:rsidRPr="0026329D">
        <w:rPr>
          <w:lang w:val="en-CA"/>
        </w:rPr>
        <w:t xml:space="preserve">during </w:t>
      </w:r>
      <w:r w:rsidR="00A81DEE" w:rsidRPr="0026329D">
        <w:rPr>
          <w:lang w:val="en-CA"/>
        </w:rPr>
        <w:t>stages </w:t>
      </w:r>
      <w:r w:rsidR="001A1122" w:rsidRPr="0026329D">
        <w:rPr>
          <w:lang w:val="en-CA"/>
        </w:rPr>
        <w:t>I and II</w:t>
      </w:r>
      <w:r w:rsidRPr="0026329D">
        <w:rPr>
          <w:lang w:val="en-CA"/>
        </w:rPr>
        <w:t>, the revised extended sector plan will focus on the servicing sector code and qualification requirements, revision of relevant policies and standards, capacity building for EEBs and customs, publicity and training</w:t>
      </w:r>
      <w:r w:rsidR="001A1122" w:rsidRPr="0026329D">
        <w:rPr>
          <w:lang w:val="en-CA"/>
        </w:rPr>
        <w:t xml:space="preserve"> of technicians</w:t>
      </w:r>
      <w:r w:rsidRPr="0026329D">
        <w:rPr>
          <w:lang w:val="en-CA"/>
        </w:rPr>
        <w:t xml:space="preserve">, </w:t>
      </w:r>
      <w:r w:rsidR="001A1122" w:rsidRPr="0026329D">
        <w:rPr>
          <w:lang w:val="en-CA"/>
        </w:rPr>
        <w:t xml:space="preserve">and </w:t>
      </w:r>
      <w:r w:rsidRPr="0026329D">
        <w:rPr>
          <w:lang w:val="en-CA"/>
        </w:rPr>
        <w:t xml:space="preserve">coordinate with </w:t>
      </w:r>
      <w:r w:rsidR="001A1122" w:rsidRPr="0026329D">
        <w:rPr>
          <w:lang w:val="en-CA"/>
        </w:rPr>
        <w:t xml:space="preserve">the </w:t>
      </w:r>
      <w:r w:rsidRPr="0026329D">
        <w:rPr>
          <w:lang w:val="en-CA"/>
        </w:rPr>
        <w:t xml:space="preserve">conversion of </w:t>
      </w:r>
      <w:r w:rsidR="001A1122" w:rsidRPr="0026329D">
        <w:rPr>
          <w:lang w:val="en-CA"/>
        </w:rPr>
        <w:t xml:space="preserve">the relevant </w:t>
      </w:r>
      <w:r w:rsidRPr="0026329D">
        <w:rPr>
          <w:lang w:val="en-CA"/>
        </w:rPr>
        <w:t>manufacturing sector</w:t>
      </w:r>
      <w:r w:rsidR="001A1122" w:rsidRPr="0026329D">
        <w:rPr>
          <w:lang w:val="en-CA"/>
        </w:rPr>
        <w:t xml:space="preserve"> plans</w:t>
      </w:r>
      <w:r w:rsidRPr="0026329D">
        <w:rPr>
          <w:lang w:val="en-CA"/>
        </w:rPr>
        <w:t xml:space="preserve">, </w:t>
      </w:r>
      <w:r w:rsidR="001A1122" w:rsidRPr="0026329D">
        <w:rPr>
          <w:lang w:val="en-CA"/>
        </w:rPr>
        <w:t xml:space="preserve">to </w:t>
      </w:r>
      <w:r w:rsidRPr="0026329D">
        <w:rPr>
          <w:lang w:val="en-CA"/>
        </w:rPr>
        <w:t>meet the long-term compliance requirements (UNEP, Governments of Germany and Japan) (</w:t>
      </w:r>
      <w:r w:rsidR="00475A50" w:rsidRPr="0026329D">
        <w:rPr>
          <w:lang w:val="en-CA"/>
        </w:rPr>
        <w:t>US $</w:t>
      </w:r>
      <w:r w:rsidRPr="0026329D">
        <w:rPr>
          <w:lang w:val="en-CA"/>
        </w:rPr>
        <w:t>12,717,105).</w:t>
      </w:r>
    </w:p>
    <w:p w:rsidR="007C7D82" w:rsidRPr="0026329D" w:rsidRDefault="007C7D82" w:rsidP="001A1122">
      <w:pPr>
        <w:pStyle w:val="Heading2"/>
        <w:rPr>
          <w:lang w:val="en-CA"/>
        </w:rPr>
      </w:pPr>
      <w:r w:rsidRPr="0026329D">
        <w:rPr>
          <w:i/>
          <w:lang w:val="en-CA"/>
        </w:rPr>
        <w:t>XPS foam sector:</w:t>
      </w:r>
      <w:r w:rsidRPr="0026329D">
        <w:rPr>
          <w:lang w:val="en-CA"/>
        </w:rPr>
        <w:t xml:space="preserve"> Based on the limited funding, the number of investment projects </w:t>
      </w:r>
      <w:r w:rsidR="00CF197A" w:rsidRPr="0026329D">
        <w:rPr>
          <w:lang w:val="en-CA"/>
        </w:rPr>
        <w:t xml:space="preserve">in the revised sector plan </w:t>
      </w:r>
      <w:r w:rsidRPr="0026329D">
        <w:rPr>
          <w:lang w:val="en-CA"/>
        </w:rPr>
        <w:t xml:space="preserve">has to be significantly reduced to 11 enterprises. </w:t>
      </w:r>
      <w:r w:rsidR="00CF197A" w:rsidRPr="0026329D">
        <w:rPr>
          <w:lang w:val="en-CA"/>
        </w:rPr>
        <w:t xml:space="preserve">The </w:t>
      </w:r>
      <w:r w:rsidRPr="0026329D">
        <w:rPr>
          <w:lang w:val="en-CA"/>
        </w:rPr>
        <w:t xml:space="preserve">support for technical assistance </w:t>
      </w:r>
      <w:r w:rsidR="00D15333" w:rsidRPr="0026329D">
        <w:rPr>
          <w:lang w:val="en-CA"/>
        </w:rPr>
        <w:t xml:space="preserve">(TA) </w:t>
      </w:r>
      <w:r w:rsidRPr="0026329D">
        <w:rPr>
          <w:lang w:val="en-CA"/>
        </w:rPr>
        <w:t xml:space="preserve">activities such as publicity, training, supervision and management, research on the optimization of alternative technologies, and the formulation and revision of policies and standards </w:t>
      </w:r>
      <w:r w:rsidR="00CF197A" w:rsidRPr="0026329D">
        <w:rPr>
          <w:lang w:val="en-CA"/>
        </w:rPr>
        <w:t xml:space="preserve">would be strengthened </w:t>
      </w:r>
      <w:r w:rsidRPr="0026329D">
        <w:rPr>
          <w:lang w:val="en-CA"/>
        </w:rPr>
        <w:t>(UNIDO, Government of Germany) (</w:t>
      </w:r>
      <w:r w:rsidR="00475A50" w:rsidRPr="0026329D">
        <w:rPr>
          <w:lang w:val="en-CA"/>
        </w:rPr>
        <w:t>US $</w:t>
      </w:r>
      <w:r w:rsidRPr="0026329D">
        <w:rPr>
          <w:lang w:val="en-CA"/>
        </w:rPr>
        <w:t>18,534,654);</w:t>
      </w:r>
    </w:p>
    <w:p w:rsidR="007C7D82" w:rsidRPr="0026329D" w:rsidRDefault="007C7D82" w:rsidP="001A1122">
      <w:pPr>
        <w:pStyle w:val="Heading2"/>
        <w:rPr>
          <w:lang w:val="en-CA"/>
        </w:rPr>
      </w:pPr>
      <w:r w:rsidRPr="0026329D">
        <w:rPr>
          <w:i/>
          <w:lang w:val="en-CA"/>
        </w:rPr>
        <w:t>PU foam sector:</w:t>
      </w:r>
      <w:r w:rsidRPr="0026329D">
        <w:rPr>
          <w:lang w:val="en-CA"/>
        </w:rPr>
        <w:t xml:space="preserve"> Considering the limited funding</w:t>
      </w:r>
      <w:r w:rsidR="00CF197A" w:rsidRPr="0026329D">
        <w:rPr>
          <w:lang w:val="en-CA"/>
        </w:rPr>
        <w:t>,</w:t>
      </w:r>
      <w:r w:rsidRPr="0026329D">
        <w:rPr>
          <w:lang w:val="en-CA"/>
        </w:rPr>
        <w:t xml:space="preserve"> the project will focus </w:t>
      </w:r>
      <w:r w:rsidR="00437C01" w:rsidRPr="0026329D">
        <w:rPr>
          <w:lang w:val="en-CA"/>
        </w:rPr>
        <w:t xml:space="preserve">on </w:t>
      </w:r>
      <w:r w:rsidRPr="0026329D">
        <w:rPr>
          <w:lang w:val="en-CA"/>
        </w:rPr>
        <w:t>the conversion needs of SMEs</w:t>
      </w:r>
      <w:r w:rsidR="00421B65" w:rsidRPr="0026329D">
        <w:rPr>
          <w:lang w:val="en-CA"/>
        </w:rPr>
        <w:t>,</w:t>
      </w:r>
      <w:r w:rsidR="00437C01" w:rsidRPr="0026329D">
        <w:rPr>
          <w:lang w:val="en-CA"/>
        </w:rPr>
        <w:t xml:space="preserve"> </w:t>
      </w:r>
      <w:r w:rsidRPr="0026329D">
        <w:rPr>
          <w:lang w:val="en-CA"/>
        </w:rPr>
        <w:t xml:space="preserve">strengthen the role of system houses, and provide more funding to support conversion of SMEs. </w:t>
      </w:r>
      <w:r w:rsidR="00D15333" w:rsidRPr="0026329D">
        <w:rPr>
          <w:lang w:val="en-CA"/>
        </w:rPr>
        <w:t>TA </w:t>
      </w:r>
      <w:r w:rsidRPr="0026329D">
        <w:rPr>
          <w:lang w:val="en-CA"/>
        </w:rPr>
        <w:t xml:space="preserve">activities such as publicity, training, supervision and management, research on the optimization of alternative technologies, and the formulation and revision of policies and standards </w:t>
      </w:r>
      <w:r w:rsidR="00437C01" w:rsidRPr="0026329D">
        <w:rPr>
          <w:lang w:val="en-CA"/>
        </w:rPr>
        <w:t xml:space="preserve">will be strengthened </w:t>
      </w:r>
      <w:r w:rsidRPr="0026329D">
        <w:rPr>
          <w:lang w:val="en-CA"/>
        </w:rPr>
        <w:t>(World Bank) (</w:t>
      </w:r>
      <w:r w:rsidR="00475A50" w:rsidRPr="0026329D">
        <w:rPr>
          <w:lang w:val="en-CA"/>
        </w:rPr>
        <w:t>US $</w:t>
      </w:r>
      <w:r w:rsidRPr="0026329D">
        <w:rPr>
          <w:lang w:val="en-CA"/>
        </w:rPr>
        <w:t>19,200,000);</w:t>
      </w:r>
    </w:p>
    <w:p w:rsidR="007C7D82" w:rsidRPr="0026329D" w:rsidRDefault="007C7D82" w:rsidP="001A1122">
      <w:pPr>
        <w:pStyle w:val="Heading2"/>
        <w:rPr>
          <w:lang w:val="en-CA"/>
        </w:rPr>
      </w:pPr>
      <w:r w:rsidRPr="0026329D">
        <w:rPr>
          <w:i/>
          <w:lang w:val="en-CA"/>
        </w:rPr>
        <w:t>Solvent sector:</w:t>
      </w:r>
      <w:r w:rsidRPr="0026329D">
        <w:rPr>
          <w:lang w:val="en-CA"/>
        </w:rPr>
        <w:t xml:space="preserve"> Considering the complexity of sub-sectors</w:t>
      </w:r>
      <w:r w:rsidR="00437C01" w:rsidRPr="0026329D">
        <w:rPr>
          <w:lang w:val="en-CA"/>
        </w:rPr>
        <w:t>,</w:t>
      </w:r>
      <w:r w:rsidRPr="0026329D">
        <w:rPr>
          <w:lang w:val="en-CA"/>
        </w:rPr>
        <w:t xml:space="preserve"> variety of requirements and process for solvent cleaner, based on the investment projects already implemented </w:t>
      </w:r>
      <w:r w:rsidR="00437C01" w:rsidRPr="0026329D">
        <w:rPr>
          <w:lang w:val="en-CA"/>
        </w:rPr>
        <w:t xml:space="preserve">during </w:t>
      </w:r>
      <w:r w:rsidR="00A81DEE" w:rsidRPr="0026329D">
        <w:rPr>
          <w:lang w:val="en-CA"/>
        </w:rPr>
        <w:t>stages </w:t>
      </w:r>
      <w:r w:rsidRPr="0026329D">
        <w:rPr>
          <w:lang w:val="en-CA"/>
        </w:rPr>
        <w:t xml:space="preserve">I and II, limited investment projects </w:t>
      </w:r>
      <w:r w:rsidR="00437C01" w:rsidRPr="0026329D">
        <w:rPr>
          <w:lang w:val="en-CA"/>
        </w:rPr>
        <w:t>will be implemented</w:t>
      </w:r>
      <w:r w:rsidRPr="0026329D">
        <w:rPr>
          <w:lang w:val="en-CA"/>
        </w:rPr>
        <w:t xml:space="preserve">, and </w:t>
      </w:r>
      <w:r w:rsidR="00D15333" w:rsidRPr="0026329D">
        <w:rPr>
          <w:lang w:val="en-CA"/>
        </w:rPr>
        <w:t>TA </w:t>
      </w:r>
      <w:r w:rsidRPr="0026329D">
        <w:rPr>
          <w:lang w:val="en-CA"/>
        </w:rPr>
        <w:t xml:space="preserve">activities </w:t>
      </w:r>
      <w:r w:rsidR="00437C01" w:rsidRPr="0026329D">
        <w:rPr>
          <w:i/>
          <w:lang w:val="en-CA"/>
        </w:rPr>
        <w:t xml:space="preserve">inter alia </w:t>
      </w:r>
      <w:r w:rsidRPr="0026329D">
        <w:rPr>
          <w:lang w:val="en-CA"/>
        </w:rPr>
        <w:t xml:space="preserve">revision of relevant policies and standards, publicity and training, supervision and management, </w:t>
      </w:r>
      <w:r w:rsidR="00437C01" w:rsidRPr="0026329D">
        <w:rPr>
          <w:lang w:val="en-CA"/>
        </w:rPr>
        <w:t xml:space="preserve">will be strengthened </w:t>
      </w:r>
      <w:r w:rsidRPr="0026329D">
        <w:rPr>
          <w:lang w:val="en-CA"/>
        </w:rPr>
        <w:t>(UNDP) (</w:t>
      </w:r>
      <w:r w:rsidR="00475A50" w:rsidRPr="0026329D">
        <w:rPr>
          <w:lang w:val="en-CA"/>
        </w:rPr>
        <w:t>US $</w:t>
      </w:r>
      <w:r w:rsidRPr="0026329D">
        <w:rPr>
          <w:lang w:val="en-CA"/>
        </w:rPr>
        <w:t>6,023,431).</w:t>
      </w:r>
    </w:p>
    <w:p w:rsidR="0050075B" w:rsidRPr="0026329D" w:rsidRDefault="003A0843" w:rsidP="00BD1678">
      <w:pPr>
        <w:rPr>
          <w:b/>
          <w:lang w:val="en-CA"/>
        </w:rPr>
      </w:pPr>
      <w:r w:rsidRPr="0026329D">
        <w:rPr>
          <w:b/>
          <w:lang w:val="en-CA"/>
        </w:rPr>
        <w:t>Draft r</w:t>
      </w:r>
      <w:r w:rsidR="0050075B" w:rsidRPr="0026329D">
        <w:rPr>
          <w:b/>
          <w:lang w:val="en-CA"/>
        </w:rPr>
        <w:t xml:space="preserve">evised Agreement for </w:t>
      </w:r>
      <w:r w:rsidR="00A81DEE" w:rsidRPr="0026329D">
        <w:rPr>
          <w:b/>
          <w:lang w:val="en-CA"/>
        </w:rPr>
        <w:t>stage </w:t>
      </w:r>
      <w:r w:rsidR="0050075B" w:rsidRPr="0026329D">
        <w:rPr>
          <w:b/>
          <w:lang w:val="en-CA"/>
        </w:rPr>
        <w:t xml:space="preserve">II of the HPMP </w:t>
      </w:r>
    </w:p>
    <w:p w:rsidR="00BD1678" w:rsidRPr="0026329D" w:rsidRDefault="00BD1678" w:rsidP="00BD1678">
      <w:pPr>
        <w:rPr>
          <w:u w:val="single"/>
          <w:lang w:val="en-CA"/>
        </w:rPr>
      </w:pPr>
    </w:p>
    <w:p w:rsidR="0050075B" w:rsidRPr="0026329D" w:rsidRDefault="0050075B" w:rsidP="00BD1678">
      <w:pPr>
        <w:pStyle w:val="Heading1"/>
        <w:rPr>
          <w:lang w:val="en-CA"/>
        </w:rPr>
      </w:pPr>
      <w:r w:rsidRPr="0026329D">
        <w:rPr>
          <w:lang w:val="en-CA"/>
        </w:rPr>
        <w:t xml:space="preserve">In line with decision 84/69(a)(vii), UNDP as the lead implementing agency of the overall </w:t>
      </w:r>
      <w:r w:rsidR="00A81DEE" w:rsidRPr="0026329D">
        <w:rPr>
          <w:lang w:val="en-CA"/>
        </w:rPr>
        <w:t>stage </w:t>
      </w:r>
      <w:r w:rsidRPr="0026329D">
        <w:rPr>
          <w:lang w:val="en-CA"/>
        </w:rPr>
        <w:t>II of the HPMP</w:t>
      </w:r>
      <w:r w:rsidR="00BD1678" w:rsidRPr="0026329D">
        <w:rPr>
          <w:lang w:val="en-CA"/>
        </w:rPr>
        <w:t>,</w:t>
      </w:r>
      <w:r w:rsidRPr="0026329D">
        <w:rPr>
          <w:lang w:val="en-CA"/>
        </w:rPr>
        <w:t xml:space="preserve"> submitted a draft revised Agreement reflecting only the relevant outcomes approved at the 84</w:t>
      </w:r>
      <w:r w:rsidRPr="0026329D">
        <w:rPr>
          <w:vertAlign w:val="superscript"/>
          <w:lang w:val="en-CA"/>
        </w:rPr>
        <w:t>th </w:t>
      </w:r>
      <w:r w:rsidRPr="0026329D">
        <w:rPr>
          <w:lang w:val="en-CA"/>
        </w:rPr>
        <w:t xml:space="preserve">meeting, specifically: </w:t>
      </w:r>
    </w:p>
    <w:p w:rsidR="0050075B" w:rsidRPr="0026329D" w:rsidRDefault="0050075B" w:rsidP="0050075B">
      <w:pPr>
        <w:pStyle w:val="Heading2"/>
        <w:rPr>
          <w:lang w:val="en-CA"/>
        </w:rPr>
      </w:pPr>
      <w:r w:rsidRPr="0026329D">
        <w:rPr>
          <w:lang w:val="en-CA"/>
        </w:rPr>
        <w:t xml:space="preserve">Extension through 2026 of </w:t>
      </w:r>
      <w:r w:rsidR="00A81DEE" w:rsidRPr="0026329D">
        <w:rPr>
          <w:lang w:val="en-CA"/>
        </w:rPr>
        <w:t>stage </w:t>
      </w:r>
      <w:r w:rsidRPr="0026329D">
        <w:rPr>
          <w:lang w:val="en-CA"/>
        </w:rPr>
        <w:t>II of the RAC, ICR, and refrigeration servicing sectors and national enabling programme, and, for the RAC and ICR sector plans, the maximum allowable sectoral consumption levels of HCFC as described in rows 1.3.1 and 1.3.4</w:t>
      </w:r>
      <w:r w:rsidR="007C592E" w:rsidRPr="0026329D">
        <w:rPr>
          <w:lang w:val="en-CA"/>
        </w:rPr>
        <w:t xml:space="preserve"> of Appendix 2-A</w:t>
      </w:r>
      <w:r w:rsidRPr="0026329D">
        <w:rPr>
          <w:lang w:val="en-CA"/>
        </w:rPr>
        <w:t>, and revisions to Appendix 8-A;</w:t>
      </w:r>
    </w:p>
    <w:p w:rsidR="0050075B" w:rsidRPr="0026329D" w:rsidRDefault="0050075B" w:rsidP="0050075B">
      <w:pPr>
        <w:pStyle w:val="Heading2"/>
        <w:rPr>
          <w:lang w:val="en-CA"/>
        </w:rPr>
      </w:pPr>
      <w:r w:rsidRPr="0026329D">
        <w:rPr>
          <w:lang w:val="en-CA"/>
        </w:rPr>
        <w:t xml:space="preserve">Figures for potential revisions to Appendix 2-A for: </w:t>
      </w:r>
    </w:p>
    <w:p w:rsidR="0050075B" w:rsidRPr="0026329D" w:rsidRDefault="0050075B" w:rsidP="0050075B">
      <w:pPr>
        <w:pStyle w:val="Heading3"/>
        <w:rPr>
          <w:lang w:val="en-CA"/>
        </w:rPr>
      </w:pPr>
      <w:r w:rsidRPr="0026329D">
        <w:rPr>
          <w:lang w:val="en-CA"/>
        </w:rPr>
        <w:t>Row 1.2 specifying the maximum allowable total consumption of HCFCs in 2021</w:t>
      </w:r>
      <w:r w:rsidRPr="0026329D">
        <w:rPr>
          <w:lang w:val="en-CA"/>
        </w:rPr>
        <w:noBreakHyphen/>
        <w:t>2026 to re</w:t>
      </w:r>
      <w:r w:rsidR="00924A79" w:rsidRPr="0026329D">
        <w:rPr>
          <w:lang w:val="en-CA"/>
        </w:rPr>
        <w:t>flect the information under sub-</w:t>
      </w:r>
      <w:r w:rsidRPr="0026329D">
        <w:rPr>
          <w:lang w:val="en-CA"/>
        </w:rPr>
        <w:t xml:space="preserve">paragraph (a), above; </w:t>
      </w:r>
    </w:p>
    <w:p w:rsidR="0050075B" w:rsidRPr="0026329D" w:rsidRDefault="0050075B" w:rsidP="0050075B">
      <w:pPr>
        <w:pStyle w:val="Heading3"/>
        <w:rPr>
          <w:lang w:val="en-CA"/>
        </w:rPr>
      </w:pPr>
      <w:r w:rsidRPr="0026329D">
        <w:rPr>
          <w:lang w:val="en-CA"/>
        </w:rPr>
        <w:t>The XPS foam, PU foam and solvent sector funding tranches for 2021</w:t>
      </w:r>
      <w:r w:rsidR="00880478" w:rsidRPr="0026329D">
        <w:rPr>
          <w:lang w:val="en-CA"/>
        </w:rPr>
        <w:t>-</w:t>
      </w:r>
      <w:r w:rsidRPr="0026329D">
        <w:rPr>
          <w:lang w:val="en-CA"/>
        </w:rPr>
        <w:t>2026 in rows 2.2.1 to 2.2.4, 2.3.1 to 2.3.2 and 2.6.1 to 2.6.2, respectively; and</w:t>
      </w:r>
    </w:p>
    <w:p w:rsidR="00BD1BAC" w:rsidRPr="0026329D" w:rsidRDefault="0050075B" w:rsidP="0050075B">
      <w:pPr>
        <w:pStyle w:val="Heading3"/>
        <w:rPr>
          <w:lang w:val="en-CA"/>
        </w:rPr>
      </w:pPr>
      <w:r w:rsidRPr="0026329D">
        <w:rPr>
          <w:lang w:val="en-CA"/>
        </w:rPr>
        <w:t>Tonnages associated with rows 4.1.1 to 4.6.3 to reflect the information in sub</w:t>
      </w:r>
      <w:r w:rsidRPr="0026329D">
        <w:rPr>
          <w:lang w:val="en-CA"/>
        </w:rPr>
        <w:noBreakHyphen/>
        <w:t>paragraphs (a), above</w:t>
      </w:r>
      <w:r w:rsidR="00BD1BAC" w:rsidRPr="0026329D">
        <w:rPr>
          <w:lang w:val="en-CA"/>
        </w:rPr>
        <w:t>; and</w:t>
      </w:r>
    </w:p>
    <w:p w:rsidR="0050075B" w:rsidRPr="0026329D" w:rsidRDefault="00BD1BAC" w:rsidP="00BD1BAC">
      <w:pPr>
        <w:pStyle w:val="Heading2"/>
        <w:rPr>
          <w:lang w:val="en-CA"/>
        </w:rPr>
      </w:pPr>
      <w:r w:rsidRPr="0026329D">
        <w:rPr>
          <w:lang w:val="en-CA"/>
        </w:rPr>
        <w:t xml:space="preserve">A revised penalty </w:t>
      </w:r>
      <w:r w:rsidR="00880478" w:rsidRPr="0026329D">
        <w:rPr>
          <w:lang w:val="en-CA"/>
        </w:rPr>
        <w:t xml:space="preserve">clause </w:t>
      </w:r>
      <w:r w:rsidRPr="0026329D">
        <w:rPr>
          <w:lang w:val="en-CA"/>
        </w:rPr>
        <w:t>in Appendix 7-A in line with the revised level of funding and HCFC phase-out</w:t>
      </w:r>
      <w:r w:rsidR="0050075B" w:rsidRPr="0026329D">
        <w:rPr>
          <w:lang w:val="en-CA"/>
        </w:rPr>
        <w:t>.</w:t>
      </w:r>
    </w:p>
    <w:p w:rsidR="0050075B" w:rsidRPr="0026329D" w:rsidRDefault="0050075B" w:rsidP="0050075B">
      <w:pPr>
        <w:pStyle w:val="Heading1"/>
        <w:rPr>
          <w:lang w:val="en-CA"/>
        </w:rPr>
      </w:pPr>
      <w:r w:rsidRPr="0026329D">
        <w:rPr>
          <w:lang w:val="en-CA"/>
        </w:rPr>
        <w:t>In addition, UNDP proposed changes to paragraphs 5(c) and 7(a)(iv), respectively, of the draft revised Agreement:</w:t>
      </w:r>
    </w:p>
    <w:p w:rsidR="0050075B" w:rsidRPr="0026329D" w:rsidRDefault="0050075B" w:rsidP="00F04F3B">
      <w:pPr>
        <w:pStyle w:val="Heading2"/>
        <w:rPr>
          <w:lang w:val="en-CA" w:bidi="en-US"/>
        </w:rPr>
      </w:pPr>
      <w:r w:rsidRPr="0026329D">
        <w:rPr>
          <w:lang w:val="en-CA"/>
        </w:rPr>
        <w:t xml:space="preserve">To clarify that </w:t>
      </w:r>
      <w:r w:rsidRPr="0026329D">
        <w:rPr>
          <w:lang w:val="en-CA" w:bidi="en-US"/>
        </w:rPr>
        <w:t>the random sample of the manufacturing lines to be verified in a given year represented at least 10</w:t>
      </w:r>
      <w:r w:rsidR="00A81DEE" w:rsidRPr="0026329D">
        <w:rPr>
          <w:lang w:val="en-CA" w:bidi="en-US"/>
        </w:rPr>
        <w:t> per cent</w:t>
      </w:r>
      <w:r w:rsidRPr="0026329D">
        <w:rPr>
          <w:lang w:val="en-CA" w:bidi="en-US"/>
        </w:rPr>
        <w:t xml:space="preserve"> of the consumption phased out in manufacturing lines </w:t>
      </w:r>
      <w:r w:rsidR="00B6798D" w:rsidRPr="0026329D">
        <w:rPr>
          <w:lang w:val="en-CA" w:bidi="en-US"/>
        </w:rPr>
        <w:t xml:space="preserve">converted with financial assistance from the Multilateral Fund </w:t>
      </w:r>
      <w:r w:rsidRPr="0026329D">
        <w:rPr>
          <w:lang w:val="en-CA" w:bidi="en-US"/>
        </w:rPr>
        <w:t>in the sector in that year; and</w:t>
      </w:r>
    </w:p>
    <w:p w:rsidR="0050075B" w:rsidRPr="0026329D" w:rsidRDefault="0050075B" w:rsidP="0050075B">
      <w:pPr>
        <w:pStyle w:val="Heading2"/>
        <w:rPr>
          <w:lang w:val="en-CA" w:bidi="en-US"/>
        </w:rPr>
      </w:pPr>
      <w:r w:rsidRPr="0026329D">
        <w:rPr>
          <w:lang w:val="en-CA" w:bidi="en-US"/>
        </w:rPr>
        <w:t>Changing the definition of a major change from 20</w:t>
      </w:r>
      <w:r w:rsidR="00A81DEE" w:rsidRPr="0026329D">
        <w:rPr>
          <w:lang w:val="en-CA" w:bidi="en-US"/>
        </w:rPr>
        <w:t> per cent</w:t>
      </w:r>
      <w:r w:rsidRPr="0026329D">
        <w:rPr>
          <w:lang w:val="en-CA" w:bidi="en-US"/>
        </w:rPr>
        <w:t xml:space="preserve"> of the total cost of the last approved tranche, or US $2.5 million, whichever is lower, to 30</w:t>
      </w:r>
      <w:r w:rsidR="00A81DEE" w:rsidRPr="0026329D">
        <w:rPr>
          <w:lang w:val="en-CA" w:bidi="en-US"/>
        </w:rPr>
        <w:t> per cent</w:t>
      </w:r>
      <w:r w:rsidRPr="0026329D">
        <w:rPr>
          <w:lang w:val="en-CA" w:bidi="en-US"/>
        </w:rPr>
        <w:t xml:space="preserve"> of the last approved tranche.</w:t>
      </w:r>
    </w:p>
    <w:p w:rsidR="002E5E10" w:rsidRPr="0026329D" w:rsidRDefault="002E5E10" w:rsidP="002E5E10">
      <w:pPr>
        <w:pStyle w:val="Heading1"/>
        <w:rPr>
          <w:lang w:val="en-CA"/>
        </w:rPr>
      </w:pPr>
      <w:r w:rsidRPr="0026329D">
        <w:rPr>
          <w:lang w:val="en-CA"/>
        </w:rPr>
        <w:t xml:space="preserve">The draft revised Agreement is presented in Annex II of the present document. </w:t>
      </w:r>
    </w:p>
    <w:p w:rsidR="00AC32BB" w:rsidRPr="0026329D" w:rsidRDefault="00AC32BB" w:rsidP="00AC32BB">
      <w:pPr>
        <w:rPr>
          <w:b/>
          <w:lang w:val="en-CA" w:bidi="en-US"/>
        </w:rPr>
      </w:pPr>
      <w:r w:rsidRPr="0026329D">
        <w:rPr>
          <w:b/>
          <w:lang w:val="en-CA" w:bidi="en-US"/>
        </w:rPr>
        <w:t>Secretariat’s comments</w:t>
      </w:r>
    </w:p>
    <w:p w:rsidR="00AC32BB" w:rsidRPr="0026329D" w:rsidRDefault="00AC32BB" w:rsidP="00AC32BB">
      <w:pPr>
        <w:rPr>
          <w:lang w:val="en-CA" w:bidi="en-US"/>
        </w:rPr>
      </w:pPr>
    </w:p>
    <w:p w:rsidR="00AC32BB" w:rsidRPr="0026329D" w:rsidRDefault="00AC32BB" w:rsidP="00AC32BB">
      <w:pPr>
        <w:pStyle w:val="Heading1"/>
        <w:rPr>
          <w:lang w:val="en-CA" w:bidi="en-US"/>
        </w:rPr>
      </w:pPr>
      <w:r w:rsidRPr="0026329D">
        <w:rPr>
          <w:lang w:val="en-CA" w:bidi="en-US"/>
        </w:rPr>
        <w:t xml:space="preserve">To facilitate the review of the revised </w:t>
      </w:r>
      <w:r w:rsidR="00A81DEE" w:rsidRPr="0026329D">
        <w:rPr>
          <w:lang w:val="en-CA" w:bidi="en-US"/>
        </w:rPr>
        <w:t>stage </w:t>
      </w:r>
      <w:r w:rsidRPr="0026329D">
        <w:rPr>
          <w:lang w:val="en-CA" w:bidi="en-US"/>
        </w:rPr>
        <w:t xml:space="preserve">II of the HPMP for China, the Secretariat consolidated </w:t>
      </w:r>
      <w:r w:rsidR="00421B65" w:rsidRPr="0026329D">
        <w:rPr>
          <w:lang w:val="en-CA" w:bidi="en-US"/>
        </w:rPr>
        <w:t xml:space="preserve">in Part III of the present document </w:t>
      </w:r>
      <w:r w:rsidRPr="0026329D">
        <w:rPr>
          <w:lang w:val="en-CA" w:bidi="en-US"/>
        </w:rPr>
        <w:t xml:space="preserve">the revised sector plans of </w:t>
      </w:r>
      <w:r w:rsidR="00A81DEE" w:rsidRPr="0026329D">
        <w:rPr>
          <w:lang w:val="en-CA" w:bidi="en-US"/>
        </w:rPr>
        <w:t>stage </w:t>
      </w:r>
      <w:r w:rsidRPr="0026329D">
        <w:rPr>
          <w:lang w:val="en-CA" w:bidi="en-US"/>
        </w:rPr>
        <w:t>II of the HPMP submitted separately by the lead implementing agency of each plan</w:t>
      </w:r>
      <w:r w:rsidR="00421B65" w:rsidRPr="0026329D">
        <w:rPr>
          <w:lang w:val="en-CA" w:bidi="en-US"/>
        </w:rPr>
        <w:t>.</w:t>
      </w:r>
      <w:r w:rsidRPr="0026329D">
        <w:rPr>
          <w:lang w:val="en-CA" w:bidi="en-US"/>
        </w:rPr>
        <w:t xml:space="preserve"> Specifi</w:t>
      </w:r>
      <w:r w:rsidR="002C2B2F" w:rsidRPr="0026329D">
        <w:rPr>
          <w:lang w:val="en-CA" w:bidi="en-US"/>
        </w:rPr>
        <w:t>c comments by the Secretariat f</w:t>
      </w:r>
      <w:r w:rsidRPr="0026329D">
        <w:rPr>
          <w:lang w:val="en-CA" w:bidi="en-US"/>
        </w:rPr>
        <w:t>o</w:t>
      </w:r>
      <w:r w:rsidR="002C2B2F" w:rsidRPr="0026329D">
        <w:rPr>
          <w:lang w:val="en-CA" w:bidi="en-US"/>
        </w:rPr>
        <w:t>r</w:t>
      </w:r>
      <w:r w:rsidRPr="0026329D">
        <w:rPr>
          <w:lang w:val="en-CA" w:bidi="en-US"/>
        </w:rPr>
        <w:t xml:space="preserve"> each sector plan </w:t>
      </w:r>
      <w:r w:rsidR="002C2B2F" w:rsidRPr="0026329D">
        <w:rPr>
          <w:lang w:val="en-CA" w:bidi="en-US"/>
        </w:rPr>
        <w:t xml:space="preserve">are </w:t>
      </w:r>
      <w:r w:rsidR="00421B65" w:rsidRPr="0026329D">
        <w:rPr>
          <w:lang w:val="en-CA" w:bidi="en-US"/>
        </w:rPr>
        <w:t xml:space="preserve">also </w:t>
      </w:r>
      <w:r w:rsidRPr="0026329D">
        <w:rPr>
          <w:lang w:val="en-CA" w:bidi="en-US"/>
        </w:rPr>
        <w:t>presented in Part III.</w:t>
      </w:r>
    </w:p>
    <w:p w:rsidR="009A2BA2" w:rsidRPr="0026329D" w:rsidRDefault="009A2BA2" w:rsidP="00D73C4C">
      <w:pPr>
        <w:pStyle w:val="Heading1"/>
        <w:rPr>
          <w:lang w:val="en-CA"/>
        </w:rPr>
      </w:pPr>
      <w:r w:rsidRPr="0026329D">
        <w:rPr>
          <w:lang w:val="en-CA"/>
        </w:rPr>
        <w:t xml:space="preserve">Under decision 84/69(a)(iii), the Executive Committee requested that the sector plans for the ICR and RAC </w:t>
      </w:r>
      <w:r w:rsidR="00D73C4C" w:rsidRPr="0026329D">
        <w:rPr>
          <w:lang w:val="en-CA"/>
        </w:rPr>
        <w:t>and the refrigeration servicing and enabling programme be extended from 202</w:t>
      </w:r>
      <w:r w:rsidR="00421B65" w:rsidRPr="0026329D">
        <w:rPr>
          <w:lang w:val="en-CA"/>
        </w:rPr>
        <w:t>1</w:t>
      </w:r>
      <w:r w:rsidR="00D73C4C" w:rsidRPr="0026329D">
        <w:rPr>
          <w:lang w:val="en-CA"/>
        </w:rPr>
        <w:t xml:space="preserve"> (as originally approved) to 2026. On this basis, the Secretariat refer</w:t>
      </w:r>
      <w:r w:rsidR="00421B65" w:rsidRPr="0026329D">
        <w:rPr>
          <w:lang w:val="en-CA"/>
        </w:rPr>
        <w:t>s</w:t>
      </w:r>
      <w:r w:rsidR="00D73C4C" w:rsidRPr="0026329D">
        <w:rPr>
          <w:lang w:val="en-CA"/>
        </w:rPr>
        <w:t xml:space="preserve"> to these three sector plans as </w:t>
      </w:r>
      <w:r w:rsidRPr="0026329D">
        <w:rPr>
          <w:lang w:val="en-CA"/>
        </w:rPr>
        <w:t>“revised extended plans of action”</w:t>
      </w:r>
      <w:r w:rsidR="00D73C4C" w:rsidRPr="0026329D">
        <w:rPr>
          <w:lang w:val="en-CA"/>
        </w:rPr>
        <w:t xml:space="preserve"> while for the </w:t>
      </w:r>
      <w:r w:rsidRPr="0026329D">
        <w:rPr>
          <w:lang w:val="en-CA"/>
        </w:rPr>
        <w:t>sector plan</w:t>
      </w:r>
      <w:r w:rsidR="00D73C4C" w:rsidRPr="0026329D">
        <w:rPr>
          <w:lang w:val="en-CA"/>
        </w:rPr>
        <w:t xml:space="preserve">s for the XPS foam, </w:t>
      </w:r>
      <w:r w:rsidRPr="0026329D">
        <w:rPr>
          <w:lang w:val="en-CA"/>
        </w:rPr>
        <w:t xml:space="preserve">PU </w:t>
      </w:r>
      <w:r w:rsidR="00880478" w:rsidRPr="0026329D">
        <w:rPr>
          <w:lang w:val="en-CA"/>
        </w:rPr>
        <w:t>foam</w:t>
      </w:r>
      <w:r w:rsidRPr="0026329D">
        <w:rPr>
          <w:lang w:val="en-CA"/>
        </w:rPr>
        <w:t xml:space="preserve"> and</w:t>
      </w:r>
      <w:r w:rsidR="00D73C4C" w:rsidRPr="0026329D">
        <w:rPr>
          <w:lang w:val="en-CA"/>
        </w:rPr>
        <w:t xml:space="preserve"> s</w:t>
      </w:r>
      <w:r w:rsidRPr="0026329D">
        <w:rPr>
          <w:lang w:val="en-CA"/>
        </w:rPr>
        <w:t xml:space="preserve">olvent </w:t>
      </w:r>
      <w:r w:rsidR="00D73C4C" w:rsidRPr="0026329D">
        <w:rPr>
          <w:lang w:val="en-CA"/>
        </w:rPr>
        <w:t xml:space="preserve">refer as “revised plans of action” (as only </w:t>
      </w:r>
      <w:r w:rsidR="008311B6" w:rsidRPr="0026329D">
        <w:rPr>
          <w:lang w:val="en-CA"/>
        </w:rPr>
        <w:t>the funding levels were adjusted</w:t>
      </w:r>
      <w:r w:rsidR="00D73C4C" w:rsidRPr="0026329D">
        <w:rPr>
          <w:lang w:val="en-CA"/>
        </w:rPr>
        <w:t>)</w:t>
      </w:r>
      <w:r w:rsidRPr="0026329D">
        <w:rPr>
          <w:lang w:val="en-CA"/>
        </w:rPr>
        <w:t>.</w:t>
      </w:r>
    </w:p>
    <w:p w:rsidR="0050075B" w:rsidRPr="0026329D" w:rsidRDefault="002E5E10" w:rsidP="0050075B">
      <w:pPr>
        <w:pStyle w:val="Heading1"/>
        <w:rPr>
          <w:u w:val="single"/>
          <w:lang w:val="en-CA"/>
        </w:rPr>
      </w:pPr>
      <w:r w:rsidRPr="0026329D">
        <w:rPr>
          <w:lang w:val="en-CA"/>
        </w:rPr>
        <w:t xml:space="preserve">With regard to the </w:t>
      </w:r>
      <w:r w:rsidR="0050075B" w:rsidRPr="0026329D">
        <w:rPr>
          <w:lang w:val="en-CA"/>
        </w:rPr>
        <w:t xml:space="preserve">draft </w:t>
      </w:r>
      <w:r w:rsidRPr="0026329D">
        <w:rPr>
          <w:lang w:val="en-CA"/>
        </w:rPr>
        <w:t xml:space="preserve">revised </w:t>
      </w:r>
      <w:r w:rsidR="0050075B" w:rsidRPr="0026329D">
        <w:rPr>
          <w:lang w:val="en-CA"/>
        </w:rPr>
        <w:t xml:space="preserve">Agreement </w:t>
      </w:r>
      <w:r w:rsidRPr="0026329D">
        <w:rPr>
          <w:lang w:val="en-CA"/>
        </w:rPr>
        <w:t>between the Government of China and the Executive Committee</w:t>
      </w:r>
      <w:r w:rsidR="0050075B" w:rsidRPr="0026329D">
        <w:rPr>
          <w:lang w:val="en-CA"/>
        </w:rPr>
        <w:t>, the Secretariat notes the following:</w:t>
      </w:r>
    </w:p>
    <w:p w:rsidR="002E50C6" w:rsidRPr="0026329D" w:rsidRDefault="0050075B" w:rsidP="00924A79">
      <w:pPr>
        <w:pStyle w:val="Heading2"/>
        <w:rPr>
          <w:lang w:val="en-CA"/>
        </w:rPr>
      </w:pPr>
      <w:r w:rsidRPr="0026329D">
        <w:rPr>
          <w:lang w:val="en-CA"/>
        </w:rPr>
        <w:t xml:space="preserve">The </w:t>
      </w:r>
      <w:r w:rsidR="00A516A1" w:rsidRPr="0026329D">
        <w:rPr>
          <w:lang w:val="en-CA"/>
        </w:rPr>
        <w:t>draft revised</w:t>
      </w:r>
      <w:r w:rsidRPr="0026329D">
        <w:rPr>
          <w:lang w:val="en-CA"/>
        </w:rPr>
        <w:t xml:space="preserve"> Agreement includes the adjustment to the agency support cost from 6.5 to 7.0 per cent of the second tranches approved for UNDP and UNIDO, in line with decision 81/45(a), which was not updated in the revised Appendix 2-A of the Agreement approved at the 84</w:t>
      </w:r>
      <w:r w:rsidRPr="0026329D">
        <w:rPr>
          <w:vertAlign w:val="superscript"/>
          <w:lang w:val="en-CA"/>
        </w:rPr>
        <w:t>th</w:t>
      </w:r>
      <w:r w:rsidRPr="0026329D">
        <w:rPr>
          <w:lang w:val="en-CA"/>
        </w:rPr>
        <w:t xml:space="preserve"> meeting; </w:t>
      </w:r>
    </w:p>
    <w:p w:rsidR="002E50C6" w:rsidRPr="0026329D" w:rsidRDefault="006F4665" w:rsidP="00924A79">
      <w:pPr>
        <w:pStyle w:val="Heading2"/>
        <w:rPr>
          <w:lang w:val="en-CA"/>
        </w:rPr>
      </w:pPr>
      <w:r w:rsidRPr="0026329D">
        <w:rPr>
          <w:lang w:val="en-CA"/>
        </w:rPr>
        <w:t>A</w:t>
      </w:r>
      <w:r w:rsidR="0050075B" w:rsidRPr="0026329D">
        <w:rPr>
          <w:lang w:val="en-CA"/>
        </w:rPr>
        <w:t>gency support costs for UNEP and</w:t>
      </w:r>
      <w:r w:rsidRPr="0026329D">
        <w:rPr>
          <w:lang w:val="en-CA"/>
        </w:rPr>
        <w:t xml:space="preserve"> the Government of Germany was</w:t>
      </w:r>
      <w:r w:rsidR="0050075B" w:rsidRPr="0026329D">
        <w:rPr>
          <w:lang w:val="en-CA"/>
        </w:rPr>
        <w:t xml:space="preserve"> adjusted to reflect adjusted totals approved in principle</w:t>
      </w:r>
      <w:r w:rsidR="002E50C6" w:rsidRPr="0026329D">
        <w:rPr>
          <w:lang w:val="en-CA"/>
        </w:rPr>
        <w:t xml:space="preserve">; and </w:t>
      </w:r>
    </w:p>
    <w:p w:rsidR="0050075B" w:rsidRPr="0026329D" w:rsidRDefault="008F35B8" w:rsidP="00924A79">
      <w:pPr>
        <w:pStyle w:val="Heading2"/>
        <w:rPr>
          <w:lang w:val="en-CA"/>
        </w:rPr>
      </w:pPr>
      <w:r w:rsidRPr="0026329D">
        <w:rPr>
          <w:lang w:val="en-CA"/>
        </w:rPr>
        <w:t xml:space="preserve">In Appendix 7-A, </w:t>
      </w:r>
      <w:r w:rsidR="003F16AA" w:rsidRPr="0026329D">
        <w:rPr>
          <w:lang w:val="en-CA"/>
        </w:rPr>
        <w:t xml:space="preserve">UNDP calculated the </w:t>
      </w:r>
      <w:r w:rsidR="002E50C6" w:rsidRPr="0026329D">
        <w:rPr>
          <w:lang w:val="en-CA"/>
        </w:rPr>
        <w:t xml:space="preserve">penalty at </w:t>
      </w:r>
      <w:r w:rsidR="00A81DEE" w:rsidRPr="0026329D">
        <w:rPr>
          <w:lang w:val="en-CA"/>
        </w:rPr>
        <w:t>US $</w:t>
      </w:r>
      <w:r w:rsidR="002E50C6" w:rsidRPr="0026329D">
        <w:rPr>
          <w:lang w:val="en-CA"/>
        </w:rPr>
        <w:t>40.32/ODP</w:t>
      </w:r>
      <w:r w:rsidRPr="0026329D">
        <w:rPr>
          <w:lang w:val="en-CA"/>
        </w:rPr>
        <w:t> </w:t>
      </w:r>
      <w:r w:rsidR="002E50C6" w:rsidRPr="0026329D">
        <w:rPr>
          <w:lang w:val="en-CA"/>
        </w:rPr>
        <w:t>kg, including in addition to the 11,556.44</w:t>
      </w:r>
      <w:r w:rsidR="0024474E" w:rsidRPr="0026329D">
        <w:rPr>
          <w:lang w:val="en-CA"/>
        </w:rPr>
        <w:t> ODP tonnes</w:t>
      </w:r>
      <w:r w:rsidR="002E50C6" w:rsidRPr="0026329D">
        <w:rPr>
          <w:lang w:val="en-CA"/>
        </w:rPr>
        <w:t xml:space="preserve"> of HCFCs to be phased out under </w:t>
      </w:r>
      <w:r w:rsidR="00A81DEE" w:rsidRPr="0026329D">
        <w:rPr>
          <w:lang w:val="en-CA"/>
        </w:rPr>
        <w:t>stage </w:t>
      </w:r>
      <w:r w:rsidR="002E50C6" w:rsidRPr="0026329D">
        <w:rPr>
          <w:lang w:val="en-CA"/>
        </w:rPr>
        <w:t>II, 716.50</w:t>
      </w:r>
      <w:r w:rsidR="0024474E" w:rsidRPr="0026329D">
        <w:rPr>
          <w:lang w:val="en-CA"/>
        </w:rPr>
        <w:t> ODP tonnes</w:t>
      </w:r>
      <w:r w:rsidR="002E50C6" w:rsidRPr="0026329D">
        <w:rPr>
          <w:lang w:val="en-CA"/>
        </w:rPr>
        <w:t xml:space="preserve"> phased out under </w:t>
      </w:r>
      <w:r w:rsidR="00BD1BAC" w:rsidRPr="0026329D">
        <w:rPr>
          <w:lang w:val="en-CA"/>
        </w:rPr>
        <w:t xml:space="preserve">the </w:t>
      </w:r>
      <w:r w:rsidR="002E50C6" w:rsidRPr="0026329D">
        <w:rPr>
          <w:lang w:val="en-CA"/>
        </w:rPr>
        <w:t>previous Agreement.</w:t>
      </w:r>
      <w:r w:rsidR="0050075B" w:rsidRPr="0026329D">
        <w:rPr>
          <w:lang w:val="en-CA"/>
        </w:rPr>
        <w:t xml:space="preserve"> </w:t>
      </w:r>
      <w:r w:rsidR="003F16AA" w:rsidRPr="0026329D">
        <w:rPr>
          <w:lang w:val="en-CA"/>
        </w:rPr>
        <w:t xml:space="preserve">As per the formula established in the template Agreement for </w:t>
      </w:r>
      <w:r w:rsidR="00A81DEE" w:rsidRPr="0026329D">
        <w:rPr>
          <w:lang w:val="en-CA"/>
        </w:rPr>
        <w:t>stage </w:t>
      </w:r>
      <w:r w:rsidR="003F16AA" w:rsidRPr="0026329D">
        <w:rPr>
          <w:lang w:val="en-CA"/>
        </w:rPr>
        <w:t>II of HPMPs</w:t>
      </w:r>
      <w:r w:rsidR="00872B3F" w:rsidRPr="0026329D">
        <w:rPr>
          <w:lang w:val="en-CA"/>
        </w:rPr>
        <w:t xml:space="preserve"> (i.e., two times the cost-effectiveness of the project in </w:t>
      </w:r>
      <w:r w:rsidR="00A81DEE" w:rsidRPr="0026329D">
        <w:rPr>
          <w:lang w:val="en-CA"/>
        </w:rPr>
        <w:t>US $</w:t>
      </w:r>
      <w:r w:rsidR="00872B3F" w:rsidRPr="0026329D">
        <w:rPr>
          <w:lang w:val="en-CA"/>
        </w:rPr>
        <w:t>/ODP kg)</w:t>
      </w:r>
      <w:r w:rsidR="003F16AA" w:rsidRPr="0026329D">
        <w:rPr>
          <w:lang w:val="en-CA"/>
        </w:rPr>
        <w:t>, t</w:t>
      </w:r>
      <w:r w:rsidR="002E50C6" w:rsidRPr="0026329D">
        <w:rPr>
          <w:lang w:val="en-CA"/>
        </w:rPr>
        <w:t>he Secretariat</w:t>
      </w:r>
      <w:r w:rsidR="003F16AA" w:rsidRPr="0026329D">
        <w:rPr>
          <w:lang w:val="en-CA"/>
        </w:rPr>
        <w:t xml:space="preserve"> calculated the penalty clause at US $42.82/ODP kg based exclusively on the </w:t>
      </w:r>
      <w:r w:rsidR="002E50C6" w:rsidRPr="0026329D">
        <w:rPr>
          <w:lang w:val="en-CA"/>
        </w:rPr>
        <w:t xml:space="preserve">tonnage </w:t>
      </w:r>
      <w:r w:rsidR="003F16AA" w:rsidRPr="0026329D">
        <w:rPr>
          <w:lang w:val="en-CA"/>
        </w:rPr>
        <w:t xml:space="preserve">to be </w:t>
      </w:r>
      <w:r w:rsidR="002E50C6" w:rsidRPr="0026329D">
        <w:rPr>
          <w:lang w:val="en-CA"/>
        </w:rPr>
        <w:t xml:space="preserve">phased out </w:t>
      </w:r>
      <w:r w:rsidR="003F16AA" w:rsidRPr="0026329D">
        <w:rPr>
          <w:lang w:val="en-CA"/>
        </w:rPr>
        <w:t xml:space="preserve">under </w:t>
      </w:r>
      <w:r w:rsidR="00A81DEE" w:rsidRPr="0026329D">
        <w:rPr>
          <w:lang w:val="en-CA"/>
        </w:rPr>
        <w:t>stage </w:t>
      </w:r>
      <w:r w:rsidR="003F16AA" w:rsidRPr="0026329D">
        <w:rPr>
          <w:lang w:val="en-CA"/>
        </w:rPr>
        <w:t>II</w:t>
      </w:r>
      <w:r w:rsidR="002E50C6" w:rsidRPr="0026329D">
        <w:rPr>
          <w:lang w:val="en-CA"/>
        </w:rPr>
        <w:t>.</w:t>
      </w:r>
    </w:p>
    <w:p w:rsidR="002E5E10" w:rsidRPr="0026329D" w:rsidRDefault="0050075B" w:rsidP="0050075B">
      <w:pPr>
        <w:pStyle w:val="Heading1"/>
        <w:rPr>
          <w:lang w:val="en-CA"/>
        </w:rPr>
      </w:pPr>
      <w:r w:rsidRPr="0026329D">
        <w:rPr>
          <w:lang w:val="en-CA"/>
        </w:rPr>
        <w:t>Decision 84/69(a)(vii) called for the submission of a draft revised Agreement reflecting only the relevant outcomes approved at the 84</w:t>
      </w:r>
      <w:r w:rsidRPr="0026329D">
        <w:rPr>
          <w:vertAlign w:val="superscript"/>
          <w:lang w:val="en-CA"/>
        </w:rPr>
        <w:t>th </w:t>
      </w:r>
      <w:r w:rsidRPr="0026329D">
        <w:rPr>
          <w:lang w:val="en-CA"/>
        </w:rPr>
        <w:t xml:space="preserve">meeting. The revised sector plans include a substantial increase in manufacturing line conversions for which funding was not allocated. Accordingly, the Secretariat considers the change proposed to paragraph 5(c) to be consistent with </w:t>
      </w:r>
      <w:r w:rsidR="00A81DEE" w:rsidRPr="0026329D">
        <w:rPr>
          <w:lang w:val="en-CA"/>
        </w:rPr>
        <w:t>decision </w:t>
      </w:r>
      <w:r w:rsidRPr="0026329D">
        <w:rPr>
          <w:lang w:val="en-CA"/>
        </w:rPr>
        <w:t xml:space="preserve">84/69(a)(vii) and the Executive Committee’s intent to independently verify a random sample of manufacturing lines that were converted with Multilateral Fund assistance. </w:t>
      </w:r>
    </w:p>
    <w:p w:rsidR="0050075B" w:rsidRPr="0026329D" w:rsidRDefault="002E5E10" w:rsidP="00924A79">
      <w:pPr>
        <w:pStyle w:val="Heading1"/>
        <w:rPr>
          <w:lang w:val="en-CA"/>
        </w:rPr>
      </w:pPr>
      <w:r w:rsidRPr="0026329D">
        <w:rPr>
          <w:lang w:val="en-CA"/>
        </w:rPr>
        <w:t>W</w:t>
      </w:r>
      <w:r w:rsidR="0050075B" w:rsidRPr="0026329D">
        <w:rPr>
          <w:lang w:val="en-CA"/>
        </w:rPr>
        <w:t xml:space="preserve">hile the Secretariat </w:t>
      </w:r>
      <w:r w:rsidRPr="0026329D">
        <w:rPr>
          <w:lang w:val="en-CA"/>
        </w:rPr>
        <w:t xml:space="preserve">notes </w:t>
      </w:r>
      <w:r w:rsidR="0050075B" w:rsidRPr="0026329D">
        <w:rPr>
          <w:lang w:val="en-CA"/>
        </w:rPr>
        <w:t xml:space="preserve">the </w:t>
      </w:r>
      <w:r w:rsidRPr="0026329D">
        <w:rPr>
          <w:lang w:val="en-CA"/>
        </w:rPr>
        <w:t xml:space="preserve">wish of the </w:t>
      </w:r>
      <w:r w:rsidR="0050075B" w:rsidRPr="0026329D">
        <w:rPr>
          <w:lang w:val="en-CA"/>
        </w:rPr>
        <w:t xml:space="preserve">Government of China for additional flexibility in implementing the sector plans by changing the definition of a major change, </w:t>
      </w:r>
      <w:r w:rsidR="00807DD1" w:rsidRPr="0026329D">
        <w:rPr>
          <w:lang w:val="en-CA"/>
        </w:rPr>
        <w:t>and that China was achieving a gr</w:t>
      </w:r>
      <w:r w:rsidR="008F35B8" w:rsidRPr="0026329D">
        <w:rPr>
          <w:lang w:val="en-CA"/>
        </w:rPr>
        <w:t>e</w:t>
      </w:r>
      <w:r w:rsidR="00807DD1" w:rsidRPr="0026329D">
        <w:rPr>
          <w:lang w:val="en-CA"/>
        </w:rPr>
        <w:t xml:space="preserve">ater phase-out with less funding from the Multilateral Fund, </w:t>
      </w:r>
      <w:r w:rsidR="0050075B" w:rsidRPr="0026329D">
        <w:rPr>
          <w:lang w:val="en-CA"/>
        </w:rPr>
        <w:t>the Secretariat did not consider that the proposed change in paragraph 7(a)(iv) reflects the outcomes approved at the 84</w:t>
      </w:r>
      <w:r w:rsidR="0050075B" w:rsidRPr="0026329D">
        <w:rPr>
          <w:vertAlign w:val="superscript"/>
          <w:lang w:val="en-CA"/>
        </w:rPr>
        <w:t>th</w:t>
      </w:r>
      <w:r w:rsidR="009B3FC3" w:rsidRPr="0026329D">
        <w:rPr>
          <w:lang w:val="en-CA"/>
        </w:rPr>
        <w:t> meeting</w:t>
      </w:r>
      <w:r w:rsidR="0050075B" w:rsidRPr="0026329D">
        <w:rPr>
          <w:lang w:val="en-CA"/>
        </w:rPr>
        <w:t xml:space="preserve">, and therefore is not consistent with </w:t>
      </w:r>
      <w:r w:rsidR="00A81DEE" w:rsidRPr="0026329D">
        <w:rPr>
          <w:lang w:val="en-CA"/>
        </w:rPr>
        <w:t>decision </w:t>
      </w:r>
      <w:r w:rsidR="0050075B" w:rsidRPr="0026329D">
        <w:rPr>
          <w:lang w:val="en-CA"/>
        </w:rPr>
        <w:t>84/69(a)(vii).</w:t>
      </w:r>
      <w:r w:rsidR="00807DD1" w:rsidRPr="0026329D">
        <w:rPr>
          <w:lang w:val="en-CA"/>
        </w:rPr>
        <w:t xml:space="preserve"> The Government of China, through UNDP, indicated it considered the additional flexibility request to be in line with decision 84/69.</w:t>
      </w:r>
      <w:r w:rsidR="0050075B" w:rsidRPr="0026329D">
        <w:rPr>
          <w:lang w:val="en-CA"/>
        </w:rPr>
        <w:t xml:space="preserve"> The Executive Committee may wish to consider whether to include that change proposed by UNDP.</w:t>
      </w:r>
    </w:p>
    <w:p w:rsidR="007C7D82" w:rsidRPr="0026329D" w:rsidRDefault="003304E4" w:rsidP="007C7D82">
      <w:pPr>
        <w:tabs>
          <w:tab w:val="left" w:pos="8280"/>
        </w:tabs>
        <w:rPr>
          <w:b/>
          <w:lang w:val="en-CA"/>
        </w:rPr>
      </w:pPr>
      <w:r w:rsidRPr="0026329D">
        <w:rPr>
          <w:b/>
          <w:lang w:val="en-CA"/>
        </w:rPr>
        <w:t>Recommendation</w:t>
      </w:r>
    </w:p>
    <w:p w:rsidR="007C7D82" w:rsidRPr="0026329D" w:rsidRDefault="007C7D82" w:rsidP="007C7D82">
      <w:pPr>
        <w:tabs>
          <w:tab w:val="left" w:pos="8280"/>
        </w:tabs>
        <w:rPr>
          <w:lang w:val="en-CA"/>
        </w:rPr>
      </w:pPr>
    </w:p>
    <w:p w:rsidR="007C7D82" w:rsidRPr="0026329D" w:rsidRDefault="007C7D82" w:rsidP="007C7D82">
      <w:pPr>
        <w:pStyle w:val="Heading1"/>
        <w:rPr>
          <w:lang w:val="en-CA"/>
        </w:rPr>
      </w:pPr>
      <w:r w:rsidRPr="0026329D">
        <w:rPr>
          <w:lang w:val="en-CA"/>
        </w:rPr>
        <w:t>The Executive Committee may wish to:</w:t>
      </w:r>
    </w:p>
    <w:p w:rsidR="007C7D82" w:rsidRPr="0026329D" w:rsidRDefault="007C7D82" w:rsidP="007C7D82">
      <w:pPr>
        <w:pStyle w:val="Heading2"/>
        <w:rPr>
          <w:lang w:val="en-CA"/>
        </w:rPr>
      </w:pPr>
      <w:r w:rsidRPr="0026329D">
        <w:rPr>
          <w:lang w:val="en-CA"/>
        </w:rPr>
        <w:t>Not</w:t>
      </w:r>
      <w:r w:rsidR="006F11E1" w:rsidRPr="0026329D">
        <w:rPr>
          <w:lang w:val="en-CA"/>
        </w:rPr>
        <w:t>e</w:t>
      </w:r>
      <w:r w:rsidRPr="0026329D">
        <w:rPr>
          <w:lang w:val="en-CA"/>
        </w:rPr>
        <w:t>:</w:t>
      </w:r>
    </w:p>
    <w:p w:rsidR="007C7D82" w:rsidRPr="0026329D" w:rsidRDefault="007C7D82" w:rsidP="007C7D82">
      <w:pPr>
        <w:pStyle w:val="Heading3"/>
        <w:rPr>
          <w:lang w:val="en-CA"/>
        </w:rPr>
      </w:pPr>
      <w:r w:rsidRPr="0026329D">
        <w:rPr>
          <w:lang w:val="en-CA"/>
        </w:rPr>
        <w:t xml:space="preserve">The </w:t>
      </w:r>
      <w:r w:rsidR="00580733" w:rsidRPr="0026329D">
        <w:rPr>
          <w:lang w:val="en-CA"/>
        </w:rPr>
        <w:t>revised extended</w:t>
      </w:r>
      <w:r w:rsidRPr="0026329D">
        <w:rPr>
          <w:lang w:val="en-CA"/>
        </w:rPr>
        <w:t xml:space="preserve"> plans of action for the industrial and commercial refrigeration, room air-conditioning </w:t>
      </w:r>
      <w:r w:rsidR="008C1532" w:rsidRPr="0026329D">
        <w:rPr>
          <w:lang w:val="en-CA"/>
        </w:rPr>
        <w:t xml:space="preserve">manufacturing and heat pump water heaters </w:t>
      </w:r>
      <w:r w:rsidRPr="0026329D">
        <w:rPr>
          <w:lang w:val="en-CA"/>
        </w:rPr>
        <w:t xml:space="preserve">and refrigeration servicing sectors </w:t>
      </w:r>
      <w:r w:rsidR="005B7C48" w:rsidRPr="0026329D">
        <w:rPr>
          <w:lang w:val="en-CA"/>
        </w:rPr>
        <w:t xml:space="preserve">and national enabling programme </w:t>
      </w:r>
      <w:r w:rsidRPr="0026329D">
        <w:rPr>
          <w:lang w:val="en-CA"/>
        </w:rPr>
        <w:t xml:space="preserve">submitted in line with decision 84/69(a)(iii) and the revised plans of action for the extruded polystyrene foam, polyurethane foam and solvent sectors submitted in line with decision 84/69(a)(iv); </w:t>
      </w:r>
      <w:r w:rsidR="008B0F1D" w:rsidRPr="0026329D">
        <w:rPr>
          <w:lang w:val="en-CA"/>
        </w:rPr>
        <w:t>and</w:t>
      </w:r>
    </w:p>
    <w:p w:rsidR="007C7D82" w:rsidRPr="0026329D" w:rsidRDefault="007C7D82" w:rsidP="007C7D82">
      <w:pPr>
        <w:pStyle w:val="Heading3"/>
        <w:rPr>
          <w:lang w:val="en-CA"/>
        </w:rPr>
      </w:pPr>
      <w:r w:rsidRPr="0026329D">
        <w:rPr>
          <w:lang w:val="en-CA"/>
        </w:rPr>
        <w:t>The draft revised Agreement between the Government of China and the Executive Committee reflecting only the relevant outcomes approved at the 84</w:t>
      </w:r>
      <w:r w:rsidRPr="0026329D">
        <w:rPr>
          <w:vertAlign w:val="superscript"/>
          <w:lang w:val="en-CA"/>
        </w:rPr>
        <w:t>th</w:t>
      </w:r>
      <w:r w:rsidRPr="0026329D">
        <w:rPr>
          <w:lang w:val="en-CA"/>
        </w:rPr>
        <w:t> meeting or those relevant to decision 84</w:t>
      </w:r>
      <w:r w:rsidR="008B0F1D" w:rsidRPr="0026329D">
        <w:rPr>
          <w:lang w:val="en-CA"/>
        </w:rPr>
        <w:t>/69(a)(iii), (iv) and (vii);</w:t>
      </w:r>
      <w:r w:rsidRPr="0026329D">
        <w:rPr>
          <w:lang w:val="en-CA"/>
        </w:rPr>
        <w:t xml:space="preserve"> </w:t>
      </w:r>
    </w:p>
    <w:p w:rsidR="00A92032" w:rsidRPr="0026329D" w:rsidRDefault="008B0F1D" w:rsidP="008B0F1D">
      <w:pPr>
        <w:pStyle w:val="Heading2"/>
        <w:rPr>
          <w:lang w:val="en-CA"/>
        </w:rPr>
      </w:pPr>
      <w:r w:rsidRPr="0026329D">
        <w:rPr>
          <w:lang w:val="en-CA"/>
        </w:rPr>
        <w:t>Whether to change the definition of a major change to 30</w:t>
      </w:r>
      <w:r w:rsidR="00A81DEE" w:rsidRPr="0026329D">
        <w:rPr>
          <w:lang w:val="en-CA"/>
        </w:rPr>
        <w:t> per cent</w:t>
      </w:r>
      <w:r w:rsidRPr="0026329D">
        <w:rPr>
          <w:lang w:val="en-CA"/>
        </w:rPr>
        <w:t xml:space="preserve"> of the last approved tranche in paragraph 7(a)(iv) of the draft revised Agreement;</w:t>
      </w:r>
      <w:r w:rsidR="00AC32BB" w:rsidRPr="0026329D">
        <w:rPr>
          <w:lang w:val="en-CA"/>
        </w:rPr>
        <w:t xml:space="preserve"> and</w:t>
      </w:r>
    </w:p>
    <w:p w:rsidR="007C7D82" w:rsidRPr="0026329D" w:rsidRDefault="007C7D82" w:rsidP="007C7D82">
      <w:pPr>
        <w:pStyle w:val="Heading2"/>
        <w:rPr>
          <w:lang w:val="en-CA"/>
        </w:rPr>
      </w:pPr>
      <w:r w:rsidRPr="0026329D">
        <w:rPr>
          <w:lang w:val="en-CA"/>
        </w:rPr>
        <w:t>Approv</w:t>
      </w:r>
      <w:r w:rsidR="006F11E1" w:rsidRPr="0026329D">
        <w:rPr>
          <w:lang w:val="en-CA"/>
        </w:rPr>
        <w:t>e</w:t>
      </w:r>
      <w:r w:rsidRPr="0026329D">
        <w:rPr>
          <w:lang w:val="en-CA"/>
        </w:rPr>
        <w:t xml:space="preserve"> the draft revised Agreement between the Government of China and the Executive Committee for the implementation of </w:t>
      </w:r>
      <w:r w:rsidR="00A81DEE" w:rsidRPr="0026329D">
        <w:rPr>
          <w:lang w:val="en-CA"/>
        </w:rPr>
        <w:t>stage </w:t>
      </w:r>
      <w:r w:rsidRPr="0026329D">
        <w:rPr>
          <w:lang w:val="en-CA"/>
        </w:rPr>
        <w:t>II of the HCFC phase-out manage</w:t>
      </w:r>
      <w:r w:rsidR="00E17D45" w:rsidRPr="0026329D">
        <w:rPr>
          <w:lang w:val="en-CA"/>
        </w:rPr>
        <w:t>ment plan contained in Annex </w:t>
      </w:r>
      <w:r w:rsidR="00560F25" w:rsidRPr="0026329D">
        <w:rPr>
          <w:lang w:val="en-CA"/>
        </w:rPr>
        <w:t>II</w:t>
      </w:r>
      <w:r w:rsidR="002E5E10" w:rsidRPr="0026329D">
        <w:rPr>
          <w:lang w:val="en-CA"/>
        </w:rPr>
        <w:t xml:space="preserve"> to the present document</w:t>
      </w:r>
      <w:r w:rsidR="00AC32BB" w:rsidRPr="0026329D">
        <w:rPr>
          <w:lang w:val="en-CA"/>
        </w:rPr>
        <w:t>.</w:t>
      </w:r>
    </w:p>
    <w:p w:rsidR="00AC32BB" w:rsidRPr="0026329D" w:rsidRDefault="00AC32BB">
      <w:pPr>
        <w:jc w:val="left"/>
        <w:rPr>
          <w:lang w:val="en-CA"/>
        </w:rPr>
      </w:pPr>
      <w:r w:rsidRPr="0026329D">
        <w:rPr>
          <w:lang w:val="en-CA"/>
        </w:rPr>
        <w:br w:type="page"/>
      </w:r>
    </w:p>
    <w:p w:rsidR="00D54FFA" w:rsidRPr="0026329D" w:rsidRDefault="00D54FFA" w:rsidP="00641E90">
      <w:pPr>
        <w:spacing w:after="240"/>
        <w:ind w:left="1440" w:hanging="1440"/>
        <w:rPr>
          <w:b/>
          <w:lang w:val="en-CA"/>
        </w:rPr>
      </w:pPr>
      <w:r w:rsidRPr="0026329D">
        <w:rPr>
          <w:b/>
          <w:lang w:val="en-CA"/>
        </w:rPr>
        <w:t xml:space="preserve">PART III </w:t>
      </w:r>
      <w:r w:rsidRPr="0026329D">
        <w:rPr>
          <w:b/>
          <w:lang w:val="en-CA"/>
        </w:rPr>
        <w:tab/>
      </w:r>
      <w:r w:rsidR="00BC070D" w:rsidRPr="0026329D">
        <w:rPr>
          <w:b/>
          <w:lang w:val="en-CA"/>
        </w:rPr>
        <w:t xml:space="preserve">REVISED </w:t>
      </w:r>
      <w:r w:rsidR="006E1A17" w:rsidRPr="0026329D">
        <w:rPr>
          <w:b/>
          <w:lang w:val="en-CA"/>
        </w:rPr>
        <w:t xml:space="preserve">SECTOR PLANS FOR </w:t>
      </w:r>
      <w:r w:rsidR="00A81DEE" w:rsidRPr="0026329D">
        <w:rPr>
          <w:b/>
          <w:lang w:val="en-CA"/>
        </w:rPr>
        <w:t>STAGE </w:t>
      </w:r>
      <w:r w:rsidR="006E1A17" w:rsidRPr="0026329D">
        <w:rPr>
          <w:b/>
          <w:lang w:val="en-CA"/>
        </w:rPr>
        <w:t xml:space="preserve">II OF THE HPMP FOR CHINA </w:t>
      </w:r>
    </w:p>
    <w:p w:rsidR="00217C34" w:rsidRPr="0026329D" w:rsidRDefault="006E1A17" w:rsidP="00770FAE">
      <w:pPr>
        <w:pStyle w:val="Heading1"/>
        <w:numPr>
          <w:ilvl w:val="0"/>
          <w:numId w:val="0"/>
        </w:numPr>
        <w:rPr>
          <w:b/>
          <w:lang w:val="en-CA"/>
        </w:rPr>
      </w:pPr>
      <w:r w:rsidRPr="0026329D">
        <w:rPr>
          <w:b/>
          <w:lang w:val="en-CA"/>
        </w:rPr>
        <w:t>Background</w:t>
      </w:r>
      <w:r w:rsidR="00217C34" w:rsidRPr="0026329D">
        <w:rPr>
          <w:b/>
          <w:lang w:val="en-CA"/>
        </w:rPr>
        <w:t xml:space="preserve"> </w:t>
      </w:r>
    </w:p>
    <w:p w:rsidR="007A54BF" w:rsidRPr="0026329D" w:rsidRDefault="006E1A17" w:rsidP="009749EE">
      <w:pPr>
        <w:pStyle w:val="Heading1"/>
        <w:rPr>
          <w:lang w:val="en-CA"/>
        </w:rPr>
      </w:pPr>
      <w:r w:rsidRPr="0026329D">
        <w:rPr>
          <w:lang w:val="en-CA"/>
        </w:rPr>
        <w:t xml:space="preserve">In </w:t>
      </w:r>
      <w:r w:rsidR="006951AC" w:rsidRPr="0026329D">
        <w:rPr>
          <w:lang w:val="en-CA"/>
        </w:rPr>
        <w:t xml:space="preserve">addressing the elements of </w:t>
      </w:r>
      <w:r w:rsidR="00A81DEE" w:rsidRPr="0026329D">
        <w:rPr>
          <w:lang w:val="en-CA"/>
        </w:rPr>
        <w:t>decision </w:t>
      </w:r>
      <w:r w:rsidR="006951AC" w:rsidRPr="0026329D">
        <w:rPr>
          <w:lang w:val="en-CA"/>
        </w:rPr>
        <w:t>84/69, on behalf of the Government of China, the relevant bilateral and implementing agencies submitted to the 86</w:t>
      </w:r>
      <w:r w:rsidR="006951AC" w:rsidRPr="0026329D">
        <w:rPr>
          <w:vertAlign w:val="superscript"/>
          <w:lang w:val="en-CA"/>
        </w:rPr>
        <w:t>th</w:t>
      </w:r>
      <w:r w:rsidR="009B3FC3" w:rsidRPr="0026329D">
        <w:rPr>
          <w:lang w:val="en-CA"/>
        </w:rPr>
        <w:t> meeting</w:t>
      </w:r>
      <w:r w:rsidR="006951AC" w:rsidRPr="0026329D">
        <w:rPr>
          <w:lang w:val="en-CA"/>
        </w:rPr>
        <w:t xml:space="preserve"> revised plans of action for the </w:t>
      </w:r>
      <w:r w:rsidR="007A54BF" w:rsidRPr="0026329D">
        <w:rPr>
          <w:lang w:val="en-CA"/>
        </w:rPr>
        <w:t xml:space="preserve">following </w:t>
      </w:r>
      <w:r w:rsidR="006951AC" w:rsidRPr="0026329D">
        <w:rPr>
          <w:lang w:val="en-CA"/>
        </w:rPr>
        <w:t xml:space="preserve">six sectors included in </w:t>
      </w:r>
      <w:r w:rsidR="00A81DEE" w:rsidRPr="0026329D">
        <w:rPr>
          <w:lang w:val="en-CA"/>
        </w:rPr>
        <w:t>stage </w:t>
      </w:r>
      <w:r w:rsidR="006951AC" w:rsidRPr="0026329D">
        <w:rPr>
          <w:lang w:val="en-CA"/>
        </w:rPr>
        <w:t xml:space="preserve">II of the HPMP. </w:t>
      </w:r>
    </w:p>
    <w:p w:rsidR="001D235F" w:rsidRPr="0026329D" w:rsidRDefault="001D235F" w:rsidP="001D235F">
      <w:pPr>
        <w:pStyle w:val="ListParagraph"/>
        <w:numPr>
          <w:ilvl w:val="0"/>
          <w:numId w:val="48"/>
        </w:numPr>
        <w:ind w:hanging="720"/>
        <w:rPr>
          <w:lang w:val="en-CA"/>
        </w:rPr>
      </w:pPr>
      <w:r w:rsidRPr="0026329D">
        <w:rPr>
          <w:lang w:val="en-CA"/>
        </w:rPr>
        <w:t xml:space="preserve">Revised </w:t>
      </w:r>
      <w:r w:rsidR="004000EC" w:rsidRPr="0026329D">
        <w:rPr>
          <w:lang w:val="en-CA"/>
        </w:rPr>
        <w:t xml:space="preserve">extended </w:t>
      </w:r>
      <w:r w:rsidRPr="0026329D">
        <w:rPr>
          <w:lang w:val="en-CA"/>
        </w:rPr>
        <w:t>industrial and commercial refrigeration sector plan (UNDP)</w:t>
      </w:r>
    </w:p>
    <w:p w:rsidR="001D235F" w:rsidRPr="0026329D" w:rsidRDefault="001D235F" w:rsidP="001D235F">
      <w:pPr>
        <w:pStyle w:val="ListParagraph"/>
        <w:numPr>
          <w:ilvl w:val="0"/>
          <w:numId w:val="48"/>
        </w:numPr>
        <w:ind w:hanging="720"/>
        <w:rPr>
          <w:lang w:val="en-CA"/>
        </w:rPr>
      </w:pPr>
      <w:r w:rsidRPr="0026329D">
        <w:rPr>
          <w:lang w:val="en-CA"/>
        </w:rPr>
        <w:t xml:space="preserve">Revised </w:t>
      </w:r>
      <w:r w:rsidR="004000EC" w:rsidRPr="0026329D">
        <w:rPr>
          <w:lang w:val="en-CA"/>
        </w:rPr>
        <w:t xml:space="preserve">extended </w:t>
      </w:r>
      <w:r w:rsidRPr="0026329D">
        <w:rPr>
          <w:lang w:val="en-CA"/>
        </w:rPr>
        <w:t>room air-conditioning manufacturing and heat pump water heaters sector plan (UNIDO, Austria, Italy)</w:t>
      </w:r>
    </w:p>
    <w:p w:rsidR="001D235F" w:rsidRPr="0026329D" w:rsidRDefault="001D235F" w:rsidP="001D235F">
      <w:pPr>
        <w:pStyle w:val="ListParagraph"/>
        <w:numPr>
          <w:ilvl w:val="0"/>
          <w:numId w:val="48"/>
        </w:numPr>
        <w:ind w:hanging="720"/>
        <w:rPr>
          <w:lang w:val="en-CA"/>
        </w:rPr>
      </w:pPr>
      <w:r w:rsidRPr="0026329D">
        <w:rPr>
          <w:lang w:val="en-CA"/>
        </w:rPr>
        <w:t xml:space="preserve">Revised </w:t>
      </w:r>
      <w:r w:rsidR="004000EC" w:rsidRPr="0026329D">
        <w:rPr>
          <w:lang w:val="en-CA"/>
        </w:rPr>
        <w:t xml:space="preserve">extended </w:t>
      </w:r>
      <w:r w:rsidRPr="0026329D">
        <w:rPr>
          <w:lang w:val="en-CA"/>
        </w:rPr>
        <w:t>refrigeration servicing sector plan and national enabling programme (UNEP, Germany, Japan)</w:t>
      </w:r>
    </w:p>
    <w:p w:rsidR="001D235F" w:rsidRPr="0026329D" w:rsidRDefault="001D235F" w:rsidP="001D235F">
      <w:pPr>
        <w:pStyle w:val="ListParagraph"/>
        <w:numPr>
          <w:ilvl w:val="0"/>
          <w:numId w:val="48"/>
        </w:numPr>
        <w:ind w:hanging="720"/>
        <w:rPr>
          <w:lang w:val="en-CA"/>
        </w:rPr>
      </w:pPr>
      <w:r w:rsidRPr="0026329D">
        <w:rPr>
          <w:lang w:val="en-CA"/>
        </w:rPr>
        <w:t>Revised extruded polystyrene foam sector plan (UNIDO, Germany)</w:t>
      </w:r>
    </w:p>
    <w:p w:rsidR="001D235F" w:rsidRPr="0026329D" w:rsidRDefault="001D235F" w:rsidP="001D235F">
      <w:pPr>
        <w:pStyle w:val="ListParagraph"/>
        <w:numPr>
          <w:ilvl w:val="0"/>
          <w:numId w:val="48"/>
        </w:numPr>
        <w:ind w:hanging="720"/>
        <w:rPr>
          <w:lang w:val="en-CA"/>
        </w:rPr>
      </w:pPr>
      <w:r w:rsidRPr="0026329D">
        <w:rPr>
          <w:lang w:val="en-CA"/>
        </w:rPr>
        <w:t>Revised polyurethane foam sector plan (World Bank)</w:t>
      </w:r>
    </w:p>
    <w:p w:rsidR="001D235F" w:rsidRPr="0026329D" w:rsidRDefault="001D235F" w:rsidP="001D235F">
      <w:pPr>
        <w:pStyle w:val="ListParagraph"/>
        <w:numPr>
          <w:ilvl w:val="0"/>
          <w:numId w:val="48"/>
        </w:numPr>
        <w:ind w:hanging="720"/>
        <w:rPr>
          <w:lang w:val="en-CA"/>
        </w:rPr>
      </w:pPr>
      <w:r w:rsidRPr="0026329D">
        <w:rPr>
          <w:lang w:val="en-CA"/>
        </w:rPr>
        <w:t>Revised solvent sector plan (UNDP)</w:t>
      </w:r>
    </w:p>
    <w:p w:rsidR="001D235F" w:rsidRPr="0026329D" w:rsidRDefault="001D235F" w:rsidP="001D235F">
      <w:pPr>
        <w:rPr>
          <w:lang w:val="en-CA"/>
        </w:rPr>
      </w:pPr>
    </w:p>
    <w:p w:rsidR="006951AC" w:rsidRPr="0026329D" w:rsidRDefault="00770FAE" w:rsidP="009749EE">
      <w:pPr>
        <w:pStyle w:val="Heading1"/>
        <w:rPr>
          <w:lang w:val="en-CA"/>
        </w:rPr>
      </w:pPr>
      <w:r w:rsidRPr="0026329D">
        <w:rPr>
          <w:lang w:val="en-CA"/>
        </w:rPr>
        <w:t xml:space="preserve">Each of these </w:t>
      </w:r>
      <w:r w:rsidR="001D235F" w:rsidRPr="0026329D">
        <w:rPr>
          <w:lang w:val="en-CA"/>
        </w:rPr>
        <w:t xml:space="preserve">sector </w:t>
      </w:r>
      <w:r w:rsidRPr="0026329D">
        <w:rPr>
          <w:lang w:val="en-CA"/>
        </w:rPr>
        <w:t>plans include a description of HCFC consumption targets and funds allocated, a description of the components of the plan, technologies selected and incremental cost</w:t>
      </w:r>
      <w:r w:rsidR="006951AC" w:rsidRPr="0026329D">
        <w:rPr>
          <w:lang w:val="en-CA"/>
        </w:rPr>
        <w:t xml:space="preserve">. </w:t>
      </w:r>
      <w:r w:rsidR="007A54BF" w:rsidRPr="0026329D">
        <w:rPr>
          <w:lang w:val="en-CA"/>
        </w:rPr>
        <w:t xml:space="preserve">The Secretariat’s comments and </w:t>
      </w:r>
      <w:r w:rsidR="001D235F" w:rsidRPr="0026329D">
        <w:rPr>
          <w:lang w:val="en-CA"/>
        </w:rPr>
        <w:t xml:space="preserve">a </w:t>
      </w:r>
      <w:r w:rsidR="007A54BF" w:rsidRPr="0026329D">
        <w:rPr>
          <w:lang w:val="en-CA"/>
        </w:rPr>
        <w:t xml:space="preserve">recommendation </w:t>
      </w:r>
      <w:r w:rsidR="001D235F" w:rsidRPr="0026329D">
        <w:rPr>
          <w:lang w:val="en-CA"/>
        </w:rPr>
        <w:t xml:space="preserve">are included </w:t>
      </w:r>
      <w:r w:rsidR="007A54BF" w:rsidRPr="0026329D">
        <w:rPr>
          <w:lang w:val="en-CA"/>
        </w:rPr>
        <w:t>on</w:t>
      </w:r>
      <w:r w:rsidR="001D235F" w:rsidRPr="0026329D">
        <w:rPr>
          <w:lang w:val="en-CA"/>
        </w:rPr>
        <w:t xml:space="preserve"> </w:t>
      </w:r>
      <w:r w:rsidR="007A54BF" w:rsidRPr="0026329D">
        <w:rPr>
          <w:lang w:val="en-CA"/>
        </w:rPr>
        <w:t xml:space="preserve">each sector </w:t>
      </w:r>
      <w:r w:rsidR="001D235F" w:rsidRPr="0026329D">
        <w:rPr>
          <w:lang w:val="en-CA"/>
        </w:rPr>
        <w:t>plan</w:t>
      </w:r>
      <w:r w:rsidR="007A54BF" w:rsidRPr="0026329D">
        <w:rPr>
          <w:lang w:val="en-CA"/>
        </w:rPr>
        <w:t>.</w:t>
      </w:r>
    </w:p>
    <w:p w:rsidR="00285DDA" w:rsidRPr="0026329D" w:rsidRDefault="006E1A17" w:rsidP="00285DDA">
      <w:pPr>
        <w:rPr>
          <w:b/>
          <w:lang w:val="en-CA"/>
        </w:rPr>
      </w:pPr>
      <w:r w:rsidRPr="0026329D">
        <w:rPr>
          <w:b/>
          <w:lang w:val="en-CA"/>
        </w:rPr>
        <w:t>REVISED</w:t>
      </w:r>
      <w:r w:rsidR="004000EC" w:rsidRPr="0026329D">
        <w:rPr>
          <w:b/>
          <w:lang w:val="en-CA"/>
        </w:rPr>
        <w:t xml:space="preserve"> EXTENDED</w:t>
      </w:r>
      <w:r w:rsidRPr="0026329D">
        <w:rPr>
          <w:b/>
          <w:lang w:val="en-CA"/>
        </w:rPr>
        <w:t xml:space="preserve"> INDUSTRIAL AND COMMERCIAL REFRIGERATION SECTOR PLAN (UNDP)</w:t>
      </w:r>
    </w:p>
    <w:p w:rsidR="00285DDA" w:rsidRPr="0026329D" w:rsidRDefault="00285DDA" w:rsidP="00285DDA">
      <w:pPr>
        <w:rPr>
          <w:lang w:val="en-CA"/>
        </w:rPr>
      </w:pPr>
    </w:p>
    <w:p w:rsidR="00D01B76" w:rsidRPr="0026329D" w:rsidRDefault="00D01B76" w:rsidP="00285DDA">
      <w:pPr>
        <w:rPr>
          <w:b/>
          <w:lang w:val="en-CA"/>
        </w:rPr>
      </w:pPr>
      <w:r w:rsidRPr="0026329D">
        <w:rPr>
          <w:b/>
          <w:lang w:val="en-CA"/>
        </w:rPr>
        <w:t>Sector plan description</w:t>
      </w:r>
    </w:p>
    <w:p w:rsidR="00D01B76" w:rsidRPr="0026329D" w:rsidRDefault="00D01B76" w:rsidP="00285DDA">
      <w:pPr>
        <w:rPr>
          <w:lang w:val="en-CA"/>
        </w:rPr>
      </w:pPr>
    </w:p>
    <w:p w:rsidR="00285DDA" w:rsidRPr="0026329D" w:rsidRDefault="00285DDA" w:rsidP="00285DDA">
      <w:pPr>
        <w:rPr>
          <w:b/>
          <w:lang w:val="en-CA"/>
        </w:rPr>
      </w:pPr>
      <w:r w:rsidRPr="0026329D">
        <w:rPr>
          <w:b/>
          <w:lang w:val="en-CA"/>
        </w:rPr>
        <w:t>Background</w:t>
      </w:r>
    </w:p>
    <w:p w:rsidR="00285DDA" w:rsidRPr="0026329D" w:rsidRDefault="00285DDA" w:rsidP="00285DDA">
      <w:pPr>
        <w:rPr>
          <w:lang w:val="en-CA"/>
        </w:rPr>
      </w:pPr>
    </w:p>
    <w:p w:rsidR="00285DDA" w:rsidRPr="0026329D" w:rsidRDefault="00A81DEE" w:rsidP="00285DDA">
      <w:pPr>
        <w:pStyle w:val="Heading1"/>
        <w:rPr>
          <w:lang w:val="en-CA"/>
        </w:rPr>
      </w:pPr>
      <w:r w:rsidRPr="0026329D">
        <w:rPr>
          <w:lang w:val="en-CA"/>
        </w:rPr>
        <w:t>Stage </w:t>
      </w:r>
      <w:r w:rsidR="00285DDA" w:rsidRPr="0026329D">
        <w:rPr>
          <w:lang w:val="en-CA"/>
        </w:rPr>
        <w:t>II of the HCFC phase-out management plan (HPMP) for the industrial and commercial refrigeration sector (ICR) for China was approved at the 77</w:t>
      </w:r>
      <w:r w:rsidR="00285DDA" w:rsidRPr="0026329D">
        <w:rPr>
          <w:vertAlign w:val="superscript"/>
          <w:lang w:val="en-CA"/>
        </w:rPr>
        <w:t>th</w:t>
      </w:r>
      <w:r w:rsidR="00285DDA" w:rsidRPr="0026329D">
        <w:rPr>
          <w:lang w:val="en-CA"/>
        </w:rPr>
        <w:t xml:space="preserve"> meeting at a total amount of </w:t>
      </w:r>
      <w:r w:rsidR="00475A50" w:rsidRPr="0026329D">
        <w:rPr>
          <w:lang w:val="en-CA"/>
        </w:rPr>
        <w:t>US $</w:t>
      </w:r>
      <w:r w:rsidR="00285DDA" w:rsidRPr="0026329D">
        <w:rPr>
          <w:lang w:val="en-CA"/>
        </w:rPr>
        <w:t xml:space="preserve">89,144,797, plus agency support costs, to phase out 480.50 ODP tonnes of HCFCs to achieve a 33 per cent reduction in relation to the 2013 maximum allowable consumption in the sector, on the understanding: </w:t>
      </w:r>
    </w:p>
    <w:p w:rsidR="00285DDA" w:rsidRPr="0026329D" w:rsidRDefault="00285DDA" w:rsidP="00285DDA">
      <w:pPr>
        <w:pStyle w:val="Heading2"/>
        <w:rPr>
          <w:lang w:val="en-CA"/>
        </w:rPr>
      </w:pPr>
      <w:r w:rsidRPr="0026329D">
        <w:rPr>
          <w:lang w:val="en-CA"/>
        </w:rPr>
        <w:t>That a maximum quantity of 3,150 metric tonnes (mt) in the unitary air</w:t>
      </w:r>
      <w:r w:rsidRPr="0026329D">
        <w:rPr>
          <w:lang w:val="en-CA"/>
        </w:rPr>
        <w:noBreakHyphen/>
        <w:t>conditioning (UAC) sub-sector could be converted to HFC-32;</w:t>
      </w:r>
    </w:p>
    <w:p w:rsidR="00285DDA" w:rsidRPr="0026329D" w:rsidRDefault="00285DDA" w:rsidP="00285DDA">
      <w:pPr>
        <w:pStyle w:val="Heading2"/>
        <w:rPr>
          <w:lang w:val="en-CA"/>
        </w:rPr>
      </w:pPr>
      <w:r w:rsidRPr="0026329D">
        <w:rPr>
          <w:lang w:val="en-CA"/>
        </w:rPr>
        <w:t>That the Government of China would have flexibility in the UAC sub-sector to convert to alternatives with a lower global-warming potential (GWP) than HFC</w:t>
      </w:r>
      <w:r w:rsidRPr="0026329D">
        <w:rPr>
          <w:lang w:val="en-CA"/>
        </w:rPr>
        <w:noBreakHyphen/>
        <w:t>32 as long as the cost and tonnage to be phased out remained the same;</w:t>
      </w:r>
    </w:p>
    <w:p w:rsidR="00285DDA" w:rsidRPr="0026329D" w:rsidRDefault="00285DDA" w:rsidP="00285DDA">
      <w:pPr>
        <w:pStyle w:val="Heading2"/>
        <w:rPr>
          <w:lang w:val="en-CA"/>
        </w:rPr>
      </w:pPr>
      <w:r w:rsidRPr="0026329D">
        <w:rPr>
          <w:lang w:val="en-CA"/>
        </w:rPr>
        <w:t>That the Government of China would have flexibility to convert heat-pump water</w:t>
      </w:r>
      <w:r w:rsidRPr="0026329D">
        <w:rPr>
          <w:lang w:val="en-CA"/>
        </w:rPr>
        <w:noBreakHyphen/>
        <w:t>heater (HPWH) lines to HFC-32 on the understanding that UAC and HPWH conversions to HFC</w:t>
      </w:r>
      <w:r w:rsidRPr="0026329D">
        <w:rPr>
          <w:lang w:val="en-CA"/>
        </w:rPr>
        <w:noBreakHyphen/>
        <w:t>32 combined would not exceed 3,150 mt;</w:t>
      </w:r>
    </w:p>
    <w:p w:rsidR="00285DDA" w:rsidRPr="0026329D" w:rsidRDefault="00285DDA" w:rsidP="00285DDA">
      <w:pPr>
        <w:pStyle w:val="Heading2"/>
        <w:rPr>
          <w:lang w:val="en-CA"/>
        </w:rPr>
      </w:pPr>
      <w:r w:rsidRPr="0026329D">
        <w:rPr>
          <w:lang w:val="en-CA"/>
        </w:rPr>
        <w:t>That at least 20 per cent of the total phase-out of HCFC-22 in the ICR sector would be from the conversion of small and medium-sized enterprises (SMEs) (i.e. those consuming 50 mt or less); and</w:t>
      </w:r>
    </w:p>
    <w:p w:rsidR="00285DDA" w:rsidRPr="0026329D" w:rsidRDefault="00285DDA" w:rsidP="00285DDA">
      <w:pPr>
        <w:pStyle w:val="Heading2"/>
        <w:rPr>
          <w:lang w:val="en-CA"/>
        </w:rPr>
      </w:pPr>
      <w:r w:rsidRPr="0026329D">
        <w:rPr>
          <w:lang w:val="en-CA"/>
        </w:rPr>
        <w:t xml:space="preserve">That, in sectors other than the UAC sector, the Government of China would have flexibility to select from among the six low-GWP technologies identified in Table 8 of </w:t>
      </w:r>
      <w:r w:rsidR="00A81DEE" w:rsidRPr="0026329D">
        <w:rPr>
          <w:lang w:val="en-CA"/>
        </w:rPr>
        <w:t>document </w:t>
      </w:r>
      <w:r w:rsidRPr="0026329D">
        <w:rPr>
          <w:lang w:val="en-CA"/>
        </w:rPr>
        <w:t xml:space="preserve">UNEP/OzL.Pro/ExCom/76/25, excluding HFC-32, and would make best efforts to ensure that the tonnage remained within 30 per cent of the amount specified for each technology in that table, at no additional cost to the Multilateral Fund, and that any deviation from that range would be reported to the Executive Committee for its consideration. </w:t>
      </w:r>
    </w:p>
    <w:p w:rsidR="00285DDA" w:rsidRPr="0026329D" w:rsidRDefault="00A81DEE" w:rsidP="00285DDA">
      <w:pPr>
        <w:pStyle w:val="Heading1"/>
        <w:rPr>
          <w:lang w:val="en-CA"/>
        </w:rPr>
      </w:pPr>
      <w:r w:rsidRPr="0026329D">
        <w:rPr>
          <w:lang w:val="en-CA"/>
        </w:rPr>
        <w:t>Stage </w:t>
      </w:r>
      <w:r w:rsidR="00285DDA" w:rsidRPr="0026329D">
        <w:rPr>
          <w:lang w:val="en-CA"/>
        </w:rPr>
        <w:t>II of the ICR sector plan proposes to phase out 8,822 mt (480.50 ODP tonnes) of HCFCs, of which 6,500 mt will be converted to low-GWP alternatives; and the remaining 2,322 mt will be phased out through technical assistance (TA) activities.</w:t>
      </w:r>
    </w:p>
    <w:p w:rsidR="00285DDA" w:rsidRPr="0026329D" w:rsidRDefault="00285DDA" w:rsidP="00285DDA">
      <w:pPr>
        <w:pStyle w:val="Heading1"/>
        <w:rPr>
          <w:lang w:val="en-CA"/>
        </w:rPr>
      </w:pPr>
      <w:r w:rsidRPr="0026329D">
        <w:rPr>
          <w:lang w:val="en-CA"/>
        </w:rPr>
        <w:t>The second tranche of the ICR sector plan, and the corresponding 2017</w:t>
      </w:r>
      <w:r w:rsidRPr="0026329D">
        <w:rPr>
          <w:lang w:val="en-CA"/>
        </w:rPr>
        <w:noBreakHyphen/>
        <w:t>2018 tranche implementation plan, was approved at the 80</w:t>
      </w:r>
      <w:r w:rsidRPr="0026329D">
        <w:rPr>
          <w:vertAlign w:val="superscript"/>
          <w:lang w:val="en-CA"/>
        </w:rPr>
        <w:t>th</w:t>
      </w:r>
      <w:r w:rsidRPr="0026329D">
        <w:rPr>
          <w:lang w:val="en-CA"/>
        </w:rPr>
        <w:t xml:space="preserve"> meeting. </w:t>
      </w:r>
    </w:p>
    <w:p w:rsidR="00285DDA" w:rsidRPr="0026329D" w:rsidRDefault="00285DDA" w:rsidP="00285DDA">
      <w:pPr>
        <w:pStyle w:val="Heading1"/>
        <w:rPr>
          <w:lang w:val="en-CA"/>
        </w:rPr>
      </w:pPr>
      <w:r w:rsidRPr="0026329D">
        <w:rPr>
          <w:lang w:val="en-CA"/>
        </w:rPr>
        <w:t>At its 84</w:t>
      </w:r>
      <w:r w:rsidRPr="0026329D">
        <w:rPr>
          <w:vertAlign w:val="superscript"/>
          <w:lang w:val="en-CA"/>
        </w:rPr>
        <w:t>th</w:t>
      </w:r>
      <w:r w:rsidRPr="0026329D">
        <w:rPr>
          <w:lang w:val="en-CA"/>
        </w:rPr>
        <w:t xml:space="preserve"> meeting, the Executive Committee approved the revised Appendix 2-A of the Agreement between the Government of China and the Executive Committee for </w:t>
      </w:r>
      <w:r w:rsidR="00A81DEE" w:rsidRPr="0026329D">
        <w:rPr>
          <w:lang w:val="en-CA"/>
        </w:rPr>
        <w:t>stage </w:t>
      </w:r>
      <w:r w:rsidRPr="0026329D">
        <w:rPr>
          <w:lang w:val="en-CA"/>
        </w:rPr>
        <w:t>II of the HPMP to reflect, among others, the change in funding level for the ICR sector and the associated support cost in rows 2.1.1 and 2.1.2, and requested the implementing agency, on behalf of the Government of China, to submit, at the 85</w:t>
      </w:r>
      <w:r w:rsidRPr="0026329D">
        <w:rPr>
          <w:vertAlign w:val="superscript"/>
          <w:lang w:val="en-CA"/>
        </w:rPr>
        <w:t>th</w:t>
      </w:r>
      <w:r w:rsidRPr="0026329D">
        <w:rPr>
          <w:lang w:val="en-CA"/>
        </w:rPr>
        <w:t xml:space="preserve"> meeting, the 2020 funding tranche requests for the ICR sector plan of </w:t>
      </w:r>
      <w:r w:rsidR="00A81DEE" w:rsidRPr="0026329D">
        <w:rPr>
          <w:lang w:val="en-CA"/>
        </w:rPr>
        <w:t>stage </w:t>
      </w:r>
      <w:r w:rsidRPr="0026329D">
        <w:rPr>
          <w:lang w:val="en-CA"/>
        </w:rPr>
        <w:t xml:space="preserve">II of the HPMP. </w:t>
      </w:r>
    </w:p>
    <w:p w:rsidR="00285DDA" w:rsidRPr="0026329D" w:rsidRDefault="00285DDA" w:rsidP="00285DDA">
      <w:pPr>
        <w:pStyle w:val="Heading1"/>
        <w:rPr>
          <w:lang w:val="en-CA"/>
        </w:rPr>
      </w:pPr>
      <w:r w:rsidRPr="0026329D">
        <w:rPr>
          <w:lang w:val="en-CA"/>
        </w:rPr>
        <w:t xml:space="preserve">At the same meeting, the Executive Committee requested the Government of China, through the relevant bilateral and implementing agencies, to </w:t>
      </w:r>
      <w:r w:rsidRPr="0026329D">
        <w:rPr>
          <w:i/>
          <w:lang w:val="en-CA"/>
        </w:rPr>
        <w:t xml:space="preserve">inter alia </w:t>
      </w:r>
      <w:r w:rsidRPr="0026329D">
        <w:rPr>
          <w:lang w:val="en-CA"/>
        </w:rPr>
        <w:t xml:space="preserve">submit a revised plan of action that included related activities and information on the technology selected, and associated funding tranches to extend through 2026 </w:t>
      </w:r>
      <w:r w:rsidR="00A81DEE" w:rsidRPr="0026329D">
        <w:rPr>
          <w:lang w:val="en-CA"/>
        </w:rPr>
        <w:t>stage </w:t>
      </w:r>
      <w:r w:rsidRPr="0026329D">
        <w:rPr>
          <w:lang w:val="en-CA"/>
        </w:rPr>
        <w:t xml:space="preserve">II of the ICR sector, and the maximum allowable sectoral consumption levels of HCFC (decision 84/69). </w:t>
      </w:r>
    </w:p>
    <w:p w:rsidR="00285DDA" w:rsidRPr="0026329D" w:rsidRDefault="00285DDA" w:rsidP="00285DDA">
      <w:pPr>
        <w:pStyle w:val="Heading1"/>
        <w:keepNext/>
        <w:keepLines/>
        <w:widowControl w:val="0"/>
        <w:rPr>
          <w:lang w:val="en-CA"/>
        </w:rPr>
      </w:pPr>
      <w:r w:rsidRPr="0026329D">
        <w:rPr>
          <w:lang w:val="en-CA"/>
        </w:rPr>
        <w:t>At its 85</w:t>
      </w:r>
      <w:r w:rsidRPr="0026329D">
        <w:rPr>
          <w:vertAlign w:val="superscript"/>
          <w:lang w:val="en-CA"/>
        </w:rPr>
        <w:t>th</w:t>
      </w:r>
      <w:r w:rsidRPr="0026329D">
        <w:rPr>
          <w:lang w:val="en-CA"/>
        </w:rPr>
        <w:t xml:space="preserve"> meeting, the Executive Committee approved the third tranche of the ICR sector plan at the amount of </w:t>
      </w:r>
      <w:r w:rsidR="00475A50" w:rsidRPr="0026329D">
        <w:rPr>
          <w:lang w:val="en-CA"/>
        </w:rPr>
        <w:t>US $</w:t>
      </w:r>
      <w:r w:rsidRPr="0026329D">
        <w:rPr>
          <w:lang w:val="en-CA"/>
        </w:rPr>
        <w:t xml:space="preserve">2,095,775, plus agency support costs for UNDP to support the continuous implementation of the conversion projects initiated in the first and second tranche. </w:t>
      </w:r>
    </w:p>
    <w:p w:rsidR="00285DDA" w:rsidRPr="0026329D" w:rsidRDefault="00285DDA" w:rsidP="00285DDA">
      <w:pPr>
        <w:pStyle w:val="Heading1"/>
        <w:rPr>
          <w:lang w:val="en-CA"/>
        </w:rPr>
      </w:pPr>
      <w:r w:rsidRPr="0026329D">
        <w:rPr>
          <w:lang w:val="en-CA"/>
        </w:rPr>
        <w:t>In accordance with decision 84/69, UNDP, on behalf of the Government of China, has submitted to the 86</w:t>
      </w:r>
      <w:r w:rsidRPr="0026329D">
        <w:rPr>
          <w:vertAlign w:val="superscript"/>
          <w:lang w:val="en-CA"/>
        </w:rPr>
        <w:t>th</w:t>
      </w:r>
      <w:r w:rsidRPr="0026329D">
        <w:rPr>
          <w:lang w:val="en-CA"/>
        </w:rPr>
        <w:t xml:space="preserve"> meeting a revised </w:t>
      </w:r>
      <w:r w:rsidR="00A81DEE" w:rsidRPr="0026329D">
        <w:rPr>
          <w:lang w:val="en-CA"/>
        </w:rPr>
        <w:t>stage </w:t>
      </w:r>
      <w:r w:rsidRPr="0026329D">
        <w:rPr>
          <w:lang w:val="en-CA"/>
        </w:rPr>
        <w:t>II of the ICR sector plan, which includes related activities and information on the technology selected and associated funding tranches to extend through 2026.</w:t>
      </w:r>
      <w:r w:rsidRPr="0026329D">
        <w:rPr>
          <w:rStyle w:val="FootnoteReference"/>
          <w:lang w:val="en-CA"/>
        </w:rPr>
        <w:footnoteReference w:id="10"/>
      </w:r>
      <w:r w:rsidRPr="0026329D">
        <w:rPr>
          <w:lang w:val="en-CA"/>
        </w:rPr>
        <w:t xml:space="preserve"> </w:t>
      </w:r>
    </w:p>
    <w:p w:rsidR="00285DDA" w:rsidRPr="0026329D" w:rsidRDefault="00285DDA" w:rsidP="00285DDA">
      <w:pPr>
        <w:spacing w:after="240"/>
        <w:rPr>
          <w:b/>
          <w:lang w:val="en-CA"/>
        </w:rPr>
      </w:pPr>
      <w:r w:rsidRPr="0026329D">
        <w:rPr>
          <w:b/>
          <w:lang w:val="en-CA"/>
        </w:rPr>
        <w:t xml:space="preserve">Status of implementation of </w:t>
      </w:r>
      <w:r w:rsidR="00A81DEE" w:rsidRPr="0026329D">
        <w:rPr>
          <w:b/>
          <w:lang w:val="en-CA"/>
        </w:rPr>
        <w:t>stage </w:t>
      </w:r>
      <w:r w:rsidRPr="0026329D">
        <w:rPr>
          <w:b/>
          <w:lang w:val="en-CA"/>
        </w:rPr>
        <w:t>I of the ICR sector plan</w:t>
      </w:r>
    </w:p>
    <w:p w:rsidR="00285DDA" w:rsidRPr="0026329D" w:rsidRDefault="00A81DEE" w:rsidP="00285DDA">
      <w:pPr>
        <w:pStyle w:val="Heading1"/>
        <w:rPr>
          <w:lang w:val="en-CA"/>
        </w:rPr>
      </w:pPr>
      <w:r w:rsidRPr="0026329D">
        <w:rPr>
          <w:lang w:val="en-CA"/>
        </w:rPr>
        <w:t>Stage </w:t>
      </w:r>
      <w:r w:rsidR="00285DDA" w:rsidRPr="0026329D">
        <w:rPr>
          <w:lang w:val="en-CA"/>
        </w:rPr>
        <w:t>I of the ICR sector plan for China has been operationally completed and a project completion report (PCR) was submitted to the 85</w:t>
      </w:r>
      <w:r w:rsidR="00285DDA" w:rsidRPr="0026329D">
        <w:rPr>
          <w:vertAlign w:val="superscript"/>
          <w:lang w:val="en-CA"/>
        </w:rPr>
        <w:t>th</w:t>
      </w:r>
      <w:r w:rsidR="00285DDA" w:rsidRPr="0026329D">
        <w:rPr>
          <w:lang w:val="en-CA"/>
        </w:rPr>
        <w:t> meeting.</w:t>
      </w:r>
    </w:p>
    <w:p w:rsidR="00285DDA" w:rsidRPr="0026329D" w:rsidRDefault="00285DDA" w:rsidP="00285DDA">
      <w:pPr>
        <w:spacing w:after="240"/>
        <w:outlineLvl w:val="0"/>
        <w:rPr>
          <w:b/>
          <w:lang w:val="en-CA"/>
        </w:rPr>
      </w:pPr>
      <w:r w:rsidRPr="0026329D">
        <w:rPr>
          <w:b/>
          <w:lang w:val="en-CA"/>
        </w:rPr>
        <w:t xml:space="preserve">Status of implementation of </w:t>
      </w:r>
      <w:r w:rsidR="00A81DEE" w:rsidRPr="0026329D">
        <w:rPr>
          <w:b/>
          <w:lang w:val="en-CA"/>
        </w:rPr>
        <w:t>stage </w:t>
      </w:r>
      <w:r w:rsidRPr="0026329D">
        <w:rPr>
          <w:b/>
          <w:lang w:val="en-CA"/>
        </w:rPr>
        <w:t xml:space="preserve">II of the ICR sector plan </w:t>
      </w:r>
    </w:p>
    <w:p w:rsidR="00285DDA" w:rsidRPr="0026329D" w:rsidRDefault="00285DDA" w:rsidP="00BA3EA6">
      <w:pPr>
        <w:pStyle w:val="Heading1"/>
        <w:rPr>
          <w:lang w:val="en-CA"/>
        </w:rPr>
      </w:pPr>
      <w:r w:rsidRPr="0026329D">
        <w:rPr>
          <w:lang w:val="en-CA"/>
        </w:rPr>
        <w:t xml:space="preserve">Based on the detailed progress report on the implementation of </w:t>
      </w:r>
      <w:r w:rsidR="00A81DEE" w:rsidRPr="0026329D">
        <w:rPr>
          <w:lang w:val="en-CA"/>
        </w:rPr>
        <w:t>stage </w:t>
      </w:r>
      <w:r w:rsidRPr="0026329D">
        <w:rPr>
          <w:lang w:val="en-CA"/>
        </w:rPr>
        <w:t>II submitted to the 85</w:t>
      </w:r>
      <w:r w:rsidRPr="0026329D">
        <w:rPr>
          <w:vertAlign w:val="superscript"/>
          <w:lang w:val="en-CA"/>
        </w:rPr>
        <w:t>th</w:t>
      </w:r>
      <w:r w:rsidRPr="0026329D">
        <w:rPr>
          <w:lang w:val="en-CA"/>
        </w:rPr>
        <w:t> meeting,</w:t>
      </w:r>
      <w:r w:rsidRPr="0026329D">
        <w:rPr>
          <w:rStyle w:val="FootnoteReference"/>
          <w:lang w:val="en-CA"/>
        </w:rPr>
        <w:footnoteReference w:id="11"/>
      </w:r>
      <w:r w:rsidRPr="0026329D">
        <w:rPr>
          <w:lang w:val="en-CA"/>
        </w:rPr>
        <w:t xml:space="preserve"> contracts for the conversion of 18 manufacturing lines (to phase-out 2,557.42 mt (140.66 ODP tonnes) of HCFC-22) were signed and the conversion of four lines had been completed. The latest progress since the 85</w:t>
      </w:r>
      <w:r w:rsidRPr="0026329D">
        <w:rPr>
          <w:vertAlign w:val="superscript"/>
          <w:lang w:val="en-CA"/>
        </w:rPr>
        <w:t>th</w:t>
      </w:r>
      <w:r w:rsidRPr="0026329D">
        <w:rPr>
          <w:lang w:val="en-CA"/>
        </w:rPr>
        <w:t> meeting have not been verified due to restrictions imposed by the COVID</w:t>
      </w:r>
      <w:r w:rsidRPr="0026329D">
        <w:rPr>
          <w:lang w:val="en-CA"/>
        </w:rPr>
        <w:noBreakHyphen/>
        <w:t xml:space="preserve">19 pandemic. </w:t>
      </w:r>
    </w:p>
    <w:p w:rsidR="00285DDA" w:rsidRPr="0026329D" w:rsidRDefault="00285DDA" w:rsidP="00BA3EA6">
      <w:pPr>
        <w:rPr>
          <w:lang w:val="en-CA"/>
        </w:rPr>
      </w:pPr>
      <w:r w:rsidRPr="0026329D">
        <w:rPr>
          <w:u w:val="single"/>
          <w:lang w:val="en-CA"/>
        </w:rPr>
        <w:t>HCFC consumption in ICR sector</w:t>
      </w:r>
    </w:p>
    <w:p w:rsidR="00285DDA" w:rsidRPr="0026329D" w:rsidRDefault="00285DDA" w:rsidP="00BA3EA6">
      <w:pPr>
        <w:rPr>
          <w:lang w:val="en-CA"/>
        </w:rPr>
      </w:pPr>
      <w:r w:rsidRPr="0026329D">
        <w:rPr>
          <w:u w:val="single"/>
          <w:lang w:val="en-CA"/>
        </w:rPr>
        <w:t xml:space="preserve"> </w:t>
      </w:r>
    </w:p>
    <w:p w:rsidR="00285DDA" w:rsidRPr="0026329D" w:rsidRDefault="00285DDA" w:rsidP="00BA3EA6">
      <w:pPr>
        <w:pStyle w:val="Heading1"/>
        <w:rPr>
          <w:lang w:val="en-CA"/>
        </w:rPr>
      </w:pPr>
      <w:r w:rsidRPr="0026329D">
        <w:rPr>
          <w:lang w:val="en-CA"/>
        </w:rPr>
        <w:t xml:space="preserve">The Government of China reported a consumption of 1,996.91 ODP tonnes of HCFCs in the ICR sector for 2019, which is 2.2 per cent below the maximum allowable consumption for the sector, as shown in Table 1. </w:t>
      </w:r>
    </w:p>
    <w:p w:rsidR="00285DDA" w:rsidRPr="0026329D" w:rsidRDefault="00285DDA" w:rsidP="00BA3EA6">
      <w:pPr>
        <w:keepNext/>
        <w:keepLines/>
        <w:rPr>
          <w:b/>
          <w:lang w:val="en-CA"/>
        </w:rPr>
      </w:pPr>
      <w:r w:rsidRPr="0026329D">
        <w:rPr>
          <w:b/>
          <w:lang w:val="en-CA"/>
        </w:rPr>
        <w:t>Table 1. HCFC consumption in the ICR sector</w:t>
      </w:r>
    </w:p>
    <w:tbl>
      <w:tblPr>
        <w:tblW w:w="5082" w:type="pct"/>
        <w:tblLook w:val="04A0" w:firstRow="1" w:lastRow="0" w:firstColumn="1" w:lastColumn="0" w:noHBand="0" w:noVBand="1"/>
      </w:tblPr>
      <w:tblGrid>
        <w:gridCol w:w="2116"/>
        <w:gridCol w:w="1247"/>
        <w:gridCol w:w="1247"/>
        <w:gridCol w:w="1247"/>
        <w:gridCol w:w="1247"/>
        <w:gridCol w:w="1247"/>
        <w:gridCol w:w="1244"/>
      </w:tblGrid>
      <w:tr w:rsidR="00285DDA" w:rsidRPr="0026329D" w:rsidTr="003927DC">
        <w:trPr>
          <w:trHeight w:val="49"/>
          <w:tblHead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DDA" w:rsidRPr="0026329D" w:rsidRDefault="00285DDA" w:rsidP="00BA3EA6">
            <w:pPr>
              <w:keepNext/>
              <w:keepLines/>
              <w:jc w:val="left"/>
              <w:rPr>
                <w:b/>
                <w:sz w:val="20"/>
                <w:szCs w:val="20"/>
                <w:lang w:val="en-CA" w:eastAsia="zh-CN"/>
              </w:rPr>
            </w:pPr>
            <w:r w:rsidRPr="0026329D">
              <w:rPr>
                <w:b/>
                <w:sz w:val="20"/>
                <w:szCs w:val="20"/>
                <w:lang w:val="en-CA" w:eastAsia="zh-CN"/>
              </w:rPr>
              <w:t>Substance</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DDA" w:rsidRPr="0026329D" w:rsidRDefault="00285DDA" w:rsidP="00BA3EA6">
            <w:pPr>
              <w:keepNext/>
              <w:keepLines/>
              <w:jc w:val="center"/>
              <w:rPr>
                <w:b/>
                <w:sz w:val="20"/>
                <w:szCs w:val="20"/>
                <w:lang w:val="en-CA" w:eastAsia="zh-CN"/>
              </w:rPr>
            </w:pPr>
            <w:r w:rsidRPr="0026329D">
              <w:rPr>
                <w:b/>
                <w:sz w:val="20"/>
                <w:szCs w:val="20"/>
                <w:lang w:val="en-CA"/>
              </w:rPr>
              <w:t>2015</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285DDA" w:rsidRPr="0026329D" w:rsidRDefault="00285DDA" w:rsidP="00BA3EA6">
            <w:pPr>
              <w:keepNext/>
              <w:keepLines/>
              <w:jc w:val="center"/>
              <w:rPr>
                <w:b/>
                <w:sz w:val="20"/>
                <w:szCs w:val="20"/>
                <w:lang w:val="en-CA" w:eastAsia="zh-CN"/>
              </w:rPr>
            </w:pPr>
            <w:r w:rsidRPr="0026329D">
              <w:rPr>
                <w:b/>
                <w:sz w:val="20"/>
                <w:szCs w:val="20"/>
                <w:lang w:val="en-CA"/>
              </w:rPr>
              <w:t>2016</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285DDA" w:rsidRPr="0026329D" w:rsidRDefault="00285DDA" w:rsidP="00BA3EA6">
            <w:pPr>
              <w:keepNext/>
              <w:keepLines/>
              <w:jc w:val="center"/>
              <w:rPr>
                <w:b/>
                <w:sz w:val="20"/>
                <w:szCs w:val="20"/>
                <w:lang w:val="en-CA" w:eastAsia="zh-CN"/>
              </w:rPr>
            </w:pPr>
            <w:r w:rsidRPr="0026329D">
              <w:rPr>
                <w:b/>
                <w:sz w:val="20"/>
                <w:szCs w:val="20"/>
                <w:lang w:val="en-CA"/>
              </w:rPr>
              <w:t>2017</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285DDA" w:rsidRPr="0026329D" w:rsidRDefault="00285DDA" w:rsidP="00BA3EA6">
            <w:pPr>
              <w:keepNext/>
              <w:keepLines/>
              <w:jc w:val="center"/>
              <w:rPr>
                <w:b/>
                <w:sz w:val="20"/>
                <w:szCs w:val="20"/>
                <w:lang w:val="en-CA" w:eastAsia="zh-CN"/>
              </w:rPr>
            </w:pPr>
            <w:r w:rsidRPr="0026329D">
              <w:rPr>
                <w:b/>
                <w:sz w:val="20"/>
                <w:szCs w:val="20"/>
                <w:lang w:val="en-CA"/>
              </w:rPr>
              <w:t>2018</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285DDA" w:rsidRPr="0026329D" w:rsidRDefault="00285DDA" w:rsidP="00BA3EA6">
            <w:pPr>
              <w:keepNext/>
              <w:keepLines/>
              <w:jc w:val="center"/>
              <w:rPr>
                <w:b/>
                <w:sz w:val="20"/>
                <w:szCs w:val="20"/>
                <w:lang w:val="en-CA" w:eastAsia="zh-CN"/>
              </w:rPr>
            </w:pPr>
            <w:r w:rsidRPr="0026329D">
              <w:rPr>
                <w:b/>
                <w:sz w:val="20"/>
                <w:szCs w:val="20"/>
                <w:lang w:val="en-CA"/>
              </w:rPr>
              <w:t>2019*</w:t>
            </w:r>
          </w:p>
        </w:tc>
        <w:tc>
          <w:tcPr>
            <w:tcW w:w="648" w:type="pct"/>
            <w:tcBorders>
              <w:top w:val="single" w:sz="4" w:space="0" w:color="auto"/>
              <w:left w:val="nil"/>
              <w:bottom w:val="single" w:sz="4" w:space="0" w:color="auto"/>
              <w:right w:val="single" w:sz="4" w:space="0" w:color="auto"/>
            </w:tcBorders>
            <w:vAlign w:val="center"/>
          </w:tcPr>
          <w:p w:rsidR="00285DDA" w:rsidRPr="0026329D" w:rsidRDefault="00285DDA" w:rsidP="00BA3EA6">
            <w:pPr>
              <w:keepNext/>
              <w:keepLines/>
              <w:rPr>
                <w:b/>
                <w:sz w:val="20"/>
                <w:szCs w:val="20"/>
                <w:lang w:val="en-CA" w:eastAsia="zh-CN"/>
              </w:rPr>
            </w:pPr>
            <w:r w:rsidRPr="0026329D">
              <w:rPr>
                <w:b/>
                <w:sz w:val="20"/>
                <w:szCs w:val="20"/>
                <w:lang w:val="en-CA"/>
              </w:rPr>
              <w:t>Baseline</w:t>
            </w:r>
          </w:p>
        </w:tc>
      </w:tr>
      <w:tr w:rsidR="00285DDA" w:rsidRPr="0026329D" w:rsidTr="00090F6A">
        <w:trPr>
          <w:trHeight w:val="80"/>
        </w:trPr>
        <w:tc>
          <w:tcPr>
            <w:tcW w:w="1102" w:type="pct"/>
            <w:tcBorders>
              <w:top w:val="single" w:sz="4" w:space="0" w:color="auto"/>
              <w:left w:val="single" w:sz="4" w:space="0" w:color="auto"/>
              <w:bottom w:val="single" w:sz="4" w:space="0" w:color="auto"/>
              <w:right w:val="single" w:sz="4" w:space="0" w:color="000000"/>
            </w:tcBorders>
            <w:shd w:val="clear" w:color="auto" w:fill="auto"/>
            <w:noWrap/>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Target** (ODP tonnes)</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2,162.50</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2,162.50</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2,162.50</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2,042.40</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2,042.40</w:t>
            </w:r>
          </w:p>
        </w:tc>
        <w:tc>
          <w:tcPr>
            <w:tcW w:w="648" w:type="pct"/>
            <w:tcBorders>
              <w:top w:val="nil"/>
              <w:left w:val="nil"/>
              <w:bottom w:val="single" w:sz="4" w:space="0" w:color="auto"/>
              <w:right w:val="single" w:sz="4" w:space="0" w:color="auto"/>
            </w:tcBorders>
            <w:shd w:val="clear" w:color="auto" w:fill="auto"/>
            <w:tcMar>
              <w:left w:w="115" w:type="dxa"/>
              <w:right w:w="173" w:type="dxa"/>
            </w:tcMar>
          </w:tcPr>
          <w:p w:rsidR="00285DDA" w:rsidRPr="0026329D" w:rsidRDefault="00285DDA" w:rsidP="00BA3EA6">
            <w:pPr>
              <w:keepNext/>
              <w:keepLines/>
              <w:jc w:val="right"/>
              <w:rPr>
                <w:color w:val="000000"/>
                <w:sz w:val="20"/>
                <w:szCs w:val="20"/>
                <w:lang w:val="en-CA" w:eastAsia="zh-CN"/>
              </w:rPr>
            </w:pPr>
            <w:r w:rsidRPr="0026329D">
              <w:rPr>
                <w:color w:val="000000"/>
                <w:sz w:val="20"/>
                <w:szCs w:val="20"/>
                <w:lang w:val="en-CA" w:eastAsia="zh-CN"/>
              </w:rPr>
              <w:t>n/a</w:t>
            </w:r>
          </w:p>
        </w:tc>
      </w:tr>
      <w:tr w:rsidR="00285DDA" w:rsidRPr="0026329D" w:rsidTr="00090F6A">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5DDA" w:rsidRPr="0026329D" w:rsidRDefault="00285DDA" w:rsidP="00BA3EA6">
            <w:pPr>
              <w:keepNext/>
              <w:keepLines/>
              <w:jc w:val="left"/>
              <w:rPr>
                <w:color w:val="000000"/>
                <w:sz w:val="20"/>
                <w:szCs w:val="20"/>
                <w:lang w:val="en-CA" w:eastAsia="zh-CN"/>
              </w:rPr>
            </w:pPr>
            <w:r w:rsidRPr="0026329D">
              <w:rPr>
                <w:color w:val="000000"/>
                <w:sz w:val="20"/>
                <w:szCs w:val="20"/>
                <w:lang w:val="en-CA" w:eastAsia="zh-CN"/>
              </w:rPr>
              <w:t>Metric tonnes</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HCFC-22</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35,700.00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37,500.00</w:t>
            </w:r>
          </w:p>
        </w:tc>
        <w:tc>
          <w:tcPr>
            <w:tcW w:w="650" w:type="pct"/>
            <w:tcBorders>
              <w:top w:val="single" w:sz="4" w:space="0" w:color="auto"/>
              <w:left w:val="nil"/>
              <w:bottom w:val="single" w:sz="4" w:space="0" w:color="auto"/>
              <w:right w:val="nil"/>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37,500.00</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36,000.00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36,000.00</w:t>
            </w:r>
          </w:p>
        </w:tc>
        <w:tc>
          <w:tcPr>
            <w:tcW w:w="648"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color w:val="000000"/>
                <w:sz w:val="20"/>
                <w:szCs w:val="20"/>
                <w:lang w:val="en-CA"/>
              </w:rPr>
            </w:pPr>
            <w:r w:rsidRPr="0026329D">
              <w:rPr>
                <w:color w:val="000000"/>
                <w:sz w:val="20"/>
                <w:szCs w:val="20"/>
                <w:lang w:val="en-CA"/>
              </w:rPr>
              <w:t>43,467.50</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HCFC-123</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585.00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sz w:val="20"/>
                <w:szCs w:val="20"/>
                <w:lang w:val="en-CA"/>
              </w:rPr>
              <w:t>654.70</w:t>
            </w:r>
          </w:p>
        </w:tc>
        <w:tc>
          <w:tcPr>
            <w:tcW w:w="650" w:type="pct"/>
            <w:tcBorders>
              <w:top w:val="nil"/>
              <w:left w:val="nil"/>
              <w:bottom w:val="single" w:sz="4" w:space="0" w:color="auto"/>
              <w:right w:val="nil"/>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644.00</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553.00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553.00</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sz w:val="20"/>
                <w:szCs w:val="20"/>
                <w:lang w:val="en-CA"/>
              </w:rPr>
            </w:pPr>
            <w:r w:rsidRPr="0026329D">
              <w:rPr>
                <w:color w:val="000000"/>
                <w:sz w:val="20"/>
                <w:szCs w:val="20"/>
                <w:lang w:val="en-CA"/>
              </w:rPr>
              <w:t>392.50</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HCFC-142b</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100.00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100.00</w:t>
            </w:r>
          </w:p>
        </w:tc>
        <w:tc>
          <w:tcPr>
            <w:tcW w:w="650" w:type="pct"/>
            <w:tcBorders>
              <w:top w:val="nil"/>
              <w:left w:val="nil"/>
              <w:bottom w:val="single" w:sz="4" w:space="0" w:color="auto"/>
              <w:right w:val="nil"/>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90.00</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90.00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90.00</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sz w:val="20"/>
                <w:szCs w:val="20"/>
                <w:lang w:val="en-CA"/>
              </w:rPr>
            </w:pPr>
            <w:r w:rsidRPr="0026329D">
              <w:rPr>
                <w:color w:val="000000"/>
                <w:sz w:val="20"/>
                <w:szCs w:val="20"/>
                <w:lang w:val="en-CA"/>
              </w:rPr>
              <w:t>65.00</w:t>
            </w:r>
          </w:p>
        </w:tc>
      </w:tr>
      <w:tr w:rsidR="00285DDA" w:rsidRPr="0026329D" w:rsidTr="00090F6A">
        <w:trPr>
          <w:trHeight w:val="161"/>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b/>
                <w:sz w:val="20"/>
                <w:szCs w:val="20"/>
                <w:lang w:val="en-CA" w:eastAsia="zh-CN"/>
              </w:rPr>
            </w:pPr>
            <w:r w:rsidRPr="0026329D">
              <w:rPr>
                <w:b/>
                <w:sz w:val="20"/>
                <w:szCs w:val="20"/>
                <w:lang w:val="en-CA" w:eastAsia="zh-CN"/>
              </w:rPr>
              <w:t>Total (mt)</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36,385.00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38,254.70</w:t>
            </w:r>
          </w:p>
        </w:tc>
        <w:tc>
          <w:tcPr>
            <w:tcW w:w="650" w:type="pct"/>
            <w:tcBorders>
              <w:top w:val="nil"/>
              <w:left w:val="nil"/>
              <w:bottom w:val="nil"/>
              <w:right w:val="nil"/>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38,234.00</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36,643.00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sz w:val="20"/>
                <w:szCs w:val="20"/>
                <w:lang w:val="en-CA"/>
              </w:rPr>
            </w:pPr>
            <w:r w:rsidRPr="0026329D">
              <w:rPr>
                <w:color w:val="000000"/>
                <w:sz w:val="20"/>
                <w:szCs w:val="20"/>
                <w:lang w:val="en-CA"/>
              </w:rPr>
              <w:t>36,643.00</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sz w:val="20"/>
                <w:szCs w:val="20"/>
                <w:lang w:val="en-CA"/>
              </w:rPr>
            </w:pPr>
            <w:r w:rsidRPr="0026329D">
              <w:rPr>
                <w:sz w:val="20"/>
                <w:szCs w:val="20"/>
                <w:lang w:val="en-CA"/>
              </w:rPr>
              <w:t>43,925.00</w:t>
            </w:r>
          </w:p>
        </w:tc>
      </w:tr>
      <w:tr w:rsidR="00285DDA" w:rsidRPr="0026329D" w:rsidTr="00090F6A">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285DDA" w:rsidRPr="0026329D" w:rsidRDefault="00285DDA" w:rsidP="00090F6A">
            <w:pPr>
              <w:jc w:val="left"/>
              <w:rPr>
                <w:color w:val="000000"/>
                <w:sz w:val="20"/>
                <w:szCs w:val="20"/>
                <w:lang w:val="en-CA" w:eastAsia="zh-CN"/>
              </w:rPr>
            </w:pPr>
            <w:r w:rsidRPr="0026329D">
              <w:rPr>
                <w:color w:val="000000"/>
                <w:sz w:val="20"/>
                <w:szCs w:val="20"/>
                <w:lang w:val="en-CA" w:eastAsia="zh-CN"/>
              </w:rPr>
              <w:t>ODP tonnes</w:t>
            </w:r>
          </w:p>
        </w:tc>
      </w:tr>
      <w:tr w:rsidR="00285DDA" w:rsidRPr="0026329D" w:rsidTr="00090F6A">
        <w:trPr>
          <w:trHeight w:val="40"/>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HCFC-22</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1,963.50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2,062.50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2,062.50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1,980.00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1,980.00</w:t>
            </w:r>
          </w:p>
        </w:tc>
        <w:tc>
          <w:tcPr>
            <w:tcW w:w="648"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color w:val="000000"/>
                <w:sz w:val="20"/>
                <w:szCs w:val="20"/>
                <w:lang w:val="en-CA"/>
              </w:rPr>
            </w:pPr>
            <w:r w:rsidRPr="0026329D">
              <w:rPr>
                <w:color w:val="000000"/>
                <w:sz w:val="20"/>
                <w:szCs w:val="20"/>
                <w:lang w:val="en-CA"/>
              </w:rPr>
              <w:t>2,390.71</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HCFC-123</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11.70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13.09</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12.88</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11.06</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11.06</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color w:val="000000"/>
                <w:sz w:val="20"/>
                <w:szCs w:val="20"/>
                <w:lang w:val="en-CA"/>
              </w:rPr>
            </w:pPr>
            <w:r w:rsidRPr="0026329D">
              <w:rPr>
                <w:color w:val="000000"/>
                <w:sz w:val="20"/>
                <w:szCs w:val="20"/>
                <w:lang w:val="en-CA"/>
              </w:rPr>
              <w:t>7.85</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HCFC-142b</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6.50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6.50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5.85</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5.85</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5.85</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color w:val="000000"/>
                <w:sz w:val="20"/>
                <w:szCs w:val="20"/>
                <w:lang w:val="en-CA"/>
              </w:rPr>
            </w:pPr>
            <w:r w:rsidRPr="0026329D">
              <w:rPr>
                <w:color w:val="000000"/>
                <w:sz w:val="20"/>
                <w:szCs w:val="20"/>
                <w:lang w:val="en-CA"/>
              </w:rPr>
              <w:t>4.23</w:t>
            </w:r>
          </w:p>
        </w:tc>
      </w:tr>
      <w:tr w:rsidR="00285DDA" w:rsidRPr="0026329D" w:rsidTr="00090F6A">
        <w:trPr>
          <w:trHeight w:val="49"/>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285DDA" w:rsidRPr="0026329D" w:rsidRDefault="00285DDA" w:rsidP="00090F6A">
            <w:pPr>
              <w:jc w:val="left"/>
              <w:rPr>
                <w:b/>
                <w:color w:val="000000"/>
                <w:sz w:val="20"/>
                <w:szCs w:val="20"/>
                <w:lang w:val="en-CA" w:eastAsia="zh-CN"/>
              </w:rPr>
            </w:pPr>
            <w:r w:rsidRPr="0026329D">
              <w:rPr>
                <w:b/>
                <w:color w:val="000000"/>
                <w:sz w:val="20"/>
                <w:szCs w:val="20"/>
                <w:lang w:val="en-CA" w:eastAsia="zh-CN"/>
              </w:rPr>
              <w:t>Total ODP tonnes</w:t>
            </w:r>
          </w:p>
        </w:tc>
        <w:tc>
          <w:tcPr>
            <w:tcW w:w="650"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1,981.70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2,082.09</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2,081.23</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1,996.91</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rsidR="00285DDA" w:rsidRPr="0026329D" w:rsidRDefault="00285DDA" w:rsidP="00090F6A">
            <w:pPr>
              <w:jc w:val="right"/>
              <w:rPr>
                <w:color w:val="000000"/>
                <w:sz w:val="20"/>
                <w:szCs w:val="20"/>
                <w:lang w:val="en-CA"/>
              </w:rPr>
            </w:pPr>
            <w:r w:rsidRPr="0026329D">
              <w:rPr>
                <w:color w:val="000000"/>
                <w:sz w:val="20"/>
                <w:szCs w:val="20"/>
                <w:lang w:val="en-CA"/>
              </w:rPr>
              <w:t>1,996.91</w:t>
            </w:r>
          </w:p>
        </w:tc>
        <w:tc>
          <w:tcPr>
            <w:tcW w:w="648" w:type="pct"/>
            <w:tcBorders>
              <w:top w:val="nil"/>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jc w:val="right"/>
              <w:rPr>
                <w:color w:val="000000"/>
                <w:sz w:val="20"/>
                <w:szCs w:val="20"/>
                <w:lang w:val="en-CA"/>
              </w:rPr>
            </w:pPr>
            <w:r w:rsidRPr="0026329D">
              <w:rPr>
                <w:sz w:val="20"/>
                <w:szCs w:val="20"/>
                <w:lang w:val="en-CA"/>
              </w:rPr>
              <w:t>2,402.79</w:t>
            </w:r>
          </w:p>
        </w:tc>
      </w:tr>
    </w:tbl>
    <w:p w:rsidR="00285DDA" w:rsidRPr="0026329D" w:rsidRDefault="00285DDA" w:rsidP="00285DDA">
      <w:pPr>
        <w:rPr>
          <w:sz w:val="18"/>
          <w:szCs w:val="18"/>
          <w:lang w:val="en-CA"/>
        </w:rPr>
      </w:pPr>
      <w:r w:rsidRPr="0026329D">
        <w:rPr>
          <w:sz w:val="18"/>
          <w:szCs w:val="18"/>
          <w:lang w:val="en-CA"/>
        </w:rPr>
        <w:t>*</w:t>
      </w:r>
      <w:r w:rsidR="00475A50" w:rsidRPr="0026329D">
        <w:rPr>
          <w:sz w:val="18"/>
          <w:szCs w:val="18"/>
          <w:lang w:val="en-CA"/>
        </w:rPr>
        <w:t xml:space="preserve"> </w:t>
      </w:r>
      <w:r w:rsidRPr="0026329D">
        <w:rPr>
          <w:sz w:val="18"/>
          <w:szCs w:val="18"/>
          <w:lang w:val="en-CA"/>
        </w:rPr>
        <w:t>Reported in the project proposal.</w:t>
      </w:r>
    </w:p>
    <w:p w:rsidR="00285DDA" w:rsidRPr="0026329D" w:rsidRDefault="00285DDA" w:rsidP="00285DDA">
      <w:pPr>
        <w:rPr>
          <w:sz w:val="18"/>
          <w:szCs w:val="18"/>
          <w:lang w:val="en-CA"/>
        </w:rPr>
      </w:pPr>
      <w:r w:rsidRPr="0026329D">
        <w:rPr>
          <w:sz w:val="18"/>
          <w:szCs w:val="18"/>
          <w:lang w:val="en-CA"/>
        </w:rPr>
        <w:t>** Targets set in row 1.3.1 of Appendix 2-A of the Agreement with the Executive Committee.</w:t>
      </w:r>
    </w:p>
    <w:p w:rsidR="00285DDA" w:rsidRPr="0026329D" w:rsidRDefault="00285DDA" w:rsidP="00285DDA">
      <w:pPr>
        <w:rPr>
          <w:lang w:val="en-CA"/>
        </w:rPr>
      </w:pPr>
    </w:p>
    <w:p w:rsidR="00285DDA" w:rsidRPr="0026329D" w:rsidRDefault="00285DDA" w:rsidP="00285DDA">
      <w:pPr>
        <w:pStyle w:val="Heading1"/>
        <w:rPr>
          <w:lang w:val="en-CA"/>
        </w:rPr>
      </w:pPr>
      <w:r w:rsidRPr="0026329D">
        <w:rPr>
          <w:lang w:val="en-CA"/>
        </w:rPr>
        <w:t xml:space="preserve">The implementation of the activities in the HPMP, particularly the conversion of manufacturing capacities using HCFC-22 and the application of licensing and quota controls, has inhibited the growth of HCFC consumption. In 2019, HCFC consumption of 1,996.91 ODP tonnes accounted for 83 per cent of the ICR sector baseline. </w:t>
      </w:r>
    </w:p>
    <w:p w:rsidR="00285DDA" w:rsidRPr="0026329D" w:rsidRDefault="00285DDA" w:rsidP="00285DDA">
      <w:pPr>
        <w:pStyle w:val="Heading1"/>
        <w:keepNext/>
        <w:keepLines/>
        <w:widowControl w:val="0"/>
        <w:numPr>
          <w:ilvl w:val="0"/>
          <w:numId w:val="0"/>
        </w:numPr>
        <w:rPr>
          <w:b/>
          <w:lang w:val="en-CA"/>
        </w:rPr>
      </w:pPr>
      <w:r w:rsidRPr="0026329D">
        <w:rPr>
          <w:b/>
          <w:lang w:val="en-CA"/>
        </w:rPr>
        <w:t xml:space="preserve">Revised </w:t>
      </w:r>
      <w:r w:rsidR="00162D38" w:rsidRPr="0026329D">
        <w:rPr>
          <w:b/>
          <w:lang w:val="en-CA"/>
        </w:rPr>
        <w:t xml:space="preserve">extended </w:t>
      </w:r>
      <w:r w:rsidR="00A81DEE" w:rsidRPr="0026329D">
        <w:rPr>
          <w:b/>
          <w:lang w:val="en-CA"/>
        </w:rPr>
        <w:t>stage </w:t>
      </w:r>
      <w:r w:rsidRPr="0026329D">
        <w:rPr>
          <w:b/>
          <w:lang w:val="en-CA"/>
        </w:rPr>
        <w:t>II of the ICR sector plan</w:t>
      </w:r>
    </w:p>
    <w:p w:rsidR="00285DDA" w:rsidRPr="0026329D" w:rsidRDefault="00285DDA" w:rsidP="00285DDA">
      <w:pPr>
        <w:pStyle w:val="Heading1"/>
        <w:keepNext/>
        <w:keepLines/>
        <w:widowControl w:val="0"/>
        <w:numPr>
          <w:ilvl w:val="0"/>
          <w:numId w:val="0"/>
        </w:numPr>
        <w:rPr>
          <w:u w:val="single"/>
          <w:lang w:val="en-CA"/>
        </w:rPr>
      </w:pPr>
      <w:r w:rsidRPr="0026329D">
        <w:rPr>
          <w:u w:val="single"/>
          <w:lang w:val="en-CA"/>
        </w:rPr>
        <w:t>Phase-out strategy</w:t>
      </w:r>
    </w:p>
    <w:p w:rsidR="00285DDA" w:rsidRPr="0026329D" w:rsidRDefault="00285DDA" w:rsidP="00285DDA">
      <w:pPr>
        <w:pStyle w:val="Heading1"/>
        <w:keepNext/>
        <w:keepLines/>
        <w:widowControl w:val="0"/>
        <w:rPr>
          <w:lang w:val="en-CA"/>
        </w:rPr>
      </w:pPr>
      <w:r w:rsidRPr="0026329D">
        <w:rPr>
          <w:lang w:val="en-CA"/>
        </w:rPr>
        <w:t xml:space="preserve">The revised </w:t>
      </w:r>
      <w:r w:rsidR="00162D38" w:rsidRPr="0026329D">
        <w:rPr>
          <w:lang w:val="en-CA"/>
        </w:rPr>
        <w:t xml:space="preserve">extended </w:t>
      </w:r>
      <w:r w:rsidR="00A81DEE" w:rsidRPr="0026329D">
        <w:rPr>
          <w:lang w:val="en-CA"/>
        </w:rPr>
        <w:t>stage </w:t>
      </w:r>
      <w:r w:rsidRPr="0026329D">
        <w:rPr>
          <w:lang w:val="en-CA"/>
        </w:rPr>
        <w:t>II of the ICR sector plan will be implemented from 2021 to 2026 to reduce 15,225.28 mt (828.99 ODP tonnes) of HCFC consumption to achieve a 67.5 per cent reduction of the ICR sector baseline by 2025. The reduction will be achieved through the conversion of manufacturing lines, TA activities and policy measures. The consumption targets from 2020 to 2026 and the reduction as a percentage of the baseline are presented in Table 2:</w:t>
      </w:r>
    </w:p>
    <w:p w:rsidR="00285DDA" w:rsidRPr="0026329D" w:rsidRDefault="00285DDA" w:rsidP="00285DDA">
      <w:pPr>
        <w:rPr>
          <w:b/>
          <w:lang w:val="en-CA"/>
        </w:rPr>
      </w:pPr>
      <w:r w:rsidRPr="0026329D">
        <w:rPr>
          <w:b/>
          <w:lang w:val="en-CA"/>
        </w:rPr>
        <w:t>Table 2: Maximum HCFC consumption targets from 2020 to 2026 for ICR sector (mt)</w:t>
      </w:r>
    </w:p>
    <w:tbl>
      <w:tblPr>
        <w:tblW w:w="5000" w:type="pct"/>
        <w:tblLayout w:type="fixed"/>
        <w:tblLook w:val="04A0" w:firstRow="1" w:lastRow="0" w:firstColumn="1" w:lastColumn="0" w:noHBand="0" w:noVBand="1"/>
      </w:tblPr>
      <w:tblGrid>
        <w:gridCol w:w="1884"/>
        <w:gridCol w:w="944"/>
        <w:gridCol w:w="946"/>
        <w:gridCol w:w="944"/>
        <w:gridCol w:w="946"/>
        <w:gridCol w:w="944"/>
        <w:gridCol w:w="946"/>
        <w:gridCol w:w="944"/>
        <w:gridCol w:w="942"/>
      </w:tblGrid>
      <w:tr w:rsidR="00285DDA" w:rsidRPr="0026329D" w:rsidTr="003927DC">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090F6A">
            <w:pPr>
              <w:jc w:val="left"/>
              <w:rPr>
                <w:b/>
                <w:color w:val="000000"/>
                <w:sz w:val="20"/>
                <w:szCs w:val="20"/>
                <w:lang w:val="en-CA" w:eastAsia="zh-CN"/>
              </w:rPr>
            </w:pPr>
            <w:r w:rsidRPr="0026329D">
              <w:rPr>
                <w:b/>
                <w:color w:val="000000" w:themeColor="text1"/>
                <w:sz w:val="20"/>
                <w:szCs w:val="20"/>
                <w:lang w:val="en-CA" w:eastAsia="zh-CN"/>
              </w:rPr>
              <w:t>Substances</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2020</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2021</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2022</w:t>
            </w:r>
          </w:p>
        </w:tc>
        <w:tc>
          <w:tcPr>
            <w:tcW w:w="50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2023</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2024</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2026</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285DDA" w:rsidRPr="0026329D" w:rsidRDefault="00285DDA" w:rsidP="00090F6A">
            <w:pPr>
              <w:jc w:val="center"/>
              <w:rPr>
                <w:b/>
                <w:color w:val="000000"/>
                <w:sz w:val="20"/>
                <w:szCs w:val="20"/>
                <w:lang w:val="en-CA" w:eastAsia="zh-CN"/>
              </w:rPr>
            </w:pPr>
            <w:r w:rsidRPr="0026329D">
              <w:rPr>
                <w:b/>
                <w:color w:val="000000" w:themeColor="text1"/>
                <w:sz w:val="20"/>
                <w:szCs w:val="20"/>
                <w:lang w:val="en-CA" w:eastAsia="zh-CN"/>
              </w:rPr>
              <w:t>Reduction (mt)</w:t>
            </w:r>
          </w:p>
        </w:tc>
      </w:tr>
      <w:tr w:rsidR="00285DDA" w:rsidRPr="0026329D" w:rsidTr="003927DC">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090F6A">
            <w:pPr>
              <w:jc w:val="left"/>
              <w:rPr>
                <w:sz w:val="20"/>
                <w:szCs w:val="20"/>
                <w:lang w:val="en-CA" w:eastAsia="zh-CN"/>
              </w:rPr>
            </w:pPr>
            <w:r w:rsidRPr="0026329D">
              <w:rPr>
                <w:sz w:val="20"/>
                <w:szCs w:val="20"/>
                <w:lang w:val="en-CA" w:eastAsia="zh-CN"/>
              </w:rPr>
              <w:t>HCFC-22</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sz w:val="20"/>
                <w:szCs w:val="20"/>
                <w:lang w:val="en-CA" w:eastAsia="zh-CN"/>
              </w:rPr>
            </w:pPr>
            <w:r w:rsidRPr="0026329D">
              <w:rPr>
                <w:color w:val="000000"/>
                <w:sz w:val="20"/>
                <w:szCs w:val="20"/>
                <w:lang w:val="en-CA"/>
              </w:rPr>
              <w:t>28,997.73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sz w:val="20"/>
                <w:szCs w:val="20"/>
                <w:lang w:val="en-CA"/>
              </w:rPr>
            </w:pPr>
            <w:r w:rsidRPr="0026329D">
              <w:rPr>
                <w:color w:val="000000"/>
                <w:sz w:val="20"/>
                <w:szCs w:val="20"/>
                <w:lang w:val="en-CA"/>
              </w:rPr>
              <w:t>28,997.73</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sz w:val="20"/>
                <w:szCs w:val="20"/>
                <w:lang w:val="en-CA"/>
              </w:rPr>
            </w:pPr>
            <w:r w:rsidRPr="0026329D">
              <w:rPr>
                <w:color w:val="000000"/>
                <w:sz w:val="20"/>
                <w:szCs w:val="20"/>
                <w:lang w:val="en-CA"/>
              </w:rPr>
              <w:t>28,997.73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sz w:val="20"/>
                <w:szCs w:val="20"/>
                <w:lang w:val="en-CA"/>
              </w:rPr>
            </w:pPr>
            <w:r w:rsidRPr="0026329D">
              <w:rPr>
                <w:color w:val="000000"/>
                <w:sz w:val="20"/>
                <w:szCs w:val="20"/>
                <w:lang w:val="en-CA"/>
              </w:rPr>
              <w:t>24,666.27</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sz w:val="20"/>
                <w:szCs w:val="20"/>
                <w:lang w:val="en-CA"/>
              </w:rPr>
            </w:pPr>
            <w:r w:rsidRPr="0026329D">
              <w:rPr>
                <w:color w:val="000000"/>
                <w:sz w:val="20"/>
                <w:szCs w:val="20"/>
                <w:lang w:val="en-CA"/>
              </w:rPr>
              <w:t>24,666.27</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sz w:val="20"/>
                <w:szCs w:val="20"/>
                <w:lang w:val="en-CA" w:eastAsia="zh-CN"/>
              </w:rPr>
            </w:pPr>
            <w:r w:rsidRPr="0026329D">
              <w:rPr>
                <w:color w:val="000000"/>
                <w:sz w:val="20"/>
                <w:szCs w:val="20"/>
                <w:lang w:val="en-CA"/>
              </w:rPr>
              <w:t>14,066.45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sz w:val="20"/>
                <w:szCs w:val="20"/>
                <w:lang w:val="en-CA" w:eastAsia="zh-CN"/>
              </w:rPr>
            </w:pPr>
            <w:r w:rsidRPr="0026329D">
              <w:rPr>
                <w:color w:val="000000"/>
                <w:sz w:val="20"/>
                <w:szCs w:val="20"/>
                <w:lang w:val="en-CA"/>
              </w:rPr>
              <w:t>14,066.45</w:t>
            </w:r>
          </w:p>
        </w:tc>
        <w:tc>
          <w:tcPr>
            <w:tcW w:w="501"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sz w:val="20"/>
                <w:szCs w:val="20"/>
                <w:lang w:val="en-CA" w:eastAsia="zh-CN"/>
              </w:rPr>
            </w:pPr>
            <w:r w:rsidRPr="0026329D">
              <w:rPr>
                <w:color w:val="000000"/>
                <w:sz w:val="20"/>
                <w:szCs w:val="20"/>
                <w:lang w:val="en-CA"/>
              </w:rPr>
              <w:t>14,931.28</w:t>
            </w:r>
          </w:p>
        </w:tc>
      </w:tr>
      <w:tr w:rsidR="00285DDA" w:rsidRPr="0026329D" w:rsidTr="003927DC">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090F6A">
            <w:pPr>
              <w:jc w:val="left"/>
              <w:rPr>
                <w:color w:val="000000"/>
                <w:sz w:val="20"/>
                <w:szCs w:val="20"/>
                <w:lang w:val="en-CA" w:eastAsia="zh-CN"/>
              </w:rPr>
            </w:pPr>
            <w:r w:rsidRPr="0026329D">
              <w:rPr>
                <w:color w:val="000000" w:themeColor="text1"/>
                <w:sz w:val="20"/>
                <w:szCs w:val="20"/>
                <w:lang w:val="en-CA" w:eastAsia="zh-CN"/>
              </w:rPr>
              <w:t>HCFC-123</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540.00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540.00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540.00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470.00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470.00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288.00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288.00</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252.00</w:t>
            </w:r>
          </w:p>
        </w:tc>
      </w:tr>
      <w:tr w:rsidR="00285DDA" w:rsidRPr="0026329D" w:rsidTr="003927DC">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090F6A">
            <w:pPr>
              <w:jc w:val="left"/>
              <w:rPr>
                <w:color w:val="000000"/>
                <w:sz w:val="20"/>
                <w:szCs w:val="20"/>
                <w:lang w:val="en-CA" w:eastAsia="zh-CN"/>
              </w:rPr>
            </w:pPr>
            <w:r w:rsidRPr="0026329D">
              <w:rPr>
                <w:color w:val="000000" w:themeColor="text1"/>
                <w:sz w:val="20"/>
                <w:szCs w:val="20"/>
                <w:lang w:val="en-CA" w:eastAsia="zh-CN"/>
              </w:rPr>
              <w:t>HCFC-142b</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65.00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65.00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65.00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55.00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55.00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23.00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23.00</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42.00</w:t>
            </w:r>
          </w:p>
        </w:tc>
      </w:tr>
      <w:tr w:rsidR="00285DDA" w:rsidRPr="0026329D" w:rsidTr="003927DC">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6F11E1">
            <w:pPr>
              <w:jc w:val="left"/>
              <w:rPr>
                <w:color w:val="000000"/>
                <w:sz w:val="20"/>
                <w:szCs w:val="20"/>
                <w:lang w:val="en-CA" w:eastAsia="zh-CN"/>
              </w:rPr>
            </w:pPr>
            <w:r w:rsidRPr="0026329D">
              <w:rPr>
                <w:color w:val="000000" w:themeColor="text1"/>
                <w:sz w:val="20"/>
                <w:szCs w:val="20"/>
                <w:lang w:val="en-CA" w:eastAsia="zh-CN"/>
              </w:rPr>
              <w:t>Total (mt)</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29,602.73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29,602.73</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29,602.73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25,191.27</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25,191.27</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14,377.45</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14,377.45</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15,225.28</w:t>
            </w:r>
          </w:p>
        </w:tc>
      </w:tr>
      <w:tr w:rsidR="00285DDA" w:rsidRPr="0026329D" w:rsidTr="003927DC">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285DDA" w:rsidRPr="0026329D" w:rsidRDefault="00285DDA" w:rsidP="00090F6A">
            <w:pPr>
              <w:jc w:val="left"/>
              <w:rPr>
                <w:color w:val="000000"/>
                <w:sz w:val="20"/>
                <w:szCs w:val="20"/>
                <w:lang w:val="en-CA" w:eastAsia="zh-CN"/>
              </w:rPr>
            </w:pPr>
            <w:r w:rsidRPr="0026329D">
              <w:rPr>
                <w:color w:val="000000" w:themeColor="text1"/>
                <w:sz w:val="20"/>
                <w:szCs w:val="20"/>
                <w:lang w:val="en-CA" w:eastAsia="zh-CN"/>
              </w:rPr>
              <w:t>ODP tonnes</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1,609.90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1,609.90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1,609.90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1,369.62</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1,369.62</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780.91</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780.91</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rsidR="00285DDA" w:rsidRPr="0026329D" w:rsidRDefault="00285DDA" w:rsidP="00090F6A">
            <w:pPr>
              <w:jc w:val="right"/>
              <w:rPr>
                <w:color w:val="000000"/>
                <w:sz w:val="20"/>
                <w:szCs w:val="20"/>
                <w:lang w:val="en-CA" w:eastAsia="zh-CN"/>
              </w:rPr>
            </w:pPr>
            <w:r w:rsidRPr="0026329D">
              <w:rPr>
                <w:color w:val="000000"/>
                <w:sz w:val="20"/>
                <w:szCs w:val="20"/>
                <w:lang w:val="en-CA"/>
              </w:rPr>
              <w:t>828.99</w:t>
            </w:r>
          </w:p>
        </w:tc>
      </w:tr>
      <w:tr w:rsidR="00285DDA" w:rsidRPr="0026329D" w:rsidTr="003927DC">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rsidR="00285DDA" w:rsidRPr="0026329D" w:rsidRDefault="00285DDA" w:rsidP="00090F6A">
            <w:pPr>
              <w:jc w:val="left"/>
              <w:rPr>
                <w:b/>
                <w:color w:val="000000" w:themeColor="text1"/>
                <w:sz w:val="20"/>
                <w:szCs w:val="20"/>
                <w:lang w:val="en-CA" w:eastAsia="zh-CN"/>
              </w:rPr>
            </w:pPr>
            <w:r w:rsidRPr="0026329D">
              <w:rPr>
                <w:b/>
                <w:color w:val="000000" w:themeColor="text1"/>
                <w:sz w:val="20"/>
                <w:szCs w:val="20"/>
                <w:lang w:val="en-CA" w:eastAsia="zh-CN"/>
              </w:rPr>
              <w:t>Reduction (% of baseline)</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33.0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33.0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33.0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43.0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43.0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67.5</w:t>
            </w:r>
          </w:p>
        </w:tc>
        <w:tc>
          <w:tcPr>
            <w:tcW w:w="500"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rPr>
              <w:t>67.5</w:t>
            </w:r>
          </w:p>
        </w:tc>
        <w:tc>
          <w:tcPr>
            <w:tcW w:w="501"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rsidR="00285DDA" w:rsidRPr="0026329D" w:rsidRDefault="00285DDA" w:rsidP="00090F6A">
            <w:pPr>
              <w:jc w:val="center"/>
              <w:rPr>
                <w:b/>
                <w:color w:val="000000" w:themeColor="text1"/>
                <w:sz w:val="20"/>
                <w:szCs w:val="20"/>
                <w:lang w:val="en-CA" w:eastAsia="zh-CN"/>
              </w:rPr>
            </w:pPr>
            <w:r w:rsidRPr="0026329D">
              <w:rPr>
                <w:b/>
                <w:color w:val="000000" w:themeColor="text1"/>
                <w:sz w:val="20"/>
                <w:szCs w:val="20"/>
                <w:lang w:val="en-CA" w:eastAsia="zh-CN"/>
              </w:rPr>
              <w:t>34.5</w:t>
            </w:r>
          </w:p>
        </w:tc>
      </w:tr>
    </w:tbl>
    <w:p w:rsidR="00285DDA" w:rsidRPr="0026329D" w:rsidRDefault="00285DDA" w:rsidP="00285DDA">
      <w:pPr>
        <w:rPr>
          <w:lang w:val="en-CA"/>
        </w:rPr>
      </w:pPr>
    </w:p>
    <w:p w:rsidR="00285DDA" w:rsidRPr="0026329D" w:rsidRDefault="00A81DEE" w:rsidP="00285DDA">
      <w:pPr>
        <w:pStyle w:val="Heading1"/>
        <w:rPr>
          <w:color w:val="000000" w:themeColor="text1"/>
          <w:lang w:val="en-CA"/>
        </w:rPr>
      </w:pPr>
      <w:r w:rsidRPr="0026329D">
        <w:rPr>
          <w:lang w:val="en-CA"/>
        </w:rPr>
        <w:t>Stage </w:t>
      </w:r>
      <w:r w:rsidR="00285DDA" w:rsidRPr="0026329D">
        <w:rPr>
          <w:lang w:val="en-CA"/>
        </w:rPr>
        <w:t>II of the ICR sector plan will take into consideration the HCFC phase-out and HFC phase</w:t>
      </w:r>
      <w:r w:rsidR="00285DDA" w:rsidRPr="0026329D">
        <w:rPr>
          <w:lang w:val="en-CA"/>
        </w:rPr>
        <w:noBreakHyphen/>
        <w:t xml:space="preserve">down at the same time to achieve synergy and maximize climate benefit. Activities planned in manufacturing line conversions, TA, regulatory measures and activities to promote market adoption of the alternative technologies will be conducted in </w:t>
      </w:r>
      <w:r w:rsidR="00285DDA" w:rsidRPr="0026329D">
        <w:rPr>
          <w:color w:val="000000" w:themeColor="text1"/>
          <w:lang w:val="en-CA"/>
        </w:rPr>
        <w:t xml:space="preserve">a coordinated and balanced manner to optimize the impact from different activities. The conversion of manufacturing lines, focusing on conversion in SMEs, will assess the feasibility and viability of the selected technologies, overcome barriers and gain experiences in conversion so that other enterprises in the sector can convert to HCFC alternatives on their own. </w:t>
      </w:r>
      <w:r w:rsidR="00285DDA" w:rsidRPr="0026329D">
        <w:rPr>
          <w:lang w:val="en-CA"/>
        </w:rPr>
        <w:t>Gender mainstreaming will be integrated into all steps of the implementation process.</w:t>
      </w:r>
    </w:p>
    <w:p w:rsidR="00285DDA" w:rsidRPr="0026329D" w:rsidRDefault="00285DDA" w:rsidP="00285DDA">
      <w:pPr>
        <w:pStyle w:val="Heading1"/>
        <w:rPr>
          <w:lang w:val="en-CA"/>
        </w:rPr>
      </w:pPr>
      <w:r w:rsidRPr="0026329D">
        <w:rPr>
          <w:lang w:val="en-CA"/>
        </w:rPr>
        <w:t xml:space="preserve">The revised </w:t>
      </w:r>
      <w:r w:rsidR="00162D38" w:rsidRPr="0026329D">
        <w:rPr>
          <w:lang w:val="en-CA"/>
        </w:rPr>
        <w:t xml:space="preserve">extended </w:t>
      </w:r>
      <w:r w:rsidR="00A81DEE" w:rsidRPr="0026329D">
        <w:rPr>
          <w:lang w:val="en-CA"/>
        </w:rPr>
        <w:t>stage </w:t>
      </w:r>
      <w:r w:rsidRPr="0026329D">
        <w:rPr>
          <w:lang w:val="en-CA"/>
        </w:rPr>
        <w:t xml:space="preserve">II will give priority to the conversion of compressor manufacturing lines </w:t>
      </w:r>
      <w:r w:rsidRPr="0026329D">
        <w:rPr>
          <w:color w:val="000000" w:themeColor="text1"/>
          <w:lang w:val="en-CA" w:eastAsia="zh-CN"/>
        </w:rPr>
        <w:t xml:space="preserve">as a key driver for the conversion of water chillers, which is the largest consumption sub-sector in the ICR sector. It will </w:t>
      </w:r>
      <w:r w:rsidRPr="0026329D">
        <w:rPr>
          <w:lang w:val="en-CA"/>
        </w:rPr>
        <w:t>also give priority to conversion of manufacturing lines in four sub-sectors (freezer, cold storage and condensing units; water chillers; UAC; and heat pump water heaters) as these are the major consumption sub-sectors with a large number of SMEs and a fast-growing trend in HCFC consumption. The HCFC consumption in the vehicle AC sub-sector is very small and the HCFC co</w:t>
      </w:r>
      <w:r w:rsidR="005057F3" w:rsidRPr="0026329D">
        <w:rPr>
          <w:lang w:val="en-CA"/>
        </w:rPr>
        <w:t>nsumption in multi-split AC sub</w:t>
      </w:r>
      <w:r w:rsidR="005057F3" w:rsidRPr="0026329D">
        <w:rPr>
          <w:lang w:val="en-CA"/>
        </w:rPr>
        <w:noBreakHyphen/>
      </w:r>
      <w:r w:rsidRPr="0026329D">
        <w:rPr>
          <w:lang w:val="en-CA"/>
        </w:rPr>
        <w:t xml:space="preserve">sector has mostly been phased out; the remaining consumptions in these two sub-sectors will be addressed through regulatory measures. </w:t>
      </w:r>
    </w:p>
    <w:p w:rsidR="00285DDA" w:rsidRPr="0026329D" w:rsidRDefault="00285DDA" w:rsidP="00285DDA">
      <w:pPr>
        <w:pStyle w:val="Heading1"/>
        <w:rPr>
          <w:lang w:val="en-CA"/>
        </w:rPr>
      </w:pPr>
      <w:r w:rsidRPr="0026329D">
        <w:rPr>
          <w:lang w:val="en-CA"/>
        </w:rPr>
        <w:t>Of the 15,225.28 mt, 1,980 mt will be phased out through the conversion of manufacturing lines to low</w:t>
      </w:r>
      <w:r w:rsidRPr="0026329D">
        <w:rPr>
          <w:lang w:val="en-CA"/>
        </w:rPr>
        <w:noBreakHyphen/>
        <w:t>GWP technologies; and 13,245.28 mt will be phased out through the conversion of compressors, policy and regulatory measures, TA activities, and a reduction in foreign-owned enterprises.</w:t>
      </w:r>
    </w:p>
    <w:p w:rsidR="00285DDA" w:rsidRPr="0026329D" w:rsidRDefault="00285DDA" w:rsidP="003927DC">
      <w:pPr>
        <w:pStyle w:val="Heading1"/>
        <w:keepNext/>
        <w:numPr>
          <w:ilvl w:val="0"/>
          <w:numId w:val="0"/>
        </w:numPr>
        <w:rPr>
          <w:color w:val="000000" w:themeColor="text1"/>
          <w:szCs w:val="24"/>
          <w:u w:val="single"/>
          <w:lang w:val="en-CA"/>
        </w:rPr>
      </w:pPr>
      <w:r w:rsidRPr="0026329D">
        <w:rPr>
          <w:color w:val="000000" w:themeColor="text1"/>
          <w:szCs w:val="24"/>
          <w:u w:val="single"/>
          <w:lang w:val="en-CA"/>
        </w:rPr>
        <w:t xml:space="preserve">Activities planned for the revised </w:t>
      </w:r>
      <w:r w:rsidR="00A81DEE" w:rsidRPr="0026329D">
        <w:rPr>
          <w:color w:val="000000" w:themeColor="text1"/>
          <w:szCs w:val="24"/>
          <w:u w:val="single"/>
          <w:lang w:val="en-CA"/>
        </w:rPr>
        <w:t>stage </w:t>
      </w:r>
      <w:r w:rsidRPr="0026329D">
        <w:rPr>
          <w:color w:val="000000" w:themeColor="text1"/>
          <w:szCs w:val="24"/>
          <w:u w:val="single"/>
          <w:lang w:val="en-CA"/>
        </w:rPr>
        <w:t>II for the period from 2021 to 2026</w:t>
      </w:r>
    </w:p>
    <w:p w:rsidR="00285DDA" w:rsidRPr="0026329D" w:rsidRDefault="00285DDA" w:rsidP="00285DDA">
      <w:pPr>
        <w:pStyle w:val="Heading1"/>
        <w:rPr>
          <w:lang w:val="en-CA"/>
        </w:rPr>
      </w:pPr>
      <w:r w:rsidRPr="0026329D">
        <w:rPr>
          <w:lang w:val="en-CA"/>
        </w:rPr>
        <w:t xml:space="preserve">The following activities have been planned for the revised </w:t>
      </w:r>
      <w:r w:rsidR="00A81DEE" w:rsidRPr="0026329D">
        <w:rPr>
          <w:lang w:val="en-CA"/>
        </w:rPr>
        <w:t>stage </w:t>
      </w:r>
      <w:r w:rsidRPr="0026329D">
        <w:rPr>
          <w:lang w:val="en-CA"/>
        </w:rPr>
        <w:t>II of the ICR sector and will be implemented in the period from 2021 to 2026.</w:t>
      </w:r>
    </w:p>
    <w:p w:rsidR="00285DDA" w:rsidRPr="0026329D" w:rsidRDefault="00285DDA" w:rsidP="00285DDA">
      <w:pPr>
        <w:pStyle w:val="Heading1"/>
        <w:keepNext/>
        <w:keepLines/>
        <w:numPr>
          <w:ilvl w:val="0"/>
          <w:numId w:val="0"/>
        </w:numPr>
        <w:rPr>
          <w:i/>
          <w:color w:val="000000" w:themeColor="text1"/>
          <w:szCs w:val="24"/>
          <w:lang w:val="en-CA"/>
        </w:rPr>
      </w:pPr>
      <w:r w:rsidRPr="0026329D">
        <w:rPr>
          <w:i/>
          <w:color w:val="000000" w:themeColor="text1"/>
          <w:szCs w:val="24"/>
          <w:lang w:val="en-CA"/>
        </w:rPr>
        <w:t>Policy and regulatory framework</w:t>
      </w:r>
    </w:p>
    <w:p w:rsidR="00285DDA" w:rsidRPr="0026329D" w:rsidRDefault="00285DDA" w:rsidP="00285DDA">
      <w:pPr>
        <w:pStyle w:val="Heading1"/>
        <w:keepNext/>
        <w:keepLines/>
        <w:rPr>
          <w:color w:val="000000" w:themeColor="text1"/>
          <w:lang w:val="en-CA"/>
        </w:rPr>
      </w:pPr>
      <w:r w:rsidRPr="0026329D">
        <w:rPr>
          <w:lang w:val="en-CA"/>
        </w:rPr>
        <w:t>Policy and regulatory measures will be developed and implemented to ensure compliance; to provide incentives for phasing out HCFCs and adopting low-GWP alternatives; and to ensure that the ICR industry is not negatively affected by the phase-out activities. The planned p</w:t>
      </w:r>
      <w:r w:rsidRPr="0026329D">
        <w:rPr>
          <w:color w:val="000000" w:themeColor="text1"/>
          <w:lang w:val="en-CA"/>
        </w:rPr>
        <w:t>olicy measures include the following:</w:t>
      </w:r>
    </w:p>
    <w:p w:rsidR="00285DDA" w:rsidRPr="0026329D" w:rsidRDefault="00285DDA" w:rsidP="00285DDA">
      <w:pPr>
        <w:pStyle w:val="Heading2"/>
        <w:rPr>
          <w:lang w:val="en-CA"/>
        </w:rPr>
      </w:pPr>
      <w:r w:rsidRPr="0026329D">
        <w:rPr>
          <w:lang w:val="en-CA"/>
        </w:rPr>
        <w:t xml:space="preserve">Amending the ODS Management Regulation to support the continuous HCFC phase-out and HFC phase-down; </w:t>
      </w:r>
    </w:p>
    <w:p w:rsidR="00285DDA" w:rsidRPr="0026329D" w:rsidRDefault="00285DDA" w:rsidP="00285DDA">
      <w:pPr>
        <w:pStyle w:val="Heading2"/>
        <w:rPr>
          <w:lang w:val="en-CA"/>
        </w:rPr>
      </w:pPr>
      <w:r w:rsidRPr="0026329D">
        <w:rPr>
          <w:lang w:val="en-CA"/>
        </w:rPr>
        <w:t>Enforcing the licensing and quota system to control HCFC production, sales and uses, gradually reducing domestic supply of HCFCs in accordance with control targets to create an enabling environment for HCFC phase-out in the ICR sector;</w:t>
      </w:r>
    </w:p>
    <w:p w:rsidR="00285DDA" w:rsidRPr="0026329D" w:rsidRDefault="00285DDA" w:rsidP="00285DDA">
      <w:pPr>
        <w:pStyle w:val="Heading2"/>
        <w:rPr>
          <w:lang w:val="en-CA"/>
        </w:rPr>
      </w:pPr>
      <w:r w:rsidRPr="0026329D">
        <w:rPr>
          <w:lang w:val="en-CA"/>
        </w:rPr>
        <w:t>Updating the list of recommended key alternatives to include newly developed low-GWP alternatives to HCFCs;</w:t>
      </w:r>
    </w:p>
    <w:p w:rsidR="00285DDA" w:rsidRPr="0026329D" w:rsidRDefault="00285DDA" w:rsidP="00285DDA">
      <w:pPr>
        <w:pStyle w:val="Heading2"/>
        <w:rPr>
          <w:lang w:val="en-CA"/>
        </w:rPr>
      </w:pPr>
      <w:r w:rsidRPr="0026329D">
        <w:rPr>
          <w:lang w:val="en-CA"/>
        </w:rPr>
        <w:t>Developing policy incentives to promote the adoption of zero-ODP and low-GWP refrigerants;</w:t>
      </w:r>
    </w:p>
    <w:p w:rsidR="00285DDA" w:rsidRPr="0026329D" w:rsidRDefault="00285DDA" w:rsidP="00285DDA">
      <w:pPr>
        <w:pStyle w:val="Heading2"/>
        <w:rPr>
          <w:lang w:val="en-CA" w:eastAsia="zh-CN"/>
        </w:rPr>
      </w:pPr>
      <w:r w:rsidRPr="0026329D">
        <w:rPr>
          <w:lang w:val="en-CA"/>
        </w:rPr>
        <w:t>Developing and updating the list of environmentally friendly products for green labeling and updating governmental procurement catalogues to promote their adoption;</w:t>
      </w:r>
    </w:p>
    <w:p w:rsidR="00285DDA" w:rsidRPr="0026329D" w:rsidRDefault="00285DDA" w:rsidP="00285DDA">
      <w:pPr>
        <w:pStyle w:val="Heading2"/>
        <w:rPr>
          <w:lang w:val="en-CA" w:eastAsia="zh-CN"/>
        </w:rPr>
      </w:pPr>
      <w:r w:rsidRPr="0026329D">
        <w:rPr>
          <w:lang w:val="en-CA"/>
        </w:rPr>
        <w:t>Banning the use of HCFCs in the sub-sectors for which mature alternative technologies are available based on assessments of the socio-economic and environmental impact; and</w:t>
      </w:r>
    </w:p>
    <w:p w:rsidR="00285DDA" w:rsidRPr="0026329D" w:rsidRDefault="00285DDA" w:rsidP="00285DDA">
      <w:pPr>
        <w:pStyle w:val="Heading2"/>
        <w:rPr>
          <w:lang w:val="en-CA"/>
        </w:rPr>
      </w:pPr>
      <w:r w:rsidRPr="0026329D">
        <w:rPr>
          <w:lang w:val="en-CA"/>
        </w:rPr>
        <w:t>Encouraging and supporting research, development and the adoption of alternative technologies to HCFCs by including those alternatives in the list of environment-friendly technologies for national industrial technology policies.</w:t>
      </w:r>
    </w:p>
    <w:p w:rsidR="00285DDA" w:rsidRPr="0026329D" w:rsidRDefault="00285DDA" w:rsidP="00285DDA">
      <w:pPr>
        <w:pStyle w:val="ListParagraph"/>
        <w:widowControl w:val="0"/>
        <w:spacing w:afterLines="100" w:after="240"/>
        <w:ind w:left="0"/>
        <w:contextualSpacing w:val="0"/>
        <w:rPr>
          <w:i/>
          <w:color w:val="000000" w:themeColor="text1"/>
          <w:szCs w:val="20"/>
          <w:lang w:val="en-CA"/>
        </w:rPr>
      </w:pPr>
      <w:r w:rsidRPr="0026329D">
        <w:rPr>
          <w:i/>
          <w:color w:val="000000" w:themeColor="text1"/>
          <w:szCs w:val="20"/>
          <w:lang w:val="en-CA"/>
        </w:rPr>
        <w:t xml:space="preserve">Conversion of manufacturing lines </w:t>
      </w:r>
    </w:p>
    <w:p w:rsidR="00285DDA" w:rsidRPr="0026329D" w:rsidRDefault="00285DDA" w:rsidP="00285DDA">
      <w:pPr>
        <w:pStyle w:val="Heading1"/>
        <w:rPr>
          <w:lang w:val="en-CA"/>
        </w:rPr>
      </w:pPr>
      <w:r w:rsidRPr="0026329D">
        <w:rPr>
          <w:lang w:val="en-CA"/>
        </w:rPr>
        <w:t xml:space="preserve">In </w:t>
      </w:r>
      <w:r w:rsidR="00A81DEE" w:rsidRPr="0026329D">
        <w:rPr>
          <w:lang w:val="en-CA"/>
        </w:rPr>
        <w:t>stage </w:t>
      </w:r>
      <w:r w:rsidRPr="0026329D">
        <w:rPr>
          <w:lang w:val="en-CA"/>
        </w:rPr>
        <w:t>II of the ICR sector plan, 31 manufacturing lines will be converted to low-GWP technologies to phase out 1,980 mt. Of this amount, 580 mt (31 per cent) will be converted to HFC-32, and 1,400 mt (69 per cent) will be converted to other selected low-GWP technologies</w:t>
      </w:r>
      <w:r w:rsidRPr="00BA3EA6">
        <w:rPr>
          <w:lang w:val="en-CA"/>
        </w:rPr>
        <w:t>. T</w:t>
      </w:r>
      <w:r w:rsidR="00A90944" w:rsidRPr="00BA3EA6">
        <w:rPr>
          <w:lang w:val="en-CA"/>
        </w:rPr>
        <w:t>hirty</w:t>
      </w:r>
      <w:r w:rsidRPr="00BA3EA6">
        <w:rPr>
          <w:lang w:val="en-CA"/>
        </w:rPr>
        <w:t> per cent of the</w:t>
      </w:r>
      <w:r w:rsidRPr="0026329D">
        <w:rPr>
          <w:lang w:val="en-CA"/>
        </w:rPr>
        <w:t xml:space="preserve"> 1,980 mt will be phased out by SMEs. The phase-out and alternative technologies are presented in Table 3. </w:t>
      </w:r>
    </w:p>
    <w:p w:rsidR="00285DDA" w:rsidRPr="0026329D" w:rsidRDefault="00285DDA" w:rsidP="00BA3EA6">
      <w:pPr>
        <w:pStyle w:val="Heading1"/>
        <w:keepNext/>
        <w:keepLines/>
        <w:numPr>
          <w:ilvl w:val="0"/>
          <w:numId w:val="0"/>
        </w:numPr>
        <w:spacing w:after="0"/>
        <w:rPr>
          <w:b/>
          <w:lang w:val="en-CA" w:eastAsia="zh-CN"/>
        </w:rPr>
      </w:pPr>
      <w:r w:rsidRPr="0026329D">
        <w:rPr>
          <w:b/>
          <w:color w:val="000000" w:themeColor="text1"/>
          <w:lang w:val="en-CA"/>
        </w:rPr>
        <w:t>Table 3: HCFC phase-out and alternative technologies in different sub-sectors (mt)</w:t>
      </w:r>
    </w:p>
    <w:tbl>
      <w:tblPr>
        <w:tblW w:w="5002" w:type="pct"/>
        <w:tblLook w:val="04A0" w:firstRow="1" w:lastRow="0" w:firstColumn="1" w:lastColumn="0" w:noHBand="0" w:noVBand="1"/>
      </w:tblPr>
      <w:tblGrid>
        <w:gridCol w:w="1358"/>
        <w:gridCol w:w="1094"/>
        <w:gridCol w:w="999"/>
        <w:gridCol w:w="814"/>
        <w:gridCol w:w="1186"/>
        <w:gridCol w:w="814"/>
        <w:gridCol w:w="1362"/>
        <w:gridCol w:w="825"/>
        <w:gridCol w:w="992"/>
      </w:tblGrid>
      <w:tr w:rsidR="00285DDA" w:rsidRPr="0026329D" w:rsidTr="003927DC">
        <w:trPr>
          <w:tblHeader/>
        </w:trPr>
        <w:tc>
          <w:tcPr>
            <w:tcW w:w="12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DDA" w:rsidRPr="0026329D" w:rsidRDefault="00285DDA" w:rsidP="00BA3EA6">
            <w:pPr>
              <w:pStyle w:val="NoSpacing"/>
              <w:keepNext/>
              <w:keepLines/>
              <w:jc w:val="left"/>
              <w:rPr>
                <w:rFonts w:cs="Times New Roman"/>
                <w:b/>
                <w:color w:val="000000" w:themeColor="text1"/>
                <w:sz w:val="20"/>
                <w:szCs w:val="20"/>
                <w:lang w:val="en-CA"/>
              </w:rPr>
            </w:pPr>
            <w:r w:rsidRPr="0026329D">
              <w:rPr>
                <w:rFonts w:cs="Times New Roman"/>
                <w:b/>
                <w:color w:val="000000" w:themeColor="text1"/>
                <w:sz w:val="20"/>
                <w:szCs w:val="20"/>
                <w:lang w:val="en-CA" w:eastAsia="ja-JP"/>
              </w:rPr>
              <w:t>Sub-sector</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HFC-32</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w:t>
            </w:r>
            <w:r w:rsidRPr="0026329D">
              <w:rPr>
                <w:rFonts w:cs="Times New Roman"/>
                <w:b/>
                <w:color w:val="000000" w:themeColor="text1"/>
                <w:kern w:val="0"/>
                <w:sz w:val="20"/>
                <w:szCs w:val="20"/>
                <w:lang w:val="en-CA"/>
              </w:rPr>
              <w:t>HFO and blends*</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w:t>
            </w:r>
            <w:r w:rsidRPr="0026329D">
              <w:rPr>
                <w:rFonts w:cs="Times New Roman"/>
                <w:b/>
                <w:color w:val="000000" w:themeColor="text1"/>
                <w:kern w:val="0"/>
                <w:sz w:val="20"/>
                <w:szCs w:val="20"/>
                <w:lang w:val="en-CA"/>
              </w:rPr>
              <w:t xml:space="preserve">and </w:t>
            </w:r>
            <w:r w:rsidR="00726604" w:rsidRPr="0026329D">
              <w:rPr>
                <w:rFonts w:cs="Times New Roman"/>
                <w:b/>
                <w:color w:val="000000" w:themeColor="text1"/>
                <w:kern w:val="0"/>
                <w:sz w:val="20"/>
                <w:szCs w:val="20"/>
                <w:lang w:val="en-CA"/>
              </w:rPr>
              <w:t>R-290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 xml:space="preserve">/HFC-134a </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/HFC-32</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85DDA" w:rsidRPr="0026329D" w:rsidRDefault="00285DDA" w:rsidP="00BA3EA6">
            <w:pPr>
              <w:pStyle w:val="NoSpacing"/>
              <w:keepNext/>
              <w:keepLines/>
              <w:jc w:val="center"/>
              <w:rPr>
                <w:rFonts w:cs="Times New Roman"/>
                <w:b/>
                <w:color w:val="000000" w:themeColor="text1"/>
                <w:sz w:val="20"/>
                <w:szCs w:val="20"/>
                <w:lang w:val="en-CA"/>
              </w:rPr>
            </w:pPr>
            <w:r w:rsidRPr="0026329D">
              <w:rPr>
                <w:rFonts w:cs="Times New Roman"/>
                <w:b/>
                <w:color w:val="000000" w:themeColor="text1"/>
                <w:sz w:val="20"/>
                <w:szCs w:val="20"/>
                <w:lang w:val="en-CA"/>
              </w:rPr>
              <w:t>Total</w:t>
            </w:r>
          </w:p>
        </w:tc>
      </w:tr>
      <w:tr w:rsidR="00285DDA" w:rsidRPr="0026329D" w:rsidTr="00090F6A">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Freezers and refrigeration and condensing units</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370</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370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1,040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Large scale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590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670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p>
        </w:tc>
      </w:tr>
      <w:tr w:rsidR="00285DDA" w:rsidRPr="0026329D" w:rsidTr="00090F6A">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Water chiller (heat pump)</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110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110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440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Large scale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330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330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p>
        </w:tc>
      </w:tr>
      <w:tr w:rsidR="00285DDA" w:rsidRPr="0026329D" w:rsidTr="00090F6A">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Heat pump water heater</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50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Large scale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p>
        </w:tc>
      </w:tr>
      <w:tr w:rsidR="00285DDA" w:rsidRPr="0026329D" w:rsidTr="00090F6A">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UAC</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100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100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420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rsidR="00285DDA" w:rsidRPr="0026329D" w:rsidRDefault="00285DDA" w:rsidP="00090F6A">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Large scale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320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r>
      <w:tr w:rsidR="00285DDA" w:rsidRPr="0026329D" w:rsidTr="00090F6A">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vAlign w:val="center"/>
          </w:tcPr>
          <w:p w:rsidR="00285DDA" w:rsidRPr="0026329D" w:rsidRDefault="00285DDA" w:rsidP="00090F6A">
            <w:pPr>
              <w:pStyle w:val="NoSpacing"/>
              <w:jc w:val="left"/>
              <w:rPr>
                <w:rFonts w:cs="Times New Roman"/>
                <w:b/>
                <w:color w:val="000000" w:themeColor="text1"/>
                <w:sz w:val="20"/>
                <w:szCs w:val="20"/>
                <w:lang w:val="en-CA"/>
              </w:rPr>
            </w:pPr>
            <w:r w:rsidRPr="0026329D">
              <w:rPr>
                <w:rFonts w:cs="Times New Roman"/>
                <w:b/>
                <w:color w:val="000000" w:themeColor="text1"/>
                <w:sz w:val="20"/>
                <w:szCs w:val="20"/>
                <w:lang w:val="en-CA"/>
              </w:rPr>
              <w:t>Total</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260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370</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660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Pr>
          <w:p w:rsidR="00285DDA" w:rsidRPr="0026329D" w:rsidRDefault="00285DDA" w:rsidP="00090F6A">
            <w:pPr>
              <w:pStyle w:val="NoSpacing"/>
              <w:jc w:val="center"/>
              <w:rPr>
                <w:rFonts w:cs="Times New Roman"/>
                <w:color w:val="000000" w:themeColor="text1"/>
                <w:sz w:val="20"/>
                <w:szCs w:val="20"/>
                <w:lang w:val="en-CA"/>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Large scale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920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1,320</w:t>
            </w:r>
          </w:p>
        </w:tc>
      </w:tr>
      <w:tr w:rsidR="00285DDA" w:rsidRPr="0026329D" w:rsidTr="00090F6A">
        <w:tc>
          <w:tcPr>
            <w:tcW w:w="719" w:type="pct"/>
            <w:vMerge/>
            <w:tcBorders>
              <w:top w:val="single" w:sz="4" w:space="0" w:color="000000"/>
              <w:left w:val="single" w:sz="4" w:space="0" w:color="000000"/>
              <w:bottom w:val="single" w:sz="4" w:space="0" w:color="000000"/>
              <w:right w:val="single" w:sz="4" w:space="0" w:color="000000"/>
            </w:tcBorders>
            <w:shd w:val="clear" w:color="auto" w:fill="auto"/>
          </w:tcPr>
          <w:p w:rsidR="00285DDA" w:rsidRPr="0026329D" w:rsidRDefault="00285DDA" w:rsidP="00090F6A">
            <w:pPr>
              <w:pStyle w:val="NoSpacing"/>
              <w:jc w:val="center"/>
              <w:rPr>
                <w:rFonts w:cs="Times New Roman"/>
                <w:color w:val="000000" w:themeColor="text1"/>
                <w:sz w:val="20"/>
                <w:szCs w:val="20"/>
                <w:lang w:val="en-CA"/>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rsidR="00285DDA" w:rsidRPr="0026329D" w:rsidRDefault="00285DDA" w:rsidP="00090F6A">
            <w:pPr>
              <w:pStyle w:val="NoSpacing"/>
              <w:jc w:val="left"/>
              <w:rPr>
                <w:rFonts w:cs="Times New Roman"/>
                <w:b/>
                <w:color w:val="000000" w:themeColor="text1"/>
                <w:sz w:val="20"/>
                <w:szCs w:val="20"/>
                <w:lang w:val="en-CA"/>
              </w:rPr>
            </w:pPr>
            <w:r w:rsidRPr="0026329D">
              <w:rPr>
                <w:rFonts w:cs="Times New Roman"/>
                <w:b/>
                <w:color w:val="000000" w:themeColor="text1"/>
                <w:sz w:val="20"/>
                <w:szCs w:val="20"/>
                <w:lang w:val="en-CA"/>
              </w:rPr>
              <w:t>Total</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580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920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370</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1,980</w:t>
            </w:r>
          </w:p>
        </w:tc>
      </w:tr>
    </w:tbl>
    <w:p w:rsidR="00285DDA" w:rsidRPr="0026329D" w:rsidRDefault="00285DDA" w:rsidP="00285DDA">
      <w:pPr>
        <w:pStyle w:val="PlainText"/>
        <w:rPr>
          <w:rFonts w:ascii="Times New Roman" w:hAnsi="Times New Roman" w:cs="Times New Roman"/>
          <w:color w:val="000000" w:themeColor="text1"/>
          <w:sz w:val="19"/>
          <w:szCs w:val="19"/>
          <w:lang w:val="en-CA"/>
        </w:rPr>
      </w:pPr>
      <w:r w:rsidRPr="0026329D">
        <w:rPr>
          <w:rFonts w:ascii="Times New Roman" w:hAnsi="Times New Roman" w:cs="Times New Roman"/>
          <w:color w:val="000000" w:themeColor="text1"/>
          <w:sz w:val="19"/>
          <w:szCs w:val="19"/>
          <w:lang w:val="en-CA"/>
        </w:rPr>
        <w:t>*</w:t>
      </w:r>
      <w:r w:rsidR="00475A50" w:rsidRPr="0026329D">
        <w:rPr>
          <w:rFonts w:ascii="Times New Roman" w:hAnsi="Times New Roman" w:cs="Times New Roman"/>
          <w:color w:val="000000" w:themeColor="text1"/>
          <w:sz w:val="19"/>
          <w:szCs w:val="19"/>
          <w:lang w:val="en-CA"/>
        </w:rPr>
        <w:t xml:space="preserve"> </w:t>
      </w:r>
      <w:r w:rsidRPr="0026329D">
        <w:rPr>
          <w:rFonts w:ascii="Times New Roman" w:hAnsi="Times New Roman" w:cs="Times New Roman"/>
          <w:color w:val="000000" w:themeColor="text1"/>
          <w:sz w:val="19"/>
          <w:szCs w:val="19"/>
          <w:lang w:val="en-CA"/>
        </w:rPr>
        <w:t xml:space="preserve">HFO and its blends, including HFO-1234yf, HFO-1234ze(E), HFO-1234ze(Z), HCFO-1233zd(E), and HFO-1336mzz(Z), as well as R-513A, R-515A and so on containing these substances. </w:t>
      </w:r>
    </w:p>
    <w:p w:rsidR="00285DDA" w:rsidRPr="0026329D" w:rsidRDefault="00285DDA" w:rsidP="00285DDA">
      <w:pPr>
        <w:pStyle w:val="PlainText"/>
        <w:rPr>
          <w:rFonts w:ascii="Times New Roman" w:hAnsi="Times New Roman" w:cs="Times New Roman"/>
          <w:color w:val="000000" w:themeColor="text1"/>
          <w:sz w:val="22"/>
          <w:lang w:val="en-CA"/>
        </w:rPr>
      </w:pPr>
    </w:p>
    <w:p w:rsidR="00285DDA" w:rsidRPr="0026329D" w:rsidRDefault="00285DDA" w:rsidP="00285DDA">
      <w:pPr>
        <w:pStyle w:val="Heading1"/>
        <w:rPr>
          <w:lang w:val="en-CA"/>
        </w:rPr>
      </w:pPr>
      <w:r w:rsidRPr="0026329D">
        <w:rPr>
          <w:lang w:val="en-CA"/>
        </w:rPr>
        <w:t>The manufacturing line conversions and alternative technologies are presented in Table 4. In addition, two compressor lines will be converted to R</w:t>
      </w:r>
      <w:r w:rsidRPr="0026329D">
        <w:rPr>
          <w:lang w:val="en-CA"/>
        </w:rPr>
        <w:noBreakHyphen/>
        <w:t>513A during the period from 2021 to 2023.</w:t>
      </w:r>
    </w:p>
    <w:p w:rsidR="00285DDA" w:rsidRPr="0026329D" w:rsidRDefault="00285DDA" w:rsidP="00285DDA">
      <w:pPr>
        <w:pStyle w:val="PlainText"/>
        <w:spacing w:before="240"/>
        <w:rPr>
          <w:rFonts w:ascii="Times New Roman" w:hAnsi="Times New Roman" w:cs="Times New Roman"/>
          <w:b/>
          <w:color w:val="000000" w:themeColor="text1"/>
          <w:sz w:val="22"/>
          <w:lang w:val="en-CA"/>
        </w:rPr>
      </w:pPr>
      <w:r w:rsidRPr="0026329D">
        <w:rPr>
          <w:rFonts w:ascii="Times New Roman" w:hAnsi="Times New Roman" w:cs="Times New Roman"/>
          <w:b/>
          <w:color w:val="000000" w:themeColor="text1"/>
          <w:sz w:val="22"/>
          <w:lang w:val="en-CA"/>
        </w:rPr>
        <w:t>Table 4: Manufacturing line conversions and alternative technologies in sub-sectors</w:t>
      </w:r>
    </w:p>
    <w:tbl>
      <w:tblPr>
        <w:tblStyle w:val="TableGrid"/>
        <w:tblW w:w="5000" w:type="pct"/>
        <w:tblLook w:val="04A0" w:firstRow="1" w:lastRow="0" w:firstColumn="1" w:lastColumn="0" w:noHBand="0" w:noVBand="1"/>
      </w:tblPr>
      <w:tblGrid>
        <w:gridCol w:w="2356"/>
        <w:gridCol w:w="1180"/>
        <w:gridCol w:w="821"/>
        <w:gridCol w:w="1273"/>
        <w:gridCol w:w="1089"/>
        <w:gridCol w:w="1541"/>
        <w:gridCol w:w="1180"/>
      </w:tblGrid>
      <w:tr w:rsidR="00285DDA" w:rsidRPr="0026329D" w:rsidTr="00090F6A">
        <w:trPr>
          <w:trHeight w:val="39"/>
          <w:tblHeader/>
        </w:trPr>
        <w:tc>
          <w:tcPr>
            <w:tcW w:w="1248" w:type="pct"/>
            <w:shd w:val="clear" w:color="auto" w:fill="auto"/>
            <w:vAlign w:val="center"/>
          </w:tcPr>
          <w:p w:rsidR="00285DDA" w:rsidRPr="0026329D" w:rsidRDefault="00285DDA" w:rsidP="00090F6A">
            <w:pPr>
              <w:pStyle w:val="NoSpacing"/>
              <w:jc w:val="left"/>
              <w:rPr>
                <w:rFonts w:cs="Times New Roman"/>
                <w:b/>
                <w:color w:val="000000" w:themeColor="text1"/>
                <w:sz w:val="20"/>
                <w:szCs w:val="20"/>
                <w:lang w:val="en-CA"/>
              </w:rPr>
            </w:pPr>
            <w:r w:rsidRPr="0026329D">
              <w:rPr>
                <w:rFonts w:cs="Times New Roman"/>
                <w:b/>
                <w:color w:val="000000" w:themeColor="text1"/>
                <w:sz w:val="20"/>
                <w:szCs w:val="20"/>
                <w:lang w:val="en-CA" w:eastAsia="ja-JP"/>
              </w:rPr>
              <w:t>Sub-sector</w:t>
            </w:r>
          </w:p>
        </w:tc>
        <w:tc>
          <w:tcPr>
            <w:tcW w:w="625"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HFC-32</w:t>
            </w:r>
          </w:p>
        </w:tc>
        <w:tc>
          <w:tcPr>
            <w:tcW w:w="435"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p>
        </w:tc>
        <w:tc>
          <w:tcPr>
            <w:tcW w:w="674"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w:t>
            </w:r>
            <w:r w:rsidRPr="0026329D">
              <w:rPr>
                <w:rFonts w:cs="Times New Roman"/>
                <w:b/>
                <w:color w:val="000000" w:themeColor="text1"/>
                <w:kern w:val="0"/>
                <w:sz w:val="20"/>
                <w:szCs w:val="20"/>
                <w:lang w:val="en-CA"/>
              </w:rPr>
              <w:t>and HFO and blends</w:t>
            </w:r>
          </w:p>
        </w:tc>
        <w:tc>
          <w:tcPr>
            <w:tcW w:w="577"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w:t>
            </w:r>
            <w:r w:rsidRPr="0026329D">
              <w:rPr>
                <w:rFonts w:cs="Times New Roman"/>
                <w:b/>
                <w:color w:val="000000" w:themeColor="text1"/>
                <w:kern w:val="0"/>
                <w:sz w:val="20"/>
                <w:szCs w:val="20"/>
                <w:lang w:val="en-CA"/>
              </w:rPr>
              <w:t>and R</w:t>
            </w:r>
            <w:r w:rsidRPr="0026329D">
              <w:rPr>
                <w:rFonts w:cs="Times New Roman"/>
                <w:b/>
                <w:color w:val="000000" w:themeColor="text1"/>
                <w:kern w:val="0"/>
                <w:sz w:val="20"/>
                <w:szCs w:val="20"/>
                <w:lang w:val="en-CA"/>
              </w:rPr>
              <w:noBreakHyphen/>
              <w:t>290</w:t>
            </w:r>
          </w:p>
        </w:tc>
        <w:tc>
          <w:tcPr>
            <w:tcW w:w="816"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 xml:space="preserve">/HFC-134a and </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/HFC-32</w:t>
            </w:r>
          </w:p>
        </w:tc>
        <w:tc>
          <w:tcPr>
            <w:tcW w:w="625" w:type="pct"/>
            <w:shd w:val="clear" w:color="auto" w:fill="auto"/>
            <w:tcMar>
              <w:left w:w="0" w:type="dxa"/>
              <w:right w:w="0" w:type="dxa"/>
            </w:tcMar>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Total</w:t>
            </w:r>
          </w:p>
        </w:tc>
      </w:tr>
      <w:tr w:rsidR="00285DDA" w:rsidRPr="0026329D" w:rsidTr="00090F6A">
        <w:trPr>
          <w:trHeight w:val="215"/>
        </w:trPr>
        <w:tc>
          <w:tcPr>
            <w:tcW w:w="1248"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Freezers, refrigeration, condensing units</w:t>
            </w: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43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w:t>
            </w:r>
          </w:p>
        </w:tc>
        <w:tc>
          <w:tcPr>
            <w:tcW w:w="674"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5</w:t>
            </w:r>
          </w:p>
        </w:tc>
        <w:tc>
          <w:tcPr>
            <w:tcW w:w="577"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816"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9</w:t>
            </w: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15</w:t>
            </w:r>
          </w:p>
        </w:tc>
      </w:tr>
      <w:tr w:rsidR="00285DDA" w:rsidRPr="0026329D" w:rsidTr="00090F6A">
        <w:trPr>
          <w:trHeight w:val="44"/>
        </w:trPr>
        <w:tc>
          <w:tcPr>
            <w:tcW w:w="1248"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Water chiller (heat pump)</w:t>
            </w: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3</w:t>
            </w:r>
          </w:p>
        </w:tc>
        <w:tc>
          <w:tcPr>
            <w:tcW w:w="43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74"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5</w:t>
            </w:r>
          </w:p>
        </w:tc>
        <w:tc>
          <w:tcPr>
            <w:tcW w:w="577"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816"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w:t>
            </w:r>
          </w:p>
        </w:tc>
      </w:tr>
      <w:tr w:rsidR="00285DDA" w:rsidRPr="0026329D" w:rsidTr="00090F6A">
        <w:trPr>
          <w:trHeight w:val="161"/>
        </w:trPr>
        <w:tc>
          <w:tcPr>
            <w:tcW w:w="1248"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Heat pump water heater</w:t>
            </w: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w:t>
            </w:r>
          </w:p>
        </w:tc>
        <w:tc>
          <w:tcPr>
            <w:tcW w:w="43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74"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577"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w:t>
            </w:r>
          </w:p>
        </w:tc>
        <w:tc>
          <w:tcPr>
            <w:tcW w:w="816"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2</w:t>
            </w:r>
          </w:p>
        </w:tc>
      </w:tr>
      <w:tr w:rsidR="00285DDA" w:rsidRPr="0026329D" w:rsidTr="00090F6A">
        <w:trPr>
          <w:trHeight w:val="39"/>
        </w:trPr>
        <w:tc>
          <w:tcPr>
            <w:tcW w:w="1248"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UAC</w:t>
            </w: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w:t>
            </w:r>
          </w:p>
        </w:tc>
        <w:tc>
          <w:tcPr>
            <w:tcW w:w="43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74"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577"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816"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p>
        </w:tc>
        <w:tc>
          <w:tcPr>
            <w:tcW w:w="625" w:type="pct"/>
            <w:tcMar>
              <w:left w:w="115" w:type="dxa"/>
              <w:right w:w="216"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w:t>
            </w:r>
          </w:p>
        </w:tc>
      </w:tr>
      <w:tr w:rsidR="00285DDA" w:rsidRPr="0026329D" w:rsidTr="00090F6A">
        <w:trPr>
          <w:trHeight w:val="39"/>
        </w:trPr>
        <w:tc>
          <w:tcPr>
            <w:tcW w:w="1248" w:type="pct"/>
          </w:tcPr>
          <w:p w:rsidR="00285DDA" w:rsidRPr="0026329D" w:rsidRDefault="00285DDA" w:rsidP="00090F6A">
            <w:pPr>
              <w:pStyle w:val="NoSpacing"/>
              <w:jc w:val="left"/>
              <w:rPr>
                <w:rFonts w:cs="Times New Roman"/>
                <w:b/>
                <w:color w:val="000000" w:themeColor="text1"/>
                <w:sz w:val="20"/>
                <w:szCs w:val="20"/>
                <w:lang w:val="en-CA"/>
              </w:rPr>
            </w:pPr>
            <w:r w:rsidRPr="0026329D">
              <w:rPr>
                <w:rFonts w:cs="Times New Roman"/>
                <w:b/>
                <w:color w:val="000000" w:themeColor="text1"/>
                <w:sz w:val="20"/>
                <w:szCs w:val="20"/>
                <w:lang w:val="en-CA"/>
              </w:rPr>
              <w:t>Total</w:t>
            </w:r>
          </w:p>
        </w:tc>
        <w:tc>
          <w:tcPr>
            <w:tcW w:w="625"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10</w:t>
            </w:r>
          </w:p>
        </w:tc>
        <w:tc>
          <w:tcPr>
            <w:tcW w:w="435"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1</w:t>
            </w:r>
          </w:p>
        </w:tc>
        <w:tc>
          <w:tcPr>
            <w:tcW w:w="674"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10</w:t>
            </w:r>
          </w:p>
        </w:tc>
        <w:tc>
          <w:tcPr>
            <w:tcW w:w="577"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1</w:t>
            </w:r>
          </w:p>
        </w:tc>
        <w:tc>
          <w:tcPr>
            <w:tcW w:w="816"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9</w:t>
            </w:r>
          </w:p>
        </w:tc>
        <w:tc>
          <w:tcPr>
            <w:tcW w:w="625" w:type="pct"/>
            <w:tcMar>
              <w:left w:w="115" w:type="dxa"/>
              <w:right w:w="216"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themeColor="text1"/>
                <w:sz w:val="20"/>
                <w:szCs w:val="20"/>
                <w:lang w:val="en-CA"/>
              </w:rPr>
              <w:t>31</w:t>
            </w:r>
          </w:p>
        </w:tc>
      </w:tr>
    </w:tbl>
    <w:p w:rsidR="00285DDA" w:rsidRPr="0026329D" w:rsidRDefault="00285DDA" w:rsidP="00285DDA">
      <w:pPr>
        <w:pStyle w:val="ListParagraph"/>
        <w:ind w:left="0"/>
        <w:rPr>
          <w:rFonts w:eastAsia="Calibri"/>
          <w:color w:val="000000" w:themeColor="text1"/>
          <w:u w:val="single"/>
          <w:lang w:val="en-CA"/>
        </w:rPr>
      </w:pPr>
    </w:p>
    <w:p w:rsidR="00285DDA" w:rsidRPr="0026329D" w:rsidRDefault="00285DDA" w:rsidP="00285DDA">
      <w:pPr>
        <w:pStyle w:val="ListParagraph"/>
        <w:ind w:left="0"/>
        <w:rPr>
          <w:rFonts w:eastAsia="Calibri"/>
          <w:i/>
          <w:color w:val="000000" w:themeColor="text1"/>
          <w:lang w:val="en-CA"/>
        </w:rPr>
      </w:pPr>
      <w:r w:rsidRPr="0026329D">
        <w:rPr>
          <w:rFonts w:eastAsia="Calibri"/>
          <w:i/>
          <w:color w:val="000000" w:themeColor="text1"/>
          <w:lang w:val="en-CA"/>
        </w:rPr>
        <w:t>TA activities</w:t>
      </w:r>
    </w:p>
    <w:p w:rsidR="00285DDA" w:rsidRPr="0026329D" w:rsidRDefault="00285DDA" w:rsidP="00285DDA">
      <w:pPr>
        <w:rPr>
          <w:lang w:val="en-CA"/>
        </w:rPr>
      </w:pPr>
    </w:p>
    <w:p w:rsidR="00285DDA" w:rsidRPr="0026329D" w:rsidRDefault="00285DDA" w:rsidP="00285DDA">
      <w:pPr>
        <w:pStyle w:val="Heading1"/>
        <w:rPr>
          <w:lang w:val="en-CA"/>
        </w:rPr>
      </w:pPr>
      <w:r w:rsidRPr="0026329D">
        <w:rPr>
          <w:lang w:val="en-CA"/>
        </w:rPr>
        <w:t xml:space="preserve">The following research, testing and evaluation activities will be implemented: </w:t>
      </w:r>
    </w:p>
    <w:p w:rsidR="00285DDA" w:rsidRPr="0026329D" w:rsidRDefault="00285DDA" w:rsidP="00285DDA">
      <w:pPr>
        <w:pStyle w:val="Heading2"/>
        <w:rPr>
          <w:lang w:val="en-CA"/>
        </w:rPr>
      </w:pPr>
      <w:r w:rsidRPr="0026329D">
        <w:rPr>
          <w:lang w:val="en-CA"/>
        </w:rPr>
        <w:t xml:space="preserve">Survey and assessment for different sub-sectors and applications on the status of the transition to non-ODS alternatives, and preparing bans on the import and manufacture of HCFC-based equipment and components; </w:t>
      </w:r>
    </w:p>
    <w:p w:rsidR="00285DDA" w:rsidRPr="0026329D" w:rsidRDefault="00285DDA" w:rsidP="00285DDA">
      <w:pPr>
        <w:pStyle w:val="Heading2"/>
        <w:rPr>
          <w:lang w:val="en-CA"/>
        </w:rPr>
      </w:pPr>
      <w:r w:rsidRPr="0026329D">
        <w:rPr>
          <w:lang w:val="en-CA"/>
        </w:rPr>
        <w:t>Testing and assessing potential alternatives, including HFO-1234ze(E), R-513A, R</w:t>
      </w:r>
      <w:r w:rsidRPr="0026329D">
        <w:rPr>
          <w:lang w:val="en-CA"/>
        </w:rPr>
        <w:noBreakHyphen/>
        <w:t>515A and other HFOs and HFO-based blends in screw units, and R-452B, R-454B and other HFOs and HFO-based blends in scroll units;</w:t>
      </w:r>
    </w:p>
    <w:p w:rsidR="00285DDA" w:rsidRPr="0026329D" w:rsidRDefault="00285DDA" w:rsidP="00285DDA">
      <w:pPr>
        <w:pStyle w:val="Heading2"/>
        <w:rPr>
          <w:lang w:val="en-CA"/>
        </w:rPr>
      </w:pPr>
      <w:r w:rsidRPr="0026329D">
        <w:rPr>
          <w:lang w:val="en-CA"/>
        </w:rPr>
        <w:t xml:space="preserve">Research on optimizing the charge size of HFC-32 units in order to overcome the limitations in the safety standards on the charge size to promote wider adoption; </w:t>
      </w:r>
    </w:p>
    <w:p w:rsidR="00285DDA" w:rsidRPr="0026329D" w:rsidRDefault="00285DDA" w:rsidP="00285DDA">
      <w:pPr>
        <w:pStyle w:val="Heading2"/>
        <w:spacing w:before="240"/>
        <w:rPr>
          <w:color w:val="000000" w:themeColor="text1"/>
          <w:lang w:val="en-CA"/>
        </w:rPr>
      </w:pPr>
      <w:r w:rsidRPr="0026329D">
        <w:rPr>
          <w:lang w:val="en-CA"/>
        </w:rPr>
        <w:t xml:space="preserve">Research on: the development of safety regulations, safety measures in the manufacturing process, and on measures to control risk in the transportation, installation and use of equipment charged with flammable refrigerants; </w:t>
      </w:r>
    </w:p>
    <w:p w:rsidR="00285DDA" w:rsidRPr="0026329D" w:rsidRDefault="00285DDA" w:rsidP="00BA3EA6">
      <w:pPr>
        <w:pStyle w:val="Heading2"/>
        <w:keepNext/>
        <w:keepLines/>
        <w:spacing w:before="240"/>
        <w:rPr>
          <w:color w:val="000000" w:themeColor="text1"/>
          <w:lang w:val="en-CA"/>
        </w:rPr>
      </w:pPr>
      <w:r w:rsidRPr="0026329D">
        <w:rPr>
          <w:color w:val="000000" w:themeColor="text1"/>
          <w:lang w:val="en-CA"/>
        </w:rPr>
        <w:t>Research on improving the performance of alternative technologies (including R-513A and others) to meet product standards including energy efficiency, as currently these products have not been able to meet the standards;</w:t>
      </w:r>
    </w:p>
    <w:p w:rsidR="00285DDA" w:rsidRPr="0026329D" w:rsidRDefault="00285DDA" w:rsidP="00A1637C">
      <w:pPr>
        <w:pStyle w:val="Heading2"/>
        <w:rPr>
          <w:lang w:val="en-CA"/>
        </w:rPr>
      </w:pPr>
      <w:r w:rsidRPr="0026329D">
        <w:rPr>
          <w:lang w:val="en-CA"/>
        </w:rPr>
        <w:t>Risk assessment of flammable refrigerants (R-290, HFC-32, HFOs and HFO blends), testing the combustion characteristics after leakage and assessing the risk of using R-290 in UACs, multi-split ACs (heat pump) and small and medium-sized chillers; and optimizing structural design and safety measures; and</w:t>
      </w:r>
    </w:p>
    <w:p w:rsidR="00285DDA" w:rsidRPr="0026329D" w:rsidRDefault="00285DDA" w:rsidP="00285DDA">
      <w:pPr>
        <w:pStyle w:val="Heading2"/>
        <w:rPr>
          <w:lang w:val="en-CA"/>
        </w:rPr>
      </w:pPr>
      <w:r w:rsidRPr="0026329D">
        <w:rPr>
          <w:lang w:val="en-CA"/>
        </w:rPr>
        <w:t>Research on the technical barriers in the process of adopting low-GWP alternatives in SMEs.</w:t>
      </w:r>
    </w:p>
    <w:p w:rsidR="00285DDA" w:rsidRPr="0026329D" w:rsidRDefault="00A81DEE" w:rsidP="00285DDA">
      <w:pPr>
        <w:pStyle w:val="Heading1"/>
        <w:rPr>
          <w:lang w:val="en-CA"/>
        </w:rPr>
      </w:pPr>
      <w:r w:rsidRPr="0026329D">
        <w:rPr>
          <w:lang w:val="en-CA"/>
        </w:rPr>
        <w:t>Stage </w:t>
      </w:r>
      <w:r w:rsidR="00285DDA" w:rsidRPr="0026329D">
        <w:rPr>
          <w:lang w:val="en-CA"/>
        </w:rPr>
        <w:t>II will also revise six technical standards and develop four new ones to support the adoption of low-GWP alternatives including flammable, toxic and high-pressure refrigerants, as shown in Table 5.</w:t>
      </w:r>
    </w:p>
    <w:p w:rsidR="00285DDA" w:rsidRPr="0026329D" w:rsidRDefault="00285DDA" w:rsidP="00285DDA">
      <w:pPr>
        <w:pStyle w:val="PlainText"/>
        <w:spacing w:before="240"/>
        <w:rPr>
          <w:rFonts w:ascii="Times New Roman" w:hAnsi="Times New Roman" w:cs="Times New Roman"/>
          <w:b/>
          <w:color w:val="000000" w:themeColor="text1"/>
          <w:sz w:val="22"/>
          <w:lang w:val="en-CA"/>
        </w:rPr>
      </w:pPr>
      <w:r w:rsidRPr="0026329D">
        <w:rPr>
          <w:rFonts w:ascii="Times New Roman" w:hAnsi="Times New Roman" w:cs="Times New Roman"/>
          <w:b/>
          <w:color w:val="000000" w:themeColor="text1"/>
          <w:sz w:val="22"/>
          <w:lang w:val="en-CA"/>
        </w:rPr>
        <w:t xml:space="preserve">Table 5: Standards to be developed and revised in </w:t>
      </w:r>
      <w:r w:rsidR="00A81DEE" w:rsidRPr="0026329D">
        <w:rPr>
          <w:rFonts w:ascii="Times New Roman" w:hAnsi="Times New Roman" w:cs="Times New Roman"/>
          <w:b/>
          <w:color w:val="000000" w:themeColor="text1"/>
          <w:sz w:val="22"/>
          <w:lang w:val="en-CA"/>
        </w:rPr>
        <w:t>stage </w:t>
      </w:r>
      <w:r w:rsidRPr="0026329D">
        <w:rPr>
          <w:rFonts w:ascii="Times New Roman" w:hAnsi="Times New Roman" w:cs="Times New Roman"/>
          <w:b/>
          <w:color w:val="000000" w:themeColor="text1"/>
          <w:sz w:val="22"/>
          <w:lang w:val="en-CA"/>
        </w:rPr>
        <w:t>II of the ICR sector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6"/>
        <w:gridCol w:w="2084"/>
      </w:tblGrid>
      <w:tr w:rsidR="00285DDA" w:rsidRPr="0026329D" w:rsidTr="00090F6A">
        <w:trPr>
          <w:trHeight w:val="35"/>
          <w:tblHeader/>
        </w:trPr>
        <w:tc>
          <w:tcPr>
            <w:tcW w:w="3896" w:type="pct"/>
            <w:shd w:val="clear" w:color="auto" w:fill="auto"/>
            <w:hideMark/>
          </w:tcPr>
          <w:p w:rsidR="00285DDA" w:rsidRPr="0026329D" w:rsidRDefault="00285DDA" w:rsidP="00090F6A">
            <w:pPr>
              <w:jc w:val="left"/>
              <w:rPr>
                <w:b/>
                <w:bCs/>
                <w:color w:val="000000"/>
                <w:sz w:val="21"/>
                <w:szCs w:val="21"/>
                <w:lang w:val="en-CA" w:eastAsia="zh-CN"/>
              </w:rPr>
            </w:pPr>
            <w:r w:rsidRPr="0026329D">
              <w:rPr>
                <w:b/>
                <w:bCs/>
                <w:color w:val="000000" w:themeColor="text1"/>
                <w:sz w:val="21"/>
                <w:szCs w:val="21"/>
                <w:lang w:val="en-CA" w:eastAsia="zh-CN"/>
              </w:rPr>
              <w:t>Standard</w:t>
            </w:r>
          </w:p>
        </w:tc>
        <w:tc>
          <w:tcPr>
            <w:tcW w:w="1104" w:type="pct"/>
            <w:shd w:val="clear" w:color="auto" w:fill="auto"/>
            <w:hideMark/>
          </w:tcPr>
          <w:p w:rsidR="00285DDA" w:rsidRPr="0026329D" w:rsidRDefault="00285DDA" w:rsidP="00090F6A">
            <w:pPr>
              <w:jc w:val="center"/>
              <w:rPr>
                <w:b/>
                <w:bCs/>
                <w:color w:val="000000"/>
                <w:sz w:val="21"/>
                <w:szCs w:val="21"/>
                <w:lang w:val="en-CA" w:eastAsia="zh-CN"/>
              </w:rPr>
            </w:pPr>
            <w:r w:rsidRPr="0026329D">
              <w:rPr>
                <w:b/>
                <w:bCs/>
                <w:color w:val="000000" w:themeColor="text1"/>
                <w:sz w:val="21"/>
                <w:szCs w:val="21"/>
                <w:lang w:val="en-CA" w:eastAsia="zh-CN"/>
              </w:rPr>
              <w:t>Standard No.</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Refrigeration and air-conditioning (RAC) equipment safety technical specification</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New standard</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 xml:space="preserve">Safety requirements for air handling units </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GB/T 10891-1989</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Screw refrigerant compressors</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GB/T 19410-2008</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Hermetic refrigerant compressor for low-ambient-temperature air-source heat pump</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 New standard</w:t>
            </w:r>
          </w:p>
        </w:tc>
      </w:tr>
      <w:tr w:rsidR="00285DDA" w:rsidRPr="0026329D" w:rsidTr="00090F6A">
        <w:trPr>
          <w:trHeight w:val="296"/>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Water chilling (heat pump) packages using the vapor compression cycle—Part 1: Water chilling (heat pump) packages for industrial and commercial and similar applications</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GB/T 18430.1-2007</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Water-source (ground-source) heat pumps</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GB/T 19409-2013</w:t>
            </w:r>
          </w:p>
        </w:tc>
      </w:tr>
      <w:tr w:rsidR="00285DDA" w:rsidRPr="0026329D" w:rsidTr="00090F6A">
        <w:trPr>
          <w:trHeight w:val="12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Heat pump water heater for commercial and industrial and similar applications</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GB/T 21362-2008</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sz w:val="21"/>
                <w:szCs w:val="21"/>
                <w:lang w:val="en-CA" w:eastAsia="zh-CN"/>
              </w:rPr>
              <w:t>Air-source heat pump air heater</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New standard</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Small-sized and similar heating and air-conditioning and hot water packages</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JB/T 10916-2008</w:t>
            </w:r>
          </w:p>
        </w:tc>
      </w:tr>
      <w:tr w:rsidR="00285DDA" w:rsidRPr="0026329D" w:rsidTr="00090F6A">
        <w:trPr>
          <w:trHeight w:val="35"/>
        </w:trPr>
        <w:tc>
          <w:tcPr>
            <w:tcW w:w="3896"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Refrigeration system for small and medium-sized cold store</w:t>
            </w:r>
          </w:p>
        </w:tc>
        <w:tc>
          <w:tcPr>
            <w:tcW w:w="1104" w:type="pct"/>
            <w:shd w:val="clear" w:color="auto" w:fill="auto"/>
            <w:hideMark/>
          </w:tcPr>
          <w:p w:rsidR="00285DDA" w:rsidRPr="0026329D" w:rsidRDefault="00285DDA" w:rsidP="00090F6A">
            <w:pPr>
              <w:jc w:val="left"/>
              <w:rPr>
                <w:color w:val="000000"/>
                <w:sz w:val="21"/>
                <w:szCs w:val="21"/>
                <w:lang w:val="en-CA" w:eastAsia="zh-CN"/>
              </w:rPr>
            </w:pPr>
            <w:r w:rsidRPr="0026329D">
              <w:rPr>
                <w:color w:val="000000" w:themeColor="text1"/>
                <w:sz w:val="21"/>
                <w:szCs w:val="21"/>
                <w:lang w:val="en-CA" w:eastAsia="zh-CN"/>
              </w:rPr>
              <w:t>New standard</w:t>
            </w:r>
          </w:p>
        </w:tc>
      </w:tr>
    </w:tbl>
    <w:p w:rsidR="00285DDA" w:rsidRPr="0026329D" w:rsidRDefault="00285DDA" w:rsidP="00285DDA">
      <w:pPr>
        <w:pStyle w:val="Heading2"/>
        <w:numPr>
          <w:ilvl w:val="0"/>
          <w:numId w:val="0"/>
        </w:numPr>
        <w:spacing w:after="0"/>
        <w:rPr>
          <w:lang w:val="en-CA"/>
        </w:rPr>
      </w:pPr>
      <w:bookmarkStart w:id="1" w:name="_Toc40039328"/>
    </w:p>
    <w:p w:rsidR="00285DDA" w:rsidRPr="0026329D" w:rsidRDefault="00285DDA" w:rsidP="00285DDA">
      <w:pPr>
        <w:pStyle w:val="Heading1"/>
        <w:rPr>
          <w:lang w:val="en-CA"/>
        </w:rPr>
      </w:pPr>
      <w:r w:rsidRPr="0026329D">
        <w:rPr>
          <w:lang w:val="en-CA"/>
        </w:rPr>
        <w:t>Training, information exchange and seminars will be organized to support conversion and disseminate information on the latest developments in alternative technologies and standards, including:</w:t>
      </w:r>
    </w:p>
    <w:p w:rsidR="00285DDA" w:rsidRPr="0026329D" w:rsidRDefault="00285DDA" w:rsidP="00285DDA">
      <w:pPr>
        <w:pStyle w:val="Heading2"/>
        <w:rPr>
          <w:lang w:val="en-CA" w:eastAsia="zh-CN"/>
        </w:rPr>
      </w:pPr>
      <w:r w:rsidRPr="0026329D">
        <w:rPr>
          <w:lang w:val="en-CA"/>
        </w:rPr>
        <w:t xml:space="preserve">Training for manufacturers on technical issues during the conversion of manufacturing lines; and formulating training materials that take into consideration the experience gained and the evaluation results of the conversion projects already implemented in the sector; </w:t>
      </w:r>
    </w:p>
    <w:p w:rsidR="00285DDA" w:rsidRPr="0026329D" w:rsidRDefault="00285DDA" w:rsidP="00285DDA">
      <w:pPr>
        <w:pStyle w:val="Heading2"/>
        <w:rPr>
          <w:lang w:val="en-CA" w:eastAsia="zh-CN"/>
        </w:rPr>
      </w:pPr>
      <w:r w:rsidRPr="0026329D">
        <w:rPr>
          <w:color w:val="000000" w:themeColor="text1"/>
          <w:lang w:val="en-CA"/>
        </w:rPr>
        <w:t xml:space="preserve">Providing support and training for SMEs: </w:t>
      </w:r>
    </w:p>
    <w:p w:rsidR="00285DDA" w:rsidRPr="0026329D" w:rsidRDefault="00285DDA" w:rsidP="00285DDA">
      <w:pPr>
        <w:pStyle w:val="Heading3"/>
        <w:rPr>
          <w:lang w:val="en-CA" w:eastAsia="zh-CN"/>
        </w:rPr>
      </w:pPr>
      <w:r w:rsidRPr="0026329D">
        <w:rPr>
          <w:color w:val="000000" w:themeColor="text1"/>
          <w:lang w:val="en-CA"/>
        </w:rPr>
        <w:t xml:space="preserve">Two training sessions each year on the </w:t>
      </w:r>
      <w:r w:rsidRPr="0026329D">
        <w:rPr>
          <w:lang w:val="en-CA"/>
        </w:rPr>
        <w:t xml:space="preserve">conversion of manufacturing lines, including </w:t>
      </w:r>
      <w:r w:rsidRPr="0026329D">
        <w:rPr>
          <w:color w:val="000000" w:themeColor="text1"/>
          <w:lang w:val="en-CA"/>
        </w:rPr>
        <w:t xml:space="preserve">product development, component selection, conversion processes, and measures to address safety; </w:t>
      </w:r>
    </w:p>
    <w:p w:rsidR="00285DDA" w:rsidRPr="0026329D" w:rsidRDefault="00285DDA" w:rsidP="00285DDA">
      <w:pPr>
        <w:pStyle w:val="Heading3"/>
        <w:rPr>
          <w:lang w:val="en-CA"/>
        </w:rPr>
      </w:pPr>
      <w:r w:rsidRPr="0026329D">
        <w:rPr>
          <w:lang w:val="en-CA"/>
        </w:rPr>
        <w:t>Preparing technical guidelines on conversion to alternatives in to support transition to non-HCFC technologies;</w:t>
      </w:r>
    </w:p>
    <w:p w:rsidR="00285DDA" w:rsidRPr="0026329D" w:rsidRDefault="00285DDA" w:rsidP="00285DDA">
      <w:pPr>
        <w:pStyle w:val="Heading3"/>
        <w:rPr>
          <w:lang w:val="en-CA"/>
        </w:rPr>
      </w:pPr>
      <w:r w:rsidRPr="0026329D">
        <w:rPr>
          <w:lang w:val="en-CA"/>
        </w:rPr>
        <w:t xml:space="preserve">Establishing a team of </w:t>
      </w:r>
      <w:r w:rsidRPr="0026329D">
        <w:rPr>
          <w:color w:val="000000" w:themeColor="text1"/>
          <w:lang w:val="en-CA"/>
        </w:rPr>
        <w:t>experts to provide one-on-one technical guidance including formulating conversion plans to meet the specific conditions of the enterprise; and providing technical support, consultation, and on-site guidance during the conversion process;</w:t>
      </w:r>
    </w:p>
    <w:p w:rsidR="00285DDA" w:rsidRPr="0026329D" w:rsidRDefault="00285DDA" w:rsidP="00BA3EA6">
      <w:pPr>
        <w:pStyle w:val="Heading2"/>
        <w:keepNext/>
        <w:keepLines/>
        <w:rPr>
          <w:lang w:val="en-CA" w:eastAsia="zh-CN"/>
        </w:rPr>
      </w:pPr>
      <w:r w:rsidRPr="0026329D">
        <w:rPr>
          <w:lang w:val="en-CA"/>
        </w:rPr>
        <w:t>Compiling established industrial standards for alternative technologies and developing a training manual for applying these standards; organizing two training seminars per year on industrial standards for manufacturers;</w:t>
      </w:r>
    </w:p>
    <w:p w:rsidR="00285DDA" w:rsidRPr="0026329D" w:rsidRDefault="00285DDA" w:rsidP="00A1637C">
      <w:pPr>
        <w:pStyle w:val="Heading2"/>
        <w:rPr>
          <w:lang w:val="en-CA" w:eastAsia="zh-CN"/>
        </w:rPr>
      </w:pPr>
      <w:r w:rsidRPr="0026329D">
        <w:rPr>
          <w:lang w:val="en-CA"/>
        </w:rPr>
        <w:t>Organizing international seminars twice a year to provide training, information exchange and experience sharing about manufacturing-line conversion, governmental policies, and the outcomes of research on alternative refrigerants in conjunction with the activities organized by the China Refrigeration and Air-Conditioning Industry Association (CRAA); and</w:t>
      </w:r>
    </w:p>
    <w:p w:rsidR="00285DDA" w:rsidRPr="0026329D" w:rsidRDefault="00285DDA" w:rsidP="00285DDA">
      <w:pPr>
        <w:pStyle w:val="Heading2"/>
        <w:rPr>
          <w:lang w:val="en-CA" w:eastAsia="zh-CN"/>
        </w:rPr>
      </w:pPr>
      <w:r w:rsidRPr="0026329D">
        <w:rPr>
          <w:lang w:val="en-CA"/>
        </w:rPr>
        <w:t xml:space="preserve">Participating in international seminars on the latest developments in alternative technologies for the ICR industry. </w:t>
      </w:r>
    </w:p>
    <w:bookmarkEnd w:id="1"/>
    <w:p w:rsidR="00285DDA" w:rsidRPr="0026329D" w:rsidRDefault="00285DDA" w:rsidP="00285DDA">
      <w:pPr>
        <w:pStyle w:val="Heading1"/>
        <w:rPr>
          <w:color w:val="000000" w:themeColor="text1"/>
          <w:lang w:val="en-CA" w:eastAsia="zh-CN"/>
        </w:rPr>
      </w:pPr>
      <w:r w:rsidRPr="0026329D">
        <w:rPr>
          <w:color w:val="000000" w:themeColor="text1"/>
          <w:lang w:val="en-CA" w:eastAsia="zh-CN"/>
        </w:rPr>
        <w:t xml:space="preserve">The following awareness-raising and information exchange and dissemination activities will be conducted to promote the use and market penetration of alternative technologies: </w:t>
      </w:r>
    </w:p>
    <w:p w:rsidR="00285DDA" w:rsidRPr="0026329D" w:rsidRDefault="00285DDA" w:rsidP="00285DDA">
      <w:pPr>
        <w:pStyle w:val="Heading2"/>
        <w:rPr>
          <w:color w:val="000000" w:themeColor="text1"/>
          <w:lang w:val="en-CA" w:eastAsia="zh-CN"/>
        </w:rPr>
      </w:pPr>
      <w:r w:rsidRPr="0026329D">
        <w:rPr>
          <w:lang w:val="en-CA"/>
        </w:rPr>
        <w:t>A yearly Ozone to Climate technology roadshow and industry roundtable seminar to provide a platform and opportunity to display environmentally friendly zero</w:t>
      </w:r>
      <w:r w:rsidRPr="0026329D">
        <w:rPr>
          <w:lang w:val="en-CA"/>
        </w:rPr>
        <w:noBreakHyphen/>
        <w:t>ODP, lower</w:t>
      </w:r>
      <w:r w:rsidRPr="0026329D">
        <w:rPr>
          <w:lang w:val="en-CA"/>
        </w:rPr>
        <w:noBreakHyphen/>
        <w:t>GWP alternative technologies, and disseminate latest policies, conversion processes, alternative technologies, outcomes of research and updates on alternatives;</w:t>
      </w:r>
    </w:p>
    <w:p w:rsidR="00285DDA" w:rsidRPr="0026329D" w:rsidRDefault="00285DDA" w:rsidP="003927DC">
      <w:pPr>
        <w:pStyle w:val="Heading2"/>
        <w:rPr>
          <w:lang w:val="en-CA" w:eastAsia="zh-CN"/>
        </w:rPr>
      </w:pPr>
      <w:r w:rsidRPr="0026329D">
        <w:rPr>
          <w:lang w:val="en-CA"/>
        </w:rPr>
        <w:t xml:space="preserve">Disseminating information through various media and the websites of industrial associations to raise awareness on national policies, international trends and the benefits of alternative products, and to eliminate end-users’ safety concerns regarding products using flammable alternatives; </w:t>
      </w:r>
    </w:p>
    <w:p w:rsidR="00285DDA" w:rsidRPr="0026329D" w:rsidRDefault="00285DDA" w:rsidP="00285DDA">
      <w:pPr>
        <w:pStyle w:val="Heading2"/>
        <w:rPr>
          <w:color w:val="000000" w:themeColor="text1"/>
          <w:lang w:val="en-CA"/>
        </w:rPr>
      </w:pPr>
      <w:r w:rsidRPr="0026329D">
        <w:rPr>
          <w:lang w:val="en-CA"/>
        </w:rPr>
        <w:t xml:space="preserve">Market research on alternative products, to remove barriers to the market adoption of products using alternatives; and conducting targeted training and marketing activities to support the market penetration of alternative technologies; </w:t>
      </w:r>
    </w:p>
    <w:p w:rsidR="00285DDA" w:rsidRPr="0026329D" w:rsidRDefault="00285DDA" w:rsidP="00285DDA">
      <w:pPr>
        <w:pStyle w:val="Heading2"/>
        <w:rPr>
          <w:lang w:val="en-CA"/>
        </w:rPr>
      </w:pPr>
      <w:r w:rsidRPr="0026329D">
        <w:rPr>
          <w:lang w:val="en-CA"/>
        </w:rPr>
        <w:t>Promoting green and environmentally friendly alternative technologies by providing support and endorsement during product launches, online and on-site exhibitions, and other marketing activities; and guiding end-users in selecting environmentally friendly products;</w:t>
      </w:r>
    </w:p>
    <w:p w:rsidR="00285DDA" w:rsidRPr="0026329D" w:rsidRDefault="00285DDA" w:rsidP="00285DDA">
      <w:pPr>
        <w:pStyle w:val="Heading2"/>
        <w:rPr>
          <w:lang w:val="en-CA"/>
        </w:rPr>
      </w:pPr>
      <w:r w:rsidRPr="0026329D">
        <w:rPr>
          <w:lang w:val="en-CA"/>
        </w:rPr>
        <w:t xml:space="preserve">Promoting green alternative technologies among architects and guiding them to select green alternative technologies; </w:t>
      </w:r>
    </w:p>
    <w:p w:rsidR="00285DDA" w:rsidRPr="0026329D" w:rsidRDefault="00285DDA" w:rsidP="00285DDA">
      <w:pPr>
        <w:pStyle w:val="Heading2"/>
        <w:rPr>
          <w:lang w:val="en-CA"/>
        </w:rPr>
      </w:pPr>
      <w:r w:rsidRPr="0026329D">
        <w:rPr>
          <w:color w:val="000000" w:themeColor="text1"/>
          <w:lang w:val="en-CA"/>
        </w:rPr>
        <w:t>Publicity activities for component manufacturers; p</w:t>
      </w:r>
      <w:r w:rsidRPr="0026329D">
        <w:rPr>
          <w:lang w:val="en-CA"/>
        </w:rPr>
        <w:t>romoting and accelerating research and development</w:t>
      </w:r>
      <w:r w:rsidRPr="0026329D">
        <w:rPr>
          <w:color w:val="000000" w:themeColor="text1"/>
          <w:lang w:val="en-CA"/>
        </w:rPr>
        <w:t xml:space="preserve"> and mass production of components to gradually reduce costs; synchronizing the production of components and equipment; and enhancing the competitiveness of alternative products in the market; and</w:t>
      </w:r>
    </w:p>
    <w:p w:rsidR="00285DDA" w:rsidRPr="0026329D" w:rsidRDefault="00285DDA" w:rsidP="00285DDA">
      <w:pPr>
        <w:pStyle w:val="Heading2"/>
        <w:rPr>
          <w:color w:val="000000" w:themeColor="text1"/>
          <w:lang w:val="en-CA"/>
        </w:rPr>
      </w:pPr>
      <w:r w:rsidRPr="0026329D">
        <w:rPr>
          <w:color w:val="000000" w:themeColor="text1"/>
          <w:lang w:val="en-CA"/>
        </w:rPr>
        <w:t>Supporting enterprises in exporting ICR products using low-GWP alternative technologies to overseas markets.</w:t>
      </w:r>
    </w:p>
    <w:p w:rsidR="00285DDA" w:rsidRPr="0026329D" w:rsidRDefault="00285DDA" w:rsidP="00285DDA">
      <w:pPr>
        <w:pStyle w:val="Heading1"/>
        <w:numPr>
          <w:ilvl w:val="0"/>
          <w:numId w:val="0"/>
        </w:numPr>
        <w:rPr>
          <w:i/>
          <w:lang w:val="en-CA" w:eastAsia="zh-CN"/>
        </w:rPr>
      </w:pPr>
      <w:r w:rsidRPr="0026329D">
        <w:rPr>
          <w:i/>
          <w:color w:val="000000" w:themeColor="text1"/>
          <w:szCs w:val="24"/>
          <w:lang w:val="en-CA"/>
        </w:rPr>
        <w:t>Project management and monitoring</w:t>
      </w:r>
    </w:p>
    <w:p w:rsidR="00285DDA" w:rsidRPr="0026329D" w:rsidRDefault="00285DDA" w:rsidP="00285DDA">
      <w:pPr>
        <w:pStyle w:val="Heading1"/>
        <w:rPr>
          <w:lang w:val="en-CA" w:eastAsia="zh-CN"/>
        </w:rPr>
      </w:pPr>
      <w:r w:rsidRPr="0026329D">
        <w:rPr>
          <w:lang w:val="en-CA"/>
        </w:rPr>
        <w:t xml:space="preserve">The project implementation and monitoring unit (PMU) established in </w:t>
      </w:r>
      <w:r w:rsidR="00A81DEE" w:rsidRPr="0026329D">
        <w:rPr>
          <w:lang w:val="en-CA"/>
        </w:rPr>
        <w:t>stage </w:t>
      </w:r>
      <w:r w:rsidRPr="0026329D">
        <w:rPr>
          <w:lang w:val="en-CA"/>
        </w:rPr>
        <w:t xml:space="preserve">II will continue its efforts in project implementation, coordination, monitoring and reporting. Due to the reduced funding, the PMU will put more effort into developing and enforcing regulatory measures to ensure compliance with consumption targets. </w:t>
      </w:r>
    </w:p>
    <w:p w:rsidR="00285DDA" w:rsidRPr="0026329D" w:rsidRDefault="00285DDA" w:rsidP="00BA3EA6">
      <w:pPr>
        <w:pStyle w:val="Heading1"/>
        <w:keepNext/>
        <w:keepLines/>
        <w:rPr>
          <w:lang w:val="en-CA"/>
        </w:rPr>
      </w:pPr>
      <w:r w:rsidRPr="0026329D">
        <w:rPr>
          <w:lang w:val="en-CA"/>
        </w:rPr>
        <w:t xml:space="preserve">The CRAA will continue to provide technical support to the PMU in the overall phase-out activities and conversions in the ICR sector, including: providing assistance in conversion projects, monitoring progress, verifying the progress of implementation at the enterprise level, coordinating TA activities, assisting in tracking the availability and selecting the alternative technology, organizing national experts to evaluate the viability of alternative technologies, providing advice to enterprises in selecting alternatives, and collecting and compiling the HCFC consumption data. </w:t>
      </w:r>
    </w:p>
    <w:p w:rsidR="00285DDA" w:rsidRPr="0026329D" w:rsidRDefault="00285DDA" w:rsidP="00A1637C">
      <w:pPr>
        <w:keepNext/>
        <w:spacing w:after="240"/>
        <w:outlineLvl w:val="0"/>
        <w:rPr>
          <w:u w:val="single"/>
          <w:lang w:val="en-CA"/>
        </w:rPr>
      </w:pPr>
      <w:r w:rsidRPr="0026329D">
        <w:rPr>
          <w:u w:val="single"/>
          <w:lang w:val="en-CA"/>
        </w:rPr>
        <w:t xml:space="preserve">Cost of the revised </w:t>
      </w:r>
      <w:r w:rsidR="00A81DEE" w:rsidRPr="0026329D">
        <w:rPr>
          <w:u w:val="single"/>
          <w:lang w:val="en-CA"/>
        </w:rPr>
        <w:t>stage </w:t>
      </w:r>
      <w:r w:rsidRPr="0026329D">
        <w:rPr>
          <w:u w:val="single"/>
          <w:lang w:val="en-CA"/>
        </w:rPr>
        <w:t xml:space="preserve">II of the ICR sector plan </w:t>
      </w:r>
    </w:p>
    <w:p w:rsidR="00285DDA" w:rsidRPr="0026329D" w:rsidRDefault="00285DDA" w:rsidP="00285DDA">
      <w:pPr>
        <w:pStyle w:val="Heading1"/>
        <w:tabs>
          <w:tab w:val="clear" w:pos="0"/>
        </w:tabs>
        <w:rPr>
          <w:lang w:val="en-CA" w:eastAsia="zh-CN"/>
        </w:rPr>
      </w:pPr>
      <w:r w:rsidRPr="0026329D">
        <w:rPr>
          <w:lang w:val="en-CA"/>
        </w:rPr>
        <w:t xml:space="preserve">The revised </w:t>
      </w:r>
      <w:r w:rsidR="00A81DEE" w:rsidRPr="0026329D">
        <w:rPr>
          <w:lang w:val="en-CA"/>
        </w:rPr>
        <w:t>stage </w:t>
      </w:r>
      <w:r w:rsidRPr="0026329D">
        <w:rPr>
          <w:lang w:val="en-CA"/>
        </w:rPr>
        <w:t>II of the ICR sector plan consists of investment and non-investment activities. The cost of investment activities includes incremental capital costs (ICC) and incremental operating costs (IOC). The cost of non-investment activities includes project management, TA, market promotion and awareness-raising activities.</w:t>
      </w:r>
    </w:p>
    <w:p w:rsidR="00285DDA" w:rsidRPr="0026329D" w:rsidRDefault="00285DDA" w:rsidP="00285DDA">
      <w:pPr>
        <w:pStyle w:val="3a"/>
        <w:rPr>
          <w:b w:val="0"/>
          <w:i/>
          <w:color w:val="000000" w:themeColor="text1"/>
          <w:sz w:val="22"/>
          <w:szCs w:val="22"/>
          <w:lang w:val="en-CA"/>
        </w:rPr>
      </w:pPr>
      <w:r w:rsidRPr="0026329D">
        <w:rPr>
          <w:b w:val="0"/>
          <w:i/>
          <w:color w:val="000000" w:themeColor="text1"/>
          <w:sz w:val="22"/>
          <w:szCs w:val="22"/>
          <w:lang w:val="en-CA"/>
        </w:rPr>
        <w:t>Cost of the conversion of compressor manufacturing lines</w:t>
      </w:r>
    </w:p>
    <w:p w:rsidR="00285DDA" w:rsidRPr="0026329D" w:rsidRDefault="00285DDA" w:rsidP="00285DDA">
      <w:pPr>
        <w:pStyle w:val="Heading1"/>
        <w:rPr>
          <w:lang w:val="en-CA" w:eastAsia="zh-CN"/>
        </w:rPr>
      </w:pPr>
      <w:r w:rsidRPr="0026329D">
        <w:rPr>
          <w:lang w:val="en-CA"/>
        </w:rPr>
        <w:t xml:space="preserve">The incremental costs for the conversion of compressor lines include parts and shell production casting moulds, tooling fixtures, cutters, tooth-shaped grinding wheels, and compressor-assembly conveyor equipment and leak-detection equipment. </w:t>
      </w:r>
    </w:p>
    <w:p w:rsidR="00285DDA" w:rsidRPr="0026329D" w:rsidRDefault="00285DDA" w:rsidP="00285DDA">
      <w:pPr>
        <w:pStyle w:val="Heading1"/>
        <w:rPr>
          <w:lang w:val="en-CA" w:eastAsia="zh-CN"/>
        </w:rPr>
      </w:pPr>
      <w:r w:rsidRPr="0026329D">
        <w:rPr>
          <w:lang w:val="en-CA"/>
        </w:rPr>
        <w:t>T</w:t>
      </w:r>
      <w:r w:rsidRPr="0026329D">
        <w:rPr>
          <w:color w:val="000000" w:themeColor="text1"/>
          <w:szCs w:val="21"/>
          <w:lang w:val="en-CA"/>
        </w:rPr>
        <w:t xml:space="preserve">he actual cost of conversion of a screw-compressor line was </w:t>
      </w:r>
      <w:r w:rsidR="00475A50" w:rsidRPr="0026329D">
        <w:rPr>
          <w:color w:val="000000" w:themeColor="text1"/>
          <w:szCs w:val="21"/>
          <w:lang w:val="en-CA"/>
        </w:rPr>
        <w:t>US $</w:t>
      </w:r>
      <w:r w:rsidRPr="0026329D">
        <w:rPr>
          <w:color w:val="000000" w:themeColor="text1"/>
          <w:szCs w:val="21"/>
          <w:lang w:val="en-CA"/>
        </w:rPr>
        <w:t xml:space="preserve">2 million per line in </w:t>
      </w:r>
      <w:r w:rsidR="00A81DEE" w:rsidRPr="0026329D">
        <w:rPr>
          <w:color w:val="000000" w:themeColor="text1"/>
          <w:szCs w:val="21"/>
          <w:lang w:val="en-CA"/>
        </w:rPr>
        <w:t>stage </w:t>
      </w:r>
      <w:r w:rsidRPr="0026329D">
        <w:rPr>
          <w:color w:val="000000" w:themeColor="text1"/>
          <w:szCs w:val="21"/>
          <w:lang w:val="en-CA"/>
        </w:rPr>
        <w:t xml:space="preserve">I. In view of the reduced funding, </w:t>
      </w:r>
      <w:r w:rsidR="00475A50" w:rsidRPr="0026329D">
        <w:rPr>
          <w:lang w:val="en-CA"/>
        </w:rPr>
        <w:t>US $</w:t>
      </w:r>
      <w:r w:rsidRPr="0026329D">
        <w:rPr>
          <w:lang w:val="en-CA"/>
        </w:rPr>
        <w:t xml:space="preserve">1.2 million was requested for the conversion of one compressor line, bringing the total for two lines to </w:t>
      </w:r>
      <w:r w:rsidR="00475A50" w:rsidRPr="0026329D">
        <w:rPr>
          <w:lang w:val="en-CA"/>
        </w:rPr>
        <w:t>US $</w:t>
      </w:r>
      <w:r w:rsidRPr="0026329D">
        <w:rPr>
          <w:lang w:val="en-CA"/>
        </w:rPr>
        <w:t xml:space="preserve">2.4 million. </w:t>
      </w:r>
    </w:p>
    <w:p w:rsidR="00285DDA" w:rsidRPr="0026329D" w:rsidRDefault="00285DDA" w:rsidP="00285DDA">
      <w:pPr>
        <w:spacing w:after="240"/>
        <w:outlineLvl w:val="0"/>
        <w:rPr>
          <w:i/>
          <w:lang w:val="en-CA" w:eastAsia="zh-CN"/>
        </w:rPr>
      </w:pPr>
      <w:r w:rsidRPr="0026329D">
        <w:rPr>
          <w:i/>
          <w:lang w:val="en-CA" w:eastAsia="zh-CN"/>
        </w:rPr>
        <w:t>Cost of the conversion of RAC equipment manufacturing lines</w:t>
      </w:r>
    </w:p>
    <w:p w:rsidR="00285DDA" w:rsidRPr="0026329D" w:rsidRDefault="00285DDA" w:rsidP="00285DDA">
      <w:pPr>
        <w:pStyle w:val="Heading1"/>
        <w:rPr>
          <w:lang w:val="en-CA" w:eastAsia="zh-CN"/>
        </w:rPr>
      </w:pPr>
      <w:r w:rsidRPr="0026329D">
        <w:rPr>
          <w:lang w:val="en-CA"/>
        </w:rPr>
        <w:t>The ICCs of equipment manufacturing conversion include: adaptive design of product; prototyping; production line conversion (heat exchanger dies, charging machine, leak detectors, vacuum pumps, safety measures for production assembly line, etc.); performance-testing centre retrofitting; production-line commission and trial production; and training for operation, safety and after-sales service</w:t>
      </w:r>
      <w:r w:rsidRPr="0026329D">
        <w:rPr>
          <w:lang w:val="en-CA" w:eastAsia="zh-CN"/>
        </w:rPr>
        <w:t>.</w:t>
      </w:r>
      <w:r w:rsidRPr="0026329D" w:rsidDel="00A5524D">
        <w:rPr>
          <w:lang w:val="en-CA" w:eastAsia="zh-CN"/>
        </w:rPr>
        <w:t xml:space="preserve"> </w:t>
      </w:r>
      <w:r w:rsidRPr="0026329D">
        <w:rPr>
          <w:lang w:val="en-CA"/>
        </w:rPr>
        <w:t>The IOC of conversion include: the incremental cost of the raw materials, components and accessories, compressors, pipelines and electric safety devices after the adoption of the alternative technology.</w:t>
      </w:r>
    </w:p>
    <w:p w:rsidR="00285DDA" w:rsidRPr="0026329D" w:rsidRDefault="00285DDA" w:rsidP="00285DDA">
      <w:pPr>
        <w:pStyle w:val="Heading1"/>
        <w:spacing w:before="240"/>
        <w:rPr>
          <w:color w:val="000000" w:themeColor="text1"/>
          <w:lang w:val="en-CA"/>
        </w:rPr>
      </w:pPr>
      <w:r w:rsidRPr="0026329D">
        <w:rPr>
          <w:lang w:val="en-CA"/>
        </w:rPr>
        <w:t>The incremental cost has been calculated on the assumption that there will be no technology upgrades or capacity increase, and based on the prices prevailing in 2020. T</w:t>
      </w:r>
      <w:r w:rsidRPr="0026329D">
        <w:rPr>
          <w:color w:val="000000" w:themeColor="text1"/>
          <w:lang w:val="en-CA"/>
        </w:rPr>
        <w:t xml:space="preserve">he actual conversion cost in </w:t>
      </w:r>
      <w:r w:rsidR="00A81DEE" w:rsidRPr="0026329D">
        <w:rPr>
          <w:color w:val="000000" w:themeColor="text1"/>
          <w:lang w:val="en-CA"/>
        </w:rPr>
        <w:t>stage </w:t>
      </w:r>
      <w:r w:rsidRPr="0026329D">
        <w:rPr>
          <w:color w:val="000000" w:themeColor="text1"/>
          <w:lang w:val="en-CA"/>
        </w:rPr>
        <w:t>I</w:t>
      </w:r>
      <w:r w:rsidRPr="0026329D">
        <w:rPr>
          <w:lang w:val="en-CA"/>
        </w:rPr>
        <w:t xml:space="preserve"> was used as the </w:t>
      </w:r>
      <w:r w:rsidRPr="0026329D">
        <w:rPr>
          <w:color w:val="000000" w:themeColor="text1"/>
          <w:lang w:val="en-CA"/>
        </w:rPr>
        <w:t>cost threshold for SMEs below 20 mt, while the threshold for lines consuming more than 20 mt have been reduced</w:t>
      </w:r>
      <w:r w:rsidR="006D156C" w:rsidRPr="0026329D">
        <w:rPr>
          <w:color w:val="000000" w:themeColor="text1"/>
          <w:lang w:val="en-CA"/>
        </w:rPr>
        <w:t xml:space="preserve">, as shown </w:t>
      </w:r>
      <w:r w:rsidRPr="0026329D">
        <w:rPr>
          <w:lang w:val="en-CA"/>
        </w:rPr>
        <w:t xml:space="preserve">in Table 6: </w:t>
      </w:r>
    </w:p>
    <w:p w:rsidR="00285DDA" w:rsidRPr="0026329D" w:rsidRDefault="00285DDA" w:rsidP="00285DDA">
      <w:pPr>
        <w:pStyle w:val="Heading1"/>
        <w:numPr>
          <w:ilvl w:val="0"/>
          <w:numId w:val="0"/>
        </w:numPr>
        <w:spacing w:before="240" w:after="0"/>
        <w:rPr>
          <w:b/>
          <w:color w:val="000000" w:themeColor="text1"/>
          <w:lang w:val="en-CA"/>
        </w:rPr>
      </w:pPr>
      <w:r w:rsidRPr="0026329D">
        <w:rPr>
          <w:b/>
          <w:color w:val="000000" w:themeColor="text1"/>
          <w:lang w:val="en-CA"/>
        </w:rPr>
        <w:t xml:space="preserve">Table 6. Cost thresholds for conversion in revised </w:t>
      </w:r>
      <w:r w:rsidR="00A81DEE" w:rsidRPr="0026329D">
        <w:rPr>
          <w:b/>
          <w:color w:val="000000" w:themeColor="text1"/>
          <w:lang w:val="en-CA"/>
        </w:rPr>
        <w:t>stage </w:t>
      </w:r>
      <w:r w:rsidRPr="0026329D">
        <w:rPr>
          <w:b/>
          <w:color w:val="000000" w:themeColor="text1"/>
          <w:lang w:val="en-CA"/>
        </w:rPr>
        <w:t>II of the ICR sector plan (</w:t>
      </w:r>
      <w:r w:rsidR="00475A50" w:rsidRPr="0026329D">
        <w:rPr>
          <w:b/>
          <w:color w:val="000000" w:themeColor="text1"/>
          <w:lang w:val="en-CA"/>
        </w:rPr>
        <w:t>US $</w:t>
      </w:r>
      <w:r w:rsidRPr="0026329D">
        <w:rPr>
          <w:b/>
          <w:color w:val="000000" w:themeColor="text1"/>
          <w:lang w:val="en-CA"/>
        </w:rPr>
        <w:t>/kg)</w:t>
      </w:r>
    </w:p>
    <w:tbl>
      <w:tblPr>
        <w:tblStyle w:val="TableGrid"/>
        <w:tblW w:w="5000" w:type="pct"/>
        <w:jc w:val="center"/>
        <w:tblLook w:val="04A0" w:firstRow="1" w:lastRow="0" w:firstColumn="1" w:lastColumn="0" w:noHBand="0" w:noVBand="1"/>
      </w:tblPr>
      <w:tblGrid>
        <w:gridCol w:w="2692"/>
        <w:gridCol w:w="1348"/>
        <w:gridCol w:w="1350"/>
        <w:gridCol w:w="1350"/>
        <w:gridCol w:w="1350"/>
        <w:gridCol w:w="1350"/>
      </w:tblGrid>
      <w:tr w:rsidR="00285DDA" w:rsidRPr="0026329D" w:rsidTr="002E5E10">
        <w:trPr>
          <w:jc w:val="center"/>
        </w:trPr>
        <w:tc>
          <w:tcPr>
            <w:tcW w:w="1426"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Scale of enterprises</w:t>
            </w:r>
          </w:p>
        </w:tc>
        <w:tc>
          <w:tcPr>
            <w:tcW w:w="714"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HFC-32</w:t>
            </w:r>
          </w:p>
        </w:tc>
        <w:tc>
          <w:tcPr>
            <w:tcW w:w="715"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NH</w:t>
            </w:r>
            <w:r w:rsidRPr="0026329D">
              <w:rPr>
                <w:rFonts w:cs="Times New Roman"/>
                <w:b/>
                <w:color w:val="000000" w:themeColor="text1"/>
                <w:sz w:val="20"/>
                <w:szCs w:val="20"/>
                <w:vertAlign w:val="subscript"/>
                <w:lang w:val="en-CA"/>
              </w:rPr>
              <w:t>3</w:t>
            </w:r>
          </w:p>
        </w:tc>
        <w:tc>
          <w:tcPr>
            <w:tcW w:w="715"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NH</w:t>
            </w:r>
            <w:r w:rsidRPr="0026329D">
              <w:rPr>
                <w:rFonts w:cs="Times New Roman"/>
                <w:b/>
                <w:color w:val="000000" w:themeColor="text1"/>
                <w:sz w:val="20"/>
                <w:szCs w:val="20"/>
                <w:vertAlign w:val="subscript"/>
                <w:lang w:val="en-CA"/>
              </w:rPr>
              <w:t>3</w:t>
            </w:r>
            <w:r w:rsidRPr="0026329D">
              <w:rPr>
                <w:rFonts w:cs="Times New Roman"/>
                <w:b/>
                <w:color w:val="000000" w:themeColor="text1"/>
                <w:sz w:val="20"/>
                <w:szCs w:val="20"/>
                <w:lang w:val="en-CA"/>
              </w:rPr>
              <w:t>/CO</w:t>
            </w:r>
            <w:r w:rsidRPr="0026329D">
              <w:rPr>
                <w:rFonts w:cs="Times New Roman"/>
                <w:b/>
                <w:color w:val="000000" w:themeColor="text1"/>
                <w:sz w:val="20"/>
                <w:szCs w:val="20"/>
                <w:vertAlign w:val="subscript"/>
                <w:lang w:val="en-CA"/>
              </w:rPr>
              <w:t>2</w:t>
            </w:r>
            <w:r w:rsidRPr="0026329D">
              <w:rPr>
                <w:rFonts w:cs="Times New Roman"/>
                <w:b/>
                <w:color w:val="000000" w:themeColor="text1"/>
                <w:sz w:val="20"/>
                <w:szCs w:val="20"/>
                <w:lang w:val="en-CA"/>
              </w:rPr>
              <w:t>, HFO and blends</w:t>
            </w:r>
          </w:p>
        </w:tc>
        <w:tc>
          <w:tcPr>
            <w:tcW w:w="715"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CO</w:t>
            </w:r>
            <w:r w:rsidRPr="0026329D">
              <w:rPr>
                <w:rFonts w:cs="Times New Roman"/>
                <w:b/>
                <w:color w:val="000000" w:themeColor="text1"/>
                <w:sz w:val="20"/>
                <w:szCs w:val="20"/>
                <w:vertAlign w:val="subscript"/>
                <w:lang w:val="en-CA"/>
              </w:rPr>
              <w:t>2</w:t>
            </w:r>
            <w:r w:rsidRPr="0026329D">
              <w:rPr>
                <w:rFonts w:cs="Times New Roman"/>
                <w:b/>
                <w:color w:val="000000" w:themeColor="text1"/>
                <w:sz w:val="20"/>
                <w:szCs w:val="20"/>
                <w:lang w:val="en-CA"/>
              </w:rPr>
              <w:t xml:space="preserve"> and </w:t>
            </w:r>
            <w:r w:rsidR="00726604" w:rsidRPr="0026329D">
              <w:rPr>
                <w:rFonts w:cs="Times New Roman"/>
                <w:b/>
                <w:color w:val="000000" w:themeColor="text1"/>
                <w:sz w:val="20"/>
                <w:szCs w:val="20"/>
                <w:lang w:val="en-CA"/>
              </w:rPr>
              <w:t>R-290</w:t>
            </w:r>
          </w:p>
        </w:tc>
        <w:tc>
          <w:tcPr>
            <w:tcW w:w="715" w:type="pct"/>
            <w:vAlign w:val="center"/>
          </w:tcPr>
          <w:p w:rsidR="00285DDA" w:rsidRPr="0026329D" w:rsidRDefault="00285DDA" w:rsidP="00090F6A">
            <w:pPr>
              <w:pStyle w:val="NoSpacing"/>
              <w:jc w:val="center"/>
              <w:rPr>
                <w:rFonts w:cs="Times New Roman"/>
                <w:b/>
                <w:color w:val="000000" w:themeColor="text1"/>
                <w:sz w:val="20"/>
                <w:szCs w:val="20"/>
                <w:lang w:val="en-CA"/>
              </w:rPr>
            </w:pPr>
            <w:r w:rsidRPr="0026329D">
              <w:rPr>
                <w:rFonts w:cs="Times New Roman"/>
                <w:b/>
                <w:color w:val="000000" w:themeColor="text1"/>
                <w:sz w:val="20"/>
                <w:szCs w:val="20"/>
                <w:lang w:val="en-CA"/>
              </w:rPr>
              <w:t>CO</w:t>
            </w:r>
            <w:r w:rsidRPr="0026329D">
              <w:rPr>
                <w:rFonts w:cs="Times New Roman"/>
                <w:b/>
                <w:color w:val="000000" w:themeColor="text1"/>
                <w:sz w:val="20"/>
                <w:szCs w:val="20"/>
                <w:vertAlign w:val="subscript"/>
                <w:lang w:val="en-CA"/>
              </w:rPr>
              <w:t>2</w:t>
            </w:r>
            <w:r w:rsidRPr="0026329D">
              <w:rPr>
                <w:rFonts w:cs="Times New Roman"/>
                <w:b/>
                <w:color w:val="000000" w:themeColor="text1"/>
                <w:sz w:val="20"/>
                <w:szCs w:val="20"/>
                <w:lang w:val="en-CA"/>
              </w:rPr>
              <w:t>/HFC-134a and CO</w:t>
            </w:r>
            <w:r w:rsidRPr="0026329D">
              <w:rPr>
                <w:rFonts w:cs="Times New Roman"/>
                <w:b/>
                <w:color w:val="000000" w:themeColor="text1"/>
                <w:sz w:val="20"/>
                <w:szCs w:val="20"/>
                <w:vertAlign w:val="subscript"/>
                <w:lang w:val="en-CA"/>
              </w:rPr>
              <w:t>2</w:t>
            </w:r>
            <w:r w:rsidRPr="0026329D">
              <w:rPr>
                <w:rFonts w:cs="Times New Roman"/>
                <w:b/>
                <w:color w:val="000000" w:themeColor="text1"/>
                <w:sz w:val="20"/>
                <w:szCs w:val="20"/>
                <w:lang w:val="en-CA"/>
              </w:rPr>
              <w:t>/HFC-32</w:t>
            </w:r>
          </w:p>
        </w:tc>
      </w:tr>
      <w:tr w:rsidR="00285DDA" w:rsidRPr="0026329D" w:rsidTr="002E5E10">
        <w:trPr>
          <w:jc w:val="center"/>
        </w:trPr>
        <w:tc>
          <w:tcPr>
            <w:tcW w:w="1426"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Enterprises with consumption greater than 50 mt per year</w:t>
            </w:r>
          </w:p>
        </w:tc>
        <w:tc>
          <w:tcPr>
            <w:tcW w:w="714"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6.30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6.90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9.40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12.00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8.00</w:t>
            </w:r>
          </w:p>
        </w:tc>
      </w:tr>
      <w:tr w:rsidR="00285DDA" w:rsidRPr="0026329D" w:rsidTr="002E5E10">
        <w:trPr>
          <w:jc w:val="center"/>
        </w:trPr>
        <w:tc>
          <w:tcPr>
            <w:tcW w:w="1426"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Enterprises with consumption between 20 to 50 mt per year</w:t>
            </w:r>
          </w:p>
        </w:tc>
        <w:tc>
          <w:tcPr>
            <w:tcW w:w="714"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9.10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9.97</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13.58</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17.33</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11.56</w:t>
            </w:r>
          </w:p>
        </w:tc>
      </w:tr>
      <w:tr w:rsidR="00285DDA" w:rsidRPr="0026329D" w:rsidTr="002E5E10">
        <w:trPr>
          <w:jc w:val="center"/>
        </w:trPr>
        <w:tc>
          <w:tcPr>
            <w:tcW w:w="1426" w:type="pct"/>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rPr>
              <w:t>SMEs with consumption less than 20 mt per year</w:t>
            </w:r>
          </w:p>
        </w:tc>
        <w:tc>
          <w:tcPr>
            <w:tcW w:w="714"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14.00</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15.33</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20.89</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26.67</w:t>
            </w:r>
          </w:p>
        </w:tc>
        <w:tc>
          <w:tcPr>
            <w:tcW w:w="715" w:type="pct"/>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themeColor="text1"/>
                <w:sz w:val="20"/>
                <w:szCs w:val="20"/>
                <w:lang w:val="en-CA"/>
              </w:rPr>
              <w:t>17.78</w:t>
            </w:r>
          </w:p>
        </w:tc>
      </w:tr>
    </w:tbl>
    <w:p w:rsidR="00285DDA" w:rsidRPr="0026329D" w:rsidRDefault="00285DDA" w:rsidP="00285DDA">
      <w:pPr>
        <w:pStyle w:val="NoSpacing"/>
        <w:rPr>
          <w:color w:val="000000" w:themeColor="text1"/>
          <w:lang w:val="en-CA"/>
        </w:rPr>
      </w:pPr>
    </w:p>
    <w:p w:rsidR="00285DDA" w:rsidRPr="0026329D" w:rsidRDefault="00285DDA" w:rsidP="00285DDA">
      <w:pPr>
        <w:pStyle w:val="Heading1"/>
        <w:rPr>
          <w:lang w:val="en-CA"/>
        </w:rPr>
      </w:pPr>
      <w:r w:rsidRPr="0026329D">
        <w:rPr>
          <w:lang w:val="en-CA"/>
        </w:rPr>
        <w:t>According to the above thresholds and the phased-out tonnages presented in Tables 3 and 4, the conversion costs have been calculated for each sub-sector and alternative technology, as shown in Table 7.</w:t>
      </w:r>
    </w:p>
    <w:p w:rsidR="00285DDA" w:rsidRPr="0026329D" w:rsidRDefault="00285DDA" w:rsidP="00E2305C">
      <w:pPr>
        <w:pStyle w:val="PlainText"/>
        <w:keepNext/>
        <w:keepLines/>
        <w:spacing w:before="240"/>
        <w:rPr>
          <w:rFonts w:ascii="Times New Roman" w:hAnsi="Times New Roman" w:cs="Times New Roman"/>
          <w:b/>
          <w:color w:val="000000" w:themeColor="text1"/>
          <w:sz w:val="22"/>
          <w:lang w:val="en-CA"/>
        </w:rPr>
      </w:pPr>
      <w:r w:rsidRPr="0026329D">
        <w:rPr>
          <w:rFonts w:ascii="Times New Roman" w:hAnsi="Times New Roman" w:cs="Times New Roman"/>
          <w:b/>
          <w:color w:val="000000" w:themeColor="text1"/>
          <w:sz w:val="22"/>
          <w:lang w:val="en-CA"/>
        </w:rPr>
        <w:t>Table 7. Costs for manufacturing-line conversions in sub-sectors (</w:t>
      </w:r>
      <w:r w:rsidR="00475A50" w:rsidRPr="0026329D">
        <w:rPr>
          <w:rFonts w:ascii="Times New Roman" w:hAnsi="Times New Roman" w:cs="Times New Roman"/>
          <w:b/>
          <w:color w:val="000000" w:themeColor="text1"/>
          <w:sz w:val="22"/>
          <w:lang w:val="en-CA"/>
        </w:rPr>
        <w:t>US $</w:t>
      </w:r>
      <w:r w:rsidRPr="0026329D">
        <w:rPr>
          <w:rFonts w:ascii="Times New Roman" w:hAnsi="Times New Roman" w:cs="Times New Roman"/>
          <w:b/>
          <w:color w:val="000000" w:themeColor="text1"/>
          <w:sz w:val="22"/>
          <w:lang w:val="en-CA"/>
        </w:rPr>
        <w:t>1,000)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195"/>
        <w:gridCol w:w="812"/>
        <w:gridCol w:w="1273"/>
        <w:gridCol w:w="1271"/>
        <w:gridCol w:w="1435"/>
        <w:gridCol w:w="1195"/>
      </w:tblGrid>
      <w:tr w:rsidR="00285DDA" w:rsidRPr="0026329D" w:rsidTr="00090F6A">
        <w:trPr>
          <w:trHeight w:val="20"/>
        </w:trPr>
        <w:tc>
          <w:tcPr>
            <w:tcW w:w="1197" w:type="pct"/>
            <w:tcBorders>
              <w:top w:val="single" w:sz="4" w:space="0" w:color="auto"/>
              <w:left w:val="single" w:sz="4" w:space="0" w:color="auto"/>
              <w:bottom w:val="single" w:sz="4" w:space="0" w:color="auto"/>
              <w:right w:val="single" w:sz="4" w:space="0" w:color="auto"/>
            </w:tcBorders>
            <w:vAlign w:val="center"/>
          </w:tcPr>
          <w:p w:rsidR="00285DDA" w:rsidRPr="0026329D" w:rsidRDefault="00285DDA" w:rsidP="00E2305C">
            <w:pPr>
              <w:pStyle w:val="NoSpacing"/>
              <w:keepNext/>
              <w:keepLines/>
              <w:jc w:val="left"/>
              <w:rPr>
                <w:rFonts w:cs="Times New Roman"/>
                <w:b/>
                <w:color w:val="000000" w:themeColor="text1"/>
                <w:sz w:val="20"/>
                <w:szCs w:val="20"/>
                <w:lang w:val="en-CA"/>
              </w:rPr>
            </w:pPr>
            <w:r w:rsidRPr="0026329D">
              <w:rPr>
                <w:rFonts w:cs="Times New Roman"/>
                <w:b/>
                <w:color w:val="000000" w:themeColor="text1"/>
                <w:sz w:val="20"/>
                <w:szCs w:val="20"/>
                <w:lang w:val="en-CA"/>
              </w:rPr>
              <w:t>Sub-sector</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kern w:val="0"/>
                <w:sz w:val="20"/>
                <w:szCs w:val="20"/>
                <w:lang w:val="en-CA"/>
              </w:rPr>
            </w:pPr>
            <w:r w:rsidRPr="0026329D">
              <w:rPr>
                <w:rFonts w:cs="Times New Roman"/>
                <w:b/>
                <w:color w:val="000000" w:themeColor="text1"/>
                <w:kern w:val="0"/>
                <w:sz w:val="20"/>
                <w:szCs w:val="20"/>
                <w:lang w:val="en-CA"/>
              </w:rPr>
              <w:t>HFC-32</w:t>
            </w:r>
          </w:p>
        </w:tc>
        <w:tc>
          <w:tcPr>
            <w:tcW w:w="43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kern w:val="0"/>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p>
        </w:tc>
        <w:tc>
          <w:tcPr>
            <w:tcW w:w="67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kern w:val="0"/>
                <w:sz w:val="20"/>
                <w:szCs w:val="20"/>
                <w:lang w:val="en-CA"/>
              </w:rPr>
            </w:pPr>
            <w:r w:rsidRPr="0026329D">
              <w:rPr>
                <w:rFonts w:cs="Times New Roman"/>
                <w:b/>
                <w:color w:val="000000" w:themeColor="text1"/>
                <w:kern w:val="0"/>
                <w:sz w:val="20"/>
                <w:szCs w:val="20"/>
                <w:lang w:val="en-CA"/>
              </w:rPr>
              <w:t>NH</w:t>
            </w:r>
            <w:r w:rsidRPr="0026329D">
              <w:rPr>
                <w:rFonts w:cs="Times New Roman"/>
                <w:b/>
                <w:color w:val="000000" w:themeColor="text1"/>
                <w:kern w:val="0"/>
                <w:sz w:val="20"/>
                <w:szCs w:val="20"/>
                <w:vertAlign w:val="subscript"/>
                <w:lang w:val="en-CA"/>
              </w:rPr>
              <w:t>3</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 </w:t>
            </w:r>
            <w:r w:rsidRPr="0026329D">
              <w:rPr>
                <w:rFonts w:cs="Times New Roman"/>
                <w:b/>
                <w:color w:val="000000" w:themeColor="text1"/>
                <w:kern w:val="0"/>
                <w:sz w:val="20"/>
                <w:szCs w:val="20"/>
                <w:lang w:val="en-CA"/>
              </w:rPr>
              <w:t>HFO, HFO blends</w:t>
            </w:r>
          </w:p>
        </w:tc>
        <w:tc>
          <w:tcPr>
            <w:tcW w:w="6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kern w:val="0"/>
                <w:sz w:val="20"/>
                <w:szCs w:val="20"/>
                <w:lang w:val="en-CA"/>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 xml:space="preserve">2, </w:t>
            </w:r>
            <w:r w:rsidR="00726604" w:rsidRPr="0026329D">
              <w:rPr>
                <w:rFonts w:cs="Times New Roman"/>
                <w:b/>
                <w:color w:val="000000" w:themeColor="text1"/>
                <w:kern w:val="0"/>
                <w:sz w:val="20"/>
                <w:szCs w:val="20"/>
                <w:lang w:val="en-CA"/>
              </w:rPr>
              <w:t>R-290</w:t>
            </w:r>
          </w:p>
        </w:tc>
        <w:tc>
          <w:tcPr>
            <w:tcW w:w="76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sz w:val="20"/>
                <w:szCs w:val="20"/>
                <w:lang w:val="en-CA" w:eastAsia="ja-JP"/>
              </w:rPr>
            </w:pP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 xml:space="preserve">/HFC-134a, </w:t>
            </w:r>
            <w:r w:rsidRPr="0026329D">
              <w:rPr>
                <w:rFonts w:cs="Times New Roman"/>
                <w:b/>
                <w:color w:val="000000" w:themeColor="text1"/>
                <w:kern w:val="0"/>
                <w:sz w:val="20"/>
                <w:szCs w:val="20"/>
                <w:lang w:val="en-CA"/>
              </w:rPr>
              <w:t>CO</w:t>
            </w:r>
            <w:r w:rsidRPr="0026329D">
              <w:rPr>
                <w:rFonts w:cs="Times New Roman"/>
                <w:b/>
                <w:color w:val="000000" w:themeColor="text1"/>
                <w:kern w:val="0"/>
                <w:sz w:val="20"/>
                <w:szCs w:val="20"/>
                <w:vertAlign w:val="subscript"/>
                <w:lang w:val="en-CA"/>
              </w:rPr>
              <w:t>2</w:t>
            </w:r>
            <w:r w:rsidRPr="0026329D">
              <w:rPr>
                <w:rFonts w:cs="Times New Roman"/>
                <w:b/>
                <w:color w:val="000000" w:themeColor="text1"/>
                <w:sz w:val="20"/>
                <w:szCs w:val="20"/>
                <w:lang w:val="en-CA"/>
              </w:rPr>
              <w:t>/HFC-32</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5DDA" w:rsidRPr="0026329D" w:rsidRDefault="00285DDA" w:rsidP="00E2305C">
            <w:pPr>
              <w:pStyle w:val="NoSpacing"/>
              <w:keepNext/>
              <w:keepLines/>
              <w:jc w:val="center"/>
              <w:rPr>
                <w:rFonts w:cs="Times New Roman"/>
                <w:b/>
                <w:color w:val="000000" w:themeColor="text1"/>
                <w:sz w:val="20"/>
                <w:szCs w:val="20"/>
                <w:lang w:val="en-CA"/>
              </w:rPr>
            </w:pPr>
            <w:r w:rsidRPr="0026329D">
              <w:rPr>
                <w:rFonts w:cs="Times New Roman"/>
                <w:b/>
                <w:color w:val="000000" w:themeColor="text1"/>
                <w:sz w:val="20"/>
                <w:szCs w:val="20"/>
                <w:lang w:val="en-CA"/>
              </w:rPr>
              <w:t>Total</w:t>
            </w:r>
          </w:p>
        </w:tc>
      </w:tr>
      <w:tr w:rsidR="00285DDA" w:rsidRPr="0026329D" w:rsidTr="00090F6A">
        <w:trPr>
          <w:trHeight w:val="20"/>
        </w:trPr>
        <w:tc>
          <w:tcPr>
            <w:tcW w:w="1197" w:type="pct"/>
            <w:tcBorders>
              <w:top w:val="single" w:sz="4" w:space="0" w:color="auto"/>
              <w:left w:val="single" w:sz="4" w:space="0" w:color="auto"/>
              <w:bottom w:val="single" w:sz="4" w:space="0" w:color="auto"/>
              <w:right w:val="single" w:sz="4" w:space="0" w:color="auto"/>
            </w:tcBorders>
          </w:tcPr>
          <w:p w:rsidR="00285DDA" w:rsidRPr="0026329D" w:rsidRDefault="00285DDA" w:rsidP="00E2305C">
            <w:pPr>
              <w:pStyle w:val="NoSpacing"/>
              <w:keepNext/>
              <w:keepLines/>
              <w:jc w:val="left"/>
              <w:rPr>
                <w:rFonts w:eastAsia="MS Mincho" w:cs="Times New Roman"/>
                <w:color w:val="000000" w:themeColor="text1"/>
                <w:sz w:val="20"/>
                <w:szCs w:val="20"/>
                <w:lang w:val="en-CA" w:eastAsia="ja-JP"/>
              </w:rPr>
            </w:pPr>
            <w:r w:rsidRPr="0026329D">
              <w:rPr>
                <w:rFonts w:cs="Times New Roman"/>
                <w:color w:val="000000" w:themeColor="text1"/>
                <w:sz w:val="20"/>
                <w:szCs w:val="20"/>
                <w:lang w:val="en-CA" w:eastAsia="ja-JP"/>
              </w:rPr>
              <w:t>Freezers, refrigeration condensing units</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0.0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812.7</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7,322.0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0.0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5,396.8</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13,531.5</w:t>
            </w:r>
          </w:p>
        </w:tc>
      </w:tr>
      <w:tr w:rsidR="00285DDA" w:rsidRPr="0026329D" w:rsidTr="00090F6A">
        <w:trPr>
          <w:trHeight w:val="20"/>
        </w:trPr>
        <w:tc>
          <w:tcPr>
            <w:tcW w:w="1197" w:type="pct"/>
            <w:tcBorders>
              <w:top w:val="single" w:sz="4" w:space="0" w:color="auto"/>
              <w:left w:val="single" w:sz="4" w:space="0" w:color="auto"/>
              <w:bottom w:val="single" w:sz="4" w:space="0" w:color="auto"/>
              <w:right w:val="single" w:sz="4" w:space="0" w:color="auto"/>
            </w:tcBorders>
          </w:tcPr>
          <w:p w:rsidR="00285DDA" w:rsidRPr="0026329D" w:rsidRDefault="00285DDA" w:rsidP="00E2305C">
            <w:pPr>
              <w:pStyle w:val="NoSpacing"/>
              <w:keepNext/>
              <w:keepLines/>
              <w:jc w:val="left"/>
              <w:rPr>
                <w:rFonts w:cs="Times New Roman"/>
                <w:color w:val="000000" w:themeColor="text1"/>
                <w:sz w:val="20"/>
                <w:szCs w:val="20"/>
                <w:lang w:val="en-CA" w:eastAsia="ja-JP"/>
              </w:rPr>
            </w:pPr>
            <w:r w:rsidRPr="0026329D">
              <w:rPr>
                <w:rFonts w:cs="Times New Roman"/>
                <w:color w:val="000000" w:themeColor="text1"/>
                <w:sz w:val="20"/>
                <w:szCs w:val="20"/>
                <w:lang w:val="en-CA" w:eastAsia="ja-JP"/>
              </w:rPr>
              <w:t>Water chillers</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1,295.0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4,878.0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0.0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E2305C">
            <w:pPr>
              <w:pStyle w:val="NoSpacing"/>
              <w:keepNext/>
              <w:keepLines/>
              <w:jc w:val="right"/>
              <w:rPr>
                <w:rFonts w:cs="Times New Roman"/>
                <w:color w:val="000000" w:themeColor="text1"/>
                <w:sz w:val="20"/>
                <w:szCs w:val="20"/>
                <w:lang w:val="en-CA"/>
              </w:rPr>
            </w:pPr>
            <w:r w:rsidRPr="0026329D">
              <w:rPr>
                <w:rFonts w:cs="Times New Roman"/>
                <w:color w:val="000000"/>
                <w:sz w:val="20"/>
                <w:szCs w:val="20"/>
                <w:lang w:val="en-CA"/>
              </w:rPr>
              <w:t>6,173.0</w:t>
            </w:r>
          </w:p>
        </w:tc>
      </w:tr>
      <w:tr w:rsidR="00285DDA" w:rsidRPr="0026329D" w:rsidTr="00090F6A">
        <w:trPr>
          <w:trHeight w:val="20"/>
        </w:trPr>
        <w:tc>
          <w:tcPr>
            <w:tcW w:w="1197" w:type="pct"/>
            <w:tcBorders>
              <w:top w:val="single" w:sz="4" w:space="0" w:color="auto"/>
              <w:left w:val="single" w:sz="4" w:space="0" w:color="auto"/>
              <w:bottom w:val="single" w:sz="4" w:space="0" w:color="auto"/>
              <w:right w:val="single" w:sz="4" w:space="0" w:color="auto"/>
            </w:tcBorders>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Heat pump water heaters</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553.0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706.7</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1,259.7</w:t>
            </w:r>
          </w:p>
        </w:tc>
      </w:tr>
      <w:tr w:rsidR="00285DDA" w:rsidRPr="0026329D" w:rsidTr="00090F6A">
        <w:trPr>
          <w:trHeight w:val="20"/>
        </w:trPr>
        <w:tc>
          <w:tcPr>
            <w:tcW w:w="1197" w:type="pct"/>
            <w:tcBorders>
              <w:top w:val="single" w:sz="4" w:space="0" w:color="auto"/>
              <w:left w:val="single" w:sz="4" w:space="0" w:color="auto"/>
              <w:bottom w:val="single" w:sz="4" w:space="0" w:color="auto"/>
              <w:right w:val="single" w:sz="4" w:space="0" w:color="auto"/>
            </w:tcBorders>
          </w:tcPr>
          <w:p w:rsidR="00285DDA" w:rsidRPr="0026329D" w:rsidRDefault="00285DDA" w:rsidP="00090F6A">
            <w:pPr>
              <w:pStyle w:val="NoSpacing"/>
              <w:jc w:val="left"/>
              <w:rPr>
                <w:rFonts w:cs="Times New Roman"/>
                <w:color w:val="000000" w:themeColor="text1"/>
                <w:sz w:val="20"/>
                <w:szCs w:val="20"/>
                <w:lang w:val="en-CA"/>
              </w:rPr>
            </w:pPr>
            <w:r w:rsidRPr="0026329D">
              <w:rPr>
                <w:rFonts w:cs="Times New Roman"/>
                <w:color w:val="000000" w:themeColor="text1"/>
                <w:sz w:val="20"/>
                <w:szCs w:val="20"/>
                <w:lang w:val="en-CA" w:eastAsia="ja-JP"/>
              </w:rPr>
              <w:t>UACs</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3,934.0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0.0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tcPr>
          <w:p w:rsidR="00285DDA" w:rsidRPr="0026329D" w:rsidRDefault="00285DDA" w:rsidP="00090F6A">
            <w:pPr>
              <w:pStyle w:val="NoSpacing"/>
              <w:jc w:val="right"/>
              <w:rPr>
                <w:rFonts w:cs="Times New Roman"/>
                <w:color w:val="000000" w:themeColor="text1"/>
                <w:sz w:val="20"/>
                <w:szCs w:val="20"/>
                <w:lang w:val="en-CA"/>
              </w:rPr>
            </w:pPr>
            <w:r w:rsidRPr="0026329D">
              <w:rPr>
                <w:rFonts w:cs="Times New Roman"/>
                <w:color w:val="000000"/>
                <w:sz w:val="20"/>
                <w:szCs w:val="20"/>
                <w:lang w:val="en-CA"/>
              </w:rPr>
              <w:t>3,934.0</w:t>
            </w:r>
          </w:p>
        </w:tc>
      </w:tr>
      <w:tr w:rsidR="00285DDA" w:rsidRPr="0026329D" w:rsidTr="00090F6A">
        <w:trPr>
          <w:trHeight w:val="44"/>
        </w:trPr>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85DDA" w:rsidRPr="0026329D" w:rsidRDefault="00285DDA" w:rsidP="00090F6A">
            <w:pPr>
              <w:pStyle w:val="NoSpacing"/>
              <w:jc w:val="left"/>
              <w:rPr>
                <w:rFonts w:cs="Times New Roman"/>
                <w:b/>
                <w:color w:val="000000" w:themeColor="text1"/>
                <w:sz w:val="20"/>
                <w:szCs w:val="20"/>
                <w:lang w:val="en-CA"/>
              </w:rPr>
            </w:pPr>
            <w:r w:rsidRPr="0026329D">
              <w:rPr>
                <w:rFonts w:cs="Times New Roman"/>
                <w:b/>
                <w:color w:val="000000" w:themeColor="text1"/>
                <w:sz w:val="20"/>
                <w:szCs w:val="20"/>
                <w:lang w:val="en-CA"/>
              </w:rPr>
              <w:t>Total</w:t>
            </w:r>
          </w:p>
        </w:tc>
        <w:tc>
          <w:tcPr>
            <w:tcW w:w="63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5,782.0</w:t>
            </w:r>
          </w:p>
        </w:tc>
        <w:tc>
          <w:tcPr>
            <w:tcW w:w="430"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812.7</w:t>
            </w:r>
          </w:p>
        </w:tc>
        <w:tc>
          <w:tcPr>
            <w:tcW w:w="674"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12,200.0</w:t>
            </w:r>
          </w:p>
        </w:tc>
        <w:tc>
          <w:tcPr>
            <w:tcW w:w="67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706.7</w:t>
            </w:r>
          </w:p>
        </w:tc>
        <w:tc>
          <w:tcPr>
            <w:tcW w:w="760"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5,396.8</w:t>
            </w:r>
          </w:p>
        </w:tc>
        <w:tc>
          <w:tcPr>
            <w:tcW w:w="63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rsidR="00285DDA" w:rsidRPr="0026329D" w:rsidRDefault="00285DDA" w:rsidP="00090F6A">
            <w:pPr>
              <w:pStyle w:val="NoSpacing"/>
              <w:jc w:val="right"/>
              <w:rPr>
                <w:rFonts w:cs="Times New Roman"/>
                <w:b/>
                <w:color w:val="000000" w:themeColor="text1"/>
                <w:sz w:val="20"/>
                <w:szCs w:val="20"/>
                <w:lang w:val="en-CA"/>
              </w:rPr>
            </w:pPr>
            <w:r w:rsidRPr="0026329D">
              <w:rPr>
                <w:rFonts w:cs="Times New Roman"/>
                <w:b/>
                <w:color w:val="000000"/>
                <w:sz w:val="20"/>
                <w:szCs w:val="20"/>
                <w:lang w:val="en-CA"/>
              </w:rPr>
              <w:t>24,898.2</w:t>
            </w:r>
          </w:p>
        </w:tc>
      </w:tr>
    </w:tbl>
    <w:p w:rsidR="00285DDA" w:rsidRPr="0026329D" w:rsidRDefault="00285DDA" w:rsidP="00285DDA">
      <w:pPr>
        <w:rPr>
          <w:lang w:val="en-CA"/>
        </w:rPr>
      </w:pPr>
    </w:p>
    <w:p w:rsidR="00285DDA" w:rsidRPr="0026329D" w:rsidRDefault="00285DDA" w:rsidP="00285DDA">
      <w:pPr>
        <w:rPr>
          <w:u w:val="single"/>
          <w:lang w:val="en-CA"/>
        </w:rPr>
      </w:pPr>
      <w:bookmarkStart w:id="2" w:name="_Toc50989558"/>
      <w:r w:rsidRPr="0026329D">
        <w:rPr>
          <w:u w:val="single"/>
          <w:lang w:val="en-CA"/>
        </w:rPr>
        <w:t xml:space="preserve">Total cost requested for </w:t>
      </w:r>
      <w:bookmarkEnd w:id="2"/>
      <w:r w:rsidRPr="0026329D">
        <w:rPr>
          <w:u w:val="single"/>
          <w:lang w:val="en-CA"/>
        </w:rPr>
        <w:t xml:space="preserve">the revised </w:t>
      </w:r>
      <w:r w:rsidR="00162D38" w:rsidRPr="0026329D">
        <w:rPr>
          <w:u w:val="single"/>
          <w:lang w:val="en-CA"/>
        </w:rPr>
        <w:t xml:space="preserve">extended </w:t>
      </w:r>
      <w:r w:rsidR="00A81DEE" w:rsidRPr="0026329D">
        <w:rPr>
          <w:u w:val="single"/>
          <w:lang w:val="en-CA"/>
        </w:rPr>
        <w:t>stage </w:t>
      </w:r>
      <w:r w:rsidRPr="0026329D">
        <w:rPr>
          <w:u w:val="single"/>
          <w:lang w:val="en-CA"/>
        </w:rPr>
        <w:t>II of ICR sector plan</w:t>
      </w:r>
    </w:p>
    <w:p w:rsidR="00285DDA" w:rsidRPr="0026329D" w:rsidRDefault="00285DDA" w:rsidP="00285DDA">
      <w:pPr>
        <w:rPr>
          <w:u w:val="single"/>
          <w:lang w:val="en-CA"/>
        </w:rPr>
      </w:pPr>
    </w:p>
    <w:p w:rsidR="00285DDA" w:rsidRPr="0026329D" w:rsidRDefault="00285DDA" w:rsidP="00285DDA">
      <w:pPr>
        <w:pStyle w:val="Heading1"/>
        <w:rPr>
          <w:lang w:val="en-CA"/>
        </w:rPr>
      </w:pPr>
      <w:r w:rsidRPr="0026329D">
        <w:rPr>
          <w:lang w:val="en-CA"/>
        </w:rPr>
        <w:t xml:space="preserve">A summary of the activities and cost breakdown of the revised </w:t>
      </w:r>
      <w:r w:rsidR="00A81DEE" w:rsidRPr="0026329D">
        <w:rPr>
          <w:lang w:val="en-CA"/>
        </w:rPr>
        <w:t>stage </w:t>
      </w:r>
      <w:r w:rsidRPr="0026329D">
        <w:rPr>
          <w:lang w:val="en-CA"/>
        </w:rPr>
        <w:t>II of the ICR sector plan is presented in Table 8.</w:t>
      </w:r>
    </w:p>
    <w:p w:rsidR="00285DDA" w:rsidRPr="0026329D" w:rsidRDefault="00285DDA" w:rsidP="00285DDA">
      <w:pPr>
        <w:pStyle w:val="NoSpacing"/>
        <w:jc w:val="left"/>
        <w:rPr>
          <w:b/>
          <w:color w:val="000000" w:themeColor="text1"/>
          <w:lang w:val="en-CA"/>
        </w:rPr>
      </w:pPr>
      <w:r w:rsidRPr="0026329D">
        <w:rPr>
          <w:b/>
          <w:color w:val="000000" w:themeColor="text1"/>
          <w:lang w:val="en-CA"/>
        </w:rPr>
        <w:t>Table 8.</w:t>
      </w:r>
      <w:r w:rsidRPr="0026329D">
        <w:rPr>
          <w:b/>
          <w:color w:val="000000" w:themeColor="text1"/>
          <w:sz w:val="22"/>
          <w:lang w:val="en-CA"/>
        </w:rPr>
        <w:t xml:space="preserve"> Activities and c</w:t>
      </w:r>
      <w:r w:rsidRPr="0026329D">
        <w:rPr>
          <w:b/>
          <w:sz w:val="22"/>
          <w:lang w:val="en-CA"/>
        </w:rPr>
        <w:t>ost breakdown of the revised</w:t>
      </w:r>
      <w:r w:rsidR="00162D38" w:rsidRPr="0026329D">
        <w:rPr>
          <w:b/>
          <w:sz w:val="22"/>
          <w:lang w:val="en-CA"/>
        </w:rPr>
        <w:t xml:space="preserve"> extended</w:t>
      </w:r>
      <w:r w:rsidRPr="0026329D">
        <w:rPr>
          <w:b/>
          <w:sz w:val="22"/>
          <w:lang w:val="en-CA"/>
        </w:rPr>
        <w:t xml:space="preserve"> </w:t>
      </w:r>
      <w:r w:rsidR="00A81DEE" w:rsidRPr="0026329D">
        <w:rPr>
          <w:b/>
          <w:sz w:val="22"/>
          <w:lang w:val="en-CA"/>
        </w:rPr>
        <w:t>stage </w:t>
      </w:r>
      <w:r w:rsidRPr="0026329D">
        <w:rPr>
          <w:b/>
          <w:sz w:val="22"/>
          <w:lang w:val="en-CA"/>
        </w:rPr>
        <w:t>II of the ICR sector plan</w:t>
      </w:r>
    </w:p>
    <w:tbl>
      <w:tblPr>
        <w:tblStyle w:val="TableGrid"/>
        <w:tblW w:w="5000" w:type="pct"/>
        <w:tblLayout w:type="fixed"/>
        <w:tblLook w:val="04A0" w:firstRow="1" w:lastRow="0" w:firstColumn="1" w:lastColumn="0" w:noHBand="0" w:noVBand="1"/>
      </w:tblPr>
      <w:tblGrid>
        <w:gridCol w:w="7078"/>
        <w:gridCol w:w="2362"/>
      </w:tblGrid>
      <w:tr w:rsidR="00285DDA" w:rsidRPr="0026329D" w:rsidTr="003927DC">
        <w:trPr>
          <w:trHeight w:val="200"/>
          <w:tblHeader/>
        </w:trPr>
        <w:tc>
          <w:tcPr>
            <w:tcW w:w="3749" w:type="pct"/>
            <w:vAlign w:val="center"/>
          </w:tcPr>
          <w:p w:rsidR="00285DDA" w:rsidRPr="0026329D" w:rsidRDefault="00285DDA" w:rsidP="003927DC">
            <w:pPr>
              <w:pStyle w:val="NoSpacing"/>
              <w:jc w:val="left"/>
              <w:rPr>
                <w:b/>
                <w:color w:val="000000" w:themeColor="text1"/>
                <w:sz w:val="20"/>
                <w:szCs w:val="20"/>
                <w:lang w:val="en-CA"/>
              </w:rPr>
            </w:pPr>
            <w:r w:rsidRPr="0026329D">
              <w:rPr>
                <w:b/>
                <w:color w:val="000000" w:themeColor="text1"/>
                <w:sz w:val="20"/>
                <w:szCs w:val="20"/>
                <w:lang w:val="en-CA"/>
              </w:rPr>
              <w:t>Description</w:t>
            </w:r>
          </w:p>
        </w:tc>
        <w:tc>
          <w:tcPr>
            <w:tcW w:w="1251" w:type="pct"/>
            <w:vAlign w:val="center"/>
          </w:tcPr>
          <w:p w:rsidR="00285DDA" w:rsidRPr="0026329D" w:rsidRDefault="00285DDA" w:rsidP="00090F6A">
            <w:pPr>
              <w:pStyle w:val="NoSpacing"/>
              <w:jc w:val="center"/>
              <w:rPr>
                <w:color w:val="000000" w:themeColor="text1"/>
                <w:sz w:val="20"/>
                <w:szCs w:val="20"/>
                <w:lang w:val="en-CA"/>
              </w:rPr>
            </w:pPr>
            <w:r w:rsidRPr="0026329D">
              <w:rPr>
                <w:b/>
                <w:color w:val="000000" w:themeColor="text1"/>
                <w:sz w:val="20"/>
                <w:szCs w:val="20"/>
                <w:lang w:val="en-CA"/>
              </w:rPr>
              <w:t>Funding (</w:t>
            </w:r>
            <w:r w:rsidR="00475A50" w:rsidRPr="0026329D">
              <w:rPr>
                <w:b/>
                <w:color w:val="000000" w:themeColor="text1"/>
                <w:sz w:val="20"/>
                <w:szCs w:val="20"/>
                <w:lang w:val="en-CA"/>
              </w:rPr>
              <w:t>US $</w:t>
            </w:r>
            <w:r w:rsidRPr="0026329D">
              <w:rPr>
                <w:b/>
                <w:color w:val="000000" w:themeColor="text1"/>
                <w:sz w:val="20"/>
                <w:szCs w:val="20"/>
                <w:lang w:val="en-CA"/>
              </w:rPr>
              <w:t>)</w:t>
            </w:r>
          </w:p>
        </w:tc>
      </w:tr>
      <w:tr w:rsidR="00285DDA" w:rsidRPr="0026329D" w:rsidTr="00090F6A">
        <w:trPr>
          <w:trHeight w:val="200"/>
        </w:trPr>
        <w:tc>
          <w:tcPr>
            <w:tcW w:w="3749" w:type="pct"/>
            <w:vAlign w:val="center"/>
          </w:tcPr>
          <w:p w:rsidR="00285DDA" w:rsidRPr="0026329D" w:rsidRDefault="00285DDA" w:rsidP="00090F6A">
            <w:pPr>
              <w:pStyle w:val="NoSpacing"/>
              <w:jc w:val="left"/>
              <w:rPr>
                <w:b/>
                <w:color w:val="000000" w:themeColor="text1"/>
                <w:sz w:val="20"/>
                <w:szCs w:val="20"/>
                <w:lang w:val="en-CA"/>
              </w:rPr>
            </w:pPr>
            <w:r w:rsidRPr="0026329D">
              <w:rPr>
                <w:b/>
                <w:color w:val="000000" w:themeColor="text1"/>
                <w:sz w:val="20"/>
                <w:szCs w:val="20"/>
                <w:lang w:val="en-CA"/>
              </w:rPr>
              <w:t>Conversion projects</w:t>
            </w:r>
          </w:p>
        </w:tc>
        <w:tc>
          <w:tcPr>
            <w:tcW w:w="1251" w:type="pct"/>
            <w:vAlign w:val="center"/>
          </w:tcPr>
          <w:p w:rsidR="00285DDA" w:rsidRPr="0026329D" w:rsidRDefault="00285DDA" w:rsidP="00090F6A">
            <w:pPr>
              <w:pStyle w:val="NoSpacing"/>
              <w:jc w:val="right"/>
              <w:rPr>
                <w:color w:val="000000" w:themeColor="text1"/>
                <w:sz w:val="20"/>
                <w:szCs w:val="20"/>
                <w:lang w:val="en-CA"/>
              </w:rPr>
            </w:pPr>
          </w:p>
        </w:tc>
      </w:tr>
      <w:tr w:rsidR="00285DDA" w:rsidRPr="0026329D" w:rsidTr="00090F6A">
        <w:trPr>
          <w:trHeight w:val="200"/>
        </w:trPr>
        <w:tc>
          <w:tcPr>
            <w:tcW w:w="3749" w:type="pct"/>
            <w:vAlign w:val="center"/>
          </w:tcPr>
          <w:p w:rsidR="00285DDA" w:rsidRPr="0026329D" w:rsidRDefault="00285DDA" w:rsidP="00090F6A">
            <w:pPr>
              <w:pStyle w:val="NoSpacing"/>
              <w:jc w:val="left"/>
              <w:rPr>
                <w:color w:val="000000" w:themeColor="text1"/>
                <w:sz w:val="20"/>
                <w:szCs w:val="20"/>
                <w:lang w:val="en-CA"/>
              </w:rPr>
            </w:pPr>
            <w:r w:rsidRPr="0026329D">
              <w:rPr>
                <w:color w:val="000000" w:themeColor="text1"/>
                <w:sz w:val="20"/>
                <w:szCs w:val="20"/>
                <w:lang w:val="en-CA"/>
              </w:rPr>
              <w:t>Conversion of two compressor manufacturing lines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2,400,000</w:t>
            </w:r>
          </w:p>
        </w:tc>
      </w:tr>
      <w:tr w:rsidR="00285DDA" w:rsidRPr="0026329D" w:rsidTr="00090F6A">
        <w:trPr>
          <w:trHeight w:val="200"/>
        </w:trPr>
        <w:tc>
          <w:tcPr>
            <w:tcW w:w="3749" w:type="pct"/>
            <w:vAlign w:val="center"/>
          </w:tcPr>
          <w:p w:rsidR="00285DDA" w:rsidRPr="0026329D" w:rsidRDefault="00285DDA" w:rsidP="00090F6A">
            <w:pPr>
              <w:pStyle w:val="NoSpacing"/>
              <w:jc w:val="left"/>
              <w:rPr>
                <w:color w:val="000000" w:themeColor="text1"/>
                <w:sz w:val="20"/>
                <w:szCs w:val="20"/>
                <w:lang w:val="en-CA"/>
              </w:rPr>
            </w:pPr>
            <w:r w:rsidRPr="0026329D">
              <w:rPr>
                <w:color w:val="000000" w:themeColor="text1"/>
                <w:sz w:val="20"/>
                <w:szCs w:val="20"/>
                <w:lang w:val="en-CA"/>
              </w:rPr>
              <w:t xml:space="preserve">Conversion of 31 equipment manufacturing lines </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24,898,200</w:t>
            </w:r>
          </w:p>
        </w:tc>
      </w:tr>
      <w:tr w:rsidR="00285DDA" w:rsidRPr="0026329D" w:rsidTr="002E5E10">
        <w:trPr>
          <w:trHeight w:val="116"/>
        </w:trPr>
        <w:tc>
          <w:tcPr>
            <w:tcW w:w="3749" w:type="pct"/>
            <w:vAlign w:val="center"/>
          </w:tcPr>
          <w:p w:rsidR="00285DDA" w:rsidRPr="0026329D" w:rsidRDefault="00285DDA" w:rsidP="002E5E10">
            <w:pPr>
              <w:pStyle w:val="NoSpacing"/>
              <w:jc w:val="left"/>
              <w:rPr>
                <w:b/>
                <w:color w:val="000000" w:themeColor="text1"/>
                <w:sz w:val="20"/>
                <w:szCs w:val="20"/>
                <w:lang w:val="en-CA"/>
              </w:rPr>
            </w:pPr>
            <w:r w:rsidRPr="0026329D">
              <w:rPr>
                <w:b/>
                <w:color w:val="000000" w:themeColor="text1"/>
                <w:sz w:val="20"/>
                <w:szCs w:val="20"/>
                <w:lang w:val="en-CA"/>
              </w:rPr>
              <w:t>Sub-total of conversions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27,298,200</w:t>
            </w:r>
          </w:p>
        </w:tc>
      </w:tr>
      <w:tr w:rsidR="00285DDA" w:rsidRPr="0026329D" w:rsidTr="00090F6A">
        <w:trPr>
          <w:trHeight w:val="116"/>
        </w:trPr>
        <w:tc>
          <w:tcPr>
            <w:tcW w:w="3749" w:type="pct"/>
            <w:vAlign w:val="center"/>
          </w:tcPr>
          <w:p w:rsidR="00285DDA" w:rsidRPr="0026329D" w:rsidRDefault="00285DDA" w:rsidP="00090F6A">
            <w:pPr>
              <w:pStyle w:val="NoSpacing"/>
              <w:rPr>
                <w:color w:val="000000" w:themeColor="text1"/>
                <w:sz w:val="20"/>
                <w:szCs w:val="20"/>
                <w:lang w:val="en-CA"/>
              </w:rPr>
            </w:pPr>
            <w:r w:rsidRPr="0026329D">
              <w:rPr>
                <w:b/>
                <w:color w:val="000000" w:themeColor="text1"/>
                <w:sz w:val="20"/>
                <w:szCs w:val="20"/>
                <w:lang w:val="en-CA"/>
              </w:rPr>
              <w:t>TA</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p>
        </w:tc>
      </w:tr>
      <w:tr w:rsidR="00285DDA" w:rsidRPr="0026329D" w:rsidTr="00090F6A">
        <w:trPr>
          <w:trHeight w:val="116"/>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Research activities on alternative technologies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1,093,482</w:t>
            </w:r>
          </w:p>
        </w:tc>
      </w:tr>
      <w:tr w:rsidR="00285DDA" w:rsidRPr="0026329D" w:rsidTr="00090F6A">
        <w:trPr>
          <w:trHeight w:val="39"/>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Developing four new standards and revising six existing ones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500,000</w:t>
            </w:r>
          </w:p>
        </w:tc>
      </w:tr>
      <w:tr w:rsidR="00285DDA" w:rsidRPr="0026329D" w:rsidTr="00090F6A">
        <w:trPr>
          <w:trHeight w:val="188"/>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Assessment of policy effects on bans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300,000</w:t>
            </w:r>
          </w:p>
        </w:tc>
      </w:tr>
      <w:tr w:rsidR="00285DDA" w:rsidRPr="0026329D" w:rsidTr="00090F6A">
        <w:trPr>
          <w:trHeight w:val="39"/>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Technical training workshops and seminars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400,000</w:t>
            </w:r>
          </w:p>
        </w:tc>
      </w:tr>
      <w:tr w:rsidR="00285DDA" w:rsidRPr="0026329D" w:rsidTr="00090F6A">
        <w:trPr>
          <w:trHeight w:val="53"/>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Public awareness-raising and promotion activities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400,000</w:t>
            </w:r>
          </w:p>
        </w:tc>
      </w:tr>
      <w:tr w:rsidR="00285DDA" w:rsidRPr="0026329D" w:rsidTr="00090F6A">
        <w:trPr>
          <w:trHeight w:val="39"/>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Technical support to the CRAA</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653,874</w:t>
            </w:r>
          </w:p>
        </w:tc>
      </w:tr>
      <w:tr w:rsidR="00285DDA" w:rsidRPr="0026329D" w:rsidTr="00090F6A">
        <w:trPr>
          <w:trHeight w:val="192"/>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Verification of progress milestones and achievements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180,000</w:t>
            </w:r>
          </w:p>
        </w:tc>
      </w:tr>
      <w:tr w:rsidR="00285DDA" w:rsidRPr="0026329D" w:rsidTr="00090F6A">
        <w:trPr>
          <w:trHeight w:val="39"/>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Expert consultants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40,000</w:t>
            </w:r>
          </w:p>
        </w:tc>
      </w:tr>
      <w:tr w:rsidR="00285DDA" w:rsidRPr="0026329D" w:rsidTr="00090F6A">
        <w:trPr>
          <w:trHeight w:val="39"/>
        </w:trPr>
        <w:tc>
          <w:tcPr>
            <w:tcW w:w="3749" w:type="pct"/>
            <w:vAlign w:val="center"/>
          </w:tcPr>
          <w:p w:rsidR="00285DDA" w:rsidRPr="0026329D" w:rsidRDefault="00285DDA" w:rsidP="00090F6A">
            <w:pPr>
              <w:pStyle w:val="NoSpacing"/>
              <w:rPr>
                <w:color w:val="000000" w:themeColor="text1"/>
                <w:sz w:val="20"/>
                <w:szCs w:val="20"/>
                <w:lang w:val="en-CA"/>
              </w:rPr>
            </w:pPr>
            <w:r w:rsidRPr="0026329D">
              <w:rPr>
                <w:color w:val="000000" w:themeColor="text1"/>
                <w:sz w:val="20"/>
                <w:szCs w:val="20"/>
                <w:lang w:val="en-CA"/>
              </w:rPr>
              <w:t>Meetings and workshops</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30,000</w:t>
            </w:r>
          </w:p>
        </w:tc>
      </w:tr>
      <w:tr w:rsidR="00285DDA" w:rsidRPr="0026329D" w:rsidTr="003927DC">
        <w:trPr>
          <w:trHeight w:val="39"/>
        </w:trPr>
        <w:tc>
          <w:tcPr>
            <w:tcW w:w="3749" w:type="pct"/>
            <w:vAlign w:val="center"/>
          </w:tcPr>
          <w:p w:rsidR="00285DDA" w:rsidRPr="0026329D" w:rsidRDefault="00285DDA" w:rsidP="003927DC">
            <w:pPr>
              <w:pStyle w:val="NoSpacing"/>
              <w:jc w:val="left"/>
              <w:rPr>
                <w:b/>
                <w:color w:val="000000" w:themeColor="text1"/>
                <w:sz w:val="20"/>
                <w:szCs w:val="20"/>
                <w:lang w:val="en-CA"/>
              </w:rPr>
            </w:pPr>
            <w:r w:rsidRPr="0026329D">
              <w:rPr>
                <w:b/>
                <w:color w:val="000000" w:themeColor="text1"/>
                <w:sz w:val="20"/>
                <w:szCs w:val="20"/>
                <w:lang w:val="en-CA"/>
              </w:rPr>
              <w:t>Sub-total of TA</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3,597,356</w:t>
            </w:r>
          </w:p>
        </w:tc>
      </w:tr>
      <w:tr w:rsidR="00285DDA" w:rsidRPr="0026329D" w:rsidTr="00090F6A">
        <w:trPr>
          <w:trHeight w:val="39"/>
        </w:trPr>
        <w:tc>
          <w:tcPr>
            <w:tcW w:w="3749" w:type="pct"/>
          </w:tcPr>
          <w:p w:rsidR="00285DDA" w:rsidRPr="0026329D" w:rsidRDefault="00285DDA" w:rsidP="00090F6A">
            <w:pPr>
              <w:pStyle w:val="NoSpacing"/>
              <w:rPr>
                <w:b/>
                <w:color w:val="000000" w:themeColor="text1"/>
                <w:sz w:val="20"/>
                <w:szCs w:val="20"/>
                <w:lang w:val="en-CA"/>
              </w:rPr>
            </w:pPr>
            <w:r w:rsidRPr="0026329D">
              <w:rPr>
                <w:b/>
                <w:color w:val="000000" w:themeColor="text1"/>
                <w:sz w:val="20"/>
                <w:szCs w:val="20"/>
                <w:lang w:val="en-CA"/>
              </w:rPr>
              <w:t>Project management, monitoring, coordination and reporting</w:t>
            </w:r>
          </w:p>
        </w:tc>
        <w:tc>
          <w:tcPr>
            <w:tcW w:w="1251" w:type="pct"/>
            <w:tcMar>
              <w:left w:w="115" w:type="dxa"/>
              <w:right w:w="216" w:type="dxa"/>
            </w:tcMar>
            <w:vAlign w:val="center"/>
          </w:tcPr>
          <w:p w:rsidR="00285DDA" w:rsidRPr="0026329D" w:rsidRDefault="00285DDA" w:rsidP="00090F6A">
            <w:pPr>
              <w:pStyle w:val="NoSpacing"/>
              <w:jc w:val="right"/>
              <w:rPr>
                <w:color w:val="000000" w:themeColor="text1"/>
                <w:sz w:val="20"/>
                <w:szCs w:val="20"/>
                <w:lang w:val="en-CA"/>
              </w:rPr>
            </w:pPr>
            <w:r w:rsidRPr="0026329D">
              <w:rPr>
                <w:color w:val="000000" w:themeColor="text1"/>
                <w:sz w:val="20"/>
                <w:szCs w:val="20"/>
                <w:lang w:val="en-CA"/>
              </w:rPr>
              <w:t>1,798,154</w:t>
            </w:r>
          </w:p>
        </w:tc>
      </w:tr>
      <w:tr w:rsidR="00285DDA" w:rsidRPr="0026329D" w:rsidTr="003927DC">
        <w:trPr>
          <w:trHeight w:val="39"/>
        </w:trPr>
        <w:tc>
          <w:tcPr>
            <w:tcW w:w="3749" w:type="pct"/>
            <w:vAlign w:val="center"/>
          </w:tcPr>
          <w:p w:rsidR="00285DDA" w:rsidRPr="0026329D" w:rsidRDefault="00285DDA" w:rsidP="003927DC">
            <w:pPr>
              <w:pStyle w:val="NoSpacing"/>
              <w:jc w:val="left"/>
              <w:rPr>
                <w:color w:val="000000" w:themeColor="text1"/>
                <w:sz w:val="20"/>
                <w:szCs w:val="20"/>
                <w:lang w:val="en-CA"/>
              </w:rPr>
            </w:pPr>
            <w:r w:rsidRPr="0026329D">
              <w:rPr>
                <w:b/>
                <w:color w:val="000000" w:themeColor="text1"/>
                <w:sz w:val="20"/>
                <w:szCs w:val="20"/>
                <w:lang w:val="en-CA"/>
              </w:rPr>
              <w:t>Total</w:t>
            </w:r>
          </w:p>
        </w:tc>
        <w:tc>
          <w:tcPr>
            <w:tcW w:w="1251" w:type="pct"/>
            <w:tcMar>
              <w:left w:w="115" w:type="dxa"/>
              <w:right w:w="216" w:type="dxa"/>
            </w:tcMar>
            <w:vAlign w:val="center"/>
          </w:tcPr>
          <w:p w:rsidR="00285DDA" w:rsidRPr="0026329D" w:rsidRDefault="00285DDA" w:rsidP="003927DC">
            <w:pPr>
              <w:pStyle w:val="NoSpacing"/>
              <w:jc w:val="right"/>
              <w:rPr>
                <w:color w:val="000000" w:themeColor="text1"/>
                <w:sz w:val="20"/>
                <w:szCs w:val="20"/>
                <w:lang w:val="en-CA"/>
              </w:rPr>
            </w:pPr>
            <w:r w:rsidRPr="0026329D">
              <w:rPr>
                <w:b/>
                <w:color w:val="000000" w:themeColor="text1"/>
                <w:sz w:val="20"/>
                <w:szCs w:val="20"/>
                <w:lang w:val="en-CA"/>
              </w:rPr>
              <w:fldChar w:fldCharType="begin"/>
            </w:r>
            <w:r w:rsidRPr="0026329D">
              <w:rPr>
                <w:b/>
                <w:color w:val="000000" w:themeColor="text1"/>
                <w:sz w:val="20"/>
                <w:szCs w:val="20"/>
                <w:lang w:val="en-CA"/>
              </w:rPr>
              <w:instrText xml:space="preserve"> =SUM(ABOVE) </w:instrText>
            </w:r>
            <w:r w:rsidRPr="0026329D">
              <w:rPr>
                <w:b/>
                <w:color w:val="000000" w:themeColor="text1"/>
                <w:sz w:val="20"/>
                <w:szCs w:val="20"/>
                <w:lang w:val="en-CA"/>
              </w:rPr>
              <w:fldChar w:fldCharType="separate"/>
            </w:r>
            <w:r w:rsidRPr="0026329D">
              <w:rPr>
                <w:b/>
                <w:color w:val="000000" w:themeColor="text1"/>
                <w:sz w:val="20"/>
                <w:szCs w:val="20"/>
                <w:lang w:val="en-CA"/>
              </w:rPr>
              <w:t>32,693,71</w:t>
            </w:r>
            <w:r w:rsidRPr="0026329D">
              <w:rPr>
                <w:b/>
                <w:color w:val="000000" w:themeColor="text1"/>
                <w:sz w:val="20"/>
                <w:szCs w:val="20"/>
                <w:lang w:val="en-CA"/>
              </w:rPr>
              <w:fldChar w:fldCharType="end"/>
            </w:r>
            <w:r w:rsidRPr="0026329D">
              <w:rPr>
                <w:b/>
                <w:color w:val="000000" w:themeColor="text1"/>
                <w:sz w:val="20"/>
                <w:szCs w:val="20"/>
                <w:lang w:val="en-CA"/>
              </w:rPr>
              <w:t>0</w:t>
            </w:r>
          </w:p>
        </w:tc>
      </w:tr>
    </w:tbl>
    <w:p w:rsidR="00285DDA" w:rsidRPr="0026329D" w:rsidRDefault="00285DDA" w:rsidP="003927DC">
      <w:pPr>
        <w:widowControl w:val="0"/>
        <w:rPr>
          <w:lang w:val="en-CA"/>
        </w:rPr>
      </w:pPr>
      <w:bookmarkStart w:id="3" w:name="_Toc50989559"/>
    </w:p>
    <w:p w:rsidR="00285DDA" w:rsidRPr="0026329D" w:rsidRDefault="00285DDA" w:rsidP="003927DC">
      <w:pPr>
        <w:pStyle w:val="Heading1"/>
        <w:widowControl w:val="0"/>
        <w:rPr>
          <w:lang w:val="en-CA"/>
        </w:rPr>
      </w:pPr>
      <w:r w:rsidRPr="0026329D">
        <w:rPr>
          <w:lang w:val="en-CA"/>
        </w:rPr>
        <w:t xml:space="preserve">In line with decision 83/61, which requests the phase-out plans to include the specific activities to be implemented by the PMU and the associated funding, a breakdown of the PMU budget of </w:t>
      </w:r>
      <w:r w:rsidR="00475A50" w:rsidRPr="0026329D">
        <w:rPr>
          <w:lang w:val="en-CA"/>
        </w:rPr>
        <w:t>US $</w:t>
      </w:r>
      <w:r w:rsidRPr="0026329D">
        <w:rPr>
          <w:lang w:val="en-CA"/>
        </w:rPr>
        <w:t>1,798,154 is presented in Table 9.</w:t>
      </w:r>
    </w:p>
    <w:p w:rsidR="00285DDA" w:rsidRPr="0026329D" w:rsidRDefault="00285DDA" w:rsidP="003927DC">
      <w:pPr>
        <w:widowControl w:val="0"/>
        <w:rPr>
          <w:b/>
          <w:lang w:val="en-CA"/>
        </w:rPr>
      </w:pPr>
      <w:r w:rsidRPr="0026329D">
        <w:rPr>
          <w:b/>
          <w:lang w:val="en-CA"/>
        </w:rPr>
        <w:t>Table 9. Breakdown of costs for the PMU</w:t>
      </w:r>
    </w:p>
    <w:tbl>
      <w:tblPr>
        <w:tblStyle w:val="TableGrid"/>
        <w:tblW w:w="5000" w:type="pct"/>
        <w:tblLook w:val="04A0" w:firstRow="1" w:lastRow="0" w:firstColumn="1" w:lastColumn="0" w:noHBand="0" w:noVBand="1"/>
      </w:tblPr>
      <w:tblGrid>
        <w:gridCol w:w="6625"/>
        <w:gridCol w:w="2815"/>
      </w:tblGrid>
      <w:tr w:rsidR="00285DDA" w:rsidRPr="0026329D" w:rsidTr="00090F6A">
        <w:trPr>
          <w:trHeight w:val="162"/>
        </w:trPr>
        <w:tc>
          <w:tcPr>
            <w:tcW w:w="3509" w:type="pct"/>
            <w:shd w:val="clear" w:color="auto" w:fill="auto"/>
          </w:tcPr>
          <w:p w:rsidR="00285DDA" w:rsidRPr="0026329D" w:rsidRDefault="00285DDA" w:rsidP="003927DC">
            <w:pPr>
              <w:pStyle w:val="StyleHeader4Para4Left0Firstline0"/>
              <w:numPr>
                <w:ilvl w:val="0"/>
                <w:numId w:val="0"/>
              </w:numPr>
              <w:tabs>
                <w:tab w:val="clear" w:pos="2880"/>
                <w:tab w:val="left" w:pos="0"/>
              </w:tabs>
              <w:spacing w:after="0"/>
              <w:jc w:val="left"/>
              <w:rPr>
                <w:b/>
                <w:szCs w:val="20"/>
                <w:lang w:val="en-CA"/>
              </w:rPr>
            </w:pPr>
            <w:r w:rsidRPr="0026329D">
              <w:rPr>
                <w:b/>
                <w:szCs w:val="20"/>
                <w:lang w:val="en-CA"/>
              </w:rPr>
              <w:t>Particulars</w:t>
            </w:r>
          </w:p>
        </w:tc>
        <w:tc>
          <w:tcPr>
            <w:tcW w:w="1491" w:type="pct"/>
            <w:shd w:val="clear" w:color="auto" w:fill="auto"/>
          </w:tcPr>
          <w:p w:rsidR="00285DDA" w:rsidRPr="0026329D" w:rsidRDefault="00285DDA" w:rsidP="003927DC">
            <w:pPr>
              <w:pStyle w:val="StyleHeader4Para4Left0Firstline0"/>
              <w:numPr>
                <w:ilvl w:val="0"/>
                <w:numId w:val="0"/>
              </w:numPr>
              <w:spacing w:after="0"/>
              <w:jc w:val="center"/>
              <w:rPr>
                <w:b/>
                <w:szCs w:val="20"/>
                <w:lang w:val="en-CA"/>
              </w:rPr>
            </w:pPr>
            <w:r w:rsidRPr="0026329D">
              <w:rPr>
                <w:b/>
                <w:szCs w:val="20"/>
                <w:lang w:val="en-CA"/>
              </w:rPr>
              <w:t>Cost (</w:t>
            </w:r>
            <w:r w:rsidR="00475A50" w:rsidRPr="0026329D">
              <w:rPr>
                <w:b/>
                <w:szCs w:val="20"/>
                <w:lang w:val="en-CA"/>
              </w:rPr>
              <w:t>US $</w:t>
            </w:r>
            <w:r w:rsidRPr="0026329D">
              <w:rPr>
                <w:b/>
                <w:szCs w:val="20"/>
                <w:lang w:val="en-CA"/>
              </w:rPr>
              <w:t>)</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Project staff</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rFonts w:eastAsiaTheme="minorEastAsia"/>
                <w:color w:val="000000" w:themeColor="text1"/>
                <w:szCs w:val="20"/>
                <w:lang w:val="en-CA" w:eastAsia="zh-CN"/>
              </w:rPr>
            </w:pPr>
            <w:r w:rsidRPr="0026329D">
              <w:rPr>
                <w:rFonts w:eastAsiaTheme="minorEastAsia"/>
                <w:color w:val="000000" w:themeColor="text1"/>
                <w:szCs w:val="20"/>
                <w:lang w:val="en-CA" w:eastAsia="zh-CN"/>
              </w:rPr>
              <w:t>623,960</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Domestic travel</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rFonts w:eastAsiaTheme="minorEastAsia"/>
                <w:color w:val="000000" w:themeColor="text1"/>
                <w:szCs w:val="20"/>
                <w:lang w:val="en-CA" w:eastAsia="zh-CN"/>
              </w:rPr>
            </w:pPr>
            <w:r w:rsidRPr="0026329D">
              <w:rPr>
                <w:rFonts w:eastAsiaTheme="minorEastAsia"/>
                <w:color w:val="000000" w:themeColor="text1"/>
                <w:szCs w:val="20"/>
                <w:lang w:val="en-CA" w:eastAsia="zh-CN"/>
              </w:rPr>
              <w:t>75,522</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International travel</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rFonts w:eastAsiaTheme="minorEastAsia"/>
                <w:color w:val="000000" w:themeColor="text1"/>
                <w:szCs w:val="20"/>
                <w:lang w:val="en-CA" w:eastAsia="zh-CN"/>
              </w:rPr>
            </w:pPr>
            <w:r w:rsidRPr="0026329D">
              <w:rPr>
                <w:rFonts w:eastAsiaTheme="minorEastAsia"/>
                <w:color w:val="000000" w:themeColor="text1"/>
                <w:szCs w:val="20"/>
                <w:lang w:val="en-CA" w:eastAsia="zh-CN"/>
              </w:rPr>
              <w:t>8,990</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Domestic meetings</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rFonts w:eastAsiaTheme="minorEastAsia"/>
                <w:color w:val="000000" w:themeColor="text1"/>
                <w:szCs w:val="20"/>
                <w:lang w:val="en-CA" w:eastAsia="zh-CN"/>
              </w:rPr>
            </w:pPr>
            <w:r w:rsidRPr="0026329D">
              <w:rPr>
                <w:rFonts w:eastAsiaTheme="minorEastAsia"/>
                <w:color w:val="000000" w:themeColor="text1"/>
                <w:szCs w:val="20"/>
                <w:lang w:val="en-CA" w:eastAsia="zh-CN"/>
              </w:rPr>
              <w:t>66,532</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Consulting service</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color w:val="000000" w:themeColor="text1"/>
                <w:szCs w:val="20"/>
                <w:lang w:val="en-CA"/>
              </w:rPr>
            </w:pPr>
            <w:r w:rsidRPr="0026329D">
              <w:rPr>
                <w:color w:val="000000" w:themeColor="text1"/>
                <w:szCs w:val="20"/>
                <w:lang w:val="en-CA"/>
              </w:rPr>
              <w:t>59,339</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Support staff</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color w:val="000000" w:themeColor="text1"/>
                <w:szCs w:val="20"/>
                <w:lang w:val="en-CA"/>
              </w:rPr>
            </w:pPr>
            <w:r w:rsidRPr="0026329D">
              <w:rPr>
                <w:color w:val="000000" w:themeColor="text1"/>
                <w:szCs w:val="20"/>
                <w:lang w:val="en-CA"/>
              </w:rPr>
              <w:t>499,887</w:t>
            </w:r>
          </w:p>
        </w:tc>
      </w:tr>
      <w:tr w:rsidR="00285DDA" w:rsidRPr="0026329D" w:rsidTr="00090F6A">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 xml:space="preserve">Computer, internet, post, phone, printing </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color w:val="000000" w:themeColor="text1"/>
                <w:szCs w:val="20"/>
                <w:lang w:val="en-CA"/>
              </w:rPr>
            </w:pPr>
            <w:r w:rsidRPr="0026329D">
              <w:rPr>
                <w:color w:val="000000" w:themeColor="text1"/>
                <w:szCs w:val="20"/>
                <w:lang w:val="en-CA"/>
              </w:rPr>
              <w:t>124,073</w:t>
            </w:r>
          </w:p>
        </w:tc>
      </w:tr>
      <w:tr w:rsidR="00285DDA" w:rsidRPr="0026329D" w:rsidTr="00090F6A">
        <w:trPr>
          <w:trHeight w:val="89"/>
        </w:trPr>
        <w:tc>
          <w:tcPr>
            <w:tcW w:w="3509" w:type="pct"/>
          </w:tcPr>
          <w:p w:rsidR="00285DDA" w:rsidRPr="0026329D" w:rsidRDefault="00285DDA" w:rsidP="003927DC">
            <w:pPr>
              <w:pStyle w:val="StyleHeader4Para4Left0Firstline0"/>
              <w:numPr>
                <w:ilvl w:val="0"/>
                <w:numId w:val="0"/>
              </w:numPr>
              <w:tabs>
                <w:tab w:val="clear" w:pos="2880"/>
                <w:tab w:val="left" w:pos="0"/>
              </w:tabs>
              <w:spacing w:after="0"/>
              <w:rPr>
                <w:szCs w:val="20"/>
                <w:lang w:val="en-CA"/>
              </w:rPr>
            </w:pPr>
            <w:r w:rsidRPr="0026329D">
              <w:rPr>
                <w:szCs w:val="20"/>
                <w:lang w:val="en-CA"/>
              </w:rPr>
              <w:t>Office operation service and maintenance, utilities</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color w:val="000000" w:themeColor="text1"/>
                <w:szCs w:val="20"/>
                <w:lang w:val="en-CA"/>
              </w:rPr>
            </w:pPr>
            <w:r w:rsidRPr="0026329D">
              <w:rPr>
                <w:color w:val="000000" w:themeColor="text1"/>
                <w:szCs w:val="20"/>
                <w:lang w:val="en-CA"/>
              </w:rPr>
              <w:t>339,851</w:t>
            </w:r>
          </w:p>
        </w:tc>
      </w:tr>
      <w:tr w:rsidR="00285DDA" w:rsidRPr="0026329D" w:rsidTr="00090F6A">
        <w:trPr>
          <w:trHeight w:val="35"/>
        </w:trPr>
        <w:tc>
          <w:tcPr>
            <w:tcW w:w="3509" w:type="pct"/>
          </w:tcPr>
          <w:p w:rsidR="00285DDA" w:rsidRPr="0026329D" w:rsidRDefault="00285DDA" w:rsidP="003927DC">
            <w:pPr>
              <w:pStyle w:val="StyleHeader4Para4Left0Firstline0"/>
              <w:numPr>
                <w:ilvl w:val="0"/>
                <w:numId w:val="0"/>
              </w:numPr>
              <w:tabs>
                <w:tab w:val="clear" w:pos="2880"/>
                <w:tab w:val="left" w:pos="0"/>
              </w:tabs>
              <w:spacing w:after="0"/>
              <w:rPr>
                <w:b/>
                <w:szCs w:val="20"/>
                <w:lang w:val="en-CA"/>
              </w:rPr>
            </w:pPr>
            <w:r w:rsidRPr="0026329D">
              <w:rPr>
                <w:b/>
                <w:szCs w:val="20"/>
                <w:lang w:val="en-CA"/>
              </w:rPr>
              <w:t>Total</w:t>
            </w:r>
          </w:p>
        </w:tc>
        <w:tc>
          <w:tcPr>
            <w:tcW w:w="1491" w:type="pct"/>
            <w:tcMar>
              <w:left w:w="115" w:type="dxa"/>
              <w:right w:w="216" w:type="dxa"/>
            </w:tcMar>
          </w:tcPr>
          <w:p w:rsidR="00285DDA" w:rsidRPr="0026329D" w:rsidRDefault="00285DDA" w:rsidP="003927DC">
            <w:pPr>
              <w:pStyle w:val="StyleHeader4Para4Left0Firstline0"/>
              <w:numPr>
                <w:ilvl w:val="0"/>
                <w:numId w:val="0"/>
              </w:numPr>
              <w:spacing w:after="0"/>
              <w:jc w:val="right"/>
              <w:rPr>
                <w:b/>
                <w:szCs w:val="20"/>
                <w:lang w:val="en-CA"/>
              </w:rPr>
            </w:pPr>
            <w:r w:rsidRPr="0026329D">
              <w:rPr>
                <w:b/>
                <w:szCs w:val="20"/>
                <w:lang w:val="en-CA"/>
              </w:rPr>
              <w:t>1,798,154</w:t>
            </w:r>
          </w:p>
        </w:tc>
      </w:tr>
    </w:tbl>
    <w:p w:rsidR="00285DDA" w:rsidRPr="0026329D" w:rsidRDefault="00285DDA" w:rsidP="00E2305C">
      <w:pPr>
        <w:pStyle w:val="2a"/>
        <w:spacing w:before="240"/>
        <w:rPr>
          <w:color w:val="000000" w:themeColor="text1"/>
          <w:sz w:val="22"/>
          <w:szCs w:val="22"/>
          <w:lang w:val="en-CA"/>
        </w:rPr>
      </w:pPr>
      <w:r w:rsidRPr="0026329D">
        <w:rPr>
          <w:color w:val="000000" w:themeColor="text1"/>
          <w:sz w:val="22"/>
          <w:szCs w:val="22"/>
          <w:lang w:val="en-CA"/>
        </w:rPr>
        <w:t>Co-funding</w:t>
      </w:r>
      <w:bookmarkEnd w:id="3"/>
    </w:p>
    <w:p w:rsidR="00285DDA" w:rsidRPr="0026329D" w:rsidRDefault="00285DDA" w:rsidP="00E2305C">
      <w:pPr>
        <w:pStyle w:val="Heading1"/>
        <w:keepNext/>
        <w:keepLines/>
        <w:widowControl w:val="0"/>
        <w:rPr>
          <w:lang w:val="en-CA" w:eastAsia="zh-CN"/>
        </w:rPr>
      </w:pPr>
      <w:r w:rsidRPr="0026329D">
        <w:rPr>
          <w:lang w:val="en-CA"/>
        </w:rPr>
        <w:t>The cost of the revised</w:t>
      </w:r>
      <w:r w:rsidR="00162D38" w:rsidRPr="0026329D">
        <w:rPr>
          <w:lang w:val="en-CA"/>
        </w:rPr>
        <w:t xml:space="preserve"> extended</w:t>
      </w:r>
      <w:r w:rsidRPr="0026329D">
        <w:rPr>
          <w:lang w:val="en-CA"/>
        </w:rPr>
        <w:t xml:space="preserve"> </w:t>
      </w:r>
      <w:r w:rsidR="00A81DEE" w:rsidRPr="0026329D">
        <w:rPr>
          <w:lang w:val="en-CA"/>
        </w:rPr>
        <w:t>stage </w:t>
      </w:r>
      <w:r w:rsidRPr="0026329D">
        <w:rPr>
          <w:lang w:val="en-CA"/>
        </w:rPr>
        <w:t>II ICR sector plan was estimated based on the cost</w:t>
      </w:r>
      <w:r w:rsidR="002979AE">
        <w:rPr>
          <w:lang w:val="en-CA"/>
        </w:rPr>
        <w:noBreakHyphen/>
      </w:r>
      <w:r w:rsidRPr="0026329D">
        <w:rPr>
          <w:lang w:val="en-CA"/>
        </w:rPr>
        <w:t xml:space="preserve">effectiveness (CE) of implemented projects and the available funding. The actual cost will be higher than the funding requested. To ensure smooth, efficient and successful implementation of the sector plan, enterprises must raise additional funding by themselves. </w:t>
      </w:r>
    </w:p>
    <w:p w:rsidR="00285DDA" w:rsidRPr="0026329D" w:rsidRDefault="000B7D3D" w:rsidP="003927DC">
      <w:pPr>
        <w:widowControl w:val="0"/>
        <w:rPr>
          <w:b/>
          <w:szCs w:val="32"/>
          <w:lang w:val="en-CA"/>
        </w:rPr>
      </w:pPr>
      <w:r w:rsidRPr="0026329D">
        <w:rPr>
          <w:b/>
          <w:szCs w:val="32"/>
          <w:lang w:val="en-CA"/>
        </w:rPr>
        <w:t>Secretariat’s comments</w:t>
      </w:r>
    </w:p>
    <w:p w:rsidR="00285DDA" w:rsidRPr="0026329D" w:rsidRDefault="00285DDA" w:rsidP="003927DC">
      <w:pPr>
        <w:widowControl w:val="0"/>
        <w:rPr>
          <w:b/>
          <w:szCs w:val="32"/>
          <w:lang w:val="en-CA"/>
        </w:rPr>
      </w:pPr>
    </w:p>
    <w:p w:rsidR="00285DDA" w:rsidRPr="0026329D" w:rsidRDefault="00285DDA" w:rsidP="003927DC">
      <w:pPr>
        <w:widowControl w:val="0"/>
        <w:rPr>
          <w:szCs w:val="32"/>
          <w:u w:val="single"/>
          <w:lang w:val="en-CA"/>
        </w:rPr>
      </w:pPr>
      <w:r w:rsidRPr="0026329D">
        <w:rPr>
          <w:szCs w:val="32"/>
          <w:u w:val="single"/>
          <w:lang w:val="en-CA"/>
        </w:rPr>
        <w:t>The commitment to meeting compliance targets</w:t>
      </w:r>
    </w:p>
    <w:p w:rsidR="00285DDA" w:rsidRPr="0026329D" w:rsidRDefault="00285DDA" w:rsidP="003927DC">
      <w:pPr>
        <w:widowControl w:val="0"/>
        <w:rPr>
          <w:szCs w:val="32"/>
          <w:u w:val="single"/>
          <w:lang w:val="en-CA"/>
        </w:rPr>
      </w:pPr>
    </w:p>
    <w:p w:rsidR="00285DDA" w:rsidRPr="0026329D" w:rsidRDefault="00285DDA" w:rsidP="003927DC">
      <w:pPr>
        <w:pStyle w:val="Heading1"/>
        <w:widowControl w:val="0"/>
        <w:rPr>
          <w:lang w:val="en-CA"/>
        </w:rPr>
      </w:pPr>
      <w:r w:rsidRPr="0026329D">
        <w:rPr>
          <w:lang w:val="en-CA"/>
        </w:rPr>
        <w:t xml:space="preserve">The consumption targets proposed for the ICR sector are in accordance with the Montreal Protocol phase-out schedule. The submission highlighted several challenges, including: the complexity of the sector with its wide range of non-standard products and significant difference in the configuration of the manufacturing lines; the high number of SMEs with limited technical capability; the limited number of viable alternative low-GWP technologies; and the limited resources available. However, UNDP confirmed that the Government is committed to meeting the compliance targets in the Montreal Protocol and those in its Agreement with the Executive Committee. </w:t>
      </w:r>
    </w:p>
    <w:p w:rsidR="00285DDA" w:rsidRPr="0026329D" w:rsidRDefault="00285DDA" w:rsidP="003927DC">
      <w:pPr>
        <w:pStyle w:val="Heading1"/>
        <w:widowControl w:val="0"/>
        <w:numPr>
          <w:ilvl w:val="0"/>
          <w:numId w:val="0"/>
        </w:numPr>
        <w:rPr>
          <w:u w:val="single"/>
          <w:lang w:val="en-CA"/>
        </w:rPr>
      </w:pPr>
      <w:r w:rsidRPr="0026329D">
        <w:rPr>
          <w:u w:val="single"/>
          <w:lang w:val="en-CA"/>
        </w:rPr>
        <w:t xml:space="preserve">Completion of </w:t>
      </w:r>
      <w:r w:rsidR="00A81DEE" w:rsidRPr="0026329D">
        <w:rPr>
          <w:u w:val="single"/>
          <w:lang w:val="en-CA"/>
        </w:rPr>
        <w:t>stage </w:t>
      </w:r>
      <w:r w:rsidRPr="0026329D">
        <w:rPr>
          <w:u w:val="single"/>
          <w:lang w:val="en-CA"/>
        </w:rPr>
        <w:t>I of the ICR sector plan</w:t>
      </w:r>
    </w:p>
    <w:p w:rsidR="00285DDA" w:rsidRPr="0026329D" w:rsidRDefault="00285DDA" w:rsidP="003927DC">
      <w:pPr>
        <w:pStyle w:val="Heading1"/>
        <w:widowControl w:val="0"/>
        <w:rPr>
          <w:rFonts w:eastAsiaTheme="minorEastAsia"/>
          <w:lang w:val="en-CA" w:eastAsia="zh-CN"/>
        </w:rPr>
      </w:pPr>
      <w:r w:rsidRPr="0026329D">
        <w:rPr>
          <w:lang w:val="en-CA"/>
        </w:rPr>
        <w:t xml:space="preserve">Upon an enquiry on the disbursement of IOC and on production with alternative technologies on the converted lines in </w:t>
      </w:r>
      <w:r w:rsidR="00A81DEE" w:rsidRPr="0026329D">
        <w:rPr>
          <w:lang w:val="en-CA"/>
        </w:rPr>
        <w:t>stage </w:t>
      </w:r>
      <w:r w:rsidRPr="0026329D">
        <w:rPr>
          <w:lang w:val="en-CA"/>
        </w:rPr>
        <w:t>I, UNDP explained that a</w:t>
      </w:r>
      <w:r w:rsidRPr="0026329D">
        <w:rPr>
          <w:rFonts w:eastAsiaTheme="minorEastAsia"/>
          <w:lang w:val="en-CA" w:eastAsia="zh-CN"/>
        </w:rPr>
        <w:t xml:space="preserve">ll disbursement of IOC is based on the products manufactured and sold; all the funds have been committed and partial IOC have been disbursed to the outstanding 15 manufacturing lines converted to HFC-32. The sales of HFC-32 products are limited, but the enterprises are actively taking action to promote marketing. There is no issue in market adoption for the products converted to other alternative technologies in </w:t>
      </w:r>
      <w:r w:rsidR="00A81DEE" w:rsidRPr="0026329D">
        <w:rPr>
          <w:rFonts w:eastAsiaTheme="minorEastAsia"/>
          <w:lang w:val="en-CA" w:eastAsia="zh-CN"/>
        </w:rPr>
        <w:t>stage </w:t>
      </w:r>
      <w:r w:rsidRPr="0026329D">
        <w:rPr>
          <w:rFonts w:eastAsiaTheme="minorEastAsia"/>
          <w:lang w:val="en-CA" w:eastAsia="zh-CN"/>
        </w:rPr>
        <w:t xml:space="preserve">I. </w:t>
      </w:r>
    </w:p>
    <w:p w:rsidR="00285DDA" w:rsidRPr="0026329D" w:rsidRDefault="00285DDA" w:rsidP="003927DC">
      <w:pPr>
        <w:pStyle w:val="Heading1"/>
        <w:widowControl w:val="0"/>
        <w:rPr>
          <w:lang w:val="en-CA"/>
        </w:rPr>
      </w:pPr>
      <w:r w:rsidRPr="0026329D">
        <w:rPr>
          <w:lang w:val="en-CA" w:eastAsia="zh-CN"/>
        </w:rPr>
        <w:t>The Secretariat noted that a PCR has been submitted to the 85</w:t>
      </w:r>
      <w:r w:rsidRPr="0026329D">
        <w:rPr>
          <w:vertAlign w:val="superscript"/>
          <w:lang w:val="en-CA" w:eastAsia="zh-CN"/>
        </w:rPr>
        <w:t>th</w:t>
      </w:r>
      <w:r w:rsidRPr="0026329D">
        <w:rPr>
          <w:lang w:val="en-CA" w:eastAsia="zh-CN"/>
        </w:rPr>
        <w:t xml:space="preserve"> meeting and enquired about the estimated level of funding to be returned upon financial completion. UNDP reported that, </w:t>
      </w:r>
      <w:r w:rsidRPr="0026329D">
        <w:rPr>
          <w:lang w:val="en-CA"/>
        </w:rPr>
        <w:t>as of 1 October 2020, all the funds have been disbursed except for the committed IOCs. T</w:t>
      </w:r>
      <w:r w:rsidRPr="0026329D">
        <w:rPr>
          <w:lang w:val="en-CA" w:eastAsia="zh-CN"/>
        </w:rPr>
        <w:t xml:space="preserve">he outbreak of the </w:t>
      </w:r>
      <w:r w:rsidRPr="0026329D">
        <w:rPr>
          <w:lang w:val="en-CA"/>
        </w:rPr>
        <w:t xml:space="preserve">COVID-19 pandemic has impacted the production and sales in the converted lines and the resumption of production and sales is slow. The undisbursed balance stands at </w:t>
      </w:r>
      <w:r w:rsidR="00475A50" w:rsidRPr="0026329D">
        <w:rPr>
          <w:lang w:val="en-CA"/>
        </w:rPr>
        <w:t>US $</w:t>
      </w:r>
      <w:r w:rsidRPr="0026329D">
        <w:rPr>
          <w:lang w:val="en-CA"/>
        </w:rPr>
        <w:t>3,731,830. D</w:t>
      </w:r>
      <w:r w:rsidRPr="0026329D">
        <w:rPr>
          <w:lang w:val="en-CA" w:eastAsia="zh-CN"/>
        </w:rPr>
        <w:t>epending on how the market recovers and the sales demand, t</w:t>
      </w:r>
      <w:r w:rsidRPr="0026329D">
        <w:rPr>
          <w:lang w:val="en-CA"/>
        </w:rPr>
        <w:t>he disbursement of IOC</w:t>
      </w:r>
      <w:r w:rsidRPr="0026329D">
        <w:rPr>
          <w:lang w:val="en-CA" w:eastAsia="zh-CN"/>
        </w:rPr>
        <w:t xml:space="preserve"> is expected to be </w:t>
      </w:r>
      <w:r w:rsidRPr="0026329D">
        <w:rPr>
          <w:lang w:val="en-CA"/>
        </w:rPr>
        <w:t xml:space="preserve">completed by 31 December 2021. </w:t>
      </w:r>
    </w:p>
    <w:p w:rsidR="00285DDA" w:rsidRPr="0026329D" w:rsidRDefault="00285DDA" w:rsidP="003927DC">
      <w:pPr>
        <w:pStyle w:val="Heading1"/>
        <w:widowControl w:val="0"/>
        <w:numPr>
          <w:ilvl w:val="0"/>
          <w:numId w:val="0"/>
        </w:numPr>
        <w:rPr>
          <w:szCs w:val="32"/>
          <w:u w:val="single"/>
          <w:lang w:val="en-CA"/>
        </w:rPr>
      </w:pPr>
      <w:r w:rsidRPr="0026329D">
        <w:rPr>
          <w:szCs w:val="32"/>
          <w:u w:val="single"/>
          <w:lang w:val="en-CA"/>
        </w:rPr>
        <w:t>Overarching strategy and sustainability</w:t>
      </w:r>
    </w:p>
    <w:p w:rsidR="00285DDA" w:rsidRPr="0026329D" w:rsidRDefault="00285DDA" w:rsidP="003927DC">
      <w:pPr>
        <w:pStyle w:val="Heading1"/>
        <w:widowControl w:val="0"/>
        <w:rPr>
          <w:lang w:val="en-CA"/>
        </w:rPr>
      </w:pPr>
      <w:r w:rsidRPr="0026329D">
        <w:rPr>
          <w:lang w:val="en-CA"/>
        </w:rPr>
        <w:t xml:space="preserve">The Secretariat further notes that the revised </w:t>
      </w:r>
      <w:r w:rsidR="00A81DEE" w:rsidRPr="0026329D">
        <w:rPr>
          <w:lang w:val="en-CA"/>
        </w:rPr>
        <w:t>stage </w:t>
      </w:r>
      <w:r w:rsidRPr="0026329D">
        <w:rPr>
          <w:lang w:val="en-CA"/>
        </w:rPr>
        <w:t xml:space="preserve">II of the ICR sector plan covers the period from 2021 to 2026, and enquired how the revised </w:t>
      </w:r>
      <w:r w:rsidR="00A81DEE" w:rsidRPr="0026329D">
        <w:rPr>
          <w:lang w:val="en-CA"/>
        </w:rPr>
        <w:t>stage </w:t>
      </w:r>
      <w:r w:rsidRPr="0026329D">
        <w:rPr>
          <w:lang w:val="en-CA"/>
        </w:rPr>
        <w:t xml:space="preserve">II would be connected with the activities already implemented in the original approved </w:t>
      </w:r>
      <w:r w:rsidR="00A81DEE" w:rsidRPr="0026329D">
        <w:rPr>
          <w:lang w:val="en-CA"/>
        </w:rPr>
        <w:t>stage </w:t>
      </w:r>
      <w:r w:rsidRPr="0026329D">
        <w:rPr>
          <w:lang w:val="en-CA"/>
        </w:rPr>
        <w:t xml:space="preserve">II. UNDP explained that the original </w:t>
      </w:r>
      <w:r w:rsidR="00A81DEE" w:rsidRPr="0026329D">
        <w:rPr>
          <w:lang w:val="en-CA"/>
        </w:rPr>
        <w:t>stage </w:t>
      </w:r>
      <w:r w:rsidRPr="0026329D">
        <w:rPr>
          <w:lang w:val="en-CA"/>
        </w:rPr>
        <w:t xml:space="preserve">II of the ICR sector plan aimed at reducing 480.5 ODP tonnes of HCFCs by 2021; so far, 18 manufacturing lines have undertaken conversions and will result in a reduction of 140.66 ODP tonnes (2,557.42 mt) of HCFC-22. Considering that there was no new funding released for the period from 2018 to 2020, the remaining tonnage of 339.83 ODP tonnes has been phased out through policy measures. The Government has issued production and consumption quotas for 2020 to achieve the control target. </w:t>
      </w:r>
    </w:p>
    <w:p w:rsidR="00285DDA" w:rsidRPr="0026329D" w:rsidRDefault="00285DDA" w:rsidP="003927DC">
      <w:pPr>
        <w:pStyle w:val="Heading1"/>
        <w:widowControl w:val="0"/>
        <w:rPr>
          <w:lang w:val="en-CA"/>
        </w:rPr>
      </w:pPr>
      <w:r w:rsidRPr="0026329D">
        <w:rPr>
          <w:lang w:val="en-CA"/>
        </w:rPr>
        <w:t xml:space="preserve">In the revised </w:t>
      </w:r>
      <w:r w:rsidR="00162D38" w:rsidRPr="0026329D">
        <w:rPr>
          <w:lang w:val="en-CA"/>
        </w:rPr>
        <w:t xml:space="preserve">extended </w:t>
      </w:r>
      <w:r w:rsidR="00A81DEE" w:rsidRPr="0026329D">
        <w:rPr>
          <w:lang w:val="en-CA"/>
        </w:rPr>
        <w:t>stage </w:t>
      </w:r>
      <w:r w:rsidRPr="0026329D">
        <w:rPr>
          <w:lang w:val="en-CA"/>
        </w:rPr>
        <w:t xml:space="preserve">II, more funding has been allocated to TA activities (11 per cent) as compared to the amount planned in the original </w:t>
      </w:r>
      <w:r w:rsidR="00A81DEE" w:rsidRPr="0026329D">
        <w:rPr>
          <w:lang w:val="en-CA"/>
        </w:rPr>
        <w:t>stage </w:t>
      </w:r>
      <w:r w:rsidRPr="0026329D">
        <w:rPr>
          <w:lang w:val="en-CA"/>
        </w:rPr>
        <w:t xml:space="preserve">II (7 per cent). The TA and awareness-raising activities are expected to disseminate the outcomes of the conversions, and support the further scale-up and market penetration of the conversion technologies so that more enterprises will convert their manufacturing lines with their own funding through technical support. Given the challenges facing the implementation, the Secretariat considers this shift meaningful. </w:t>
      </w:r>
    </w:p>
    <w:p w:rsidR="00285DDA" w:rsidRPr="0026329D" w:rsidRDefault="00285DDA" w:rsidP="003927DC">
      <w:pPr>
        <w:pStyle w:val="Heading1"/>
        <w:widowControl w:val="0"/>
        <w:rPr>
          <w:lang w:val="en-CA"/>
        </w:rPr>
      </w:pPr>
      <w:r w:rsidRPr="0026329D">
        <w:rPr>
          <w:lang w:val="en-CA"/>
        </w:rPr>
        <w:t>Noting that, in the revised</w:t>
      </w:r>
      <w:r w:rsidR="00162D38" w:rsidRPr="0026329D">
        <w:rPr>
          <w:lang w:val="en-CA"/>
        </w:rPr>
        <w:t xml:space="preserve"> extended</w:t>
      </w:r>
      <w:r w:rsidRPr="0026329D">
        <w:rPr>
          <w:lang w:val="en-CA"/>
        </w:rPr>
        <w:t xml:space="preserve"> </w:t>
      </w:r>
      <w:r w:rsidR="00A81DEE" w:rsidRPr="0026329D">
        <w:rPr>
          <w:lang w:val="en-CA"/>
        </w:rPr>
        <w:t>stage </w:t>
      </w:r>
      <w:r w:rsidRPr="0026329D">
        <w:rPr>
          <w:lang w:val="en-CA"/>
        </w:rPr>
        <w:t>II, 13,245.28 mt of consumption will be phased out through TA and policy measures, the Secretariat enquired about what proportion of this amount would be converted to low</w:t>
      </w:r>
      <w:r w:rsidRPr="0026329D">
        <w:rPr>
          <w:lang w:val="en-CA"/>
        </w:rPr>
        <w:noBreakHyphen/>
        <w:t>GWP alternatives, and how the phase-out would be managed and monitored. UNDP responded that the selection of alternative technologies for the unfunded manufacturing lines is determined by market demand, making it difficult to give a proportion at the present time. During implementation, the Government will continue to encourage enterprises to adopt low-GWP alternative technologies through TA activities and policy measures. UNDP also explained that the overarching strategy is based on three strategies that are complementary and should not be dissociated: policy enforcement of the consumption quota and other policy measures as required to support the phase-out; TA activities geared to technology application, technical and financial demonstration, and the removal of barriers for upscaling with co</w:t>
      </w:r>
      <w:r w:rsidRPr="0026329D">
        <w:rPr>
          <w:lang w:val="en-CA"/>
        </w:rPr>
        <w:noBreakHyphen/>
        <w:t xml:space="preserve">financing from companies; and management and monitoring including strengthening the management capacity of local EEBs, issuing relevant standards, issuing the Guidelines on the Supervision of Ozone Depleting Substances (trial basis), revising the recommended list of key HCFC alternatives, developing and revising relevant environmental green labels, green environmental products and Government procurement catalogues, and developing policy recommendations, and preparing conversion guidelines for SMEs. </w:t>
      </w:r>
    </w:p>
    <w:p w:rsidR="00285DDA" w:rsidRPr="0026329D" w:rsidRDefault="00285DDA" w:rsidP="003927DC">
      <w:pPr>
        <w:keepNext/>
        <w:rPr>
          <w:u w:val="single"/>
          <w:lang w:val="en-CA"/>
        </w:rPr>
      </w:pPr>
      <w:r w:rsidRPr="0026329D">
        <w:rPr>
          <w:u w:val="single"/>
          <w:lang w:val="en-CA"/>
        </w:rPr>
        <w:t>Selection of alternative technology</w:t>
      </w:r>
    </w:p>
    <w:p w:rsidR="00285DDA" w:rsidRPr="0026329D" w:rsidRDefault="00285DDA" w:rsidP="003927DC">
      <w:pPr>
        <w:widowControl w:val="0"/>
        <w:rPr>
          <w:u w:val="single"/>
          <w:lang w:val="en-CA"/>
        </w:rPr>
      </w:pPr>
    </w:p>
    <w:p w:rsidR="00285DDA" w:rsidRPr="0026329D" w:rsidRDefault="00285DDA" w:rsidP="003927DC">
      <w:pPr>
        <w:pStyle w:val="Heading1"/>
        <w:widowControl w:val="0"/>
        <w:rPr>
          <w:color w:val="000000" w:themeColor="text1"/>
          <w:lang w:val="en-CA"/>
        </w:rPr>
      </w:pPr>
      <w:r w:rsidRPr="0026329D">
        <w:rPr>
          <w:lang w:val="en-CA"/>
        </w:rPr>
        <w:t xml:space="preserve">The low-GWP alternative technologies selected for the funded conversions in the revised </w:t>
      </w:r>
      <w:r w:rsidR="00A81DEE" w:rsidRPr="0026329D">
        <w:rPr>
          <w:lang w:val="en-CA"/>
        </w:rPr>
        <w:t>stage </w:t>
      </w:r>
      <w:r w:rsidRPr="0026329D">
        <w:rPr>
          <w:lang w:val="en-CA"/>
        </w:rPr>
        <w:t>II were modified to include R-513A and CO</w:t>
      </w:r>
      <w:r w:rsidRPr="0026329D">
        <w:rPr>
          <w:vertAlign w:val="subscript"/>
          <w:lang w:val="en-CA"/>
        </w:rPr>
        <w:t>2</w:t>
      </w:r>
      <w:r w:rsidRPr="0026329D">
        <w:rPr>
          <w:lang w:val="en-CA"/>
        </w:rPr>
        <w:t xml:space="preserve">/R-134a. The Secretariat noted that both technologies had been used for the conversion of manufacturing lines in either </w:t>
      </w:r>
      <w:r w:rsidR="00A81DEE" w:rsidRPr="0026329D">
        <w:rPr>
          <w:lang w:val="en-CA"/>
        </w:rPr>
        <w:t>stage </w:t>
      </w:r>
      <w:r w:rsidRPr="0026329D">
        <w:rPr>
          <w:lang w:val="en-CA"/>
        </w:rPr>
        <w:t xml:space="preserve">I or </w:t>
      </w:r>
      <w:r w:rsidR="00A81DEE" w:rsidRPr="0026329D">
        <w:rPr>
          <w:lang w:val="en-CA"/>
        </w:rPr>
        <w:t>stage </w:t>
      </w:r>
      <w:r w:rsidRPr="0026329D">
        <w:rPr>
          <w:lang w:val="en-CA"/>
        </w:rPr>
        <w:t>II, and therefore a certain amount of experience had been accumulated. As previously reported,</w:t>
      </w:r>
      <w:r w:rsidRPr="0026329D">
        <w:rPr>
          <w:rStyle w:val="FootnoteReference"/>
          <w:lang w:val="en-CA"/>
        </w:rPr>
        <w:footnoteReference w:id="12"/>
      </w:r>
      <w:r w:rsidRPr="0026329D">
        <w:rPr>
          <w:lang w:val="en-CA"/>
        </w:rPr>
        <w:t xml:space="preserve"> the selection of CO</w:t>
      </w:r>
      <w:r w:rsidRPr="0026329D">
        <w:rPr>
          <w:vertAlign w:val="subscript"/>
          <w:lang w:val="en-CA"/>
        </w:rPr>
        <w:t>2</w:t>
      </w:r>
      <w:r w:rsidRPr="0026329D">
        <w:rPr>
          <w:lang w:val="en-CA"/>
        </w:rPr>
        <w:t xml:space="preserve">/HFC-134a was due to the fact that many SMEs lack the technical </w:t>
      </w:r>
      <w:r w:rsidRPr="0026329D">
        <w:rPr>
          <w:color w:val="000000" w:themeColor="text1"/>
          <w:lang w:val="en-CA"/>
        </w:rPr>
        <w:t>capacity to handle NH3; CO</w:t>
      </w:r>
      <w:r w:rsidRPr="0026329D">
        <w:rPr>
          <w:color w:val="000000" w:themeColor="text1"/>
          <w:vertAlign w:val="subscript"/>
          <w:lang w:val="en-CA"/>
        </w:rPr>
        <w:t>2</w:t>
      </w:r>
      <w:r w:rsidRPr="0026329D">
        <w:rPr>
          <w:color w:val="000000" w:themeColor="text1"/>
          <w:lang w:val="en-CA"/>
        </w:rPr>
        <w:t>/HFC-32 will also be explored to minimize climate impact of this option. The use of R-513A was due to the safety and viability of the technology, as HFO</w:t>
      </w:r>
      <w:r w:rsidRPr="0026329D">
        <w:rPr>
          <w:color w:val="000000" w:themeColor="text1"/>
          <w:lang w:val="en-CA"/>
        </w:rPr>
        <w:noBreakHyphen/>
        <w:t xml:space="preserve">1234yf has mild flammability and is not available on the market. </w:t>
      </w:r>
    </w:p>
    <w:p w:rsidR="00285DDA" w:rsidRPr="0026329D" w:rsidRDefault="00285DDA" w:rsidP="00285DDA">
      <w:pPr>
        <w:pStyle w:val="Heading1"/>
        <w:keepNext/>
        <w:keepLines/>
        <w:numPr>
          <w:ilvl w:val="0"/>
          <w:numId w:val="0"/>
        </w:numPr>
        <w:rPr>
          <w:color w:val="000000" w:themeColor="text1"/>
          <w:u w:val="single"/>
          <w:lang w:val="en-CA"/>
        </w:rPr>
      </w:pPr>
      <w:r w:rsidRPr="0026329D">
        <w:rPr>
          <w:color w:val="000000" w:themeColor="text1"/>
          <w:u w:val="single"/>
          <w:lang w:val="en-CA"/>
        </w:rPr>
        <w:t xml:space="preserve">Technical and cost-related issues </w:t>
      </w:r>
    </w:p>
    <w:p w:rsidR="00285DDA" w:rsidRPr="0026329D" w:rsidRDefault="00285DDA" w:rsidP="00285DDA">
      <w:pPr>
        <w:pStyle w:val="Heading1"/>
        <w:keepNext/>
        <w:keepLines/>
        <w:rPr>
          <w:rFonts w:eastAsiaTheme="minorEastAsia"/>
          <w:color w:val="000000" w:themeColor="text1"/>
          <w:lang w:val="en-CA" w:eastAsia="zh-CN"/>
        </w:rPr>
      </w:pPr>
      <w:r w:rsidRPr="0026329D">
        <w:rPr>
          <w:color w:val="000000" w:themeColor="text1"/>
          <w:lang w:val="en-CA"/>
        </w:rPr>
        <w:t xml:space="preserve">For the revised </w:t>
      </w:r>
      <w:r w:rsidR="00162D38" w:rsidRPr="0026329D">
        <w:rPr>
          <w:color w:val="000000" w:themeColor="text1"/>
          <w:lang w:val="en-CA"/>
        </w:rPr>
        <w:t xml:space="preserve">extended </w:t>
      </w:r>
      <w:r w:rsidR="00A81DEE" w:rsidRPr="0026329D">
        <w:rPr>
          <w:color w:val="000000" w:themeColor="text1"/>
          <w:lang w:val="en-CA"/>
        </w:rPr>
        <w:t>stage </w:t>
      </w:r>
      <w:r w:rsidRPr="0026329D">
        <w:rPr>
          <w:color w:val="000000" w:themeColor="text1"/>
          <w:lang w:val="en-CA"/>
        </w:rPr>
        <w:t xml:space="preserve">II of the ICR sector plan, ICC will account for 85 per cent of the conversion cost and IOC for 15 per cent, while this ratio was 70 to 30 per cent in the original </w:t>
      </w:r>
      <w:r w:rsidR="00A81DEE" w:rsidRPr="0026329D">
        <w:rPr>
          <w:color w:val="000000" w:themeColor="text1"/>
          <w:lang w:val="en-CA"/>
        </w:rPr>
        <w:t>stage </w:t>
      </w:r>
      <w:r w:rsidRPr="0026329D">
        <w:rPr>
          <w:color w:val="000000" w:themeColor="text1"/>
          <w:lang w:val="en-CA"/>
        </w:rPr>
        <w:t xml:space="preserve">II. UNDP explained that this funding allocation strategy is based on the consideration that the ICR sector has multiple </w:t>
      </w:r>
      <w:r w:rsidRPr="0026329D">
        <w:rPr>
          <w:rFonts w:eastAsiaTheme="minorEastAsia"/>
          <w:color w:val="000000" w:themeColor="text1"/>
          <w:lang w:val="en-CA" w:eastAsia="zh-CN"/>
        </w:rPr>
        <w:t xml:space="preserve">product types and </w:t>
      </w:r>
      <w:r w:rsidRPr="0026329D">
        <w:rPr>
          <w:color w:val="000000" w:themeColor="text1"/>
          <w:lang w:val="en-CA"/>
        </w:rPr>
        <w:t>complicated conversion processes, and the limited resources would need to be used to support the conversion in SMEs so that the ICR industry can smoothly phase out HCFCs</w:t>
      </w:r>
      <w:r w:rsidRPr="0026329D">
        <w:rPr>
          <w:rFonts w:eastAsiaTheme="minorEastAsia"/>
          <w:color w:val="000000" w:themeColor="text1"/>
          <w:lang w:val="en-CA" w:eastAsia="zh-CN"/>
        </w:rPr>
        <w:t xml:space="preserve">. While recognizing that the IOC can encourage </w:t>
      </w:r>
      <w:bookmarkStart w:id="4" w:name="_Hlk52201447"/>
      <w:r w:rsidRPr="0026329D">
        <w:rPr>
          <w:rFonts w:eastAsiaTheme="minorEastAsia"/>
          <w:color w:val="000000" w:themeColor="text1"/>
          <w:lang w:val="en-CA" w:eastAsia="zh-CN"/>
        </w:rPr>
        <w:t>production and sales</w:t>
      </w:r>
      <w:bookmarkEnd w:id="4"/>
      <w:r w:rsidRPr="0026329D">
        <w:rPr>
          <w:rFonts w:eastAsiaTheme="minorEastAsia"/>
          <w:color w:val="000000" w:themeColor="text1"/>
          <w:lang w:val="en-CA" w:eastAsia="zh-CN"/>
        </w:rPr>
        <w:t xml:space="preserve"> to some extent, this incentive also has limitations, as the IOC is paid for one year only and based on the previous year’s production, not considering the increased demand for products over time. The market promotion of alternative technology is a long-term process; the production and sales of equipment with alternative technology depend more on end-user acceptance of the technology, which is why enhanced TA and policy measures have been planned to promote market penetration. </w:t>
      </w:r>
    </w:p>
    <w:p w:rsidR="00285DDA" w:rsidRPr="0026329D" w:rsidRDefault="00285DDA" w:rsidP="00E2305C">
      <w:pPr>
        <w:pStyle w:val="Heading1"/>
        <w:widowControl w:val="0"/>
        <w:rPr>
          <w:rFonts w:eastAsiaTheme="minorEastAsia"/>
          <w:color w:val="000000" w:themeColor="text1"/>
          <w:lang w:val="en-CA" w:eastAsia="zh-CN"/>
        </w:rPr>
      </w:pPr>
      <w:r w:rsidRPr="0026329D">
        <w:rPr>
          <w:color w:val="000000" w:themeColor="text1"/>
          <w:lang w:val="en-CA"/>
        </w:rPr>
        <w:t xml:space="preserve">The overall CE of the revised </w:t>
      </w:r>
      <w:r w:rsidR="00162D38" w:rsidRPr="0026329D">
        <w:rPr>
          <w:color w:val="000000" w:themeColor="text1"/>
          <w:lang w:val="en-CA"/>
        </w:rPr>
        <w:t xml:space="preserve">extended </w:t>
      </w:r>
      <w:r w:rsidR="00A81DEE" w:rsidRPr="0026329D">
        <w:rPr>
          <w:color w:val="000000" w:themeColor="text1"/>
          <w:lang w:val="en-CA"/>
        </w:rPr>
        <w:t>stage </w:t>
      </w:r>
      <w:r w:rsidRPr="0026329D">
        <w:rPr>
          <w:color w:val="000000" w:themeColor="text1"/>
          <w:lang w:val="en-CA"/>
        </w:rPr>
        <w:t xml:space="preserve">II is </w:t>
      </w:r>
      <w:r w:rsidR="00475A50" w:rsidRPr="0026329D">
        <w:rPr>
          <w:color w:val="000000" w:themeColor="text1"/>
          <w:lang w:val="en-CA"/>
        </w:rPr>
        <w:t>US $</w:t>
      </w:r>
      <w:r w:rsidRPr="0026329D">
        <w:rPr>
          <w:color w:val="000000" w:themeColor="text1"/>
          <w:lang w:val="en-CA"/>
        </w:rPr>
        <w:t xml:space="preserve">2.15/kg as compared to the </w:t>
      </w:r>
      <w:r w:rsidR="00475A50" w:rsidRPr="0026329D">
        <w:rPr>
          <w:lang w:val="en-CA"/>
        </w:rPr>
        <w:t>US $</w:t>
      </w:r>
      <w:r w:rsidRPr="0026329D">
        <w:rPr>
          <w:lang w:val="en-CA"/>
        </w:rPr>
        <w:t xml:space="preserve">10.10/kg in the original </w:t>
      </w:r>
      <w:r w:rsidR="00A81DEE" w:rsidRPr="0026329D">
        <w:rPr>
          <w:lang w:val="en-CA"/>
        </w:rPr>
        <w:t>stage </w:t>
      </w:r>
      <w:r w:rsidRPr="0026329D">
        <w:rPr>
          <w:lang w:val="en-CA"/>
        </w:rPr>
        <w:t xml:space="preserve">II; while the CE of the conversions to low-GWP technologies is </w:t>
      </w:r>
      <w:r w:rsidR="00475A50" w:rsidRPr="0026329D">
        <w:rPr>
          <w:lang w:val="en-CA"/>
        </w:rPr>
        <w:t>US $</w:t>
      </w:r>
      <w:r w:rsidRPr="0026329D">
        <w:rPr>
          <w:lang w:val="en-CA"/>
        </w:rPr>
        <w:t xml:space="preserve">12.57/kg as compared to </w:t>
      </w:r>
      <w:r w:rsidR="00475A50" w:rsidRPr="0026329D">
        <w:rPr>
          <w:color w:val="000000" w:themeColor="text1"/>
          <w:lang w:val="en-CA"/>
        </w:rPr>
        <w:t>US $</w:t>
      </w:r>
      <w:r w:rsidRPr="0026329D">
        <w:rPr>
          <w:color w:val="000000" w:themeColor="text1"/>
          <w:lang w:val="en-CA"/>
        </w:rPr>
        <w:t xml:space="preserve">11.52/kg. UNDP explained that the </w:t>
      </w:r>
      <w:r w:rsidRPr="0026329D">
        <w:rPr>
          <w:rFonts w:eastAsiaTheme="minorEastAsia"/>
          <w:color w:val="000000" w:themeColor="text1"/>
          <w:lang w:val="en-CA" w:eastAsia="zh-CN"/>
        </w:rPr>
        <w:t xml:space="preserve">revised </w:t>
      </w:r>
      <w:r w:rsidR="00A81DEE" w:rsidRPr="0026329D">
        <w:rPr>
          <w:rFonts w:eastAsiaTheme="minorEastAsia"/>
          <w:color w:val="000000" w:themeColor="text1"/>
          <w:lang w:val="en-CA" w:eastAsia="zh-CN"/>
        </w:rPr>
        <w:t>stage </w:t>
      </w:r>
      <w:r w:rsidRPr="0026329D">
        <w:rPr>
          <w:rFonts w:eastAsiaTheme="minorEastAsia"/>
          <w:color w:val="000000" w:themeColor="text1"/>
          <w:lang w:val="en-CA" w:eastAsia="zh-CN"/>
        </w:rPr>
        <w:t xml:space="preserve">II maintained the same CE as </w:t>
      </w:r>
      <w:r w:rsidR="00A81DEE" w:rsidRPr="0026329D">
        <w:rPr>
          <w:rFonts w:eastAsiaTheme="minorEastAsia"/>
          <w:color w:val="000000" w:themeColor="text1"/>
          <w:lang w:val="en-CA" w:eastAsia="zh-CN"/>
        </w:rPr>
        <w:t>stage </w:t>
      </w:r>
      <w:r w:rsidRPr="0026329D">
        <w:rPr>
          <w:rFonts w:eastAsiaTheme="minorEastAsia"/>
          <w:color w:val="000000" w:themeColor="text1"/>
          <w:lang w:val="en-CA" w:eastAsia="zh-CN"/>
        </w:rPr>
        <w:t xml:space="preserve">I for SMEs with consumption below 20 mt, and decreased the CE for enterprises with consumption above 20 mt. The CE for conversion projects in the revised </w:t>
      </w:r>
      <w:r w:rsidR="00A81DEE" w:rsidRPr="0026329D">
        <w:rPr>
          <w:rFonts w:eastAsiaTheme="minorEastAsia"/>
          <w:color w:val="000000" w:themeColor="text1"/>
          <w:lang w:val="en-CA" w:eastAsia="zh-CN"/>
        </w:rPr>
        <w:t>stage </w:t>
      </w:r>
      <w:r w:rsidRPr="0026329D">
        <w:rPr>
          <w:rFonts w:eastAsiaTheme="minorEastAsia"/>
          <w:color w:val="000000" w:themeColor="text1"/>
          <w:lang w:val="en-CA" w:eastAsia="zh-CN"/>
        </w:rPr>
        <w:t xml:space="preserve">II is slightly higher than the original approved </w:t>
      </w:r>
      <w:r w:rsidR="00A81DEE" w:rsidRPr="0026329D">
        <w:rPr>
          <w:rFonts w:eastAsiaTheme="minorEastAsia"/>
          <w:color w:val="000000" w:themeColor="text1"/>
          <w:lang w:val="en-CA" w:eastAsia="zh-CN"/>
        </w:rPr>
        <w:t>stage </w:t>
      </w:r>
      <w:r w:rsidRPr="0026329D">
        <w:rPr>
          <w:rFonts w:eastAsiaTheme="minorEastAsia"/>
          <w:color w:val="000000" w:themeColor="text1"/>
          <w:lang w:val="en-CA" w:eastAsia="zh-CN"/>
        </w:rPr>
        <w:t xml:space="preserve">II because more consumption will be phased out by SMEs. </w:t>
      </w:r>
    </w:p>
    <w:p w:rsidR="00285DDA" w:rsidRPr="0026329D" w:rsidRDefault="00285DDA" w:rsidP="002979AE">
      <w:pPr>
        <w:pStyle w:val="Heading1"/>
        <w:keepNext/>
        <w:keepLines/>
        <w:numPr>
          <w:ilvl w:val="0"/>
          <w:numId w:val="0"/>
        </w:numPr>
        <w:rPr>
          <w:u w:val="single"/>
          <w:lang w:val="en-CA"/>
        </w:rPr>
      </w:pPr>
      <w:r w:rsidRPr="0026329D">
        <w:rPr>
          <w:u w:val="single"/>
          <w:lang w:val="en-CA"/>
        </w:rPr>
        <w:t xml:space="preserve">Status of implementation of </w:t>
      </w:r>
      <w:r w:rsidR="00A81DEE" w:rsidRPr="0026329D">
        <w:rPr>
          <w:u w:val="single"/>
          <w:lang w:val="en-CA"/>
        </w:rPr>
        <w:t>stage </w:t>
      </w:r>
      <w:r w:rsidRPr="0026329D">
        <w:rPr>
          <w:u w:val="single"/>
          <w:lang w:val="en-CA"/>
        </w:rPr>
        <w:t>II of the ICR sector plan</w:t>
      </w:r>
    </w:p>
    <w:p w:rsidR="00285DDA" w:rsidRPr="0026329D" w:rsidRDefault="00285DDA" w:rsidP="002979AE">
      <w:pPr>
        <w:pStyle w:val="Heading1"/>
        <w:keepNext/>
        <w:keepLines/>
        <w:rPr>
          <w:szCs w:val="32"/>
          <w:u w:val="single"/>
          <w:lang w:val="en-CA"/>
        </w:rPr>
      </w:pPr>
      <w:r w:rsidRPr="0026329D">
        <w:rPr>
          <w:lang w:val="en-CA"/>
        </w:rPr>
        <w:t>Upon an enquiry on the operational status of the four completed lines, UNDP reported that one manufacturing line has started to produce R-290-based water chillers (various capacity between 275</w:t>
      </w:r>
      <w:r w:rsidR="005F2D17" w:rsidRPr="0026329D">
        <w:rPr>
          <w:lang w:val="en-CA"/>
        </w:rPr>
        <w:t> </w:t>
      </w:r>
      <w:r w:rsidRPr="0026329D">
        <w:rPr>
          <w:lang w:val="en-CA"/>
        </w:rPr>
        <w:t>kw to 3,895</w:t>
      </w:r>
      <w:r w:rsidR="005F2D17" w:rsidRPr="0026329D">
        <w:rPr>
          <w:lang w:val="en-CA"/>
        </w:rPr>
        <w:t> </w:t>
      </w:r>
      <w:r w:rsidRPr="0026329D">
        <w:rPr>
          <w:lang w:val="en-CA"/>
        </w:rPr>
        <w:t>kw);</w:t>
      </w:r>
      <w:r w:rsidRPr="0026329D">
        <w:rPr>
          <w:rFonts w:eastAsiaTheme="minorEastAsia"/>
          <w:color w:val="000000" w:themeColor="text1"/>
          <w:lang w:val="en-CA" w:eastAsia="zh-CN"/>
        </w:rPr>
        <w:t xml:space="preserve"> t</w:t>
      </w:r>
      <w:r w:rsidRPr="0026329D">
        <w:rPr>
          <w:color w:val="000000" w:themeColor="text1"/>
          <w:lang w:val="en-CA"/>
        </w:rPr>
        <w:t xml:space="preserve">he </w:t>
      </w:r>
      <w:r w:rsidRPr="0026329D">
        <w:rPr>
          <w:lang w:val="en-CA"/>
        </w:rPr>
        <w:t>other three lines were only completed in late 2019. The exact quantities produced by the completed lines are to be verified. A total of 670 mt of HCFC</w:t>
      </w:r>
      <w:r w:rsidRPr="0026329D">
        <w:rPr>
          <w:lang w:val="en-CA"/>
        </w:rPr>
        <w:noBreakHyphen/>
        <w:t>22 have been eliminated through the conversion of the four lines (590 mt to R-290 and 83.73 mt to HFC</w:t>
      </w:r>
      <w:r w:rsidRPr="0026329D">
        <w:rPr>
          <w:lang w:val="en-CA"/>
        </w:rPr>
        <w:noBreakHyphen/>
        <w:t>32). UNDP further reported that, after the completion of the demonstration project at Snowman, one manufacturing</w:t>
      </w:r>
      <w:r w:rsidR="005F2D17" w:rsidRPr="0026329D">
        <w:rPr>
          <w:lang w:val="en-CA"/>
        </w:rPr>
        <w:t xml:space="preserve"> line has been converted and 25 </w:t>
      </w:r>
      <w:r w:rsidRPr="0026329D">
        <w:rPr>
          <w:lang w:val="en-CA"/>
        </w:rPr>
        <w:t xml:space="preserve">ammonia compressors have been produced and sold to downstream users. </w:t>
      </w:r>
    </w:p>
    <w:p w:rsidR="00285DDA" w:rsidRPr="0026329D" w:rsidRDefault="00285DDA" w:rsidP="00285DDA">
      <w:pPr>
        <w:spacing w:after="240"/>
        <w:rPr>
          <w:u w:val="single"/>
          <w:lang w:val="en-CA"/>
        </w:rPr>
      </w:pPr>
      <w:r w:rsidRPr="0026329D">
        <w:rPr>
          <w:u w:val="single"/>
          <w:lang w:val="en-CA"/>
        </w:rPr>
        <w:t xml:space="preserve">Revision of the Agreement </w:t>
      </w:r>
    </w:p>
    <w:p w:rsidR="00285DDA" w:rsidRPr="0026329D" w:rsidRDefault="00285DDA" w:rsidP="00285DDA">
      <w:pPr>
        <w:pStyle w:val="Heading1"/>
        <w:rPr>
          <w:lang w:val="en-CA"/>
        </w:rPr>
      </w:pPr>
      <w:r w:rsidRPr="0026329D">
        <w:rPr>
          <w:lang w:val="en-CA"/>
        </w:rPr>
        <w:t xml:space="preserve">The Secretariat noted that the condition on the alternative technologies in ICR sector in paragraph 2 of Appendix 8-A of the Agreement between the Government of China and the Executive Committee has been modified. UNDP explained that, this is in line with decision 84/69 as the Committee has requested, </w:t>
      </w:r>
      <w:r w:rsidRPr="0026329D">
        <w:rPr>
          <w:i/>
          <w:lang w:val="en-CA"/>
        </w:rPr>
        <w:t>inter alia,</w:t>
      </w:r>
      <w:r w:rsidRPr="0026329D">
        <w:rPr>
          <w:lang w:val="en-CA"/>
        </w:rPr>
        <w:t xml:space="preserve"> the submission of a </w:t>
      </w:r>
      <w:r w:rsidRPr="0026329D">
        <w:rPr>
          <w:bCs/>
          <w:iCs/>
          <w:lang w:val="en-CA"/>
        </w:rPr>
        <w:t>revised plan of action that included related activities and information on the technology selected, and associated funding tranches</w:t>
      </w:r>
      <w:r w:rsidRPr="0026329D">
        <w:rPr>
          <w:iCs/>
          <w:lang w:val="en-CA"/>
        </w:rPr>
        <w:t xml:space="preserve"> to extend through 2026 </w:t>
      </w:r>
      <w:r w:rsidR="00A81DEE" w:rsidRPr="0026329D">
        <w:rPr>
          <w:iCs/>
          <w:lang w:val="en-CA"/>
        </w:rPr>
        <w:t>stage </w:t>
      </w:r>
      <w:r w:rsidRPr="0026329D">
        <w:rPr>
          <w:iCs/>
          <w:lang w:val="en-CA"/>
        </w:rPr>
        <w:t xml:space="preserve">II of the ICR sector. The </w:t>
      </w:r>
      <w:r w:rsidRPr="0026329D">
        <w:rPr>
          <w:lang w:val="en-CA"/>
        </w:rPr>
        <w:t>modification of Appendix 8-A is necessitated by the substantial reduction of the sector plan funding level and the additional phase-out tonnages to be achieved in the period of 2021-2026.</w:t>
      </w:r>
    </w:p>
    <w:p w:rsidR="00285DDA" w:rsidRPr="0026329D" w:rsidRDefault="00285DDA" w:rsidP="003927DC">
      <w:pPr>
        <w:keepNext/>
        <w:spacing w:after="240"/>
        <w:rPr>
          <w:u w:val="single"/>
          <w:lang w:val="en-CA"/>
        </w:rPr>
      </w:pPr>
      <w:r w:rsidRPr="0026329D">
        <w:rPr>
          <w:u w:val="single"/>
          <w:lang w:val="en-CA"/>
        </w:rPr>
        <w:t>Impact on the climate</w:t>
      </w:r>
    </w:p>
    <w:p w:rsidR="00285DDA" w:rsidRPr="0026329D" w:rsidRDefault="00285DDA" w:rsidP="00285DDA">
      <w:pPr>
        <w:pStyle w:val="Heading1"/>
        <w:rPr>
          <w:lang w:val="en-CA"/>
        </w:rPr>
      </w:pPr>
      <w:r w:rsidRPr="0026329D">
        <w:rPr>
          <w:lang w:val="en-CA"/>
        </w:rPr>
        <w:t>The conversion of the 31 manufacturing lines to various low-GWP technologies will avoid the emission to the atmosphere of some 2.86 million tonnes of CO</w:t>
      </w:r>
      <w:r w:rsidRPr="0026329D">
        <w:rPr>
          <w:vertAlign w:val="subscript"/>
          <w:lang w:val="en-CA"/>
        </w:rPr>
        <w:t>2</w:t>
      </w:r>
      <w:r w:rsidRPr="0026329D">
        <w:rPr>
          <w:lang w:val="en-CA"/>
        </w:rPr>
        <w:t xml:space="preserve"> equivalent per year. In addition, the revised </w:t>
      </w:r>
      <w:r w:rsidR="00A81DEE" w:rsidRPr="0026329D">
        <w:rPr>
          <w:lang w:val="en-CA"/>
        </w:rPr>
        <w:t>stage </w:t>
      </w:r>
      <w:r w:rsidRPr="0026329D">
        <w:rPr>
          <w:lang w:val="en-CA"/>
        </w:rPr>
        <w:t xml:space="preserve">II proposes to phase out 13,245.28 mt at ICR enterprises without assistance from the Fund. Although the technologies selected for phase-out by the enterprises that are not receiving funding are not known at this moment, TA and awareness-raising activities have been planned to promote low-GWP technologies in those conversions and are expected to reduce the climate impact to the extent possible. </w:t>
      </w:r>
    </w:p>
    <w:p w:rsidR="00285DDA" w:rsidRPr="0026329D" w:rsidRDefault="003304E4" w:rsidP="00285DDA">
      <w:pPr>
        <w:keepNext/>
        <w:keepLines/>
        <w:contextualSpacing/>
        <w:rPr>
          <w:b/>
          <w:bCs/>
          <w:color w:val="000000" w:themeColor="text1"/>
          <w:szCs w:val="32"/>
          <w:lang w:val="en-CA"/>
        </w:rPr>
      </w:pPr>
      <w:r w:rsidRPr="0026329D">
        <w:rPr>
          <w:b/>
          <w:bCs/>
          <w:color w:val="000000" w:themeColor="text1"/>
          <w:szCs w:val="32"/>
          <w:lang w:val="en-CA"/>
        </w:rPr>
        <w:t>Recommendation</w:t>
      </w:r>
    </w:p>
    <w:p w:rsidR="00285DDA" w:rsidRPr="0026329D" w:rsidRDefault="00285DDA" w:rsidP="00285DDA">
      <w:pPr>
        <w:keepNext/>
        <w:keepLines/>
        <w:contextualSpacing/>
        <w:rPr>
          <w:color w:val="000000" w:themeColor="text1"/>
          <w:szCs w:val="32"/>
          <w:u w:val="single"/>
          <w:lang w:val="en-CA"/>
        </w:rPr>
      </w:pPr>
    </w:p>
    <w:p w:rsidR="00085689" w:rsidRPr="0026329D" w:rsidRDefault="00285DDA" w:rsidP="00C23E62">
      <w:pPr>
        <w:pStyle w:val="Heading1"/>
        <w:keepNext/>
        <w:keepLines/>
        <w:rPr>
          <w:lang w:val="en-CA"/>
        </w:rPr>
      </w:pPr>
      <w:r w:rsidRPr="0026329D">
        <w:rPr>
          <w:lang w:val="en-CA"/>
        </w:rPr>
        <w:t>The Executive Committee m</w:t>
      </w:r>
      <w:r w:rsidR="004D477C" w:rsidRPr="0026329D">
        <w:rPr>
          <w:lang w:val="en-CA"/>
        </w:rPr>
        <w:t>ay</w:t>
      </w:r>
      <w:r w:rsidRPr="0026329D">
        <w:rPr>
          <w:lang w:val="en-CA"/>
        </w:rPr>
        <w:t xml:space="preserve"> wish to</w:t>
      </w:r>
      <w:r w:rsidR="00696458" w:rsidRPr="0026329D">
        <w:rPr>
          <w:lang w:val="en-CA"/>
        </w:rPr>
        <w:t>:</w:t>
      </w:r>
    </w:p>
    <w:p w:rsidR="00085689" w:rsidRPr="0026329D" w:rsidRDefault="00823D2E" w:rsidP="00823D2E">
      <w:pPr>
        <w:pStyle w:val="Heading2"/>
        <w:rPr>
          <w:lang w:val="en-CA"/>
        </w:rPr>
      </w:pPr>
      <w:r w:rsidRPr="0026329D">
        <w:rPr>
          <w:lang w:val="en-CA"/>
        </w:rPr>
        <w:t>Approve the revised plan of action to extend through 2026 stage II of the industrial and commercial refrigeration and air-conditioning (ICR) sector plan, and the maximum allowable sectoral consumption levels of HCFC</w:t>
      </w:r>
      <w:r w:rsidR="008C1EF2" w:rsidRPr="0026329D">
        <w:rPr>
          <w:lang w:val="en-CA"/>
        </w:rPr>
        <w:t>s</w:t>
      </w:r>
      <w:r w:rsidRPr="0026329D">
        <w:rPr>
          <w:lang w:val="en-CA"/>
        </w:rPr>
        <w:t xml:space="preserve"> as described in document</w:t>
      </w:r>
      <w:r w:rsidR="002979AE">
        <w:rPr>
          <w:lang w:val="en-CA"/>
        </w:rPr>
        <w:t> </w:t>
      </w:r>
      <w:r w:rsidRPr="0026329D">
        <w:rPr>
          <w:lang w:val="en-CA"/>
        </w:rPr>
        <w:t>UNEP/OzL.Pro/ExCom/86/21/Add.1; and</w:t>
      </w:r>
      <w:r w:rsidR="00085689" w:rsidRPr="0026329D">
        <w:rPr>
          <w:lang w:val="en-CA"/>
        </w:rPr>
        <w:t xml:space="preserve"> </w:t>
      </w:r>
    </w:p>
    <w:p w:rsidR="008C1EF2" w:rsidRPr="0026329D" w:rsidRDefault="008C1EF2" w:rsidP="008C1EF2">
      <w:pPr>
        <w:pStyle w:val="Heading2"/>
        <w:rPr>
          <w:lang w:val="en-CA"/>
        </w:rPr>
      </w:pPr>
      <w:r w:rsidRPr="0026329D">
        <w:rPr>
          <w:lang w:val="en-CA"/>
        </w:rPr>
        <w:t xml:space="preserve">Note that under stage II of the ICR sector plan, the Government of China agreed: </w:t>
      </w:r>
    </w:p>
    <w:p w:rsidR="008C1EF2" w:rsidRPr="0026329D" w:rsidRDefault="008C1EF2" w:rsidP="008C1EF2">
      <w:pPr>
        <w:pStyle w:val="Heading3"/>
        <w:rPr>
          <w:lang w:val="en-CA"/>
        </w:rPr>
      </w:pPr>
      <w:r w:rsidRPr="0026329D">
        <w:rPr>
          <w:lang w:val="en-CA"/>
        </w:rPr>
        <w:t>That a maximum quantity of 1,463 metric tonnes (mt) in the unitary air-conditioning (UAC) sub-sector could be converted to</w:t>
      </w:r>
      <w:r w:rsidRPr="0026329D">
        <w:rPr>
          <w:spacing w:val="-3"/>
          <w:lang w:val="en-CA"/>
        </w:rPr>
        <w:t xml:space="preserve"> </w:t>
      </w:r>
      <w:r w:rsidRPr="0026329D">
        <w:rPr>
          <w:lang w:val="en-CA"/>
        </w:rPr>
        <w:t>HFC-32;</w:t>
      </w:r>
    </w:p>
    <w:p w:rsidR="008C1EF2" w:rsidRPr="0026329D" w:rsidRDefault="008C1EF2" w:rsidP="008C1EF2">
      <w:pPr>
        <w:pStyle w:val="Heading3"/>
        <w:rPr>
          <w:lang w:val="en-CA"/>
        </w:rPr>
      </w:pPr>
      <w:r w:rsidRPr="0026329D">
        <w:rPr>
          <w:lang w:val="en-CA"/>
        </w:rPr>
        <w:t xml:space="preserve">That China would have flexibility to convert to alternatives with a lower </w:t>
      </w:r>
      <w:r w:rsidR="004D477C" w:rsidRPr="0026329D">
        <w:rPr>
          <w:lang w:val="en-CA"/>
        </w:rPr>
        <w:t>global</w:t>
      </w:r>
      <w:r w:rsidR="002979AE">
        <w:rPr>
          <w:lang w:val="en-CA"/>
        </w:rPr>
        <w:noBreakHyphen/>
      </w:r>
      <w:r w:rsidR="004D477C" w:rsidRPr="0026329D">
        <w:rPr>
          <w:lang w:val="en-CA"/>
        </w:rPr>
        <w:t>warming potential (</w:t>
      </w:r>
      <w:r w:rsidRPr="0026329D">
        <w:rPr>
          <w:lang w:val="en-CA"/>
        </w:rPr>
        <w:t>GWP</w:t>
      </w:r>
      <w:r w:rsidR="004D477C" w:rsidRPr="0026329D">
        <w:rPr>
          <w:lang w:val="en-CA"/>
        </w:rPr>
        <w:t>)</w:t>
      </w:r>
      <w:r w:rsidRPr="0026329D">
        <w:rPr>
          <w:lang w:val="en-CA"/>
        </w:rPr>
        <w:t xml:space="preserve"> than HFC-32 as long as the cost and tonnage to be phased out remained the same;</w:t>
      </w:r>
    </w:p>
    <w:p w:rsidR="008C1EF2" w:rsidRPr="0026329D" w:rsidRDefault="008C1EF2" w:rsidP="008C1EF2">
      <w:pPr>
        <w:pStyle w:val="Heading3"/>
        <w:rPr>
          <w:lang w:val="en-CA"/>
        </w:rPr>
      </w:pPr>
      <w:r w:rsidRPr="0026329D">
        <w:rPr>
          <w:lang w:val="en-CA"/>
        </w:rPr>
        <w:t xml:space="preserve">That China would have flexibility to convert industrial and commercial </w:t>
      </w:r>
      <w:r w:rsidR="004D477C" w:rsidRPr="0026329D">
        <w:rPr>
          <w:lang w:val="en-CA"/>
        </w:rPr>
        <w:t>heat pump water heater (</w:t>
      </w:r>
      <w:r w:rsidRPr="0026329D">
        <w:rPr>
          <w:lang w:val="en-CA"/>
        </w:rPr>
        <w:t>HPWH</w:t>
      </w:r>
      <w:r w:rsidR="004D477C" w:rsidRPr="0026329D">
        <w:rPr>
          <w:lang w:val="en-CA"/>
        </w:rPr>
        <w:t>)</w:t>
      </w:r>
      <w:r w:rsidRPr="0026329D">
        <w:rPr>
          <w:lang w:val="en-CA"/>
        </w:rPr>
        <w:t xml:space="preserve"> lines to HFC-32 on the understanding that UAC, water chiller (heat pump) and industrial and commercial HPWH conversions to HFC-32 combined would not exceed 1,463</w:t>
      </w:r>
      <w:r w:rsidRPr="0026329D">
        <w:rPr>
          <w:spacing w:val="-4"/>
          <w:lang w:val="en-CA"/>
        </w:rPr>
        <w:t xml:space="preserve"> </w:t>
      </w:r>
      <w:r w:rsidRPr="0026329D">
        <w:rPr>
          <w:lang w:val="en-CA"/>
        </w:rPr>
        <w:t>mt;</w:t>
      </w:r>
    </w:p>
    <w:p w:rsidR="008C1EF2" w:rsidRPr="0026329D" w:rsidRDefault="008C1EF2" w:rsidP="002979AE">
      <w:pPr>
        <w:pStyle w:val="Heading3"/>
        <w:keepNext/>
        <w:keepLines/>
        <w:rPr>
          <w:lang w:val="en-CA"/>
        </w:rPr>
      </w:pPr>
      <w:r w:rsidRPr="0026329D">
        <w:rPr>
          <w:lang w:val="en-CA"/>
        </w:rPr>
        <w:t>That at least 30</w:t>
      </w:r>
      <w:r w:rsidR="002979AE">
        <w:rPr>
          <w:lang w:val="en-CA"/>
        </w:rPr>
        <w:t> </w:t>
      </w:r>
      <w:r w:rsidRPr="0026329D">
        <w:rPr>
          <w:lang w:val="en-CA"/>
        </w:rPr>
        <w:t xml:space="preserve">per cent of the total phase-out of HCFC-22 from 2021-2026 funded by the Multilateral Fund in the ICR sector would be from the conversion of </w:t>
      </w:r>
      <w:r w:rsidR="004D477C" w:rsidRPr="0026329D">
        <w:rPr>
          <w:lang w:val="en-CA"/>
        </w:rPr>
        <w:t>small</w:t>
      </w:r>
      <w:r w:rsidR="002979AE">
        <w:rPr>
          <w:lang w:val="en-CA"/>
        </w:rPr>
        <w:noBreakHyphen/>
      </w:r>
      <w:r w:rsidR="004D477C" w:rsidRPr="0026329D">
        <w:rPr>
          <w:lang w:val="en-CA"/>
        </w:rPr>
        <w:t xml:space="preserve"> and medium-sized enterprises</w:t>
      </w:r>
      <w:r w:rsidRPr="0026329D">
        <w:rPr>
          <w:lang w:val="en-CA"/>
        </w:rPr>
        <w:t xml:space="preserve"> (i.e. those consuming 50</w:t>
      </w:r>
      <w:r w:rsidR="002979AE">
        <w:rPr>
          <w:lang w:val="en-CA"/>
        </w:rPr>
        <w:t> </w:t>
      </w:r>
      <w:r w:rsidRPr="0026329D">
        <w:rPr>
          <w:lang w:val="en-CA"/>
        </w:rPr>
        <w:t>mt or less);</w:t>
      </w:r>
      <w:r w:rsidRPr="0026329D">
        <w:rPr>
          <w:spacing w:val="-7"/>
          <w:lang w:val="en-CA"/>
        </w:rPr>
        <w:t xml:space="preserve"> </w:t>
      </w:r>
      <w:r w:rsidRPr="0026329D">
        <w:rPr>
          <w:lang w:val="en-CA"/>
        </w:rPr>
        <w:t>and</w:t>
      </w:r>
    </w:p>
    <w:p w:rsidR="008C1EF2" w:rsidRPr="0026329D" w:rsidRDefault="008C1EF2" w:rsidP="008C1EF2">
      <w:pPr>
        <w:pStyle w:val="Heading3"/>
        <w:rPr>
          <w:lang w:val="en-CA"/>
        </w:rPr>
      </w:pPr>
      <w:r w:rsidRPr="0026329D">
        <w:rPr>
          <w:lang w:val="en-CA"/>
        </w:rPr>
        <w:t>That, in sectors other than the UAC sub-sector, China would have flexibility to select from among the low-GWP technologies identified in Table</w:t>
      </w:r>
      <w:r w:rsidR="002979AE">
        <w:rPr>
          <w:lang w:val="en-CA"/>
        </w:rPr>
        <w:t> </w:t>
      </w:r>
      <w:r w:rsidRPr="0026329D">
        <w:rPr>
          <w:lang w:val="en-CA"/>
        </w:rPr>
        <w:t xml:space="preserve">3 of </w:t>
      </w:r>
      <w:r w:rsidR="004D477C" w:rsidRPr="0026329D">
        <w:rPr>
          <w:lang w:val="en-CA"/>
        </w:rPr>
        <w:t>paragraph</w:t>
      </w:r>
      <w:r w:rsidR="002979AE">
        <w:rPr>
          <w:lang w:val="en-CA"/>
        </w:rPr>
        <w:t> </w:t>
      </w:r>
      <w:r w:rsidR="004D477C" w:rsidRPr="0026329D">
        <w:rPr>
          <w:lang w:val="en-CA"/>
        </w:rPr>
        <w:t xml:space="preserve">71 of </w:t>
      </w:r>
      <w:r w:rsidR="002979AE">
        <w:rPr>
          <w:lang w:val="en-CA"/>
        </w:rPr>
        <w:t>document </w:t>
      </w:r>
      <w:r w:rsidRPr="0026329D">
        <w:rPr>
          <w:lang w:val="en-CA"/>
        </w:rPr>
        <w:t>UNEP/OzL.Pro/ExCom/86/21/Add.1, excluding HFC-32, and would make best efforts to ensure that the tonnage remained within 30</w:t>
      </w:r>
      <w:r w:rsidR="002979AE">
        <w:rPr>
          <w:lang w:val="en-CA"/>
        </w:rPr>
        <w:t> </w:t>
      </w:r>
      <w:r w:rsidRPr="0026329D">
        <w:rPr>
          <w:lang w:val="en-CA"/>
        </w:rPr>
        <w:t>per cent of the amount specified for each technology in that table, at no additional cost to the Multilateral Fund, and that any deviation from that range would be reported to the Executive Committee for its consideration.</w:t>
      </w:r>
    </w:p>
    <w:p w:rsidR="00337C27" w:rsidRPr="0026329D" w:rsidRDefault="003E1BEB" w:rsidP="006D156C">
      <w:pPr>
        <w:keepNext/>
        <w:rPr>
          <w:b/>
          <w:lang w:val="en-CA"/>
        </w:rPr>
      </w:pPr>
      <w:r w:rsidRPr="0026329D">
        <w:rPr>
          <w:b/>
          <w:lang w:val="en-CA"/>
        </w:rPr>
        <w:t xml:space="preserve">REVISED </w:t>
      </w:r>
      <w:r w:rsidR="004000EC" w:rsidRPr="0026329D">
        <w:rPr>
          <w:b/>
          <w:lang w:val="en-CA"/>
        </w:rPr>
        <w:t xml:space="preserve">EXTENDED </w:t>
      </w:r>
      <w:r w:rsidRPr="0026329D">
        <w:rPr>
          <w:b/>
          <w:lang w:val="en-CA"/>
        </w:rPr>
        <w:t xml:space="preserve">ROOM AIR-CONDITIONING MANUFACTURING AND HEAT PUMP WATER HEATERS SECTOR PLAN (UNIDO, Austria, Italy) </w:t>
      </w:r>
    </w:p>
    <w:p w:rsidR="00337C27" w:rsidRPr="0026329D" w:rsidRDefault="00337C27" w:rsidP="006D156C">
      <w:pPr>
        <w:keepNext/>
        <w:rPr>
          <w:b/>
          <w:lang w:val="en-CA"/>
        </w:rPr>
      </w:pPr>
    </w:p>
    <w:p w:rsidR="00D01B76" w:rsidRPr="0026329D" w:rsidRDefault="00D01B76" w:rsidP="006D156C">
      <w:pPr>
        <w:keepNext/>
        <w:rPr>
          <w:b/>
          <w:lang w:val="en-CA"/>
        </w:rPr>
      </w:pPr>
      <w:r w:rsidRPr="0026329D">
        <w:rPr>
          <w:b/>
          <w:lang w:val="en-CA"/>
        </w:rPr>
        <w:t>Sector plan description</w:t>
      </w:r>
    </w:p>
    <w:p w:rsidR="00D01B76" w:rsidRPr="0026329D" w:rsidRDefault="00D01B76" w:rsidP="00337C27">
      <w:pPr>
        <w:rPr>
          <w:b/>
          <w:lang w:val="en-CA"/>
        </w:rPr>
      </w:pPr>
    </w:p>
    <w:p w:rsidR="00337C27" w:rsidRPr="0026329D" w:rsidRDefault="00337C27" w:rsidP="00337C27">
      <w:pPr>
        <w:tabs>
          <w:tab w:val="left" w:pos="1458"/>
        </w:tabs>
        <w:rPr>
          <w:b/>
          <w:lang w:val="en-CA"/>
        </w:rPr>
      </w:pPr>
      <w:r w:rsidRPr="0026329D">
        <w:rPr>
          <w:b/>
          <w:lang w:val="en-CA"/>
        </w:rPr>
        <w:t xml:space="preserve">Background </w:t>
      </w:r>
    </w:p>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At its 77</w:t>
      </w:r>
      <w:r w:rsidRPr="0026329D">
        <w:rPr>
          <w:vertAlign w:val="superscript"/>
          <w:lang w:val="en-CA"/>
        </w:rPr>
        <w:t>th</w:t>
      </w:r>
      <w:r w:rsidRPr="0026329D">
        <w:rPr>
          <w:lang w:val="en-CA"/>
        </w:rPr>
        <w:t xml:space="preserve"> meeting, the Executive Committee approved the room air-conditioning manufacturing (RAC) and heat pump water heaters (HPWH) sector plan (RAC sector plan) of </w:t>
      </w:r>
      <w:r w:rsidR="00A81DEE" w:rsidRPr="0026329D">
        <w:rPr>
          <w:lang w:val="en-CA"/>
        </w:rPr>
        <w:t>stage </w:t>
      </w:r>
      <w:r w:rsidRPr="0026329D">
        <w:rPr>
          <w:lang w:val="en-CA"/>
        </w:rPr>
        <w:t>II of the HCFC phase</w:t>
      </w:r>
      <w:r w:rsidRPr="0026329D">
        <w:rPr>
          <w:lang w:val="en-CA"/>
        </w:rPr>
        <w:noBreakHyphen/>
        <w:t xml:space="preserve">out management plan (HPMP) for China, to achieve by 2020, a 45 per cent reduction in relation to the 2013 maximum allowable consumption in the sector, in the amount of </w:t>
      </w:r>
      <w:r w:rsidR="00475A50" w:rsidRPr="0026329D">
        <w:rPr>
          <w:lang w:val="en-CA"/>
        </w:rPr>
        <w:t>US $</w:t>
      </w:r>
      <w:r w:rsidRPr="0026329D">
        <w:rPr>
          <w:lang w:val="en-CA"/>
        </w:rPr>
        <w:t xml:space="preserve">89,144,797 of the total amount approved in principle for </w:t>
      </w:r>
      <w:r w:rsidR="00A81DEE" w:rsidRPr="0026329D">
        <w:rPr>
          <w:lang w:val="en-CA"/>
        </w:rPr>
        <w:t>stage </w:t>
      </w:r>
      <w:r w:rsidRPr="0026329D">
        <w:rPr>
          <w:lang w:val="en-CA"/>
        </w:rPr>
        <w:t xml:space="preserve">II of the HPMP, plus agency support costs for UNIDO and the Government of Italy, on the understanding that the Government of China agreed to convert at least: </w:t>
      </w:r>
    </w:p>
    <w:p w:rsidR="00337C27" w:rsidRPr="0026329D" w:rsidRDefault="00337C27" w:rsidP="00337C27">
      <w:pPr>
        <w:pStyle w:val="Heading2"/>
        <w:rPr>
          <w:lang w:val="en-CA"/>
        </w:rPr>
      </w:pPr>
      <w:r w:rsidRPr="0026329D">
        <w:rPr>
          <w:lang w:val="en-CA"/>
        </w:rPr>
        <w:t xml:space="preserve">Twenty </w:t>
      </w:r>
      <w:r w:rsidR="003F798B" w:rsidRPr="0026329D">
        <w:rPr>
          <w:lang w:val="en-CA"/>
        </w:rPr>
        <w:t xml:space="preserve">RAC equipment </w:t>
      </w:r>
      <w:r w:rsidRPr="0026329D">
        <w:rPr>
          <w:lang w:val="en-CA"/>
        </w:rPr>
        <w:t xml:space="preserve">manufacturing lines to </w:t>
      </w:r>
      <w:r w:rsidR="004000EC" w:rsidRPr="0026329D">
        <w:rPr>
          <w:lang w:val="en-CA"/>
        </w:rPr>
        <w:t>R</w:t>
      </w:r>
      <w:r w:rsidRPr="0026329D">
        <w:rPr>
          <w:lang w:val="en-CA"/>
        </w:rPr>
        <w:t xml:space="preserve">-290; </w:t>
      </w:r>
    </w:p>
    <w:p w:rsidR="00337C27" w:rsidRPr="0026329D" w:rsidRDefault="00337C27" w:rsidP="00337C27">
      <w:pPr>
        <w:pStyle w:val="Heading2"/>
        <w:rPr>
          <w:lang w:val="en-CA"/>
        </w:rPr>
      </w:pPr>
      <w:r w:rsidRPr="0026329D">
        <w:rPr>
          <w:lang w:val="en-CA"/>
        </w:rPr>
        <w:t xml:space="preserve">Three compressor manufacturing lines to </w:t>
      </w:r>
      <w:r w:rsidR="004000EC" w:rsidRPr="0026329D">
        <w:rPr>
          <w:lang w:val="en-CA"/>
        </w:rPr>
        <w:t>R</w:t>
      </w:r>
      <w:r w:rsidRPr="0026329D">
        <w:rPr>
          <w:lang w:val="en-CA"/>
        </w:rPr>
        <w:t xml:space="preserve">-290; </w:t>
      </w:r>
    </w:p>
    <w:p w:rsidR="00337C27" w:rsidRPr="0026329D" w:rsidRDefault="00337C27" w:rsidP="00337C27">
      <w:pPr>
        <w:pStyle w:val="Heading2"/>
        <w:rPr>
          <w:lang w:val="en-CA"/>
        </w:rPr>
      </w:pPr>
      <w:r w:rsidRPr="0026329D">
        <w:rPr>
          <w:lang w:val="en-CA"/>
        </w:rPr>
        <w:t>Three HPWH manufacturing lines to</w:t>
      </w:r>
      <w:r w:rsidR="004000EC" w:rsidRPr="0026329D">
        <w:rPr>
          <w:lang w:val="en-CA"/>
        </w:rPr>
        <w:t xml:space="preserve"> R</w:t>
      </w:r>
      <w:r w:rsidRPr="0026329D">
        <w:rPr>
          <w:lang w:val="en-CA"/>
        </w:rPr>
        <w:t xml:space="preserve">-290; and </w:t>
      </w:r>
    </w:p>
    <w:p w:rsidR="00337C27" w:rsidRPr="0026329D" w:rsidRDefault="00337C27" w:rsidP="00337C27">
      <w:pPr>
        <w:pStyle w:val="Heading2"/>
        <w:rPr>
          <w:lang w:val="en-CA"/>
        </w:rPr>
      </w:pPr>
      <w:r w:rsidRPr="0026329D">
        <w:rPr>
          <w:lang w:val="en-CA"/>
        </w:rPr>
        <w:t xml:space="preserve">Two HPWH manufacturing lines to R-744. </w:t>
      </w:r>
    </w:p>
    <w:p w:rsidR="00337C27" w:rsidRPr="0026329D" w:rsidRDefault="00337C27" w:rsidP="00337C27">
      <w:pPr>
        <w:pStyle w:val="Heading1"/>
        <w:rPr>
          <w:lang w:val="en-CA"/>
        </w:rPr>
      </w:pPr>
      <w:r w:rsidRPr="0026329D">
        <w:rPr>
          <w:lang w:val="en-CA"/>
        </w:rPr>
        <w:t xml:space="preserve">The total HCFC-22 consumption that would be phased out through the implementation of </w:t>
      </w:r>
      <w:r w:rsidR="00A81DEE" w:rsidRPr="0026329D">
        <w:rPr>
          <w:lang w:val="en-CA"/>
        </w:rPr>
        <w:t>stage </w:t>
      </w:r>
      <w:r w:rsidRPr="0026329D">
        <w:rPr>
          <w:lang w:val="en-CA"/>
        </w:rPr>
        <w:t>II of the RAC sector plan amounted to 18,675 mt, of which 8,170 mt would be converted to low</w:t>
      </w:r>
      <w:r w:rsidR="008C3F3E" w:rsidRPr="0026329D">
        <w:rPr>
          <w:lang w:val="en-CA"/>
        </w:rPr>
        <w:noBreakHyphen/>
      </w:r>
      <w:r w:rsidRPr="0026329D">
        <w:rPr>
          <w:lang w:val="en-CA"/>
        </w:rPr>
        <w:t>global</w:t>
      </w:r>
      <w:r w:rsidR="008C3F3E" w:rsidRPr="0026329D">
        <w:rPr>
          <w:lang w:val="en-CA"/>
        </w:rPr>
        <w:noBreakHyphen/>
      </w:r>
      <w:r w:rsidRPr="0026329D">
        <w:rPr>
          <w:lang w:val="en-CA"/>
        </w:rPr>
        <w:t>warming potential (GWP) refrigerants (i.e., 8,122 mt to R-290 and 48 mt to R</w:t>
      </w:r>
      <w:r w:rsidRPr="0026329D">
        <w:rPr>
          <w:lang w:val="en-CA"/>
        </w:rPr>
        <w:noBreakHyphen/>
        <w:t>744); funding to phase out the remaining 10,505 mt was not requested, which could convert to R-410A or other alternatives.</w:t>
      </w:r>
    </w:p>
    <w:p w:rsidR="00337C27" w:rsidRPr="0026329D" w:rsidRDefault="00337C27" w:rsidP="00337C27">
      <w:pPr>
        <w:pStyle w:val="Heading1"/>
        <w:rPr>
          <w:lang w:val="en-CA"/>
        </w:rPr>
      </w:pPr>
      <w:r w:rsidRPr="0026329D">
        <w:rPr>
          <w:lang w:val="en-CA"/>
        </w:rPr>
        <w:t xml:space="preserve">The second tranche of the RAC sector plan of </w:t>
      </w:r>
      <w:r w:rsidR="00A81DEE" w:rsidRPr="0026329D">
        <w:rPr>
          <w:lang w:val="en-CA"/>
        </w:rPr>
        <w:t>stage </w:t>
      </w:r>
      <w:r w:rsidRPr="0026329D">
        <w:rPr>
          <w:lang w:val="en-CA"/>
        </w:rPr>
        <w:t>II of the HPMP, and the corresponding 2018</w:t>
      </w:r>
      <w:r w:rsidRPr="0026329D">
        <w:rPr>
          <w:lang w:val="en-CA"/>
        </w:rPr>
        <w:noBreakHyphen/>
        <w:t>2020 tranche implementation plan, was approved at the 81</w:t>
      </w:r>
      <w:r w:rsidRPr="0026329D">
        <w:rPr>
          <w:vertAlign w:val="superscript"/>
          <w:lang w:val="en-CA"/>
        </w:rPr>
        <w:t>st</w:t>
      </w:r>
      <w:r w:rsidRPr="0026329D">
        <w:rPr>
          <w:lang w:val="en-CA"/>
        </w:rPr>
        <w:t xml:space="preserve"> meeting. </w:t>
      </w:r>
    </w:p>
    <w:p w:rsidR="00337C27" w:rsidRPr="0026329D" w:rsidRDefault="00337C27" w:rsidP="00337C27">
      <w:pPr>
        <w:rPr>
          <w:u w:val="single"/>
          <w:lang w:val="en-CA"/>
        </w:rPr>
      </w:pPr>
      <w:r w:rsidRPr="0026329D">
        <w:rPr>
          <w:u w:val="single"/>
          <w:lang w:val="en-CA"/>
        </w:rPr>
        <w:t>Submission for the 86</w:t>
      </w:r>
      <w:r w:rsidRPr="0026329D">
        <w:rPr>
          <w:u w:val="single"/>
          <w:vertAlign w:val="superscript"/>
          <w:lang w:val="en-CA"/>
        </w:rPr>
        <w:t>th</w:t>
      </w:r>
      <w:r w:rsidRPr="0026329D">
        <w:rPr>
          <w:u w:val="single"/>
          <w:lang w:val="en-CA"/>
        </w:rPr>
        <w:t> meeting</w:t>
      </w:r>
    </w:p>
    <w:p w:rsidR="00337C27" w:rsidRPr="0026329D" w:rsidRDefault="00337C27" w:rsidP="00337C27">
      <w:pPr>
        <w:rPr>
          <w:lang w:val="en-CA"/>
        </w:rPr>
      </w:pPr>
    </w:p>
    <w:p w:rsidR="00337C27" w:rsidRPr="0026329D" w:rsidRDefault="00337C27" w:rsidP="003927DC">
      <w:pPr>
        <w:pStyle w:val="Heading1"/>
        <w:widowControl w:val="0"/>
        <w:rPr>
          <w:lang w:val="en-CA"/>
        </w:rPr>
      </w:pPr>
      <w:r w:rsidRPr="0026329D">
        <w:rPr>
          <w:lang w:val="en-CA"/>
        </w:rPr>
        <w:t xml:space="preserve">In line with decision 84/69(a)(iii), UNIDO, on behalf of the Government of China, submitted a revised plan of action to extend through 2026 </w:t>
      </w:r>
      <w:r w:rsidR="00A81DEE" w:rsidRPr="0026329D">
        <w:rPr>
          <w:lang w:val="en-CA"/>
        </w:rPr>
        <w:t>stage </w:t>
      </w:r>
      <w:r w:rsidRPr="0026329D">
        <w:rPr>
          <w:lang w:val="en-CA"/>
        </w:rPr>
        <w:t>II of the RAC sector plan</w:t>
      </w:r>
      <w:r w:rsidRPr="0026329D">
        <w:rPr>
          <w:rStyle w:val="FootnoteReference"/>
          <w:lang w:val="en-CA"/>
        </w:rPr>
        <w:footnoteReference w:id="13"/>
      </w:r>
      <w:r w:rsidRPr="0026329D">
        <w:rPr>
          <w:lang w:val="en-CA"/>
        </w:rPr>
        <w:t xml:space="preserve"> at a cost of </w:t>
      </w:r>
      <w:r w:rsidR="00475A50" w:rsidRPr="0026329D">
        <w:rPr>
          <w:lang w:val="en-CA"/>
        </w:rPr>
        <w:t>US $</w:t>
      </w:r>
      <w:r w:rsidRPr="0026329D">
        <w:rPr>
          <w:lang w:val="en-CA"/>
        </w:rPr>
        <w:t xml:space="preserve">60,394,081, plus agency support costs of </w:t>
      </w:r>
      <w:r w:rsidR="00475A50" w:rsidRPr="0026329D">
        <w:rPr>
          <w:lang w:val="en-CA"/>
        </w:rPr>
        <w:t>US $</w:t>
      </w:r>
      <w:r w:rsidRPr="0026329D">
        <w:rPr>
          <w:lang w:val="en-CA"/>
        </w:rPr>
        <w:t xml:space="preserve">4,091,653 for UNIDO, </w:t>
      </w:r>
      <w:r w:rsidR="00475A50" w:rsidRPr="0026329D">
        <w:rPr>
          <w:lang w:val="en-CA"/>
        </w:rPr>
        <w:t>US $</w:t>
      </w:r>
      <w:r w:rsidRPr="0026329D">
        <w:rPr>
          <w:lang w:val="en-CA"/>
        </w:rPr>
        <w:t xml:space="preserve">108,108 for the Government of Italy, and </w:t>
      </w:r>
      <w:r w:rsidR="00475A50" w:rsidRPr="0026329D">
        <w:rPr>
          <w:lang w:val="en-CA"/>
        </w:rPr>
        <w:t>US $</w:t>
      </w:r>
      <w:r w:rsidRPr="0026329D">
        <w:rPr>
          <w:lang w:val="en-CA"/>
        </w:rPr>
        <w:t>125,000 for the Government of Austria,</w:t>
      </w:r>
      <w:r w:rsidRPr="0026329D">
        <w:rPr>
          <w:rStyle w:val="FootnoteReference"/>
          <w:lang w:val="en-CA"/>
        </w:rPr>
        <w:footnoteReference w:id="14"/>
      </w:r>
      <w:r w:rsidRPr="0026329D">
        <w:rPr>
          <w:lang w:val="en-CA"/>
        </w:rPr>
        <w:t xml:space="preserve"> as originally submitted; and the maximum allowable sectoral consumption levels of HCFC as described in row 1.3.4 of </w:t>
      </w:r>
      <w:r w:rsidR="00FB35E3" w:rsidRPr="0026329D">
        <w:rPr>
          <w:lang w:val="en-CA"/>
        </w:rPr>
        <w:t>Appendix </w:t>
      </w:r>
      <w:r w:rsidRPr="0026329D">
        <w:rPr>
          <w:lang w:val="en-CA"/>
        </w:rPr>
        <w:t xml:space="preserve">2-A of the Agreement with the Executive Committee. The implementation of </w:t>
      </w:r>
      <w:r w:rsidR="00A81DEE" w:rsidRPr="0026329D">
        <w:rPr>
          <w:lang w:val="en-CA"/>
        </w:rPr>
        <w:t>stage </w:t>
      </w:r>
      <w:r w:rsidRPr="0026329D">
        <w:rPr>
          <w:lang w:val="en-CA"/>
        </w:rPr>
        <w:t xml:space="preserve">II of the RAC sector plan will assist China in meeting the Montreal Protocol compliance targets of 67.5 per cent reduction by 2025. </w:t>
      </w:r>
    </w:p>
    <w:p w:rsidR="00337C27" w:rsidRPr="0026329D" w:rsidRDefault="00337C27" w:rsidP="00337C27">
      <w:pPr>
        <w:pStyle w:val="Heading1"/>
        <w:rPr>
          <w:lang w:val="en-CA"/>
        </w:rPr>
      </w:pPr>
      <w:r w:rsidRPr="0026329D">
        <w:rPr>
          <w:lang w:val="en-CA"/>
        </w:rPr>
        <w:t xml:space="preserve">In line with the draft revised Agreement submitted by UNDP to the present meeting, no funding was being requested to the present meeting. The next tranche of the </w:t>
      </w:r>
      <w:r w:rsidR="00A81DEE" w:rsidRPr="0026329D">
        <w:rPr>
          <w:lang w:val="en-CA"/>
        </w:rPr>
        <w:t>stage </w:t>
      </w:r>
      <w:r w:rsidRPr="0026329D">
        <w:rPr>
          <w:lang w:val="en-CA"/>
        </w:rPr>
        <w:t xml:space="preserve">II of the RAC sector plan of </w:t>
      </w:r>
      <w:r w:rsidR="00475A50" w:rsidRPr="0026329D">
        <w:rPr>
          <w:lang w:val="en-CA"/>
        </w:rPr>
        <w:t>US $</w:t>
      </w:r>
      <w:r w:rsidRPr="0026329D">
        <w:rPr>
          <w:lang w:val="en-CA"/>
        </w:rPr>
        <w:t xml:space="preserve">4,500,000, plus agency support costs of </w:t>
      </w:r>
      <w:r w:rsidR="00475A50" w:rsidRPr="0026329D">
        <w:rPr>
          <w:lang w:val="en-CA"/>
        </w:rPr>
        <w:t>US $</w:t>
      </w:r>
      <w:r w:rsidRPr="0026329D">
        <w:rPr>
          <w:lang w:val="en-CA"/>
        </w:rPr>
        <w:t xml:space="preserve">290,500 for UNIDO and </w:t>
      </w:r>
      <w:r w:rsidR="00475A50" w:rsidRPr="0026329D">
        <w:rPr>
          <w:lang w:val="en-CA"/>
        </w:rPr>
        <w:t>US $</w:t>
      </w:r>
      <w:r w:rsidRPr="0026329D">
        <w:rPr>
          <w:lang w:val="en-CA"/>
        </w:rPr>
        <w:t>41,833 for the Government of Austria, would be submitted to the second meeting of 2021.</w:t>
      </w:r>
    </w:p>
    <w:p w:rsidR="00337C27" w:rsidRPr="0026329D" w:rsidRDefault="00337C27" w:rsidP="00337C27">
      <w:pPr>
        <w:pStyle w:val="Heading1"/>
        <w:rPr>
          <w:lang w:val="en-CA"/>
        </w:rPr>
      </w:pPr>
      <w:r w:rsidRPr="0026329D">
        <w:rPr>
          <w:lang w:val="en-CA"/>
        </w:rPr>
        <w:t xml:space="preserve">Under the revised extended plan of action, the total number of RAC manufacturing lines to be converted to R-290 under </w:t>
      </w:r>
      <w:r w:rsidR="00A81DEE" w:rsidRPr="0026329D">
        <w:rPr>
          <w:lang w:val="en-CA"/>
        </w:rPr>
        <w:t>stage </w:t>
      </w:r>
      <w:r w:rsidRPr="0026329D">
        <w:rPr>
          <w:lang w:val="en-CA"/>
        </w:rPr>
        <w:t xml:space="preserve">II was reduced from twenty to ten; the number of compressor manufacturing lines to be converted to R-290 increased from three to four; the number of residential HPWH lines to be converted to R-290 remained constant; and no residential HPWH manufacturing lines would be converted to R-744. Those changes are reflected in </w:t>
      </w:r>
      <w:r w:rsidR="00FB35E3" w:rsidRPr="0026329D">
        <w:rPr>
          <w:lang w:val="en-CA"/>
        </w:rPr>
        <w:t>Appendix </w:t>
      </w:r>
      <w:r w:rsidRPr="0026329D">
        <w:rPr>
          <w:lang w:val="en-CA"/>
        </w:rPr>
        <w:t xml:space="preserve">8-A of the </w:t>
      </w:r>
      <w:r w:rsidR="004000EC" w:rsidRPr="0026329D">
        <w:rPr>
          <w:lang w:val="en-CA"/>
        </w:rPr>
        <w:t xml:space="preserve">draft </w:t>
      </w:r>
      <w:r w:rsidRPr="0026329D">
        <w:rPr>
          <w:lang w:val="en-CA"/>
        </w:rPr>
        <w:t xml:space="preserve">revised Agreement submitted to the present meeting in line with </w:t>
      </w:r>
      <w:r w:rsidR="00A81DEE" w:rsidRPr="0026329D">
        <w:rPr>
          <w:lang w:val="en-CA"/>
        </w:rPr>
        <w:t>decision </w:t>
      </w:r>
      <w:r w:rsidRPr="0026329D">
        <w:rPr>
          <w:lang w:val="en-CA"/>
        </w:rPr>
        <w:t>84/69(a)(vii).</w:t>
      </w:r>
    </w:p>
    <w:p w:rsidR="00337C27" w:rsidRPr="0026329D" w:rsidRDefault="00337C27" w:rsidP="00337C27">
      <w:pPr>
        <w:rPr>
          <w:u w:val="single"/>
          <w:lang w:val="en-CA"/>
        </w:rPr>
      </w:pPr>
      <w:r w:rsidRPr="0026329D">
        <w:rPr>
          <w:u w:val="single"/>
          <w:lang w:val="en-CA"/>
        </w:rPr>
        <w:t xml:space="preserve">Progress of the implementation of </w:t>
      </w:r>
      <w:r w:rsidR="00A81DEE" w:rsidRPr="0026329D">
        <w:rPr>
          <w:u w:val="single"/>
          <w:lang w:val="en-CA"/>
        </w:rPr>
        <w:t>stage </w:t>
      </w:r>
      <w:r w:rsidRPr="0026329D">
        <w:rPr>
          <w:u w:val="single"/>
          <w:lang w:val="en-CA"/>
        </w:rPr>
        <w:t>II of the RAC sector</w:t>
      </w:r>
    </w:p>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 xml:space="preserve">As of September 2020, five RAC manufacturing and four compressor manufacturing enterprises signed agreements to convert their RAC manufacturing lines to R-290, resulting in the phase-out of 2,221.12 mt of HCFC-22 and the manufacturing of over 5.4 million R-290-based compressors, as shown in Table 1. Incremental operating costs (IOCs) amounting to </w:t>
      </w:r>
      <w:r w:rsidR="00475A50" w:rsidRPr="0026329D">
        <w:rPr>
          <w:lang w:val="en-CA"/>
        </w:rPr>
        <w:t>US $</w:t>
      </w:r>
      <w:r w:rsidRPr="0026329D">
        <w:rPr>
          <w:lang w:val="en-CA"/>
        </w:rPr>
        <w:t>13,992,300 were allocated to beneficiary enterprises; no disbursements against those IOCs have yet been made.</w:t>
      </w:r>
    </w:p>
    <w:p w:rsidR="00337C27" w:rsidRPr="0026329D" w:rsidRDefault="00337C27" w:rsidP="00E2305C">
      <w:pPr>
        <w:keepNext/>
        <w:keepLines/>
        <w:rPr>
          <w:b/>
          <w:lang w:val="en-CA"/>
        </w:rPr>
      </w:pPr>
      <w:r w:rsidRPr="0026329D">
        <w:rPr>
          <w:b/>
          <w:lang w:val="en-CA"/>
        </w:rPr>
        <w:t>Table 1. RAC and compressor enterprises to be converted in the first two tranches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48"/>
        <w:gridCol w:w="1748"/>
        <w:gridCol w:w="1748"/>
        <w:gridCol w:w="1748"/>
      </w:tblGrid>
      <w:tr w:rsidR="00337C27" w:rsidRPr="0026329D" w:rsidTr="00665A83">
        <w:trPr>
          <w:cantSplit/>
          <w:tblHeader/>
        </w:trPr>
        <w:tc>
          <w:tcPr>
            <w:tcW w:w="1296" w:type="pct"/>
            <w:shd w:val="clear" w:color="000000" w:fill="FFFFFF"/>
            <w:vAlign w:val="center"/>
          </w:tcPr>
          <w:p w:rsidR="00337C27" w:rsidRPr="0026329D" w:rsidRDefault="00337C27" w:rsidP="00E2305C">
            <w:pPr>
              <w:keepNext/>
              <w:keepLines/>
              <w:jc w:val="left"/>
              <w:rPr>
                <w:b/>
                <w:sz w:val="20"/>
                <w:szCs w:val="20"/>
                <w:lang w:val="en-CA"/>
              </w:rPr>
            </w:pPr>
            <w:r w:rsidRPr="0026329D">
              <w:rPr>
                <w:b/>
                <w:sz w:val="20"/>
                <w:szCs w:val="20"/>
                <w:lang w:val="en-CA"/>
              </w:rPr>
              <w:t>Name</w:t>
            </w:r>
          </w:p>
        </w:tc>
        <w:tc>
          <w:tcPr>
            <w:tcW w:w="926" w:type="pct"/>
            <w:shd w:val="clear" w:color="000000" w:fill="FFFFFF"/>
            <w:tcMar>
              <w:left w:w="0" w:type="dxa"/>
              <w:right w:w="0" w:type="dxa"/>
            </w:tcMar>
            <w:vAlign w:val="center"/>
          </w:tcPr>
          <w:p w:rsidR="00337C27" w:rsidRPr="0026329D" w:rsidRDefault="00337C27" w:rsidP="00E2305C">
            <w:pPr>
              <w:keepNext/>
              <w:keepLines/>
              <w:jc w:val="center"/>
              <w:rPr>
                <w:b/>
                <w:sz w:val="20"/>
                <w:szCs w:val="20"/>
                <w:lang w:val="en-CA"/>
              </w:rPr>
            </w:pPr>
            <w:r w:rsidRPr="0026329D">
              <w:rPr>
                <w:b/>
                <w:sz w:val="20"/>
                <w:szCs w:val="20"/>
                <w:lang w:val="en-CA"/>
              </w:rPr>
              <w:t>Production (units)</w:t>
            </w:r>
          </w:p>
        </w:tc>
        <w:tc>
          <w:tcPr>
            <w:tcW w:w="926" w:type="pct"/>
            <w:shd w:val="clear" w:color="000000" w:fill="FFFFFF"/>
            <w:noWrap/>
            <w:tcMar>
              <w:left w:w="0" w:type="dxa"/>
              <w:right w:w="0" w:type="dxa"/>
            </w:tcMar>
            <w:vAlign w:val="center"/>
          </w:tcPr>
          <w:p w:rsidR="00337C27" w:rsidRPr="0026329D" w:rsidRDefault="00337C27" w:rsidP="00E2305C">
            <w:pPr>
              <w:keepNext/>
              <w:keepLines/>
              <w:jc w:val="center"/>
              <w:rPr>
                <w:b/>
                <w:sz w:val="20"/>
                <w:szCs w:val="20"/>
                <w:lang w:val="en-CA"/>
              </w:rPr>
            </w:pPr>
            <w:r w:rsidRPr="0026329D">
              <w:rPr>
                <w:b/>
                <w:sz w:val="20"/>
                <w:szCs w:val="20"/>
                <w:lang w:val="en-CA"/>
              </w:rPr>
              <w:t xml:space="preserve">Consumption (mt) </w:t>
            </w:r>
          </w:p>
        </w:tc>
        <w:tc>
          <w:tcPr>
            <w:tcW w:w="926" w:type="pct"/>
            <w:shd w:val="clear" w:color="000000" w:fill="FFFFFF"/>
            <w:noWrap/>
            <w:tcMar>
              <w:left w:w="0" w:type="dxa"/>
              <w:right w:w="0" w:type="dxa"/>
            </w:tcMar>
            <w:vAlign w:val="center"/>
          </w:tcPr>
          <w:p w:rsidR="00337C27" w:rsidRPr="0026329D" w:rsidRDefault="00337C27" w:rsidP="00E2305C">
            <w:pPr>
              <w:keepNext/>
              <w:keepLines/>
              <w:jc w:val="center"/>
              <w:rPr>
                <w:b/>
                <w:sz w:val="20"/>
                <w:szCs w:val="20"/>
                <w:lang w:val="en-CA"/>
              </w:rPr>
            </w:pPr>
            <w:r w:rsidRPr="0026329D">
              <w:rPr>
                <w:b/>
                <w:sz w:val="20"/>
                <w:szCs w:val="20"/>
                <w:lang w:val="en-CA"/>
              </w:rPr>
              <w:t>ICC (</w:t>
            </w:r>
            <w:r w:rsidR="00475A50" w:rsidRPr="0026329D">
              <w:rPr>
                <w:b/>
                <w:sz w:val="20"/>
                <w:szCs w:val="20"/>
                <w:lang w:val="en-CA"/>
              </w:rPr>
              <w:t>US $</w:t>
            </w:r>
            <w:r w:rsidRPr="0026329D">
              <w:rPr>
                <w:b/>
                <w:sz w:val="20"/>
                <w:szCs w:val="20"/>
                <w:lang w:val="en-CA"/>
              </w:rPr>
              <w:t>)</w:t>
            </w:r>
          </w:p>
        </w:tc>
        <w:tc>
          <w:tcPr>
            <w:tcW w:w="925" w:type="pct"/>
            <w:shd w:val="clear" w:color="000000" w:fill="FFFFFF"/>
            <w:tcMar>
              <w:left w:w="0" w:type="dxa"/>
              <w:right w:w="0" w:type="dxa"/>
            </w:tcMar>
            <w:vAlign w:val="center"/>
          </w:tcPr>
          <w:p w:rsidR="00337C27" w:rsidRPr="0026329D" w:rsidRDefault="00337C27" w:rsidP="00E2305C">
            <w:pPr>
              <w:keepNext/>
              <w:keepLines/>
              <w:jc w:val="center"/>
              <w:rPr>
                <w:b/>
                <w:sz w:val="20"/>
                <w:szCs w:val="20"/>
                <w:lang w:val="en-CA"/>
              </w:rPr>
            </w:pPr>
            <w:r w:rsidRPr="0026329D">
              <w:rPr>
                <w:b/>
                <w:sz w:val="20"/>
                <w:szCs w:val="20"/>
                <w:lang w:val="en-CA" w:eastAsia="zh-CN"/>
              </w:rPr>
              <w:t>Disbursement (</w:t>
            </w:r>
            <w:r w:rsidR="00475A50" w:rsidRPr="0026329D">
              <w:rPr>
                <w:b/>
                <w:sz w:val="20"/>
                <w:szCs w:val="20"/>
                <w:lang w:val="en-CA" w:eastAsia="zh-CN"/>
              </w:rPr>
              <w:t>US $</w:t>
            </w:r>
            <w:r w:rsidRPr="0026329D">
              <w:rPr>
                <w:b/>
                <w:sz w:val="20"/>
                <w:szCs w:val="20"/>
                <w:lang w:val="en-CA" w:eastAsia="zh-CN"/>
              </w:rPr>
              <w:t>)</w:t>
            </w:r>
          </w:p>
        </w:tc>
      </w:tr>
      <w:tr w:rsidR="00337C27" w:rsidRPr="0026329D" w:rsidTr="00665A83">
        <w:trPr>
          <w:cantSplit/>
          <w:tblHeader/>
        </w:trPr>
        <w:tc>
          <w:tcPr>
            <w:tcW w:w="5000" w:type="pct"/>
            <w:gridSpan w:val="5"/>
            <w:shd w:val="clear" w:color="000000" w:fill="FFFFFF"/>
            <w:vAlign w:val="center"/>
          </w:tcPr>
          <w:p w:rsidR="00337C27" w:rsidRPr="0026329D" w:rsidRDefault="00337C27" w:rsidP="00665A83">
            <w:pPr>
              <w:jc w:val="left"/>
              <w:rPr>
                <w:sz w:val="20"/>
                <w:szCs w:val="20"/>
                <w:lang w:val="en-CA" w:eastAsia="zh-CN"/>
              </w:rPr>
            </w:pPr>
            <w:r w:rsidRPr="0026329D">
              <w:rPr>
                <w:b/>
                <w:sz w:val="20"/>
                <w:szCs w:val="20"/>
                <w:lang w:val="en-CA"/>
              </w:rPr>
              <w:t>RAC enterprises</w:t>
            </w:r>
          </w:p>
        </w:tc>
      </w:tr>
      <w:tr w:rsidR="00337C27" w:rsidRPr="0026329D" w:rsidTr="00665A83">
        <w:trPr>
          <w:cantSplit/>
          <w:tblHeader/>
        </w:trPr>
        <w:tc>
          <w:tcPr>
            <w:tcW w:w="1296" w:type="pct"/>
            <w:shd w:val="clear" w:color="000000" w:fill="FFFFFF"/>
            <w:vAlign w:val="center"/>
          </w:tcPr>
          <w:p w:rsidR="00337C27" w:rsidRPr="0026329D" w:rsidRDefault="00337C27" w:rsidP="00665A83">
            <w:pPr>
              <w:rPr>
                <w:sz w:val="20"/>
                <w:szCs w:val="20"/>
                <w:lang w:val="en-CA"/>
              </w:rPr>
            </w:pPr>
            <w:r w:rsidRPr="0026329D">
              <w:rPr>
                <w:sz w:val="20"/>
                <w:szCs w:val="20"/>
                <w:lang w:val="en-CA"/>
              </w:rPr>
              <w:t>Changhong Zhongshan</w:t>
            </w:r>
          </w:p>
        </w:tc>
        <w:tc>
          <w:tcPr>
            <w:tcW w:w="926" w:type="pct"/>
            <w:shd w:val="clear" w:color="000000" w:fill="FFFFFF"/>
            <w:tcMar>
              <w:left w:w="115" w:type="dxa"/>
              <w:right w:w="216" w:type="dxa"/>
            </w:tcMar>
          </w:tcPr>
          <w:p w:rsidR="00337C27" w:rsidRPr="0026329D" w:rsidRDefault="00337C27" w:rsidP="00665A83">
            <w:pPr>
              <w:jc w:val="right"/>
              <w:rPr>
                <w:sz w:val="20"/>
                <w:szCs w:val="20"/>
                <w:lang w:val="en-CA"/>
              </w:rPr>
            </w:pPr>
            <w:r w:rsidRPr="0026329D">
              <w:rPr>
                <w:sz w:val="20"/>
                <w:szCs w:val="20"/>
                <w:lang w:val="en-CA"/>
              </w:rPr>
              <w:t xml:space="preserve">82,536 </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rPr>
            </w:pPr>
            <w:r w:rsidRPr="0026329D">
              <w:rPr>
                <w:sz w:val="20"/>
                <w:szCs w:val="20"/>
                <w:lang w:val="en-CA"/>
              </w:rPr>
              <w:t>83.36</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rPr>
            </w:pPr>
            <w:r w:rsidRPr="0026329D">
              <w:rPr>
                <w:sz w:val="20"/>
                <w:szCs w:val="20"/>
                <w:lang w:val="en-CA"/>
              </w:rPr>
              <w:t xml:space="preserve">1,352,355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405,707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Hisense Jiangmen</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143,213 </w:t>
            </w:r>
          </w:p>
        </w:tc>
        <w:tc>
          <w:tcPr>
            <w:tcW w:w="926" w:type="pct"/>
            <w:shd w:val="clear" w:color="000000" w:fill="FFFFFF"/>
            <w:noWrap/>
            <w:tcMar>
              <w:left w:w="115" w:type="dxa"/>
              <w:right w:w="216" w:type="dxa"/>
            </w:tcMar>
          </w:tcPr>
          <w:p w:rsidR="00337C27" w:rsidRPr="0026329D" w:rsidRDefault="00337C27" w:rsidP="00665A83">
            <w:pPr>
              <w:jc w:val="right"/>
              <w:rPr>
                <w:color w:val="000000"/>
                <w:sz w:val="20"/>
                <w:szCs w:val="20"/>
                <w:lang w:val="en-CA"/>
              </w:rPr>
            </w:pPr>
            <w:r w:rsidRPr="0026329D">
              <w:rPr>
                <w:rFonts w:eastAsia="Arial Unicode MS"/>
                <w:color w:val="000000"/>
                <w:sz w:val="20"/>
                <w:szCs w:val="20"/>
                <w:lang w:val="en-CA"/>
              </w:rPr>
              <w:t>110.19</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1,147,920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344,376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TCL Wuhan</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849,042 </w:t>
            </w:r>
          </w:p>
        </w:tc>
        <w:tc>
          <w:tcPr>
            <w:tcW w:w="926" w:type="pct"/>
            <w:shd w:val="clear" w:color="000000" w:fill="FFFFFF"/>
            <w:noWrap/>
            <w:tcMar>
              <w:left w:w="115" w:type="dxa"/>
              <w:right w:w="216" w:type="dxa"/>
            </w:tcMar>
          </w:tcPr>
          <w:p w:rsidR="00337C27" w:rsidRPr="0026329D" w:rsidRDefault="00337C27" w:rsidP="00665A83">
            <w:pPr>
              <w:jc w:val="right"/>
              <w:rPr>
                <w:color w:val="000000"/>
                <w:sz w:val="20"/>
                <w:szCs w:val="20"/>
                <w:lang w:val="en-CA"/>
              </w:rPr>
            </w:pPr>
            <w:r w:rsidRPr="0026329D">
              <w:rPr>
                <w:rFonts w:eastAsia="Arial Unicode MS"/>
                <w:color w:val="000000"/>
                <w:sz w:val="20"/>
                <w:szCs w:val="20"/>
                <w:lang w:val="en-CA"/>
              </w:rPr>
              <w:t>829.59</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1,352,355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405,707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TCL Zhongshan</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925,867 </w:t>
            </w:r>
          </w:p>
        </w:tc>
        <w:tc>
          <w:tcPr>
            <w:tcW w:w="926" w:type="pct"/>
            <w:shd w:val="clear" w:color="000000" w:fill="FFFFFF"/>
            <w:noWrap/>
            <w:tcMar>
              <w:left w:w="115" w:type="dxa"/>
              <w:right w:w="216" w:type="dxa"/>
            </w:tcMar>
          </w:tcPr>
          <w:p w:rsidR="00337C27" w:rsidRPr="0026329D" w:rsidRDefault="00337C27" w:rsidP="00665A83">
            <w:pPr>
              <w:jc w:val="right"/>
              <w:rPr>
                <w:rFonts w:eastAsia="Arial Unicode MS"/>
                <w:color w:val="000000"/>
                <w:sz w:val="20"/>
                <w:szCs w:val="20"/>
                <w:lang w:val="en-CA"/>
              </w:rPr>
            </w:pPr>
            <w:r w:rsidRPr="0026329D">
              <w:rPr>
                <w:rFonts w:eastAsia="Arial Unicode MS"/>
                <w:color w:val="000000"/>
                <w:sz w:val="20"/>
                <w:szCs w:val="20"/>
                <w:lang w:val="en-CA"/>
              </w:rPr>
              <w:t>875.87</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1,352,355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405,707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Yangzi Chuzhou</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294,454 </w:t>
            </w:r>
          </w:p>
        </w:tc>
        <w:tc>
          <w:tcPr>
            <w:tcW w:w="926" w:type="pct"/>
            <w:shd w:val="clear" w:color="000000" w:fill="FFFFFF"/>
            <w:noWrap/>
            <w:tcMar>
              <w:left w:w="115" w:type="dxa"/>
              <w:right w:w="216" w:type="dxa"/>
            </w:tcMar>
          </w:tcPr>
          <w:p w:rsidR="00337C27" w:rsidRPr="0026329D" w:rsidRDefault="00337C27" w:rsidP="00665A83">
            <w:pPr>
              <w:jc w:val="right"/>
              <w:rPr>
                <w:rFonts w:eastAsia="Arial Unicode MS"/>
                <w:color w:val="000000"/>
                <w:sz w:val="20"/>
                <w:szCs w:val="20"/>
                <w:lang w:val="en-CA"/>
              </w:rPr>
            </w:pPr>
            <w:r w:rsidRPr="0026329D">
              <w:rPr>
                <w:rFonts w:eastAsia="Arial Unicode MS"/>
                <w:color w:val="000000"/>
                <w:sz w:val="20"/>
                <w:szCs w:val="20"/>
                <w:lang w:val="en-CA"/>
              </w:rPr>
              <w:t>322.11</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1,340,805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402,242 </w:t>
            </w:r>
          </w:p>
        </w:tc>
      </w:tr>
      <w:tr w:rsidR="00337C27" w:rsidRPr="0026329D" w:rsidTr="00665A83">
        <w:trPr>
          <w:cantSplit/>
        </w:trPr>
        <w:tc>
          <w:tcPr>
            <w:tcW w:w="1296" w:type="pct"/>
            <w:shd w:val="clear" w:color="000000" w:fill="FFFFFF"/>
          </w:tcPr>
          <w:p w:rsidR="00337C27" w:rsidRPr="0026329D" w:rsidRDefault="00337C27" w:rsidP="00665A83">
            <w:pPr>
              <w:jc w:val="left"/>
              <w:rPr>
                <w:b/>
                <w:color w:val="000000"/>
                <w:sz w:val="20"/>
                <w:szCs w:val="20"/>
                <w:lang w:val="en-CA"/>
              </w:rPr>
            </w:pPr>
            <w:r w:rsidRPr="0026329D">
              <w:rPr>
                <w:b/>
                <w:color w:val="000000"/>
                <w:sz w:val="20"/>
                <w:szCs w:val="20"/>
                <w:lang w:val="en-CA"/>
              </w:rPr>
              <w:t>Total</w:t>
            </w:r>
          </w:p>
        </w:tc>
        <w:tc>
          <w:tcPr>
            <w:tcW w:w="926" w:type="pct"/>
            <w:shd w:val="clear" w:color="000000" w:fill="FFFFFF"/>
            <w:tcMar>
              <w:left w:w="115" w:type="dxa"/>
              <w:right w:w="216" w:type="dxa"/>
            </w:tcMar>
          </w:tcPr>
          <w:p w:rsidR="00337C27" w:rsidRPr="0026329D" w:rsidRDefault="00337C27" w:rsidP="00665A83">
            <w:pPr>
              <w:jc w:val="right"/>
              <w:rPr>
                <w:b/>
                <w:color w:val="000000"/>
                <w:sz w:val="20"/>
                <w:szCs w:val="20"/>
                <w:lang w:val="en-CA"/>
              </w:rPr>
            </w:pPr>
            <w:r w:rsidRPr="0026329D">
              <w:rPr>
                <w:b/>
                <w:color w:val="000000"/>
                <w:sz w:val="20"/>
                <w:szCs w:val="20"/>
                <w:lang w:val="en-CA"/>
              </w:rPr>
              <w:t>2,295,112</w:t>
            </w:r>
          </w:p>
        </w:tc>
        <w:tc>
          <w:tcPr>
            <w:tcW w:w="926" w:type="pct"/>
            <w:shd w:val="clear" w:color="000000" w:fill="FFFFFF"/>
            <w:noWrap/>
            <w:tcMar>
              <w:left w:w="115" w:type="dxa"/>
              <w:right w:w="216" w:type="dxa"/>
            </w:tcMar>
          </w:tcPr>
          <w:p w:rsidR="00337C27" w:rsidRPr="0026329D" w:rsidRDefault="00337C27" w:rsidP="00665A83">
            <w:pPr>
              <w:jc w:val="right"/>
              <w:rPr>
                <w:b/>
                <w:color w:val="000000"/>
                <w:sz w:val="20"/>
                <w:szCs w:val="20"/>
                <w:lang w:val="en-CA"/>
              </w:rPr>
            </w:pPr>
            <w:r w:rsidRPr="0026329D">
              <w:rPr>
                <w:b/>
                <w:color w:val="000000"/>
                <w:sz w:val="20"/>
                <w:szCs w:val="20"/>
                <w:lang w:val="en-CA"/>
              </w:rPr>
              <w:t>2,221.12</w:t>
            </w:r>
          </w:p>
        </w:tc>
        <w:tc>
          <w:tcPr>
            <w:tcW w:w="926" w:type="pct"/>
            <w:shd w:val="clear" w:color="000000" w:fill="FFFFFF"/>
            <w:noWrap/>
            <w:tcMar>
              <w:left w:w="115" w:type="dxa"/>
              <w:right w:w="216" w:type="dxa"/>
            </w:tcMar>
          </w:tcPr>
          <w:p w:rsidR="00337C27" w:rsidRPr="0026329D" w:rsidRDefault="00337C27" w:rsidP="00665A83">
            <w:pPr>
              <w:jc w:val="right"/>
              <w:rPr>
                <w:b/>
                <w:color w:val="000000"/>
                <w:sz w:val="20"/>
                <w:szCs w:val="20"/>
                <w:lang w:val="en-CA"/>
              </w:rPr>
            </w:pPr>
            <w:r w:rsidRPr="0026329D">
              <w:rPr>
                <w:b/>
                <w:color w:val="000000"/>
                <w:sz w:val="20"/>
                <w:szCs w:val="20"/>
                <w:lang w:val="en-CA"/>
              </w:rPr>
              <w:t>6,545,790</w:t>
            </w:r>
          </w:p>
        </w:tc>
        <w:tc>
          <w:tcPr>
            <w:tcW w:w="925" w:type="pct"/>
            <w:shd w:val="clear" w:color="000000" w:fill="FFFFFF"/>
            <w:tcMar>
              <w:left w:w="115" w:type="dxa"/>
              <w:right w:w="216" w:type="dxa"/>
            </w:tcMar>
          </w:tcPr>
          <w:p w:rsidR="00337C27" w:rsidRPr="0026329D" w:rsidRDefault="00337C27" w:rsidP="00665A83">
            <w:pPr>
              <w:jc w:val="right"/>
              <w:rPr>
                <w:b/>
                <w:color w:val="000000"/>
                <w:sz w:val="20"/>
                <w:szCs w:val="20"/>
                <w:lang w:val="en-CA"/>
              </w:rPr>
            </w:pPr>
            <w:r w:rsidRPr="0026329D">
              <w:rPr>
                <w:b/>
                <w:color w:val="000000"/>
                <w:sz w:val="20"/>
                <w:szCs w:val="20"/>
                <w:lang w:val="en-CA"/>
              </w:rPr>
              <w:t>1,963,739</w:t>
            </w:r>
          </w:p>
        </w:tc>
      </w:tr>
      <w:tr w:rsidR="00337C27" w:rsidRPr="0026329D" w:rsidTr="00665A83">
        <w:trPr>
          <w:cantSplit/>
        </w:trPr>
        <w:tc>
          <w:tcPr>
            <w:tcW w:w="1" w:type="pct"/>
            <w:gridSpan w:val="5"/>
            <w:shd w:val="clear" w:color="000000" w:fill="FFFFFF"/>
            <w:vAlign w:val="center"/>
          </w:tcPr>
          <w:p w:rsidR="00337C27" w:rsidRPr="0026329D" w:rsidRDefault="00337C27" w:rsidP="00665A83">
            <w:pPr>
              <w:jc w:val="left"/>
              <w:rPr>
                <w:b/>
                <w:sz w:val="20"/>
                <w:szCs w:val="20"/>
                <w:lang w:val="en-CA"/>
              </w:rPr>
            </w:pPr>
            <w:r w:rsidRPr="0026329D">
              <w:rPr>
                <w:b/>
                <w:sz w:val="20"/>
                <w:szCs w:val="20"/>
                <w:lang w:val="en-CA"/>
              </w:rPr>
              <w:t>Compressor enterprises</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GMCC*</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1,384,268 </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p>
        </w:tc>
        <w:tc>
          <w:tcPr>
            <w:tcW w:w="926"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861,490*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258,447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Highly</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891,288 </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p>
        </w:tc>
        <w:tc>
          <w:tcPr>
            <w:tcW w:w="926"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924,479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277,344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Shenyang Sanyo**</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1,465,635 </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p>
        </w:tc>
        <w:tc>
          <w:tcPr>
            <w:tcW w:w="926"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969,136**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290,741 </w:t>
            </w:r>
          </w:p>
        </w:tc>
      </w:tr>
      <w:tr w:rsidR="00337C27" w:rsidRPr="0026329D" w:rsidTr="00665A83">
        <w:trPr>
          <w:cantSplit/>
        </w:trPr>
        <w:tc>
          <w:tcPr>
            <w:tcW w:w="1296" w:type="pct"/>
            <w:shd w:val="clear" w:color="000000" w:fill="FFFFFF"/>
          </w:tcPr>
          <w:p w:rsidR="00337C27" w:rsidRPr="0026329D" w:rsidRDefault="00337C27" w:rsidP="00665A83">
            <w:pPr>
              <w:jc w:val="left"/>
              <w:rPr>
                <w:sz w:val="20"/>
                <w:szCs w:val="20"/>
                <w:lang w:val="en-CA" w:eastAsia="zh-CN"/>
              </w:rPr>
            </w:pPr>
            <w:r w:rsidRPr="0026329D">
              <w:rPr>
                <w:sz w:val="20"/>
                <w:szCs w:val="20"/>
                <w:lang w:val="en-CA" w:eastAsia="zh-CN"/>
              </w:rPr>
              <w:t>Xi'an Qing'an</w:t>
            </w:r>
          </w:p>
        </w:tc>
        <w:tc>
          <w:tcPr>
            <w:tcW w:w="926" w:type="pct"/>
            <w:shd w:val="clear" w:color="000000" w:fill="FFFFFF"/>
            <w:tcMar>
              <w:left w:w="115" w:type="dxa"/>
              <w:right w:w="216" w:type="dxa"/>
            </w:tcMar>
          </w:tcPr>
          <w:p w:rsidR="00337C27" w:rsidRPr="0026329D" w:rsidRDefault="00337C27" w:rsidP="00665A83">
            <w:pPr>
              <w:jc w:val="right"/>
              <w:rPr>
                <w:rFonts w:eastAsia="Arial Unicode MS"/>
                <w:sz w:val="20"/>
                <w:szCs w:val="20"/>
                <w:lang w:val="en-CA"/>
              </w:rPr>
            </w:pPr>
            <w:r w:rsidRPr="0026329D">
              <w:rPr>
                <w:rFonts w:eastAsia="Arial Unicode MS"/>
                <w:sz w:val="20"/>
                <w:szCs w:val="20"/>
                <w:lang w:val="en-CA"/>
              </w:rPr>
              <w:t xml:space="preserve">1,682,250 </w:t>
            </w:r>
          </w:p>
        </w:tc>
        <w:tc>
          <w:tcPr>
            <w:tcW w:w="926" w:type="pct"/>
            <w:shd w:val="clear" w:color="000000" w:fill="FFFFFF"/>
            <w:noWrap/>
            <w:tcMar>
              <w:left w:w="115" w:type="dxa"/>
              <w:right w:w="216" w:type="dxa"/>
            </w:tcMar>
          </w:tcPr>
          <w:p w:rsidR="00337C27" w:rsidRPr="0026329D" w:rsidRDefault="00337C27" w:rsidP="00665A83">
            <w:pPr>
              <w:jc w:val="right"/>
              <w:rPr>
                <w:sz w:val="20"/>
                <w:szCs w:val="20"/>
                <w:lang w:val="en-CA" w:eastAsia="zh-CN"/>
              </w:rPr>
            </w:pPr>
          </w:p>
        </w:tc>
        <w:tc>
          <w:tcPr>
            <w:tcW w:w="926"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1,744,895 </w:t>
            </w:r>
          </w:p>
        </w:tc>
        <w:tc>
          <w:tcPr>
            <w:tcW w:w="925" w:type="pct"/>
            <w:shd w:val="clear" w:color="000000" w:fill="FFFFFF"/>
            <w:tcMar>
              <w:left w:w="115" w:type="dxa"/>
              <w:right w:w="216" w:type="dxa"/>
            </w:tcMar>
          </w:tcPr>
          <w:p w:rsidR="00337C27" w:rsidRPr="0026329D" w:rsidRDefault="00337C27" w:rsidP="00665A83">
            <w:pPr>
              <w:jc w:val="right"/>
              <w:rPr>
                <w:sz w:val="20"/>
                <w:szCs w:val="20"/>
                <w:lang w:val="en-CA" w:eastAsia="zh-CN"/>
              </w:rPr>
            </w:pPr>
            <w:r w:rsidRPr="0026329D">
              <w:rPr>
                <w:sz w:val="20"/>
                <w:szCs w:val="20"/>
                <w:lang w:val="en-CA" w:eastAsia="zh-CN"/>
              </w:rPr>
              <w:t xml:space="preserve">523,469 </w:t>
            </w:r>
          </w:p>
        </w:tc>
      </w:tr>
      <w:tr w:rsidR="00337C27" w:rsidRPr="0026329D" w:rsidTr="00665A83">
        <w:trPr>
          <w:cantSplit/>
        </w:trPr>
        <w:tc>
          <w:tcPr>
            <w:tcW w:w="1296" w:type="pct"/>
            <w:shd w:val="clear" w:color="000000" w:fill="FFFFFF"/>
          </w:tcPr>
          <w:p w:rsidR="00337C27" w:rsidRPr="0026329D" w:rsidRDefault="00337C27" w:rsidP="00665A83">
            <w:pPr>
              <w:jc w:val="left"/>
              <w:rPr>
                <w:b/>
                <w:sz w:val="20"/>
                <w:szCs w:val="20"/>
                <w:lang w:val="en-CA" w:eastAsia="zh-CN"/>
              </w:rPr>
            </w:pPr>
            <w:r w:rsidRPr="0026329D">
              <w:rPr>
                <w:b/>
                <w:sz w:val="20"/>
                <w:szCs w:val="20"/>
                <w:lang w:val="en-CA" w:eastAsia="zh-CN"/>
              </w:rPr>
              <w:t>Total</w:t>
            </w:r>
          </w:p>
        </w:tc>
        <w:tc>
          <w:tcPr>
            <w:tcW w:w="926" w:type="pct"/>
            <w:shd w:val="clear" w:color="000000" w:fill="FFFFFF"/>
            <w:tcMar>
              <w:left w:w="115" w:type="dxa"/>
              <w:right w:w="216" w:type="dxa"/>
            </w:tcMar>
          </w:tcPr>
          <w:p w:rsidR="00337C27" w:rsidRPr="0026329D" w:rsidRDefault="00337C27" w:rsidP="00665A83">
            <w:pPr>
              <w:jc w:val="right"/>
              <w:rPr>
                <w:rFonts w:eastAsia="Arial Unicode MS"/>
                <w:b/>
                <w:sz w:val="20"/>
                <w:szCs w:val="20"/>
                <w:lang w:val="en-CA"/>
              </w:rPr>
            </w:pPr>
            <w:r w:rsidRPr="0026329D">
              <w:rPr>
                <w:rFonts w:eastAsia="Arial Unicode MS"/>
                <w:b/>
                <w:sz w:val="20"/>
                <w:szCs w:val="20"/>
                <w:lang w:val="en-CA"/>
              </w:rPr>
              <w:t xml:space="preserve">5,423,441 </w:t>
            </w:r>
          </w:p>
        </w:tc>
        <w:tc>
          <w:tcPr>
            <w:tcW w:w="926" w:type="pct"/>
            <w:shd w:val="clear" w:color="000000" w:fill="FFFFFF"/>
            <w:noWrap/>
            <w:tcMar>
              <w:left w:w="115" w:type="dxa"/>
              <w:right w:w="216" w:type="dxa"/>
            </w:tcMar>
          </w:tcPr>
          <w:p w:rsidR="00337C27" w:rsidRPr="0026329D" w:rsidRDefault="00337C27" w:rsidP="00665A83">
            <w:pPr>
              <w:jc w:val="right"/>
              <w:rPr>
                <w:rFonts w:eastAsia="Arial Unicode MS"/>
                <w:b/>
                <w:sz w:val="20"/>
                <w:szCs w:val="20"/>
                <w:lang w:val="en-CA"/>
              </w:rPr>
            </w:pPr>
          </w:p>
        </w:tc>
        <w:tc>
          <w:tcPr>
            <w:tcW w:w="926" w:type="pct"/>
            <w:shd w:val="clear" w:color="000000" w:fill="FFFFFF"/>
            <w:tcMar>
              <w:left w:w="115" w:type="dxa"/>
              <w:right w:w="216" w:type="dxa"/>
            </w:tcMar>
          </w:tcPr>
          <w:p w:rsidR="00337C27" w:rsidRPr="0026329D" w:rsidRDefault="00337C27" w:rsidP="00665A83">
            <w:pPr>
              <w:jc w:val="right"/>
              <w:rPr>
                <w:rFonts w:eastAsia="Arial Unicode MS"/>
                <w:b/>
                <w:sz w:val="20"/>
                <w:szCs w:val="20"/>
                <w:lang w:val="en-CA"/>
              </w:rPr>
            </w:pPr>
            <w:r w:rsidRPr="0026329D">
              <w:rPr>
                <w:rFonts w:eastAsia="Arial Unicode MS"/>
                <w:b/>
                <w:sz w:val="20"/>
                <w:szCs w:val="20"/>
                <w:lang w:val="en-CA"/>
              </w:rPr>
              <w:t xml:space="preserve">4,500,000 </w:t>
            </w:r>
          </w:p>
        </w:tc>
        <w:tc>
          <w:tcPr>
            <w:tcW w:w="925" w:type="pct"/>
            <w:shd w:val="clear" w:color="000000" w:fill="FFFFFF"/>
            <w:tcMar>
              <w:left w:w="115" w:type="dxa"/>
              <w:right w:w="216" w:type="dxa"/>
            </w:tcMar>
          </w:tcPr>
          <w:p w:rsidR="00337C27" w:rsidRPr="0026329D" w:rsidRDefault="00337C27" w:rsidP="00665A83">
            <w:pPr>
              <w:jc w:val="right"/>
              <w:rPr>
                <w:b/>
                <w:sz w:val="20"/>
                <w:szCs w:val="20"/>
                <w:lang w:val="en-CA" w:eastAsia="zh-CN"/>
              </w:rPr>
            </w:pPr>
            <w:r w:rsidRPr="0026329D">
              <w:rPr>
                <w:rFonts w:eastAsia="DengXian"/>
                <w:b/>
                <w:sz w:val="20"/>
                <w:szCs w:val="20"/>
                <w:lang w:val="en-CA"/>
              </w:rPr>
              <w:t xml:space="preserve">1,350,001 </w:t>
            </w:r>
          </w:p>
        </w:tc>
      </w:tr>
    </w:tbl>
    <w:p w:rsidR="00337C27" w:rsidRPr="0026329D" w:rsidRDefault="00337C27" w:rsidP="00337C27">
      <w:pPr>
        <w:pStyle w:val="ListParagraph"/>
        <w:shd w:val="clear" w:color="auto" w:fill="FFFFFF" w:themeFill="background1"/>
        <w:ind w:left="0"/>
        <w:rPr>
          <w:rFonts w:eastAsia="Calibri"/>
          <w:color w:val="000000" w:themeColor="text1"/>
          <w:sz w:val="18"/>
          <w:szCs w:val="18"/>
          <w:lang w:val="en-CA"/>
        </w:rPr>
      </w:pPr>
      <w:r w:rsidRPr="0026329D">
        <w:rPr>
          <w:rFonts w:eastAsia="Calibri"/>
          <w:color w:val="000000" w:themeColor="text1"/>
          <w:sz w:val="18"/>
          <w:szCs w:val="18"/>
          <w:lang w:val="en-CA"/>
        </w:rPr>
        <w:t>* 40 per cent non-Article 5 ownership, which is reflected in the incremental capital costs (ICCs)</w:t>
      </w:r>
    </w:p>
    <w:p w:rsidR="00337C27" w:rsidRPr="0026329D" w:rsidRDefault="00337C27" w:rsidP="00337C27">
      <w:pPr>
        <w:pStyle w:val="ListParagraph"/>
        <w:shd w:val="clear" w:color="auto" w:fill="FFFFFF" w:themeFill="background1"/>
        <w:ind w:left="0"/>
        <w:rPr>
          <w:rFonts w:eastAsia="Calibri"/>
          <w:color w:val="000000" w:themeColor="text1"/>
          <w:sz w:val="18"/>
          <w:szCs w:val="18"/>
          <w:lang w:val="en-CA"/>
        </w:rPr>
      </w:pPr>
      <w:r w:rsidRPr="0026329D">
        <w:rPr>
          <w:rFonts w:eastAsia="Calibri"/>
          <w:color w:val="000000" w:themeColor="text1"/>
          <w:sz w:val="18"/>
          <w:szCs w:val="18"/>
          <w:lang w:val="en-CA"/>
        </w:rPr>
        <w:t>** 36 per cent non-Article 5 ownership, which is reflected in the ICCs</w:t>
      </w:r>
    </w:p>
    <w:p w:rsidR="00337C27" w:rsidRPr="0026329D" w:rsidRDefault="00337C27" w:rsidP="00337C27">
      <w:pPr>
        <w:pStyle w:val="ListParagraph"/>
        <w:shd w:val="clear" w:color="auto" w:fill="FFFFFF" w:themeFill="background1"/>
        <w:ind w:left="0"/>
        <w:rPr>
          <w:rFonts w:eastAsia="Calibri"/>
          <w:color w:val="000000" w:themeColor="text1"/>
          <w:lang w:val="en-CA"/>
        </w:rPr>
      </w:pPr>
    </w:p>
    <w:p w:rsidR="00337C27" w:rsidRPr="0026329D" w:rsidRDefault="00337C27" w:rsidP="00337C27">
      <w:pPr>
        <w:pStyle w:val="Heading1"/>
        <w:rPr>
          <w:rFonts w:eastAsia="Calibri"/>
          <w:color w:val="000000" w:themeColor="text1"/>
          <w:lang w:val="en-CA"/>
        </w:rPr>
      </w:pPr>
      <w:r w:rsidRPr="0026329D">
        <w:rPr>
          <w:lang w:val="en-CA"/>
        </w:rPr>
        <w:t xml:space="preserve">Of thirteen research and development (R&amp;D) projects for the introduction of the R-290 technology, with an associated budget of </w:t>
      </w:r>
      <w:r w:rsidR="00475A50" w:rsidRPr="0026329D">
        <w:rPr>
          <w:lang w:val="en-CA"/>
        </w:rPr>
        <w:t>US $</w:t>
      </w:r>
      <w:r w:rsidRPr="0026329D">
        <w:rPr>
          <w:lang w:val="en-CA"/>
        </w:rPr>
        <w:t xml:space="preserve">3,393,142, five contracts had been signed, bidding for two contracts had been issued, and bidding for six contracts was to be initiated; at the time of finalization of the present document, disbursements against the signed contracts was in process. An additional </w:t>
      </w:r>
      <w:r w:rsidR="00475A50" w:rsidRPr="0026329D">
        <w:rPr>
          <w:lang w:val="en-CA"/>
        </w:rPr>
        <w:t>US $</w:t>
      </w:r>
      <w:r w:rsidRPr="0026329D">
        <w:rPr>
          <w:lang w:val="en-CA"/>
        </w:rPr>
        <w:t xml:space="preserve">723,733 is allocated for still-to-be determined TA activities to facilitate the market uptake of R-290 RAC equipment. A contract to undertake the independent verification was signed for </w:t>
      </w:r>
      <w:r w:rsidR="00475A50" w:rsidRPr="0026329D">
        <w:rPr>
          <w:lang w:val="en-CA"/>
        </w:rPr>
        <w:t>US $</w:t>
      </w:r>
      <w:r w:rsidRPr="0026329D">
        <w:rPr>
          <w:lang w:val="en-CA"/>
        </w:rPr>
        <w:t>132,171; the first disbursement against that signed contract is expected by 31 December 2020.</w:t>
      </w:r>
    </w:p>
    <w:p w:rsidR="00337C27" w:rsidRPr="0026329D" w:rsidRDefault="00337C27" w:rsidP="00337C27">
      <w:pPr>
        <w:pStyle w:val="Heading1"/>
        <w:rPr>
          <w:rFonts w:eastAsia="Calibri"/>
          <w:color w:val="000000" w:themeColor="text1"/>
          <w:lang w:val="en-CA"/>
        </w:rPr>
      </w:pPr>
      <w:r w:rsidRPr="0026329D">
        <w:rPr>
          <w:lang w:val="en-CA"/>
        </w:rPr>
        <w:t xml:space="preserve">The China Household Electrical Appliance Association (CHEAA) continued to provide assistance for the implementation of the RAC sector plan; </w:t>
      </w:r>
      <w:r w:rsidR="00475A50" w:rsidRPr="0026329D">
        <w:rPr>
          <w:lang w:val="en-CA"/>
        </w:rPr>
        <w:t>US $</w:t>
      </w:r>
      <w:r w:rsidRPr="0026329D">
        <w:rPr>
          <w:lang w:val="en-CA"/>
        </w:rPr>
        <w:t xml:space="preserve">140,656 was disbursed to CHEAA and the consultant firm that verified the baseline consumption of the five manufacturing lines. Of the </w:t>
      </w:r>
      <w:r w:rsidR="00475A50" w:rsidRPr="0026329D">
        <w:rPr>
          <w:lang w:val="en-CA"/>
        </w:rPr>
        <w:t>US $</w:t>
      </w:r>
      <w:r w:rsidRPr="0026329D">
        <w:rPr>
          <w:lang w:val="en-CA"/>
        </w:rPr>
        <w:t xml:space="preserve">1,644,556 allocated to the project implementation and monitoring unit (PMU) under the first two tranches, </w:t>
      </w:r>
      <w:r w:rsidR="00475A50" w:rsidRPr="0026329D">
        <w:rPr>
          <w:lang w:val="en-CA"/>
        </w:rPr>
        <w:t>US $</w:t>
      </w:r>
      <w:r w:rsidRPr="0026329D">
        <w:rPr>
          <w:lang w:val="en-CA"/>
        </w:rPr>
        <w:t>493,367 was disbursed.</w:t>
      </w:r>
    </w:p>
    <w:p w:rsidR="00337C27" w:rsidRPr="0026329D" w:rsidRDefault="00337C27" w:rsidP="00337C27">
      <w:pPr>
        <w:pStyle w:val="Heading1"/>
        <w:rPr>
          <w:lang w:val="en-CA"/>
        </w:rPr>
      </w:pPr>
      <w:r w:rsidRPr="0026329D">
        <w:rPr>
          <w:lang w:val="en-CA"/>
        </w:rPr>
        <w:t xml:space="preserve">As of September 2020, of the </w:t>
      </w:r>
      <w:r w:rsidR="00475A50" w:rsidRPr="0026329D">
        <w:rPr>
          <w:lang w:val="en-CA"/>
        </w:rPr>
        <w:t>US $</w:t>
      </w:r>
      <w:r w:rsidRPr="0026329D">
        <w:rPr>
          <w:lang w:val="en-CA"/>
        </w:rPr>
        <w:t xml:space="preserve">31,562,981 so far approved, </w:t>
      </w:r>
      <w:r w:rsidR="00475A50" w:rsidRPr="0026329D">
        <w:rPr>
          <w:lang w:val="en-CA"/>
        </w:rPr>
        <w:t>US $</w:t>
      </w:r>
      <w:r w:rsidRPr="0026329D">
        <w:rPr>
          <w:lang w:val="en-CA"/>
        </w:rPr>
        <w:t>3,454,396 (11 per cent) had been disbursed to the final beneficiaries, as shown in Table 2.</w:t>
      </w:r>
    </w:p>
    <w:p w:rsidR="00337C27" w:rsidRPr="0026329D" w:rsidRDefault="00337C27" w:rsidP="00337C27">
      <w:pPr>
        <w:rPr>
          <w:b/>
          <w:lang w:val="en-CA"/>
        </w:rPr>
      </w:pPr>
      <w:r w:rsidRPr="0026329D">
        <w:rPr>
          <w:b/>
          <w:lang w:val="en-CA"/>
        </w:rPr>
        <w:t>Table 2. Level of disbursement in the first two tranches</w:t>
      </w:r>
    </w:p>
    <w:tbl>
      <w:tblPr>
        <w:tblW w:w="9351" w:type="dxa"/>
        <w:jc w:val="right"/>
        <w:tblLook w:val="04A0" w:firstRow="1" w:lastRow="0" w:firstColumn="1" w:lastColumn="0" w:noHBand="0" w:noVBand="1"/>
      </w:tblPr>
      <w:tblGrid>
        <w:gridCol w:w="3055"/>
        <w:gridCol w:w="2185"/>
        <w:gridCol w:w="1276"/>
        <w:gridCol w:w="1417"/>
        <w:gridCol w:w="1418"/>
      </w:tblGrid>
      <w:tr w:rsidR="00337C27" w:rsidRPr="0026329D" w:rsidTr="00665A83">
        <w:trPr>
          <w:trHeight w:val="125"/>
          <w:jc w:val="right"/>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7C27" w:rsidRPr="0026329D" w:rsidRDefault="00337C27" w:rsidP="00665A83">
            <w:pPr>
              <w:jc w:val="left"/>
              <w:rPr>
                <w:b/>
                <w:bCs/>
                <w:color w:val="000000"/>
                <w:sz w:val="20"/>
                <w:szCs w:val="20"/>
                <w:lang w:val="en-CA" w:eastAsia="en-CA"/>
              </w:rPr>
            </w:pPr>
            <w:r w:rsidRPr="0026329D">
              <w:rPr>
                <w:b/>
                <w:bCs/>
                <w:color w:val="000000"/>
                <w:sz w:val="20"/>
                <w:szCs w:val="20"/>
                <w:lang w:val="en-CA" w:eastAsia="en-CA"/>
              </w:rPr>
              <w:t>Particulars</w:t>
            </w:r>
          </w:p>
        </w:tc>
        <w:tc>
          <w:tcPr>
            <w:tcW w:w="1276" w:type="dxa"/>
            <w:tcBorders>
              <w:top w:val="single" w:sz="4" w:space="0" w:color="auto"/>
              <w:left w:val="nil"/>
              <w:bottom w:val="single" w:sz="4" w:space="0" w:color="auto"/>
              <w:right w:val="single" w:sz="4" w:space="0" w:color="auto"/>
            </w:tcBorders>
            <w:shd w:val="clear" w:color="auto" w:fill="auto"/>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Tranche 1</w:t>
            </w:r>
          </w:p>
        </w:tc>
        <w:tc>
          <w:tcPr>
            <w:tcW w:w="1417" w:type="dxa"/>
            <w:tcBorders>
              <w:top w:val="single" w:sz="4" w:space="0" w:color="auto"/>
              <w:left w:val="nil"/>
              <w:bottom w:val="single" w:sz="4" w:space="0" w:color="auto"/>
              <w:right w:val="single" w:sz="4" w:space="0" w:color="auto"/>
            </w:tcBorders>
            <w:shd w:val="clear" w:color="auto" w:fill="auto"/>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Tranche 2</w:t>
            </w:r>
          </w:p>
        </w:tc>
        <w:tc>
          <w:tcPr>
            <w:tcW w:w="1418" w:type="dxa"/>
            <w:tcBorders>
              <w:top w:val="single" w:sz="4" w:space="0" w:color="auto"/>
              <w:left w:val="nil"/>
              <w:bottom w:val="single" w:sz="4" w:space="0" w:color="auto"/>
              <w:right w:val="single" w:sz="4" w:space="0" w:color="auto"/>
            </w:tcBorders>
            <w:shd w:val="clear" w:color="auto" w:fill="auto"/>
            <w:noWrap/>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Total</w:t>
            </w:r>
          </w:p>
        </w:tc>
      </w:tr>
      <w:tr w:rsidR="00337C27" w:rsidRPr="0026329D" w:rsidTr="00665A83">
        <w:trPr>
          <w:trHeight w:val="134"/>
          <w:jc w:val="right"/>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Funds approved</w:t>
            </w:r>
          </w:p>
        </w:tc>
        <w:tc>
          <w:tcPr>
            <w:tcW w:w="1276"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15,562,981</w:t>
            </w:r>
          </w:p>
        </w:tc>
        <w:tc>
          <w:tcPr>
            <w:tcW w:w="1417"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16,000,000</w:t>
            </w:r>
          </w:p>
        </w:tc>
        <w:tc>
          <w:tcPr>
            <w:tcW w:w="1418"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31,562,981</w:t>
            </w:r>
          </w:p>
        </w:tc>
      </w:tr>
      <w:tr w:rsidR="00337C27" w:rsidRPr="0026329D" w:rsidTr="00665A83">
        <w:trPr>
          <w:trHeight w:val="134"/>
          <w:jc w:val="right"/>
        </w:trPr>
        <w:tc>
          <w:tcPr>
            <w:tcW w:w="3055" w:type="dxa"/>
            <w:vMerge w:val="restart"/>
            <w:tcBorders>
              <w:top w:val="nil"/>
              <w:left w:val="single" w:sz="4" w:space="0" w:color="auto"/>
              <w:bottom w:val="single" w:sz="4" w:space="0" w:color="auto"/>
              <w:right w:val="single" w:sz="4" w:space="0" w:color="auto"/>
            </w:tcBorders>
            <w:shd w:val="clear" w:color="auto" w:fill="auto"/>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Disbursement from UNIDO to FECO</w:t>
            </w:r>
          </w:p>
        </w:tc>
        <w:tc>
          <w:tcPr>
            <w:tcW w:w="2185" w:type="dxa"/>
            <w:tcBorders>
              <w:top w:val="nil"/>
              <w:left w:val="nil"/>
              <w:bottom w:val="single" w:sz="4" w:space="0" w:color="auto"/>
              <w:right w:val="single" w:sz="4" w:space="0" w:color="auto"/>
            </w:tcBorders>
            <w:shd w:val="clear" w:color="auto" w:fill="auto"/>
            <w:noWrap/>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Amount (</w:t>
            </w:r>
            <w:r w:rsidR="00475A50" w:rsidRPr="0026329D">
              <w:rPr>
                <w:color w:val="000000"/>
                <w:sz w:val="20"/>
                <w:szCs w:val="20"/>
                <w:lang w:val="en-CA" w:eastAsia="en-CA"/>
              </w:rPr>
              <w:t>US $</w:t>
            </w:r>
            <w:r w:rsidRPr="0026329D">
              <w:rPr>
                <w:color w:val="000000"/>
                <w:sz w:val="20"/>
                <w:szCs w:val="20"/>
                <w:lang w:val="en-CA" w:eastAsia="en-CA"/>
              </w:rPr>
              <w:t>)</w:t>
            </w:r>
          </w:p>
        </w:tc>
        <w:tc>
          <w:tcPr>
            <w:tcW w:w="1276"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4,309,022</w:t>
            </w:r>
          </w:p>
        </w:tc>
        <w:tc>
          <w:tcPr>
            <w:tcW w:w="1417"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4,624,436</w:t>
            </w:r>
          </w:p>
        </w:tc>
        <w:tc>
          <w:tcPr>
            <w:tcW w:w="1418"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8,933,458</w:t>
            </w:r>
          </w:p>
        </w:tc>
      </w:tr>
      <w:tr w:rsidR="00337C27" w:rsidRPr="0026329D" w:rsidTr="00665A83">
        <w:trPr>
          <w:trHeight w:val="208"/>
          <w:jc w:val="right"/>
        </w:trPr>
        <w:tc>
          <w:tcPr>
            <w:tcW w:w="3055" w:type="dxa"/>
            <w:vMerge/>
            <w:tcBorders>
              <w:top w:val="nil"/>
              <w:left w:val="single" w:sz="4" w:space="0" w:color="auto"/>
              <w:bottom w:val="single" w:sz="4" w:space="0" w:color="auto"/>
              <w:right w:val="single" w:sz="4" w:space="0" w:color="auto"/>
            </w:tcBorders>
            <w:hideMark/>
          </w:tcPr>
          <w:p w:rsidR="00337C27" w:rsidRPr="0026329D" w:rsidRDefault="00337C27" w:rsidP="00665A83">
            <w:pPr>
              <w:jc w:val="left"/>
              <w:rPr>
                <w:color w:val="000000"/>
                <w:sz w:val="20"/>
                <w:szCs w:val="20"/>
                <w:lang w:val="en-CA" w:eastAsia="en-CA"/>
              </w:rPr>
            </w:pPr>
          </w:p>
        </w:tc>
        <w:tc>
          <w:tcPr>
            <w:tcW w:w="2185" w:type="dxa"/>
            <w:tcBorders>
              <w:top w:val="nil"/>
              <w:left w:val="nil"/>
              <w:bottom w:val="single" w:sz="4" w:space="0" w:color="auto"/>
              <w:right w:val="single" w:sz="4" w:space="0" w:color="auto"/>
            </w:tcBorders>
            <w:shd w:val="clear" w:color="auto" w:fill="auto"/>
            <w:noWrap/>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Disbursement ratio (%)</w:t>
            </w:r>
          </w:p>
        </w:tc>
        <w:tc>
          <w:tcPr>
            <w:tcW w:w="1276"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28</w:t>
            </w:r>
          </w:p>
        </w:tc>
        <w:tc>
          <w:tcPr>
            <w:tcW w:w="1417"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29</w:t>
            </w:r>
          </w:p>
        </w:tc>
        <w:tc>
          <w:tcPr>
            <w:tcW w:w="1418"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28</w:t>
            </w:r>
          </w:p>
        </w:tc>
      </w:tr>
      <w:tr w:rsidR="00337C27" w:rsidRPr="0026329D" w:rsidTr="00665A83">
        <w:trPr>
          <w:trHeight w:val="141"/>
          <w:jc w:val="right"/>
        </w:trPr>
        <w:tc>
          <w:tcPr>
            <w:tcW w:w="3055" w:type="dxa"/>
            <w:vMerge w:val="restart"/>
            <w:tcBorders>
              <w:top w:val="nil"/>
              <w:left w:val="single" w:sz="4" w:space="0" w:color="auto"/>
              <w:bottom w:val="single" w:sz="4" w:space="0" w:color="auto"/>
              <w:right w:val="single" w:sz="4" w:space="0" w:color="auto"/>
            </w:tcBorders>
            <w:shd w:val="clear" w:color="auto" w:fill="auto"/>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Disbursement from FECO to beneficiaries*</w:t>
            </w:r>
          </w:p>
        </w:tc>
        <w:tc>
          <w:tcPr>
            <w:tcW w:w="2185" w:type="dxa"/>
            <w:tcBorders>
              <w:top w:val="nil"/>
              <w:left w:val="nil"/>
              <w:bottom w:val="single" w:sz="4" w:space="0" w:color="auto"/>
              <w:right w:val="single" w:sz="4" w:space="0" w:color="auto"/>
            </w:tcBorders>
            <w:shd w:val="clear" w:color="auto" w:fill="auto"/>
            <w:noWrap/>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Amount (</w:t>
            </w:r>
            <w:r w:rsidR="00475A50" w:rsidRPr="0026329D">
              <w:rPr>
                <w:color w:val="000000"/>
                <w:sz w:val="20"/>
                <w:szCs w:val="20"/>
                <w:lang w:val="en-CA" w:eastAsia="en-CA"/>
              </w:rPr>
              <w:t>US $</w:t>
            </w:r>
            <w:r w:rsidRPr="0026329D">
              <w:rPr>
                <w:color w:val="000000"/>
                <w:sz w:val="20"/>
                <w:szCs w:val="20"/>
                <w:lang w:val="en-CA" w:eastAsia="en-CA"/>
              </w:rPr>
              <w:t>)</w:t>
            </w:r>
          </w:p>
        </w:tc>
        <w:tc>
          <w:tcPr>
            <w:tcW w:w="1276"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3,454,396</w:t>
            </w:r>
          </w:p>
        </w:tc>
        <w:tc>
          <w:tcPr>
            <w:tcW w:w="1417"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3,454,396</w:t>
            </w:r>
          </w:p>
        </w:tc>
      </w:tr>
      <w:tr w:rsidR="00337C27" w:rsidRPr="0026329D" w:rsidTr="00665A83">
        <w:trPr>
          <w:trHeight w:val="58"/>
          <w:jc w:val="right"/>
        </w:trPr>
        <w:tc>
          <w:tcPr>
            <w:tcW w:w="3055" w:type="dxa"/>
            <w:vMerge/>
            <w:tcBorders>
              <w:top w:val="nil"/>
              <w:left w:val="single" w:sz="4" w:space="0" w:color="auto"/>
              <w:bottom w:val="single" w:sz="4" w:space="0" w:color="auto"/>
              <w:right w:val="single" w:sz="4" w:space="0" w:color="auto"/>
            </w:tcBorders>
            <w:hideMark/>
          </w:tcPr>
          <w:p w:rsidR="00337C27" w:rsidRPr="0026329D" w:rsidRDefault="00337C27" w:rsidP="00665A83">
            <w:pPr>
              <w:jc w:val="left"/>
              <w:rPr>
                <w:color w:val="000000"/>
                <w:sz w:val="20"/>
                <w:szCs w:val="20"/>
                <w:lang w:val="en-CA" w:eastAsia="en-CA"/>
              </w:rPr>
            </w:pPr>
          </w:p>
        </w:tc>
        <w:tc>
          <w:tcPr>
            <w:tcW w:w="2185" w:type="dxa"/>
            <w:tcBorders>
              <w:top w:val="nil"/>
              <w:left w:val="nil"/>
              <w:bottom w:val="single" w:sz="4" w:space="0" w:color="auto"/>
              <w:right w:val="single" w:sz="4" w:space="0" w:color="auto"/>
            </w:tcBorders>
            <w:shd w:val="clear" w:color="auto" w:fill="auto"/>
            <w:noWrap/>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Disbursement ratio (%)</w:t>
            </w:r>
          </w:p>
        </w:tc>
        <w:tc>
          <w:tcPr>
            <w:tcW w:w="1276"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22</w:t>
            </w:r>
          </w:p>
        </w:tc>
        <w:tc>
          <w:tcPr>
            <w:tcW w:w="1417"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hideMark/>
          </w:tcPr>
          <w:p w:rsidR="00337C27" w:rsidRPr="0026329D" w:rsidRDefault="00337C27" w:rsidP="00665A83">
            <w:pPr>
              <w:jc w:val="right"/>
              <w:rPr>
                <w:sz w:val="20"/>
                <w:szCs w:val="20"/>
                <w:lang w:val="en-CA" w:eastAsia="en-CA"/>
              </w:rPr>
            </w:pPr>
            <w:r w:rsidRPr="0026329D">
              <w:rPr>
                <w:sz w:val="20"/>
                <w:szCs w:val="20"/>
                <w:lang w:val="en-CA" w:eastAsia="en-CA"/>
              </w:rPr>
              <w:t>11</w:t>
            </w:r>
          </w:p>
        </w:tc>
      </w:tr>
    </w:tbl>
    <w:p w:rsidR="00337C27" w:rsidRPr="0026329D" w:rsidRDefault="007C428D" w:rsidP="00E2305C">
      <w:pPr>
        <w:pStyle w:val="ListParagraph"/>
        <w:shd w:val="clear" w:color="auto" w:fill="FFFFFF" w:themeFill="background1"/>
        <w:ind w:left="0"/>
        <w:rPr>
          <w:rFonts w:eastAsia="Calibri"/>
          <w:color w:val="000000" w:themeColor="text1"/>
          <w:sz w:val="18"/>
          <w:szCs w:val="18"/>
          <w:lang w:val="en-CA"/>
        </w:rPr>
      </w:pPr>
      <w:r w:rsidRPr="0026329D">
        <w:rPr>
          <w:rFonts w:eastAsia="Calibri"/>
          <w:color w:val="000000" w:themeColor="text1"/>
          <w:sz w:val="18"/>
          <w:szCs w:val="18"/>
          <w:lang w:val="en-CA"/>
        </w:rPr>
        <w:t xml:space="preserve">  </w:t>
      </w:r>
      <w:r w:rsidR="00337C27" w:rsidRPr="0026329D">
        <w:rPr>
          <w:rFonts w:eastAsia="Calibri"/>
          <w:color w:val="000000" w:themeColor="text1"/>
          <w:sz w:val="18"/>
          <w:szCs w:val="18"/>
          <w:lang w:val="en-CA"/>
        </w:rPr>
        <w:t>* FECO does not include disbursement related to the PMU in its reporting of disbursement to final beneficiaries</w:t>
      </w:r>
    </w:p>
    <w:p w:rsidR="00411B01" w:rsidRPr="0026329D" w:rsidRDefault="00411B01" w:rsidP="00E2305C">
      <w:pPr>
        <w:pStyle w:val="ListParagraph"/>
        <w:shd w:val="clear" w:color="auto" w:fill="FFFFFF" w:themeFill="background1"/>
        <w:ind w:left="0"/>
        <w:rPr>
          <w:rFonts w:eastAsia="Calibri"/>
          <w:b/>
          <w:color w:val="000000" w:themeColor="text1"/>
          <w:lang w:val="en-CA"/>
        </w:rPr>
      </w:pPr>
    </w:p>
    <w:p w:rsidR="00337C27" w:rsidRPr="0026329D" w:rsidRDefault="00337C27" w:rsidP="00E2305C">
      <w:pPr>
        <w:pStyle w:val="ListParagraph"/>
        <w:shd w:val="clear" w:color="auto" w:fill="FFFFFF" w:themeFill="background1"/>
        <w:ind w:left="0"/>
        <w:rPr>
          <w:rFonts w:eastAsia="Calibri"/>
          <w:b/>
          <w:color w:val="000000" w:themeColor="text1"/>
          <w:lang w:val="en-CA"/>
        </w:rPr>
      </w:pPr>
      <w:r w:rsidRPr="0026329D">
        <w:rPr>
          <w:rFonts w:eastAsia="Calibri"/>
          <w:b/>
          <w:color w:val="000000" w:themeColor="text1"/>
          <w:lang w:val="en-CA"/>
        </w:rPr>
        <w:t>Revised extended plan of action</w:t>
      </w:r>
    </w:p>
    <w:p w:rsidR="00337C27" w:rsidRPr="0026329D" w:rsidRDefault="00337C27" w:rsidP="00E2305C">
      <w:pPr>
        <w:pStyle w:val="ListParagraph"/>
        <w:shd w:val="clear" w:color="auto" w:fill="FFFFFF" w:themeFill="background1"/>
        <w:ind w:left="0"/>
        <w:rPr>
          <w:rFonts w:eastAsia="Calibri"/>
          <w:b/>
          <w:color w:val="000000" w:themeColor="text1"/>
          <w:lang w:val="en-CA"/>
        </w:rPr>
      </w:pPr>
    </w:p>
    <w:p w:rsidR="00337C27" w:rsidRPr="0026329D" w:rsidRDefault="00A81DEE" w:rsidP="00E2305C">
      <w:pPr>
        <w:pStyle w:val="Heading1"/>
        <w:shd w:val="clear" w:color="auto" w:fill="FFFFFF" w:themeFill="background1"/>
        <w:rPr>
          <w:lang w:val="en-CA"/>
        </w:rPr>
      </w:pPr>
      <w:r w:rsidRPr="0026329D">
        <w:rPr>
          <w:rFonts w:eastAsia="Calibri"/>
          <w:lang w:val="en-CA"/>
        </w:rPr>
        <w:t>Stage </w:t>
      </w:r>
      <w:r w:rsidR="00337C27" w:rsidRPr="0026329D">
        <w:rPr>
          <w:rFonts w:eastAsia="Calibri"/>
          <w:lang w:val="en-CA"/>
        </w:rPr>
        <w:t xml:space="preserve">II would continue to be implemented through a combination of </w:t>
      </w:r>
      <w:r w:rsidR="00337C27" w:rsidRPr="0026329D">
        <w:rPr>
          <w:lang w:val="en-CA"/>
        </w:rPr>
        <w:t>conversion of manufacturing lines; regulatory actions; technical assistance (TA) activities; and implementation and monitoring.</w:t>
      </w:r>
    </w:p>
    <w:p w:rsidR="00337C27" w:rsidRPr="0026329D" w:rsidRDefault="00337C27" w:rsidP="00E2305C">
      <w:pPr>
        <w:keepNext/>
        <w:keepLines/>
        <w:widowControl w:val="0"/>
        <w:shd w:val="clear" w:color="auto" w:fill="FFFFFF" w:themeFill="background1"/>
        <w:spacing w:after="240"/>
        <w:outlineLvl w:val="0"/>
        <w:rPr>
          <w:u w:val="single"/>
          <w:lang w:val="en-CA"/>
        </w:rPr>
      </w:pPr>
      <w:r w:rsidRPr="0026329D">
        <w:rPr>
          <w:u w:val="single"/>
          <w:lang w:val="en-CA"/>
        </w:rPr>
        <w:t xml:space="preserve">Conversion of manufacturing lines </w:t>
      </w:r>
    </w:p>
    <w:p w:rsidR="00337C27" w:rsidRPr="0026329D" w:rsidRDefault="00337C27" w:rsidP="00E2305C">
      <w:pPr>
        <w:pStyle w:val="Heading1"/>
        <w:keepNext/>
        <w:keepLines/>
        <w:shd w:val="clear" w:color="auto" w:fill="FFFFFF" w:themeFill="background1"/>
        <w:rPr>
          <w:lang w:val="en-CA"/>
        </w:rPr>
      </w:pPr>
      <w:r w:rsidRPr="0026329D">
        <w:rPr>
          <w:lang w:val="en-CA"/>
        </w:rPr>
        <w:t xml:space="preserve">Under the first two tranches of </w:t>
      </w:r>
      <w:r w:rsidR="00A81DEE" w:rsidRPr="0026329D">
        <w:rPr>
          <w:lang w:val="en-CA"/>
        </w:rPr>
        <w:t>stage </w:t>
      </w:r>
      <w:r w:rsidRPr="0026329D">
        <w:rPr>
          <w:lang w:val="en-CA"/>
        </w:rPr>
        <w:t>II (2016-2021),</w:t>
      </w:r>
      <w:r w:rsidRPr="0026329D">
        <w:rPr>
          <w:rStyle w:val="FootnoteReference"/>
          <w:lang w:val="en-CA"/>
        </w:rPr>
        <w:footnoteReference w:id="15"/>
      </w:r>
      <w:r w:rsidRPr="0026329D">
        <w:rPr>
          <w:lang w:val="en-CA"/>
        </w:rPr>
        <w:t xml:space="preserve"> a total of five RAC manufacturing lines with an associated consumption of 2,221.12 mt (122.16 ODP tonnes) of HCFC-22 will be converted to R-290. An additional 23,924 mt (1,315.82 ODP tonnes) of HCFC-22 will be phased out without funding from the Multilateral Fund in 2016-2021.</w:t>
      </w:r>
      <w:r w:rsidRPr="0026329D">
        <w:rPr>
          <w:rStyle w:val="FootnoteReference"/>
          <w:lang w:val="en-CA"/>
        </w:rPr>
        <w:footnoteReference w:id="16"/>
      </w:r>
      <w:r w:rsidRPr="0026329D">
        <w:rPr>
          <w:lang w:val="en-CA"/>
        </w:rPr>
        <w:t xml:space="preserve"> </w:t>
      </w:r>
    </w:p>
    <w:p w:rsidR="00337C27" w:rsidRPr="0026329D" w:rsidRDefault="00337C27" w:rsidP="00337C27">
      <w:pPr>
        <w:pStyle w:val="Heading1"/>
        <w:shd w:val="clear" w:color="auto" w:fill="FFFFFF" w:themeFill="background1"/>
        <w:rPr>
          <w:lang w:val="en-CA"/>
        </w:rPr>
      </w:pPr>
      <w:r w:rsidRPr="0026329D">
        <w:rPr>
          <w:lang w:val="en-CA"/>
        </w:rPr>
        <w:t>In 2022-2026, a further 2,085 mt (114.68 ODP tonnes) of HCFC-22 will be phased out through the conversion of an additional 5 RAC manufacturing lines and three HPWH manufacturing lines to R-290. An additional 16,590 mt (912.45 ODP tonnes) of HCFC-22 will be phased out without funding from the Multilateral Fund, as summarized in Table 3.</w:t>
      </w:r>
    </w:p>
    <w:p w:rsidR="00337C27" w:rsidRPr="0026329D" w:rsidRDefault="00337C27" w:rsidP="00337C27">
      <w:pPr>
        <w:rPr>
          <w:b/>
          <w:sz w:val="21"/>
          <w:szCs w:val="21"/>
          <w:lang w:val="en-CA"/>
        </w:rPr>
      </w:pPr>
      <w:r w:rsidRPr="0026329D">
        <w:rPr>
          <w:b/>
          <w:sz w:val="21"/>
          <w:szCs w:val="21"/>
          <w:lang w:val="en-CA"/>
        </w:rPr>
        <w:t xml:space="preserve">Table 3. Manufacturing line conversions and associated phase-out of HCFC-22 (mt) under </w:t>
      </w:r>
      <w:r w:rsidR="00A81DEE" w:rsidRPr="0026329D">
        <w:rPr>
          <w:b/>
          <w:sz w:val="21"/>
          <w:szCs w:val="21"/>
          <w:lang w:val="en-CA"/>
        </w:rPr>
        <w:t>stage </w:t>
      </w:r>
      <w:r w:rsidRPr="0026329D">
        <w:rPr>
          <w:b/>
          <w:sz w:val="21"/>
          <w:szCs w:val="21"/>
          <w:lang w:val="en-CA"/>
        </w:rPr>
        <w:t xml:space="preserve">II </w:t>
      </w:r>
    </w:p>
    <w:tbl>
      <w:tblPr>
        <w:tblW w:w="5000" w:type="pct"/>
        <w:jc w:val="right"/>
        <w:tblLook w:val="04A0" w:firstRow="1" w:lastRow="0" w:firstColumn="1" w:lastColumn="0" w:noHBand="0" w:noVBand="1"/>
      </w:tblPr>
      <w:tblGrid>
        <w:gridCol w:w="4458"/>
        <w:gridCol w:w="1661"/>
        <w:gridCol w:w="1661"/>
        <w:gridCol w:w="1660"/>
      </w:tblGrid>
      <w:tr w:rsidR="00337C27" w:rsidRPr="0026329D" w:rsidTr="006D156C">
        <w:trPr>
          <w:trHeight w:val="107"/>
          <w:tblHeader/>
          <w:jc w:val="right"/>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27" w:rsidRPr="0026329D" w:rsidRDefault="00337C27" w:rsidP="00665A83">
            <w:pPr>
              <w:jc w:val="left"/>
              <w:rPr>
                <w:b/>
                <w:color w:val="000000"/>
                <w:sz w:val="20"/>
                <w:szCs w:val="20"/>
                <w:lang w:val="en-CA" w:eastAsia="en-CA"/>
              </w:rPr>
            </w:pPr>
            <w:r w:rsidRPr="0026329D">
              <w:rPr>
                <w:b/>
                <w:color w:val="000000"/>
                <w:sz w:val="20"/>
                <w:szCs w:val="20"/>
                <w:lang w:val="en-CA" w:eastAsia="en-CA"/>
              </w:rPr>
              <w:t>Particulars</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2016-2021</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2022-2026</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37C27" w:rsidRPr="0026329D" w:rsidRDefault="00337C27" w:rsidP="00665A83">
            <w:pPr>
              <w:jc w:val="center"/>
              <w:rPr>
                <w:b/>
                <w:bCs/>
                <w:color w:val="000000"/>
                <w:sz w:val="20"/>
                <w:szCs w:val="20"/>
                <w:lang w:val="en-CA" w:eastAsia="en-CA"/>
              </w:rPr>
            </w:pPr>
            <w:r w:rsidRPr="0026329D">
              <w:rPr>
                <w:b/>
                <w:bCs/>
                <w:color w:val="000000"/>
                <w:sz w:val="20"/>
                <w:szCs w:val="20"/>
                <w:lang w:val="en-CA" w:eastAsia="en-CA"/>
              </w:rPr>
              <w:t xml:space="preserve">Total </w:t>
            </w:r>
          </w:p>
        </w:tc>
      </w:tr>
      <w:tr w:rsidR="00337C27" w:rsidRPr="0026329D" w:rsidTr="00665A83">
        <w:trPr>
          <w:trHeight w:val="62"/>
          <w:jc w:val="right"/>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Funded</w:t>
            </w:r>
          </w:p>
        </w:tc>
      </w:tr>
      <w:tr w:rsidR="00337C27" w:rsidRPr="0026329D" w:rsidTr="006D156C">
        <w:trPr>
          <w:trHeight w:val="206"/>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5 RAC manufacturing lines to 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2,221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2,221</w:t>
            </w:r>
          </w:p>
        </w:tc>
      </w:tr>
      <w:tr w:rsidR="00337C27" w:rsidRPr="0026329D" w:rsidTr="006D156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5 additional RAC manufacturing lines to 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2,013</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2,013</w:t>
            </w:r>
          </w:p>
        </w:tc>
      </w:tr>
      <w:tr w:rsidR="00337C27" w:rsidRPr="0026329D" w:rsidTr="006D156C">
        <w:trPr>
          <w:trHeight w:val="161"/>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rsidR="00337C27" w:rsidRPr="0026329D" w:rsidRDefault="00337C27" w:rsidP="00665A83">
            <w:pPr>
              <w:jc w:val="left"/>
              <w:rPr>
                <w:color w:val="000000"/>
                <w:sz w:val="20"/>
                <w:szCs w:val="20"/>
                <w:lang w:val="en-CA" w:eastAsia="en-CA"/>
              </w:rPr>
            </w:pPr>
            <w:r w:rsidRPr="0026329D">
              <w:rPr>
                <w:color w:val="000000"/>
                <w:sz w:val="20"/>
                <w:szCs w:val="20"/>
                <w:lang w:val="en-CA" w:eastAsia="en-CA"/>
              </w:rPr>
              <w:t>3 HPWH manufacturing lines to 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72</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72</w:t>
            </w:r>
          </w:p>
        </w:tc>
      </w:tr>
      <w:tr w:rsidR="00337C27" w:rsidRPr="0026329D" w:rsidTr="006D156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337C27" w:rsidRPr="0026329D" w:rsidRDefault="00337C27" w:rsidP="00665A83">
            <w:pPr>
              <w:jc w:val="left"/>
              <w:rPr>
                <w:iCs/>
                <w:color w:val="000000"/>
                <w:sz w:val="20"/>
                <w:szCs w:val="20"/>
                <w:lang w:val="en-CA" w:eastAsia="en-CA"/>
              </w:rPr>
            </w:pPr>
            <w:r w:rsidRPr="0026329D">
              <w:rPr>
                <w:iCs/>
                <w:color w:val="000000"/>
                <w:sz w:val="20"/>
                <w:szCs w:val="20"/>
                <w:lang w:val="en-CA" w:eastAsia="en-CA"/>
              </w:rPr>
              <w:t>Sub-total (mt)</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iCs/>
                <w:color w:val="000000"/>
                <w:sz w:val="20"/>
                <w:szCs w:val="20"/>
                <w:lang w:val="en-CA" w:eastAsia="en-CA"/>
              </w:rPr>
            </w:pPr>
            <w:r w:rsidRPr="0026329D">
              <w:rPr>
                <w:iCs/>
                <w:color w:val="000000"/>
                <w:sz w:val="20"/>
                <w:szCs w:val="20"/>
                <w:lang w:val="en-CA" w:eastAsia="en-CA"/>
              </w:rPr>
              <w:t>2,221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iCs/>
                <w:color w:val="000000"/>
                <w:sz w:val="20"/>
                <w:szCs w:val="20"/>
                <w:lang w:val="en-CA" w:eastAsia="en-CA"/>
              </w:rPr>
            </w:pPr>
            <w:r w:rsidRPr="0026329D">
              <w:rPr>
                <w:iCs/>
                <w:color w:val="000000"/>
                <w:sz w:val="20"/>
                <w:szCs w:val="20"/>
                <w:lang w:val="en-CA" w:eastAsia="en-CA"/>
              </w:rPr>
              <w:t>2,085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iCs/>
                <w:color w:val="000000"/>
                <w:sz w:val="20"/>
                <w:szCs w:val="20"/>
                <w:lang w:val="en-CA" w:eastAsia="en-CA"/>
              </w:rPr>
            </w:pPr>
            <w:r w:rsidRPr="0026329D">
              <w:rPr>
                <w:iCs/>
                <w:color w:val="000000"/>
                <w:sz w:val="20"/>
                <w:szCs w:val="20"/>
                <w:lang w:val="en-CA" w:eastAsia="en-CA"/>
              </w:rPr>
              <w:t>4,306</w:t>
            </w:r>
          </w:p>
        </w:tc>
      </w:tr>
      <w:tr w:rsidR="00337C27" w:rsidRPr="0026329D" w:rsidTr="006D156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337C27" w:rsidRPr="0026329D" w:rsidRDefault="00337C27" w:rsidP="00665A83">
            <w:pPr>
              <w:rPr>
                <w:color w:val="000000"/>
                <w:sz w:val="20"/>
                <w:szCs w:val="20"/>
                <w:lang w:val="en-CA" w:eastAsia="en-CA"/>
              </w:rPr>
            </w:pPr>
            <w:r w:rsidRPr="0026329D">
              <w:rPr>
                <w:color w:val="000000"/>
                <w:sz w:val="20"/>
                <w:szCs w:val="20"/>
                <w:lang w:val="en-CA" w:eastAsia="en-CA"/>
              </w:rPr>
              <w:t>Not funded</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23,924</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16,590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color w:val="000000"/>
                <w:sz w:val="20"/>
                <w:szCs w:val="20"/>
                <w:lang w:val="en-CA" w:eastAsia="en-CA"/>
              </w:rPr>
            </w:pPr>
            <w:r w:rsidRPr="0026329D">
              <w:rPr>
                <w:color w:val="000000"/>
                <w:sz w:val="20"/>
                <w:szCs w:val="20"/>
                <w:lang w:val="en-CA" w:eastAsia="en-CA"/>
              </w:rPr>
              <w:t>33,044</w:t>
            </w:r>
          </w:p>
        </w:tc>
      </w:tr>
      <w:tr w:rsidR="00337C27" w:rsidRPr="0026329D" w:rsidTr="006D156C">
        <w:trPr>
          <w:trHeight w:val="62"/>
          <w:jc w:val="right"/>
        </w:trPr>
        <w:tc>
          <w:tcPr>
            <w:tcW w:w="2361" w:type="pct"/>
            <w:tcBorders>
              <w:top w:val="nil"/>
              <w:left w:val="single" w:sz="4" w:space="0" w:color="auto"/>
              <w:bottom w:val="single" w:sz="4" w:space="0" w:color="auto"/>
              <w:right w:val="single" w:sz="4" w:space="0" w:color="auto"/>
            </w:tcBorders>
            <w:shd w:val="clear" w:color="auto" w:fill="auto"/>
            <w:noWrap/>
            <w:hideMark/>
          </w:tcPr>
          <w:p w:rsidR="00337C27" w:rsidRPr="0026329D" w:rsidRDefault="00337C27" w:rsidP="00665A83">
            <w:pPr>
              <w:rPr>
                <w:b/>
                <w:bCs/>
                <w:color w:val="000000"/>
                <w:sz w:val="20"/>
                <w:szCs w:val="20"/>
                <w:lang w:val="en-CA" w:eastAsia="en-CA"/>
              </w:rPr>
            </w:pPr>
            <w:r w:rsidRPr="0026329D">
              <w:rPr>
                <w:b/>
                <w:bCs/>
                <w:color w:val="000000"/>
                <w:sz w:val="20"/>
                <w:szCs w:val="20"/>
                <w:lang w:val="en-CA" w:eastAsia="en-CA"/>
              </w:rPr>
              <w:t>Total (mt)</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475A50" w:rsidP="00665A83">
            <w:pPr>
              <w:jc w:val="right"/>
              <w:rPr>
                <w:b/>
                <w:bCs/>
                <w:color w:val="000000"/>
                <w:sz w:val="20"/>
                <w:szCs w:val="20"/>
                <w:lang w:val="en-CA"/>
              </w:rPr>
            </w:pPr>
            <w:r w:rsidRPr="0026329D">
              <w:rPr>
                <w:b/>
                <w:bCs/>
                <w:color w:val="000000"/>
                <w:sz w:val="20"/>
                <w:szCs w:val="20"/>
                <w:lang w:val="en-CA"/>
              </w:rPr>
              <w:t xml:space="preserve"> </w:t>
            </w:r>
            <w:r w:rsidR="00337C27" w:rsidRPr="0026329D">
              <w:rPr>
                <w:b/>
                <w:bCs/>
                <w:color w:val="000000"/>
                <w:sz w:val="20"/>
                <w:szCs w:val="20"/>
                <w:lang w:val="en-CA"/>
              </w:rPr>
              <w:t xml:space="preserve">26,145 </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b/>
                <w:bCs/>
                <w:color w:val="000000"/>
                <w:sz w:val="20"/>
                <w:szCs w:val="20"/>
                <w:lang w:val="en-CA" w:eastAsia="en-CA"/>
              </w:rPr>
            </w:pPr>
            <w:r w:rsidRPr="0026329D">
              <w:rPr>
                <w:b/>
                <w:bCs/>
                <w:color w:val="000000"/>
                <w:sz w:val="20"/>
                <w:szCs w:val="20"/>
                <w:lang w:val="en-CA" w:eastAsia="en-CA"/>
              </w:rPr>
              <w:t>18,675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rsidR="00337C27" w:rsidRPr="0026329D" w:rsidRDefault="00337C27" w:rsidP="00665A83">
            <w:pPr>
              <w:jc w:val="right"/>
              <w:rPr>
                <w:b/>
                <w:bCs/>
                <w:color w:val="000000"/>
                <w:sz w:val="20"/>
                <w:szCs w:val="20"/>
                <w:lang w:val="en-CA" w:eastAsia="en-CA"/>
              </w:rPr>
            </w:pPr>
            <w:r w:rsidRPr="0026329D">
              <w:rPr>
                <w:b/>
                <w:bCs/>
                <w:color w:val="000000"/>
                <w:sz w:val="20"/>
                <w:szCs w:val="20"/>
                <w:lang w:val="en-CA" w:eastAsia="en-CA"/>
              </w:rPr>
              <w:t>44,820</w:t>
            </w:r>
          </w:p>
        </w:tc>
      </w:tr>
    </w:tbl>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 xml:space="preserve">For conversions between 2022-2026, ICCs to convert a RAC manufacturing line with a capacity of 350,000 units/year line to R-290 was estimated at </w:t>
      </w:r>
      <w:r w:rsidR="00475A50" w:rsidRPr="0026329D">
        <w:rPr>
          <w:lang w:val="en-CA"/>
        </w:rPr>
        <w:t>US $</w:t>
      </w:r>
      <w:r w:rsidRPr="0026329D">
        <w:rPr>
          <w:lang w:val="en-CA"/>
        </w:rPr>
        <w:t xml:space="preserve">1,421,807, and </w:t>
      </w:r>
      <w:r w:rsidR="00475A50" w:rsidRPr="0026329D">
        <w:rPr>
          <w:lang w:val="en-CA"/>
        </w:rPr>
        <w:t>US $</w:t>
      </w:r>
      <w:r w:rsidRPr="0026329D">
        <w:rPr>
          <w:lang w:val="en-CA"/>
        </w:rPr>
        <w:t xml:space="preserve">302,750 to convert a HPWH manufacturing line with a capacity of 20,000 units/year, resulting in a total ICC of </w:t>
      </w:r>
      <w:r w:rsidR="00475A50" w:rsidRPr="0026329D">
        <w:rPr>
          <w:lang w:val="en-CA"/>
        </w:rPr>
        <w:t>US $</w:t>
      </w:r>
      <w:r w:rsidRPr="0026329D">
        <w:rPr>
          <w:lang w:val="en-CA"/>
        </w:rPr>
        <w:t xml:space="preserve">8,017,285 for those years. IOCs of conversion of RAC and HPWH production lines were requested at </w:t>
      </w:r>
      <w:r w:rsidR="00475A50" w:rsidRPr="0026329D">
        <w:rPr>
          <w:lang w:val="en-CA"/>
        </w:rPr>
        <w:t>US $</w:t>
      </w:r>
      <w:r w:rsidRPr="0026329D">
        <w:rPr>
          <w:lang w:val="en-CA"/>
        </w:rPr>
        <w:t xml:space="preserve">6.30/kg, in line with decision 74/50(c)(viii), for a total of </w:t>
      </w:r>
      <w:r w:rsidR="00475A50" w:rsidRPr="0026329D">
        <w:rPr>
          <w:lang w:val="en-CA"/>
        </w:rPr>
        <w:t>US $</w:t>
      </w:r>
      <w:r w:rsidRPr="0026329D">
        <w:rPr>
          <w:lang w:val="en-CA"/>
        </w:rPr>
        <w:t xml:space="preserve">13,135,500. </w:t>
      </w:r>
    </w:p>
    <w:p w:rsidR="00337C27" w:rsidRPr="0026329D" w:rsidRDefault="00337C27" w:rsidP="002979AE">
      <w:pPr>
        <w:keepNext/>
        <w:keepLines/>
        <w:widowControl w:val="0"/>
        <w:autoSpaceDN w:val="0"/>
        <w:adjustRightInd w:val="0"/>
        <w:spacing w:after="240"/>
        <w:rPr>
          <w:color w:val="000000"/>
          <w:u w:val="single"/>
          <w:lang w:val="en-CA"/>
        </w:rPr>
      </w:pPr>
      <w:r w:rsidRPr="0026329D">
        <w:rPr>
          <w:color w:val="000000"/>
          <w:u w:val="single"/>
          <w:lang w:val="en-CA"/>
        </w:rPr>
        <w:t xml:space="preserve">Regulatory actions in 2022-2026 </w:t>
      </w:r>
    </w:p>
    <w:p w:rsidR="00337C27" w:rsidRPr="0026329D" w:rsidRDefault="00337C27" w:rsidP="002979AE">
      <w:pPr>
        <w:pStyle w:val="Heading1"/>
        <w:keepNext/>
        <w:keepLines/>
        <w:rPr>
          <w:lang w:val="en-CA"/>
        </w:rPr>
      </w:pPr>
      <w:r w:rsidRPr="0026329D">
        <w:rPr>
          <w:lang w:val="en-CA"/>
        </w:rPr>
        <w:t>The regulatory component will support the conversion of RAC and HPWH production lines and will include improvement of the quota management system; revision of RAC energy efficiency standards and other existing standards, and development of a new technical standard on CO</w:t>
      </w:r>
      <w:r w:rsidRPr="0026329D">
        <w:rPr>
          <w:vertAlign w:val="subscript"/>
          <w:lang w:val="en-CA"/>
        </w:rPr>
        <w:t>2</w:t>
      </w:r>
      <w:r w:rsidRPr="0026329D">
        <w:rPr>
          <w:lang w:val="en-CA"/>
        </w:rPr>
        <w:t xml:space="preserve">; establishment of financial incentives and mechanisms to encourage the application of environmentally friendly alternatives; and establishment of public green procurement. </w:t>
      </w:r>
    </w:p>
    <w:p w:rsidR="00337C27" w:rsidRPr="0026329D" w:rsidRDefault="00337C27" w:rsidP="00337C27">
      <w:pPr>
        <w:pStyle w:val="Heading1"/>
        <w:widowControl w:val="0"/>
        <w:numPr>
          <w:ilvl w:val="0"/>
          <w:numId w:val="0"/>
        </w:numPr>
        <w:rPr>
          <w:lang w:val="en-CA"/>
        </w:rPr>
      </w:pPr>
      <w:r w:rsidRPr="0026329D">
        <w:rPr>
          <w:u w:val="single"/>
          <w:lang w:val="en-CA"/>
        </w:rPr>
        <w:t>TA activities in 2022-2026</w:t>
      </w:r>
    </w:p>
    <w:p w:rsidR="00337C27" w:rsidRPr="0026329D" w:rsidRDefault="00337C27" w:rsidP="00337C27">
      <w:pPr>
        <w:pStyle w:val="Heading1"/>
        <w:widowControl w:val="0"/>
        <w:rPr>
          <w:lang w:val="en-CA"/>
        </w:rPr>
      </w:pPr>
      <w:r w:rsidRPr="0026329D">
        <w:rPr>
          <w:lang w:val="en-CA"/>
        </w:rPr>
        <w:t xml:space="preserve">The following four TA activities have been proposed for 2022-2026 to increase the market share of R-290 RAC technology at a total cost of </w:t>
      </w:r>
      <w:r w:rsidR="00475A50" w:rsidRPr="0026329D">
        <w:rPr>
          <w:lang w:val="en-CA"/>
        </w:rPr>
        <w:t>US $</w:t>
      </w:r>
      <w:r w:rsidRPr="0026329D">
        <w:rPr>
          <w:lang w:val="en-CA"/>
        </w:rPr>
        <w:t>2,740,000: promotion of the R-290 eco-label (</w:t>
      </w:r>
      <w:r w:rsidR="00475A50" w:rsidRPr="0026329D">
        <w:rPr>
          <w:lang w:val="en-CA"/>
        </w:rPr>
        <w:t>US $</w:t>
      </w:r>
      <w:r w:rsidRPr="0026329D">
        <w:rPr>
          <w:lang w:val="en-CA"/>
        </w:rPr>
        <w:t>100,000); establish a mechanism to increase the sale of R-290 RAC equipment (</w:t>
      </w:r>
      <w:r w:rsidR="00475A50" w:rsidRPr="0026329D">
        <w:rPr>
          <w:lang w:val="en-CA"/>
        </w:rPr>
        <w:t>US $</w:t>
      </w:r>
      <w:r w:rsidRPr="0026329D">
        <w:rPr>
          <w:lang w:val="en-CA"/>
        </w:rPr>
        <w:t>620,000); a pilot installation of 10,000 R-290 RAC units (</w:t>
      </w:r>
      <w:r w:rsidR="00475A50" w:rsidRPr="0026329D">
        <w:rPr>
          <w:lang w:val="en-CA"/>
        </w:rPr>
        <w:t>US $</w:t>
      </w:r>
      <w:r w:rsidRPr="0026329D">
        <w:rPr>
          <w:lang w:val="en-CA"/>
        </w:rPr>
        <w:t>650,000) and data collection and analysis (</w:t>
      </w:r>
      <w:r w:rsidR="00475A50" w:rsidRPr="0026329D">
        <w:rPr>
          <w:lang w:val="en-CA"/>
        </w:rPr>
        <w:t>US $</w:t>
      </w:r>
      <w:r w:rsidRPr="0026329D">
        <w:rPr>
          <w:lang w:val="en-CA"/>
        </w:rPr>
        <w:t>120,000); capacity-building on the safety certificate for R-290 RAC equipment (</w:t>
      </w:r>
      <w:r w:rsidR="00475A50" w:rsidRPr="0026329D">
        <w:rPr>
          <w:lang w:val="en-CA"/>
        </w:rPr>
        <w:t>US $</w:t>
      </w:r>
      <w:r w:rsidRPr="0026329D">
        <w:rPr>
          <w:lang w:val="en-CA"/>
        </w:rPr>
        <w:t xml:space="preserve">200,000); and promote the uptake of R-290 RAC equipment outside China (Government of Austria, </w:t>
      </w:r>
      <w:r w:rsidR="00475A50" w:rsidRPr="0026329D">
        <w:rPr>
          <w:lang w:val="en-CA"/>
        </w:rPr>
        <w:t>US $</w:t>
      </w:r>
      <w:r w:rsidRPr="0026329D">
        <w:rPr>
          <w:lang w:val="en-CA"/>
        </w:rPr>
        <w:t>1,050,000).</w:t>
      </w:r>
    </w:p>
    <w:p w:rsidR="00337C27" w:rsidRPr="0026329D" w:rsidRDefault="00337C27" w:rsidP="00E2305C">
      <w:pPr>
        <w:pStyle w:val="Heading1"/>
        <w:keepNext/>
        <w:keepLines/>
        <w:rPr>
          <w:lang w:val="en-CA"/>
        </w:rPr>
      </w:pPr>
      <w:r w:rsidRPr="0026329D">
        <w:rPr>
          <w:lang w:val="en-CA"/>
        </w:rPr>
        <w:t xml:space="preserve">Additional TA activities, at a total cost of </w:t>
      </w:r>
      <w:r w:rsidR="00475A50" w:rsidRPr="0026329D">
        <w:rPr>
          <w:lang w:val="en-CA"/>
        </w:rPr>
        <w:t>US $</w:t>
      </w:r>
      <w:r w:rsidRPr="0026329D">
        <w:rPr>
          <w:lang w:val="en-CA"/>
        </w:rPr>
        <w:t>2,862,476, include: R&amp;D on using R-290 technology (</w:t>
      </w:r>
      <w:r w:rsidR="00475A50" w:rsidRPr="0026329D">
        <w:rPr>
          <w:lang w:val="en-CA"/>
        </w:rPr>
        <w:t>US $</w:t>
      </w:r>
      <w:r w:rsidRPr="0026329D">
        <w:rPr>
          <w:lang w:val="en-CA"/>
        </w:rPr>
        <w:t>1,310,000); further development of standards related to the use of R-290 technology (</w:t>
      </w:r>
      <w:r w:rsidR="00475A50" w:rsidRPr="0026329D">
        <w:rPr>
          <w:lang w:val="en-CA"/>
        </w:rPr>
        <w:t>US $</w:t>
      </w:r>
      <w:r w:rsidRPr="0026329D">
        <w:rPr>
          <w:lang w:val="en-CA"/>
        </w:rPr>
        <w:t>596,000); public awareness (</w:t>
      </w:r>
      <w:r w:rsidR="00475A50" w:rsidRPr="0026329D">
        <w:rPr>
          <w:lang w:val="en-CA"/>
        </w:rPr>
        <w:t>US $</w:t>
      </w:r>
      <w:r w:rsidRPr="0026329D">
        <w:rPr>
          <w:lang w:val="en-CA"/>
        </w:rPr>
        <w:t>447,476), verification of milestones of conversion projects (</w:t>
      </w:r>
      <w:r w:rsidR="00475A50" w:rsidRPr="0026329D">
        <w:rPr>
          <w:lang w:val="en-CA"/>
        </w:rPr>
        <w:t>US $</w:t>
      </w:r>
      <w:r w:rsidRPr="0026329D">
        <w:rPr>
          <w:lang w:val="en-CA"/>
        </w:rPr>
        <w:t>341,000), and tracing the progress on the phase-out of HCFC-22 (</w:t>
      </w:r>
      <w:r w:rsidR="00475A50" w:rsidRPr="0026329D">
        <w:rPr>
          <w:lang w:val="en-CA"/>
        </w:rPr>
        <w:t>US $</w:t>
      </w:r>
      <w:r w:rsidRPr="0026329D">
        <w:rPr>
          <w:lang w:val="en-CA"/>
        </w:rPr>
        <w:t xml:space="preserve">168,000). </w:t>
      </w:r>
    </w:p>
    <w:p w:rsidR="00337C27" w:rsidRPr="0026329D" w:rsidRDefault="00337C27" w:rsidP="00337C27">
      <w:pPr>
        <w:pStyle w:val="Heading1"/>
        <w:rPr>
          <w:lang w:val="en-CA"/>
        </w:rPr>
      </w:pPr>
      <w:r w:rsidRPr="0026329D">
        <w:rPr>
          <w:lang w:val="en-CA"/>
        </w:rPr>
        <w:t xml:space="preserve">In addition, the PMU established under </w:t>
      </w:r>
      <w:r w:rsidR="00A81DEE" w:rsidRPr="0026329D">
        <w:rPr>
          <w:lang w:val="en-CA"/>
        </w:rPr>
        <w:t>stage </w:t>
      </w:r>
      <w:r w:rsidRPr="0026329D">
        <w:rPr>
          <w:lang w:val="en-CA"/>
        </w:rPr>
        <w:t>II would continue to monitor and implement the project (</w:t>
      </w:r>
      <w:r w:rsidR="00475A50" w:rsidRPr="0026329D">
        <w:rPr>
          <w:lang w:val="en-CA"/>
        </w:rPr>
        <w:t>US $</w:t>
      </w:r>
      <w:r w:rsidRPr="0026329D">
        <w:rPr>
          <w:lang w:val="en-CA"/>
        </w:rPr>
        <w:t xml:space="preserve">1,585,710). A total of </w:t>
      </w:r>
      <w:r w:rsidR="00475A50" w:rsidRPr="0026329D">
        <w:rPr>
          <w:lang w:val="en-CA"/>
        </w:rPr>
        <w:t>US $</w:t>
      </w:r>
      <w:r w:rsidRPr="0026329D">
        <w:rPr>
          <w:lang w:val="en-CA"/>
        </w:rPr>
        <w:t xml:space="preserve">490,129 was allocated to CHEAA to continue to provide assistance related to the technical and financial aspects of the implementation of the RAC sector plan. </w:t>
      </w:r>
    </w:p>
    <w:p w:rsidR="00337C27" w:rsidRPr="0026329D" w:rsidRDefault="00337C27" w:rsidP="00337C27">
      <w:pPr>
        <w:pStyle w:val="ListParagraph"/>
        <w:ind w:left="0"/>
        <w:rPr>
          <w:color w:val="000000" w:themeColor="text1"/>
          <w:szCs w:val="32"/>
          <w:lang w:val="en-CA"/>
        </w:rPr>
      </w:pPr>
      <w:r w:rsidRPr="0026329D">
        <w:rPr>
          <w:color w:val="000000" w:themeColor="text1"/>
          <w:szCs w:val="32"/>
          <w:u w:val="single"/>
          <w:lang w:val="en-CA"/>
        </w:rPr>
        <w:t xml:space="preserve">Total cost of </w:t>
      </w:r>
      <w:r w:rsidR="00A81DEE" w:rsidRPr="0026329D">
        <w:rPr>
          <w:color w:val="000000" w:themeColor="text1"/>
          <w:szCs w:val="32"/>
          <w:u w:val="single"/>
          <w:lang w:val="en-CA"/>
        </w:rPr>
        <w:t>stage </w:t>
      </w:r>
      <w:r w:rsidRPr="0026329D">
        <w:rPr>
          <w:color w:val="000000" w:themeColor="text1"/>
          <w:szCs w:val="32"/>
          <w:u w:val="single"/>
          <w:lang w:val="en-CA"/>
        </w:rPr>
        <w:t>II of the RAC sector plan of the HPMP</w:t>
      </w:r>
    </w:p>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 xml:space="preserve">The total cost of the </w:t>
      </w:r>
      <w:r w:rsidR="00A81DEE" w:rsidRPr="0026329D">
        <w:rPr>
          <w:lang w:val="en-CA"/>
        </w:rPr>
        <w:t>stage </w:t>
      </w:r>
      <w:r w:rsidRPr="0026329D">
        <w:rPr>
          <w:lang w:val="en-CA"/>
        </w:rPr>
        <w:t xml:space="preserve">II of </w:t>
      </w:r>
      <w:r w:rsidRPr="0026329D">
        <w:rPr>
          <w:color w:val="000000" w:themeColor="text1"/>
          <w:szCs w:val="32"/>
          <w:lang w:val="en-CA"/>
        </w:rPr>
        <w:t xml:space="preserve">the RAC sector plan </w:t>
      </w:r>
      <w:r w:rsidRPr="0026329D">
        <w:rPr>
          <w:lang w:val="en-CA"/>
        </w:rPr>
        <w:t xml:space="preserve">is </w:t>
      </w:r>
      <w:r w:rsidR="00475A50" w:rsidRPr="0026329D">
        <w:rPr>
          <w:lang w:val="en-CA"/>
        </w:rPr>
        <w:t>US $</w:t>
      </w:r>
      <w:r w:rsidRPr="0026329D">
        <w:rPr>
          <w:lang w:val="en-CA"/>
        </w:rPr>
        <w:t xml:space="preserve">60,394,081, plus agency support costs, and including </w:t>
      </w:r>
      <w:r w:rsidR="00475A50" w:rsidRPr="0026329D">
        <w:rPr>
          <w:lang w:val="en-CA"/>
        </w:rPr>
        <w:t>US $</w:t>
      </w:r>
      <w:r w:rsidRPr="0026329D">
        <w:rPr>
          <w:lang w:val="en-CA"/>
        </w:rPr>
        <w:t>31,562,981, plus agency support costs, already approved at the 77</w:t>
      </w:r>
      <w:r w:rsidRPr="0026329D">
        <w:rPr>
          <w:vertAlign w:val="superscript"/>
          <w:lang w:val="en-CA"/>
        </w:rPr>
        <w:t>th</w:t>
      </w:r>
      <w:r w:rsidRPr="0026329D">
        <w:rPr>
          <w:lang w:val="en-CA"/>
        </w:rPr>
        <w:t xml:space="preserve"> and 81</w:t>
      </w:r>
      <w:r w:rsidRPr="0026329D">
        <w:rPr>
          <w:vertAlign w:val="superscript"/>
          <w:lang w:val="en-CA"/>
        </w:rPr>
        <w:t>st</w:t>
      </w:r>
      <w:r w:rsidRPr="0026329D">
        <w:rPr>
          <w:lang w:val="en-CA"/>
        </w:rPr>
        <w:t xml:space="preserve"> meetings. </w:t>
      </w:r>
      <w:r w:rsidR="00A81DEE" w:rsidRPr="0026329D">
        <w:rPr>
          <w:lang w:val="en-CA"/>
        </w:rPr>
        <w:t>Stage </w:t>
      </w:r>
      <w:r w:rsidRPr="0026329D">
        <w:rPr>
          <w:lang w:val="en-CA"/>
        </w:rPr>
        <w:t xml:space="preserve">II will phase-out 44,802 mt (2,465.11 ODP tonnes) of HCFC-22, of which 40,514 mt (2,228.27 ODP tonnes) will be converted without assistance from the Multilateral Fund. The overall cost effectiveness (CE) is </w:t>
      </w:r>
      <w:r w:rsidR="00475A50" w:rsidRPr="0026329D">
        <w:rPr>
          <w:lang w:val="en-CA"/>
        </w:rPr>
        <w:t>US $</w:t>
      </w:r>
      <w:r w:rsidRPr="0026329D">
        <w:rPr>
          <w:lang w:val="en-CA"/>
        </w:rPr>
        <w:t xml:space="preserve">1.35/kg (or </w:t>
      </w:r>
      <w:r w:rsidR="00475A50" w:rsidRPr="0026329D">
        <w:rPr>
          <w:lang w:val="en-CA"/>
        </w:rPr>
        <w:t>US $</w:t>
      </w:r>
      <w:r w:rsidRPr="0026329D">
        <w:rPr>
          <w:lang w:val="en-CA"/>
        </w:rPr>
        <w:t xml:space="preserve">14.03/kg based on only the phase-out of 4,036 mt for which funding is requested). </w:t>
      </w:r>
      <w:r w:rsidR="00E52946" w:rsidRPr="0026329D">
        <w:rPr>
          <w:lang w:val="en-CA"/>
        </w:rPr>
        <w:t>Table </w:t>
      </w:r>
      <w:r w:rsidRPr="0026329D">
        <w:rPr>
          <w:lang w:val="en-CA"/>
        </w:rPr>
        <w:t xml:space="preserve">4 presents the summary of activities and associated costs of </w:t>
      </w:r>
      <w:r w:rsidR="00A81DEE" w:rsidRPr="0026329D">
        <w:rPr>
          <w:lang w:val="en-CA"/>
        </w:rPr>
        <w:t>stage </w:t>
      </w:r>
      <w:r w:rsidRPr="0026329D">
        <w:rPr>
          <w:lang w:val="en-CA"/>
        </w:rPr>
        <w:t>II of the RAC sector plan.</w:t>
      </w:r>
    </w:p>
    <w:p w:rsidR="00337C27" w:rsidRPr="0026329D" w:rsidRDefault="00337C27" w:rsidP="00337C27">
      <w:pPr>
        <w:pStyle w:val="Heading1"/>
        <w:numPr>
          <w:ilvl w:val="0"/>
          <w:numId w:val="0"/>
        </w:numPr>
        <w:spacing w:after="0"/>
        <w:rPr>
          <w:b/>
          <w:lang w:val="en-CA"/>
        </w:rPr>
      </w:pPr>
      <w:r w:rsidRPr="0026329D">
        <w:rPr>
          <w:b/>
          <w:lang w:val="en-CA"/>
        </w:rPr>
        <w:t xml:space="preserve">Table 4. Summary of activities and cost of </w:t>
      </w:r>
      <w:r w:rsidR="00A81DEE" w:rsidRPr="0026329D">
        <w:rPr>
          <w:b/>
          <w:lang w:val="en-CA"/>
        </w:rPr>
        <w:t>stage </w:t>
      </w:r>
      <w:r w:rsidRPr="0026329D">
        <w:rPr>
          <w:b/>
          <w:lang w:val="en-CA"/>
        </w:rPr>
        <w:t>II of the RAC sector plan (2016-2026)</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1374"/>
        <w:gridCol w:w="1376"/>
        <w:gridCol w:w="1373"/>
      </w:tblGrid>
      <w:tr w:rsidR="00337C27" w:rsidRPr="0026329D" w:rsidTr="006D156C">
        <w:trPr>
          <w:tblHeader/>
          <w:jc w:val="right"/>
        </w:trPr>
        <w:tc>
          <w:tcPr>
            <w:tcW w:w="2816" w:type="pct"/>
            <w:shd w:val="clear" w:color="auto" w:fill="auto"/>
            <w:vAlign w:val="center"/>
          </w:tcPr>
          <w:p w:rsidR="00337C27" w:rsidRPr="0026329D" w:rsidRDefault="00337C27" w:rsidP="00665A83">
            <w:pPr>
              <w:jc w:val="left"/>
              <w:rPr>
                <w:sz w:val="20"/>
                <w:szCs w:val="20"/>
                <w:lang w:val="en-CA"/>
              </w:rPr>
            </w:pPr>
            <w:r w:rsidRPr="0026329D">
              <w:rPr>
                <w:b/>
                <w:bCs/>
                <w:color w:val="000000"/>
                <w:sz w:val="20"/>
                <w:szCs w:val="20"/>
                <w:lang w:val="en-CA"/>
              </w:rPr>
              <w:t>Component</w:t>
            </w:r>
          </w:p>
        </w:tc>
        <w:tc>
          <w:tcPr>
            <w:tcW w:w="728" w:type="pct"/>
            <w:shd w:val="clear" w:color="auto" w:fill="auto"/>
            <w:tcMar>
              <w:left w:w="0" w:type="dxa"/>
              <w:right w:w="0" w:type="dxa"/>
            </w:tcMar>
            <w:vAlign w:val="center"/>
          </w:tcPr>
          <w:p w:rsidR="00337C27" w:rsidRPr="0026329D" w:rsidRDefault="00337C27" w:rsidP="00665A83">
            <w:pPr>
              <w:jc w:val="center"/>
              <w:rPr>
                <w:color w:val="000000"/>
                <w:sz w:val="20"/>
                <w:szCs w:val="20"/>
                <w:lang w:val="en-CA"/>
              </w:rPr>
            </w:pPr>
            <w:r w:rsidRPr="0026329D">
              <w:rPr>
                <w:b/>
                <w:color w:val="000000"/>
                <w:sz w:val="20"/>
                <w:szCs w:val="20"/>
                <w:lang w:val="en-CA"/>
              </w:rPr>
              <w:t>HCFC-22 (mt</w:t>
            </w:r>
            <w:r w:rsidRPr="0026329D">
              <w:rPr>
                <w:color w:val="000000"/>
                <w:sz w:val="20"/>
                <w:szCs w:val="20"/>
                <w:lang w:val="en-CA"/>
              </w:rPr>
              <w:t>)</w:t>
            </w:r>
          </w:p>
        </w:tc>
        <w:tc>
          <w:tcPr>
            <w:tcW w:w="728" w:type="pct"/>
            <w:shd w:val="clear" w:color="auto" w:fill="auto"/>
            <w:tcMar>
              <w:left w:w="0" w:type="dxa"/>
              <w:right w:w="0" w:type="dxa"/>
            </w:tcMar>
          </w:tcPr>
          <w:p w:rsidR="00337C27" w:rsidRPr="0026329D" w:rsidRDefault="00337C27" w:rsidP="00665A83">
            <w:pPr>
              <w:jc w:val="center"/>
              <w:rPr>
                <w:b/>
                <w:bCs/>
                <w:color w:val="000000"/>
                <w:sz w:val="20"/>
                <w:szCs w:val="20"/>
                <w:lang w:val="en-CA"/>
              </w:rPr>
            </w:pPr>
            <w:r w:rsidRPr="0026329D">
              <w:rPr>
                <w:b/>
                <w:bCs/>
                <w:color w:val="000000"/>
                <w:sz w:val="20"/>
                <w:szCs w:val="20"/>
                <w:lang w:val="en-CA"/>
              </w:rPr>
              <w:t>CE (</w:t>
            </w:r>
            <w:r w:rsidR="00475A50" w:rsidRPr="0026329D">
              <w:rPr>
                <w:b/>
                <w:bCs/>
                <w:color w:val="000000"/>
                <w:sz w:val="20"/>
                <w:szCs w:val="20"/>
                <w:lang w:val="en-CA"/>
              </w:rPr>
              <w:t>US $</w:t>
            </w:r>
            <w:r w:rsidRPr="0026329D">
              <w:rPr>
                <w:b/>
                <w:bCs/>
                <w:color w:val="000000"/>
                <w:sz w:val="20"/>
                <w:szCs w:val="20"/>
                <w:lang w:val="en-CA"/>
              </w:rPr>
              <w:t>/kg)</w:t>
            </w:r>
          </w:p>
        </w:tc>
        <w:tc>
          <w:tcPr>
            <w:tcW w:w="728" w:type="pct"/>
            <w:shd w:val="clear" w:color="auto" w:fill="auto"/>
            <w:tcMar>
              <w:left w:w="0" w:type="dxa"/>
              <w:right w:w="0" w:type="dxa"/>
            </w:tcMar>
          </w:tcPr>
          <w:p w:rsidR="00337C27" w:rsidRPr="0026329D" w:rsidRDefault="003F798B" w:rsidP="00665A83">
            <w:pPr>
              <w:jc w:val="center"/>
              <w:rPr>
                <w:b/>
                <w:bCs/>
                <w:color w:val="000000"/>
                <w:sz w:val="20"/>
                <w:szCs w:val="20"/>
                <w:lang w:val="en-CA"/>
              </w:rPr>
            </w:pPr>
            <w:r w:rsidRPr="0026329D">
              <w:rPr>
                <w:b/>
                <w:bCs/>
                <w:color w:val="000000"/>
                <w:sz w:val="20"/>
                <w:szCs w:val="20"/>
                <w:lang w:val="en-CA"/>
              </w:rPr>
              <w:t>C</w:t>
            </w:r>
            <w:r w:rsidR="00337C27" w:rsidRPr="0026329D">
              <w:rPr>
                <w:b/>
                <w:bCs/>
                <w:color w:val="000000"/>
                <w:sz w:val="20"/>
                <w:szCs w:val="20"/>
                <w:lang w:val="en-CA"/>
              </w:rPr>
              <w:t>ost (</w:t>
            </w:r>
            <w:r w:rsidR="00475A50" w:rsidRPr="0026329D">
              <w:rPr>
                <w:b/>
                <w:bCs/>
                <w:color w:val="000000"/>
                <w:sz w:val="20"/>
                <w:szCs w:val="20"/>
                <w:lang w:val="en-CA"/>
              </w:rPr>
              <w:t>US $</w:t>
            </w:r>
            <w:r w:rsidR="00337C27" w:rsidRPr="0026329D">
              <w:rPr>
                <w:b/>
                <w:bCs/>
                <w:color w:val="000000"/>
                <w:sz w:val="20"/>
                <w:szCs w:val="20"/>
                <w:lang w:val="en-CA"/>
              </w:rPr>
              <w:t>)</w:t>
            </w:r>
          </w:p>
        </w:tc>
      </w:tr>
      <w:tr w:rsidR="00337C27" w:rsidRPr="0026329D" w:rsidTr="00665A83">
        <w:trPr>
          <w:jc w:val="right"/>
        </w:trPr>
        <w:tc>
          <w:tcPr>
            <w:tcW w:w="5000" w:type="pct"/>
            <w:gridSpan w:val="4"/>
            <w:shd w:val="clear" w:color="auto" w:fill="auto"/>
            <w:vAlign w:val="center"/>
          </w:tcPr>
          <w:p w:rsidR="00337C27" w:rsidRPr="0026329D" w:rsidRDefault="00337C27" w:rsidP="00665A83">
            <w:pPr>
              <w:jc w:val="center"/>
              <w:rPr>
                <w:b/>
                <w:bCs/>
                <w:color w:val="000000"/>
                <w:sz w:val="20"/>
                <w:szCs w:val="20"/>
                <w:lang w:val="en-CA"/>
              </w:rPr>
            </w:pPr>
            <w:r w:rsidRPr="0026329D">
              <w:rPr>
                <w:b/>
                <w:bCs/>
                <w:color w:val="000000"/>
                <w:sz w:val="20"/>
                <w:szCs w:val="20"/>
                <w:lang w:val="en-CA"/>
              </w:rPr>
              <w:t>2016 – 2021</w:t>
            </w:r>
          </w:p>
        </w:tc>
      </w:tr>
      <w:tr w:rsidR="00337C27" w:rsidRPr="0026329D" w:rsidTr="006D156C">
        <w:trPr>
          <w:jc w:val="right"/>
        </w:trPr>
        <w:tc>
          <w:tcPr>
            <w:tcW w:w="2816" w:type="pct"/>
            <w:shd w:val="clear" w:color="auto" w:fill="auto"/>
          </w:tcPr>
          <w:p w:rsidR="00337C27" w:rsidRPr="0026329D" w:rsidRDefault="00337C27" w:rsidP="00665A83">
            <w:pPr>
              <w:jc w:val="left"/>
              <w:rPr>
                <w:sz w:val="20"/>
                <w:szCs w:val="20"/>
                <w:lang w:val="en-CA"/>
              </w:rPr>
            </w:pPr>
            <w:r w:rsidRPr="0026329D">
              <w:rPr>
                <w:sz w:val="20"/>
                <w:szCs w:val="20"/>
                <w:lang w:val="en-CA"/>
              </w:rPr>
              <w:t xml:space="preserve">Conversion of 5 RAC manufacturing lines </w:t>
            </w:r>
          </w:p>
        </w:tc>
        <w:tc>
          <w:tcPr>
            <w:tcW w:w="728" w:type="pct"/>
            <w:shd w:val="clear" w:color="auto" w:fill="auto"/>
          </w:tcPr>
          <w:p w:rsidR="00337C27" w:rsidRPr="0026329D" w:rsidRDefault="00337C27" w:rsidP="00665A83">
            <w:pPr>
              <w:jc w:val="right"/>
              <w:rPr>
                <w:color w:val="000000"/>
                <w:sz w:val="20"/>
                <w:szCs w:val="20"/>
                <w:lang w:val="en-CA"/>
              </w:rPr>
            </w:pPr>
            <w:r w:rsidRPr="0026329D">
              <w:rPr>
                <w:color w:val="000000"/>
                <w:sz w:val="20"/>
                <w:szCs w:val="20"/>
                <w:lang w:val="en-CA"/>
              </w:rPr>
              <w:t>2,221</w:t>
            </w:r>
          </w:p>
        </w:tc>
        <w:tc>
          <w:tcPr>
            <w:tcW w:w="729" w:type="pct"/>
            <w:shd w:val="clear" w:color="auto" w:fill="auto"/>
          </w:tcPr>
          <w:p w:rsidR="00337C27" w:rsidRPr="0026329D" w:rsidRDefault="00337C27" w:rsidP="00665A83">
            <w:pPr>
              <w:jc w:val="center"/>
              <w:rPr>
                <w:b/>
                <w:bCs/>
                <w:color w:val="000000"/>
                <w:sz w:val="20"/>
                <w:szCs w:val="20"/>
                <w:lang w:val="en-CA"/>
              </w:rPr>
            </w:pPr>
          </w:p>
        </w:tc>
        <w:tc>
          <w:tcPr>
            <w:tcW w:w="727" w:type="pct"/>
            <w:shd w:val="clear" w:color="auto" w:fill="auto"/>
          </w:tcPr>
          <w:p w:rsidR="00337C27" w:rsidRPr="0026329D" w:rsidRDefault="00337C27" w:rsidP="00665A83">
            <w:pPr>
              <w:jc w:val="center"/>
              <w:rPr>
                <w:b/>
                <w:bCs/>
                <w:color w:val="000000"/>
                <w:sz w:val="20"/>
                <w:szCs w:val="20"/>
                <w:lang w:val="en-CA"/>
              </w:rPr>
            </w:pP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ICC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2.95</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6,545,790</w:t>
            </w: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IOC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6.30</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13,992,300</w:t>
            </w:r>
          </w:p>
        </w:tc>
      </w:tr>
      <w:tr w:rsidR="00337C27" w:rsidRPr="0026329D" w:rsidTr="006D156C">
        <w:trPr>
          <w:jc w:val="right"/>
        </w:trPr>
        <w:tc>
          <w:tcPr>
            <w:tcW w:w="2816" w:type="pct"/>
            <w:shd w:val="clear" w:color="auto" w:fill="auto"/>
          </w:tcPr>
          <w:p w:rsidR="00337C27" w:rsidRPr="0026329D" w:rsidRDefault="00337C27" w:rsidP="00665A83">
            <w:pPr>
              <w:jc w:val="left"/>
              <w:rPr>
                <w:sz w:val="20"/>
                <w:szCs w:val="20"/>
                <w:lang w:val="en-CA"/>
              </w:rPr>
            </w:pPr>
            <w:r w:rsidRPr="0026329D">
              <w:rPr>
                <w:sz w:val="20"/>
                <w:szCs w:val="20"/>
                <w:lang w:val="en-CA"/>
              </w:rPr>
              <w:t>Conversion of 4 compressor manufacturing lines to R-290</w:t>
            </w:r>
          </w:p>
        </w:tc>
        <w:tc>
          <w:tcPr>
            <w:tcW w:w="728" w:type="pct"/>
            <w:shd w:val="clear" w:color="auto" w:fill="auto"/>
          </w:tcPr>
          <w:p w:rsidR="00337C27" w:rsidRPr="0026329D" w:rsidRDefault="00337C27" w:rsidP="00665A83">
            <w:pPr>
              <w:jc w:val="right"/>
              <w:rPr>
                <w:color w:val="000000"/>
                <w:sz w:val="20"/>
                <w:szCs w:val="20"/>
                <w:lang w:val="en-CA"/>
              </w:rPr>
            </w:pPr>
            <w:r w:rsidRPr="0026329D">
              <w:rPr>
                <w:color w:val="000000"/>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4,500,000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Thirteen R&amp;D projects</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3,393,171</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Additional TA</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723,733</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Independent verification of milestones of conversion projects</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132,171</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CHEAA</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631,260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PMU</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1,644,556</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ab/>
              <w:t xml:space="preserve">Sub-total </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2,221</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14.21</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31,562,981</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Phase-out without funding from the Multilateral Fund</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23,924</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r>
      <w:tr w:rsidR="00337C27" w:rsidRPr="0026329D" w:rsidTr="006D156C">
        <w:trPr>
          <w:jc w:val="right"/>
        </w:trPr>
        <w:tc>
          <w:tcPr>
            <w:tcW w:w="2816" w:type="pct"/>
            <w:shd w:val="clear" w:color="auto" w:fill="auto"/>
          </w:tcPr>
          <w:p w:rsidR="00337C27" w:rsidRPr="0026329D" w:rsidRDefault="00337C27" w:rsidP="00665A83">
            <w:pPr>
              <w:rPr>
                <w:b/>
                <w:sz w:val="20"/>
                <w:szCs w:val="20"/>
                <w:lang w:val="en-CA"/>
              </w:rPr>
            </w:pPr>
            <w:r w:rsidRPr="0026329D">
              <w:rPr>
                <w:b/>
                <w:sz w:val="20"/>
                <w:szCs w:val="20"/>
                <w:lang w:val="en-CA"/>
              </w:rPr>
              <w:tab/>
              <w:t>Sub-total (2016-2021)</w:t>
            </w:r>
          </w:p>
        </w:tc>
        <w:tc>
          <w:tcPr>
            <w:tcW w:w="728" w:type="pct"/>
            <w:shd w:val="clear" w:color="auto" w:fill="auto"/>
          </w:tcPr>
          <w:p w:rsidR="00337C27" w:rsidRPr="0026329D" w:rsidRDefault="00337C27" w:rsidP="00665A83">
            <w:pPr>
              <w:jc w:val="right"/>
              <w:rPr>
                <w:b/>
                <w:color w:val="000000"/>
                <w:sz w:val="20"/>
                <w:szCs w:val="20"/>
                <w:lang w:val="en-CA"/>
              </w:rPr>
            </w:pPr>
            <w:r w:rsidRPr="0026329D">
              <w:rPr>
                <w:b/>
                <w:color w:val="000000"/>
                <w:sz w:val="20"/>
                <w:szCs w:val="20"/>
                <w:lang w:val="en-CA"/>
              </w:rPr>
              <w:t>26,145</w:t>
            </w:r>
          </w:p>
        </w:tc>
        <w:tc>
          <w:tcPr>
            <w:tcW w:w="729" w:type="pct"/>
            <w:shd w:val="clear" w:color="auto" w:fill="auto"/>
          </w:tcPr>
          <w:p w:rsidR="00337C27" w:rsidRPr="0026329D" w:rsidRDefault="00337C27" w:rsidP="00665A83">
            <w:pPr>
              <w:jc w:val="right"/>
              <w:rPr>
                <w:b/>
                <w:sz w:val="20"/>
                <w:szCs w:val="20"/>
                <w:lang w:val="en-CA"/>
              </w:rPr>
            </w:pPr>
            <w:r w:rsidRPr="0026329D">
              <w:rPr>
                <w:b/>
                <w:sz w:val="20"/>
                <w:szCs w:val="20"/>
                <w:lang w:val="en-CA"/>
              </w:rPr>
              <w:t>1.21</w:t>
            </w:r>
          </w:p>
        </w:tc>
        <w:tc>
          <w:tcPr>
            <w:tcW w:w="727" w:type="pct"/>
            <w:shd w:val="clear" w:color="auto" w:fill="auto"/>
          </w:tcPr>
          <w:p w:rsidR="00337C27" w:rsidRPr="0026329D" w:rsidRDefault="00337C27" w:rsidP="00665A83">
            <w:pPr>
              <w:jc w:val="right"/>
              <w:rPr>
                <w:b/>
                <w:sz w:val="20"/>
                <w:szCs w:val="20"/>
                <w:lang w:val="en-CA"/>
              </w:rPr>
            </w:pPr>
            <w:r w:rsidRPr="0026329D">
              <w:rPr>
                <w:b/>
                <w:sz w:val="20"/>
                <w:szCs w:val="20"/>
                <w:lang w:val="en-CA"/>
              </w:rPr>
              <w:t>31,562,981</w:t>
            </w:r>
          </w:p>
        </w:tc>
      </w:tr>
      <w:tr w:rsidR="00337C27" w:rsidRPr="0026329D" w:rsidTr="00665A83">
        <w:trPr>
          <w:jc w:val="right"/>
        </w:trPr>
        <w:tc>
          <w:tcPr>
            <w:tcW w:w="5000" w:type="pct"/>
            <w:gridSpan w:val="4"/>
            <w:shd w:val="clear" w:color="auto" w:fill="auto"/>
            <w:vAlign w:val="center"/>
          </w:tcPr>
          <w:p w:rsidR="00337C27" w:rsidRPr="0026329D" w:rsidRDefault="00337C27" w:rsidP="00665A83">
            <w:pPr>
              <w:jc w:val="center"/>
              <w:rPr>
                <w:b/>
                <w:bCs/>
                <w:color w:val="000000"/>
                <w:sz w:val="20"/>
                <w:szCs w:val="20"/>
                <w:lang w:val="en-CA"/>
              </w:rPr>
            </w:pPr>
            <w:r w:rsidRPr="0026329D">
              <w:rPr>
                <w:b/>
                <w:bCs/>
                <w:color w:val="000000"/>
                <w:sz w:val="20"/>
                <w:szCs w:val="20"/>
                <w:lang w:val="en-CA"/>
              </w:rPr>
              <w:t>2022 – 2026</w:t>
            </w:r>
          </w:p>
        </w:tc>
      </w:tr>
      <w:tr w:rsidR="00337C27" w:rsidRPr="0026329D" w:rsidTr="006D156C">
        <w:trPr>
          <w:jc w:val="right"/>
        </w:trPr>
        <w:tc>
          <w:tcPr>
            <w:tcW w:w="2816" w:type="pct"/>
            <w:shd w:val="clear" w:color="auto" w:fill="auto"/>
          </w:tcPr>
          <w:p w:rsidR="00337C27" w:rsidRPr="0026329D" w:rsidRDefault="00337C27" w:rsidP="00665A83">
            <w:pPr>
              <w:jc w:val="left"/>
              <w:rPr>
                <w:sz w:val="20"/>
                <w:szCs w:val="20"/>
                <w:lang w:val="en-CA"/>
              </w:rPr>
            </w:pPr>
            <w:r w:rsidRPr="0026329D">
              <w:rPr>
                <w:sz w:val="20"/>
                <w:szCs w:val="20"/>
                <w:lang w:val="en-CA"/>
              </w:rPr>
              <w:t xml:space="preserve">Conversion of additional 5 RAC manufacturing lines </w:t>
            </w:r>
          </w:p>
        </w:tc>
        <w:tc>
          <w:tcPr>
            <w:tcW w:w="728" w:type="pct"/>
            <w:shd w:val="clear" w:color="auto" w:fill="auto"/>
          </w:tcPr>
          <w:p w:rsidR="00337C27" w:rsidRPr="0026329D" w:rsidRDefault="00337C27" w:rsidP="00665A83">
            <w:pPr>
              <w:jc w:val="right"/>
              <w:rPr>
                <w:color w:val="000000"/>
                <w:sz w:val="20"/>
                <w:szCs w:val="20"/>
                <w:lang w:val="en-CA"/>
              </w:rPr>
            </w:pPr>
            <w:r w:rsidRPr="0026329D">
              <w:rPr>
                <w:color w:val="000000"/>
                <w:sz w:val="20"/>
                <w:szCs w:val="20"/>
                <w:lang w:val="en-CA"/>
              </w:rPr>
              <w:t xml:space="preserve"> </w:t>
            </w:r>
          </w:p>
        </w:tc>
        <w:tc>
          <w:tcPr>
            <w:tcW w:w="729" w:type="pct"/>
            <w:shd w:val="clear" w:color="auto" w:fill="auto"/>
          </w:tcPr>
          <w:p w:rsidR="00337C27" w:rsidRPr="0026329D" w:rsidRDefault="00337C27" w:rsidP="00665A83">
            <w:pPr>
              <w:jc w:val="center"/>
              <w:rPr>
                <w:b/>
                <w:bCs/>
                <w:color w:val="000000"/>
                <w:sz w:val="20"/>
                <w:szCs w:val="20"/>
                <w:lang w:val="en-CA"/>
              </w:rPr>
            </w:pPr>
          </w:p>
        </w:tc>
        <w:tc>
          <w:tcPr>
            <w:tcW w:w="727" w:type="pct"/>
            <w:shd w:val="clear" w:color="auto" w:fill="auto"/>
          </w:tcPr>
          <w:p w:rsidR="00337C27" w:rsidRPr="0026329D" w:rsidRDefault="00337C27" w:rsidP="00665A83">
            <w:pPr>
              <w:jc w:val="center"/>
              <w:rPr>
                <w:b/>
                <w:bCs/>
                <w:color w:val="000000"/>
                <w:sz w:val="20"/>
                <w:szCs w:val="20"/>
                <w:lang w:val="en-CA"/>
              </w:rPr>
            </w:pP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ICC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3.53</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7,109,035</w:t>
            </w: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IOC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6.30</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12,681,900</w:t>
            </w:r>
          </w:p>
        </w:tc>
      </w:tr>
      <w:tr w:rsidR="00337C27" w:rsidRPr="0026329D" w:rsidTr="006D156C">
        <w:trPr>
          <w:jc w:val="right"/>
        </w:trPr>
        <w:tc>
          <w:tcPr>
            <w:tcW w:w="2816" w:type="pct"/>
            <w:shd w:val="clear" w:color="auto" w:fill="auto"/>
          </w:tcPr>
          <w:p w:rsidR="00337C27" w:rsidRPr="0026329D" w:rsidRDefault="00337C27" w:rsidP="00665A83">
            <w:pPr>
              <w:jc w:val="left"/>
              <w:rPr>
                <w:sz w:val="20"/>
                <w:szCs w:val="20"/>
                <w:lang w:val="en-CA"/>
              </w:rPr>
            </w:pPr>
            <w:r w:rsidRPr="0026329D">
              <w:rPr>
                <w:sz w:val="20"/>
                <w:szCs w:val="20"/>
                <w:lang w:val="en-CA"/>
              </w:rPr>
              <w:t>Conversion of 3 HPWH to R-290</w:t>
            </w:r>
          </w:p>
        </w:tc>
        <w:tc>
          <w:tcPr>
            <w:tcW w:w="728" w:type="pct"/>
            <w:shd w:val="clear" w:color="auto" w:fill="auto"/>
          </w:tcPr>
          <w:p w:rsidR="00337C27" w:rsidRPr="0026329D" w:rsidRDefault="00337C27" w:rsidP="00665A83">
            <w:pPr>
              <w:jc w:val="right"/>
              <w:rPr>
                <w:color w:val="000000"/>
                <w:sz w:val="20"/>
                <w:szCs w:val="20"/>
                <w:lang w:val="en-CA"/>
              </w:rPr>
            </w:pPr>
            <w:r w:rsidRPr="0026329D">
              <w:rPr>
                <w:color w:val="000000"/>
                <w:sz w:val="20"/>
                <w:szCs w:val="20"/>
                <w:lang w:val="en-CA"/>
              </w:rPr>
              <w:t>72</w:t>
            </w:r>
          </w:p>
        </w:tc>
        <w:tc>
          <w:tcPr>
            <w:tcW w:w="729" w:type="pct"/>
            <w:shd w:val="clear" w:color="auto" w:fill="auto"/>
          </w:tcPr>
          <w:p w:rsidR="00337C27" w:rsidRPr="0026329D" w:rsidRDefault="00337C27" w:rsidP="00665A83">
            <w:pPr>
              <w:jc w:val="right"/>
              <w:rPr>
                <w:sz w:val="20"/>
                <w:szCs w:val="20"/>
                <w:lang w:val="en-CA"/>
              </w:rPr>
            </w:pPr>
          </w:p>
        </w:tc>
        <w:tc>
          <w:tcPr>
            <w:tcW w:w="727" w:type="pct"/>
            <w:shd w:val="clear" w:color="auto" w:fill="auto"/>
          </w:tcPr>
          <w:p w:rsidR="00337C27" w:rsidRPr="0026329D" w:rsidRDefault="00337C27" w:rsidP="00665A83">
            <w:pPr>
              <w:jc w:val="right"/>
              <w:rPr>
                <w:sz w:val="20"/>
                <w:szCs w:val="20"/>
                <w:lang w:val="en-CA"/>
              </w:rPr>
            </w:pP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ICC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12.61</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908,250</w:t>
            </w:r>
          </w:p>
        </w:tc>
      </w:tr>
      <w:tr w:rsidR="00337C27" w:rsidRPr="0026329D" w:rsidTr="006D156C">
        <w:trPr>
          <w:jc w:val="right"/>
        </w:trPr>
        <w:tc>
          <w:tcPr>
            <w:tcW w:w="2816" w:type="pct"/>
            <w:shd w:val="clear" w:color="auto" w:fill="auto"/>
          </w:tcPr>
          <w:p w:rsidR="00337C27" w:rsidRPr="0026329D" w:rsidRDefault="00337C27" w:rsidP="00665A83">
            <w:pPr>
              <w:jc w:val="right"/>
              <w:rPr>
                <w:sz w:val="20"/>
                <w:szCs w:val="20"/>
                <w:lang w:val="en-CA"/>
              </w:rPr>
            </w:pPr>
            <w:r w:rsidRPr="0026329D">
              <w:rPr>
                <w:sz w:val="20"/>
                <w:szCs w:val="20"/>
                <w:lang w:val="en-CA"/>
              </w:rPr>
              <w:t>IOC</w:t>
            </w:r>
          </w:p>
        </w:tc>
        <w:tc>
          <w:tcPr>
            <w:tcW w:w="728" w:type="pct"/>
            <w:shd w:val="clear" w:color="auto" w:fill="auto"/>
          </w:tcPr>
          <w:p w:rsidR="00337C27" w:rsidRPr="0026329D" w:rsidRDefault="00337C27" w:rsidP="00665A83">
            <w:pPr>
              <w:jc w:val="right"/>
              <w:rPr>
                <w:color w:val="000000"/>
                <w:sz w:val="20"/>
                <w:szCs w:val="20"/>
                <w:lang w:val="en-CA"/>
              </w:rPr>
            </w:pP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6.30</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453,600</w:t>
            </w:r>
          </w:p>
        </w:tc>
      </w:tr>
      <w:tr w:rsidR="00337C27" w:rsidRPr="0026329D" w:rsidTr="006D156C">
        <w:trPr>
          <w:jc w:val="right"/>
        </w:trPr>
        <w:tc>
          <w:tcPr>
            <w:tcW w:w="2816" w:type="pct"/>
            <w:shd w:val="clear" w:color="auto" w:fill="auto"/>
          </w:tcPr>
          <w:p w:rsidR="00337C27" w:rsidRPr="0026329D" w:rsidRDefault="00337C27" w:rsidP="00665A83">
            <w:pPr>
              <w:jc w:val="left"/>
              <w:rPr>
                <w:sz w:val="20"/>
                <w:szCs w:val="20"/>
                <w:lang w:val="en-CA"/>
              </w:rPr>
            </w:pPr>
            <w:r w:rsidRPr="0026329D">
              <w:rPr>
                <w:sz w:val="20"/>
                <w:szCs w:val="20"/>
                <w:lang w:val="en-CA"/>
              </w:rPr>
              <w:t>Four TA activities to increase market share of R-290 RAC technology</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2,740,000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TA for R&amp;D</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1,310,000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TA on standards</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596,000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Public awareness</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447,476</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Independent verification of milestones of conversion projects</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341,000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 xml:space="preserve">Monitoring progress on HCFC-22 phase-out </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168,000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CHEAA</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490,129</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PMU</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n/a</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1,585,710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ab/>
              <w:t xml:space="preserve">Sub-total </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2,085</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13.83</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28,831,100</w:t>
            </w:r>
          </w:p>
        </w:tc>
      </w:tr>
      <w:tr w:rsidR="00337C27" w:rsidRPr="0026329D" w:rsidTr="006D156C">
        <w:trPr>
          <w:jc w:val="right"/>
        </w:trPr>
        <w:tc>
          <w:tcPr>
            <w:tcW w:w="2816" w:type="pct"/>
            <w:shd w:val="clear" w:color="auto" w:fill="auto"/>
          </w:tcPr>
          <w:p w:rsidR="00337C27" w:rsidRPr="0026329D" w:rsidRDefault="00337C27" w:rsidP="00665A83">
            <w:pPr>
              <w:rPr>
                <w:sz w:val="20"/>
                <w:szCs w:val="20"/>
                <w:lang w:val="en-CA"/>
              </w:rPr>
            </w:pPr>
            <w:r w:rsidRPr="0026329D">
              <w:rPr>
                <w:sz w:val="20"/>
                <w:szCs w:val="20"/>
                <w:lang w:val="en-CA"/>
              </w:rPr>
              <w:t>Phase-out without funding from the Multilateral Fund</w:t>
            </w:r>
          </w:p>
        </w:tc>
        <w:tc>
          <w:tcPr>
            <w:tcW w:w="728" w:type="pct"/>
            <w:shd w:val="clear" w:color="auto" w:fill="auto"/>
          </w:tcPr>
          <w:p w:rsidR="00337C27" w:rsidRPr="0026329D" w:rsidRDefault="00337C27" w:rsidP="00665A83">
            <w:pPr>
              <w:jc w:val="right"/>
              <w:rPr>
                <w:sz w:val="20"/>
                <w:szCs w:val="20"/>
                <w:lang w:val="en-CA"/>
              </w:rPr>
            </w:pPr>
            <w:r w:rsidRPr="0026329D">
              <w:rPr>
                <w:sz w:val="20"/>
                <w:szCs w:val="20"/>
                <w:lang w:val="en-CA"/>
              </w:rPr>
              <w:t>16,590</w:t>
            </w:r>
          </w:p>
        </w:tc>
        <w:tc>
          <w:tcPr>
            <w:tcW w:w="729"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c>
          <w:tcPr>
            <w:tcW w:w="727" w:type="pct"/>
            <w:shd w:val="clear" w:color="auto" w:fill="auto"/>
          </w:tcPr>
          <w:p w:rsidR="00337C27" w:rsidRPr="0026329D" w:rsidRDefault="00337C27" w:rsidP="00665A83">
            <w:pPr>
              <w:jc w:val="right"/>
              <w:rPr>
                <w:sz w:val="20"/>
                <w:szCs w:val="20"/>
                <w:lang w:val="en-CA"/>
              </w:rPr>
            </w:pPr>
            <w:r w:rsidRPr="0026329D">
              <w:rPr>
                <w:sz w:val="20"/>
                <w:szCs w:val="20"/>
                <w:lang w:val="en-CA"/>
              </w:rPr>
              <w:t>0</w:t>
            </w:r>
          </w:p>
        </w:tc>
      </w:tr>
      <w:tr w:rsidR="00337C27" w:rsidRPr="0026329D" w:rsidTr="006D156C">
        <w:trPr>
          <w:jc w:val="right"/>
        </w:trPr>
        <w:tc>
          <w:tcPr>
            <w:tcW w:w="2816" w:type="pct"/>
            <w:shd w:val="clear" w:color="auto" w:fill="auto"/>
          </w:tcPr>
          <w:p w:rsidR="00337C27" w:rsidRPr="0026329D" w:rsidRDefault="00337C27" w:rsidP="00665A83">
            <w:pPr>
              <w:rPr>
                <w:b/>
                <w:sz w:val="20"/>
                <w:szCs w:val="20"/>
                <w:lang w:val="en-CA"/>
              </w:rPr>
            </w:pPr>
            <w:r w:rsidRPr="0026329D">
              <w:rPr>
                <w:b/>
                <w:sz w:val="20"/>
                <w:szCs w:val="20"/>
                <w:lang w:val="en-CA"/>
              </w:rPr>
              <w:tab/>
              <w:t>Sub-total (2022-2026)</w:t>
            </w:r>
          </w:p>
        </w:tc>
        <w:tc>
          <w:tcPr>
            <w:tcW w:w="728" w:type="pct"/>
            <w:shd w:val="clear" w:color="auto" w:fill="auto"/>
          </w:tcPr>
          <w:p w:rsidR="00337C27" w:rsidRPr="0026329D" w:rsidRDefault="00337C27" w:rsidP="00665A83">
            <w:pPr>
              <w:jc w:val="right"/>
              <w:rPr>
                <w:b/>
                <w:color w:val="000000"/>
                <w:sz w:val="20"/>
                <w:szCs w:val="20"/>
                <w:lang w:val="en-CA"/>
              </w:rPr>
            </w:pPr>
            <w:r w:rsidRPr="0026329D">
              <w:rPr>
                <w:b/>
                <w:color w:val="000000"/>
                <w:sz w:val="20"/>
                <w:szCs w:val="20"/>
                <w:lang w:val="en-CA"/>
              </w:rPr>
              <w:t>18,675</w:t>
            </w:r>
          </w:p>
        </w:tc>
        <w:tc>
          <w:tcPr>
            <w:tcW w:w="729" w:type="pct"/>
            <w:shd w:val="clear" w:color="auto" w:fill="auto"/>
          </w:tcPr>
          <w:p w:rsidR="00337C27" w:rsidRPr="0026329D" w:rsidRDefault="00337C27" w:rsidP="00665A83">
            <w:pPr>
              <w:jc w:val="right"/>
              <w:rPr>
                <w:b/>
                <w:sz w:val="20"/>
                <w:szCs w:val="20"/>
                <w:lang w:val="en-CA"/>
              </w:rPr>
            </w:pPr>
            <w:r w:rsidRPr="0026329D">
              <w:rPr>
                <w:b/>
                <w:sz w:val="20"/>
                <w:szCs w:val="20"/>
                <w:lang w:val="en-CA"/>
              </w:rPr>
              <w:t>1.54</w:t>
            </w:r>
          </w:p>
        </w:tc>
        <w:tc>
          <w:tcPr>
            <w:tcW w:w="727" w:type="pct"/>
            <w:shd w:val="clear" w:color="auto" w:fill="auto"/>
          </w:tcPr>
          <w:p w:rsidR="00337C27" w:rsidRPr="0026329D" w:rsidRDefault="00337C27" w:rsidP="00665A83">
            <w:pPr>
              <w:jc w:val="right"/>
              <w:rPr>
                <w:b/>
                <w:sz w:val="20"/>
                <w:szCs w:val="20"/>
                <w:lang w:val="en-CA"/>
              </w:rPr>
            </w:pPr>
            <w:r w:rsidRPr="0026329D">
              <w:rPr>
                <w:b/>
                <w:sz w:val="20"/>
                <w:szCs w:val="20"/>
                <w:lang w:val="en-CA"/>
              </w:rPr>
              <w:t>28,831,100</w:t>
            </w:r>
          </w:p>
        </w:tc>
      </w:tr>
      <w:tr w:rsidR="00337C27" w:rsidRPr="0026329D" w:rsidTr="006D156C">
        <w:trPr>
          <w:jc w:val="right"/>
        </w:trPr>
        <w:tc>
          <w:tcPr>
            <w:tcW w:w="2816" w:type="pct"/>
            <w:shd w:val="clear" w:color="auto" w:fill="auto"/>
          </w:tcPr>
          <w:p w:rsidR="00337C27" w:rsidRPr="0026329D" w:rsidRDefault="00337C27" w:rsidP="00665A83">
            <w:pPr>
              <w:jc w:val="left"/>
              <w:rPr>
                <w:b/>
                <w:sz w:val="20"/>
                <w:szCs w:val="20"/>
                <w:lang w:val="en-CA"/>
              </w:rPr>
            </w:pPr>
            <w:r w:rsidRPr="0026329D">
              <w:rPr>
                <w:b/>
                <w:sz w:val="20"/>
                <w:szCs w:val="20"/>
                <w:lang w:val="en-CA"/>
              </w:rPr>
              <w:t>Total funded phase-out (2016-2021)</w:t>
            </w:r>
          </w:p>
        </w:tc>
        <w:tc>
          <w:tcPr>
            <w:tcW w:w="728" w:type="pct"/>
            <w:shd w:val="clear" w:color="auto" w:fill="auto"/>
          </w:tcPr>
          <w:p w:rsidR="00337C27" w:rsidRPr="0026329D" w:rsidRDefault="00337C27" w:rsidP="00665A83">
            <w:pPr>
              <w:jc w:val="right"/>
              <w:rPr>
                <w:b/>
                <w:color w:val="000000"/>
                <w:sz w:val="20"/>
                <w:szCs w:val="20"/>
                <w:lang w:val="en-CA"/>
              </w:rPr>
            </w:pPr>
            <w:r w:rsidRPr="0026329D">
              <w:rPr>
                <w:b/>
                <w:color w:val="000000"/>
                <w:sz w:val="20"/>
                <w:szCs w:val="20"/>
                <w:lang w:val="en-CA"/>
              </w:rPr>
              <w:t>4,306</w:t>
            </w:r>
          </w:p>
        </w:tc>
        <w:tc>
          <w:tcPr>
            <w:tcW w:w="729" w:type="pct"/>
            <w:shd w:val="clear" w:color="auto" w:fill="auto"/>
          </w:tcPr>
          <w:p w:rsidR="00337C27" w:rsidRPr="0026329D" w:rsidRDefault="00337C27" w:rsidP="00665A83">
            <w:pPr>
              <w:jc w:val="right"/>
              <w:rPr>
                <w:b/>
                <w:sz w:val="20"/>
                <w:szCs w:val="20"/>
                <w:lang w:val="en-CA"/>
              </w:rPr>
            </w:pPr>
            <w:r w:rsidRPr="0026329D">
              <w:rPr>
                <w:b/>
                <w:sz w:val="20"/>
                <w:szCs w:val="20"/>
                <w:lang w:val="en-CA"/>
              </w:rPr>
              <w:t>14.03</w:t>
            </w:r>
          </w:p>
        </w:tc>
        <w:tc>
          <w:tcPr>
            <w:tcW w:w="727" w:type="pct"/>
            <w:shd w:val="clear" w:color="auto" w:fill="auto"/>
          </w:tcPr>
          <w:p w:rsidR="00337C27" w:rsidRPr="0026329D" w:rsidRDefault="00337C27" w:rsidP="00665A83">
            <w:pPr>
              <w:jc w:val="right"/>
              <w:rPr>
                <w:b/>
                <w:sz w:val="20"/>
                <w:szCs w:val="20"/>
                <w:lang w:val="en-CA"/>
              </w:rPr>
            </w:pPr>
            <w:r w:rsidRPr="0026329D">
              <w:rPr>
                <w:b/>
                <w:sz w:val="20"/>
                <w:szCs w:val="20"/>
                <w:lang w:val="en-CA"/>
              </w:rPr>
              <w:t>60,394,081</w:t>
            </w:r>
          </w:p>
        </w:tc>
      </w:tr>
      <w:tr w:rsidR="00337C27" w:rsidRPr="0026329D" w:rsidTr="006D156C">
        <w:trPr>
          <w:jc w:val="right"/>
        </w:trPr>
        <w:tc>
          <w:tcPr>
            <w:tcW w:w="2816" w:type="pct"/>
            <w:shd w:val="clear" w:color="auto" w:fill="auto"/>
          </w:tcPr>
          <w:p w:rsidR="00337C27" w:rsidRPr="0026329D" w:rsidRDefault="00337C27" w:rsidP="00665A83">
            <w:pPr>
              <w:jc w:val="left"/>
              <w:rPr>
                <w:b/>
                <w:sz w:val="20"/>
                <w:szCs w:val="20"/>
                <w:lang w:val="en-CA"/>
              </w:rPr>
            </w:pPr>
            <w:r w:rsidRPr="0026329D">
              <w:rPr>
                <w:b/>
                <w:sz w:val="20"/>
                <w:szCs w:val="20"/>
                <w:lang w:val="en-CA"/>
              </w:rPr>
              <w:t>Total (2016-2026)</w:t>
            </w:r>
          </w:p>
        </w:tc>
        <w:tc>
          <w:tcPr>
            <w:tcW w:w="728" w:type="pct"/>
            <w:shd w:val="clear" w:color="auto" w:fill="auto"/>
          </w:tcPr>
          <w:p w:rsidR="00337C27" w:rsidRPr="0026329D" w:rsidRDefault="00337C27" w:rsidP="00665A83">
            <w:pPr>
              <w:jc w:val="right"/>
              <w:rPr>
                <w:b/>
                <w:color w:val="000000"/>
                <w:sz w:val="20"/>
                <w:szCs w:val="20"/>
                <w:lang w:val="en-CA"/>
              </w:rPr>
            </w:pPr>
            <w:r w:rsidRPr="0026329D">
              <w:rPr>
                <w:b/>
                <w:color w:val="000000"/>
                <w:sz w:val="20"/>
                <w:szCs w:val="20"/>
                <w:lang w:val="en-CA"/>
              </w:rPr>
              <w:t>44,820</w:t>
            </w:r>
          </w:p>
        </w:tc>
        <w:tc>
          <w:tcPr>
            <w:tcW w:w="729" w:type="pct"/>
            <w:shd w:val="clear" w:color="auto" w:fill="auto"/>
          </w:tcPr>
          <w:p w:rsidR="00337C27" w:rsidRPr="0026329D" w:rsidRDefault="00337C27" w:rsidP="00665A83">
            <w:pPr>
              <w:jc w:val="right"/>
              <w:rPr>
                <w:b/>
                <w:sz w:val="20"/>
                <w:szCs w:val="20"/>
                <w:lang w:val="en-CA"/>
              </w:rPr>
            </w:pPr>
            <w:r w:rsidRPr="0026329D">
              <w:rPr>
                <w:b/>
                <w:sz w:val="20"/>
                <w:szCs w:val="20"/>
                <w:lang w:val="en-CA"/>
              </w:rPr>
              <w:t>1.35</w:t>
            </w:r>
          </w:p>
        </w:tc>
        <w:tc>
          <w:tcPr>
            <w:tcW w:w="727" w:type="pct"/>
            <w:shd w:val="clear" w:color="auto" w:fill="auto"/>
          </w:tcPr>
          <w:p w:rsidR="00337C27" w:rsidRPr="0026329D" w:rsidRDefault="00337C27" w:rsidP="00665A83">
            <w:pPr>
              <w:jc w:val="right"/>
              <w:rPr>
                <w:b/>
                <w:sz w:val="20"/>
                <w:szCs w:val="20"/>
                <w:lang w:val="en-CA"/>
              </w:rPr>
            </w:pPr>
            <w:r w:rsidRPr="0026329D">
              <w:rPr>
                <w:b/>
                <w:sz w:val="20"/>
                <w:szCs w:val="20"/>
                <w:lang w:val="en-CA"/>
              </w:rPr>
              <w:t>60,394,081</w:t>
            </w:r>
          </w:p>
        </w:tc>
      </w:tr>
    </w:tbl>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 xml:space="preserve">With the implementation of </w:t>
      </w:r>
      <w:r w:rsidR="00A81DEE" w:rsidRPr="0026329D">
        <w:rPr>
          <w:lang w:val="en-CA"/>
        </w:rPr>
        <w:t>stage </w:t>
      </w:r>
      <w:r w:rsidRPr="0026329D">
        <w:rPr>
          <w:lang w:val="en-CA"/>
        </w:rPr>
        <w:t>II of the RAC sector plan, the Government of China would reduce HCFC-22 consumption in the RAC manufacturing sector by 45 per cent by 2022, 61 per cent by 2023, and 70 per cent by 2025, relative to the 2013 consumption in the sector, as shown in Table 5.</w:t>
      </w:r>
    </w:p>
    <w:p w:rsidR="00337C27" w:rsidRPr="0026329D" w:rsidRDefault="00337C27" w:rsidP="00337C27">
      <w:pPr>
        <w:pStyle w:val="Heading1"/>
        <w:numPr>
          <w:ilvl w:val="0"/>
          <w:numId w:val="0"/>
        </w:numPr>
        <w:spacing w:after="0"/>
        <w:rPr>
          <w:b/>
          <w:lang w:val="en-CA"/>
        </w:rPr>
      </w:pPr>
      <w:r w:rsidRPr="0026329D">
        <w:rPr>
          <w:b/>
          <w:lang w:val="en-CA"/>
        </w:rPr>
        <w:t xml:space="preserve">Table 5. Maximum allowable sectoral consumption for the extended RAC sector plan (2022-2026) </w:t>
      </w:r>
    </w:p>
    <w:tbl>
      <w:tblPr>
        <w:tblStyle w:val="TableGrid"/>
        <w:tblW w:w="9355" w:type="dxa"/>
        <w:tblLayout w:type="fixed"/>
        <w:tblLook w:val="04A0" w:firstRow="1" w:lastRow="0" w:firstColumn="1" w:lastColumn="0" w:noHBand="0" w:noVBand="1"/>
      </w:tblPr>
      <w:tblGrid>
        <w:gridCol w:w="4405"/>
        <w:gridCol w:w="990"/>
        <w:gridCol w:w="990"/>
        <w:gridCol w:w="990"/>
        <w:gridCol w:w="990"/>
        <w:gridCol w:w="990"/>
      </w:tblGrid>
      <w:tr w:rsidR="00337C27" w:rsidRPr="0026329D" w:rsidTr="00665A83">
        <w:tc>
          <w:tcPr>
            <w:tcW w:w="4405" w:type="dxa"/>
          </w:tcPr>
          <w:p w:rsidR="00337C27" w:rsidRPr="0026329D" w:rsidRDefault="00337C27" w:rsidP="00665A83">
            <w:pPr>
              <w:jc w:val="center"/>
              <w:rPr>
                <w:b/>
                <w:sz w:val="20"/>
                <w:szCs w:val="20"/>
                <w:lang w:val="en-CA"/>
              </w:rPr>
            </w:pPr>
            <w:r w:rsidRPr="0026329D">
              <w:rPr>
                <w:b/>
                <w:sz w:val="20"/>
                <w:szCs w:val="20"/>
                <w:lang w:val="en-CA"/>
              </w:rPr>
              <w:t>Particulars</w:t>
            </w:r>
          </w:p>
        </w:tc>
        <w:tc>
          <w:tcPr>
            <w:tcW w:w="990" w:type="dxa"/>
          </w:tcPr>
          <w:p w:rsidR="00337C27" w:rsidRPr="0026329D" w:rsidRDefault="00337C27" w:rsidP="00665A83">
            <w:pPr>
              <w:jc w:val="center"/>
              <w:rPr>
                <w:b/>
                <w:sz w:val="20"/>
                <w:szCs w:val="20"/>
                <w:lang w:val="en-CA"/>
              </w:rPr>
            </w:pPr>
            <w:r w:rsidRPr="0026329D">
              <w:rPr>
                <w:b/>
                <w:sz w:val="20"/>
                <w:szCs w:val="20"/>
                <w:lang w:val="en-CA"/>
              </w:rPr>
              <w:t>2022</w:t>
            </w:r>
          </w:p>
        </w:tc>
        <w:tc>
          <w:tcPr>
            <w:tcW w:w="990" w:type="dxa"/>
          </w:tcPr>
          <w:p w:rsidR="00337C27" w:rsidRPr="0026329D" w:rsidRDefault="00337C27" w:rsidP="00665A83">
            <w:pPr>
              <w:jc w:val="center"/>
              <w:rPr>
                <w:b/>
                <w:sz w:val="20"/>
                <w:szCs w:val="20"/>
                <w:lang w:val="en-CA"/>
              </w:rPr>
            </w:pPr>
            <w:r w:rsidRPr="0026329D">
              <w:rPr>
                <w:b/>
                <w:sz w:val="20"/>
                <w:szCs w:val="20"/>
                <w:lang w:val="en-CA"/>
              </w:rPr>
              <w:t>2023</w:t>
            </w:r>
          </w:p>
        </w:tc>
        <w:tc>
          <w:tcPr>
            <w:tcW w:w="990" w:type="dxa"/>
          </w:tcPr>
          <w:p w:rsidR="00337C27" w:rsidRPr="0026329D" w:rsidRDefault="00337C27" w:rsidP="00665A83">
            <w:pPr>
              <w:jc w:val="center"/>
              <w:rPr>
                <w:b/>
                <w:sz w:val="20"/>
                <w:szCs w:val="20"/>
                <w:lang w:val="en-CA"/>
              </w:rPr>
            </w:pPr>
            <w:r w:rsidRPr="0026329D">
              <w:rPr>
                <w:b/>
                <w:sz w:val="20"/>
                <w:szCs w:val="20"/>
                <w:lang w:val="en-CA"/>
              </w:rPr>
              <w:t>2024</w:t>
            </w:r>
          </w:p>
        </w:tc>
        <w:tc>
          <w:tcPr>
            <w:tcW w:w="990" w:type="dxa"/>
          </w:tcPr>
          <w:p w:rsidR="00337C27" w:rsidRPr="0026329D" w:rsidRDefault="00337C27" w:rsidP="00665A83">
            <w:pPr>
              <w:jc w:val="center"/>
              <w:rPr>
                <w:b/>
                <w:sz w:val="20"/>
                <w:szCs w:val="20"/>
                <w:lang w:val="en-CA"/>
              </w:rPr>
            </w:pPr>
            <w:r w:rsidRPr="0026329D">
              <w:rPr>
                <w:b/>
                <w:sz w:val="20"/>
                <w:szCs w:val="20"/>
                <w:lang w:val="en-CA"/>
              </w:rPr>
              <w:t>2025</w:t>
            </w:r>
          </w:p>
        </w:tc>
        <w:tc>
          <w:tcPr>
            <w:tcW w:w="990" w:type="dxa"/>
          </w:tcPr>
          <w:p w:rsidR="00337C27" w:rsidRPr="0026329D" w:rsidRDefault="00337C27" w:rsidP="00665A83">
            <w:pPr>
              <w:jc w:val="center"/>
              <w:rPr>
                <w:b/>
                <w:sz w:val="20"/>
                <w:szCs w:val="20"/>
                <w:lang w:val="en-CA"/>
              </w:rPr>
            </w:pPr>
            <w:r w:rsidRPr="0026329D">
              <w:rPr>
                <w:b/>
                <w:sz w:val="20"/>
                <w:szCs w:val="20"/>
                <w:lang w:val="en-CA"/>
              </w:rPr>
              <w:t>2026</w:t>
            </w:r>
          </w:p>
        </w:tc>
      </w:tr>
      <w:tr w:rsidR="00337C27" w:rsidRPr="0026329D" w:rsidTr="006D156C">
        <w:tc>
          <w:tcPr>
            <w:tcW w:w="4405" w:type="dxa"/>
          </w:tcPr>
          <w:p w:rsidR="00337C27" w:rsidRPr="0026329D" w:rsidRDefault="00337C27" w:rsidP="006D156C">
            <w:pPr>
              <w:jc w:val="left"/>
              <w:rPr>
                <w:sz w:val="20"/>
                <w:szCs w:val="20"/>
                <w:lang w:val="en-CA"/>
              </w:rPr>
            </w:pPr>
            <w:r w:rsidRPr="0026329D">
              <w:rPr>
                <w:sz w:val="20"/>
                <w:szCs w:val="20"/>
                <w:lang w:val="en-CA"/>
              </w:rPr>
              <w:t>Maximum allowable consumption of Annex C, Group I substances in the RAC sector (ODP tonnes)</w:t>
            </w:r>
          </w:p>
        </w:tc>
        <w:tc>
          <w:tcPr>
            <w:tcW w:w="990" w:type="dxa"/>
          </w:tcPr>
          <w:p w:rsidR="00337C27" w:rsidRPr="0026329D" w:rsidRDefault="00337C27" w:rsidP="00665A83">
            <w:pPr>
              <w:jc w:val="right"/>
              <w:rPr>
                <w:sz w:val="20"/>
                <w:szCs w:val="20"/>
                <w:lang w:val="en-CA"/>
              </w:rPr>
            </w:pPr>
            <w:r w:rsidRPr="0026329D">
              <w:rPr>
                <w:sz w:val="20"/>
                <w:szCs w:val="20"/>
                <w:lang w:val="en-CA"/>
              </w:rPr>
              <w:t>2,259.7</w:t>
            </w:r>
          </w:p>
        </w:tc>
        <w:tc>
          <w:tcPr>
            <w:tcW w:w="990" w:type="dxa"/>
          </w:tcPr>
          <w:p w:rsidR="00337C27" w:rsidRPr="0026329D" w:rsidRDefault="00337C27" w:rsidP="00665A83">
            <w:pPr>
              <w:jc w:val="right"/>
              <w:rPr>
                <w:sz w:val="20"/>
                <w:szCs w:val="20"/>
                <w:lang w:val="en-CA"/>
              </w:rPr>
            </w:pPr>
            <w:r w:rsidRPr="0026329D">
              <w:rPr>
                <w:sz w:val="20"/>
                <w:szCs w:val="20"/>
                <w:lang w:val="en-CA"/>
              </w:rPr>
              <w:t>1,614.1</w:t>
            </w:r>
          </w:p>
        </w:tc>
        <w:tc>
          <w:tcPr>
            <w:tcW w:w="990" w:type="dxa"/>
          </w:tcPr>
          <w:p w:rsidR="00337C27" w:rsidRPr="0026329D" w:rsidRDefault="00337C27" w:rsidP="00665A83">
            <w:pPr>
              <w:jc w:val="right"/>
              <w:rPr>
                <w:sz w:val="20"/>
                <w:szCs w:val="20"/>
                <w:lang w:val="en-CA"/>
              </w:rPr>
            </w:pPr>
            <w:r w:rsidRPr="0026329D">
              <w:rPr>
                <w:sz w:val="20"/>
                <w:szCs w:val="20"/>
                <w:lang w:val="en-CA"/>
              </w:rPr>
              <w:t>1,614.1</w:t>
            </w:r>
          </w:p>
        </w:tc>
        <w:tc>
          <w:tcPr>
            <w:tcW w:w="990" w:type="dxa"/>
          </w:tcPr>
          <w:p w:rsidR="00337C27" w:rsidRPr="0026329D" w:rsidRDefault="00337C27" w:rsidP="00665A83">
            <w:pPr>
              <w:jc w:val="right"/>
              <w:rPr>
                <w:sz w:val="20"/>
                <w:szCs w:val="20"/>
                <w:lang w:val="en-CA"/>
              </w:rPr>
            </w:pPr>
            <w:r w:rsidRPr="0026329D">
              <w:rPr>
                <w:sz w:val="20"/>
                <w:szCs w:val="20"/>
                <w:lang w:val="en-CA"/>
              </w:rPr>
              <w:t>1,232.6</w:t>
            </w:r>
          </w:p>
        </w:tc>
        <w:tc>
          <w:tcPr>
            <w:tcW w:w="990" w:type="dxa"/>
          </w:tcPr>
          <w:p w:rsidR="00337C27" w:rsidRPr="0026329D" w:rsidRDefault="00337C27" w:rsidP="00665A83">
            <w:pPr>
              <w:jc w:val="right"/>
              <w:rPr>
                <w:sz w:val="20"/>
                <w:szCs w:val="20"/>
                <w:lang w:val="en-CA"/>
              </w:rPr>
            </w:pPr>
            <w:r w:rsidRPr="0026329D">
              <w:rPr>
                <w:sz w:val="20"/>
                <w:szCs w:val="20"/>
                <w:lang w:val="en-CA"/>
              </w:rPr>
              <w:t>1,232.6</w:t>
            </w:r>
          </w:p>
        </w:tc>
      </w:tr>
      <w:tr w:rsidR="00337C27" w:rsidRPr="0026329D" w:rsidTr="006D156C">
        <w:tc>
          <w:tcPr>
            <w:tcW w:w="4405" w:type="dxa"/>
          </w:tcPr>
          <w:p w:rsidR="00337C27" w:rsidRPr="0026329D" w:rsidRDefault="00337C27" w:rsidP="006D156C">
            <w:pPr>
              <w:jc w:val="left"/>
              <w:rPr>
                <w:sz w:val="20"/>
                <w:szCs w:val="20"/>
                <w:lang w:val="en-CA"/>
              </w:rPr>
            </w:pPr>
            <w:r w:rsidRPr="0026329D">
              <w:rPr>
                <w:sz w:val="20"/>
                <w:szCs w:val="20"/>
                <w:lang w:val="en-CA"/>
              </w:rPr>
              <w:t>Reduction relative to 2013 sector consumption (%)</w:t>
            </w:r>
          </w:p>
        </w:tc>
        <w:tc>
          <w:tcPr>
            <w:tcW w:w="990" w:type="dxa"/>
          </w:tcPr>
          <w:p w:rsidR="00337C27" w:rsidRPr="0026329D" w:rsidRDefault="00337C27" w:rsidP="00665A83">
            <w:pPr>
              <w:jc w:val="right"/>
              <w:rPr>
                <w:sz w:val="20"/>
                <w:szCs w:val="20"/>
                <w:lang w:val="en-CA"/>
              </w:rPr>
            </w:pPr>
            <w:r w:rsidRPr="0026329D">
              <w:rPr>
                <w:sz w:val="20"/>
                <w:szCs w:val="20"/>
                <w:lang w:val="en-CA"/>
              </w:rPr>
              <w:t>45</w:t>
            </w:r>
          </w:p>
        </w:tc>
        <w:tc>
          <w:tcPr>
            <w:tcW w:w="990" w:type="dxa"/>
          </w:tcPr>
          <w:p w:rsidR="00337C27" w:rsidRPr="0026329D" w:rsidRDefault="00337C27" w:rsidP="00665A83">
            <w:pPr>
              <w:jc w:val="right"/>
              <w:rPr>
                <w:sz w:val="20"/>
                <w:szCs w:val="20"/>
                <w:lang w:val="en-CA"/>
              </w:rPr>
            </w:pPr>
            <w:r w:rsidRPr="0026329D">
              <w:rPr>
                <w:sz w:val="20"/>
                <w:szCs w:val="20"/>
                <w:lang w:val="en-CA"/>
              </w:rPr>
              <w:t>61</w:t>
            </w:r>
          </w:p>
        </w:tc>
        <w:tc>
          <w:tcPr>
            <w:tcW w:w="990" w:type="dxa"/>
          </w:tcPr>
          <w:p w:rsidR="00337C27" w:rsidRPr="0026329D" w:rsidRDefault="00337C27" w:rsidP="00665A83">
            <w:pPr>
              <w:jc w:val="right"/>
              <w:rPr>
                <w:sz w:val="20"/>
                <w:szCs w:val="20"/>
                <w:lang w:val="en-CA"/>
              </w:rPr>
            </w:pPr>
            <w:r w:rsidRPr="0026329D">
              <w:rPr>
                <w:sz w:val="20"/>
                <w:szCs w:val="20"/>
                <w:lang w:val="en-CA"/>
              </w:rPr>
              <w:t>61</w:t>
            </w:r>
          </w:p>
        </w:tc>
        <w:tc>
          <w:tcPr>
            <w:tcW w:w="990" w:type="dxa"/>
          </w:tcPr>
          <w:p w:rsidR="00337C27" w:rsidRPr="0026329D" w:rsidRDefault="00337C27" w:rsidP="00665A83">
            <w:pPr>
              <w:jc w:val="right"/>
              <w:rPr>
                <w:sz w:val="20"/>
                <w:szCs w:val="20"/>
                <w:lang w:val="en-CA"/>
              </w:rPr>
            </w:pPr>
            <w:r w:rsidRPr="0026329D">
              <w:rPr>
                <w:sz w:val="20"/>
                <w:szCs w:val="20"/>
                <w:lang w:val="en-CA"/>
              </w:rPr>
              <w:t>70</w:t>
            </w:r>
          </w:p>
        </w:tc>
        <w:tc>
          <w:tcPr>
            <w:tcW w:w="990" w:type="dxa"/>
          </w:tcPr>
          <w:p w:rsidR="00337C27" w:rsidRPr="0026329D" w:rsidRDefault="00337C27" w:rsidP="00665A83">
            <w:pPr>
              <w:jc w:val="right"/>
              <w:rPr>
                <w:sz w:val="20"/>
                <w:szCs w:val="20"/>
                <w:lang w:val="en-CA"/>
              </w:rPr>
            </w:pPr>
            <w:r w:rsidRPr="0026329D">
              <w:rPr>
                <w:sz w:val="20"/>
                <w:szCs w:val="20"/>
                <w:lang w:val="en-CA"/>
              </w:rPr>
              <w:t>70</w:t>
            </w:r>
          </w:p>
        </w:tc>
      </w:tr>
    </w:tbl>
    <w:p w:rsidR="00337C27" w:rsidRPr="0026329D" w:rsidRDefault="00337C27" w:rsidP="00337C27">
      <w:pPr>
        <w:rPr>
          <w:lang w:val="en-CA"/>
        </w:rPr>
      </w:pPr>
    </w:p>
    <w:p w:rsidR="00337C27" w:rsidRPr="0026329D" w:rsidRDefault="00A56EE6" w:rsidP="00A56EE6">
      <w:pPr>
        <w:keepNext/>
        <w:keepLines/>
        <w:rPr>
          <w:b/>
          <w:lang w:val="en-CA"/>
        </w:rPr>
      </w:pPr>
      <w:r w:rsidRPr="0026329D">
        <w:rPr>
          <w:b/>
          <w:lang w:val="en-CA"/>
        </w:rPr>
        <w:t xml:space="preserve">Secretariat’s comments </w:t>
      </w:r>
    </w:p>
    <w:p w:rsidR="00337C27" w:rsidRPr="0026329D" w:rsidRDefault="00337C27" w:rsidP="00337C27">
      <w:pPr>
        <w:rPr>
          <w:u w:val="single"/>
          <w:lang w:val="en-CA"/>
        </w:rPr>
      </w:pPr>
    </w:p>
    <w:p w:rsidR="00337C27" w:rsidRPr="0026329D" w:rsidRDefault="00337C27" w:rsidP="00337C27">
      <w:pPr>
        <w:rPr>
          <w:u w:val="single"/>
          <w:lang w:val="en-CA"/>
        </w:rPr>
      </w:pPr>
      <w:r w:rsidRPr="0026329D">
        <w:rPr>
          <w:u w:val="single"/>
          <w:lang w:val="en-CA"/>
        </w:rPr>
        <w:t>Impact of COVID-19</w:t>
      </w:r>
    </w:p>
    <w:p w:rsidR="00337C27" w:rsidRPr="0026329D" w:rsidRDefault="00337C27" w:rsidP="00337C27">
      <w:pPr>
        <w:rPr>
          <w:lang w:val="en-CA"/>
        </w:rPr>
      </w:pPr>
    </w:p>
    <w:p w:rsidR="00337C27" w:rsidRPr="0026329D" w:rsidRDefault="00337C27" w:rsidP="00337C27">
      <w:pPr>
        <w:pStyle w:val="Heading1"/>
        <w:rPr>
          <w:lang w:val="en-CA"/>
        </w:rPr>
      </w:pPr>
      <w:r w:rsidRPr="0026329D">
        <w:rPr>
          <w:lang w:val="en-CA"/>
        </w:rPr>
        <w:t xml:space="preserve">Due to the COVID-19 pandemic, enterprises have not been able to normally operate their business in 2020, and both domestic and foreign markets continued to be seriously affected. </w:t>
      </w:r>
    </w:p>
    <w:p w:rsidR="00337C27" w:rsidRPr="0026329D" w:rsidRDefault="00337C27" w:rsidP="00337C27">
      <w:pPr>
        <w:pStyle w:val="Heading1"/>
        <w:rPr>
          <w:lang w:val="en-CA"/>
        </w:rPr>
      </w:pPr>
      <w:r w:rsidRPr="0026329D">
        <w:rPr>
          <w:lang w:val="en-CA"/>
        </w:rPr>
        <w:t>Three of the enterprises (RAC manufacturers Changhong Zhongshan</w:t>
      </w:r>
      <w:r w:rsidRPr="0026329D">
        <w:rPr>
          <w:sz w:val="20"/>
          <w:szCs w:val="20"/>
          <w:lang w:val="en-CA"/>
        </w:rPr>
        <w:t xml:space="preserve"> and </w:t>
      </w:r>
      <w:r w:rsidRPr="0026329D">
        <w:rPr>
          <w:lang w:val="en-CA"/>
        </w:rPr>
        <w:t>TCL Zhongshan, and compressor manufacturer GMCC) have been visited and had their second and third milestones verified; those projects are expected to be completed by December 2020; if travel rest</w:t>
      </w:r>
      <w:r w:rsidR="005F2D17" w:rsidRPr="0026329D">
        <w:rPr>
          <w:lang w:val="en-CA"/>
        </w:rPr>
        <w:t>rictions due to COVID-19 are re</w:t>
      </w:r>
      <w:r w:rsidR="005F2D17" w:rsidRPr="0026329D">
        <w:rPr>
          <w:lang w:val="en-CA"/>
        </w:rPr>
        <w:noBreakHyphen/>
      </w:r>
      <w:r w:rsidRPr="0026329D">
        <w:rPr>
          <w:lang w:val="en-CA"/>
        </w:rPr>
        <w:t xml:space="preserve">imposed, national acceptance could be undertaken virtually. Conversion of three other enterprises (RAC manufacturer TCL Wuhan and compressor manufacturers Highly and Shenyang Sanyo) are expected to be completed by December 2021. However, the three smaller enterprises (RAC manufacturers Hinsense Jiangmen and Yangzi Chuzhou, and compressor manufacturer Xi'an Qing'an) suffered supply chain interruptions and shrinking market demand; conversions at those enterprises have temporarily halted and, at the time of finalization of the present document, it was unclear when implementation of those conversions would resume. </w:t>
      </w:r>
    </w:p>
    <w:p w:rsidR="00337C27" w:rsidRPr="0026329D" w:rsidRDefault="00337C27" w:rsidP="00337C27">
      <w:pPr>
        <w:pStyle w:val="Heading1"/>
        <w:rPr>
          <w:lang w:val="en-CA"/>
        </w:rPr>
      </w:pPr>
      <w:r w:rsidRPr="0026329D">
        <w:rPr>
          <w:lang w:val="en-CA"/>
        </w:rPr>
        <w:t xml:space="preserve">The most significant impact of the COVID-19 pandemic is likely on the economy both in and outside of China, which is expected to play a key role in the willingness of consumers to invest in a new technology such as R-290 in the RAC sector. Depending on travel and other restrictions, some activities may need to be adjusted or delayed; mechanisms are in place to do so. For example, the annual conference on alternative technologies in the RAC sector organized by the CHEAA will be held on 30 October 2020; participation in that meeting is available both in person and virtually. Similarly, national acceptance may be undertaken virtually. </w:t>
      </w:r>
    </w:p>
    <w:p w:rsidR="00337C27" w:rsidRPr="0026329D" w:rsidRDefault="00337C27" w:rsidP="00337C27">
      <w:pPr>
        <w:rPr>
          <w:u w:val="single"/>
          <w:lang w:val="en-CA"/>
        </w:rPr>
      </w:pPr>
      <w:r w:rsidRPr="0026329D">
        <w:rPr>
          <w:u w:val="single"/>
          <w:lang w:val="en-CA"/>
        </w:rPr>
        <w:t xml:space="preserve">Strategy and sustainability </w:t>
      </w:r>
    </w:p>
    <w:p w:rsidR="00337C27" w:rsidRPr="0026329D" w:rsidRDefault="00337C27" w:rsidP="00337C27">
      <w:pPr>
        <w:rPr>
          <w:b/>
          <w:lang w:val="en-CA"/>
        </w:rPr>
      </w:pPr>
    </w:p>
    <w:p w:rsidR="00337C27" w:rsidRPr="0026329D" w:rsidRDefault="00337C27" w:rsidP="00337C27">
      <w:pPr>
        <w:pStyle w:val="Heading1"/>
        <w:rPr>
          <w:lang w:val="en-CA"/>
        </w:rPr>
      </w:pPr>
      <w:r w:rsidRPr="0026329D">
        <w:rPr>
          <w:lang w:val="en-CA"/>
        </w:rPr>
        <w:t xml:space="preserve">The principal focus under </w:t>
      </w:r>
      <w:r w:rsidR="00A81DEE" w:rsidRPr="0026329D">
        <w:rPr>
          <w:lang w:val="en-CA"/>
        </w:rPr>
        <w:t>stage </w:t>
      </w:r>
      <w:r w:rsidRPr="0026329D">
        <w:rPr>
          <w:lang w:val="en-CA"/>
        </w:rPr>
        <w:t xml:space="preserve">I and the first two tranches of </w:t>
      </w:r>
      <w:r w:rsidR="00A81DEE" w:rsidRPr="0026329D">
        <w:rPr>
          <w:lang w:val="en-CA"/>
        </w:rPr>
        <w:t>stage </w:t>
      </w:r>
      <w:r w:rsidRPr="0026329D">
        <w:rPr>
          <w:lang w:val="en-CA"/>
        </w:rPr>
        <w:t>II of the RAC sector plan was the conversion of RAC manufacturing lines and provision of IOCs. The focus of activities for 2022-2026 has shifted to TA to promote R-290 RAC technology and its marketization.</w:t>
      </w:r>
    </w:p>
    <w:p w:rsidR="00337C27" w:rsidRPr="0026329D" w:rsidRDefault="00337C27" w:rsidP="00337C27">
      <w:pPr>
        <w:pStyle w:val="Heading1"/>
        <w:rPr>
          <w:lang w:val="en-CA"/>
        </w:rPr>
      </w:pPr>
      <w:r w:rsidRPr="0026329D">
        <w:rPr>
          <w:lang w:val="en-CA"/>
        </w:rPr>
        <w:t xml:space="preserve">Notwithstanding best efforts by the Government of China, UNIDO, CHEAA, industry and other stakeholders, and the development of an innovative IOC incentive mechanism, market uptake of R-290 RAC equipment has been limited, as evidenced by the fact that only approximately 1 per cent of the manufacturing capacity that was converted to R-290 under </w:t>
      </w:r>
      <w:r w:rsidR="00A81DEE" w:rsidRPr="0026329D">
        <w:rPr>
          <w:lang w:val="en-CA"/>
        </w:rPr>
        <w:t>stage </w:t>
      </w:r>
      <w:r w:rsidRPr="0026329D">
        <w:rPr>
          <w:lang w:val="en-CA"/>
        </w:rPr>
        <w:t>I was used between 1 September 2019 and 31 August 2020.</w:t>
      </w:r>
    </w:p>
    <w:p w:rsidR="00337C27" w:rsidRPr="0026329D" w:rsidRDefault="00337C27" w:rsidP="006D156C">
      <w:pPr>
        <w:pStyle w:val="Heading1"/>
        <w:widowControl w:val="0"/>
        <w:rPr>
          <w:lang w:val="en-CA"/>
        </w:rPr>
      </w:pPr>
      <w:r w:rsidRPr="0026329D">
        <w:rPr>
          <w:lang w:val="en-CA"/>
        </w:rPr>
        <w:t xml:space="preserve">By the end of </w:t>
      </w:r>
      <w:r w:rsidR="00A81DEE" w:rsidRPr="0026329D">
        <w:rPr>
          <w:lang w:val="en-CA"/>
        </w:rPr>
        <w:t>stage </w:t>
      </w:r>
      <w:r w:rsidRPr="0026329D">
        <w:rPr>
          <w:lang w:val="en-CA"/>
        </w:rPr>
        <w:t>II, the manufacturing capacity converted to R-290 would constitute approximately 4 per cent of the country’s total RAC manufacturing capacity.</w:t>
      </w:r>
      <w:r w:rsidRPr="0026329D">
        <w:rPr>
          <w:rStyle w:val="FootnoteReference"/>
          <w:lang w:val="en-CA"/>
        </w:rPr>
        <w:footnoteReference w:id="17"/>
      </w:r>
      <w:r w:rsidRPr="0026329D">
        <w:rPr>
          <w:lang w:val="en-CA"/>
        </w:rPr>
        <w:t xml:space="preserve"> Given the predominant market share of other technologies, it is likely that the market uptake of R-290 RAC equipment will remain challenging. Policy measures in China, as well as in countries that import RAC equipment from China, will be critical in ensuring the successful uptake of the technology.</w:t>
      </w:r>
    </w:p>
    <w:p w:rsidR="00337C27" w:rsidRPr="0026329D" w:rsidRDefault="00337C27" w:rsidP="00337C27">
      <w:pPr>
        <w:pStyle w:val="Heading1"/>
        <w:rPr>
          <w:lang w:val="en-CA"/>
        </w:rPr>
      </w:pPr>
      <w:r w:rsidRPr="0026329D">
        <w:rPr>
          <w:lang w:val="en-CA"/>
        </w:rPr>
        <w:t>Funding was not requested for approximately 90</w:t>
      </w:r>
      <w:r w:rsidR="00A81DEE" w:rsidRPr="0026329D">
        <w:rPr>
          <w:lang w:val="en-CA"/>
        </w:rPr>
        <w:t> per cent</w:t>
      </w:r>
      <w:r w:rsidRPr="0026329D">
        <w:rPr>
          <w:lang w:val="en-CA"/>
        </w:rPr>
        <w:t xml:space="preserve"> of the phase-out to be achieved between 2016 and 2026; that phase-out may be achieved through conversions to any non-ODS technology, including R-410A and HFC-32. While the Government intends to encourage the conversion of additional manufacturing lines to R-290, the selection of technology depends on customer demand and a substantial portion of RACs made in China are exported; accordingly, it is difficult to estimate the technology segregation of the phase-out for which funding was not requested. </w:t>
      </w:r>
    </w:p>
    <w:p w:rsidR="00337C27" w:rsidRPr="0026329D" w:rsidRDefault="00337C27" w:rsidP="00BC390C">
      <w:pPr>
        <w:pStyle w:val="Heading1"/>
        <w:widowControl w:val="0"/>
        <w:rPr>
          <w:lang w:val="en-CA"/>
        </w:rPr>
      </w:pPr>
      <w:r w:rsidRPr="0026329D">
        <w:rPr>
          <w:lang w:val="en-CA"/>
        </w:rPr>
        <w:t>Market acceptance of R-290 RAC equipment is challenged by a number of factors, including competition from RAC equipment based on R-410A and HFC-32 refrigerants. Consumption of R-410A for RAC manufacturing has been roughly constant at approximately 60,000 mt/year between 2015-2019. In contrast, consumption of HFC-32 for RAC manufacturing has increased substantially, growing 90 per cent between 2017 and 2019, to approximately 40,000 mt/year.</w:t>
      </w:r>
      <w:r w:rsidRPr="0026329D">
        <w:rPr>
          <w:rStyle w:val="FootnoteReference"/>
          <w:lang w:val="en-CA"/>
        </w:rPr>
        <w:footnoteReference w:id="18"/>
      </w:r>
      <w:r w:rsidRPr="0026329D">
        <w:rPr>
          <w:lang w:val="en-CA"/>
        </w:rPr>
        <w:t xml:space="preserve"> The increase in HFC-32 RAC manufacturing is taking place notwithstanding that there is very little difference in the price of HFC-32- and R-410A-based RAC units. </w:t>
      </w:r>
    </w:p>
    <w:p w:rsidR="00337C27" w:rsidRPr="0026329D" w:rsidRDefault="00337C27" w:rsidP="003927DC">
      <w:pPr>
        <w:pStyle w:val="Heading1"/>
        <w:widowControl w:val="0"/>
        <w:rPr>
          <w:lang w:val="en-CA"/>
        </w:rPr>
      </w:pPr>
      <w:r w:rsidRPr="0026329D">
        <w:rPr>
          <w:lang w:val="en-CA"/>
        </w:rPr>
        <w:t>It had also been reported</w:t>
      </w:r>
      <w:r w:rsidRPr="0026329D">
        <w:rPr>
          <w:rStyle w:val="FootnoteReference"/>
          <w:lang w:val="en-CA"/>
        </w:rPr>
        <w:footnoteReference w:id="19"/>
      </w:r>
      <w:r w:rsidRPr="0026329D">
        <w:rPr>
          <w:lang w:val="en-CA"/>
        </w:rPr>
        <w:t xml:space="preserve"> that a challenge in the market uptake of R-290 RAC equipment was the higher costs to install the equipment relative to other equipment. Notwithstanding that RAC installation standards in China do not distinguish between A2L (e.g., HFC-32) and A3 (e.g., R-290) refrigerants, manufacturing of HFC-32-based RAC has grown substantially while that of R-290-based RAC has not. In theory, installation requirements for HFC-32 and R-290-based RAC should be the same; in practice, it appears that technicians are more careful dealing with R-290, which reduces the efficiency of installation. </w:t>
      </w:r>
    </w:p>
    <w:p w:rsidR="00337C27" w:rsidRPr="0026329D" w:rsidRDefault="00337C27" w:rsidP="00337C27">
      <w:pPr>
        <w:pStyle w:val="Heading1"/>
        <w:rPr>
          <w:lang w:val="en-CA"/>
        </w:rPr>
      </w:pPr>
      <w:r w:rsidRPr="0026329D">
        <w:rPr>
          <w:lang w:val="en-CA"/>
        </w:rPr>
        <w:t xml:space="preserve">Under the revised extended sector plan, the Government of Austria would provide TA in the identification of market barriers to R-290 technology in countries outside China, with an initial focus on countries in North Africa and the Balkans, and means to overcome those, such as minimum infrastructure requirements, including skills/training, in order to safely install and maintain R-290 products. None of the R-290 RAC split units manufactured under </w:t>
      </w:r>
      <w:r w:rsidR="00A81DEE" w:rsidRPr="0026329D">
        <w:rPr>
          <w:lang w:val="en-CA"/>
        </w:rPr>
        <w:t>stage </w:t>
      </w:r>
      <w:r w:rsidRPr="0026329D">
        <w:rPr>
          <w:lang w:val="en-CA"/>
        </w:rPr>
        <w:t>I had been exported. Accordingly, the Secretariat considers the inclusion of activities to promote the market uptake of R-290 RAC equipment outside China to be strategic, while noting that details on those activities will be included as part of the third tranche of the sector plan to be submitted to the second meeting in 2021. The Secretariat notes that the Balkans include both Article 5 and non-Article 5 countries; only activities in the former would be eligible under the Multilateral Fund.</w:t>
      </w:r>
    </w:p>
    <w:p w:rsidR="00337C27" w:rsidRPr="0026329D" w:rsidRDefault="00337C27" w:rsidP="00337C27">
      <w:pPr>
        <w:pStyle w:val="Heading1"/>
        <w:spacing w:after="0"/>
        <w:rPr>
          <w:lang w:val="en-CA"/>
        </w:rPr>
      </w:pPr>
      <w:r w:rsidRPr="0026329D">
        <w:rPr>
          <w:lang w:val="en-CA"/>
        </w:rPr>
        <w:t>The revised extended plan does not include further conversion of co</w:t>
      </w:r>
      <w:r w:rsidR="005F2D17" w:rsidRPr="0026329D">
        <w:rPr>
          <w:lang w:val="en-CA"/>
        </w:rPr>
        <w:t>mpressor lines to R-290 in 2022</w:t>
      </w:r>
      <w:r w:rsidR="005F2D17" w:rsidRPr="0026329D">
        <w:rPr>
          <w:lang w:val="en-CA"/>
        </w:rPr>
        <w:noBreakHyphen/>
      </w:r>
      <w:r w:rsidRPr="0026329D">
        <w:rPr>
          <w:lang w:val="en-CA"/>
        </w:rPr>
        <w:t xml:space="preserve">2026. Under </w:t>
      </w:r>
      <w:r w:rsidR="00A81DEE" w:rsidRPr="0026329D">
        <w:rPr>
          <w:lang w:val="en-CA"/>
        </w:rPr>
        <w:t>stage </w:t>
      </w:r>
      <w:r w:rsidRPr="0026329D">
        <w:rPr>
          <w:lang w:val="en-CA"/>
        </w:rPr>
        <w:t xml:space="preserve">I, three compressor lines were converted; a further four lines were converted under the first two tranches of </w:t>
      </w:r>
      <w:r w:rsidR="00A81DEE" w:rsidRPr="0026329D">
        <w:rPr>
          <w:lang w:val="en-CA"/>
        </w:rPr>
        <w:t>stage </w:t>
      </w:r>
      <w:r w:rsidRPr="0026329D">
        <w:rPr>
          <w:lang w:val="en-CA"/>
        </w:rPr>
        <w:t xml:space="preserve">II, bringing the total number of compressor lines converted to R-290 to seven. Given that the market uptake of the technology is likely to continue to be constrained, the Secretariat considers that there would be sufficient R-290 compressor manufacturing capacity through the end of </w:t>
      </w:r>
      <w:r w:rsidR="00A81DEE" w:rsidRPr="0026329D">
        <w:rPr>
          <w:lang w:val="en-CA"/>
        </w:rPr>
        <w:t>stage </w:t>
      </w:r>
      <w:r w:rsidRPr="0026329D">
        <w:rPr>
          <w:lang w:val="en-CA"/>
        </w:rPr>
        <w:t xml:space="preserve">II. </w:t>
      </w:r>
    </w:p>
    <w:p w:rsidR="00337C27" w:rsidRPr="0026329D" w:rsidRDefault="00337C27" w:rsidP="00337C27">
      <w:pPr>
        <w:rPr>
          <w:lang w:val="en-CA"/>
        </w:rPr>
      </w:pPr>
    </w:p>
    <w:p w:rsidR="00337C27" w:rsidRPr="0026329D" w:rsidRDefault="00337C27" w:rsidP="00337C27">
      <w:pPr>
        <w:widowControl w:val="0"/>
        <w:rPr>
          <w:u w:val="single"/>
          <w:lang w:val="en-CA"/>
        </w:rPr>
      </w:pPr>
      <w:r w:rsidRPr="0026329D">
        <w:rPr>
          <w:u w:val="single"/>
          <w:lang w:val="en-CA"/>
        </w:rPr>
        <w:t>Cost-related issues</w:t>
      </w:r>
    </w:p>
    <w:p w:rsidR="00337C27" w:rsidRPr="0026329D" w:rsidRDefault="00337C27" w:rsidP="00337C27">
      <w:pPr>
        <w:widowControl w:val="0"/>
        <w:rPr>
          <w:lang w:val="en-CA"/>
        </w:rPr>
      </w:pPr>
    </w:p>
    <w:p w:rsidR="00337C27" w:rsidRPr="0026329D" w:rsidRDefault="00337C27" w:rsidP="00337C27">
      <w:pPr>
        <w:pStyle w:val="Heading1"/>
        <w:widowControl w:val="0"/>
        <w:rPr>
          <w:lang w:val="en-CA"/>
        </w:rPr>
      </w:pPr>
      <w:r w:rsidRPr="0026329D">
        <w:rPr>
          <w:lang w:val="en-CA"/>
        </w:rPr>
        <w:t>At its 77</w:t>
      </w:r>
      <w:r w:rsidRPr="0026329D">
        <w:rPr>
          <w:vertAlign w:val="superscript"/>
          <w:lang w:val="en-CA"/>
        </w:rPr>
        <w:t>th</w:t>
      </w:r>
      <w:r w:rsidRPr="0026329D">
        <w:rPr>
          <w:lang w:val="en-CA"/>
        </w:rPr>
        <w:t xml:space="preserve"> meeting, the Committee approved, in principle, the RAC sector plan of </w:t>
      </w:r>
      <w:r w:rsidR="00A81DEE" w:rsidRPr="0026329D">
        <w:rPr>
          <w:lang w:val="en-CA"/>
        </w:rPr>
        <w:t>stage </w:t>
      </w:r>
      <w:r w:rsidRPr="0026329D">
        <w:rPr>
          <w:lang w:val="en-CA"/>
        </w:rPr>
        <w:t xml:space="preserve">II of the HPMP for China for the period 2016 to 2021 in the amount of </w:t>
      </w:r>
      <w:r w:rsidR="00475A50" w:rsidRPr="0026329D">
        <w:rPr>
          <w:lang w:val="en-CA"/>
        </w:rPr>
        <w:t>US $</w:t>
      </w:r>
      <w:r w:rsidRPr="0026329D">
        <w:rPr>
          <w:lang w:val="en-CA"/>
        </w:rPr>
        <w:t xml:space="preserve">89,144,797, plus agency support costs. Of the 18,675 mt to be phased out under that plan, 8,122 mt were to be phased out by converting R-290 and 48 mt to R-744. Thus, the CE of the conversions to low-GWP alternatives between 2016 and 2021 was </w:t>
      </w:r>
      <w:r w:rsidR="00475A50" w:rsidRPr="0026329D">
        <w:rPr>
          <w:lang w:val="en-CA"/>
        </w:rPr>
        <w:t>US $</w:t>
      </w:r>
      <w:r w:rsidRPr="0026329D">
        <w:rPr>
          <w:lang w:val="en-CA"/>
        </w:rPr>
        <w:t xml:space="preserve">10.91/kg. Under the revised extended plan, </w:t>
      </w:r>
      <w:r w:rsidR="00475A50" w:rsidRPr="0026329D">
        <w:rPr>
          <w:lang w:val="en-CA"/>
        </w:rPr>
        <w:t>US $</w:t>
      </w:r>
      <w:r w:rsidRPr="0026329D">
        <w:rPr>
          <w:lang w:val="en-CA"/>
        </w:rPr>
        <w:t xml:space="preserve">28,831,100 is requested to phase out 2,085 mt of HCFC-22 to R-290 between 2022 and 2026, resulting in a CE of </w:t>
      </w:r>
      <w:r w:rsidR="00475A50" w:rsidRPr="0026329D">
        <w:rPr>
          <w:lang w:val="en-CA"/>
        </w:rPr>
        <w:t>US $</w:t>
      </w:r>
      <w:r w:rsidRPr="0026329D">
        <w:rPr>
          <w:lang w:val="en-CA"/>
        </w:rPr>
        <w:t xml:space="preserve">13.83/kg. This higher CE is due to higher allocation of funding to IOCs and TA activities; moreover, the revised extended RAC sector plan includes a substantial increase in phase-out for which funding is not requested. In addition, the average ICC to convert a RAC manufacturing line between 2016-2021 was </w:t>
      </w:r>
      <w:r w:rsidR="00475A50" w:rsidRPr="0026329D">
        <w:rPr>
          <w:lang w:val="en-CA"/>
        </w:rPr>
        <w:t>US $</w:t>
      </w:r>
      <w:r w:rsidRPr="0026329D">
        <w:rPr>
          <w:lang w:val="en-CA"/>
        </w:rPr>
        <w:t xml:space="preserve">1,309,158 (i.e., </w:t>
      </w:r>
      <w:r w:rsidR="00475A50" w:rsidRPr="0026329D">
        <w:rPr>
          <w:lang w:val="en-CA"/>
        </w:rPr>
        <w:t>US $</w:t>
      </w:r>
      <w:r w:rsidRPr="0026329D">
        <w:rPr>
          <w:lang w:val="en-CA"/>
        </w:rPr>
        <w:t>112,649 less per line than allocated in 2022-2026) and those lines had a higher average manufacturing capacity (459,022 units/year) than in 2022-2026 (350,000 units/year).</w:t>
      </w:r>
      <w:r w:rsidR="00475A50" w:rsidRPr="0026329D">
        <w:rPr>
          <w:lang w:val="en-CA"/>
        </w:rPr>
        <w:t xml:space="preserve"> </w:t>
      </w:r>
    </w:p>
    <w:p w:rsidR="00337C27" w:rsidRPr="0026329D" w:rsidRDefault="00337C27" w:rsidP="00337C27">
      <w:pPr>
        <w:pStyle w:val="Heading1"/>
        <w:spacing w:after="0"/>
        <w:rPr>
          <w:lang w:val="en-CA"/>
        </w:rPr>
      </w:pPr>
      <w:r w:rsidRPr="0026329D">
        <w:rPr>
          <w:lang w:val="en-CA"/>
        </w:rPr>
        <w:t xml:space="preserve">A total of </w:t>
      </w:r>
      <w:r w:rsidR="00475A50" w:rsidRPr="0026329D">
        <w:rPr>
          <w:lang w:val="en-CA"/>
        </w:rPr>
        <w:t>US $</w:t>
      </w:r>
      <w:r w:rsidRPr="0026329D">
        <w:rPr>
          <w:lang w:val="en-CA"/>
        </w:rPr>
        <w:t xml:space="preserve">7,109,035 is allocated to convert five additional RAC manufacturing lines to R-290, and </w:t>
      </w:r>
      <w:r w:rsidR="00475A50" w:rsidRPr="0026329D">
        <w:rPr>
          <w:lang w:val="en-CA"/>
        </w:rPr>
        <w:t>US $</w:t>
      </w:r>
      <w:r w:rsidRPr="0026329D">
        <w:rPr>
          <w:lang w:val="en-CA"/>
        </w:rPr>
        <w:t>908,250 to convert three HPWH manufacturing lines to R-290 between 2022-2026. In line with past practice, the manufacturing lines will be selected through voluntary application by enterprises to the programme, and the qualification of the applicant and manufacturing line will be verified by MEE/FECO. At the 76</w:t>
      </w:r>
      <w:r w:rsidRPr="0026329D">
        <w:rPr>
          <w:vertAlign w:val="superscript"/>
          <w:lang w:val="en-CA"/>
        </w:rPr>
        <w:t>th</w:t>
      </w:r>
      <w:r w:rsidRPr="0026329D">
        <w:rPr>
          <w:lang w:val="en-CA"/>
        </w:rPr>
        <w:t xml:space="preserve"> meeting, it was noted that the average Article 5 ownership of RAC manufacturing enterprises was 76 per cent. Some enterprises that may wish to participate in the conversions supported under the extended RAC sector plan may include non-Article 5 ownership, which is not eligible for funding. In such cases, the Secretariat proposed that the Government of China, through UNIDO, inform the Executive Committee of the non-Article 5 ownership of any RAC manufacturing lines wishing to participate under the extended RAC sector plan, and to propose for the Executive Committee’s consideration either a reallocation of those funds associated with the non-Article 5 ownership for other activities under the extended RAC sector plan, or to return the funds to the Multilateral Fund. </w:t>
      </w:r>
    </w:p>
    <w:p w:rsidR="00337C27" w:rsidRPr="0026329D" w:rsidRDefault="00337C27" w:rsidP="00337C27">
      <w:pPr>
        <w:rPr>
          <w:lang w:val="en-CA"/>
        </w:rPr>
      </w:pPr>
    </w:p>
    <w:p w:rsidR="00337C27" w:rsidRPr="0026329D" w:rsidRDefault="00337C27" w:rsidP="00337C27">
      <w:pPr>
        <w:rPr>
          <w:i/>
          <w:lang w:val="en-CA"/>
        </w:rPr>
      </w:pPr>
      <w:r w:rsidRPr="0026329D">
        <w:rPr>
          <w:i/>
          <w:lang w:val="en-CA"/>
        </w:rPr>
        <w:t>IOCs</w:t>
      </w:r>
    </w:p>
    <w:p w:rsidR="00337C27" w:rsidRPr="0026329D" w:rsidRDefault="00337C27" w:rsidP="00337C27">
      <w:pPr>
        <w:rPr>
          <w:i/>
          <w:lang w:val="en-CA"/>
        </w:rPr>
      </w:pPr>
    </w:p>
    <w:p w:rsidR="00337C27" w:rsidRPr="0026329D" w:rsidRDefault="00337C27" w:rsidP="00337C27">
      <w:pPr>
        <w:pStyle w:val="Heading1"/>
        <w:rPr>
          <w:lang w:val="en-CA"/>
        </w:rPr>
      </w:pPr>
      <w:r w:rsidRPr="0026329D">
        <w:rPr>
          <w:lang w:val="en-CA"/>
        </w:rPr>
        <w:t>In addition to policy measures in China and in countries that import RAC equipment from China, the IOC incentive scheme can continue to play a helpful role in facilitating the uptake of the technology. As noted at the 84</w:t>
      </w:r>
      <w:r w:rsidRPr="0026329D">
        <w:rPr>
          <w:vertAlign w:val="superscript"/>
          <w:lang w:val="en-CA"/>
        </w:rPr>
        <w:t>th</w:t>
      </w:r>
      <w:r w:rsidRPr="0026329D">
        <w:rPr>
          <w:lang w:val="en-CA"/>
        </w:rPr>
        <w:t xml:space="preserve"> meeting, it would be necessary to ensure that any IOCs to be provided under </w:t>
      </w:r>
      <w:r w:rsidR="00A81DEE" w:rsidRPr="0026329D">
        <w:rPr>
          <w:lang w:val="en-CA"/>
        </w:rPr>
        <w:t>stage </w:t>
      </w:r>
      <w:r w:rsidRPr="0026329D">
        <w:rPr>
          <w:lang w:val="en-CA"/>
        </w:rPr>
        <w:t xml:space="preserve">II do not exceed those under </w:t>
      </w:r>
      <w:r w:rsidR="00A81DEE" w:rsidRPr="0026329D">
        <w:rPr>
          <w:lang w:val="en-CA"/>
        </w:rPr>
        <w:t>stage </w:t>
      </w:r>
      <w:r w:rsidRPr="0026329D">
        <w:rPr>
          <w:lang w:val="en-CA"/>
        </w:rPr>
        <w:t>I.</w:t>
      </w:r>
      <w:r w:rsidRPr="0026329D">
        <w:rPr>
          <w:rStyle w:val="FootnoteReference"/>
          <w:lang w:val="en-CA"/>
        </w:rPr>
        <w:footnoteReference w:id="20"/>
      </w:r>
      <w:r w:rsidRPr="0026329D">
        <w:rPr>
          <w:lang w:val="en-CA"/>
        </w:rPr>
        <w:t xml:space="preserve"> The Secretariat suggested that a similar IOC incentive scheme be used under </w:t>
      </w:r>
      <w:r w:rsidR="00A81DEE" w:rsidRPr="0026329D">
        <w:rPr>
          <w:lang w:val="en-CA"/>
        </w:rPr>
        <w:t>stage </w:t>
      </w:r>
      <w:r w:rsidRPr="0026329D">
        <w:rPr>
          <w:lang w:val="en-CA"/>
        </w:rPr>
        <w:t xml:space="preserve">II as under </w:t>
      </w:r>
      <w:r w:rsidR="00A81DEE" w:rsidRPr="0026329D">
        <w:rPr>
          <w:lang w:val="en-CA"/>
        </w:rPr>
        <w:t>stage </w:t>
      </w:r>
      <w:r w:rsidRPr="0026329D">
        <w:rPr>
          <w:lang w:val="en-CA"/>
        </w:rPr>
        <w:t>I, whereby IOCs would be based on whether or not the equipment was sold domestically or exported to Article 5 parties</w:t>
      </w:r>
      <w:r w:rsidRPr="0026329D">
        <w:rPr>
          <w:rStyle w:val="FootnoteReference"/>
          <w:lang w:val="en-CA"/>
        </w:rPr>
        <w:footnoteReference w:id="21"/>
      </w:r>
      <w:r w:rsidRPr="0026329D">
        <w:rPr>
          <w:lang w:val="en-CA"/>
        </w:rPr>
        <w:t xml:space="preserve"> and, if the former, the energy efficiency grade of the equipment sold; and that IOCs gradually decrease with time to incentivize the early uptake of the technology. In particular, the Secretariat proposed that IOCs under </w:t>
      </w:r>
      <w:r w:rsidR="00A81DEE" w:rsidRPr="0026329D">
        <w:rPr>
          <w:lang w:val="en-CA"/>
        </w:rPr>
        <w:t>stage </w:t>
      </w:r>
      <w:r w:rsidRPr="0026329D">
        <w:rPr>
          <w:lang w:val="en-CA"/>
        </w:rPr>
        <w:t xml:space="preserve">II be maintained at the same level as under </w:t>
      </w:r>
      <w:r w:rsidR="00A81DEE" w:rsidRPr="0026329D">
        <w:rPr>
          <w:lang w:val="en-CA"/>
        </w:rPr>
        <w:t>stage </w:t>
      </w:r>
      <w:r w:rsidRPr="0026329D">
        <w:rPr>
          <w:lang w:val="en-CA"/>
        </w:rPr>
        <w:t xml:space="preserve">I for R-290 split units sold between 1 September 2021 and 31 December 2022, at which time the IOCs would be further reduced under a revised IOC incentive mechanism included in the third tranche request submitted to the last meeting of 2021. However, the Government wished to have flexibility to decide when to reduce the IOCs based on the progress of market reaction to R290. The Executive Committee may wish to consider the appropriate level of IOCs when additional information on the market uptake of the technology is provided as part of the request for the third tranche of the </w:t>
      </w:r>
      <w:r w:rsidR="00580733" w:rsidRPr="0026329D">
        <w:rPr>
          <w:lang w:val="en-CA"/>
        </w:rPr>
        <w:t>revised extended</w:t>
      </w:r>
      <w:r w:rsidRPr="0026329D">
        <w:rPr>
          <w:lang w:val="en-CA"/>
        </w:rPr>
        <w:t xml:space="preserve"> RAC sector plan. </w:t>
      </w:r>
    </w:p>
    <w:p w:rsidR="00337C27" w:rsidRPr="0026329D" w:rsidRDefault="00337C27" w:rsidP="006D156C">
      <w:pPr>
        <w:pStyle w:val="Heading1"/>
        <w:rPr>
          <w:lang w:val="en-CA"/>
        </w:rPr>
      </w:pPr>
      <w:r w:rsidRPr="0026329D">
        <w:rPr>
          <w:lang w:val="en-CA"/>
        </w:rPr>
        <w:t xml:space="preserve">The agreed allocation for IOCs under </w:t>
      </w:r>
      <w:r w:rsidR="00A81DEE" w:rsidRPr="0026329D">
        <w:rPr>
          <w:lang w:val="en-CA"/>
        </w:rPr>
        <w:t>stage </w:t>
      </w:r>
      <w:r w:rsidRPr="0026329D">
        <w:rPr>
          <w:lang w:val="en-CA"/>
        </w:rPr>
        <w:t xml:space="preserve">II of the RAC sector plan was </w:t>
      </w:r>
      <w:r w:rsidR="00475A50" w:rsidRPr="0026329D">
        <w:rPr>
          <w:lang w:val="en-CA"/>
        </w:rPr>
        <w:t>US $</w:t>
      </w:r>
      <w:r w:rsidRPr="0026329D">
        <w:rPr>
          <w:lang w:val="en-CA"/>
        </w:rPr>
        <w:t>33,648,412.</w:t>
      </w:r>
      <w:r w:rsidRPr="0026329D">
        <w:rPr>
          <w:rStyle w:val="FootnoteReference"/>
          <w:lang w:val="en-CA"/>
        </w:rPr>
        <w:footnoteReference w:id="22"/>
      </w:r>
      <w:r w:rsidRPr="0026329D">
        <w:rPr>
          <w:lang w:val="en-CA"/>
        </w:rPr>
        <w:t xml:space="preserve"> Based on a (funded) phase-out of 8,170 mt, the agreed level of IOCs was </w:t>
      </w:r>
      <w:r w:rsidR="00475A50" w:rsidRPr="0026329D">
        <w:rPr>
          <w:lang w:val="en-CA"/>
        </w:rPr>
        <w:t>US $</w:t>
      </w:r>
      <w:r w:rsidRPr="0026329D">
        <w:rPr>
          <w:lang w:val="en-CA"/>
        </w:rPr>
        <w:t xml:space="preserve">4.12/kg. The Secretariat proposed this agreed level continue to be considered the overall maximum IOC of </w:t>
      </w:r>
      <w:r w:rsidR="00A81DEE" w:rsidRPr="0026329D">
        <w:rPr>
          <w:lang w:val="en-CA"/>
        </w:rPr>
        <w:t>stage </w:t>
      </w:r>
      <w:r w:rsidRPr="0026329D">
        <w:rPr>
          <w:lang w:val="en-CA"/>
        </w:rPr>
        <w:t xml:space="preserve">II. Accordingly, a minimum of 2,773,360 R-290 RAC units would need to be sold between 2022 and 2026 for the additional </w:t>
      </w:r>
      <w:r w:rsidR="00475A50" w:rsidRPr="0026329D">
        <w:rPr>
          <w:lang w:val="en-CA"/>
        </w:rPr>
        <w:t>US $</w:t>
      </w:r>
      <w:r w:rsidRPr="0026329D">
        <w:rPr>
          <w:lang w:val="en-CA"/>
        </w:rPr>
        <w:t xml:space="preserve">13,135,500 of IOCs to be disbursed. UNIDO noted, however, that it was difficult for industry to commit to a specified number of sales as the IOC incentive scheme would be based on the number of units sold, energy efficiency of those units, and whether those units were sold domestically or exported to Article 5 countries. The Executive Committee may wish to provide guidance on whether or not a minimum number of R-290 RAC units would need to be sold based on information provided on the market uptake of R-290 RAC technology when the third tranche of the </w:t>
      </w:r>
      <w:r w:rsidR="00580733" w:rsidRPr="0026329D">
        <w:rPr>
          <w:lang w:val="en-CA"/>
        </w:rPr>
        <w:t>revised extended</w:t>
      </w:r>
      <w:r w:rsidRPr="0026329D">
        <w:rPr>
          <w:lang w:val="en-CA"/>
        </w:rPr>
        <w:t xml:space="preserve"> RAC sector plan was submitted.</w:t>
      </w:r>
    </w:p>
    <w:p w:rsidR="00337C27" w:rsidRPr="0026329D" w:rsidRDefault="00337C27" w:rsidP="00337C27">
      <w:pPr>
        <w:pStyle w:val="Heading1"/>
        <w:rPr>
          <w:lang w:val="en-CA"/>
        </w:rPr>
      </w:pPr>
      <w:r w:rsidRPr="0026329D">
        <w:rPr>
          <w:lang w:val="en-CA"/>
        </w:rPr>
        <w:t xml:space="preserve">A total of </w:t>
      </w:r>
      <w:r w:rsidR="00475A50" w:rsidRPr="0026329D">
        <w:rPr>
          <w:lang w:val="en-CA"/>
        </w:rPr>
        <w:t>US $</w:t>
      </w:r>
      <w:r w:rsidRPr="0026329D">
        <w:rPr>
          <w:lang w:val="en-CA"/>
        </w:rPr>
        <w:t xml:space="preserve">650,000 is allocated for a pilot installation of 10,000 R-290 AC units; this activity would effectively subsidize each R-290 RAC unit by </w:t>
      </w:r>
      <w:r w:rsidR="00475A50" w:rsidRPr="0026329D">
        <w:rPr>
          <w:lang w:val="en-CA"/>
        </w:rPr>
        <w:t>US $</w:t>
      </w:r>
      <w:r w:rsidRPr="0026329D">
        <w:rPr>
          <w:lang w:val="en-CA"/>
        </w:rPr>
        <w:t>65, a level well above the current IOC incentive scheme. UNIDO clarified that, to date, R-290 RAC units have been installed in non-residential buildings (e.g., public facilitates, office buildings, schools or factory dormitories); the pilot installation would target residential buildings to ensure the technology is accepted by individual household buyers. Each RAC unit will include a WIFI module to enable operation monitoring and data collection. On that basis, it was agreed that the 10,000 units in the pilot installation would not be included in the IOC incentive scheme.</w:t>
      </w:r>
    </w:p>
    <w:p w:rsidR="00337C27" w:rsidRPr="0026329D" w:rsidRDefault="00337C27" w:rsidP="00337C27">
      <w:pPr>
        <w:spacing w:after="240"/>
        <w:rPr>
          <w:u w:val="single"/>
          <w:lang w:val="en-CA"/>
        </w:rPr>
      </w:pPr>
      <w:r w:rsidRPr="0026329D">
        <w:rPr>
          <w:u w:val="single"/>
          <w:lang w:val="en-CA"/>
        </w:rPr>
        <w:t>Impact on the climate</w:t>
      </w:r>
    </w:p>
    <w:p w:rsidR="00337C27" w:rsidRPr="0026329D" w:rsidRDefault="00337C27" w:rsidP="00337C27">
      <w:pPr>
        <w:pStyle w:val="Heading1"/>
        <w:rPr>
          <w:lang w:val="en-CA"/>
        </w:rPr>
      </w:pPr>
      <w:r w:rsidRPr="0026329D">
        <w:rPr>
          <w:lang w:val="en-CA"/>
        </w:rPr>
        <w:t>The conversion of the 10 RAC manufacturing lines to R-290 would avoid the emission to the atmosphere of some 12.9 million tonnes of CO</w:t>
      </w:r>
      <w:r w:rsidRPr="0026329D">
        <w:rPr>
          <w:vertAlign w:val="subscript"/>
          <w:lang w:val="en-CA"/>
        </w:rPr>
        <w:t>2</w:t>
      </w:r>
      <w:r w:rsidRPr="0026329D">
        <w:rPr>
          <w:lang w:val="en-CA"/>
        </w:rPr>
        <w:t xml:space="preserve"> equivalent per year. The conversion of three residential HPWH lines to R-290 is estimated to avoid the emission to the atmosphere of an additional 229 tonnes of CO</w:t>
      </w:r>
      <w:r w:rsidRPr="0026329D">
        <w:rPr>
          <w:vertAlign w:val="subscript"/>
          <w:lang w:val="en-CA"/>
        </w:rPr>
        <w:t>2</w:t>
      </w:r>
      <w:r w:rsidRPr="0026329D">
        <w:rPr>
          <w:lang w:val="en-CA"/>
        </w:rPr>
        <w:t xml:space="preserve"> equivalent per year. In addition, China is proposing to phase out 40,514 mt of HCFC-22 at RAC enterprises without assistance from the Fund. Those conversions would increase the emissions to the atmosphere by approximately 507 thousand tonnes of CO</w:t>
      </w:r>
      <w:r w:rsidRPr="0026329D">
        <w:rPr>
          <w:vertAlign w:val="subscript"/>
          <w:lang w:val="en-CA"/>
        </w:rPr>
        <w:t>2</w:t>
      </w:r>
      <w:r w:rsidRPr="0026329D">
        <w:rPr>
          <w:lang w:val="en-CA"/>
        </w:rPr>
        <w:t xml:space="preserve"> equivalent per year if the alternate technology is R-410A; and would avoid the emissions to the atmosphere of approximately 150 million tonnes of CO</w:t>
      </w:r>
      <w:r w:rsidRPr="0026329D">
        <w:rPr>
          <w:vertAlign w:val="subscript"/>
          <w:lang w:val="en-CA"/>
        </w:rPr>
        <w:t>2</w:t>
      </w:r>
      <w:r w:rsidRPr="0026329D">
        <w:rPr>
          <w:lang w:val="en-CA"/>
        </w:rPr>
        <w:t xml:space="preserve"> equivalent per year if the technology is HFC-32. If approximately half of the unfunded conversions are to R-410A and the other half to HFC-32, then approximately 75 million tonnes of CO</w:t>
      </w:r>
      <w:r w:rsidRPr="0026329D">
        <w:rPr>
          <w:vertAlign w:val="subscript"/>
          <w:lang w:val="en-CA"/>
        </w:rPr>
        <w:t>2</w:t>
      </w:r>
      <w:r w:rsidRPr="0026329D">
        <w:rPr>
          <w:lang w:val="en-CA"/>
        </w:rPr>
        <w:t xml:space="preserve"> equivalent per year would be avoided; and approximately 107 million tonnes of CO</w:t>
      </w:r>
      <w:r w:rsidRPr="0026329D">
        <w:rPr>
          <w:vertAlign w:val="subscript"/>
          <w:lang w:val="en-CA"/>
        </w:rPr>
        <w:t>2</w:t>
      </w:r>
      <w:r w:rsidRPr="0026329D">
        <w:rPr>
          <w:lang w:val="en-CA"/>
        </w:rPr>
        <w:t xml:space="preserve"> equivalent per year would be avoided if those conversions are equally split among R-290, R-410A, and HFC-32. </w:t>
      </w:r>
    </w:p>
    <w:p w:rsidR="00A56EE6" w:rsidRPr="0026329D" w:rsidRDefault="006F5F66" w:rsidP="00A56EE6">
      <w:pPr>
        <w:keepNext/>
        <w:keepLines/>
        <w:rPr>
          <w:b/>
          <w:lang w:val="en-CA"/>
        </w:rPr>
      </w:pPr>
      <w:r w:rsidRPr="0026329D">
        <w:rPr>
          <w:b/>
          <w:lang w:val="en-CA"/>
        </w:rPr>
        <w:t xml:space="preserve">Recommendation </w:t>
      </w:r>
    </w:p>
    <w:p w:rsidR="00A56EE6" w:rsidRPr="0026329D" w:rsidRDefault="00A56EE6" w:rsidP="00A56EE6">
      <w:pPr>
        <w:keepNext/>
        <w:keepLines/>
        <w:rPr>
          <w:b/>
          <w:lang w:val="en-CA"/>
        </w:rPr>
      </w:pPr>
    </w:p>
    <w:p w:rsidR="00337C27" w:rsidRPr="0026329D" w:rsidRDefault="00337C27" w:rsidP="00337C27">
      <w:pPr>
        <w:pStyle w:val="Heading1"/>
        <w:keepNext/>
        <w:keepLines/>
        <w:rPr>
          <w:lang w:val="en-CA"/>
        </w:rPr>
      </w:pPr>
      <w:r w:rsidRPr="0026329D">
        <w:rPr>
          <w:lang w:val="en-CA"/>
        </w:rPr>
        <w:t xml:space="preserve">The Executive Committee may wish to: </w:t>
      </w:r>
    </w:p>
    <w:p w:rsidR="00337C27" w:rsidRPr="0026329D" w:rsidRDefault="00337C27" w:rsidP="00337C27">
      <w:pPr>
        <w:pStyle w:val="Heading2"/>
        <w:rPr>
          <w:lang w:val="en-CA"/>
        </w:rPr>
      </w:pPr>
      <w:r w:rsidRPr="0026329D">
        <w:rPr>
          <w:lang w:val="en-CA"/>
        </w:rPr>
        <w:t xml:space="preserve">Approve the revised plan of action to extend through 2026 </w:t>
      </w:r>
      <w:r w:rsidR="00A81DEE" w:rsidRPr="0026329D">
        <w:rPr>
          <w:lang w:val="en-CA"/>
        </w:rPr>
        <w:t>stage </w:t>
      </w:r>
      <w:r w:rsidRPr="0026329D">
        <w:rPr>
          <w:lang w:val="en-CA"/>
        </w:rPr>
        <w:t>II of the room air</w:t>
      </w:r>
      <w:r w:rsidRPr="0026329D">
        <w:rPr>
          <w:lang w:val="en-CA"/>
        </w:rPr>
        <w:noBreakHyphen/>
        <w:t xml:space="preserve">conditioning manufacturing (RAC) and heat pump water heaters (HPWH) sector plan (RAC sector plan), and the maximum allowable sectoral consumption levels of HCFC as described in document UNEP/OzL.Pro/ExCom/86/21/Add.1; </w:t>
      </w:r>
    </w:p>
    <w:p w:rsidR="00337C27" w:rsidRPr="0026329D" w:rsidRDefault="00337C27" w:rsidP="002979AE">
      <w:pPr>
        <w:pStyle w:val="Heading2"/>
        <w:keepNext/>
        <w:keepLines/>
        <w:rPr>
          <w:lang w:val="en-CA"/>
        </w:rPr>
      </w:pPr>
      <w:r w:rsidRPr="0026329D">
        <w:rPr>
          <w:lang w:val="en-CA"/>
        </w:rPr>
        <w:t xml:space="preserve">Note that under </w:t>
      </w:r>
      <w:r w:rsidR="00A81DEE" w:rsidRPr="0026329D">
        <w:rPr>
          <w:lang w:val="en-CA"/>
        </w:rPr>
        <w:t>stage </w:t>
      </w:r>
      <w:r w:rsidRPr="0026329D">
        <w:rPr>
          <w:lang w:val="en-CA"/>
        </w:rPr>
        <w:t xml:space="preserve">II of the RAC sector plan, the Government of China agreed to convert at least: </w:t>
      </w:r>
    </w:p>
    <w:p w:rsidR="00337C27" w:rsidRPr="0026329D" w:rsidRDefault="00337C27" w:rsidP="00337C27">
      <w:pPr>
        <w:pStyle w:val="Heading3"/>
        <w:rPr>
          <w:lang w:val="en-CA"/>
        </w:rPr>
      </w:pPr>
      <w:r w:rsidRPr="0026329D">
        <w:rPr>
          <w:lang w:val="en-CA"/>
        </w:rPr>
        <w:t xml:space="preserve">Ten manufacturing lines for the production of RAC equipment to </w:t>
      </w:r>
      <w:r w:rsidR="00726604" w:rsidRPr="0026329D">
        <w:rPr>
          <w:lang w:val="en-CA"/>
        </w:rPr>
        <w:t>R</w:t>
      </w:r>
      <w:r w:rsidRPr="0026329D">
        <w:rPr>
          <w:lang w:val="en-CA"/>
        </w:rPr>
        <w:t xml:space="preserve">-290; </w:t>
      </w:r>
    </w:p>
    <w:p w:rsidR="00337C27" w:rsidRPr="0026329D" w:rsidRDefault="00337C27" w:rsidP="00337C27">
      <w:pPr>
        <w:pStyle w:val="Heading3"/>
        <w:rPr>
          <w:lang w:val="en-CA"/>
        </w:rPr>
      </w:pPr>
      <w:r w:rsidRPr="0026329D">
        <w:rPr>
          <w:lang w:val="en-CA"/>
        </w:rPr>
        <w:t xml:space="preserve">Four compressor manufacturing lines to </w:t>
      </w:r>
      <w:r w:rsidR="00726604" w:rsidRPr="0026329D">
        <w:rPr>
          <w:lang w:val="en-CA"/>
        </w:rPr>
        <w:t>R-290</w:t>
      </w:r>
      <w:r w:rsidRPr="0026329D">
        <w:rPr>
          <w:lang w:val="en-CA"/>
        </w:rPr>
        <w:t xml:space="preserve">; and </w:t>
      </w:r>
    </w:p>
    <w:p w:rsidR="00337C27" w:rsidRPr="0026329D" w:rsidRDefault="00337C27" w:rsidP="00337C27">
      <w:pPr>
        <w:pStyle w:val="Heading3"/>
        <w:rPr>
          <w:lang w:val="en-CA"/>
        </w:rPr>
      </w:pPr>
      <w:r w:rsidRPr="0026329D">
        <w:rPr>
          <w:lang w:val="en-CA"/>
        </w:rPr>
        <w:t xml:space="preserve">Three </w:t>
      </w:r>
      <w:r w:rsidR="00EB3DFC">
        <w:rPr>
          <w:lang w:val="en-CA"/>
        </w:rPr>
        <w:t xml:space="preserve">residential </w:t>
      </w:r>
      <w:r w:rsidRPr="0026329D">
        <w:rPr>
          <w:lang w:val="en-CA"/>
        </w:rPr>
        <w:t xml:space="preserve">HPWH manufacturing lines to </w:t>
      </w:r>
      <w:r w:rsidR="00726604" w:rsidRPr="0026329D">
        <w:rPr>
          <w:lang w:val="en-CA"/>
        </w:rPr>
        <w:t>R-290</w:t>
      </w:r>
      <w:r w:rsidRPr="0026329D">
        <w:rPr>
          <w:lang w:val="en-CA"/>
        </w:rPr>
        <w:t xml:space="preserve">; </w:t>
      </w:r>
    </w:p>
    <w:p w:rsidR="00337C27" w:rsidRPr="0026329D" w:rsidRDefault="00337C27" w:rsidP="00337C27">
      <w:pPr>
        <w:pStyle w:val="Heading2"/>
        <w:rPr>
          <w:lang w:val="en-CA"/>
        </w:rPr>
      </w:pPr>
      <w:r w:rsidRPr="0026329D">
        <w:rPr>
          <w:lang w:val="en-CA"/>
        </w:rPr>
        <w:t>Request UNIDO to include in the request for the third tranche of the extended RAC sector plan to be submitted to the last meeting of 2021 information on the level of sales of R-290 RAC split units; and</w:t>
      </w:r>
    </w:p>
    <w:p w:rsidR="00337C27" w:rsidRPr="0026329D" w:rsidRDefault="00337C27" w:rsidP="00337C27">
      <w:pPr>
        <w:pStyle w:val="Heading2"/>
        <w:rPr>
          <w:lang w:val="en-CA"/>
        </w:rPr>
      </w:pPr>
      <w:r w:rsidRPr="0026329D">
        <w:rPr>
          <w:lang w:val="en-CA"/>
        </w:rPr>
        <w:t>Note that the Government of China, through UNIDO, would inform the Executive Committee of the non-Article 5 ownership of any RAC manufacturing lines wishing to participate under the extended RAC sector plan, and to propose either a reallocation of those funds associated with the non-Article 5 ownership for other activities under the extended RAC sector plan, or to return the funds to the Multilateral Fund.</w:t>
      </w:r>
    </w:p>
    <w:p w:rsidR="00EC5231" w:rsidRPr="0026329D" w:rsidRDefault="00BC390C" w:rsidP="00EC5231">
      <w:pPr>
        <w:rPr>
          <w:b/>
          <w:lang w:val="en-CA"/>
        </w:rPr>
      </w:pPr>
      <w:r w:rsidRPr="0026329D">
        <w:rPr>
          <w:b/>
          <w:lang w:val="en-CA"/>
        </w:rPr>
        <w:t xml:space="preserve">REVISED </w:t>
      </w:r>
      <w:r w:rsidR="00726604" w:rsidRPr="0026329D">
        <w:rPr>
          <w:b/>
          <w:lang w:val="en-CA"/>
        </w:rPr>
        <w:t xml:space="preserve">EXTENDED </w:t>
      </w:r>
      <w:r w:rsidRPr="0026329D">
        <w:rPr>
          <w:b/>
          <w:lang w:val="en-CA"/>
        </w:rPr>
        <w:t>REFRIGERATION SERVICING SECTOR PLAN AND NATIONAL ENABLING PROGRAMME (UNEP, Germany</w:t>
      </w:r>
      <w:r w:rsidR="00A9529F" w:rsidRPr="0026329D">
        <w:rPr>
          <w:b/>
          <w:lang w:val="en-CA"/>
        </w:rPr>
        <w:t>,</w:t>
      </w:r>
      <w:r w:rsidRPr="0026329D">
        <w:rPr>
          <w:b/>
          <w:lang w:val="en-CA"/>
        </w:rPr>
        <w:t xml:space="preserve"> Japan)</w:t>
      </w:r>
    </w:p>
    <w:p w:rsidR="00EC5231" w:rsidRPr="0026329D" w:rsidRDefault="00EC5231" w:rsidP="00EC5231">
      <w:pPr>
        <w:rPr>
          <w:lang w:val="en-CA"/>
        </w:rPr>
      </w:pPr>
    </w:p>
    <w:p w:rsidR="00D01B76" w:rsidRPr="0026329D" w:rsidRDefault="00D01B76" w:rsidP="00EC5231">
      <w:pPr>
        <w:rPr>
          <w:b/>
          <w:lang w:val="en-CA"/>
        </w:rPr>
      </w:pPr>
      <w:r w:rsidRPr="0026329D">
        <w:rPr>
          <w:b/>
          <w:lang w:val="en-CA"/>
        </w:rPr>
        <w:t>Sector plan description</w:t>
      </w:r>
    </w:p>
    <w:p w:rsidR="00D01B76" w:rsidRPr="0026329D" w:rsidRDefault="00D01B76" w:rsidP="00EC5231">
      <w:pPr>
        <w:rPr>
          <w:lang w:val="en-CA"/>
        </w:rPr>
      </w:pPr>
    </w:p>
    <w:p w:rsidR="00EC5231" w:rsidRPr="0026329D" w:rsidRDefault="00EC5231" w:rsidP="00EC5231">
      <w:pPr>
        <w:rPr>
          <w:b/>
          <w:lang w:val="en-CA"/>
        </w:rPr>
      </w:pPr>
      <w:r w:rsidRPr="0026329D">
        <w:rPr>
          <w:b/>
          <w:lang w:val="en-CA"/>
        </w:rPr>
        <w:t>Background</w:t>
      </w:r>
    </w:p>
    <w:p w:rsidR="00EC5231" w:rsidRPr="0026329D" w:rsidRDefault="00EC5231" w:rsidP="00EC5231">
      <w:pPr>
        <w:rPr>
          <w:b/>
          <w:lang w:val="en-CA"/>
        </w:rPr>
      </w:pPr>
    </w:p>
    <w:p w:rsidR="00EC5231" w:rsidRPr="0026329D" w:rsidRDefault="00EC5231" w:rsidP="00EC5231">
      <w:pPr>
        <w:pStyle w:val="Heading1"/>
        <w:rPr>
          <w:lang w:val="en-CA"/>
        </w:rPr>
      </w:pPr>
      <w:r w:rsidRPr="0026329D">
        <w:rPr>
          <w:lang w:val="en-CA"/>
        </w:rPr>
        <w:t>At its 76</w:t>
      </w:r>
      <w:r w:rsidRPr="0026329D">
        <w:rPr>
          <w:vertAlign w:val="superscript"/>
          <w:lang w:val="en-CA"/>
        </w:rPr>
        <w:t>th</w:t>
      </w:r>
      <w:r w:rsidRPr="0026329D">
        <w:rPr>
          <w:lang w:val="en-CA"/>
        </w:rPr>
        <w:t xml:space="preserve"> meeting, the Executive Committee approved in principle the refrigeration servicing sector plan and national enabling programme of </w:t>
      </w:r>
      <w:r w:rsidR="00A81DEE" w:rsidRPr="0026329D">
        <w:rPr>
          <w:lang w:val="en-CA"/>
        </w:rPr>
        <w:t>stage </w:t>
      </w:r>
      <w:r w:rsidRPr="0026329D">
        <w:rPr>
          <w:lang w:val="en-CA"/>
        </w:rPr>
        <w:t xml:space="preserve">II of the HPMP for China to achieve by 2026, 67.5 per cent reduction of HCFCs in that sector, in the amount of </w:t>
      </w:r>
      <w:r w:rsidR="00475A50" w:rsidRPr="0026329D">
        <w:rPr>
          <w:lang w:val="en-CA"/>
        </w:rPr>
        <w:t>US $</w:t>
      </w:r>
      <w:r w:rsidRPr="0026329D">
        <w:rPr>
          <w:lang w:val="en-CA"/>
        </w:rPr>
        <w:t xml:space="preserve">20.9 million, plus agency support costs of </w:t>
      </w:r>
      <w:r w:rsidR="00475A50" w:rsidRPr="0026329D">
        <w:rPr>
          <w:lang w:val="en-CA"/>
        </w:rPr>
        <w:t>US $</w:t>
      </w:r>
      <w:r w:rsidRPr="0026329D">
        <w:rPr>
          <w:lang w:val="en-CA"/>
        </w:rPr>
        <w:t>2,087</w:t>
      </w:r>
      <w:r w:rsidR="00A32000" w:rsidRPr="0026329D">
        <w:rPr>
          <w:lang w:val="en-CA"/>
        </w:rPr>
        <w:t>,</w:t>
      </w:r>
      <w:r w:rsidRPr="0026329D">
        <w:rPr>
          <w:lang w:val="en-CA"/>
        </w:rPr>
        <w:t xml:space="preserve">900 for UNEP, </w:t>
      </w:r>
      <w:r w:rsidR="00475A50" w:rsidRPr="0026329D">
        <w:rPr>
          <w:lang w:val="en-CA"/>
        </w:rPr>
        <w:t>US $</w:t>
      </w:r>
      <w:r w:rsidRPr="0026329D">
        <w:rPr>
          <w:lang w:val="en-CA"/>
        </w:rPr>
        <w:t xml:space="preserve">120,000 for the Government of Germany and </w:t>
      </w:r>
      <w:r w:rsidR="00475A50" w:rsidRPr="0026329D">
        <w:rPr>
          <w:lang w:val="en-CA"/>
        </w:rPr>
        <w:t>US $</w:t>
      </w:r>
      <w:r w:rsidRPr="0026329D">
        <w:rPr>
          <w:lang w:val="en-CA"/>
        </w:rPr>
        <w:t xml:space="preserve">52,000 for the Government of Japan. </w:t>
      </w:r>
    </w:p>
    <w:p w:rsidR="00EC5231" w:rsidRPr="0026329D" w:rsidRDefault="00EC5231" w:rsidP="00EC5231">
      <w:pPr>
        <w:pStyle w:val="Heading1"/>
        <w:rPr>
          <w:lang w:val="en-CA"/>
        </w:rPr>
      </w:pPr>
      <w:r w:rsidRPr="0026329D">
        <w:rPr>
          <w:lang w:val="en-CA"/>
        </w:rPr>
        <w:t>The second tranche for the refrigeration servicing sector and national enabling programme was approved at the 81</w:t>
      </w:r>
      <w:r w:rsidRPr="0026329D">
        <w:rPr>
          <w:vertAlign w:val="superscript"/>
          <w:lang w:val="en-CA"/>
        </w:rPr>
        <w:t>st</w:t>
      </w:r>
      <w:r w:rsidRPr="0026329D">
        <w:rPr>
          <w:lang w:val="en-CA"/>
        </w:rPr>
        <w:t> meeting, with the corresponding 2018-2020 tranche implementation plan. At its 82</w:t>
      </w:r>
      <w:r w:rsidRPr="0026329D">
        <w:rPr>
          <w:vertAlign w:val="superscript"/>
          <w:lang w:val="en-CA"/>
        </w:rPr>
        <w:t>nd</w:t>
      </w:r>
      <w:r w:rsidRPr="0026329D">
        <w:rPr>
          <w:lang w:val="en-CA"/>
        </w:rPr>
        <w:t> meeting, the Committee noted the request from the Government of China for the third tranche of the refrigeration servicing sector and national enabling programme sector plan and decided to defer consideration to the 83</w:t>
      </w:r>
      <w:r w:rsidRPr="0026329D">
        <w:rPr>
          <w:vertAlign w:val="superscript"/>
          <w:lang w:val="en-CA"/>
        </w:rPr>
        <w:t>rd</w:t>
      </w:r>
      <w:r w:rsidRPr="0026329D">
        <w:rPr>
          <w:lang w:val="en-CA"/>
        </w:rPr>
        <w:t> meeting (decision 82/71(b)); at which meeting a decision was made to further defer consideration of the third tranche to the 84</w:t>
      </w:r>
      <w:r w:rsidRPr="0026329D">
        <w:rPr>
          <w:vertAlign w:val="superscript"/>
          <w:lang w:val="en-CA"/>
        </w:rPr>
        <w:t>th</w:t>
      </w:r>
      <w:r w:rsidRPr="0026329D">
        <w:rPr>
          <w:lang w:val="en-CA"/>
        </w:rPr>
        <w:t> meeting (decision 83/55).</w:t>
      </w:r>
    </w:p>
    <w:p w:rsidR="00EC5231" w:rsidRPr="0026329D" w:rsidRDefault="00EC5231" w:rsidP="003927DC">
      <w:pPr>
        <w:pStyle w:val="Heading1"/>
        <w:widowControl w:val="0"/>
        <w:rPr>
          <w:lang w:val="en-CA"/>
        </w:rPr>
      </w:pPr>
      <w:r w:rsidRPr="0026329D">
        <w:rPr>
          <w:lang w:val="en-CA"/>
        </w:rPr>
        <w:t xml:space="preserve">The third tranche of the refrigeration servicing sector and national enabling programme sector plan of </w:t>
      </w:r>
      <w:r w:rsidR="00A81DEE" w:rsidRPr="0026329D">
        <w:rPr>
          <w:lang w:val="en-CA"/>
        </w:rPr>
        <w:t>stage </w:t>
      </w:r>
      <w:r w:rsidRPr="0026329D">
        <w:rPr>
          <w:lang w:val="en-CA"/>
        </w:rPr>
        <w:t>II of the HPMP for China, and the corresponding 2020-202</w:t>
      </w:r>
      <w:r w:rsidR="006A1CA7" w:rsidRPr="0026329D">
        <w:rPr>
          <w:lang w:val="en-CA"/>
        </w:rPr>
        <w:t>1</w:t>
      </w:r>
      <w:r w:rsidRPr="0026329D">
        <w:rPr>
          <w:lang w:val="en-CA"/>
        </w:rPr>
        <w:t xml:space="preserve"> tranche implementation plan was approved in the amount of </w:t>
      </w:r>
      <w:r w:rsidR="00475A50" w:rsidRPr="0026329D">
        <w:rPr>
          <w:lang w:val="en-CA"/>
        </w:rPr>
        <w:t>US $</w:t>
      </w:r>
      <w:r w:rsidRPr="0026329D">
        <w:rPr>
          <w:lang w:val="en-CA"/>
        </w:rPr>
        <w:t xml:space="preserve">1,000,000, plus agency support costs of </w:t>
      </w:r>
      <w:r w:rsidR="00475A50" w:rsidRPr="0026329D">
        <w:rPr>
          <w:lang w:val="en-CA"/>
        </w:rPr>
        <w:t>US $</w:t>
      </w:r>
      <w:r w:rsidRPr="0026329D">
        <w:rPr>
          <w:lang w:val="en-CA"/>
        </w:rPr>
        <w:t xml:space="preserve">120,000 </w:t>
      </w:r>
      <w:r w:rsidR="00A32000" w:rsidRPr="0026329D">
        <w:rPr>
          <w:lang w:val="en-CA"/>
        </w:rPr>
        <w:t>at the 84</w:t>
      </w:r>
      <w:r w:rsidR="00A32000" w:rsidRPr="0026329D">
        <w:rPr>
          <w:vertAlign w:val="superscript"/>
          <w:lang w:val="en-CA"/>
        </w:rPr>
        <w:t>th</w:t>
      </w:r>
      <w:r w:rsidR="00A32000" w:rsidRPr="0026329D">
        <w:rPr>
          <w:lang w:val="en-CA"/>
        </w:rPr>
        <w:t xml:space="preserve"> meeting.</w:t>
      </w:r>
      <w:r w:rsidRPr="0026329D">
        <w:rPr>
          <w:lang w:val="en-CA"/>
        </w:rPr>
        <w:t xml:space="preserve"> </w:t>
      </w:r>
    </w:p>
    <w:p w:rsidR="00EC5231" w:rsidRPr="0026329D" w:rsidRDefault="00EC5231" w:rsidP="00EC5231">
      <w:pPr>
        <w:rPr>
          <w:b/>
          <w:lang w:val="en-CA"/>
        </w:rPr>
      </w:pPr>
      <w:r w:rsidRPr="0026329D">
        <w:rPr>
          <w:b/>
          <w:lang w:val="en-CA"/>
        </w:rPr>
        <w:t xml:space="preserve">Revised </w:t>
      </w:r>
      <w:r w:rsidR="0033085D" w:rsidRPr="0026329D">
        <w:rPr>
          <w:b/>
          <w:lang w:val="en-CA"/>
        </w:rPr>
        <w:t xml:space="preserve">extended </w:t>
      </w:r>
      <w:r w:rsidRPr="0026329D">
        <w:rPr>
          <w:b/>
          <w:lang w:val="en-CA"/>
        </w:rPr>
        <w:t xml:space="preserve">plan of action </w:t>
      </w:r>
    </w:p>
    <w:p w:rsidR="00EC5231" w:rsidRPr="0026329D" w:rsidRDefault="00EC5231" w:rsidP="00EC5231">
      <w:pPr>
        <w:rPr>
          <w:lang w:val="en-CA"/>
        </w:rPr>
      </w:pPr>
    </w:p>
    <w:p w:rsidR="00EC5231" w:rsidRPr="0026329D" w:rsidRDefault="00EC5231" w:rsidP="00EC5231">
      <w:pPr>
        <w:pStyle w:val="Heading1"/>
        <w:rPr>
          <w:lang w:val="en-CA"/>
        </w:rPr>
      </w:pPr>
      <w:r w:rsidRPr="0026329D">
        <w:rPr>
          <w:lang w:val="en-CA"/>
        </w:rPr>
        <w:t xml:space="preserve">In line with decision 84/69(a)(iii), UNEP, on behalf of the Government of China, submitted a revised </w:t>
      </w:r>
      <w:r w:rsidR="0033085D" w:rsidRPr="0026329D">
        <w:rPr>
          <w:lang w:val="en-CA"/>
        </w:rPr>
        <w:t xml:space="preserve">extended </w:t>
      </w:r>
      <w:r w:rsidRPr="0026329D">
        <w:rPr>
          <w:lang w:val="en-CA"/>
        </w:rPr>
        <w:t xml:space="preserve">plan of action to extend through 2026 </w:t>
      </w:r>
      <w:r w:rsidR="00A81DEE" w:rsidRPr="0026329D">
        <w:rPr>
          <w:lang w:val="en-CA"/>
        </w:rPr>
        <w:t>stage </w:t>
      </w:r>
      <w:r w:rsidRPr="0026329D">
        <w:rPr>
          <w:lang w:val="en-CA"/>
        </w:rPr>
        <w:t xml:space="preserve">II of refrigeration servicing sector and national enabling programme sector plan at a cost of </w:t>
      </w:r>
      <w:r w:rsidR="00475A50" w:rsidRPr="0026329D">
        <w:rPr>
          <w:lang w:val="en-CA"/>
        </w:rPr>
        <w:t>US $</w:t>
      </w:r>
      <w:r w:rsidRPr="0026329D">
        <w:rPr>
          <w:lang w:val="en-CA"/>
        </w:rPr>
        <w:t xml:space="preserve">11,675,105, plus agency support costs of </w:t>
      </w:r>
      <w:r w:rsidR="00475A50" w:rsidRPr="0026329D">
        <w:rPr>
          <w:lang w:val="en-CA"/>
        </w:rPr>
        <w:t>US $</w:t>
      </w:r>
      <w:r w:rsidRPr="0026329D">
        <w:rPr>
          <w:lang w:val="en-CA"/>
        </w:rPr>
        <w:t xml:space="preserve">1,342,282 for UNEP, </w:t>
      </w:r>
      <w:r w:rsidR="00475A50" w:rsidRPr="0026329D">
        <w:rPr>
          <w:lang w:val="en-CA"/>
        </w:rPr>
        <w:t>US $</w:t>
      </w:r>
      <w:r w:rsidRPr="0026329D">
        <w:rPr>
          <w:lang w:val="en-CA"/>
        </w:rPr>
        <w:t xml:space="preserve">820,000 for the Government of Germany, and </w:t>
      </w:r>
      <w:r w:rsidR="00475A50" w:rsidRPr="0026329D">
        <w:rPr>
          <w:lang w:val="en-CA"/>
        </w:rPr>
        <w:t>US $</w:t>
      </w:r>
      <w:r w:rsidRPr="0026329D">
        <w:rPr>
          <w:lang w:val="en-CA"/>
        </w:rPr>
        <w:t>240,000 for the Government of Japan</w:t>
      </w:r>
      <w:r w:rsidRPr="0026329D">
        <w:rPr>
          <w:rStyle w:val="FootnoteReference"/>
          <w:lang w:val="en-CA"/>
        </w:rPr>
        <w:footnoteReference w:id="23"/>
      </w:r>
      <w:r w:rsidRPr="0026329D">
        <w:rPr>
          <w:lang w:val="en-CA"/>
        </w:rPr>
        <w:t xml:space="preserve">; and the maximum allowable sectoral consumption levels of HCFC as described in row 1.3.4. The implementation of </w:t>
      </w:r>
      <w:r w:rsidR="00A81DEE" w:rsidRPr="0026329D">
        <w:rPr>
          <w:lang w:val="en-CA"/>
        </w:rPr>
        <w:t>stage </w:t>
      </w:r>
      <w:r w:rsidRPr="0026329D">
        <w:rPr>
          <w:lang w:val="en-CA"/>
        </w:rPr>
        <w:t>II</w:t>
      </w:r>
      <w:r w:rsidRPr="0026329D">
        <w:rPr>
          <w:rStyle w:val="FootnoteReference"/>
          <w:lang w:val="en-CA"/>
        </w:rPr>
        <w:footnoteReference w:id="24"/>
      </w:r>
      <w:r w:rsidRPr="0026329D">
        <w:rPr>
          <w:lang w:val="en-CA"/>
        </w:rPr>
        <w:t xml:space="preserve"> will assist China in meeting the Montreal Protocol compliance targets of 67.5 per cent reduction by 2025. </w:t>
      </w:r>
    </w:p>
    <w:p w:rsidR="00EC5231" w:rsidRPr="0026329D" w:rsidRDefault="00EC5231" w:rsidP="00EC5231">
      <w:pPr>
        <w:numPr>
          <w:ilvl w:val="0"/>
          <w:numId w:val="1"/>
        </w:numPr>
        <w:spacing w:after="240"/>
        <w:outlineLvl w:val="0"/>
        <w:rPr>
          <w:lang w:val="en-CA"/>
        </w:rPr>
      </w:pPr>
      <w:r w:rsidRPr="0026329D">
        <w:rPr>
          <w:lang w:val="en-CA"/>
        </w:rPr>
        <w:t>In line with the draft revised Agreement submitted by UNDP to the 86</w:t>
      </w:r>
      <w:r w:rsidRPr="0026329D">
        <w:rPr>
          <w:vertAlign w:val="superscript"/>
          <w:lang w:val="en-CA"/>
        </w:rPr>
        <w:t>th</w:t>
      </w:r>
      <w:r w:rsidRPr="0026329D">
        <w:rPr>
          <w:lang w:val="en-CA"/>
        </w:rPr>
        <w:t xml:space="preserve"> meeting, the next tranche of </w:t>
      </w:r>
      <w:r w:rsidR="00A81DEE" w:rsidRPr="0026329D">
        <w:rPr>
          <w:lang w:val="en-CA"/>
        </w:rPr>
        <w:t>stage </w:t>
      </w:r>
      <w:r w:rsidRPr="0026329D">
        <w:rPr>
          <w:lang w:val="en-CA"/>
        </w:rPr>
        <w:t xml:space="preserve">II of the refrigeration servicing sector and national enabling programme sector plan, amounting to </w:t>
      </w:r>
      <w:r w:rsidR="00475A50" w:rsidRPr="0026329D">
        <w:rPr>
          <w:lang w:val="en-CA"/>
        </w:rPr>
        <w:t>US $</w:t>
      </w:r>
      <w:r w:rsidRPr="0026329D">
        <w:rPr>
          <w:lang w:val="en-CA"/>
        </w:rPr>
        <w:t xml:space="preserve">2,500,000, plus agency support costs of </w:t>
      </w:r>
      <w:r w:rsidR="00475A50" w:rsidRPr="0026329D">
        <w:rPr>
          <w:lang w:val="en-CA"/>
        </w:rPr>
        <w:t>US $</w:t>
      </w:r>
      <w:r w:rsidRPr="0026329D">
        <w:rPr>
          <w:lang w:val="en-CA"/>
        </w:rPr>
        <w:t>2,000,000 (breakdown by agency as in previous cases) for UNEP, the Government of Germany and the Government of Japan will be submitted to the second meeting of 2021.</w:t>
      </w:r>
    </w:p>
    <w:p w:rsidR="00EC5231" w:rsidRPr="0026329D" w:rsidRDefault="00EC5231" w:rsidP="006D156C">
      <w:pPr>
        <w:keepNext/>
        <w:rPr>
          <w:u w:val="single"/>
          <w:lang w:val="en-CA"/>
        </w:rPr>
      </w:pPr>
      <w:r w:rsidRPr="0026329D">
        <w:rPr>
          <w:u w:val="single"/>
          <w:lang w:val="en-CA"/>
        </w:rPr>
        <w:t>HCFC consumption in the refrigeration servicing sector</w:t>
      </w:r>
    </w:p>
    <w:p w:rsidR="00EC5231" w:rsidRPr="0026329D" w:rsidRDefault="00EC5231" w:rsidP="006D156C">
      <w:pPr>
        <w:keepNext/>
        <w:rPr>
          <w:lang w:val="en-CA"/>
        </w:rPr>
      </w:pPr>
    </w:p>
    <w:p w:rsidR="00EC5231" w:rsidRPr="0026329D" w:rsidRDefault="00EC5231" w:rsidP="00EC5231">
      <w:pPr>
        <w:pStyle w:val="Heading1"/>
        <w:rPr>
          <w:lang w:val="en-CA"/>
        </w:rPr>
      </w:pPr>
      <w:bookmarkStart w:id="5" w:name="_Toc441490727"/>
      <w:r w:rsidRPr="0026329D">
        <w:rPr>
          <w:lang w:val="en-CA"/>
        </w:rPr>
        <w:t xml:space="preserve">The consumption of HCFCs in the servicing sector in 2019 was 59,357.39 mt (3,259.7 ODP tonnes) of HCFC-22 as shown in Table 1. There is no maximum allowable consumption for the refrigeration servicing sector in the Agreement. The overall total consumption of HCFC in 2019 in China. </w:t>
      </w:r>
    </w:p>
    <w:p w:rsidR="00EC5231" w:rsidRPr="0026329D" w:rsidRDefault="00EC5231" w:rsidP="00EC5231">
      <w:pPr>
        <w:keepNext/>
        <w:keepLines/>
        <w:widowControl w:val="0"/>
        <w:rPr>
          <w:b/>
          <w:lang w:val="en-CA"/>
        </w:rPr>
      </w:pPr>
      <w:r w:rsidRPr="0026329D">
        <w:rPr>
          <w:b/>
          <w:lang w:val="en-CA"/>
        </w:rPr>
        <w:t>Table 1. HCFC consumption in the servicing sector in China (2015-2019 country programme data)</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245"/>
        <w:gridCol w:w="1245"/>
        <w:gridCol w:w="1246"/>
        <w:gridCol w:w="1246"/>
        <w:gridCol w:w="1246"/>
        <w:gridCol w:w="1244"/>
      </w:tblGrid>
      <w:tr w:rsidR="00EC5231" w:rsidRPr="0026329D" w:rsidTr="00CD194D">
        <w:trPr>
          <w:cantSplit/>
          <w:tblHeader/>
        </w:trPr>
        <w:tc>
          <w:tcPr>
            <w:tcW w:w="1005" w:type="pct"/>
            <w:shd w:val="clear" w:color="auto" w:fill="auto"/>
            <w:noWrap/>
            <w:tcMar>
              <w:left w:w="43" w:type="dxa"/>
              <w:right w:w="43" w:type="dxa"/>
            </w:tcMar>
            <w:vAlign w:val="center"/>
            <w:hideMark/>
          </w:tcPr>
          <w:p w:rsidR="00EC5231" w:rsidRPr="0026329D" w:rsidRDefault="00EC5231" w:rsidP="00CD194D">
            <w:pPr>
              <w:keepNext/>
              <w:keepLines/>
              <w:widowControl w:val="0"/>
              <w:jc w:val="left"/>
              <w:rPr>
                <w:b/>
                <w:bCs/>
                <w:color w:val="000000"/>
                <w:sz w:val="20"/>
                <w:szCs w:val="20"/>
                <w:lang w:val="en-CA"/>
              </w:rPr>
            </w:pPr>
            <w:r w:rsidRPr="0026329D">
              <w:rPr>
                <w:b/>
                <w:bCs/>
                <w:color w:val="000000"/>
                <w:sz w:val="20"/>
                <w:szCs w:val="20"/>
                <w:lang w:val="en-CA"/>
              </w:rPr>
              <w:t>HCFC</w:t>
            </w:r>
          </w:p>
        </w:tc>
        <w:tc>
          <w:tcPr>
            <w:tcW w:w="666" w:type="pct"/>
            <w:tcMar>
              <w:left w:w="0" w:type="dxa"/>
              <w:right w:w="0" w:type="dxa"/>
            </w:tcMar>
            <w:vAlign w:val="cente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2015</w:t>
            </w:r>
          </w:p>
        </w:tc>
        <w:tc>
          <w:tcPr>
            <w:tcW w:w="666" w:type="pct"/>
            <w:tcMar>
              <w:left w:w="0" w:type="dxa"/>
              <w:right w:w="0" w:type="dxa"/>
            </w:tcMar>
            <w:vAlign w:val="cente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2016</w:t>
            </w:r>
          </w:p>
        </w:tc>
        <w:tc>
          <w:tcPr>
            <w:tcW w:w="666" w:type="pct"/>
            <w:tcMar>
              <w:left w:w="0" w:type="dxa"/>
              <w:right w:w="0" w:type="dxa"/>
            </w:tcMar>
            <w:vAlign w:val="cente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2017</w:t>
            </w:r>
          </w:p>
        </w:tc>
        <w:tc>
          <w:tcPr>
            <w:tcW w:w="666" w:type="pct"/>
            <w:tcMar>
              <w:left w:w="0" w:type="dxa"/>
              <w:right w:w="0" w:type="dxa"/>
            </w:tcMar>
            <w:vAlign w:val="cente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2018</w:t>
            </w:r>
          </w:p>
        </w:tc>
        <w:tc>
          <w:tcPr>
            <w:tcW w:w="666" w:type="pct"/>
            <w:tcMar>
              <w:left w:w="0" w:type="dxa"/>
              <w:right w:w="0" w:type="dxa"/>
            </w:tcMar>
            <w:vAlign w:val="cente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2019</w:t>
            </w:r>
          </w:p>
        </w:tc>
        <w:tc>
          <w:tcPr>
            <w:tcW w:w="665" w:type="pct"/>
            <w:tcMar>
              <w:left w:w="0" w:type="dxa"/>
              <w:right w:w="0" w:type="dxa"/>
            </w:tcMar>
          </w:tcPr>
          <w:p w:rsidR="00EC5231" w:rsidRPr="0026329D" w:rsidRDefault="00EC5231" w:rsidP="00CD194D">
            <w:pPr>
              <w:keepNext/>
              <w:keepLines/>
              <w:widowControl w:val="0"/>
              <w:jc w:val="center"/>
              <w:rPr>
                <w:b/>
                <w:bCs/>
                <w:color w:val="000000"/>
                <w:sz w:val="20"/>
                <w:szCs w:val="20"/>
                <w:lang w:val="en-CA"/>
              </w:rPr>
            </w:pPr>
            <w:r w:rsidRPr="0026329D">
              <w:rPr>
                <w:b/>
                <w:bCs/>
                <w:color w:val="000000"/>
                <w:sz w:val="20"/>
                <w:szCs w:val="20"/>
                <w:lang w:val="en-CA"/>
              </w:rPr>
              <w:t>Average*</w:t>
            </w:r>
          </w:p>
        </w:tc>
      </w:tr>
      <w:tr w:rsidR="00EC5231" w:rsidRPr="0026329D" w:rsidTr="00CD194D">
        <w:trPr>
          <w:cantSplit/>
        </w:trPr>
        <w:tc>
          <w:tcPr>
            <w:tcW w:w="5000" w:type="pct"/>
            <w:gridSpan w:val="7"/>
            <w:shd w:val="clear" w:color="auto" w:fill="auto"/>
            <w:noWrap/>
            <w:tcMar>
              <w:left w:w="43" w:type="dxa"/>
              <w:right w:w="43" w:type="dxa"/>
            </w:tcMar>
          </w:tcPr>
          <w:p w:rsidR="00EC5231" w:rsidRPr="0026329D" w:rsidRDefault="00EC5231" w:rsidP="00CD194D">
            <w:pPr>
              <w:keepNext/>
              <w:keepLines/>
              <w:jc w:val="left"/>
              <w:rPr>
                <w:color w:val="000000"/>
                <w:sz w:val="20"/>
                <w:szCs w:val="20"/>
                <w:lang w:val="en-CA"/>
              </w:rPr>
            </w:pPr>
            <w:r w:rsidRPr="0026329D">
              <w:rPr>
                <w:b/>
                <w:color w:val="000000"/>
                <w:sz w:val="20"/>
                <w:szCs w:val="20"/>
                <w:lang w:val="en-CA"/>
              </w:rPr>
              <w:t xml:space="preserve">Metric tonnes </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keepNext/>
              <w:keepLines/>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22</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42,557.47</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47,398.35</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51,482.65</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59,821.81</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58,005.55</w:t>
            </w:r>
          </w:p>
        </w:tc>
        <w:tc>
          <w:tcPr>
            <w:tcW w:w="665"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64,466.58</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keepNext/>
              <w:keepLines/>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123</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314.91</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288.14</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347.29</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437.57</w:t>
            </w:r>
          </w:p>
        </w:tc>
        <w:tc>
          <w:tcPr>
            <w:tcW w:w="666"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404.58</w:t>
            </w:r>
          </w:p>
        </w:tc>
        <w:tc>
          <w:tcPr>
            <w:tcW w:w="665" w:type="pct"/>
          </w:tcPr>
          <w:p w:rsidR="00EC5231" w:rsidRPr="0026329D" w:rsidRDefault="00EC5231" w:rsidP="00CD194D">
            <w:pPr>
              <w:keepNext/>
              <w:keepLines/>
              <w:jc w:val="right"/>
              <w:rPr>
                <w:color w:val="000000"/>
                <w:sz w:val="20"/>
                <w:szCs w:val="20"/>
                <w:lang w:val="en-CA"/>
              </w:rPr>
            </w:pPr>
            <w:r w:rsidRPr="0026329D">
              <w:rPr>
                <w:color w:val="000000"/>
                <w:sz w:val="20"/>
                <w:szCs w:val="20"/>
                <w:lang w:val="en-CA"/>
              </w:rPr>
              <w:t>113.75</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124</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(46.320</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67.16</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(5.71)</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(5.32)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37.71</w:t>
            </w:r>
          </w:p>
        </w:tc>
        <w:tc>
          <w:tcPr>
            <w:tcW w:w="665" w:type="pct"/>
          </w:tcPr>
          <w:p w:rsidR="00EC5231" w:rsidRPr="0026329D" w:rsidRDefault="00EC5231" w:rsidP="00CD194D">
            <w:pPr>
              <w:jc w:val="right"/>
              <w:rPr>
                <w:color w:val="000000"/>
                <w:sz w:val="20"/>
                <w:szCs w:val="20"/>
                <w:lang w:val="en-CA"/>
              </w:rPr>
            </w:pPr>
            <w:r w:rsidRPr="0026329D">
              <w:rPr>
                <w:color w:val="000000"/>
                <w:sz w:val="20"/>
                <w:szCs w:val="20"/>
                <w:lang w:val="en-CA"/>
              </w:rPr>
              <w:t>139.56</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142b</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1,016.42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371.44</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662.43</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276.97</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909.55</w:t>
            </w:r>
          </w:p>
        </w:tc>
        <w:tc>
          <w:tcPr>
            <w:tcW w:w="665" w:type="pct"/>
          </w:tcPr>
          <w:p w:rsidR="00EC5231" w:rsidRPr="0026329D" w:rsidRDefault="00EC5231" w:rsidP="00CD194D">
            <w:pPr>
              <w:jc w:val="right"/>
              <w:rPr>
                <w:color w:val="000000"/>
                <w:sz w:val="20"/>
                <w:szCs w:val="20"/>
                <w:lang w:val="en-CA"/>
              </w:rPr>
            </w:pPr>
            <w:r w:rsidRPr="0026329D">
              <w:rPr>
                <w:color w:val="000000"/>
                <w:sz w:val="20"/>
                <w:szCs w:val="20"/>
                <w:lang w:val="en-CA"/>
              </w:rPr>
              <w:t>5,338.58</w:t>
            </w:r>
          </w:p>
        </w:tc>
      </w:tr>
      <w:tr w:rsidR="00EC5231" w:rsidRPr="0026329D" w:rsidTr="00CD194D">
        <w:trPr>
          <w:cantSplit/>
        </w:trPr>
        <w:tc>
          <w:tcPr>
            <w:tcW w:w="1005" w:type="pct"/>
            <w:shd w:val="clear" w:color="auto" w:fill="auto"/>
            <w:noWrap/>
            <w:tcMar>
              <w:left w:w="43" w:type="dxa"/>
              <w:right w:w="43" w:type="dxa"/>
            </w:tcMar>
          </w:tcPr>
          <w:p w:rsidR="00EC5231" w:rsidRPr="0026329D" w:rsidRDefault="00EC5231" w:rsidP="00CD194D">
            <w:pPr>
              <w:widowControl w:val="0"/>
              <w:jc w:val="left"/>
              <w:rPr>
                <w:color w:val="000000"/>
                <w:sz w:val="20"/>
                <w:szCs w:val="20"/>
                <w:lang w:val="en-CA"/>
              </w:rPr>
            </w:pPr>
            <w:r w:rsidRPr="0026329D">
              <w:rPr>
                <w:b/>
                <w:color w:val="000000"/>
                <w:sz w:val="20"/>
                <w:szCs w:val="20"/>
                <w:lang w:val="en-CA"/>
              </w:rPr>
              <w:t>Total (mt)</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43,842.48</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48,125.09</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52,486.66</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60,531.03</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59,357.39</w:t>
            </w:r>
          </w:p>
        </w:tc>
        <w:tc>
          <w:tcPr>
            <w:tcW w:w="665" w:type="pct"/>
          </w:tcPr>
          <w:p w:rsidR="00EC5231" w:rsidRPr="0026329D" w:rsidRDefault="00EC5231" w:rsidP="00CD194D">
            <w:pPr>
              <w:jc w:val="right"/>
              <w:rPr>
                <w:b/>
                <w:color w:val="000000"/>
                <w:sz w:val="20"/>
                <w:szCs w:val="20"/>
                <w:lang w:val="en-CA"/>
              </w:rPr>
            </w:pPr>
            <w:r w:rsidRPr="0026329D">
              <w:rPr>
                <w:b/>
                <w:color w:val="000000"/>
                <w:sz w:val="20"/>
                <w:szCs w:val="20"/>
                <w:lang w:val="en-CA"/>
              </w:rPr>
              <w:t>70,058.47</w:t>
            </w:r>
          </w:p>
        </w:tc>
      </w:tr>
      <w:tr w:rsidR="00EC5231" w:rsidRPr="0026329D" w:rsidTr="00CD194D">
        <w:trPr>
          <w:cantSplit/>
        </w:trPr>
        <w:tc>
          <w:tcPr>
            <w:tcW w:w="5000" w:type="pct"/>
            <w:gridSpan w:val="7"/>
            <w:shd w:val="clear" w:color="auto" w:fill="auto"/>
            <w:noWrap/>
            <w:tcMar>
              <w:left w:w="43" w:type="dxa"/>
              <w:right w:w="43" w:type="dxa"/>
            </w:tcMar>
          </w:tcPr>
          <w:p w:rsidR="00EC5231" w:rsidRPr="0026329D" w:rsidRDefault="00EC5231" w:rsidP="00CD194D">
            <w:pPr>
              <w:jc w:val="left"/>
              <w:rPr>
                <w:color w:val="000000"/>
                <w:sz w:val="20"/>
                <w:szCs w:val="20"/>
                <w:lang w:val="en-CA"/>
              </w:rPr>
            </w:pPr>
            <w:r w:rsidRPr="0026329D">
              <w:rPr>
                <w:b/>
                <w:color w:val="000000"/>
                <w:sz w:val="20"/>
                <w:szCs w:val="20"/>
                <w:lang w:val="en-CA"/>
              </w:rPr>
              <w:t>ODP tonnes</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22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2,340.66</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2,606.91</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2,831.55</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3,290.20</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3,190.31</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3,545.68</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123</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6.30</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5.76</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6.95</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8.75</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8.09</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2.30</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124</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(1.02)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1.48</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(0.13)</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(0.12)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0.75</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3.05</w:t>
            </w:r>
          </w:p>
        </w:tc>
      </w:tr>
      <w:tr w:rsidR="00EC5231" w:rsidRPr="0026329D" w:rsidTr="00CD194D">
        <w:trPr>
          <w:cantSplit/>
        </w:trPr>
        <w:tc>
          <w:tcPr>
            <w:tcW w:w="1005" w:type="pct"/>
            <w:shd w:val="clear" w:color="auto" w:fill="auto"/>
            <w:noWrap/>
            <w:tcMar>
              <w:left w:w="43" w:type="dxa"/>
              <w:right w:w="43" w:type="dxa"/>
            </w:tcMar>
            <w:hideMark/>
          </w:tcPr>
          <w:p w:rsidR="00EC5231" w:rsidRPr="0026329D" w:rsidRDefault="00EC5231" w:rsidP="00CD194D">
            <w:pPr>
              <w:widowControl w:val="0"/>
              <w:jc w:val="left"/>
              <w:rPr>
                <w:color w:val="000000"/>
                <w:sz w:val="20"/>
                <w:szCs w:val="20"/>
                <w:lang w:val="en-CA"/>
              </w:rPr>
            </w:pPr>
            <w:r w:rsidRPr="0026329D">
              <w:rPr>
                <w:color w:val="000000"/>
                <w:sz w:val="20"/>
                <w:szCs w:val="20"/>
                <w:lang w:val="en-CA"/>
              </w:rPr>
              <w:t>HCFC</w:t>
            </w:r>
            <w:r w:rsidRPr="0026329D">
              <w:rPr>
                <w:color w:val="000000"/>
                <w:sz w:val="20"/>
                <w:szCs w:val="20"/>
                <w:lang w:val="en-CA"/>
              </w:rPr>
              <w:noBreakHyphen/>
              <w:t>142b</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66.07</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24.14</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43.06</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18.00</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59.12</w:t>
            </w:r>
          </w:p>
        </w:tc>
        <w:tc>
          <w:tcPr>
            <w:tcW w:w="666" w:type="pct"/>
          </w:tcPr>
          <w:p w:rsidR="00EC5231" w:rsidRPr="0026329D" w:rsidRDefault="00EC5231" w:rsidP="00CD194D">
            <w:pPr>
              <w:jc w:val="right"/>
              <w:rPr>
                <w:color w:val="000000"/>
                <w:sz w:val="20"/>
                <w:szCs w:val="20"/>
                <w:lang w:val="en-CA"/>
              </w:rPr>
            </w:pPr>
            <w:r w:rsidRPr="0026329D">
              <w:rPr>
                <w:color w:val="000000"/>
                <w:sz w:val="20"/>
                <w:szCs w:val="20"/>
                <w:lang w:val="en-CA"/>
              </w:rPr>
              <w:t>347.03</w:t>
            </w:r>
          </w:p>
        </w:tc>
      </w:tr>
      <w:tr w:rsidR="00EC5231" w:rsidRPr="0026329D" w:rsidTr="00CD194D">
        <w:trPr>
          <w:cantSplit/>
        </w:trPr>
        <w:tc>
          <w:tcPr>
            <w:tcW w:w="1005" w:type="pct"/>
            <w:shd w:val="clear" w:color="auto" w:fill="auto"/>
            <w:noWrap/>
            <w:tcMar>
              <w:left w:w="43" w:type="dxa"/>
              <w:right w:w="43" w:type="dxa"/>
            </w:tcMar>
          </w:tcPr>
          <w:p w:rsidR="00EC5231" w:rsidRPr="0026329D" w:rsidRDefault="00EC5231" w:rsidP="00CD194D">
            <w:pPr>
              <w:jc w:val="left"/>
              <w:rPr>
                <w:rFonts w:eastAsiaTheme="minorHAnsi"/>
                <w:b/>
                <w:sz w:val="20"/>
                <w:szCs w:val="20"/>
                <w:lang w:val="en-CA"/>
              </w:rPr>
            </w:pPr>
            <w:r w:rsidRPr="0026329D">
              <w:rPr>
                <w:b/>
                <w:color w:val="000000"/>
                <w:sz w:val="20"/>
                <w:szCs w:val="20"/>
                <w:lang w:val="en-CA"/>
              </w:rPr>
              <w:t>Total (ODP tonnes)</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2,412.01</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2,638.29</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2,881.42</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3,316.83</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3,258.27</w:t>
            </w:r>
          </w:p>
        </w:tc>
        <w:tc>
          <w:tcPr>
            <w:tcW w:w="666" w:type="pct"/>
          </w:tcPr>
          <w:p w:rsidR="00EC5231" w:rsidRPr="0026329D" w:rsidRDefault="00EC5231" w:rsidP="00CD194D">
            <w:pPr>
              <w:jc w:val="right"/>
              <w:rPr>
                <w:b/>
                <w:color w:val="000000"/>
                <w:sz w:val="20"/>
                <w:szCs w:val="20"/>
                <w:lang w:val="en-CA"/>
              </w:rPr>
            </w:pPr>
            <w:r w:rsidRPr="0026329D">
              <w:rPr>
                <w:b/>
                <w:color w:val="000000"/>
                <w:sz w:val="20"/>
                <w:szCs w:val="20"/>
                <w:lang w:val="en-CA"/>
              </w:rPr>
              <w:t>3,898.06</w:t>
            </w:r>
          </w:p>
        </w:tc>
      </w:tr>
    </w:tbl>
    <w:p w:rsidR="00EC5231" w:rsidRPr="0026329D" w:rsidRDefault="00EC5231" w:rsidP="00EC5231">
      <w:pPr>
        <w:pStyle w:val="Heading1"/>
        <w:numPr>
          <w:ilvl w:val="0"/>
          <w:numId w:val="0"/>
        </w:numPr>
        <w:rPr>
          <w:rFonts w:eastAsia="SimSun"/>
          <w:sz w:val="18"/>
          <w:szCs w:val="18"/>
          <w:lang w:val="en-CA"/>
        </w:rPr>
      </w:pPr>
      <w:r w:rsidRPr="0026329D">
        <w:rPr>
          <w:rFonts w:eastAsia="SimSun"/>
          <w:sz w:val="18"/>
          <w:szCs w:val="18"/>
          <w:lang w:val="en-CA"/>
        </w:rPr>
        <w:t>* Average consumption in 2009 and 2010.</w:t>
      </w:r>
    </w:p>
    <w:p w:rsidR="00EC5231" w:rsidRPr="0026329D" w:rsidRDefault="00EC5231" w:rsidP="00EC5231">
      <w:pPr>
        <w:pStyle w:val="Heading1"/>
        <w:rPr>
          <w:rFonts w:eastAsia="SimSun"/>
          <w:lang w:val="en-CA"/>
        </w:rPr>
      </w:pPr>
      <w:r w:rsidRPr="0026329D">
        <w:rPr>
          <w:lang w:val="en-CA"/>
        </w:rPr>
        <w:t>While there has been an increas</w:t>
      </w:r>
      <w:r w:rsidR="00911FA3" w:rsidRPr="0026329D">
        <w:rPr>
          <w:lang w:val="en-CA"/>
        </w:rPr>
        <w:t>ing</w:t>
      </w:r>
      <w:r w:rsidRPr="0026329D">
        <w:rPr>
          <w:lang w:val="en-CA"/>
        </w:rPr>
        <w:t xml:space="preserve"> trend since 2016, the consumption in 2019 was below the maximum allowable level of consumption in the Agreement between the Government of China and the Executive Committee.</w:t>
      </w:r>
      <w:r w:rsidRPr="0026329D">
        <w:rPr>
          <w:rFonts w:eastAsia="SimSun"/>
          <w:lang w:val="en-CA"/>
        </w:rPr>
        <w:t xml:space="preserve"> The overall decrease in HCFC consumption is attributed to </w:t>
      </w:r>
      <w:r w:rsidRPr="0026329D">
        <w:rPr>
          <w:lang w:val="en-CA"/>
        </w:rPr>
        <w:t>the increased awareness of servicing technicians, improved technical knowledge and skills both for the installation and servicing, which had resulted in a reduction on equipment failure rate, reduced leakage rate and reduced refrigerant recharge, increased refrigerant recovery and reuse rate; and progress in the conversion for the room air</w:t>
      </w:r>
      <w:r w:rsidRPr="0026329D">
        <w:rPr>
          <w:lang w:val="en-CA"/>
        </w:rPr>
        <w:noBreakHyphen/>
        <w:t>conditioning manufacturing and heat pump water heaters (RAC) and industrial and commercial refrigeration and air conditioning (ICR) manufacturing sectors resulting in a higher number of HCFC-free products entering the local market. The market share of refrigeration and air-conditioning equipment based on HFC-32 and R-410A with inverters has increased dramatically in China.</w:t>
      </w:r>
    </w:p>
    <w:p w:rsidR="00EC5231" w:rsidRPr="0026329D" w:rsidRDefault="00EC5231" w:rsidP="00EC5231">
      <w:pPr>
        <w:rPr>
          <w:u w:val="single"/>
          <w:lang w:val="en-CA"/>
        </w:rPr>
      </w:pPr>
      <w:r w:rsidRPr="0026329D">
        <w:rPr>
          <w:u w:val="single"/>
          <w:lang w:val="en-CA"/>
        </w:rPr>
        <w:t>HCFC consumption targets</w:t>
      </w:r>
    </w:p>
    <w:p w:rsidR="00EC5231" w:rsidRPr="0026329D" w:rsidRDefault="00EC5231" w:rsidP="00EC5231">
      <w:pPr>
        <w:rPr>
          <w:lang w:val="en-CA"/>
        </w:rPr>
      </w:pPr>
    </w:p>
    <w:p w:rsidR="00EC5231" w:rsidRPr="0026329D" w:rsidRDefault="00EC5231" w:rsidP="00EC5231">
      <w:pPr>
        <w:pStyle w:val="Heading1"/>
        <w:rPr>
          <w:lang w:val="en-CA"/>
        </w:rPr>
      </w:pPr>
      <w:r w:rsidRPr="0026329D">
        <w:rPr>
          <w:lang w:val="en-CA"/>
        </w:rPr>
        <w:t>The HCFC consumption targets of the refrigeration servicing sector are shown in Table 2.</w:t>
      </w:r>
    </w:p>
    <w:p w:rsidR="00EC5231" w:rsidRPr="0026329D" w:rsidRDefault="00EC5231" w:rsidP="00081B71">
      <w:pPr>
        <w:pStyle w:val="Heading1"/>
        <w:keepNext/>
        <w:keepLines/>
        <w:numPr>
          <w:ilvl w:val="0"/>
          <w:numId w:val="0"/>
        </w:numPr>
        <w:spacing w:after="0"/>
        <w:rPr>
          <w:b/>
          <w:lang w:val="en-CA"/>
        </w:rPr>
      </w:pPr>
      <w:r w:rsidRPr="0026329D">
        <w:rPr>
          <w:b/>
          <w:lang w:val="en-CA"/>
        </w:rPr>
        <w:t>Table 2. HCFC phase-out targets for the refrigeration servicing sector in China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40"/>
        <w:gridCol w:w="1140"/>
        <w:gridCol w:w="1140"/>
        <w:gridCol w:w="1140"/>
        <w:gridCol w:w="1140"/>
        <w:gridCol w:w="1140"/>
      </w:tblGrid>
      <w:tr w:rsidR="00EC5231" w:rsidRPr="0026329D" w:rsidTr="006D156C">
        <w:tc>
          <w:tcPr>
            <w:tcW w:w="2605"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rPr>
                <w:rFonts w:eastAsia="SimSun"/>
                <w:b/>
                <w:sz w:val="20"/>
                <w:szCs w:val="20"/>
                <w:lang w:val="en-CA"/>
              </w:rPr>
            </w:pPr>
            <w:r w:rsidRPr="0026329D">
              <w:rPr>
                <w:rFonts w:eastAsia="SimSun"/>
                <w:b/>
                <w:sz w:val="20"/>
                <w:szCs w:val="20"/>
                <w:lang w:val="en-CA"/>
              </w:rPr>
              <w:t>Maximum consumption</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2021</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2022</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2023</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2024</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2025</w:t>
            </w:r>
          </w:p>
        </w:tc>
        <w:tc>
          <w:tcPr>
            <w:tcW w:w="1140"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jc w:val="center"/>
              <w:rPr>
                <w:rFonts w:eastAsia="SimSun"/>
                <w:b/>
                <w:sz w:val="20"/>
                <w:szCs w:val="20"/>
                <w:lang w:val="en-CA"/>
              </w:rPr>
            </w:pPr>
            <w:r w:rsidRPr="0026329D">
              <w:rPr>
                <w:rFonts w:eastAsia="SimSun"/>
                <w:b/>
                <w:sz w:val="20"/>
                <w:szCs w:val="20"/>
                <w:lang w:val="en-CA"/>
              </w:rPr>
              <w:t>2026</w:t>
            </w:r>
          </w:p>
        </w:tc>
      </w:tr>
      <w:tr w:rsidR="00EC5231" w:rsidRPr="0026329D" w:rsidTr="006D156C">
        <w:tc>
          <w:tcPr>
            <w:tcW w:w="2605" w:type="dxa"/>
            <w:tcBorders>
              <w:top w:val="single" w:sz="4" w:space="0" w:color="auto"/>
              <w:left w:val="single" w:sz="4" w:space="0" w:color="auto"/>
              <w:bottom w:val="single" w:sz="4" w:space="0" w:color="auto"/>
              <w:right w:val="single" w:sz="4" w:space="0" w:color="auto"/>
            </w:tcBorders>
            <w:vAlign w:val="center"/>
          </w:tcPr>
          <w:p w:rsidR="00EC5231" w:rsidRPr="0026329D" w:rsidRDefault="00EC5231" w:rsidP="00081B71">
            <w:pPr>
              <w:keepNext/>
              <w:keepLines/>
              <w:rPr>
                <w:rFonts w:eastAsia="SimSun"/>
                <w:sz w:val="20"/>
                <w:szCs w:val="20"/>
                <w:lang w:val="en-CA"/>
              </w:rPr>
            </w:pPr>
            <w:bookmarkStart w:id="6" w:name="_Hlk49942359"/>
            <w:r w:rsidRPr="0026329D">
              <w:rPr>
                <w:rFonts w:eastAsia="SimSun"/>
                <w:sz w:val="20"/>
                <w:szCs w:val="20"/>
                <w:lang w:val="en-CA"/>
              </w:rPr>
              <w:t>ODP ton</w:t>
            </w:r>
            <w:bookmarkEnd w:id="6"/>
            <w:r w:rsidRPr="0026329D">
              <w:rPr>
                <w:rFonts w:eastAsia="SimSun"/>
                <w:sz w:val="20"/>
                <w:szCs w:val="20"/>
                <w:lang w:val="en-CA"/>
              </w:rPr>
              <w:t>nes</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3,000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3,000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3,000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3,000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2,500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2,500</w:t>
            </w:r>
          </w:p>
        </w:tc>
      </w:tr>
      <w:tr w:rsidR="00EC5231" w:rsidRPr="0026329D" w:rsidTr="006D156C">
        <w:tc>
          <w:tcPr>
            <w:tcW w:w="2605" w:type="dxa"/>
            <w:tcBorders>
              <w:top w:val="single" w:sz="4" w:space="0" w:color="auto"/>
              <w:left w:val="single" w:sz="4" w:space="0" w:color="auto"/>
              <w:bottom w:val="single" w:sz="4" w:space="0" w:color="auto"/>
              <w:right w:val="single" w:sz="4" w:space="0" w:color="auto"/>
            </w:tcBorders>
            <w:vAlign w:val="center"/>
          </w:tcPr>
          <w:p w:rsidR="00EC5231" w:rsidRPr="0026329D" w:rsidRDefault="00C8642B" w:rsidP="00081B71">
            <w:pPr>
              <w:keepNext/>
              <w:keepLines/>
              <w:rPr>
                <w:rFonts w:eastAsia="SimSun"/>
                <w:sz w:val="20"/>
                <w:szCs w:val="20"/>
                <w:lang w:val="en-CA"/>
              </w:rPr>
            </w:pPr>
            <w:r w:rsidRPr="0026329D">
              <w:rPr>
                <w:rFonts w:eastAsia="SimSun"/>
                <w:sz w:val="20"/>
                <w:szCs w:val="20"/>
                <w:lang w:val="en-CA"/>
              </w:rPr>
              <w:t>Metric tonnes</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54,460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54,460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54,460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54,460</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45,452</w:t>
            </w:r>
          </w:p>
        </w:tc>
        <w:tc>
          <w:tcPr>
            <w:tcW w:w="1140" w:type="dxa"/>
            <w:tcBorders>
              <w:top w:val="single" w:sz="4" w:space="0" w:color="auto"/>
              <w:left w:val="single" w:sz="4" w:space="0" w:color="auto"/>
              <w:bottom w:val="single" w:sz="4" w:space="0" w:color="auto"/>
              <w:right w:val="single" w:sz="4" w:space="0" w:color="auto"/>
            </w:tcBorders>
          </w:tcPr>
          <w:p w:rsidR="00EC5231" w:rsidRPr="0026329D" w:rsidRDefault="00EC5231" w:rsidP="00081B71">
            <w:pPr>
              <w:keepNext/>
              <w:keepLines/>
              <w:jc w:val="right"/>
              <w:rPr>
                <w:rFonts w:eastAsia="SimSun"/>
                <w:sz w:val="20"/>
                <w:szCs w:val="20"/>
                <w:lang w:val="en-CA"/>
              </w:rPr>
            </w:pPr>
            <w:r w:rsidRPr="0026329D">
              <w:rPr>
                <w:rFonts w:eastAsia="SimSun"/>
                <w:sz w:val="20"/>
                <w:szCs w:val="20"/>
                <w:lang w:val="en-CA"/>
              </w:rPr>
              <w:t>45,452</w:t>
            </w:r>
          </w:p>
        </w:tc>
      </w:tr>
    </w:tbl>
    <w:p w:rsidR="00EC5231" w:rsidRDefault="00EC5231" w:rsidP="00081B71">
      <w:pPr>
        <w:keepNext/>
        <w:keepLines/>
        <w:rPr>
          <w:rFonts w:eastAsia="SimSun"/>
          <w:lang w:val="en-CA"/>
        </w:rPr>
      </w:pPr>
    </w:p>
    <w:p w:rsidR="00EC5231" w:rsidRPr="0026329D" w:rsidRDefault="00EC5231" w:rsidP="00EC5231">
      <w:pPr>
        <w:rPr>
          <w:rFonts w:eastAsia="SimSun"/>
          <w:u w:val="single"/>
          <w:lang w:val="en-CA"/>
        </w:rPr>
      </w:pPr>
      <w:r w:rsidRPr="0026329D">
        <w:rPr>
          <w:rFonts w:eastAsia="SimSun"/>
          <w:u w:val="single"/>
          <w:lang w:val="en-CA"/>
        </w:rPr>
        <w:t xml:space="preserve">General principles of </w:t>
      </w:r>
      <w:r w:rsidR="00A81DEE" w:rsidRPr="0026329D">
        <w:rPr>
          <w:rFonts w:eastAsia="SimSun"/>
          <w:u w:val="single"/>
          <w:lang w:val="en-CA"/>
        </w:rPr>
        <w:t>stage </w:t>
      </w:r>
      <w:r w:rsidRPr="0026329D">
        <w:rPr>
          <w:rFonts w:eastAsia="SimSun"/>
          <w:u w:val="single"/>
          <w:lang w:val="en-CA"/>
        </w:rPr>
        <w:t>II HPMP (2021-2026)</w:t>
      </w:r>
    </w:p>
    <w:p w:rsidR="00EC5231" w:rsidRPr="0026329D" w:rsidRDefault="00EC5231" w:rsidP="00EC5231">
      <w:pPr>
        <w:rPr>
          <w:rFonts w:eastAsia="SimSun"/>
          <w:lang w:val="en-CA"/>
        </w:rPr>
      </w:pPr>
    </w:p>
    <w:bookmarkEnd w:id="5"/>
    <w:p w:rsidR="00EC5231" w:rsidRPr="0026329D" w:rsidRDefault="00A81DEE" w:rsidP="00EC5231">
      <w:pPr>
        <w:pStyle w:val="Heading1"/>
        <w:rPr>
          <w:lang w:val="en-CA"/>
        </w:rPr>
      </w:pPr>
      <w:r w:rsidRPr="0026329D">
        <w:rPr>
          <w:lang w:val="en-CA"/>
        </w:rPr>
        <w:t>Stage </w:t>
      </w:r>
      <w:r w:rsidR="00EC5231" w:rsidRPr="0026329D">
        <w:rPr>
          <w:lang w:val="en-CA"/>
        </w:rPr>
        <w:t>II</w:t>
      </w:r>
      <w:r w:rsidR="00911FA3" w:rsidRPr="0026329D">
        <w:rPr>
          <w:lang w:val="en-CA"/>
        </w:rPr>
        <w:t xml:space="preserve"> (2021-2026)</w:t>
      </w:r>
      <w:r w:rsidR="00EC5231" w:rsidRPr="0026329D">
        <w:rPr>
          <w:lang w:val="en-CA"/>
        </w:rPr>
        <w:t xml:space="preserve"> in</w:t>
      </w:r>
      <w:r w:rsidR="00911FA3" w:rsidRPr="0026329D">
        <w:rPr>
          <w:lang w:val="en-CA"/>
        </w:rPr>
        <w:t>cludes two components: the HCFC</w:t>
      </w:r>
      <w:r w:rsidR="00EC5231" w:rsidRPr="0026329D">
        <w:rPr>
          <w:lang w:val="en-CA"/>
        </w:rPr>
        <w:t xml:space="preserve"> phase-out actions in refrigeration servicing sector, and capacity building activities as enabling components. The core of the enabling component is to build capacity at the national and local levels to strengthen the communication and coordination mechanism of relevant departments associated with the HPMP implementation, ensure the continuous implementation of policies and regulations on controlled substances, and increase monitoring and reporting of imports and exports of controlled substances, particularly illegal activities.</w:t>
      </w:r>
    </w:p>
    <w:p w:rsidR="00EC5231" w:rsidRPr="0026329D" w:rsidRDefault="00EC5231" w:rsidP="00EC5231">
      <w:pPr>
        <w:pStyle w:val="Heading1"/>
        <w:rPr>
          <w:lang w:val="en-CA"/>
        </w:rPr>
      </w:pPr>
      <w:r w:rsidRPr="0026329D">
        <w:rPr>
          <w:lang w:val="en-CA"/>
        </w:rPr>
        <w:t>The policy studies, revision of standards and codes, technicians training, certification, outreach and other activities included in the refrigeration servicing sector plan are planned to support the phase-out in the RAC and ICR manufacturing sectors. These activities are aiming to enhance the ability of the servicing sector to phase out HCFC consumption, and strengthen the capacity of technicians for the safe handling of refrigerants, and improve the management of servicing workshops by enhancing the skills of servicing technicians and</w:t>
      </w:r>
      <w:r w:rsidRPr="0026329D">
        <w:rPr>
          <w:rFonts w:eastAsiaTheme="minorEastAsia"/>
          <w:lang w:val="en-CA"/>
        </w:rPr>
        <w:t xml:space="preserve"> </w:t>
      </w:r>
      <w:r w:rsidRPr="0026329D">
        <w:rPr>
          <w:lang w:val="en-CA"/>
        </w:rPr>
        <w:t>reducing refrigerant consumption through good servicing practice.</w:t>
      </w:r>
    </w:p>
    <w:p w:rsidR="00EC5231" w:rsidRPr="0026329D" w:rsidRDefault="00EC5231" w:rsidP="00EC5231">
      <w:pPr>
        <w:pStyle w:val="Heading1"/>
        <w:numPr>
          <w:ilvl w:val="0"/>
          <w:numId w:val="0"/>
        </w:numPr>
        <w:rPr>
          <w:u w:val="single"/>
          <w:lang w:val="en-CA"/>
        </w:rPr>
      </w:pPr>
      <w:r w:rsidRPr="0026329D">
        <w:rPr>
          <w:u w:val="single"/>
          <w:lang w:val="en-CA"/>
        </w:rPr>
        <w:t>Components of the revised</w:t>
      </w:r>
      <w:r w:rsidR="006B7A4C" w:rsidRPr="0026329D">
        <w:rPr>
          <w:u w:val="single"/>
          <w:lang w:val="en-CA"/>
        </w:rPr>
        <w:t xml:space="preserve"> extended </w:t>
      </w:r>
      <w:r w:rsidRPr="0026329D">
        <w:rPr>
          <w:u w:val="single"/>
          <w:lang w:val="en-CA"/>
        </w:rPr>
        <w:t xml:space="preserve">plan of action </w:t>
      </w:r>
    </w:p>
    <w:p w:rsidR="00EC5231" w:rsidRPr="0026329D" w:rsidRDefault="00EC5231" w:rsidP="00EC5231">
      <w:pPr>
        <w:pStyle w:val="Heading1"/>
        <w:rPr>
          <w:lang w:val="en-CA"/>
        </w:rPr>
      </w:pPr>
      <w:r w:rsidRPr="0026329D">
        <w:rPr>
          <w:lang w:val="en-CA"/>
        </w:rPr>
        <w:t xml:space="preserve">The following refrigeration servicing activities, at a total cost of </w:t>
      </w:r>
      <w:r w:rsidR="00475A50" w:rsidRPr="0026329D">
        <w:rPr>
          <w:lang w:val="en-CA"/>
        </w:rPr>
        <w:t>US $</w:t>
      </w:r>
      <w:r w:rsidRPr="0026329D">
        <w:rPr>
          <w:lang w:val="en-CA"/>
        </w:rPr>
        <w:t>5,846,105, will be implemented:</w:t>
      </w:r>
    </w:p>
    <w:p w:rsidR="00EC5231" w:rsidRPr="0026329D" w:rsidRDefault="00EC5231" w:rsidP="00EC5231">
      <w:pPr>
        <w:pStyle w:val="Heading2"/>
        <w:rPr>
          <w:lang w:val="en-CA"/>
        </w:rPr>
      </w:pPr>
      <w:r w:rsidRPr="0026329D">
        <w:rPr>
          <w:lang w:val="en-CA"/>
        </w:rPr>
        <w:t>Policy studies and policy development including the identification of new pilot cities to continue enhancement of the capacity of local Ecology and Environment Bureaus (EEBs) for management and monitoring of the activities in the refrigeration servicing sector (</w:t>
      </w:r>
      <w:r w:rsidR="00475A50" w:rsidRPr="0026329D">
        <w:rPr>
          <w:lang w:val="en-CA"/>
        </w:rPr>
        <w:t>US $</w:t>
      </w:r>
      <w:r w:rsidRPr="0026329D">
        <w:rPr>
          <w:lang w:val="en-CA"/>
        </w:rPr>
        <w:t>1,256,105);</w:t>
      </w:r>
    </w:p>
    <w:p w:rsidR="00EC5231" w:rsidRPr="0026329D" w:rsidRDefault="00EC5231" w:rsidP="00EC5231">
      <w:pPr>
        <w:pStyle w:val="Heading2"/>
        <w:rPr>
          <w:lang w:val="en-CA"/>
        </w:rPr>
      </w:pPr>
      <w:r w:rsidRPr="0026329D">
        <w:rPr>
          <w:lang w:val="en-CA"/>
        </w:rPr>
        <w:t>Updating and development of new standards and codes for the refrigeration servicing sector focusing on diverse equipment and for different applications (i.e., RAC and ICR) (</w:t>
      </w:r>
      <w:r w:rsidR="00475A50" w:rsidRPr="0026329D">
        <w:rPr>
          <w:lang w:val="en-CA"/>
        </w:rPr>
        <w:t>US $</w:t>
      </w:r>
      <w:r w:rsidRPr="0026329D">
        <w:rPr>
          <w:lang w:val="en-CA"/>
        </w:rPr>
        <w:t>240,000);</w:t>
      </w:r>
    </w:p>
    <w:p w:rsidR="00EC5231" w:rsidRPr="0026329D" w:rsidRDefault="00EC5231" w:rsidP="00EC5231">
      <w:pPr>
        <w:pStyle w:val="Heading2"/>
        <w:rPr>
          <w:lang w:val="en-CA"/>
        </w:rPr>
      </w:pPr>
      <w:r w:rsidRPr="0026329D">
        <w:rPr>
          <w:lang w:val="en-CA"/>
        </w:rPr>
        <w:t xml:space="preserve">Continue training programmes for refrigeration technicians, supported by the development of new training materials and establishment of additional training centres, strengthening training through manufacturers after sales systems for the RAC and ICR sectors; capacity building </w:t>
      </w:r>
      <w:r w:rsidR="00C8642B" w:rsidRPr="0026329D">
        <w:rPr>
          <w:lang w:val="en-CA"/>
        </w:rPr>
        <w:t xml:space="preserve">at international training institutions </w:t>
      </w:r>
      <w:r w:rsidRPr="0026329D">
        <w:rPr>
          <w:lang w:val="en-CA"/>
        </w:rPr>
        <w:t>for selected trainers from training centres supporting the certification programm</w:t>
      </w:r>
      <w:r w:rsidR="00BE703D" w:rsidRPr="0026329D">
        <w:rPr>
          <w:lang w:val="en-CA"/>
        </w:rPr>
        <w:t xml:space="preserve">e </w:t>
      </w:r>
      <w:r w:rsidRPr="0026329D">
        <w:rPr>
          <w:lang w:val="en-CA"/>
        </w:rPr>
        <w:t>(</w:t>
      </w:r>
      <w:r w:rsidR="00475A50" w:rsidRPr="0026329D">
        <w:rPr>
          <w:lang w:val="en-CA"/>
        </w:rPr>
        <w:t>US $</w:t>
      </w:r>
      <w:r w:rsidRPr="0026329D">
        <w:rPr>
          <w:lang w:val="en-CA"/>
        </w:rPr>
        <w:t>3,100,000);</w:t>
      </w:r>
    </w:p>
    <w:p w:rsidR="00EC5231" w:rsidRPr="0026329D" w:rsidRDefault="00EC5231" w:rsidP="00EC5231">
      <w:pPr>
        <w:pStyle w:val="Heading2"/>
        <w:rPr>
          <w:lang w:val="en-CA"/>
        </w:rPr>
      </w:pPr>
      <w:r w:rsidRPr="0026329D">
        <w:rPr>
          <w:lang w:val="en-CA"/>
        </w:rPr>
        <w:t>Optimize and broaden the qualification certification training for refrigeration servicing technicians to fit the needs of the market and the requirements of the restructured national certification system (</w:t>
      </w:r>
      <w:r w:rsidR="00475A50" w:rsidRPr="0026329D">
        <w:rPr>
          <w:lang w:val="en-CA"/>
        </w:rPr>
        <w:t>US $</w:t>
      </w:r>
      <w:r w:rsidRPr="0026329D">
        <w:rPr>
          <w:lang w:val="en-CA"/>
        </w:rPr>
        <w:t>140,000); and</w:t>
      </w:r>
    </w:p>
    <w:p w:rsidR="00EC5231" w:rsidRPr="0026329D" w:rsidRDefault="00EC5231" w:rsidP="00EC5231">
      <w:pPr>
        <w:pStyle w:val="Heading2"/>
        <w:rPr>
          <w:szCs w:val="28"/>
          <w:lang w:val="en-CA"/>
        </w:rPr>
      </w:pPr>
      <w:r w:rsidRPr="0026329D">
        <w:rPr>
          <w:szCs w:val="28"/>
          <w:lang w:val="en-CA"/>
        </w:rPr>
        <w:t xml:space="preserve">Outreach activities to disseminate information on good refrigeration service practices and on ozone-climate initiatives to enhance awareness on protecting the ozone layer and the climate through Ozone2Climate events, </w:t>
      </w:r>
      <w:r w:rsidR="00C8642B" w:rsidRPr="0026329D">
        <w:rPr>
          <w:szCs w:val="28"/>
          <w:lang w:val="en-CA"/>
        </w:rPr>
        <w:t xml:space="preserve">and </w:t>
      </w:r>
      <w:r w:rsidRPr="0026329D">
        <w:rPr>
          <w:szCs w:val="28"/>
          <w:lang w:val="en-CA"/>
        </w:rPr>
        <w:t xml:space="preserve">training for </w:t>
      </w:r>
      <w:r w:rsidR="00C8642B" w:rsidRPr="0026329D">
        <w:rPr>
          <w:szCs w:val="28"/>
          <w:lang w:val="en-CA"/>
        </w:rPr>
        <w:t xml:space="preserve">technicians of </w:t>
      </w:r>
      <w:r w:rsidRPr="0026329D">
        <w:rPr>
          <w:szCs w:val="28"/>
          <w:lang w:val="en-CA"/>
        </w:rPr>
        <w:t>the supermarket sector (</w:t>
      </w:r>
      <w:r w:rsidR="00475A50" w:rsidRPr="0026329D">
        <w:rPr>
          <w:szCs w:val="28"/>
          <w:lang w:val="en-CA"/>
        </w:rPr>
        <w:t>US $</w:t>
      </w:r>
      <w:r w:rsidRPr="0026329D">
        <w:rPr>
          <w:szCs w:val="28"/>
          <w:lang w:val="en-CA"/>
        </w:rPr>
        <w:t>1,110,000).</w:t>
      </w:r>
    </w:p>
    <w:p w:rsidR="00EC5231" w:rsidRPr="0026329D" w:rsidRDefault="00EC5231" w:rsidP="00081B71">
      <w:pPr>
        <w:pStyle w:val="Heading1"/>
        <w:keepNext/>
        <w:keepLines/>
        <w:rPr>
          <w:szCs w:val="28"/>
          <w:lang w:val="en-CA"/>
        </w:rPr>
      </w:pPr>
      <w:r w:rsidRPr="0026329D">
        <w:rPr>
          <w:szCs w:val="28"/>
          <w:lang w:val="en-CA"/>
        </w:rPr>
        <w:t>The</w:t>
      </w:r>
      <w:r w:rsidR="00911FA3" w:rsidRPr="0026329D">
        <w:rPr>
          <w:szCs w:val="28"/>
          <w:lang w:val="en-CA"/>
        </w:rPr>
        <w:t xml:space="preserve"> national</w:t>
      </w:r>
      <w:r w:rsidRPr="0026329D">
        <w:rPr>
          <w:szCs w:val="28"/>
          <w:lang w:val="en-CA"/>
        </w:rPr>
        <w:t xml:space="preserve"> enabling </w:t>
      </w:r>
      <w:r w:rsidR="00911FA3" w:rsidRPr="0026329D">
        <w:rPr>
          <w:szCs w:val="28"/>
          <w:lang w:val="en-CA"/>
        </w:rPr>
        <w:t xml:space="preserve">programme </w:t>
      </w:r>
      <w:r w:rsidRPr="0026329D">
        <w:rPr>
          <w:szCs w:val="28"/>
          <w:lang w:val="en-CA"/>
        </w:rPr>
        <w:t xml:space="preserve">activities, at a cost of </w:t>
      </w:r>
      <w:r w:rsidR="00475A50" w:rsidRPr="0026329D">
        <w:rPr>
          <w:szCs w:val="28"/>
          <w:lang w:val="en-CA"/>
        </w:rPr>
        <w:t>US $</w:t>
      </w:r>
      <w:r w:rsidRPr="0026329D">
        <w:rPr>
          <w:szCs w:val="28"/>
          <w:lang w:val="en-CA"/>
        </w:rPr>
        <w:t>5,790,000,</w:t>
      </w:r>
      <w:r w:rsidR="00475A50" w:rsidRPr="0026329D">
        <w:rPr>
          <w:szCs w:val="28"/>
          <w:lang w:val="en-CA"/>
        </w:rPr>
        <w:t xml:space="preserve"> </w:t>
      </w:r>
      <w:r w:rsidRPr="0026329D">
        <w:rPr>
          <w:szCs w:val="28"/>
          <w:lang w:val="en-CA"/>
        </w:rPr>
        <w:t>will ensure that local authorities have the capacity to implement relevant laws and regulations to encourage HCFC phase-out; strengthen the capacity of law enforcement to manage ODS import/export; prevent and combat illegal trade of HCFCs; facilitate the adoption of alternative refrigerants; encourage better procurement practices through public awareness campaigns; and increase public awareness on ozone protection and its relation to climate change. The following will be implemented:</w:t>
      </w:r>
    </w:p>
    <w:p w:rsidR="00EC5231" w:rsidRPr="0026329D" w:rsidRDefault="00EC5231" w:rsidP="00EC5231">
      <w:pPr>
        <w:pStyle w:val="Heading2"/>
        <w:rPr>
          <w:lang w:val="en-CA"/>
        </w:rPr>
      </w:pPr>
      <w:r w:rsidRPr="0026329D">
        <w:rPr>
          <w:lang w:val="en-CA"/>
        </w:rPr>
        <w:t>Build capacity for local authorities at the national and local level through meetings to improve communication with EEBs, and supervision and enforcement training (</w:t>
      </w:r>
      <w:r w:rsidR="00475A50" w:rsidRPr="0026329D">
        <w:rPr>
          <w:lang w:val="en-CA"/>
        </w:rPr>
        <w:t>US $</w:t>
      </w:r>
      <w:r w:rsidRPr="0026329D">
        <w:rPr>
          <w:lang w:val="en-CA"/>
        </w:rPr>
        <w:t>2,580,000);</w:t>
      </w:r>
    </w:p>
    <w:p w:rsidR="00EC5231" w:rsidRPr="0026329D" w:rsidRDefault="00EC5231" w:rsidP="00EC5231">
      <w:pPr>
        <w:pStyle w:val="Heading2"/>
        <w:rPr>
          <w:lang w:val="en-CA"/>
        </w:rPr>
      </w:pPr>
      <w:r w:rsidRPr="0026329D">
        <w:rPr>
          <w:lang w:val="en-CA"/>
        </w:rPr>
        <w:t xml:space="preserve">Continue to strengthen the HCFC import/export management system through training workshops for customs officers; and capacity building assistance for customs districts including </w:t>
      </w:r>
      <w:r w:rsidRPr="0026329D">
        <w:rPr>
          <w:i/>
          <w:lang w:val="en-CA"/>
        </w:rPr>
        <w:t>inter alia</w:t>
      </w:r>
      <w:r w:rsidRPr="0026329D">
        <w:rPr>
          <w:lang w:val="en-CA"/>
        </w:rPr>
        <w:t xml:space="preserve"> training on refrigerant identification and risk analysis; establishing a law enforcement cooperation centre to monitor and sanction illegal trade; improve the ODS import and export online approval system; evaluation and improvement of inspection operations in eight major Customs ports; and build capacity of law enforcement and customs to combat illegal ODS trade targeting specific provinces with the objective to establish a coordination mechanism between different departments for more efficient reporting and supervision (</w:t>
      </w:r>
      <w:r w:rsidR="00475A50" w:rsidRPr="0026329D">
        <w:rPr>
          <w:lang w:val="en-CA"/>
        </w:rPr>
        <w:t>US $</w:t>
      </w:r>
      <w:r w:rsidRPr="0026329D">
        <w:rPr>
          <w:lang w:val="en-CA"/>
        </w:rPr>
        <w:t>2,460,000); and</w:t>
      </w:r>
    </w:p>
    <w:p w:rsidR="00EC5231" w:rsidRPr="0026329D" w:rsidRDefault="00EC5231" w:rsidP="00EC5231">
      <w:pPr>
        <w:pStyle w:val="Heading2"/>
        <w:rPr>
          <w:lang w:val="en-CA"/>
        </w:rPr>
      </w:pPr>
      <w:r w:rsidRPr="0026329D">
        <w:rPr>
          <w:lang w:val="en-CA"/>
        </w:rPr>
        <w:t>Develop a communication and outreach strategy which will include events for International Ozone Day; development of new outreach materials aligned with the objectives and activities of the various sector plans; conduct public awareness workshops related to the protection of the ozone layer and China’s actions on phasing out HCFCs; develop and distribute awareness materials; and support website maintenance (</w:t>
      </w:r>
      <w:r w:rsidR="00475A50" w:rsidRPr="0026329D">
        <w:rPr>
          <w:lang w:val="en-CA"/>
        </w:rPr>
        <w:t>US $</w:t>
      </w:r>
      <w:r w:rsidRPr="0026329D">
        <w:rPr>
          <w:lang w:val="en-CA"/>
        </w:rPr>
        <w:t>750,000);</w:t>
      </w:r>
    </w:p>
    <w:p w:rsidR="00EC5231" w:rsidRPr="0026329D" w:rsidRDefault="00EC5231" w:rsidP="00EC5231">
      <w:pPr>
        <w:rPr>
          <w:i/>
          <w:lang w:val="en-CA"/>
        </w:rPr>
      </w:pPr>
      <w:r w:rsidRPr="0026329D">
        <w:rPr>
          <w:i/>
          <w:lang w:val="en-CA"/>
        </w:rPr>
        <w:t>Project implementation and monitoring unit (PMU)</w:t>
      </w:r>
    </w:p>
    <w:p w:rsidR="00EC5231" w:rsidRPr="0026329D" w:rsidRDefault="00EC5231" w:rsidP="00EC5231">
      <w:pPr>
        <w:rPr>
          <w:i/>
          <w:u w:val="single"/>
          <w:lang w:val="en-CA"/>
        </w:rPr>
      </w:pPr>
    </w:p>
    <w:p w:rsidR="00EC5231" w:rsidRPr="0026329D" w:rsidRDefault="00EC5231" w:rsidP="00EC5231">
      <w:pPr>
        <w:pStyle w:val="Heading1"/>
        <w:rPr>
          <w:lang w:val="en-CA"/>
        </w:rPr>
      </w:pPr>
      <w:r w:rsidRPr="0026329D">
        <w:rPr>
          <w:lang w:val="en-CA"/>
        </w:rPr>
        <w:t>The PMU (</w:t>
      </w:r>
      <w:r w:rsidR="00475A50" w:rsidRPr="0026329D">
        <w:rPr>
          <w:lang w:val="en-CA"/>
        </w:rPr>
        <w:t>US $</w:t>
      </w:r>
      <w:r w:rsidRPr="0026329D">
        <w:rPr>
          <w:lang w:val="en-CA"/>
        </w:rPr>
        <w:t>1,081,000) will continue to be used to manage and monitor daily project implementation. PMU activities include: monitoring implementation of sub-grant agreements and technical assistance activities; preparation of progress reports; and monitoring training activities, as shown in Table 3</w:t>
      </w:r>
      <w:r w:rsidR="00C8642B" w:rsidRPr="0026329D">
        <w:rPr>
          <w:lang w:val="en-CA"/>
        </w:rPr>
        <w:t>.</w:t>
      </w:r>
    </w:p>
    <w:p w:rsidR="00EC5231" w:rsidRPr="0026329D" w:rsidRDefault="00EC5231" w:rsidP="00EC5231">
      <w:pPr>
        <w:jc w:val="left"/>
        <w:rPr>
          <w:rFonts w:eastAsia="Calibri"/>
          <w:b/>
          <w:lang w:val="en-CA"/>
        </w:rPr>
      </w:pPr>
      <w:r w:rsidRPr="0026329D">
        <w:rPr>
          <w:rFonts w:eastAsia="Calibri"/>
          <w:b/>
          <w:lang w:val="en-CA"/>
        </w:rPr>
        <w:t>Table 3</w:t>
      </w:r>
      <w:r w:rsidR="00C8642B" w:rsidRPr="0026329D">
        <w:rPr>
          <w:rFonts w:eastAsia="Calibri"/>
          <w:b/>
          <w:lang w:val="en-CA"/>
        </w:rPr>
        <w:t>.</w:t>
      </w:r>
      <w:r w:rsidRPr="0026329D">
        <w:rPr>
          <w:rFonts w:eastAsia="Calibri"/>
          <w:b/>
          <w:lang w:val="en-CA"/>
        </w:rPr>
        <w:t xml:space="preserve"> Breakdown of PMU </w:t>
      </w:r>
      <w:r w:rsidR="00C8642B" w:rsidRPr="0026329D">
        <w:rPr>
          <w:rFonts w:eastAsia="Calibri"/>
          <w:b/>
          <w:lang w:val="en-CA"/>
        </w:rPr>
        <w:t>c</w:t>
      </w:r>
      <w:r w:rsidRPr="0026329D">
        <w:rPr>
          <w:rFonts w:eastAsia="Calibri"/>
          <w:b/>
          <w:lang w:val="en-CA"/>
        </w:rPr>
        <w:t xml:space="preserve">osts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5"/>
        <w:gridCol w:w="3682"/>
      </w:tblGrid>
      <w:tr w:rsidR="00EC5231" w:rsidRPr="0026329D" w:rsidTr="00C8642B">
        <w:tc>
          <w:tcPr>
            <w:tcW w:w="5845" w:type="dxa"/>
            <w:shd w:val="clear" w:color="auto" w:fill="auto"/>
            <w:tcMar>
              <w:top w:w="15" w:type="dxa"/>
              <w:left w:w="115" w:type="dxa"/>
              <w:bottom w:w="0" w:type="dxa"/>
              <w:right w:w="15" w:type="dxa"/>
            </w:tcMar>
            <w:vAlign w:val="center"/>
          </w:tcPr>
          <w:p w:rsidR="00EC5231" w:rsidRPr="0026329D" w:rsidRDefault="00EC5231" w:rsidP="003927DC">
            <w:pPr>
              <w:jc w:val="left"/>
              <w:rPr>
                <w:rFonts w:eastAsia="Calibri"/>
                <w:b/>
                <w:sz w:val="20"/>
                <w:szCs w:val="20"/>
                <w:lang w:val="en-CA"/>
              </w:rPr>
            </w:pPr>
            <w:r w:rsidRPr="0026329D">
              <w:rPr>
                <w:rFonts w:eastAsia="Calibri"/>
                <w:b/>
                <w:sz w:val="20"/>
                <w:szCs w:val="20"/>
                <w:lang w:val="en-CA"/>
              </w:rPr>
              <w:t>Activities</w:t>
            </w:r>
          </w:p>
        </w:tc>
        <w:tc>
          <w:tcPr>
            <w:tcW w:w="3682" w:type="dxa"/>
            <w:shd w:val="clear" w:color="auto" w:fill="auto"/>
            <w:tcMar>
              <w:top w:w="15" w:type="dxa"/>
              <w:left w:w="15" w:type="dxa"/>
              <w:bottom w:w="0" w:type="dxa"/>
              <w:right w:w="15" w:type="dxa"/>
            </w:tcMar>
          </w:tcPr>
          <w:p w:rsidR="00EC5231" w:rsidRPr="0026329D" w:rsidRDefault="00EC5231" w:rsidP="00CD194D">
            <w:pPr>
              <w:jc w:val="center"/>
              <w:rPr>
                <w:rFonts w:eastAsia="Calibri"/>
                <w:b/>
                <w:sz w:val="20"/>
                <w:szCs w:val="20"/>
                <w:lang w:val="en-CA"/>
              </w:rPr>
            </w:pPr>
            <w:r w:rsidRPr="0026329D">
              <w:rPr>
                <w:rFonts w:eastAsia="Calibri"/>
                <w:b/>
                <w:sz w:val="20"/>
                <w:szCs w:val="20"/>
                <w:lang w:val="en-CA"/>
              </w:rPr>
              <w:t>Cost (</w:t>
            </w:r>
            <w:r w:rsidR="00475A50" w:rsidRPr="0026329D">
              <w:rPr>
                <w:rFonts w:eastAsia="Calibri"/>
                <w:b/>
                <w:sz w:val="20"/>
                <w:szCs w:val="20"/>
                <w:lang w:val="en-CA"/>
              </w:rPr>
              <w:t>US $</w:t>
            </w:r>
            <w:r w:rsidRPr="0026329D">
              <w:rPr>
                <w:rFonts w:eastAsia="Calibri"/>
                <w:b/>
                <w:sz w:val="20"/>
                <w:szCs w:val="20"/>
                <w:lang w:val="en-CA"/>
              </w:rPr>
              <w:t>)</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Project management team personnel costs</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371,000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Domestic/international travel</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50,000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Domestic/international meetings</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40,000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Cost of consultancy services</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35,000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Supporting personnel cost</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300,000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Computers, internet service and communications services</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75,000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sz w:val="20"/>
                <w:szCs w:val="20"/>
                <w:lang w:val="en-CA"/>
              </w:rPr>
            </w:pPr>
            <w:r w:rsidRPr="0026329D">
              <w:rPr>
                <w:rFonts w:eastAsia="Calibri"/>
                <w:sz w:val="20"/>
                <w:szCs w:val="20"/>
                <w:lang w:val="en-CA"/>
              </w:rPr>
              <w:t>Office operation and maintenance, utilities</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sz w:val="20"/>
                <w:szCs w:val="20"/>
                <w:lang w:val="en-CA"/>
              </w:rPr>
            </w:pPr>
            <w:r w:rsidRPr="0026329D">
              <w:rPr>
                <w:rFonts w:eastAsia="Calibri"/>
                <w:sz w:val="20"/>
                <w:szCs w:val="20"/>
                <w:lang w:val="en-CA"/>
              </w:rPr>
              <w:t xml:space="preserve">210,000 </w:t>
            </w:r>
          </w:p>
        </w:tc>
      </w:tr>
      <w:tr w:rsidR="00EC5231" w:rsidRPr="0026329D" w:rsidTr="00C8642B">
        <w:tc>
          <w:tcPr>
            <w:tcW w:w="5845" w:type="dxa"/>
            <w:shd w:val="clear" w:color="auto" w:fill="auto"/>
            <w:tcMar>
              <w:top w:w="15" w:type="dxa"/>
              <w:left w:w="115" w:type="dxa"/>
              <w:bottom w:w="0" w:type="dxa"/>
              <w:right w:w="15" w:type="dxa"/>
            </w:tcMar>
            <w:vAlign w:val="center"/>
            <w:hideMark/>
          </w:tcPr>
          <w:p w:rsidR="00EC5231" w:rsidRPr="0026329D" w:rsidRDefault="00EC5231" w:rsidP="003927DC">
            <w:pPr>
              <w:jc w:val="left"/>
              <w:rPr>
                <w:rFonts w:eastAsia="Calibri"/>
                <w:b/>
                <w:bCs/>
                <w:sz w:val="20"/>
                <w:szCs w:val="20"/>
                <w:lang w:val="en-CA"/>
              </w:rPr>
            </w:pPr>
            <w:r w:rsidRPr="0026329D">
              <w:rPr>
                <w:rFonts w:eastAsia="Calibri"/>
                <w:b/>
                <w:bCs/>
                <w:sz w:val="20"/>
                <w:szCs w:val="20"/>
                <w:lang w:val="en-CA"/>
              </w:rPr>
              <w:t>Total</w:t>
            </w:r>
          </w:p>
        </w:tc>
        <w:tc>
          <w:tcPr>
            <w:tcW w:w="3682" w:type="dxa"/>
            <w:shd w:val="clear" w:color="auto" w:fill="auto"/>
            <w:tcMar>
              <w:top w:w="15" w:type="dxa"/>
              <w:left w:w="15" w:type="dxa"/>
              <w:bottom w:w="0" w:type="dxa"/>
              <w:right w:w="1440" w:type="dxa"/>
            </w:tcMar>
            <w:hideMark/>
          </w:tcPr>
          <w:p w:rsidR="00EC5231" w:rsidRPr="0026329D" w:rsidRDefault="00EC5231" w:rsidP="00C8642B">
            <w:pPr>
              <w:jc w:val="right"/>
              <w:rPr>
                <w:rFonts w:eastAsia="Calibri"/>
                <w:b/>
                <w:bCs/>
                <w:sz w:val="20"/>
                <w:szCs w:val="20"/>
                <w:lang w:val="en-CA"/>
              </w:rPr>
            </w:pPr>
            <w:r w:rsidRPr="0026329D">
              <w:rPr>
                <w:rFonts w:eastAsia="Calibri"/>
                <w:b/>
                <w:bCs/>
                <w:sz w:val="20"/>
                <w:szCs w:val="20"/>
                <w:lang w:val="en-CA"/>
              </w:rPr>
              <w:t xml:space="preserve">1,081,000 </w:t>
            </w:r>
          </w:p>
        </w:tc>
      </w:tr>
    </w:tbl>
    <w:p w:rsidR="00EC5231" w:rsidRPr="0026329D" w:rsidRDefault="00EC5231" w:rsidP="00EC5231">
      <w:pPr>
        <w:rPr>
          <w:lang w:val="en-CA"/>
        </w:rPr>
      </w:pPr>
    </w:p>
    <w:p w:rsidR="00EC5231" w:rsidRPr="0026329D" w:rsidRDefault="00EC5231" w:rsidP="003927DC">
      <w:pPr>
        <w:pStyle w:val="Heading1"/>
        <w:widowControl w:val="0"/>
        <w:numPr>
          <w:ilvl w:val="0"/>
          <w:numId w:val="0"/>
        </w:numPr>
        <w:rPr>
          <w:i/>
          <w:lang w:val="en-CA"/>
        </w:rPr>
      </w:pPr>
      <w:r w:rsidRPr="0026329D">
        <w:rPr>
          <w:i/>
          <w:lang w:val="en-CA"/>
        </w:rPr>
        <w:t>Tranche distribution (2021-2026)</w:t>
      </w:r>
    </w:p>
    <w:p w:rsidR="00EC5231" w:rsidRPr="0026329D" w:rsidRDefault="00EC5231" w:rsidP="003927DC">
      <w:pPr>
        <w:pStyle w:val="Heading1"/>
        <w:widowControl w:val="0"/>
        <w:rPr>
          <w:lang w:val="en-CA"/>
        </w:rPr>
      </w:pPr>
      <w:r w:rsidRPr="0026329D">
        <w:rPr>
          <w:lang w:val="en-CA"/>
        </w:rPr>
        <w:t>The tranche disbursement schedule for the years 2021 to 2026 is presented in Table 4. The tranche disbursement is in rows 2.5.1 to 2.5.6 of Appendix 2-A of the draft revised Agreement between the Government of China and the Executive Committee.</w:t>
      </w:r>
    </w:p>
    <w:p w:rsidR="00EC5231" w:rsidRPr="0026329D" w:rsidRDefault="00EC5231" w:rsidP="00EC5231">
      <w:pPr>
        <w:tabs>
          <w:tab w:val="num" w:pos="0"/>
          <w:tab w:val="num" w:pos="720"/>
          <w:tab w:val="num" w:pos="902"/>
        </w:tabs>
        <w:rPr>
          <w:b/>
          <w:sz w:val="21"/>
          <w:szCs w:val="21"/>
          <w:lang w:val="en-CA"/>
        </w:rPr>
      </w:pPr>
      <w:r w:rsidRPr="0026329D">
        <w:rPr>
          <w:b/>
          <w:sz w:val="21"/>
          <w:szCs w:val="21"/>
          <w:lang w:val="en-CA"/>
        </w:rPr>
        <w:t>Table 4. Tranche distribution refrigeration servicing sector and national enabling programme (</w:t>
      </w:r>
      <w:r w:rsidR="00475A50" w:rsidRPr="0026329D">
        <w:rPr>
          <w:b/>
          <w:sz w:val="21"/>
          <w:szCs w:val="21"/>
          <w:lang w:val="en-CA"/>
        </w:rPr>
        <w:t>US $</w:t>
      </w:r>
      <w:r w:rsidRPr="0026329D">
        <w:rPr>
          <w:b/>
          <w:sz w:val="21"/>
          <w:szCs w:val="21"/>
          <w:lang w:val="en-CA"/>
        </w:rPr>
        <w:t>)</w:t>
      </w:r>
    </w:p>
    <w:tbl>
      <w:tblPr>
        <w:tblStyle w:val="TableGrid"/>
        <w:tblW w:w="9445" w:type="dxa"/>
        <w:tblLook w:val="04A0" w:firstRow="1" w:lastRow="0" w:firstColumn="1" w:lastColumn="0" w:noHBand="0" w:noVBand="1"/>
      </w:tblPr>
      <w:tblGrid>
        <w:gridCol w:w="1168"/>
        <w:gridCol w:w="1182"/>
        <w:gridCol w:w="1182"/>
        <w:gridCol w:w="1183"/>
        <w:gridCol w:w="1182"/>
        <w:gridCol w:w="1183"/>
        <w:gridCol w:w="1182"/>
        <w:gridCol w:w="1183"/>
      </w:tblGrid>
      <w:tr w:rsidR="00EC5231" w:rsidRPr="0026329D" w:rsidTr="006D156C">
        <w:tc>
          <w:tcPr>
            <w:tcW w:w="1168" w:type="dxa"/>
          </w:tcPr>
          <w:p w:rsidR="00EC5231" w:rsidRPr="0026329D" w:rsidRDefault="00EC5231" w:rsidP="003927DC">
            <w:pPr>
              <w:tabs>
                <w:tab w:val="num" w:pos="0"/>
                <w:tab w:val="num" w:pos="720"/>
                <w:tab w:val="num" w:pos="902"/>
              </w:tabs>
              <w:jc w:val="left"/>
              <w:rPr>
                <w:b/>
                <w:sz w:val="20"/>
                <w:szCs w:val="20"/>
                <w:lang w:val="en-CA"/>
              </w:rPr>
            </w:pPr>
            <w:r w:rsidRPr="0026329D">
              <w:rPr>
                <w:b/>
                <w:sz w:val="20"/>
                <w:szCs w:val="20"/>
                <w:lang w:val="en-CA"/>
              </w:rPr>
              <w:t>Item</w:t>
            </w:r>
          </w:p>
        </w:tc>
        <w:tc>
          <w:tcPr>
            <w:tcW w:w="1182"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2021</w:t>
            </w:r>
          </w:p>
        </w:tc>
        <w:tc>
          <w:tcPr>
            <w:tcW w:w="1182"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2022</w:t>
            </w:r>
          </w:p>
        </w:tc>
        <w:tc>
          <w:tcPr>
            <w:tcW w:w="1183"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2023</w:t>
            </w:r>
          </w:p>
        </w:tc>
        <w:tc>
          <w:tcPr>
            <w:tcW w:w="1182"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2024</w:t>
            </w:r>
          </w:p>
        </w:tc>
        <w:tc>
          <w:tcPr>
            <w:tcW w:w="1183"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2025</w:t>
            </w:r>
          </w:p>
        </w:tc>
        <w:tc>
          <w:tcPr>
            <w:tcW w:w="1182"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2026</w:t>
            </w:r>
          </w:p>
        </w:tc>
        <w:tc>
          <w:tcPr>
            <w:tcW w:w="1183" w:type="dxa"/>
          </w:tcPr>
          <w:p w:rsidR="00EC5231" w:rsidRPr="0026329D" w:rsidRDefault="00EC5231" w:rsidP="00CD194D">
            <w:pPr>
              <w:tabs>
                <w:tab w:val="num" w:pos="0"/>
                <w:tab w:val="num" w:pos="720"/>
                <w:tab w:val="num" w:pos="902"/>
              </w:tabs>
              <w:jc w:val="center"/>
              <w:rPr>
                <w:b/>
                <w:sz w:val="20"/>
                <w:szCs w:val="20"/>
                <w:lang w:val="en-CA"/>
              </w:rPr>
            </w:pPr>
            <w:r w:rsidRPr="0026329D">
              <w:rPr>
                <w:b/>
                <w:sz w:val="20"/>
                <w:szCs w:val="20"/>
                <w:lang w:val="en-CA"/>
              </w:rPr>
              <w:t>Total</w:t>
            </w:r>
          </w:p>
        </w:tc>
      </w:tr>
      <w:tr w:rsidR="00EC5231" w:rsidRPr="0026329D" w:rsidTr="006D156C">
        <w:tc>
          <w:tcPr>
            <w:tcW w:w="1168" w:type="dxa"/>
          </w:tcPr>
          <w:p w:rsidR="00EC5231" w:rsidRPr="0026329D" w:rsidRDefault="00EC5231" w:rsidP="00CD194D">
            <w:pPr>
              <w:tabs>
                <w:tab w:val="num" w:pos="0"/>
                <w:tab w:val="num" w:pos="720"/>
                <w:tab w:val="num" w:pos="902"/>
              </w:tabs>
              <w:rPr>
                <w:sz w:val="20"/>
                <w:szCs w:val="20"/>
                <w:lang w:val="en-CA"/>
              </w:rPr>
            </w:pPr>
            <w:r w:rsidRPr="0026329D">
              <w:rPr>
                <w:sz w:val="20"/>
                <w:szCs w:val="20"/>
                <w:lang w:val="en-CA"/>
              </w:rPr>
              <w:t>Funding</w:t>
            </w:r>
          </w:p>
        </w:tc>
        <w:tc>
          <w:tcPr>
            <w:tcW w:w="1182" w:type="dxa"/>
          </w:tcPr>
          <w:p w:rsidR="00EC5231" w:rsidRPr="0026329D" w:rsidRDefault="00EC5231" w:rsidP="00CD194D">
            <w:pPr>
              <w:tabs>
                <w:tab w:val="num" w:pos="0"/>
                <w:tab w:val="num" w:pos="720"/>
                <w:tab w:val="num" w:pos="902"/>
              </w:tabs>
              <w:rPr>
                <w:sz w:val="20"/>
                <w:szCs w:val="20"/>
                <w:lang w:val="en-CA"/>
              </w:rPr>
            </w:pPr>
            <w:r w:rsidRPr="0026329D">
              <w:rPr>
                <w:sz w:val="20"/>
                <w:szCs w:val="20"/>
                <w:lang w:val="en-CA"/>
              </w:rPr>
              <w:t>2,000,000</w:t>
            </w:r>
          </w:p>
        </w:tc>
        <w:tc>
          <w:tcPr>
            <w:tcW w:w="1182"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2,000,000</w:t>
            </w:r>
          </w:p>
        </w:tc>
        <w:tc>
          <w:tcPr>
            <w:tcW w:w="1183"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2,000,000</w:t>
            </w:r>
          </w:p>
        </w:tc>
        <w:tc>
          <w:tcPr>
            <w:tcW w:w="1182"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3,000,000</w:t>
            </w:r>
          </w:p>
        </w:tc>
        <w:tc>
          <w:tcPr>
            <w:tcW w:w="1183"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1,200,000</w:t>
            </w:r>
          </w:p>
        </w:tc>
        <w:tc>
          <w:tcPr>
            <w:tcW w:w="1182"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2,517,105</w:t>
            </w:r>
          </w:p>
        </w:tc>
        <w:tc>
          <w:tcPr>
            <w:tcW w:w="1183" w:type="dxa"/>
          </w:tcPr>
          <w:p w:rsidR="00EC5231" w:rsidRPr="0026329D" w:rsidRDefault="00EC5231" w:rsidP="00CD194D">
            <w:pPr>
              <w:tabs>
                <w:tab w:val="num" w:pos="0"/>
                <w:tab w:val="num" w:pos="720"/>
                <w:tab w:val="num" w:pos="902"/>
              </w:tabs>
              <w:jc w:val="right"/>
              <w:rPr>
                <w:sz w:val="20"/>
                <w:szCs w:val="20"/>
                <w:lang w:val="en-CA"/>
              </w:rPr>
            </w:pPr>
            <w:r w:rsidRPr="0026329D">
              <w:rPr>
                <w:sz w:val="20"/>
                <w:szCs w:val="20"/>
                <w:lang w:val="en-CA"/>
              </w:rPr>
              <w:t>12,717,105</w:t>
            </w:r>
          </w:p>
        </w:tc>
      </w:tr>
    </w:tbl>
    <w:p w:rsidR="00EC5231" w:rsidRPr="0026329D" w:rsidRDefault="00EC5231" w:rsidP="00EC5231">
      <w:pPr>
        <w:tabs>
          <w:tab w:val="num" w:pos="0"/>
          <w:tab w:val="num" w:pos="720"/>
          <w:tab w:val="num" w:pos="902"/>
        </w:tabs>
        <w:rPr>
          <w:b/>
          <w:lang w:val="en-CA"/>
        </w:rPr>
      </w:pPr>
    </w:p>
    <w:p w:rsidR="00EC5231" w:rsidRPr="0026329D" w:rsidRDefault="00EC5231" w:rsidP="00EC5231">
      <w:pPr>
        <w:tabs>
          <w:tab w:val="num" w:pos="0"/>
          <w:tab w:val="num" w:pos="720"/>
          <w:tab w:val="num" w:pos="902"/>
        </w:tabs>
        <w:spacing w:after="240"/>
        <w:rPr>
          <w:b/>
          <w:lang w:val="en-CA"/>
        </w:rPr>
      </w:pPr>
      <w:r w:rsidRPr="0026329D">
        <w:rPr>
          <w:b/>
          <w:lang w:val="en-CA"/>
        </w:rPr>
        <w:t>Secretariat’s comments</w:t>
      </w:r>
    </w:p>
    <w:p w:rsidR="00EC5231" w:rsidRPr="0026329D" w:rsidRDefault="00EC5231" w:rsidP="00EC5231">
      <w:pPr>
        <w:pStyle w:val="Heading1"/>
        <w:rPr>
          <w:lang w:val="en-CA"/>
        </w:rPr>
      </w:pPr>
      <w:r w:rsidRPr="0026329D">
        <w:rPr>
          <w:lang w:val="en-CA"/>
        </w:rPr>
        <w:t xml:space="preserve">The Secretariat noted that the overall cost of </w:t>
      </w:r>
      <w:r w:rsidR="00A81DEE" w:rsidRPr="0026329D">
        <w:rPr>
          <w:lang w:val="en-CA"/>
        </w:rPr>
        <w:t>stage </w:t>
      </w:r>
      <w:r w:rsidRPr="0026329D">
        <w:rPr>
          <w:lang w:val="en-CA"/>
        </w:rPr>
        <w:t xml:space="preserve">II of the HPMP for the refrigeration servicing sector and national enabling programme sector for China was adjusted from the original approval of </w:t>
      </w:r>
      <w:r w:rsidR="00475A50" w:rsidRPr="0026329D">
        <w:rPr>
          <w:lang w:val="en-CA"/>
        </w:rPr>
        <w:t>US $</w:t>
      </w:r>
      <w:r w:rsidRPr="0026329D">
        <w:rPr>
          <w:lang w:val="en-CA"/>
        </w:rPr>
        <w:t xml:space="preserve">20.9 million to </w:t>
      </w:r>
      <w:r w:rsidR="00475A50" w:rsidRPr="0026329D">
        <w:rPr>
          <w:lang w:val="en-CA"/>
        </w:rPr>
        <w:t>US $</w:t>
      </w:r>
      <w:r w:rsidRPr="0026329D">
        <w:rPr>
          <w:lang w:val="en-CA"/>
        </w:rPr>
        <w:t xml:space="preserve">18,526,237; and that the Government of China, with this adjusted funding committed to meet the phase-out of HCFCs committed for the period up to 2026 in the national servicing sector and national enabling programme sector. It is expected that the remaining consumption of HCFC-22 required for servicing in 2026 will be </w:t>
      </w:r>
      <w:r w:rsidR="00C8642B" w:rsidRPr="0026329D">
        <w:rPr>
          <w:lang w:val="en-CA"/>
        </w:rPr>
        <w:t xml:space="preserve">approximately </w:t>
      </w:r>
      <w:r w:rsidRPr="0026329D">
        <w:rPr>
          <w:lang w:val="en-CA"/>
        </w:rPr>
        <w:t>15,000 mt</w:t>
      </w:r>
      <w:r w:rsidR="00D20324" w:rsidRPr="0026329D">
        <w:rPr>
          <w:lang w:val="en-CA"/>
        </w:rPr>
        <w:t>.</w:t>
      </w:r>
    </w:p>
    <w:p w:rsidR="00EC5231" w:rsidRPr="0026329D" w:rsidRDefault="00EC5231" w:rsidP="00EC5231">
      <w:pPr>
        <w:pStyle w:val="Heading1"/>
        <w:rPr>
          <w:lang w:val="en-CA"/>
        </w:rPr>
      </w:pPr>
      <w:r w:rsidRPr="0026329D">
        <w:rPr>
          <w:lang w:val="en-CA"/>
        </w:rPr>
        <w:t xml:space="preserve">It was explained that with this reduction in the funding level, </w:t>
      </w:r>
      <w:r w:rsidR="00A81DEE" w:rsidRPr="0026329D">
        <w:rPr>
          <w:lang w:val="en-CA"/>
        </w:rPr>
        <w:t>stage </w:t>
      </w:r>
      <w:r w:rsidRPr="0026329D">
        <w:rPr>
          <w:lang w:val="en-CA"/>
        </w:rPr>
        <w:t>II the activities of the refrigeration servicing sector and enabling component were reprioritized to focus on training programme, standard developing, policy studies, as well as the capacity building of local EEBs and customs. It aims to improve the technical skills of the servicing technicians, strengthening the management and supervision capacity of authorities, which will lead the reduction of HCFC consumption in the servicing sector, and ensure the achievement and sustaining of the compliance target.</w:t>
      </w:r>
    </w:p>
    <w:p w:rsidR="00EC5231" w:rsidRPr="0026329D" w:rsidRDefault="00EC5231" w:rsidP="00EC5231">
      <w:pPr>
        <w:pStyle w:val="Heading1"/>
        <w:rPr>
          <w:lang w:val="en-CA"/>
        </w:rPr>
      </w:pPr>
      <w:r w:rsidRPr="0026329D">
        <w:rPr>
          <w:lang w:val="en-CA"/>
        </w:rPr>
        <w:t>In responding to how the funding approved at the 84</w:t>
      </w:r>
      <w:r w:rsidRPr="0026329D">
        <w:rPr>
          <w:vertAlign w:val="superscript"/>
          <w:lang w:val="en-CA"/>
        </w:rPr>
        <w:t>th</w:t>
      </w:r>
      <w:r w:rsidRPr="0026329D">
        <w:rPr>
          <w:lang w:val="en-CA"/>
        </w:rPr>
        <w:t xml:space="preserve"> meeting of </w:t>
      </w:r>
      <w:r w:rsidR="00475A50" w:rsidRPr="0026329D">
        <w:rPr>
          <w:lang w:val="en-CA"/>
        </w:rPr>
        <w:t>US $</w:t>
      </w:r>
      <w:r w:rsidRPr="0026329D">
        <w:rPr>
          <w:lang w:val="en-CA"/>
        </w:rPr>
        <w:t xml:space="preserve">1,000,000 was reflected in the revised programme, UNEP explained that this was included in activities for the period 2016-2020, while the revised plan focuses on activities that will be implemented from 2021. In order to effectively monitor the activities and the related funding, the Government of China decided to divide </w:t>
      </w:r>
      <w:r w:rsidR="00A81DEE" w:rsidRPr="0026329D">
        <w:rPr>
          <w:lang w:val="en-CA"/>
        </w:rPr>
        <w:t>stage </w:t>
      </w:r>
      <w:r w:rsidRPr="0026329D">
        <w:rPr>
          <w:lang w:val="en-CA"/>
        </w:rPr>
        <w:t xml:space="preserve">II activities into two components, one referred to as </w:t>
      </w:r>
      <w:r w:rsidR="00A81DEE" w:rsidRPr="0026329D">
        <w:rPr>
          <w:lang w:val="en-CA"/>
        </w:rPr>
        <w:t>stage </w:t>
      </w:r>
      <w:r w:rsidRPr="0026329D">
        <w:rPr>
          <w:lang w:val="en-CA"/>
        </w:rPr>
        <w:t xml:space="preserve">II (2016-2020) and revised </w:t>
      </w:r>
      <w:r w:rsidR="0033085D" w:rsidRPr="0026329D">
        <w:rPr>
          <w:lang w:val="en-CA"/>
        </w:rPr>
        <w:t xml:space="preserve">extended </w:t>
      </w:r>
      <w:r w:rsidR="00A81DEE" w:rsidRPr="0026329D">
        <w:rPr>
          <w:lang w:val="en-CA"/>
        </w:rPr>
        <w:t>stage </w:t>
      </w:r>
      <w:r w:rsidRPr="0026329D">
        <w:rPr>
          <w:lang w:val="en-CA"/>
        </w:rPr>
        <w:t>II (2021-2026) in order to differentiate the activities and funding.</w:t>
      </w:r>
    </w:p>
    <w:p w:rsidR="00EC5231" w:rsidRPr="0026329D" w:rsidRDefault="00EC5231" w:rsidP="00EC5231">
      <w:pPr>
        <w:pStyle w:val="Heading1"/>
        <w:rPr>
          <w:lang w:val="en-CA"/>
        </w:rPr>
      </w:pPr>
      <w:r w:rsidRPr="0026329D">
        <w:rPr>
          <w:lang w:val="en-CA"/>
        </w:rPr>
        <w:t>UNEP also provided a list of policies and standards that had been developed from the previous tranches compared to what is expected to be the focus for this revised plan in order to easily monitor those that had been completed and those in progress.</w:t>
      </w:r>
    </w:p>
    <w:p w:rsidR="00EC5231" w:rsidRPr="0026329D" w:rsidRDefault="003304E4" w:rsidP="00EC5231">
      <w:pPr>
        <w:pStyle w:val="Heading1"/>
        <w:numPr>
          <w:ilvl w:val="0"/>
          <w:numId w:val="0"/>
        </w:numPr>
        <w:rPr>
          <w:lang w:val="en-CA"/>
        </w:rPr>
      </w:pPr>
      <w:r w:rsidRPr="0026329D">
        <w:rPr>
          <w:b/>
          <w:lang w:val="en-CA"/>
        </w:rPr>
        <w:t>Recommendation</w:t>
      </w:r>
    </w:p>
    <w:p w:rsidR="00EC5231" w:rsidRPr="0026329D" w:rsidRDefault="00EC5231" w:rsidP="00EC5231">
      <w:pPr>
        <w:pStyle w:val="Heading1"/>
        <w:rPr>
          <w:lang w:val="en-CA"/>
        </w:rPr>
      </w:pPr>
      <w:r w:rsidRPr="0026329D">
        <w:rPr>
          <w:lang w:val="en-CA"/>
        </w:rPr>
        <w:t xml:space="preserve">The Executive Committee may wish to approve the revised </w:t>
      </w:r>
      <w:r w:rsidR="00AB2BBB" w:rsidRPr="0026329D">
        <w:rPr>
          <w:lang w:val="en-CA"/>
        </w:rPr>
        <w:t xml:space="preserve">plan </w:t>
      </w:r>
      <w:r w:rsidRPr="0026329D">
        <w:rPr>
          <w:lang w:val="en-CA"/>
        </w:rPr>
        <w:t xml:space="preserve">of action </w:t>
      </w:r>
      <w:r w:rsidR="00085689" w:rsidRPr="0026329D">
        <w:rPr>
          <w:lang w:val="en-CA"/>
        </w:rPr>
        <w:t xml:space="preserve">to extend through 2026 </w:t>
      </w:r>
      <w:r w:rsidR="00A81DEE" w:rsidRPr="0026329D">
        <w:rPr>
          <w:lang w:val="en-CA"/>
        </w:rPr>
        <w:t>stage </w:t>
      </w:r>
      <w:r w:rsidRPr="0026329D">
        <w:rPr>
          <w:lang w:val="en-CA"/>
        </w:rPr>
        <w:t>II of the refrigeration servicing sector and national enabling programme sector plan submitted by UNDP in line with decision 84/69(a)(iii), as described in document UNEP/OzL.Pro/ExCom/86/21/Add.1.</w:t>
      </w:r>
    </w:p>
    <w:p w:rsidR="00E44F75" w:rsidRPr="0026329D" w:rsidRDefault="00A9529F" w:rsidP="00E44F75">
      <w:pPr>
        <w:rPr>
          <w:b/>
          <w:lang w:val="en-CA"/>
        </w:rPr>
      </w:pPr>
      <w:r w:rsidRPr="0026329D">
        <w:rPr>
          <w:b/>
          <w:lang w:val="en-CA"/>
        </w:rPr>
        <w:t>REVISED EXTRUDED POLYSTYRENE (XPS) FOAM SECTOR PLAN (UNIDO, Germany)</w:t>
      </w:r>
    </w:p>
    <w:p w:rsidR="00E44F75" w:rsidRPr="0026329D" w:rsidRDefault="00E44F75" w:rsidP="00D01B76">
      <w:pPr>
        <w:rPr>
          <w:lang w:val="en-CA"/>
        </w:rPr>
      </w:pPr>
    </w:p>
    <w:p w:rsidR="00D01B76" w:rsidRPr="0026329D" w:rsidRDefault="00D01B76" w:rsidP="00D01B76">
      <w:pPr>
        <w:rPr>
          <w:b/>
          <w:lang w:val="en-CA"/>
        </w:rPr>
      </w:pPr>
      <w:r w:rsidRPr="0026329D">
        <w:rPr>
          <w:b/>
          <w:lang w:val="en-CA"/>
        </w:rPr>
        <w:t>Sector plan description</w:t>
      </w:r>
    </w:p>
    <w:p w:rsidR="00D01B76" w:rsidRPr="0026329D" w:rsidRDefault="00D01B76" w:rsidP="00D01B76">
      <w:pPr>
        <w:rPr>
          <w:lang w:val="en-CA"/>
        </w:rPr>
      </w:pPr>
    </w:p>
    <w:p w:rsidR="00E44F75" w:rsidRPr="0026329D" w:rsidRDefault="00E44F75" w:rsidP="00E44F75">
      <w:pPr>
        <w:rPr>
          <w:b/>
          <w:lang w:val="en-CA"/>
        </w:rPr>
      </w:pPr>
      <w:r w:rsidRPr="0026329D">
        <w:rPr>
          <w:b/>
          <w:lang w:val="en-CA"/>
        </w:rPr>
        <w:t xml:space="preserve">Background </w:t>
      </w:r>
    </w:p>
    <w:p w:rsidR="00E44F75" w:rsidRPr="0026329D" w:rsidRDefault="00E44F75" w:rsidP="00E44F75">
      <w:pPr>
        <w:rPr>
          <w:b/>
          <w:lang w:val="en-CA"/>
        </w:rPr>
      </w:pPr>
    </w:p>
    <w:p w:rsidR="00E44F75" w:rsidRPr="0026329D" w:rsidRDefault="00E44F75" w:rsidP="00E44F75">
      <w:pPr>
        <w:pStyle w:val="Heading1"/>
        <w:rPr>
          <w:lang w:val="en-CA"/>
        </w:rPr>
      </w:pPr>
      <w:r w:rsidRPr="0026329D">
        <w:rPr>
          <w:lang w:val="en-CA"/>
        </w:rPr>
        <w:t>At its 77</w:t>
      </w:r>
      <w:r w:rsidRPr="0026329D">
        <w:rPr>
          <w:vertAlign w:val="superscript"/>
          <w:lang w:val="en-CA"/>
        </w:rPr>
        <w:t>th</w:t>
      </w:r>
      <w:r w:rsidRPr="0026329D">
        <w:rPr>
          <w:lang w:val="en-CA"/>
        </w:rPr>
        <w:t xml:space="preserve"> meeting, the Executive Committee approved the extruded polystyrene (XPS) foam manufacturing sector plan of </w:t>
      </w:r>
      <w:r w:rsidR="00A81DEE" w:rsidRPr="0026329D">
        <w:rPr>
          <w:lang w:val="en-CA"/>
        </w:rPr>
        <w:t>stage </w:t>
      </w:r>
      <w:r w:rsidRPr="0026329D">
        <w:rPr>
          <w:lang w:val="en-CA"/>
        </w:rPr>
        <w:t xml:space="preserve">II of the HCFC phase-out management plan (HPMP) to achieve, by 2026, total phase-out of HCFCs in the sector, in the amount of </w:t>
      </w:r>
      <w:r w:rsidR="00475A50" w:rsidRPr="0026329D">
        <w:rPr>
          <w:lang w:val="en-CA"/>
        </w:rPr>
        <w:t>US $</w:t>
      </w:r>
      <w:r w:rsidRPr="0026329D">
        <w:rPr>
          <w:lang w:val="en-CA"/>
        </w:rPr>
        <w:t xml:space="preserve">112,786,630 approved in principle, plus agency support costs for UNIDO and the Government of Germany. At that meeting, the Executive Committee also approved the first tranche of the XPS foam sector plan, and the corresponding 2017 tranche implementation plan. </w:t>
      </w:r>
    </w:p>
    <w:p w:rsidR="00E44F75" w:rsidRPr="0026329D" w:rsidRDefault="00E44F75" w:rsidP="00242C87">
      <w:pPr>
        <w:pStyle w:val="Heading1"/>
        <w:widowControl w:val="0"/>
        <w:rPr>
          <w:lang w:val="en-CA"/>
        </w:rPr>
      </w:pPr>
      <w:r w:rsidRPr="0026329D">
        <w:rPr>
          <w:lang w:val="en-CA"/>
        </w:rPr>
        <w:t>At its 80</w:t>
      </w:r>
      <w:r w:rsidRPr="0026329D">
        <w:rPr>
          <w:vertAlign w:val="superscript"/>
          <w:lang w:val="en-CA"/>
        </w:rPr>
        <w:t>th</w:t>
      </w:r>
      <w:r w:rsidRPr="0026329D">
        <w:rPr>
          <w:lang w:val="en-CA"/>
        </w:rPr>
        <w:t xml:space="preserve"> meeting, the Executive Committee approved the second tranche of </w:t>
      </w:r>
      <w:r w:rsidR="00A81DEE" w:rsidRPr="0026329D">
        <w:rPr>
          <w:lang w:val="en-CA"/>
        </w:rPr>
        <w:t>stage </w:t>
      </w:r>
      <w:r w:rsidRPr="0026329D">
        <w:rPr>
          <w:lang w:val="en-CA"/>
        </w:rPr>
        <w:t>II of the XPS foam sector plan and the corresponding 2018 tranche implementation plan, and at its 85</w:t>
      </w:r>
      <w:r w:rsidRPr="0026329D">
        <w:rPr>
          <w:vertAlign w:val="superscript"/>
          <w:lang w:val="en-CA"/>
        </w:rPr>
        <w:t>th</w:t>
      </w:r>
      <w:r w:rsidRPr="0026329D">
        <w:rPr>
          <w:lang w:val="en-CA"/>
        </w:rPr>
        <w:t xml:space="preserve"> meeting, the Committee approved the third tranche and the corresponding 2020-2021 tranche implementation plan. Overall, a total of </w:t>
      </w:r>
      <w:r w:rsidR="00475A50" w:rsidRPr="0026329D">
        <w:rPr>
          <w:lang w:val="en-CA"/>
        </w:rPr>
        <w:t>US $</w:t>
      </w:r>
      <w:r w:rsidRPr="0026329D">
        <w:rPr>
          <w:lang w:val="en-CA"/>
        </w:rPr>
        <w:t xml:space="preserve">26,405,298, plus agency support cost for UNIDO and the Government of Germany, has been approved so far. </w:t>
      </w:r>
    </w:p>
    <w:p w:rsidR="00E44F75" w:rsidRPr="0026329D" w:rsidRDefault="00E44F75" w:rsidP="00E44F75">
      <w:pPr>
        <w:pStyle w:val="Heading1"/>
        <w:rPr>
          <w:lang w:val="en-CA"/>
        </w:rPr>
      </w:pPr>
      <w:r w:rsidRPr="0026329D">
        <w:rPr>
          <w:lang w:val="en-CA"/>
        </w:rPr>
        <w:t xml:space="preserve">As of </w:t>
      </w:r>
      <w:r w:rsidR="00242C87" w:rsidRPr="0026329D">
        <w:rPr>
          <w:lang w:val="en-CA"/>
        </w:rPr>
        <w:t xml:space="preserve">June </w:t>
      </w:r>
      <w:r w:rsidRPr="0026329D">
        <w:rPr>
          <w:lang w:val="en-CA"/>
        </w:rPr>
        <w:t xml:space="preserve">2020, </w:t>
      </w:r>
      <w:r w:rsidR="00242C87" w:rsidRPr="0026329D">
        <w:rPr>
          <w:lang w:val="en-CA"/>
        </w:rPr>
        <w:t xml:space="preserve">10 </w:t>
      </w:r>
      <w:r w:rsidRPr="0026329D">
        <w:rPr>
          <w:lang w:val="en-CA"/>
        </w:rPr>
        <w:t>XPS foam manufacturing enterprises had signed contracts with FECO for conversion to CO</w:t>
      </w:r>
      <w:r w:rsidRPr="0026329D">
        <w:rPr>
          <w:vertAlign w:val="subscript"/>
          <w:lang w:val="en-CA"/>
        </w:rPr>
        <w:t>2</w:t>
      </w:r>
      <w:r w:rsidRPr="0026329D">
        <w:rPr>
          <w:lang w:val="en-CA"/>
        </w:rPr>
        <w:t xml:space="preserve">-based technology and received </w:t>
      </w:r>
      <w:r w:rsidR="00242C87" w:rsidRPr="0026329D">
        <w:rPr>
          <w:lang w:val="en-CA"/>
        </w:rPr>
        <w:t xml:space="preserve">funding </w:t>
      </w:r>
      <w:r w:rsidR="0048575E" w:rsidRPr="0026329D">
        <w:rPr>
          <w:lang w:val="en-CA"/>
        </w:rPr>
        <w:t xml:space="preserve">to </w:t>
      </w:r>
      <w:r w:rsidR="00242C87" w:rsidRPr="0026329D">
        <w:rPr>
          <w:lang w:val="en-CA"/>
        </w:rPr>
        <w:t xml:space="preserve">initiate the conversions, which </w:t>
      </w:r>
      <w:r w:rsidRPr="0026329D">
        <w:rPr>
          <w:lang w:val="en-CA"/>
        </w:rPr>
        <w:t>will be completed between 2020 and 2021, result</w:t>
      </w:r>
      <w:r w:rsidR="00242C87" w:rsidRPr="0026329D">
        <w:rPr>
          <w:lang w:val="en-CA"/>
        </w:rPr>
        <w:t>ing</w:t>
      </w:r>
      <w:r w:rsidRPr="0026329D">
        <w:rPr>
          <w:lang w:val="en-CA"/>
        </w:rPr>
        <w:t xml:space="preserve"> in the phase-out of 4,297 metric tonnes (mt) of HCFCs.</w:t>
      </w:r>
    </w:p>
    <w:p w:rsidR="00E44F75" w:rsidRPr="0026329D" w:rsidRDefault="00E44F75" w:rsidP="00E44F75">
      <w:pPr>
        <w:rPr>
          <w:b/>
          <w:lang w:val="en-CA"/>
        </w:rPr>
      </w:pPr>
      <w:r w:rsidRPr="0026329D">
        <w:rPr>
          <w:b/>
          <w:lang w:val="en-CA"/>
        </w:rPr>
        <w:t xml:space="preserve">Revised plan of action </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In line with decision 84/69(a)(iv)b. and (v), UNIDO, as lead implementing agency for the XPS foam sector plan, has submitted on behalf of the Government of China a revised plan of action for </w:t>
      </w:r>
      <w:r w:rsidR="00A81DEE" w:rsidRPr="0026329D">
        <w:rPr>
          <w:lang w:val="en-CA"/>
        </w:rPr>
        <w:t>stage </w:t>
      </w:r>
      <w:r w:rsidRPr="0026329D">
        <w:rPr>
          <w:lang w:val="en-CA"/>
        </w:rPr>
        <w:t xml:space="preserve">II of the XPS foam sector plan, for the years 2021 to 2026, at a cost of </w:t>
      </w:r>
      <w:r w:rsidR="00475A50" w:rsidRPr="0026329D">
        <w:rPr>
          <w:lang w:val="en-CA"/>
        </w:rPr>
        <w:t>US $</w:t>
      </w:r>
      <w:r w:rsidRPr="0026329D">
        <w:rPr>
          <w:lang w:val="en-CA"/>
        </w:rPr>
        <w:t>18,534,654, plus agency support costs for UNIDO and the Government of Germany.</w:t>
      </w:r>
      <w:r w:rsidRPr="0026329D">
        <w:rPr>
          <w:rStyle w:val="FootnoteReference"/>
          <w:lang w:val="en-CA"/>
        </w:rPr>
        <w:footnoteReference w:id="25"/>
      </w:r>
      <w:r w:rsidRPr="0026329D">
        <w:rPr>
          <w:lang w:val="en-CA"/>
        </w:rPr>
        <w:t xml:space="preserve"> </w:t>
      </w:r>
    </w:p>
    <w:p w:rsidR="00E44F75" w:rsidRPr="0026329D" w:rsidRDefault="00E44F75" w:rsidP="00E44F75">
      <w:pPr>
        <w:pStyle w:val="Heading1"/>
        <w:rPr>
          <w:lang w:val="en-CA"/>
        </w:rPr>
      </w:pPr>
      <w:r w:rsidRPr="0026329D">
        <w:rPr>
          <w:lang w:val="en-CA"/>
        </w:rPr>
        <w:t xml:space="preserve">Noting that between 2016 and 2020, </w:t>
      </w:r>
      <w:r w:rsidR="00475A50" w:rsidRPr="0026329D">
        <w:rPr>
          <w:lang w:val="en-CA"/>
        </w:rPr>
        <w:t>US $</w:t>
      </w:r>
      <w:r w:rsidRPr="0026329D">
        <w:rPr>
          <w:lang w:val="en-CA"/>
        </w:rPr>
        <w:t xml:space="preserve">26,405,298, plus agency support costs have already been approved for the XPS foam sector plan, the revised approval in principle for the entire </w:t>
      </w:r>
      <w:r w:rsidR="00A81DEE" w:rsidRPr="0026329D">
        <w:rPr>
          <w:lang w:val="en-CA"/>
        </w:rPr>
        <w:t>stage </w:t>
      </w:r>
      <w:r w:rsidRPr="0026329D">
        <w:rPr>
          <w:lang w:val="en-CA"/>
        </w:rPr>
        <w:t xml:space="preserve">II of the XPS foam sector plan is </w:t>
      </w:r>
      <w:r w:rsidR="00475A50" w:rsidRPr="0026329D">
        <w:rPr>
          <w:lang w:val="en-CA"/>
        </w:rPr>
        <w:t>US $</w:t>
      </w:r>
      <w:r w:rsidRPr="0026329D">
        <w:rPr>
          <w:lang w:val="en-CA"/>
        </w:rPr>
        <w:t>44,939,952, plus agency support costs.</w:t>
      </w:r>
      <w:r w:rsidR="00475A50" w:rsidRPr="0026329D">
        <w:rPr>
          <w:lang w:val="en-CA"/>
        </w:rPr>
        <w:t xml:space="preserve"> </w:t>
      </w:r>
    </w:p>
    <w:p w:rsidR="00E44F75" w:rsidRPr="0026329D" w:rsidRDefault="00E44F75" w:rsidP="006D156C">
      <w:pPr>
        <w:widowControl w:val="0"/>
        <w:numPr>
          <w:ilvl w:val="0"/>
          <w:numId w:val="1"/>
        </w:numPr>
        <w:spacing w:after="240"/>
        <w:outlineLvl w:val="0"/>
        <w:rPr>
          <w:lang w:val="en-CA"/>
        </w:rPr>
      </w:pPr>
      <w:r w:rsidRPr="0026329D">
        <w:rPr>
          <w:lang w:val="en-CA"/>
        </w:rPr>
        <w:t>In line with the draft revised Agreement submitted by UNDP to the 86</w:t>
      </w:r>
      <w:r w:rsidRPr="0026329D">
        <w:rPr>
          <w:vertAlign w:val="superscript"/>
          <w:lang w:val="en-CA"/>
        </w:rPr>
        <w:t>th</w:t>
      </w:r>
      <w:r w:rsidRPr="0026329D">
        <w:rPr>
          <w:lang w:val="en-CA"/>
        </w:rPr>
        <w:t xml:space="preserve"> meeting, no funding is being requested at the </w:t>
      </w:r>
      <w:r w:rsidR="00242C87" w:rsidRPr="0026329D">
        <w:rPr>
          <w:lang w:val="en-CA"/>
        </w:rPr>
        <w:t>86</w:t>
      </w:r>
      <w:r w:rsidR="00242C87" w:rsidRPr="0026329D">
        <w:rPr>
          <w:vertAlign w:val="superscript"/>
          <w:lang w:val="en-CA"/>
        </w:rPr>
        <w:t>th</w:t>
      </w:r>
      <w:r w:rsidR="009B3FC3" w:rsidRPr="0026329D">
        <w:rPr>
          <w:lang w:val="en-CA"/>
        </w:rPr>
        <w:t> meeting</w:t>
      </w:r>
      <w:r w:rsidRPr="0026329D">
        <w:rPr>
          <w:lang w:val="en-CA"/>
        </w:rPr>
        <w:t xml:space="preserve">. The next tranche of the XPS foam sector plan of </w:t>
      </w:r>
      <w:r w:rsidR="00475A50" w:rsidRPr="0026329D">
        <w:rPr>
          <w:lang w:val="en-CA"/>
        </w:rPr>
        <w:t>US $</w:t>
      </w:r>
      <w:r w:rsidRPr="0026329D">
        <w:rPr>
          <w:lang w:val="en-CA"/>
        </w:rPr>
        <w:t xml:space="preserve">5,000,000, plus agency support costs of </w:t>
      </w:r>
      <w:r w:rsidR="00475A50" w:rsidRPr="0026329D">
        <w:rPr>
          <w:lang w:val="en-CA"/>
        </w:rPr>
        <w:t>US $</w:t>
      </w:r>
      <w:r w:rsidRPr="0026329D">
        <w:rPr>
          <w:lang w:val="en-CA"/>
        </w:rPr>
        <w:t xml:space="preserve">308,000 for UNIDO and </w:t>
      </w:r>
      <w:r w:rsidR="00475A50" w:rsidRPr="0026329D">
        <w:rPr>
          <w:lang w:val="en-CA"/>
        </w:rPr>
        <w:t>US $</w:t>
      </w:r>
      <w:r w:rsidRPr="0026329D">
        <w:rPr>
          <w:lang w:val="en-CA"/>
        </w:rPr>
        <w:t>7</w:t>
      </w:r>
      <w:r w:rsidR="0048575E" w:rsidRPr="0026329D">
        <w:rPr>
          <w:lang w:val="en-CA"/>
        </w:rPr>
        <w:t>3,535</w:t>
      </w:r>
      <w:r w:rsidRPr="0026329D">
        <w:rPr>
          <w:lang w:val="en-CA"/>
        </w:rPr>
        <w:t xml:space="preserve"> for the Government of Germany, will be submitted to the second meeting of 2021.</w:t>
      </w:r>
    </w:p>
    <w:p w:rsidR="00E44F75" w:rsidRPr="0026329D" w:rsidRDefault="00E44F75" w:rsidP="00E44F75">
      <w:pPr>
        <w:rPr>
          <w:u w:val="single"/>
          <w:lang w:val="en-CA"/>
        </w:rPr>
      </w:pPr>
      <w:r w:rsidRPr="0026329D">
        <w:rPr>
          <w:u w:val="single"/>
          <w:lang w:val="en-CA"/>
        </w:rPr>
        <w:t xml:space="preserve">HCFC consumption targets </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The HCFC phase-out timeline for </w:t>
      </w:r>
      <w:r w:rsidR="00A81DEE" w:rsidRPr="0026329D">
        <w:rPr>
          <w:lang w:val="en-CA"/>
        </w:rPr>
        <w:t>stage </w:t>
      </w:r>
      <w:r w:rsidRPr="0026329D">
        <w:rPr>
          <w:lang w:val="en-CA"/>
        </w:rPr>
        <w:t>II of the XPS foam sector is shown in Table</w:t>
      </w:r>
      <w:r w:rsidR="008C3F3E" w:rsidRPr="0026329D">
        <w:rPr>
          <w:lang w:val="en-CA"/>
        </w:rPr>
        <w:t> </w:t>
      </w:r>
      <w:r w:rsidRPr="0026329D">
        <w:rPr>
          <w:lang w:val="en-CA"/>
        </w:rPr>
        <w:t xml:space="preserve">1 and reflected in row 1.3.2 of </w:t>
      </w:r>
      <w:r w:rsidR="00FB35E3" w:rsidRPr="0026329D">
        <w:rPr>
          <w:lang w:val="en-CA"/>
        </w:rPr>
        <w:t>Appendix </w:t>
      </w:r>
      <w:r w:rsidRPr="0026329D">
        <w:rPr>
          <w:lang w:val="en-CA"/>
        </w:rPr>
        <w:t xml:space="preserve">2-A of the </w:t>
      </w:r>
      <w:r w:rsidR="00A516A1" w:rsidRPr="0026329D">
        <w:rPr>
          <w:lang w:val="en-CA"/>
        </w:rPr>
        <w:t>draft revised</w:t>
      </w:r>
      <w:r w:rsidRPr="0026329D">
        <w:rPr>
          <w:lang w:val="en-CA"/>
        </w:rPr>
        <w:t xml:space="preserve"> Agreement between China and the Executive Committee in Annex I</w:t>
      </w:r>
      <w:r w:rsidR="00337C27" w:rsidRPr="0026329D">
        <w:rPr>
          <w:lang w:val="en-CA"/>
        </w:rPr>
        <w:t>I</w:t>
      </w:r>
      <w:r w:rsidRPr="0026329D">
        <w:rPr>
          <w:lang w:val="en-CA"/>
        </w:rPr>
        <w:t>. The HCFC consumption targets for the XPS foam sector have been maintained as originally approved at the 77</w:t>
      </w:r>
      <w:r w:rsidRPr="0026329D">
        <w:rPr>
          <w:vertAlign w:val="superscript"/>
          <w:lang w:val="en-CA"/>
        </w:rPr>
        <w:t>th</w:t>
      </w:r>
      <w:r w:rsidRPr="0026329D">
        <w:rPr>
          <w:lang w:val="en-CA"/>
        </w:rPr>
        <w:t xml:space="preserve"> meeting. </w:t>
      </w:r>
    </w:p>
    <w:p w:rsidR="00E44F75" w:rsidRPr="0026329D" w:rsidRDefault="00E44F75" w:rsidP="00E44F75">
      <w:pPr>
        <w:pStyle w:val="Heading1"/>
        <w:numPr>
          <w:ilvl w:val="0"/>
          <w:numId w:val="0"/>
        </w:numPr>
        <w:spacing w:after="0"/>
        <w:rPr>
          <w:b/>
          <w:lang w:val="en-CA"/>
        </w:rPr>
      </w:pPr>
      <w:r w:rsidRPr="0026329D">
        <w:rPr>
          <w:b/>
          <w:lang w:val="en-CA"/>
        </w:rPr>
        <w:t>Table 1. HCFC phase-out targets for the XPS foam sector in China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934"/>
        <w:gridCol w:w="825"/>
        <w:gridCol w:w="993"/>
        <w:gridCol w:w="1022"/>
        <w:gridCol w:w="909"/>
        <w:gridCol w:w="790"/>
        <w:gridCol w:w="705"/>
      </w:tblGrid>
      <w:tr w:rsidR="00E44F75" w:rsidRPr="0026329D" w:rsidTr="003927DC">
        <w:trPr>
          <w:cantSplit/>
          <w:trHeight w:val="472"/>
          <w:jc w:val="center"/>
        </w:trPr>
        <w:tc>
          <w:tcPr>
            <w:tcW w:w="1730" w:type="pct"/>
            <w:shd w:val="clear" w:color="auto" w:fill="auto"/>
            <w:vAlign w:val="center"/>
          </w:tcPr>
          <w:p w:rsidR="00E44F75" w:rsidRPr="0026329D" w:rsidRDefault="00E44F75" w:rsidP="003927DC">
            <w:pPr>
              <w:tabs>
                <w:tab w:val="left" w:pos="720"/>
              </w:tabs>
              <w:autoSpaceDE w:val="0"/>
              <w:autoSpaceDN w:val="0"/>
              <w:adjustRightInd w:val="0"/>
              <w:ind w:right="18"/>
              <w:jc w:val="left"/>
              <w:rPr>
                <w:b/>
                <w:sz w:val="20"/>
                <w:szCs w:val="20"/>
                <w:lang w:val="en-CA"/>
              </w:rPr>
            </w:pPr>
            <w:r w:rsidRPr="0026329D">
              <w:rPr>
                <w:b/>
                <w:sz w:val="20"/>
                <w:szCs w:val="20"/>
                <w:lang w:val="en-CA"/>
              </w:rPr>
              <w:t>Maximum allowable consumption of HCFCs in the XPS foam sector</w:t>
            </w:r>
          </w:p>
        </w:tc>
        <w:tc>
          <w:tcPr>
            <w:tcW w:w="482"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Starting point</w:t>
            </w:r>
          </w:p>
        </w:tc>
        <w:tc>
          <w:tcPr>
            <w:tcW w:w="439"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2016 2017</w:t>
            </w:r>
          </w:p>
        </w:tc>
        <w:tc>
          <w:tcPr>
            <w:tcW w:w="528"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2018 2019</w:t>
            </w:r>
          </w:p>
        </w:tc>
        <w:tc>
          <w:tcPr>
            <w:tcW w:w="543"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2020 2021 2022</w:t>
            </w:r>
          </w:p>
        </w:tc>
        <w:tc>
          <w:tcPr>
            <w:tcW w:w="483"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2023</w:t>
            </w:r>
          </w:p>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2024</w:t>
            </w:r>
          </w:p>
        </w:tc>
        <w:tc>
          <w:tcPr>
            <w:tcW w:w="420"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2025</w:t>
            </w:r>
          </w:p>
        </w:tc>
        <w:tc>
          <w:tcPr>
            <w:tcW w:w="376" w:type="pct"/>
            <w:shd w:val="clear" w:color="auto" w:fill="auto"/>
            <w:vAlign w:val="center"/>
          </w:tcPr>
          <w:p w:rsidR="00E44F75" w:rsidRPr="0026329D" w:rsidRDefault="00E44F75" w:rsidP="003927DC">
            <w:pPr>
              <w:tabs>
                <w:tab w:val="left" w:pos="720"/>
              </w:tabs>
              <w:autoSpaceDE w:val="0"/>
              <w:autoSpaceDN w:val="0"/>
              <w:adjustRightInd w:val="0"/>
              <w:ind w:right="18"/>
              <w:jc w:val="center"/>
              <w:rPr>
                <w:b/>
                <w:sz w:val="20"/>
                <w:szCs w:val="20"/>
                <w:lang w:val="en-CA"/>
              </w:rPr>
            </w:pPr>
            <w:r w:rsidRPr="0026329D">
              <w:rPr>
                <w:b/>
                <w:sz w:val="20"/>
                <w:szCs w:val="20"/>
                <w:lang w:val="en-CA"/>
              </w:rPr>
              <w:t>2026</w:t>
            </w:r>
          </w:p>
        </w:tc>
      </w:tr>
      <w:tr w:rsidR="00E44F75" w:rsidRPr="0026329D" w:rsidTr="00665A83">
        <w:trPr>
          <w:cantSplit/>
          <w:trHeight w:val="89"/>
          <w:jc w:val="center"/>
        </w:trPr>
        <w:tc>
          <w:tcPr>
            <w:tcW w:w="1730" w:type="pct"/>
            <w:shd w:val="clear" w:color="auto" w:fill="auto"/>
            <w:vAlign w:val="center"/>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b/>
                <w:sz w:val="20"/>
                <w:szCs w:val="20"/>
                <w:lang w:val="en-CA"/>
              </w:rPr>
              <w:t>Mt</w:t>
            </w:r>
          </w:p>
        </w:tc>
        <w:tc>
          <w:tcPr>
            <w:tcW w:w="482"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43,050</w:t>
            </w:r>
          </w:p>
        </w:tc>
        <w:tc>
          <w:tcPr>
            <w:tcW w:w="439"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39,755</w:t>
            </w:r>
          </w:p>
        </w:tc>
        <w:tc>
          <w:tcPr>
            <w:tcW w:w="528"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35,339</w:t>
            </w:r>
          </w:p>
        </w:tc>
        <w:tc>
          <w:tcPr>
            <w:tcW w:w="54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24,296</w:t>
            </w:r>
          </w:p>
        </w:tc>
        <w:tc>
          <w:tcPr>
            <w:tcW w:w="48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13,252</w:t>
            </w:r>
          </w:p>
        </w:tc>
        <w:tc>
          <w:tcPr>
            <w:tcW w:w="420"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3,000</w:t>
            </w:r>
          </w:p>
        </w:tc>
        <w:tc>
          <w:tcPr>
            <w:tcW w:w="376"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0</w:t>
            </w:r>
          </w:p>
        </w:tc>
      </w:tr>
      <w:tr w:rsidR="00E44F75" w:rsidRPr="0026329D" w:rsidTr="00665A83">
        <w:trPr>
          <w:cantSplit/>
          <w:trHeight w:val="125"/>
          <w:jc w:val="center"/>
        </w:trPr>
        <w:tc>
          <w:tcPr>
            <w:tcW w:w="1730" w:type="pct"/>
            <w:shd w:val="clear" w:color="auto" w:fill="auto"/>
            <w:vAlign w:val="center"/>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b/>
                <w:sz w:val="20"/>
                <w:szCs w:val="20"/>
                <w:lang w:val="en-CA"/>
              </w:rPr>
              <w:t>ODP tonnes</w:t>
            </w:r>
          </w:p>
        </w:tc>
        <w:tc>
          <w:tcPr>
            <w:tcW w:w="482"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2,540</w:t>
            </w:r>
          </w:p>
        </w:tc>
        <w:tc>
          <w:tcPr>
            <w:tcW w:w="439"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2,286</w:t>
            </w:r>
          </w:p>
        </w:tc>
        <w:tc>
          <w:tcPr>
            <w:tcW w:w="528"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2,032</w:t>
            </w:r>
          </w:p>
        </w:tc>
        <w:tc>
          <w:tcPr>
            <w:tcW w:w="54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1,397</w:t>
            </w:r>
          </w:p>
        </w:tc>
        <w:tc>
          <w:tcPr>
            <w:tcW w:w="48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762</w:t>
            </w:r>
          </w:p>
        </w:tc>
        <w:tc>
          <w:tcPr>
            <w:tcW w:w="420"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165</w:t>
            </w:r>
          </w:p>
        </w:tc>
        <w:tc>
          <w:tcPr>
            <w:tcW w:w="376"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0</w:t>
            </w:r>
          </w:p>
        </w:tc>
      </w:tr>
      <w:tr w:rsidR="00E44F75" w:rsidRPr="0026329D" w:rsidTr="00665A83">
        <w:trPr>
          <w:cantSplit/>
          <w:trHeight w:val="62"/>
          <w:jc w:val="center"/>
        </w:trPr>
        <w:tc>
          <w:tcPr>
            <w:tcW w:w="1730" w:type="pct"/>
            <w:shd w:val="clear" w:color="auto" w:fill="auto"/>
            <w:vAlign w:val="center"/>
          </w:tcPr>
          <w:p w:rsidR="00E44F75" w:rsidRPr="0026329D" w:rsidRDefault="00E44F75" w:rsidP="00665A83">
            <w:pPr>
              <w:tabs>
                <w:tab w:val="left" w:pos="720"/>
              </w:tabs>
              <w:autoSpaceDE w:val="0"/>
              <w:autoSpaceDN w:val="0"/>
              <w:adjustRightInd w:val="0"/>
              <w:ind w:right="18"/>
              <w:jc w:val="left"/>
              <w:rPr>
                <w:b/>
                <w:sz w:val="20"/>
                <w:szCs w:val="20"/>
                <w:lang w:val="en-CA"/>
              </w:rPr>
            </w:pPr>
            <w:r w:rsidRPr="0026329D">
              <w:rPr>
                <w:b/>
                <w:sz w:val="20"/>
                <w:szCs w:val="20"/>
                <w:lang w:val="en-CA"/>
              </w:rPr>
              <w:t>Reduction (ODP tonnes)</w:t>
            </w:r>
          </w:p>
        </w:tc>
        <w:tc>
          <w:tcPr>
            <w:tcW w:w="482"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439"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28"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254</w:t>
            </w:r>
          </w:p>
        </w:tc>
        <w:tc>
          <w:tcPr>
            <w:tcW w:w="54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635</w:t>
            </w:r>
          </w:p>
        </w:tc>
        <w:tc>
          <w:tcPr>
            <w:tcW w:w="48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635</w:t>
            </w:r>
          </w:p>
        </w:tc>
        <w:tc>
          <w:tcPr>
            <w:tcW w:w="420"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597</w:t>
            </w:r>
          </w:p>
        </w:tc>
        <w:tc>
          <w:tcPr>
            <w:tcW w:w="376"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165</w:t>
            </w:r>
          </w:p>
        </w:tc>
      </w:tr>
      <w:tr w:rsidR="00E44F75" w:rsidRPr="0026329D" w:rsidTr="00665A83">
        <w:trPr>
          <w:cantSplit/>
          <w:trHeight w:val="35"/>
          <w:jc w:val="center"/>
        </w:trPr>
        <w:tc>
          <w:tcPr>
            <w:tcW w:w="1730" w:type="pct"/>
            <w:shd w:val="clear" w:color="auto" w:fill="auto"/>
            <w:vAlign w:val="center"/>
          </w:tcPr>
          <w:p w:rsidR="00E44F75" w:rsidRPr="0026329D" w:rsidRDefault="00E44F75" w:rsidP="00665A83">
            <w:pPr>
              <w:tabs>
                <w:tab w:val="left" w:pos="720"/>
              </w:tabs>
              <w:autoSpaceDE w:val="0"/>
              <w:autoSpaceDN w:val="0"/>
              <w:adjustRightInd w:val="0"/>
              <w:ind w:right="18"/>
              <w:jc w:val="left"/>
              <w:rPr>
                <w:b/>
                <w:sz w:val="20"/>
                <w:szCs w:val="20"/>
                <w:lang w:val="en-CA"/>
              </w:rPr>
            </w:pPr>
            <w:r w:rsidRPr="0026329D">
              <w:rPr>
                <w:b/>
                <w:sz w:val="20"/>
                <w:szCs w:val="20"/>
                <w:lang w:val="en-CA"/>
              </w:rPr>
              <w:t>Reduction from starting point (%)</w:t>
            </w:r>
          </w:p>
        </w:tc>
        <w:tc>
          <w:tcPr>
            <w:tcW w:w="482"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439"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28"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20</w:t>
            </w:r>
          </w:p>
        </w:tc>
        <w:tc>
          <w:tcPr>
            <w:tcW w:w="54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45</w:t>
            </w:r>
          </w:p>
        </w:tc>
        <w:tc>
          <w:tcPr>
            <w:tcW w:w="483"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70</w:t>
            </w:r>
          </w:p>
        </w:tc>
        <w:tc>
          <w:tcPr>
            <w:tcW w:w="420"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94</w:t>
            </w:r>
          </w:p>
        </w:tc>
        <w:tc>
          <w:tcPr>
            <w:tcW w:w="376" w:type="pct"/>
            <w:shd w:val="clear" w:color="auto" w:fill="auto"/>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100</w:t>
            </w:r>
          </w:p>
        </w:tc>
      </w:tr>
    </w:tbl>
    <w:p w:rsidR="00E44F75" w:rsidRPr="0026329D" w:rsidRDefault="00E44F75" w:rsidP="00E44F75">
      <w:pPr>
        <w:rPr>
          <w:u w:val="single"/>
          <w:lang w:val="en-CA"/>
        </w:rPr>
      </w:pPr>
    </w:p>
    <w:p w:rsidR="00E44F75" w:rsidRPr="0026329D" w:rsidRDefault="00E44F75" w:rsidP="00E44F75">
      <w:pPr>
        <w:rPr>
          <w:u w:val="single"/>
          <w:lang w:val="en-CA"/>
        </w:rPr>
      </w:pPr>
      <w:r w:rsidRPr="0026329D">
        <w:rPr>
          <w:u w:val="single"/>
          <w:lang w:val="en-CA"/>
        </w:rPr>
        <w:t>HCFC phase-out strategy for 2021-2026</w:t>
      </w:r>
    </w:p>
    <w:p w:rsidR="00E44F75" w:rsidRPr="0026329D" w:rsidRDefault="00E44F75" w:rsidP="00E44F75">
      <w:pPr>
        <w:rPr>
          <w:lang w:val="en-CA"/>
        </w:rPr>
      </w:pPr>
    </w:p>
    <w:p w:rsidR="00E44F75" w:rsidRPr="0026329D" w:rsidRDefault="00A81DEE" w:rsidP="00E44F75">
      <w:pPr>
        <w:pStyle w:val="Heading1"/>
        <w:rPr>
          <w:lang w:val="en-CA"/>
        </w:rPr>
      </w:pPr>
      <w:r w:rsidRPr="0026329D">
        <w:rPr>
          <w:lang w:val="en-CA"/>
        </w:rPr>
        <w:t>Stage </w:t>
      </w:r>
      <w:r w:rsidR="00E44F75" w:rsidRPr="0026329D">
        <w:rPr>
          <w:lang w:val="en-CA"/>
        </w:rPr>
        <w:t xml:space="preserve">II of the XPS foam sector plan originally estimated providing assistance to 124 enterprises to phase out 1,265 ODP tonnes of HCFCs, while the remaining HCFC consumption </w:t>
      </w:r>
      <w:r w:rsidR="00242C87" w:rsidRPr="0026329D">
        <w:rPr>
          <w:lang w:val="en-CA"/>
        </w:rPr>
        <w:t xml:space="preserve">in the sector </w:t>
      </w:r>
      <w:r w:rsidR="00E44F75" w:rsidRPr="0026329D">
        <w:rPr>
          <w:lang w:val="en-CA"/>
        </w:rPr>
        <w:t>would be phased out by non</w:t>
      </w:r>
      <w:r w:rsidR="00E44F75" w:rsidRPr="0026329D">
        <w:rPr>
          <w:lang w:val="en-CA"/>
        </w:rPr>
        <w:noBreakHyphen/>
        <w:t>assisted enterprises. The revised plan sets out to directly assist a total of 21 enterprises (10 from ongoing projects from previous tranches and an additional 11 proposed in the plan of action) to phase out 466.32 ODP tonnes, while the remaining consumption would be phased out by non-assisted enterprises. The sector plan will be supported by policy, TA and a PMU.</w:t>
      </w:r>
    </w:p>
    <w:p w:rsidR="00E44F75" w:rsidRPr="0026329D" w:rsidRDefault="00E44F75" w:rsidP="00E44F75">
      <w:pPr>
        <w:pStyle w:val="Heading1"/>
        <w:rPr>
          <w:lang w:val="en-CA"/>
        </w:rPr>
      </w:pPr>
      <w:r w:rsidRPr="0026329D">
        <w:rPr>
          <w:lang w:val="en-CA"/>
        </w:rPr>
        <w:t>Accordingly, the revised plan of action for the XPS foam sector plan will comprise four groups of activities: policy and regulatory interventions to ensure timely and sustainable phase-out of HCFCs; an investment component to assist enterprises with conversions; TA to strengthen the technical capacity of the industry and to promote the adoption of low-global-warming potential (GWP) alternatives; and project management.</w:t>
      </w:r>
    </w:p>
    <w:p w:rsidR="00E44F75" w:rsidRPr="0026329D" w:rsidRDefault="00E44F75" w:rsidP="00E44F75">
      <w:pPr>
        <w:keepNext/>
        <w:keepLines/>
        <w:tabs>
          <w:tab w:val="num" w:pos="0"/>
        </w:tabs>
        <w:overflowPunct w:val="0"/>
        <w:autoSpaceDE w:val="0"/>
        <w:autoSpaceDN w:val="0"/>
        <w:adjustRightInd w:val="0"/>
        <w:spacing w:beforeLines="50" w:before="120" w:afterLines="50" w:after="120"/>
        <w:ind w:left="360" w:hanging="360"/>
        <w:jc w:val="left"/>
        <w:textAlignment w:val="baseline"/>
        <w:outlineLvl w:val="2"/>
        <w:rPr>
          <w:i/>
          <w:lang w:val="en-CA"/>
        </w:rPr>
      </w:pPr>
      <w:r w:rsidRPr="0026329D">
        <w:rPr>
          <w:i/>
          <w:lang w:val="en-CA"/>
        </w:rPr>
        <w:t>Policy and regulatory interventions</w:t>
      </w:r>
    </w:p>
    <w:p w:rsidR="00E44F75" w:rsidRPr="0026329D" w:rsidRDefault="00E44F75" w:rsidP="00E44F75">
      <w:pPr>
        <w:pStyle w:val="Heading1"/>
        <w:rPr>
          <w:lang w:val="en-CA"/>
        </w:rPr>
      </w:pPr>
      <w:r w:rsidRPr="0026329D">
        <w:rPr>
          <w:lang w:val="en-CA"/>
        </w:rPr>
        <w:t xml:space="preserve">The Government will introduce supporting policies and regulations into the existing ODS regulatory framework, in order to: ensure that the consumption of HCFCs in the XPS foam sector is reduced as scheduled; provide incentives for enterprises to phase out HCFCs and adopt environmentally friendly alternatives; promote the development and penetration of substitute technologies; ensure that the growth of the sector is not negatively affected by conversion activities; and </w:t>
      </w:r>
      <w:r w:rsidR="000B29ED" w:rsidRPr="0026329D">
        <w:rPr>
          <w:lang w:val="en-CA"/>
        </w:rPr>
        <w:t>achieve</w:t>
      </w:r>
      <w:r w:rsidRPr="0026329D">
        <w:rPr>
          <w:lang w:val="en-CA"/>
        </w:rPr>
        <w:t xml:space="preserve"> the sustainable reduction of ODS in the XPS foam sector.</w:t>
      </w:r>
    </w:p>
    <w:p w:rsidR="00E44F75" w:rsidRPr="0026329D" w:rsidRDefault="00E44F75" w:rsidP="00E44F75">
      <w:pPr>
        <w:pStyle w:val="Heading1"/>
        <w:rPr>
          <w:lang w:val="en-CA"/>
        </w:rPr>
      </w:pPr>
      <w:r w:rsidRPr="0026329D">
        <w:rPr>
          <w:lang w:val="en-CA"/>
        </w:rPr>
        <w:t>Additional consumption control measures, to be introduced in due time, include: issuance of a ban on the use of HCFCs in the XPS foam sector from 1 January 2026; issuance of recording rules for all enterprises involved in the sale and trade of HCFCs that report to the Ecology and Environment Bureaus (EEBs); updated guidelines on technologies alternative to HCFCs; revision of the catalogue and recommendations for alternative technologies to HCFCs; and revision of the technical standards on XPS foam products to ensure performance with alternative technologies.</w:t>
      </w:r>
    </w:p>
    <w:p w:rsidR="00E44F75" w:rsidRPr="0026329D" w:rsidRDefault="00E44F75" w:rsidP="00E44F75">
      <w:pPr>
        <w:rPr>
          <w:i/>
          <w:lang w:val="en-CA"/>
        </w:rPr>
      </w:pPr>
      <w:r w:rsidRPr="0026329D">
        <w:rPr>
          <w:i/>
          <w:lang w:val="en-CA"/>
        </w:rPr>
        <w:t>Investment projects</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A total funding of </w:t>
      </w:r>
      <w:r w:rsidR="00475A50" w:rsidRPr="0026329D">
        <w:rPr>
          <w:lang w:val="en-CA"/>
        </w:rPr>
        <w:t>US $</w:t>
      </w:r>
      <w:r w:rsidRPr="0026329D">
        <w:rPr>
          <w:lang w:val="en-CA"/>
        </w:rPr>
        <w:t>16,127,957 allocated to investment activities for the period 2021-2026 will be used to ensure that small and medium-sized enterprises (SMEs) can procure the main equipment of one production line and the necessary safety retrofit, and that large enterprises can procure the main equipment of one to two production lines and the necessary safety retrofit. Counterpart funding will be required to purchase auxiliary equipment and other supporting facilities.</w:t>
      </w:r>
    </w:p>
    <w:p w:rsidR="00E44F75" w:rsidRPr="0026329D" w:rsidRDefault="00E44F75" w:rsidP="00E44F75">
      <w:pPr>
        <w:pStyle w:val="Heading1"/>
        <w:rPr>
          <w:lang w:val="en-CA"/>
        </w:rPr>
      </w:pPr>
      <w:r w:rsidRPr="0026329D">
        <w:rPr>
          <w:lang w:val="en-CA"/>
        </w:rPr>
        <w:t>In accordance with the above principles, by lowering average cost-effectiveness for individual sub</w:t>
      </w:r>
      <w:r w:rsidRPr="0026329D">
        <w:rPr>
          <w:lang w:val="en-CA"/>
        </w:rPr>
        <w:noBreakHyphen/>
        <w:t>projects and encouraging enterprises to increase their co-financing, 11 individual sub-projects that have passed the financial verification will be proposed to sign the phase-out sub-contracts as the funding tranches are approved.</w:t>
      </w:r>
    </w:p>
    <w:p w:rsidR="00E44F75" w:rsidRPr="0026329D" w:rsidRDefault="00E44F75" w:rsidP="00E44F75">
      <w:pPr>
        <w:pStyle w:val="Heading1"/>
        <w:rPr>
          <w:lang w:val="en-CA"/>
        </w:rPr>
      </w:pPr>
      <w:r w:rsidRPr="0026329D">
        <w:rPr>
          <w:lang w:val="en-CA"/>
        </w:rPr>
        <w:t>Optimized carbon dioxide (CO</w:t>
      </w:r>
      <w:r w:rsidRPr="0026329D">
        <w:rPr>
          <w:vertAlign w:val="subscript"/>
          <w:lang w:val="en-CA"/>
        </w:rPr>
        <w:t>2</w:t>
      </w:r>
      <w:r w:rsidRPr="0026329D">
        <w:rPr>
          <w:lang w:val="en-CA"/>
        </w:rPr>
        <w:t xml:space="preserve">) co-blowing technology was selected for </w:t>
      </w:r>
      <w:r w:rsidR="00A81DEE" w:rsidRPr="0026329D">
        <w:rPr>
          <w:lang w:val="en-CA"/>
        </w:rPr>
        <w:t>stage </w:t>
      </w:r>
      <w:r w:rsidRPr="0026329D">
        <w:rPr>
          <w:lang w:val="en-CA"/>
        </w:rPr>
        <w:t xml:space="preserve">II of the HPMP in the XPS foam sector. The revised plan of action does not include any change </w:t>
      </w:r>
      <w:r w:rsidR="000B29ED" w:rsidRPr="0026329D">
        <w:rPr>
          <w:lang w:val="en-CA"/>
        </w:rPr>
        <w:t>of</w:t>
      </w:r>
      <w:r w:rsidRPr="0026329D">
        <w:rPr>
          <w:lang w:val="en-CA"/>
        </w:rPr>
        <w:t xml:space="preserve"> the technology selected when </w:t>
      </w:r>
      <w:r w:rsidR="00A81DEE" w:rsidRPr="0026329D">
        <w:rPr>
          <w:lang w:val="en-CA"/>
        </w:rPr>
        <w:t>stage </w:t>
      </w:r>
      <w:r w:rsidRPr="0026329D">
        <w:rPr>
          <w:lang w:val="en-CA"/>
        </w:rPr>
        <w:t>II of the HPMP was approved. XPS foam with low density, high thermal insulation, high flame retardancy and excellent physical properties will continue to be produced using CO</w:t>
      </w:r>
      <w:r w:rsidRPr="0026329D">
        <w:rPr>
          <w:vertAlign w:val="subscript"/>
          <w:lang w:val="en-CA"/>
        </w:rPr>
        <w:t>2</w:t>
      </w:r>
      <w:r w:rsidRPr="0026329D">
        <w:rPr>
          <w:lang w:val="en-CA"/>
        </w:rPr>
        <w:t xml:space="preserve"> as the main blowing agent. When the thickness of the product is more than 60 mm, one or two other blowing agents with zero ODP, low GWP, low molecular weight, moderate boiling point and high solubility will be added (i.e., alcohol as the second blowing agent, and HFC-152a as the third blowing agent when needed).</w:t>
      </w:r>
    </w:p>
    <w:p w:rsidR="00E44F75" w:rsidRPr="0026329D" w:rsidRDefault="00E44F75" w:rsidP="00E44F75">
      <w:pPr>
        <w:rPr>
          <w:i/>
          <w:lang w:val="en-CA"/>
        </w:rPr>
      </w:pPr>
      <w:r w:rsidRPr="0026329D">
        <w:rPr>
          <w:i/>
          <w:lang w:val="en-CA"/>
        </w:rPr>
        <w:t>TA</w:t>
      </w:r>
    </w:p>
    <w:p w:rsidR="00E44F75" w:rsidRPr="0026329D" w:rsidRDefault="00E44F75" w:rsidP="00E44F75">
      <w:pPr>
        <w:rPr>
          <w:i/>
          <w:u w:val="single"/>
          <w:lang w:val="en-CA"/>
        </w:rPr>
      </w:pPr>
    </w:p>
    <w:p w:rsidR="00E44F75" w:rsidRPr="0026329D" w:rsidRDefault="00A81DEE" w:rsidP="00E44F75">
      <w:pPr>
        <w:pStyle w:val="Heading1"/>
        <w:rPr>
          <w:lang w:val="en-CA"/>
        </w:rPr>
      </w:pPr>
      <w:r w:rsidRPr="0026329D">
        <w:rPr>
          <w:lang w:val="en-CA"/>
        </w:rPr>
        <w:t>Stage </w:t>
      </w:r>
      <w:r w:rsidR="00E44F75" w:rsidRPr="0026329D">
        <w:rPr>
          <w:lang w:val="en-CA"/>
        </w:rPr>
        <w:t>II of the XPS foam sector plan will continue to carry out TA activities in the period 2021</w:t>
      </w:r>
      <w:r w:rsidR="00E44F75" w:rsidRPr="0026329D">
        <w:rPr>
          <w:lang w:val="en-CA"/>
        </w:rPr>
        <w:noBreakHyphen/>
        <w:t>2026, particularly at smaller enterprises, to support the uptake of technologies in conversions and to raise awareness among relevant stakeholders about HCFC phase</w:t>
      </w:r>
      <w:r w:rsidR="00E44F75" w:rsidRPr="0026329D">
        <w:rPr>
          <w:lang w:val="en-CA"/>
        </w:rPr>
        <w:noBreakHyphen/>
        <w:t xml:space="preserve">out, alternatives and technical options. The preliminary list of TA activities, at a cost of </w:t>
      </w:r>
      <w:r w:rsidR="00475A50" w:rsidRPr="0026329D">
        <w:rPr>
          <w:lang w:val="en-CA"/>
        </w:rPr>
        <w:t>US $</w:t>
      </w:r>
      <w:r w:rsidR="00E44F75" w:rsidRPr="0026329D">
        <w:rPr>
          <w:lang w:val="en-CA"/>
        </w:rPr>
        <w:t>1,387,291, and subject to review and updates in the course of implementation, is provided below:</w:t>
      </w:r>
    </w:p>
    <w:p w:rsidR="00E44F75" w:rsidRPr="0026329D" w:rsidRDefault="00E44F75" w:rsidP="00E44F75">
      <w:pPr>
        <w:pStyle w:val="Heading2"/>
        <w:rPr>
          <w:lang w:val="en-CA"/>
        </w:rPr>
      </w:pPr>
      <w:r w:rsidRPr="0026329D">
        <w:rPr>
          <w:i/>
          <w:lang w:val="en-CA"/>
        </w:rPr>
        <w:t>Monitoring, supervision and capacity-building:</w:t>
      </w:r>
      <w:r w:rsidRPr="0026329D">
        <w:rPr>
          <w:lang w:val="en-CA"/>
        </w:rPr>
        <w:t xml:space="preserve"> conducted by FECO and the EEBs to prevent the illegal resurgence of HCFCs in main provinces and cities where XPS foam enterprises are concentrated; approval of the residual blowing agent standard by the National Standards Committee to be used as a basis for law enforcement by EEBs; training provided to EEB officers on policies and industry</w:t>
      </w:r>
      <w:r w:rsidRPr="0026329D">
        <w:rPr>
          <w:lang w:val="en-CA"/>
        </w:rPr>
        <w:noBreakHyphen/>
        <w:t>related technical and safety issues (</w:t>
      </w:r>
      <w:r w:rsidR="00475A50" w:rsidRPr="0026329D">
        <w:rPr>
          <w:lang w:val="en-CA"/>
        </w:rPr>
        <w:t>US $</w:t>
      </w:r>
      <w:r w:rsidRPr="0026329D">
        <w:rPr>
          <w:lang w:val="en-CA"/>
        </w:rPr>
        <w:t>270,000);</w:t>
      </w:r>
    </w:p>
    <w:p w:rsidR="00E44F75" w:rsidRPr="0026329D" w:rsidRDefault="00E44F75" w:rsidP="00E44F75">
      <w:pPr>
        <w:pStyle w:val="Heading2"/>
        <w:rPr>
          <w:lang w:val="en-CA"/>
        </w:rPr>
      </w:pPr>
      <w:r w:rsidRPr="0026329D">
        <w:rPr>
          <w:i/>
          <w:lang w:val="en-CA"/>
        </w:rPr>
        <w:t xml:space="preserve">Training and technical support: </w:t>
      </w:r>
      <w:r w:rsidRPr="0026329D">
        <w:rPr>
          <w:lang w:val="en-CA"/>
        </w:rPr>
        <w:t>as the XPS foam sector is dominated by SMEs with relatively limited technical and management capabilities, relevant institutions will be hired to assist SMEs in technical formulas, selection of equipment, on-site start-up technology demonstrations, product testing, and safety adaptations, when required (</w:t>
      </w:r>
      <w:r w:rsidR="00475A50" w:rsidRPr="0026329D">
        <w:rPr>
          <w:lang w:val="en-CA"/>
        </w:rPr>
        <w:t>US $</w:t>
      </w:r>
      <w:r w:rsidRPr="0026329D">
        <w:rPr>
          <w:lang w:val="en-CA"/>
        </w:rPr>
        <w:t>250,000);</w:t>
      </w:r>
    </w:p>
    <w:p w:rsidR="00E44F75" w:rsidRPr="0026329D" w:rsidRDefault="00E44F75" w:rsidP="00E44F75">
      <w:pPr>
        <w:pStyle w:val="Heading2"/>
        <w:rPr>
          <w:lang w:val="en-CA"/>
        </w:rPr>
      </w:pPr>
      <w:r w:rsidRPr="0026329D">
        <w:rPr>
          <w:i/>
          <w:lang w:val="en-CA"/>
        </w:rPr>
        <w:t>Optimization and evaluation of equipment and technologies:</w:t>
      </w:r>
      <w:r w:rsidRPr="0026329D">
        <w:rPr>
          <w:lang w:val="en-CA"/>
        </w:rPr>
        <w:t xml:space="preserve"> research on the optimization of formulations, including the use of heat-gluing technology to resolve technical issues associated to the production of thick XPS foam and avoid the use of adhesives (classified as volatile organic compounds) by SMEs when producing thick XPS foam (</w:t>
      </w:r>
      <w:r w:rsidR="00475A50" w:rsidRPr="0026329D">
        <w:rPr>
          <w:lang w:val="en-CA"/>
        </w:rPr>
        <w:t>US $</w:t>
      </w:r>
      <w:r w:rsidRPr="0026329D">
        <w:rPr>
          <w:lang w:val="en-CA"/>
        </w:rPr>
        <w:t>340,000);</w:t>
      </w:r>
    </w:p>
    <w:p w:rsidR="00E44F75" w:rsidRPr="0026329D" w:rsidRDefault="00E44F75" w:rsidP="00E44F75">
      <w:pPr>
        <w:pStyle w:val="Heading2"/>
        <w:rPr>
          <w:lang w:val="en-CA"/>
        </w:rPr>
      </w:pPr>
      <w:r w:rsidRPr="0026329D">
        <w:rPr>
          <w:i/>
          <w:lang w:val="en-CA"/>
        </w:rPr>
        <w:t>Preparation of an impact assessment for the ban on the use of HCFCs in the XPS foam sector:</w:t>
      </w:r>
      <w:r w:rsidRPr="0026329D">
        <w:rPr>
          <w:lang w:val="en-CA"/>
        </w:rPr>
        <w:t xml:space="preserve"> preparation of the environmental, economic and social impact assessment for the Ministry of Ecology and Environment (MEE) to consider approval and issuance of the ban on the use of HCFCs in the XPS foam sector. </w:t>
      </w:r>
      <w:r w:rsidR="00242C87" w:rsidRPr="0026329D">
        <w:rPr>
          <w:lang w:val="en-CA"/>
        </w:rPr>
        <w:t xml:space="preserve">It </w:t>
      </w:r>
      <w:r w:rsidRPr="0026329D">
        <w:rPr>
          <w:lang w:val="en-CA"/>
        </w:rPr>
        <w:t>involves reviewing the progress in HCFC phase-out, assessing remaining usage in the sector, and identifying further measures to ensure sustainable phase-out (</w:t>
      </w:r>
      <w:r w:rsidR="00475A50" w:rsidRPr="0026329D">
        <w:rPr>
          <w:lang w:val="en-CA"/>
        </w:rPr>
        <w:t>US $</w:t>
      </w:r>
      <w:r w:rsidRPr="0026329D">
        <w:rPr>
          <w:lang w:val="en-CA"/>
        </w:rPr>
        <w:t>50,000);</w:t>
      </w:r>
    </w:p>
    <w:p w:rsidR="00E44F75" w:rsidRPr="0026329D" w:rsidRDefault="00E44F75" w:rsidP="00E44F75">
      <w:pPr>
        <w:pStyle w:val="Heading2"/>
        <w:rPr>
          <w:lang w:val="en-CA"/>
        </w:rPr>
      </w:pPr>
      <w:r w:rsidRPr="0026329D">
        <w:rPr>
          <w:i/>
          <w:lang w:val="en-CA"/>
        </w:rPr>
        <w:t xml:space="preserve">Formulation and revision of technical standards: </w:t>
      </w:r>
      <w:r w:rsidRPr="0026329D">
        <w:rPr>
          <w:lang w:val="en-CA"/>
        </w:rPr>
        <w:t>including test method standard and product standard, the "XPS foam for foundation insulation prior to floor heating" standard will be considered for development to improve the XPS foam product in several major applications (</w:t>
      </w:r>
      <w:r w:rsidR="00475A50" w:rsidRPr="0026329D">
        <w:rPr>
          <w:lang w:val="en-CA"/>
        </w:rPr>
        <w:t>US $</w:t>
      </w:r>
      <w:r w:rsidRPr="0026329D">
        <w:rPr>
          <w:lang w:val="en-CA"/>
        </w:rPr>
        <w:t>87,291);</w:t>
      </w:r>
    </w:p>
    <w:p w:rsidR="00E44F75" w:rsidRPr="0026329D" w:rsidRDefault="00E44F75" w:rsidP="00E44F75">
      <w:pPr>
        <w:pStyle w:val="Heading2"/>
        <w:rPr>
          <w:lang w:val="en-CA"/>
        </w:rPr>
      </w:pPr>
      <w:r w:rsidRPr="0026329D">
        <w:rPr>
          <w:i/>
          <w:lang w:val="en-CA"/>
        </w:rPr>
        <w:t>Performance verification:</w:t>
      </w:r>
      <w:r w:rsidRPr="0026329D">
        <w:rPr>
          <w:lang w:val="en-CA"/>
        </w:rPr>
        <w:t xml:space="preserve"> the implementation support agency (ISA) will continue to assist FECO in providing safety, supervision, verification, acceptance and technical guidance to the sub</w:t>
      </w:r>
      <w:r w:rsidRPr="0026329D">
        <w:rPr>
          <w:lang w:val="en-CA"/>
        </w:rPr>
        <w:noBreakHyphen/>
        <w:t>project at the technical level; and an independent accounting firm will check financial information during project implementation (</w:t>
      </w:r>
      <w:r w:rsidR="00475A50" w:rsidRPr="0026329D">
        <w:rPr>
          <w:lang w:val="en-CA"/>
        </w:rPr>
        <w:t>US $</w:t>
      </w:r>
      <w:r w:rsidRPr="0026329D">
        <w:rPr>
          <w:lang w:val="en-CA"/>
        </w:rPr>
        <w:t>330,000);</w:t>
      </w:r>
    </w:p>
    <w:p w:rsidR="00E44F75" w:rsidRPr="0026329D" w:rsidRDefault="00E44F75" w:rsidP="00E44F75">
      <w:pPr>
        <w:pStyle w:val="Heading2"/>
        <w:rPr>
          <w:lang w:val="en-CA"/>
        </w:rPr>
      </w:pPr>
      <w:r w:rsidRPr="0026329D">
        <w:rPr>
          <w:i/>
          <w:lang w:val="en-CA"/>
        </w:rPr>
        <w:t>Study tours on technologies alternative to HCFCs:</w:t>
      </w:r>
      <w:r w:rsidRPr="0026329D">
        <w:rPr>
          <w:lang w:val="en-CA"/>
        </w:rPr>
        <w:t xml:space="preserve"> to facilitate sharing information on policy and alternative technologies between foam enterprises, industrial associations, and research institutes and their counterparts in other countries (</w:t>
      </w:r>
      <w:r w:rsidR="00475A50" w:rsidRPr="0026329D">
        <w:rPr>
          <w:lang w:val="en-CA"/>
        </w:rPr>
        <w:t>US $</w:t>
      </w:r>
      <w:r w:rsidRPr="0026329D">
        <w:rPr>
          <w:lang w:val="en-CA"/>
        </w:rPr>
        <w:t>50,000); and</w:t>
      </w:r>
    </w:p>
    <w:p w:rsidR="00E44F75" w:rsidRPr="0026329D" w:rsidRDefault="00E44F75" w:rsidP="00E44F75">
      <w:pPr>
        <w:pStyle w:val="Heading2"/>
        <w:rPr>
          <w:lang w:val="en-CA"/>
        </w:rPr>
      </w:pPr>
      <w:r w:rsidRPr="0026329D">
        <w:rPr>
          <w:i/>
          <w:lang w:val="en-CA"/>
        </w:rPr>
        <w:t>Technical consulting service:</w:t>
      </w:r>
      <w:r w:rsidRPr="0026329D">
        <w:rPr>
          <w:lang w:val="en-CA"/>
        </w:rPr>
        <w:t xml:space="preserve"> support by technical and safety experts during the implementation of the sector plan’s policies, alternative technologies, and equipment, and delivery of technical presentations at the training workshops and seminars (</w:t>
      </w:r>
      <w:r w:rsidR="00475A50" w:rsidRPr="0026329D">
        <w:rPr>
          <w:lang w:val="en-CA"/>
        </w:rPr>
        <w:t>US $</w:t>
      </w:r>
      <w:r w:rsidRPr="0026329D">
        <w:rPr>
          <w:lang w:val="en-CA"/>
        </w:rPr>
        <w:t>10,000).</w:t>
      </w:r>
    </w:p>
    <w:p w:rsidR="00E44F75" w:rsidRPr="0026329D" w:rsidRDefault="00E44F75" w:rsidP="00E44F75">
      <w:pPr>
        <w:rPr>
          <w:i/>
          <w:lang w:val="en-CA"/>
        </w:rPr>
      </w:pPr>
      <w:r w:rsidRPr="0026329D">
        <w:rPr>
          <w:i/>
          <w:lang w:val="en-CA"/>
        </w:rPr>
        <w:t>PMU</w:t>
      </w:r>
    </w:p>
    <w:p w:rsidR="00E44F75" w:rsidRPr="0026329D" w:rsidRDefault="00E44F75" w:rsidP="00E44F75">
      <w:pPr>
        <w:rPr>
          <w:i/>
          <w:u w:val="single"/>
          <w:lang w:val="en-CA"/>
        </w:rPr>
      </w:pPr>
    </w:p>
    <w:p w:rsidR="00E44F75" w:rsidRPr="0026329D" w:rsidRDefault="00E44F75" w:rsidP="00E44F75">
      <w:pPr>
        <w:pStyle w:val="Heading1"/>
        <w:rPr>
          <w:lang w:val="en-CA"/>
        </w:rPr>
      </w:pPr>
      <w:r w:rsidRPr="0026329D">
        <w:rPr>
          <w:lang w:val="en-CA"/>
        </w:rPr>
        <w:t>The PMU (</w:t>
      </w:r>
      <w:r w:rsidR="00475A50" w:rsidRPr="0026329D">
        <w:rPr>
          <w:lang w:val="en-CA"/>
        </w:rPr>
        <w:t>US $</w:t>
      </w:r>
      <w:r w:rsidRPr="0026329D">
        <w:rPr>
          <w:lang w:val="en-CA"/>
        </w:rPr>
        <w:t>1,019,406) will continue to manage and monitor project implementation between 2021 and 2026. PMU activities include: monitoring implementation of sub-grant agreements and TA activities; organizing and participating in verifications undertaken by ISA, evaluation meetings, and project commissioning; reviewing project documents submitted by beneficiaries and processing contract performance; communicating and coordinating with implementing agencies, ISA, technical experts and other stakeholders on project implementation; designing TA activities, developing terms of reference and selecting qualified implementing agencies; and preparing work plans, progress reports and other documents as required.</w:t>
      </w:r>
    </w:p>
    <w:p w:rsidR="00E44F75" w:rsidRPr="0026329D" w:rsidRDefault="00E44F75" w:rsidP="00E44F75">
      <w:pPr>
        <w:pStyle w:val="Heading1"/>
        <w:rPr>
          <w:lang w:val="en-CA"/>
        </w:rPr>
      </w:pPr>
      <w:r w:rsidRPr="0026329D">
        <w:rPr>
          <w:lang w:val="en-CA"/>
        </w:rPr>
        <w:t>Besides the routine management of sub-projects, the PMU will undertake more responsibilities in the area of communications and cooperation through coordination meetings with policy makers and industry to discuss HCFC phase-out progress, policy measures and actions to promote the penetration of alternative technologies; providing the MEE, local EEBs and other ministries with technical support based on the latest sector information, assisting in the development of regulations and plans related to ODS management for XPS foam enterprises on a local level; and providing technical support and input for the monitoring and supervision activities organized by the MEE and local EEBs.</w:t>
      </w:r>
    </w:p>
    <w:p w:rsidR="00E44F75" w:rsidRPr="0026329D" w:rsidRDefault="00E44F75" w:rsidP="00081B71">
      <w:pPr>
        <w:pStyle w:val="Heading1"/>
        <w:keepNext/>
        <w:keepLines/>
        <w:numPr>
          <w:ilvl w:val="0"/>
          <w:numId w:val="0"/>
        </w:numPr>
        <w:rPr>
          <w:u w:val="single"/>
          <w:lang w:val="en-CA"/>
        </w:rPr>
      </w:pPr>
      <w:r w:rsidRPr="0026329D">
        <w:rPr>
          <w:u w:val="single"/>
          <w:lang w:val="en-CA"/>
        </w:rPr>
        <w:t xml:space="preserve">Total eligible incremental cost for </w:t>
      </w:r>
      <w:r w:rsidR="00A81DEE" w:rsidRPr="0026329D">
        <w:rPr>
          <w:u w:val="single"/>
          <w:lang w:val="en-CA"/>
        </w:rPr>
        <w:t>stage </w:t>
      </w:r>
      <w:r w:rsidRPr="0026329D">
        <w:rPr>
          <w:u w:val="single"/>
          <w:lang w:val="en-CA"/>
        </w:rPr>
        <w:t>II (2021-2026)</w:t>
      </w:r>
    </w:p>
    <w:p w:rsidR="00E44F75" w:rsidRPr="0026329D" w:rsidRDefault="00E44F75" w:rsidP="00081B71">
      <w:pPr>
        <w:pStyle w:val="Heading1"/>
        <w:keepNext/>
        <w:keepLines/>
        <w:rPr>
          <w:lang w:val="en-CA"/>
        </w:rPr>
      </w:pPr>
      <w:r w:rsidRPr="0026329D">
        <w:rPr>
          <w:lang w:val="en-CA"/>
        </w:rPr>
        <w:t xml:space="preserve">The Government of China allocated </w:t>
      </w:r>
      <w:r w:rsidR="00475A50" w:rsidRPr="0026329D">
        <w:rPr>
          <w:lang w:val="en-CA"/>
        </w:rPr>
        <w:t>US $</w:t>
      </w:r>
      <w:r w:rsidRPr="0026329D">
        <w:rPr>
          <w:lang w:val="en-CA"/>
        </w:rPr>
        <w:t xml:space="preserve">18,534,654 to the XPS foam sector plan for the period from 2021 to 2026, of which </w:t>
      </w:r>
      <w:r w:rsidR="00475A50" w:rsidRPr="0026329D">
        <w:rPr>
          <w:lang w:val="en-CA"/>
        </w:rPr>
        <w:t>US $</w:t>
      </w:r>
      <w:r w:rsidRPr="0026329D">
        <w:rPr>
          <w:lang w:val="en-CA"/>
        </w:rPr>
        <w:t xml:space="preserve">16,127,957 are allocated to the enterprise conversion activities, </w:t>
      </w:r>
      <w:r w:rsidR="00475A50" w:rsidRPr="0026329D">
        <w:rPr>
          <w:lang w:val="en-CA"/>
        </w:rPr>
        <w:t>US $</w:t>
      </w:r>
      <w:r w:rsidRPr="0026329D">
        <w:rPr>
          <w:lang w:val="en-CA"/>
        </w:rPr>
        <w:t xml:space="preserve">1,387,291 to TA activities and </w:t>
      </w:r>
      <w:r w:rsidR="00475A50" w:rsidRPr="0026329D">
        <w:rPr>
          <w:lang w:val="en-CA"/>
        </w:rPr>
        <w:t>US $</w:t>
      </w:r>
      <w:r w:rsidRPr="0026329D">
        <w:rPr>
          <w:lang w:val="en-CA"/>
        </w:rPr>
        <w:t>1,019,406 to the PMU.</w:t>
      </w:r>
    </w:p>
    <w:p w:rsidR="00E44F75" w:rsidRPr="0026329D" w:rsidRDefault="00E44F75" w:rsidP="00E44F75">
      <w:pPr>
        <w:pStyle w:val="Heading1"/>
        <w:numPr>
          <w:ilvl w:val="0"/>
          <w:numId w:val="0"/>
        </w:numPr>
        <w:rPr>
          <w:i/>
          <w:lang w:val="en-CA"/>
        </w:rPr>
      </w:pPr>
      <w:r w:rsidRPr="0026329D">
        <w:rPr>
          <w:i/>
          <w:lang w:val="en-CA"/>
        </w:rPr>
        <w:t>Incremental cost of enterprise conversions</w:t>
      </w:r>
    </w:p>
    <w:p w:rsidR="00E44F75" w:rsidRPr="0026329D" w:rsidRDefault="00E44F75" w:rsidP="00E44F75">
      <w:pPr>
        <w:pStyle w:val="Heading1"/>
        <w:rPr>
          <w:lang w:val="en-CA"/>
        </w:rPr>
      </w:pPr>
      <w:r w:rsidRPr="0026329D">
        <w:rPr>
          <w:lang w:val="en-CA"/>
        </w:rPr>
        <w:t xml:space="preserve">The methodology for calculating the conversion costs in the revised HPMP will be consistent with the approved HPMP in </w:t>
      </w:r>
      <w:r w:rsidR="00A81DEE" w:rsidRPr="0026329D">
        <w:rPr>
          <w:lang w:val="en-CA"/>
        </w:rPr>
        <w:t>stage </w:t>
      </w:r>
      <w:r w:rsidRPr="0026329D">
        <w:rPr>
          <w:lang w:val="en-CA"/>
        </w:rPr>
        <w:t>II. The total incremental capital costs (ICCs) for 11 enterprises are shown in Table 2.</w:t>
      </w:r>
    </w:p>
    <w:p w:rsidR="00E44F75" w:rsidRPr="0026329D" w:rsidRDefault="00E52946" w:rsidP="00E2305C">
      <w:pPr>
        <w:keepNext/>
        <w:keepLines/>
        <w:tabs>
          <w:tab w:val="num" w:pos="0"/>
          <w:tab w:val="num" w:pos="720"/>
          <w:tab w:val="num" w:pos="902"/>
        </w:tabs>
        <w:spacing w:after="20"/>
        <w:rPr>
          <w:b/>
          <w:lang w:val="en-CA"/>
        </w:rPr>
      </w:pPr>
      <w:r w:rsidRPr="0026329D">
        <w:rPr>
          <w:b/>
          <w:lang w:val="en-CA"/>
        </w:rPr>
        <w:t>Table </w:t>
      </w:r>
      <w:r w:rsidR="00E44F75" w:rsidRPr="0026329D">
        <w:rPr>
          <w:b/>
          <w:lang w:val="en-CA"/>
        </w:rPr>
        <w:t>2. Total ICCs for 11 enterprises (</w:t>
      </w:r>
      <w:r w:rsidR="00475A50" w:rsidRPr="0026329D">
        <w:rPr>
          <w:b/>
          <w:lang w:val="en-CA"/>
        </w:rPr>
        <w:t>US $</w:t>
      </w:r>
      <w:r w:rsidR="00E44F75" w:rsidRPr="0026329D">
        <w:rPr>
          <w:b/>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1575"/>
        <w:gridCol w:w="1575"/>
        <w:gridCol w:w="1575"/>
      </w:tblGrid>
      <w:tr w:rsidR="00E44F75" w:rsidRPr="0026329D" w:rsidTr="003927DC">
        <w:tc>
          <w:tcPr>
            <w:tcW w:w="2497" w:type="pct"/>
            <w:shd w:val="clear" w:color="auto" w:fill="auto"/>
            <w:vAlign w:val="center"/>
            <w:hideMark/>
          </w:tcPr>
          <w:p w:rsidR="00E44F75" w:rsidRPr="0026329D" w:rsidRDefault="00E44F75" w:rsidP="00E2305C">
            <w:pPr>
              <w:keepNext/>
              <w:keepLines/>
              <w:jc w:val="left"/>
              <w:rPr>
                <w:b/>
                <w:bCs/>
                <w:sz w:val="21"/>
                <w:szCs w:val="21"/>
                <w:lang w:val="en-CA"/>
              </w:rPr>
            </w:pPr>
            <w:bookmarkStart w:id="7" w:name="OLE_LINK1"/>
            <w:bookmarkStart w:id="8" w:name="OLE_LINK2"/>
            <w:r w:rsidRPr="0026329D">
              <w:rPr>
                <w:b/>
                <w:bCs/>
                <w:sz w:val="21"/>
                <w:szCs w:val="21"/>
                <w:lang w:val="en-CA"/>
              </w:rPr>
              <w:t>Item</w:t>
            </w:r>
          </w:p>
        </w:tc>
        <w:tc>
          <w:tcPr>
            <w:tcW w:w="834" w:type="pct"/>
            <w:shd w:val="clear" w:color="auto" w:fill="auto"/>
            <w:vAlign w:val="center"/>
            <w:hideMark/>
          </w:tcPr>
          <w:p w:rsidR="00E44F75" w:rsidRPr="0026329D" w:rsidRDefault="00E44F75" w:rsidP="00E2305C">
            <w:pPr>
              <w:keepNext/>
              <w:keepLines/>
              <w:jc w:val="center"/>
              <w:rPr>
                <w:b/>
                <w:bCs/>
                <w:sz w:val="21"/>
                <w:szCs w:val="21"/>
                <w:lang w:val="en-CA"/>
              </w:rPr>
            </w:pPr>
            <w:r w:rsidRPr="0026329D">
              <w:rPr>
                <w:b/>
                <w:bCs/>
                <w:sz w:val="21"/>
                <w:szCs w:val="21"/>
                <w:lang w:val="en-CA"/>
              </w:rPr>
              <w:t xml:space="preserve">Unit price </w:t>
            </w:r>
          </w:p>
        </w:tc>
        <w:tc>
          <w:tcPr>
            <w:tcW w:w="834" w:type="pct"/>
            <w:shd w:val="clear" w:color="auto" w:fill="auto"/>
            <w:vAlign w:val="center"/>
            <w:hideMark/>
          </w:tcPr>
          <w:p w:rsidR="00E44F75" w:rsidRPr="0026329D" w:rsidRDefault="00E44F75" w:rsidP="00E2305C">
            <w:pPr>
              <w:keepNext/>
              <w:keepLines/>
              <w:jc w:val="center"/>
              <w:rPr>
                <w:b/>
                <w:bCs/>
                <w:sz w:val="21"/>
                <w:szCs w:val="21"/>
                <w:lang w:val="en-CA"/>
              </w:rPr>
            </w:pPr>
            <w:r w:rsidRPr="0026329D">
              <w:rPr>
                <w:b/>
                <w:bCs/>
                <w:sz w:val="21"/>
                <w:szCs w:val="21"/>
                <w:lang w:val="en-CA"/>
              </w:rPr>
              <w:t>Number of units</w:t>
            </w:r>
          </w:p>
        </w:tc>
        <w:tc>
          <w:tcPr>
            <w:tcW w:w="834" w:type="pct"/>
            <w:shd w:val="clear" w:color="auto" w:fill="auto"/>
            <w:vAlign w:val="center"/>
            <w:hideMark/>
          </w:tcPr>
          <w:p w:rsidR="00E44F75" w:rsidRPr="0026329D" w:rsidRDefault="00A81DEE" w:rsidP="00E2305C">
            <w:pPr>
              <w:keepNext/>
              <w:keepLines/>
              <w:jc w:val="center"/>
              <w:rPr>
                <w:b/>
                <w:bCs/>
                <w:sz w:val="21"/>
                <w:szCs w:val="21"/>
                <w:lang w:val="en-CA"/>
              </w:rPr>
            </w:pPr>
            <w:r w:rsidRPr="0026329D">
              <w:rPr>
                <w:b/>
                <w:bCs/>
                <w:sz w:val="21"/>
                <w:szCs w:val="21"/>
                <w:lang w:val="en-CA"/>
              </w:rPr>
              <w:t>Sub-total</w:t>
            </w:r>
          </w:p>
        </w:tc>
      </w:tr>
      <w:tr w:rsidR="00E44F75" w:rsidRPr="0026329D" w:rsidTr="003927DC">
        <w:tc>
          <w:tcPr>
            <w:tcW w:w="2497" w:type="pct"/>
            <w:shd w:val="clear" w:color="auto" w:fill="auto"/>
            <w:vAlign w:val="center"/>
            <w:hideMark/>
          </w:tcPr>
          <w:p w:rsidR="00E44F75" w:rsidRPr="0026329D" w:rsidRDefault="00E44F75" w:rsidP="006D40F7">
            <w:pPr>
              <w:jc w:val="left"/>
              <w:rPr>
                <w:sz w:val="21"/>
                <w:szCs w:val="21"/>
                <w:lang w:val="en-CA"/>
              </w:rPr>
            </w:pPr>
            <w:r w:rsidRPr="0026329D">
              <w:rPr>
                <w:sz w:val="21"/>
                <w:szCs w:val="21"/>
                <w:lang w:val="en-CA"/>
              </w:rPr>
              <w:t xml:space="preserve">Extruders </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837,000</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13.1</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 xml:space="preserve">10,964,700 </w:t>
            </w:r>
          </w:p>
        </w:tc>
      </w:tr>
      <w:tr w:rsidR="00E44F75" w:rsidRPr="0026329D" w:rsidTr="003927DC">
        <w:tc>
          <w:tcPr>
            <w:tcW w:w="2497" w:type="pct"/>
            <w:shd w:val="clear" w:color="auto" w:fill="auto"/>
            <w:vAlign w:val="center"/>
            <w:hideMark/>
          </w:tcPr>
          <w:p w:rsidR="00E44F75" w:rsidRPr="0026329D" w:rsidRDefault="00E44F75" w:rsidP="006D40F7">
            <w:pPr>
              <w:jc w:val="left"/>
              <w:rPr>
                <w:sz w:val="21"/>
                <w:szCs w:val="21"/>
                <w:lang w:val="en-CA"/>
              </w:rPr>
            </w:pPr>
            <w:r w:rsidRPr="0026329D">
              <w:rPr>
                <w:sz w:val="21"/>
                <w:szCs w:val="21"/>
                <w:lang w:val="en-CA"/>
              </w:rPr>
              <w:t>Safety renovation</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202,600</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13.1</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2,654,060</w:t>
            </w:r>
          </w:p>
        </w:tc>
      </w:tr>
      <w:tr w:rsidR="00E44F75" w:rsidRPr="0026329D" w:rsidTr="003927DC">
        <w:tc>
          <w:tcPr>
            <w:tcW w:w="2497" w:type="pct"/>
            <w:shd w:val="clear" w:color="auto" w:fill="auto"/>
            <w:vAlign w:val="center"/>
            <w:hideMark/>
          </w:tcPr>
          <w:p w:rsidR="00E44F75" w:rsidRPr="0026329D" w:rsidRDefault="00E44F75" w:rsidP="006D40F7">
            <w:pPr>
              <w:jc w:val="left"/>
              <w:rPr>
                <w:sz w:val="21"/>
                <w:szCs w:val="21"/>
                <w:lang w:val="en-CA"/>
              </w:rPr>
            </w:pPr>
            <w:r w:rsidRPr="0026329D">
              <w:rPr>
                <w:sz w:val="21"/>
                <w:szCs w:val="21"/>
                <w:lang w:val="en-CA"/>
              </w:rPr>
              <w:t>Technical and safety training</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5,000</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11</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55,000</w:t>
            </w:r>
          </w:p>
        </w:tc>
      </w:tr>
      <w:tr w:rsidR="00E44F75" w:rsidRPr="0026329D" w:rsidTr="003927DC">
        <w:tc>
          <w:tcPr>
            <w:tcW w:w="2497" w:type="pct"/>
            <w:shd w:val="clear" w:color="auto" w:fill="auto"/>
            <w:vAlign w:val="bottom"/>
            <w:hideMark/>
          </w:tcPr>
          <w:p w:rsidR="00E44F75" w:rsidRPr="0026329D" w:rsidRDefault="00E44F75" w:rsidP="006D40F7">
            <w:pPr>
              <w:jc w:val="left"/>
              <w:rPr>
                <w:sz w:val="21"/>
                <w:szCs w:val="21"/>
                <w:lang w:val="en-CA"/>
              </w:rPr>
            </w:pPr>
            <w:r w:rsidRPr="0026329D">
              <w:rPr>
                <w:sz w:val="21"/>
                <w:szCs w:val="21"/>
                <w:lang w:val="en-CA"/>
              </w:rPr>
              <w:t>Technology transfer, trials, and safety certification</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20,000</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11</w:t>
            </w:r>
          </w:p>
        </w:tc>
        <w:tc>
          <w:tcPr>
            <w:tcW w:w="834" w:type="pct"/>
            <w:shd w:val="clear" w:color="auto" w:fill="auto"/>
            <w:tcMar>
              <w:left w:w="115" w:type="dxa"/>
              <w:right w:w="216" w:type="dxa"/>
            </w:tcMar>
            <w:hideMark/>
          </w:tcPr>
          <w:p w:rsidR="00E44F75" w:rsidRPr="0026329D" w:rsidRDefault="00E44F75" w:rsidP="006D40F7">
            <w:pPr>
              <w:jc w:val="right"/>
              <w:rPr>
                <w:sz w:val="21"/>
                <w:szCs w:val="21"/>
                <w:lang w:val="en-CA"/>
              </w:rPr>
            </w:pPr>
            <w:r w:rsidRPr="0026329D">
              <w:rPr>
                <w:sz w:val="21"/>
                <w:szCs w:val="21"/>
                <w:lang w:val="en-CA"/>
              </w:rPr>
              <w:t>220,000</w:t>
            </w:r>
          </w:p>
        </w:tc>
      </w:tr>
      <w:tr w:rsidR="00E44F75" w:rsidRPr="0026329D" w:rsidTr="003927DC">
        <w:tc>
          <w:tcPr>
            <w:tcW w:w="2497" w:type="pct"/>
            <w:shd w:val="clear" w:color="auto" w:fill="auto"/>
            <w:vAlign w:val="center"/>
            <w:hideMark/>
          </w:tcPr>
          <w:p w:rsidR="00E44F75" w:rsidRPr="0026329D" w:rsidRDefault="00E44F75" w:rsidP="006D40F7">
            <w:pPr>
              <w:rPr>
                <w:b/>
                <w:bCs/>
                <w:sz w:val="21"/>
                <w:szCs w:val="21"/>
                <w:lang w:val="en-CA"/>
              </w:rPr>
            </w:pPr>
            <w:r w:rsidRPr="0026329D">
              <w:rPr>
                <w:b/>
                <w:bCs/>
                <w:sz w:val="21"/>
                <w:szCs w:val="21"/>
                <w:lang w:val="en-CA"/>
              </w:rPr>
              <w:t>Total</w:t>
            </w:r>
          </w:p>
        </w:tc>
        <w:tc>
          <w:tcPr>
            <w:tcW w:w="834" w:type="pct"/>
            <w:shd w:val="clear" w:color="auto" w:fill="auto"/>
            <w:tcMar>
              <w:left w:w="115" w:type="dxa"/>
              <w:right w:w="216" w:type="dxa"/>
            </w:tcMar>
            <w:hideMark/>
          </w:tcPr>
          <w:p w:rsidR="00E44F75" w:rsidRPr="0026329D" w:rsidRDefault="00E44F75" w:rsidP="006D40F7">
            <w:pPr>
              <w:jc w:val="right"/>
              <w:rPr>
                <w:b/>
                <w:bCs/>
                <w:sz w:val="21"/>
                <w:szCs w:val="21"/>
                <w:lang w:val="en-CA"/>
              </w:rPr>
            </w:pPr>
          </w:p>
        </w:tc>
        <w:tc>
          <w:tcPr>
            <w:tcW w:w="834" w:type="pct"/>
            <w:shd w:val="clear" w:color="auto" w:fill="auto"/>
            <w:tcMar>
              <w:left w:w="115" w:type="dxa"/>
              <w:right w:w="216" w:type="dxa"/>
            </w:tcMar>
            <w:hideMark/>
          </w:tcPr>
          <w:p w:rsidR="00E44F75" w:rsidRPr="0026329D" w:rsidRDefault="00E44F75" w:rsidP="006D40F7">
            <w:pPr>
              <w:jc w:val="right"/>
              <w:rPr>
                <w:b/>
                <w:bCs/>
                <w:sz w:val="21"/>
                <w:szCs w:val="21"/>
                <w:lang w:val="en-CA"/>
              </w:rPr>
            </w:pPr>
          </w:p>
        </w:tc>
        <w:tc>
          <w:tcPr>
            <w:tcW w:w="834" w:type="pct"/>
            <w:shd w:val="clear" w:color="auto" w:fill="auto"/>
            <w:tcMar>
              <w:left w:w="115" w:type="dxa"/>
              <w:right w:w="216" w:type="dxa"/>
            </w:tcMar>
            <w:hideMark/>
          </w:tcPr>
          <w:p w:rsidR="00E44F75" w:rsidRPr="0026329D" w:rsidRDefault="00E44F75" w:rsidP="006D40F7">
            <w:pPr>
              <w:jc w:val="right"/>
              <w:rPr>
                <w:b/>
                <w:bCs/>
                <w:sz w:val="21"/>
                <w:szCs w:val="21"/>
                <w:lang w:val="en-CA"/>
              </w:rPr>
            </w:pPr>
            <w:r w:rsidRPr="0026329D">
              <w:rPr>
                <w:b/>
                <w:bCs/>
                <w:sz w:val="21"/>
                <w:szCs w:val="21"/>
                <w:lang w:val="en-CA"/>
              </w:rPr>
              <w:t>13,893,760</w:t>
            </w:r>
          </w:p>
        </w:tc>
      </w:tr>
    </w:tbl>
    <w:bookmarkEnd w:id="7"/>
    <w:bookmarkEnd w:id="8"/>
    <w:p w:rsidR="00E44F75" w:rsidRPr="0026329D" w:rsidRDefault="00E44F75" w:rsidP="002E42DE">
      <w:pPr>
        <w:pStyle w:val="Heading1"/>
        <w:rPr>
          <w:lang w:val="en-CA"/>
        </w:rPr>
      </w:pPr>
      <w:r w:rsidRPr="0026329D">
        <w:rPr>
          <w:lang w:val="en-CA"/>
        </w:rPr>
        <w:t xml:space="preserve">Incremental operational costs (IOCs) for the conversion of the 11 enterprises have been calculated at </w:t>
      </w:r>
      <w:r w:rsidR="00475A50" w:rsidRPr="0026329D">
        <w:rPr>
          <w:lang w:val="en-CA"/>
        </w:rPr>
        <w:t>US $</w:t>
      </w:r>
      <w:r w:rsidRPr="0026329D">
        <w:rPr>
          <w:lang w:val="en-CA"/>
        </w:rPr>
        <w:t xml:space="preserve">5,649,686, using the XPS foam sector IOC threshold of </w:t>
      </w:r>
      <w:r w:rsidR="00475A50" w:rsidRPr="0026329D">
        <w:rPr>
          <w:lang w:val="en-CA"/>
        </w:rPr>
        <w:t>US $</w:t>
      </w:r>
      <w:r w:rsidRPr="0026329D">
        <w:rPr>
          <w:lang w:val="en-CA"/>
        </w:rPr>
        <w:t xml:space="preserve">1.40/kg, applied to the 4,035.40 mt of HCFC to be phased out by the enterprises. </w:t>
      </w:r>
    </w:p>
    <w:p w:rsidR="00E44F75" w:rsidRPr="0026329D" w:rsidRDefault="00E44F75" w:rsidP="00E44F75">
      <w:pPr>
        <w:pStyle w:val="Heading1"/>
        <w:rPr>
          <w:lang w:val="en-CA"/>
        </w:rPr>
      </w:pPr>
      <w:r w:rsidRPr="0026329D">
        <w:rPr>
          <w:lang w:val="en-CA"/>
        </w:rPr>
        <w:t xml:space="preserve">Accordingly, the overall incremental cost for the 11 conversions was calculated at </w:t>
      </w:r>
      <w:r w:rsidR="00475A50" w:rsidRPr="0026329D">
        <w:rPr>
          <w:lang w:val="en-CA"/>
        </w:rPr>
        <w:t>US $</w:t>
      </w:r>
      <w:r w:rsidRPr="0026329D">
        <w:rPr>
          <w:lang w:val="en-CA"/>
        </w:rPr>
        <w:t xml:space="preserve">19,543,446. Due to the reduced funding allocated to the XPS foam sector, the level of funds allocated to investment activities is </w:t>
      </w:r>
      <w:r w:rsidR="00475A50" w:rsidRPr="0026329D">
        <w:rPr>
          <w:lang w:val="en-CA"/>
        </w:rPr>
        <w:t>US $</w:t>
      </w:r>
      <w:r w:rsidRPr="0026329D">
        <w:rPr>
          <w:lang w:val="en-CA"/>
        </w:rPr>
        <w:t xml:space="preserve">16,127,957. The difference will be co-financed by the beneficiary enterprises. </w:t>
      </w:r>
    </w:p>
    <w:p w:rsidR="00E44F75" w:rsidRPr="0026329D" w:rsidRDefault="00E44F75" w:rsidP="00E44F75">
      <w:pPr>
        <w:pStyle w:val="Heading1"/>
        <w:rPr>
          <w:lang w:val="en-CA"/>
        </w:rPr>
      </w:pPr>
      <w:r w:rsidRPr="0026329D">
        <w:rPr>
          <w:lang w:val="en-CA"/>
        </w:rPr>
        <w:t>Regarding the allocation of available funds among the 11 enterprises, the cost</w:t>
      </w:r>
      <w:r w:rsidRPr="0026329D">
        <w:rPr>
          <w:lang w:val="en-CA"/>
        </w:rPr>
        <w:noBreakHyphen/>
        <w:t xml:space="preserve">effectiveness threshold was calculated at </w:t>
      </w:r>
      <w:r w:rsidR="00475A50" w:rsidRPr="0026329D">
        <w:rPr>
          <w:lang w:val="en-CA"/>
        </w:rPr>
        <w:t>US $</w:t>
      </w:r>
      <w:r w:rsidRPr="0026329D">
        <w:rPr>
          <w:lang w:val="en-CA"/>
        </w:rPr>
        <w:t xml:space="preserve">6.00/kg for the first 150 mt consumed by any enterprise, </w:t>
      </w:r>
      <w:r w:rsidR="00475A50" w:rsidRPr="0026329D">
        <w:rPr>
          <w:lang w:val="en-CA"/>
        </w:rPr>
        <w:t>US $</w:t>
      </w:r>
      <w:r w:rsidRPr="0026329D">
        <w:rPr>
          <w:lang w:val="en-CA"/>
        </w:rPr>
        <w:t xml:space="preserve">3.00/kg for the next 150 up to 300 mt consumed by that enterprise, and </w:t>
      </w:r>
      <w:r w:rsidR="00475A50" w:rsidRPr="0026329D">
        <w:rPr>
          <w:lang w:val="en-CA"/>
        </w:rPr>
        <w:t>US $</w:t>
      </w:r>
      <w:r w:rsidRPr="0026329D">
        <w:rPr>
          <w:lang w:val="en-CA"/>
        </w:rPr>
        <w:t xml:space="preserve">2.00/kg for any additional consumption above 300 mt. For example, for an enterprise consuming 420 mt of HCFC, funding amounts to </w:t>
      </w:r>
      <w:r w:rsidR="00475A50" w:rsidRPr="0026329D">
        <w:rPr>
          <w:lang w:val="en-CA"/>
        </w:rPr>
        <w:t>US $</w:t>
      </w:r>
      <w:r w:rsidRPr="0026329D">
        <w:rPr>
          <w:lang w:val="en-CA"/>
        </w:rPr>
        <w:t>1,590,000 (i.e, 150 mt * </w:t>
      </w:r>
      <w:r w:rsidR="00475A50" w:rsidRPr="0026329D">
        <w:rPr>
          <w:lang w:val="en-CA"/>
        </w:rPr>
        <w:t>US $</w:t>
      </w:r>
      <w:r w:rsidRPr="0026329D">
        <w:rPr>
          <w:lang w:val="en-CA"/>
        </w:rPr>
        <w:t>6.00/kg</w:t>
      </w:r>
      <w:r w:rsidR="006D40F7" w:rsidRPr="0026329D">
        <w:rPr>
          <w:lang w:val="en-CA"/>
        </w:rPr>
        <w:t> </w:t>
      </w:r>
      <w:r w:rsidRPr="0026329D">
        <w:rPr>
          <w:lang w:val="en-CA"/>
        </w:rPr>
        <w:t>+</w:t>
      </w:r>
      <w:r w:rsidR="006D40F7" w:rsidRPr="0026329D">
        <w:rPr>
          <w:lang w:val="en-CA"/>
        </w:rPr>
        <w:t> </w:t>
      </w:r>
      <w:r w:rsidRPr="0026329D">
        <w:rPr>
          <w:lang w:val="en-CA"/>
        </w:rPr>
        <w:t>150 mt * </w:t>
      </w:r>
      <w:r w:rsidR="00475A50" w:rsidRPr="0026329D">
        <w:rPr>
          <w:lang w:val="en-CA"/>
        </w:rPr>
        <w:t>US $</w:t>
      </w:r>
      <w:r w:rsidRPr="0026329D">
        <w:rPr>
          <w:lang w:val="en-CA"/>
        </w:rPr>
        <w:t>3.00/kg</w:t>
      </w:r>
      <w:r w:rsidR="006D40F7" w:rsidRPr="0026329D">
        <w:rPr>
          <w:lang w:val="en-CA"/>
        </w:rPr>
        <w:t> </w:t>
      </w:r>
      <w:r w:rsidRPr="0026329D">
        <w:rPr>
          <w:lang w:val="en-CA"/>
        </w:rPr>
        <w:t>+</w:t>
      </w:r>
      <w:r w:rsidR="006D40F7" w:rsidRPr="0026329D">
        <w:rPr>
          <w:lang w:val="en-CA"/>
        </w:rPr>
        <w:t> </w:t>
      </w:r>
      <w:r w:rsidRPr="0026329D">
        <w:rPr>
          <w:lang w:val="en-CA"/>
        </w:rPr>
        <w:t>120 mt * </w:t>
      </w:r>
      <w:r w:rsidR="00475A50" w:rsidRPr="0026329D">
        <w:rPr>
          <w:lang w:val="en-CA"/>
        </w:rPr>
        <w:t>US $</w:t>
      </w:r>
      <w:r w:rsidRPr="0026329D">
        <w:rPr>
          <w:lang w:val="en-CA"/>
        </w:rPr>
        <w:t>2.00/kg).</w:t>
      </w:r>
      <w:r w:rsidRPr="0026329D" w:rsidDel="00F7704C">
        <w:rPr>
          <w:lang w:val="en-CA"/>
        </w:rPr>
        <w:t xml:space="preserve"> </w:t>
      </w:r>
      <w:r w:rsidRPr="0026329D">
        <w:rPr>
          <w:lang w:val="en-CA"/>
        </w:rPr>
        <w:t xml:space="preserve">The funding for </w:t>
      </w:r>
      <w:r w:rsidR="006D40F7" w:rsidRPr="0026329D">
        <w:rPr>
          <w:lang w:val="en-CA"/>
        </w:rPr>
        <w:t xml:space="preserve">the </w:t>
      </w:r>
      <w:r w:rsidRPr="0026329D">
        <w:rPr>
          <w:lang w:val="en-CA"/>
        </w:rPr>
        <w:t xml:space="preserve">11 enterprises is shown in </w:t>
      </w:r>
      <w:r w:rsidR="00E52946" w:rsidRPr="0026329D">
        <w:rPr>
          <w:lang w:val="en-CA"/>
        </w:rPr>
        <w:t>Table </w:t>
      </w:r>
      <w:r w:rsidRPr="0026329D">
        <w:rPr>
          <w:lang w:val="en-CA"/>
        </w:rPr>
        <w:t>3.</w:t>
      </w:r>
    </w:p>
    <w:p w:rsidR="00E44F75" w:rsidRPr="0026329D" w:rsidRDefault="00E52946" w:rsidP="00E44F75">
      <w:pPr>
        <w:rPr>
          <w:b/>
          <w:lang w:val="en-CA"/>
        </w:rPr>
      </w:pPr>
      <w:r w:rsidRPr="0026329D">
        <w:rPr>
          <w:b/>
          <w:lang w:val="en-CA"/>
        </w:rPr>
        <w:t>Table </w:t>
      </w:r>
      <w:r w:rsidR="00E44F75" w:rsidRPr="0026329D">
        <w:rPr>
          <w:b/>
          <w:lang w:val="en-CA"/>
        </w:rPr>
        <w:t>3. The calculated grant funding for 11 enterprises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88"/>
        <w:gridCol w:w="1888"/>
        <w:gridCol w:w="1888"/>
        <w:gridCol w:w="1888"/>
      </w:tblGrid>
      <w:tr w:rsidR="00E44F75" w:rsidRPr="0026329D" w:rsidTr="00665A83">
        <w:trPr>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44F75" w:rsidRPr="0026329D" w:rsidRDefault="00E44F75" w:rsidP="00665A83">
            <w:pPr>
              <w:jc w:val="center"/>
              <w:rPr>
                <w:b/>
                <w:sz w:val="20"/>
                <w:szCs w:val="20"/>
                <w:lang w:val="en-CA"/>
              </w:rPr>
            </w:pPr>
            <w:r w:rsidRPr="0026329D">
              <w:rPr>
                <w:b/>
                <w:sz w:val="20"/>
                <w:szCs w:val="20"/>
                <w:lang w:val="en-CA"/>
              </w:rPr>
              <w:t>HCFC consumption (mt)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44F75" w:rsidRPr="0026329D" w:rsidRDefault="00E44F75" w:rsidP="00665A83">
            <w:pPr>
              <w:jc w:val="center"/>
              <w:rPr>
                <w:b/>
                <w:sz w:val="20"/>
                <w:szCs w:val="20"/>
                <w:lang w:val="en-CA"/>
              </w:rPr>
            </w:pPr>
            <w:r w:rsidRPr="0026329D">
              <w:rPr>
                <w:b/>
                <w:sz w:val="20"/>
                <w:szCs w:val="20"/>
                <w:lang w:val="en-CA"/>
              </w:rPr>
              <w:t>Contract amount (</w:t>
            </w:r>
            <w:r w:rsidR="00475A50" w:rsidRPr="0026329D">
              <w:rPr>
                <w:b/>
                <w:sz w:val="20"/>
                <w:szCs w:val="20"/>
                <w:lang w:val="en-CA"/>
              </w:rPr>
              <w:t>US $</w:t>
            </w:r>
            <w:r w:rsidRPr="0026329D">
              <w:rPr>
                <w:b/>
                <w:sz w:val="20"/>
                <w:szCs w:val="20"/>
                <w:lang w:val="en-CA"/>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44F75" w:rsidRPr="0026329D" w:rsidRDefault="00E44F75" w:rsidP="00665A83">
            <w:pPr>
              <w:jc w:val="center"/>
              <w:rPr>
                <w:b/>
                <w:sz w:val="20"/>
                <w:szCs w:val="20"/>
                <w:lang w:val="en-CA"/>
              </w:rPr>
            </w:pPr>
            <w:r w:rsidRPr="0026329D">
              <w:rPr>
                <w:b/>
                <w:sz w:val="20"/>
                <w:szCs w:val="20"/>
                <w:lang w:val="en-CA"/>
              </w:rPr>
              <w:t>ICC (</w:t>
            </w:r>
            <w:r w:rsidR="00475A50" w:rsidRPr="0026329D">
              <w:rPr>
                <w:b/>
                <w:sz w:val="20"/>
                <w:szCs w:val="20"/>
                <w:lang w:val="en-CA"/>
              </w:rPr>
              <w:t>US $</w:t>
            </w:r>
            <w:r w:rsidRPr="0026329D">
              <w:rPr>
                <w:b/>
                <w:sz w:val="20"/>
                <w:szCs w:val="20"/>
                <w:lang w:val="en-CA"/>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44F75" w:rsidRPr="0026329D" w:rsidRDefault="00E44F75" w:rsidP="00665A83">
            <w:pPr>
              <w:jc w:val="center"/>
              <w:rPr>
                <w:b/>
                <w:sz w:val="20"/>
                <w:szCs w:val="20"/>
                <w:lang w:val="en-CA"/>
              </w:rPr>
            </w:pPr>
            <w:r w:rsidRPr="0026329D">
              <w:rPr>
                <w:b/>
                <w:sz w:val="20"/>
                <w:szCs w:val="20"/>
                <w:lang w:val="en-CA"/>
              </w:rPr>
              <w:t>IOC (</w:t>
            </w:r>
            <w:r w:rsidR="00475A50" w:rsidRPr="0026329D">
              <w:rPr>
                <w:b/>
                <w:sz w:val="20"/>
                <w:szCs w:val="20"/>
                <w:lang w:val="en-CA"/>
              </w:rPr>
              <w:t>US $</w:t>
            </w:r>
            <w:r w:rsidRPr="0026329D">
              <w:rPr>
                <w:b/>
                <w:sz w:val="20"/>
                <w:szCs w:val="20"/>
                <w:lang w:val="en-CA"/>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44F75" w:rsidRPr="0026329D" w:rsidRDefault="00E44F75" w:rsidP="00665A83">
            <w:pPr>
              <w:jc w:val="center"/>
              <w:rPr>
                <w:b/>
                <w:sz w:val="20"/>
                <w:szCs w:val="20"/>
                <w:lang w:val="en-CA"/>
              </w:rPr>
            </w:pPr>
            <w:r w:rsidRPr="0026329D">
              <w:rPr>
                <w:b/>
                <w:sz w:val="20"/>
                <w:szCs w:val="20"/>
                <w:lang w:val="en-CA"/>
              </w:rPr>
              <w:t>Cost effectiveness (</w:t>
            </w:r>
            <w:r w:rsidR="00475A50" w:rsidRPr="0026329D">
              <w:rPr>
                <w:b/>
                <w:sz w:val="20"/>
                <w:szCs w:val="20"/>
                <w:lang w:val="en-CA"/>
              </w:rPr>
              <w:t>US $</w:t>
            </w:r>
            <w:r w:rsidRPr="0026329D">
              <w:rPr>
                <w:b/>
                <w:sz w:val="20"/>
                <w:szCs w:val="20"/>
                <w:lang w:val="en-CA"/>
              </w:rPr>
              <w:t>/kg of HCFC)</w:t>
            </w:r>
          </w:p>
        </w:tc>
      </w:tr>
      <w:tr w:rsidR="00E44F75" w:rsidRPr="0026329D" w:rsidTr="00AA78DC">
        <w:trPr>
          <w:tblHeader/>
        </w:trPr>
        <w:tc>
          <w:tcPr>
            <w:tcW w:w="1000"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AA78DC">
            <w:pPr>
              <w:jc w:val="center"/>
              <w:rPr>
                <w:sz w:val="20"/>
                <w:szCs w:val="20"/>
                <w:lang w:val="en-CA"/>
              </w:rPr>
            </w:pPr>
            <w:r w:rsidRPr="0026329D">
              <w:rPr>
                <w:bCs/>
                <w:color w:val="000000"/>
                <w:sz w:val="20"/>
                <w:szCs w:val="20"/>
                <w:lang w:val="en-CA"/>
              </w:rPr>
              <w:t>4,035.49</w:t>
            </w:r>
          </w:p>
        </w:tc>
        <w:tc>
          <w:tcPr>
            <w:tcW w:w="1000"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AA78DC">
            <w:pPr>
              <w:jc w:val="center"/>
              <w:rPr>
                <w:sz w:val="20"/>
                <w:szCs w:val="20"/>
                <w:lang w:val="en-CA"/>
              </w:rPr>
            </w:pPr>
            <w:r w:rsidRPr="0026329D">
              <w:rPr>
                <w:bCs/>
                <w:color w:val="000000"/>
                <w:sz w:val="20"/>
                <w:szCs w:val="20"/>
                <w:lang w:val="en-CA"/>
              </w:rPr>
              <w:t>16,127,957</w:t>
            </w:r>
          </w:p>
        </w:tc>
        <w:tc>
          <w:tcPr>
            <w:tcW w:w="1000"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AA78DC">
            <w:pPr>
              <w:jc w:val="center"/>
              <w:rPr>
                <w:sz w:val="20"/>
                <w:szCs w:val="20"/>
                <w:lang w:val="en-CA"/>
              </w:rPr>
            </w:pPr>
            <w:r w:rsidRPr="0026329D">
              <w:rPr>
                <w:bCs/>
                <w:color w:val="000000"/>
                <w:sz w:val="20"/>
                <w:szCs w:val="20"/>
                <w:lang w:val="en-CA"/>
              </w:rPr>
              <w:t>12,092,468</w:t>
            </w:r>
          </w:p>
        </w:tc>
        <w:tc>
          <w:tcPr>
            <w:tcW w:w="1000"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AA78DC">
            <w:pPr>
              <w:jc w:val="center"/>
              <w:rPr>
                <w:sz w:val="20"/>
                <w:szCs w:val="20"/>
                <w:lang w:val="en-CA"/>
              </w:rPr>
            </w:pPr>
            <w:r w:rsidRPr="0026329D">
              <w:rPr>
                <w:bCs/>
                <w:color w:val="000000"/>
                <w:sz w:val="20"/>
                <w:szCs w:val="20"/>
                <w:lang w:val="en-CA"/>
              </w:rPr>
              <w:t>4,035,489</w:t>
            </w:r>
          </w:p>
        </w:tc>
        <w:tc>
          <w:tcPr>
            <w:tcW w:w="1000"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AA78DC">
            <w:pPr>
              <w:jc w:val="center"/>
              <w:rPr>
                <w:sz w:val="20"/>
                <w:szCs w:val="20"/>
                <w:lang w:val="en-CA"/>
              </w:rPr>
            </w:pPr>
            <w:r w:rsidRPr="0026329D">
              <w:rPr>
                <w:sz w:val="20"/>
                <w:szCs w:val="20"/>
                <w:lang w:val="en-CA"/>
              </w:rPr>
              <w:t>4.00</w:t>
            </w:r>
          </w:p>
        </w:tc>
      </w:tr>
    </w:tbl>
    <w:p w:rsidR="00E44F75" w:rsidRPr="0026329D" w:rsidRDefault="00E44F75" w:rsidP="00E44F75">
      <w:pPr>
        <w:rPr>
          <w:lang w:val="en-CA"/>
        </w:rPr>
      </w:pPr>
    </w:p>
    <w:p w:rsidR="00E44F75" w:rsidRPr="0026329D" w:rsidRDefault="00E44F75" w:rsidP="00E44F75">
      <w:pPr>
        <w:rPr>
          <w:i/>
          <w:lang w:val="en-CA"/>
        </w:rPr>
      </w:pPr>
      <w:r w:rsidRPr="0026329D">
        <w:rPr>
          <w:i/>
          <w:lang w:val="en-CA"/>
        </w:rPr>
        <w:t xml:space="preserve">Revised cost of all components </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In order to duly complete the phase-out of HCFCs in the XPS foam sector by the end of 2025, the Government of China will apply for Multilateral Fund funding of </w:t>
      </w:r>
      <w:r w:rsidR="00475A50" w:rsidRPr="0026329D">
        <w:rPr>
          <w:lang w:val="en-CA"/>
        </w:rPr>
        <w:t>US $</w:t>
      </w:r>
      <w:r w:rsidRPr="0026329D">
        <w:rPr>
          <w:lang w:val="en-CA"/>
        </w:rPr>
        <w:t xml:space="preserve">18,534,654 in </w:t>
      </w:r>
      <w:r w:rsidR="00A81DEE" w:rsidRPr="0026329D">
        <w:rPr>
          <w:lang w:val="en-CA"/>
        </w:rPr>
        <w:t>stage </w:t>
      </w:r>
      <w:r w:rsidRPr="0026329D">
        <w:rPr>
          <w:lang w:val="en-CA"/>
        </w:rPr>
        <w:t xml:space="preserve">II, of which </w:t>
      </w:r>
      <w:r w:rsidR="00475A50" w:rsidRPr="0026329D">
        <w:rPr>
          <w:lang w:val="en-CA"/>
        </w:rPr>
        <w:t>US $</w:t>
      </w:r>
      <w:r w:rsidRPr="0026329D">
        <w:rPr>
          <w:lang w:val="en-CA"/>
        </w:rPr>
        <w:t xml:space="preserve">16,127,957 is designated for conversion activities to phase out the remaining consumption of 1,397 ODP tonnes (equivalent to 24,296 mt of HCFCs) in the XPS foam sector, plus </w:t>
      </w:r>
      <w:r w:rsidR="00475A50" w:rsidRPr="0026329D">
        <w:rPr>
          <w:lang w:val="en-CA"/>
        </w:rPr>
        <w:t>US $</w:t>
      </w:r>
      <w:r w:rsidRPr="0026329D">
        <w:rPr>
          <w:lang w:val="en-CA"/>
        </w:rPr>
        <w:t xml:space="preserve">2,406,697 to be used for TA activities and PMU, as summarized in </w:t>
      </w:r>
      <w:r w:rsidR="00E52946" w:rsidRPr="0026329D">
        <w:rPr>
          <w:lang w:val="en-CA"/>
        </w:rPr>
        <w:t>Table </w:t>
      </w:r>
      <w:r w:rsidRPr="0026329D">
        <w:rPr>
          <w:lang w:val="en-CA"/>
        </w:rPr>
        <w:t>4.</w:t>
      </w:r>
    </w:p>
    <w:p w:rsidR="00E44F75" w:rsidRPr="0026329D" w:rsidRDefault="00E52946" w:rsidP="00081B71">
      <w:pPr>
        <w:keepNext/>
        <w:keepLines/>
        <w:tabs>
          <w:tab w:val="num" w:pos="0"/>
          <w:tab w:val="num" w:pos="720"/>
          <w:tab w:val="num" w:pos="902"/>
        </w:tabs>
        <w:spacing w:after="20"/>
        <w:jc w:val="left"/>
        <w:rPr>
          <w:b/>
          <w:lang w:val="en-CA"/>
        </w:rPr>
      </w:pPr>
      <w:r w:rsidRPr="0026329D">
        <w:rPr>
          <w:b/>
          <w:lang w:val="en-CA"/>
        </w:rPr>
        <w:t>Table </w:t>
      </w:r>
      <w:r w:rsidR="00E44F75" w:rsidRPr="0026329D">
        <w:rPr>
          <w:b/>
          <w:lang w:val="en-CA"/>
        </w:rPr>
        <w:t>4. Cost breakdown of 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5993"/>
        <w:gridCol w:w="1363"/>
      </w:tblGrid>
      <w:tr w:rsidR="00E44F75" w:rsidRPr="0026329D" w:rsidTr="00E2305C">
        <w:trPr>
          <w:tblHeader/>
        </w:trPr>
        <w:tc>
          <w:tcPr>
            <w:tcW w:w="4278" w:type="pct"/>
            <w:gridSpan w:val="2"/>
            <w:shd w:val="clear" w:color="auto" w:fill="auto"/>
            <w:vAlign w:val="center"/>
          </w:tcPr>
          <w:p w:rsidR="00E44F75" w:rsidRPr="0026329D" w:rsidRDefault="00E44F75" w:rsidP="00081B71">
            <w:pPr>
              <w:keepNext/>
              <w:keepLines/>
              <w:jc w:val="center"/>
              <w:rPr>
                <w:b/>
                <w:bCs/>
                <w:color w:val="000000"/>
                <w:sz w:val="20"/>
                <w:szCs w:val="20"/>
                <w:lang w:val="en-CA"/>
              </w:rPr>
            </w:pPr>
            <w:r w:rsidRPr="0026329D">
              <w:rPr>
                <w:b/>
                <w:bCs/>
                <w:sz w:val="20"/>
                <w:szCs w:val="20"/>
                <w:lang w:val="en-CA"/>
              </w:rPr>
              <w:t>Activities</w:t>
            </w:r>
          </w:p>
        </w:tc>
        <w:tc>
          <w:tcPr>
            <w:tcW w:w="722" w:type="pct"/>
            <w:shd w:val="clear" w:color="auto" w:fill="auto"/>
            <w:vAlign w:val="center"/>
          </w:tcPr>
          <w:p w:rsidR="00E44F75" w:rsidRPr="0026329D" w:rsidRDefault="00E44F75" w:rsidP="00081B71">
            <w:pPr>
              <w:keepNext/>
              <w:keepLines/>
              <w:jc w:val="center"/>
              <w:rPr>
                <w:b/>
                <w:bCs/>
                <w:color w:val="000000"/>
                <w:sz w:val="20"/>
                <w:szCs w:val="20"/>
                <w:lang w:val="en-CA"/>
              </w:rPr>
            </w:pPr>
            <w:r w:rsidRPr="0026329D">
              <w:rPr>
                <w:b/>
                <w:bCs/>
                <w:color w:val="000000"/>
                <w:sz w:val="20"/>
                <w:szCs w:val="20"/>
                <w:lang w:val="en-CA"/>
              </w:rPr>
              <w:t xml:space="preserve">Funding </w:t>
            </w:r>
            <w:r w:rsidRPr="0026329D">
              <w:rPr>
                <w:b/>
                <w:sz w:val="20"/>
                <w:szCs w:val="20"/>
                <w:lang w:val="en-CA"/>
              </w:rPr>
              <w:t>(</w:t>
            </w:r>
            <w:r w:rsidR="00475A50" w:rsidRPr="0026329D">
              <w:rPr>
                <w:b/>
                <w:sz w:val="20"/>
                <w:szCs w:val="20"/>
                <w:lang w:val="en-CA"/>
              </w:rPr>
              <w:t>US $</w:t>
            </w:r>
            <w:r w:rsidRPr="0026329D">
              <w:rPr>
                <w:b/>
                <w:sz w:val="20"/>
                <w:szCs w:val="20"/>
                <w:lang w:val="en-CA"/>
              </w:rPr>
              <w:t>)</w:t>
            </w:r>
          </w:p>
        </w:tc>
      </w:tr>
      <w:tr w:rsidR="00E44F75" w:rsidRPr="0026329D" w:rsidTr="00665A83">
        <w:tc>
          <w:tcPr>
            <w:tcW w:w="1104" w:type="pct"/>
            <w:vAlign w:val="center"/>
          </w:tcPr>
          <w:p w:rsidR="00E44F75" w:rsidRPr="0026329D" w:rsidRDefault="00E44F75" w:rsidP="00081B71">
            <w:pPr>
              <w:keepNext/>
              <w:keepLines/>
              <w:rPr>
                <w:b/>
                <w:sz w:val="20"/>
                <w:szCs w:val="20"/>
                <w:lang w:val="en-CA"/>
              </w:rPr>
            </w:pPr>
            <w:r w:rsidRPr="0026329D">
              <w:rPr>
                <w:b/>
                <w:sz w:val="20"/>
                <w:szCs w:val="20"/>
                <w:lang w:val="en-CA"/>
              </w:rPr>
              <w:t>Conversion activities</w:t>
            </w:r>
          </w:p>
        </w:tc>
        <w:tc>
          <w:tcPr>
            <w:tcW w:w="3174" w:type="pct"/>
            <w:shd w:val="clear" w:color="auto" w:fill="auto"/>
            <w:vAlign w:val="center"/>
          </w:tcPr>
          <w:p w:rsidR="00E44F75" w:rsidRPr="0026329D" w:rsidRDefault="00E44F75" w:rsidP="00081B71">
            <w:pPr>
              <w:keepNext/>
              <w:keepLines/>
              <w:rPr>
                <w:sz w:val="20"/>
                <w:szCs w:val="20"/>
                <w:lang w:val="en-CA"/>
              </w:rPr>
            </w:pPr>
            <w:r w:rsidRPr="0026329D">
              <w:rPr>
                <w:sz w:val="20"/>
                <w:szCs w:val="20"/>
                <w:lang w:val="en-CA"/>
              </w:rPr>
              <w:t>Signing of 11 sub-projects</w:t>
            </w:r>
          </w:p>
        </w:tc>
        <w:tc>
          <w:tcPr>
            <w:tcW w:w="722" w:type="pct"/>
            <w:shd w:val="clear" w:color="auto" w:fill="auto"/>
            <w:vAlign w:val="center"/>
          </w:tcPr>
          <w:p w:rsidR="00E44F75" w:rsidRPr="0026329D" w:rsidRDefault="00E44F75" w:rsidP="00081B71">
            <w:pPr>
              <w:keepNext/>
              <w:keepLines/>
              <w:jc w:val="right"/>
              <w:rPr>
                <w:sz w:val="20"/>
                <w:szCs w:val="20"/>
                <w:lang w:val="en-CA"/>
              </w:rPr>
            </w:pPr>
            <w:r w:rsidRPr="0026329D">
              <w:rPr>
                <w:sz w:val="20"/>
                <w:szCs w:val="20"/>
                <w:lang w:val="en-CA"/>
              </w:rPr>
              <w:t>16,127,957</w:t>
            </w:r>
          </w:p>
        </w:tc>
      </w:tr>
      <w:tr w:rsidR="00E44F75" w:rsidRPr="0026329D" w:rsidTr="00665A83">
        <w:tc>
          <w:tcPr>
            <w:tcW w:w="1104" w:type="pct"/>
            <w:vMerge w:val="restart"/>
            <w:vAlign w:val="center"/>
          </w:tcPr>
          <w:p w:rsidR="00E44F75" w:rsidRPr="0026329D" w:rsidRDefault="00E44F75" w:rsidP="00081B71">
            <w:pPr>
              <w:keepNext/>
              <w:keepLines/>
              <w:rPr>
                <w:b/>
                <w:bCs/>
                <w:color w:val="000000"/>
                <w:sz w:val="20"/>
                <w:szCs w:val="20"/>
                <w:lang w:val="en-CA"/>
              </w:rPr>
            </w:pPr>
            <w:r w:rsidRPr="0026329D">
              <w:rPr>
                <w:b/>
                <w:sz w:val="20"/>
                <w:szCs w:val="20"/>
                <w:lang w:val="en-CA"/>
              </w:rPr>
              <w:t>TA</w:t>
            </w:r>
          </w:p>
        </w:tc>
        <w:tc>
          <w:tcPr>
            <w:tcW w:w="3174" w:type="pct"/>
            <w:shd w:val="clear" w:color="auto" w:fill="auto"/>
            <w:vAlign w:val="center"/>
          </w:tcPr>
          <w:p w:rsidR="00E44F75" w:rsidRPr="0026329D" w:rsidRDefault="00E44F75" w:rsidP="00081B71">
            <w:pPr>
              <w:keepNext/>
              <w:keepLines/>
              <w:jc w:val="left"/>
              <w:rPr>
                <w:color w:val="000000"/>
                <w:sz w:val="20"/>
                <w:szCs w:val="20"/>
                <w:lang w:val="en-CA"/>
              </w:rPr>
            </w:pPr>
            <w:r w:rsidRPr="0026329D">
              <w:rPr>
                <w:sz w:val="20"/>
                <w:szCs w:val="20"/>
                <w:lang w:val="en-CA"/>
              </w:rPr>
              <w:t>Monitoring, supervision and capacity-building activities</w:t>
            </w:r>
          </w:p>
        </w:tc>
        <w:tc>
          <w:tcPr>
            <w:tcW w:w="722" w:type="pct"/>
            <w:shd w:val="clear" w:color="auto" w:fill="auto"/>
            <w:vAlign w:val="center"/>
          </w:tcPr>
          <w:p w:rsidR="00E44F75" w:rsidRPr="0026329D" w:rsidRDefault="00E44F75" w:rsidP="00081B71">
            <w:pPr>
              <w:keepNext/>
              <w:keepLines/>
              <w:jc w:val="right"/>
              <w:rPr>
                <w:color w:val="000000"/>
                <w:sz w:val="20"/>
                <w:szCs w:val="20"/>
                <w:lang w:val="en-CA"/>
              </w:rPr>
            </w:pPr>
            <w:r w:rsidRPr="0026329D">
              <w:rPr>
                <w:color w:val="000000"/>
                <w:sz w:val="20"/>
                <w:szCs w:val="20"/>
                <w:lang w:val="en-CA"/>
              </w:rPr>
              <w:t>270,000</w:t>
            </w:r>
          </w:p>
        </w:tc>
      </w:tr>
      <w:tr w:rsidR="00E44F75" w:rsidRPr="0026329D" w:rsidTr="00665A83">
        <w:tc>
          <w:tcPr>
            <w:tcW w:w="1104" w:type="pct"/>
            <w:vMerge/>
            <w:vAlign w:val="center"/>
          </w:tcPr>
          <w:p w:rsidR="00E44F75" w:rsidRPr="0026329D" w:rsidRDefault="00E44F75" w:rsidP="00081B71">
            <w:pPr>
              <w:keepNext/>
              <w:keepLines/>
              <w:rPr>
                <w:b/>
                <w:bCs/>
                <w:color w:val="000000"/>
                <w:sz w:val="20"/>
                <w:szCs w:val="20"/>
                <w:lang w:val="en-CA"/>
              </w:rPr>
            </w:pPr>
          </w:p>
        </w:tc>
        <w:tc>
          <w:tcPr>
            <w:tcW w:w="3174" w:type="pct"/>
            <w:shd w:val="clear" w:color="auto" w:fill="auto"/>
            <w:vAlign w:val="center"/>
          </w:tcPr>
          <w:p w:rsidR="00E44F75" w:rsidRPr="0026329D" w:rsidRDefault="00E44F75" w:rsidP="00081B71">
            <w:pPr>
              <w:keepNext/>
              <w:keepLines/>
              <w:jc w:val="left"/>
              <w:rPr>
                <w:color w:val="000000"/>
                <w:sz w:val="20"/>
                <w:szCs w:val="20"/>
                <w:lang w:val="en-CA"/>
              </w:rPr>
            </w:pPr>
            <w:r w:rsidRPr="0026329D">
              <w:rPr>
                <w:sz w:val="20"/>
                <w:szCs w:val="20"/>
                <w:lang w:val="en-CA"/>
              </w:rPr>
              <w:t>Training and technical support</w:t>
            </w:r>
          </w:p>
        </w:tc>
        <w:tc>
          <w:tcPr>
            <w:tcW w:w="722" w:type="pct"/>
            <w:shd w:val="clear" w:color="auto" w:fill="auto"/>
            <w:vAlign w:val="center"/>
          </w:tcPr>
          <w:p w:rsidR="00E44F75" w:rsidRPr="0026329D" w:rsidRDefault="00E44F75" w:rsidP="00081B71">
            <w:pPr>
              <w:keepNext/>
              <w:keepLines/>
              <w:jc w:val="right"/>
              <w:rPr>
                <w:color w:val="000000"/>
                <w:sz w:val="20"/>
                <w:szCs w:val="20"/>
                <w:lang w:val="en-CA"/>
              </w:rPr>
            </w:pPr>
            <w:r w:rsidRPr="0026329D">
              <w:rPr>
                <w:color w:val="000000"/>
                <w:sz w:val="20"/>
                <w:szCs w:val="20"/>
                <w:lang w:val="en-CA"/>
              </w:rPr>
              <w:t>250,000</w:t>
            </w:r>
          </w:p>
        </w:tc>
      </w:tr>
      <w:tr w:rsidR="00E44F75" w:rsidRPr="0026329D" w:rsidTr="00665A83">
        <w:tc>
          <w:tcPr>
            <w:tcW w:w="1104" w:type="pct"/>
            <w:vMerge/>
            <w:vAlign w:val="center"/>
          </w:tcPr>
          <w:p w:rsidR="00E44F75" w:rsidRPr="0026329D" w:rsidRDefault="00E44F75" w:rsidP="00081B71">
            <w:pPr>
              <w:keepNext/>
              <w:keepLines/>
              <w:rPr>
                <w:b/>
                <w:bCs/>
                <w:color w:val="000000"/>
                <w:sz w:val="20"/>
                <w:szCs w:val="20"/>
                <w:lang w:val="en-CA"/>
              </w:rPr>
            </w:pPr>
          </w:p>
        </w:tc>
        <w:tc>
          <w:tcPr>
            <w:tcW w:w="3174" w:type="pct"/>
            <w:shd w:val="clear" w:color="auto" w:fill="auto"/>
            <w:vAlign w:val="center"/>
          </w:tcPr>
          <w:p w:rsidR="00E44F75" w:rsidRPr="0026329D" w:rsidRDefault="00E44F75" w:rsidP="00081B71">
            <w:pPr>
              <w:keepNext/>
              <w:keepLines/>
              <w:jc w:val="left"/>
              <w:rPr>
                <w:color w:val="000000"/>
                <w:sz w:val="20"/>
                <w:szCs w:val="20"/>
                <w:lang w:val="en-CA"/>
              </w:rPr>
            </w:pPr>
            <w:r w:rsidRPr="0026329D">
              <w:rPr>
                <w:sz w:val="20"/>
                <w:szCs w:val="20"/>
                <w:lang w:val="en-CA"/>
              </w:rPr>
              <w:t>Optimization and evaluation of equipment and technologies</w:t>
            </w:r>
          </w:p>
        </w:tc>
        <w:tc>
          <w:tcPr>
            <w:tcW w:w="722" w:type="pct"/>
            <w:shd w:val="clear" w:color="auto" w:fill="auto"/>
            <w:vAlign w:val="center"/>
          </w:tcPr>
          <w:p w:rsidR="00E44F75" w:rsidRPr="0026329D" w:rsidRDefault="00E44F75" w:rsidP="00081B71">
            <w:pPr>
              <w:keepNext/>
              <w:keepLines/>
              <w:jc w:val="right"/>
              <w:rPr>
                <w:color w:val="000000"/>
                <w:sz w:val="20"/>
                <w:szCs w:val="20"/>
                <w:lang w:val="en-CA"/>
              </w:rPr>
            </w:pPr>
            <w:r w:rsidRPr="0026329D">
              <w:rPr>
                <w:color w:val="000000"/>
                <w:sz w:val="20"/>
                <w:szCs w:val="20"/>
                <w:lang w:val="en-CA"/>
              </w:rPr>
              <w:t>340,000</w:t>
            </w:r>
          </w:p>
        </w:tc>
      </w:tr>
      <w:tr w:rsidR="00E44F75" w:rsidRPr="0026329D" w:rsidTr="00665A83">
        <w:tc>
          <w:tcPr>
            <w:tcW w:w="1104" w:type="pct"/>
            <w:vMerge/>
            <w:vAlign w:val="center"/>
          </w:tcPr>
          <w:p w:rsidR="00E44F75" w:rsidRPr="0026329D" w:rsidRDefault="00E44F75" w:rsidP="00665A83">
            <w:pPr>
              <w:rPr>
                <w:b/>
                <w:bCs/>
                <w:color w:val="000000"/>
                <w:sz w:val="20"/>
                <w:szCs w:val="20"/>
                <w:lang w:val="en-CA"/>
              </w:rPr>
            </w:pPr>
          </w:p>
        </w:tc>
        <w:tc>
          <w:tcPr>
            <w:tcW w:w="3174" w:type="pct"/>
            <w:shd w:val="clear" w:color="auto" w:fill="auto"/>
            <w:vAlign w:val="center"/>
          </w:tcPr>
          <w:p w:rsidR="00E44F75" w:rsidRPr="0026329D" w:rsidRDefault="00E44F75" w:rsidP="00665A83">
            <w:pPr>
              <w:jc w:val="left"/>
              <w:rPr>
                <w:color w:val="000000"/>
                <w:sz w:val="20"/>
                <w:szCs w:val="20"/>
                <w:lang w:val="en-CA"/>
              </w:rPr>
            </w:pPr>
            <w:r w:rsidRPr="0026329D">
              <w:rPr>
                <w:sz w:val="20"/>
                <w:szCs w:val="20"/>
                <w:lang w:val="en-CA"/>
              </w:rPr>
              <w:t>Formulation and revision of technical standards</w:t>
            </w:r>
          </w:p>
        </w:tc>
        <w:tc>
          <w:tcPr>
            <w:tcW w:w="722" w:type="pct"/>
            <w:shd w:val="clear" w:color="auto" w:fill="auto"/>
            <w:vAlign w:val="center"/>
          </w:tcPr>
          <w:p w:rsidR="00E44F75" w:rsidRPr="0026329D" w:rsidRDefault="00E44F75" w:rsidP="00665A83">
            <w:pPr>
              <w:jc w:val="right"/>
              <w:rPr>
                <w:color w:val="000000"/>
                <w:sz w:val="20"/>
                <w:szCs w:val="20"/>
                <w:lang w:val="en-CA"/>
              </w:rPr>
            </w:pPr>
            <w:r w:rsidRPr="0026329D">
              <w:rPr>
                <w:color w:val="000000"/>
                <w:sz w:val="20"/>
                <w:szCs w:val="20"/>
                <w:lang w:val="en-CA"/>
              </w:rPr>
              <w:t>87,291</w:t>
            </w:r>
          </w:p>
        </w:tc>
      </w:tr>
      <w:tr w:rsidR="00E44F75" w:rsidRPr="0026329D" w:rsidTr="00665A83">
        <w:tc>
          <w:tcPr>
            <w:tcW w:w="1104" w:type="pct"/>
            <w:vMerge/>
            <w:vAlign w:val="center"/>
          </w:tcPr>
          <w:p w:rsidR="00E44F75" w:rsidRPr="0026329D" w:rsidRDefault="00E44F75" w:rsidP="00665A83">
            <w:pPr>
              <w:rPr>
                <w:b/>
                <w:bCs/>
                <w:color w:val="000000"/>
                <w:sz w:val="20"/>
                <w:szCs w:val="20"/>
                <w:lang w:val="en-CA"/>
              </w:rPr>
            </w:pPr>
          </w:p>
        </w:tc>
        <w:tc>
          <w:tcPr>
            <w:tcW w:w="3174" w:type="pct"/>
            <w:shd w:val="clear" w:color="auto" w:fill="auto"/>
            <w:vAlign w:val="center"/>
          </w:tcPr>
          <w:p w:rsidR="00E44F75" w:rsidRPr="0026329D" w:rsidRDefault="00E44F75" w:rsidP="00665A83">
            <w:pPr>
              <w:jc w:val="left"/>
              <w:rPr>
                <w:color w:val="000000"/>
                <w:sz w:val="20"/>
                <w:szCs w:val="20"/>
                <w:lang w:val="en-CA"/>
              </w:rPr>
            </w:pPr>
            <w:r w:rsidRPr="0026329D">
              <w:rPr>
                <w:sz w:val="20"/>
                <w:szCs w:val="20"/>
                <w:lang w:val="en-CA"/>
              </w:rPr>
              <w:t>Impact assessment for the ban on the use of HCFCs in the sector</w:t>
            </w:r>
          </w:p>
        </w:tc>
        <w:tc>
          <w:tcPr>
            <w:tcW w:w="722" w:type="pct"/>
            <w:shd w:val="clear" w:color="auto" w:fill="auto"/>
            <w:vAlign w:val="center"/>
          </w:tcPr>
          <w:p w:rsidR="00E44F75" w:rsidRPr="0026329D" w:rsidRDefault="00E44F75" w:rsidP="00665A83">
            <w:pPr>
              <w:jc w:val="right"/>
              <w:rPr>
                <w:color w:val="000000"/>
                <w:sz w:val="20"/>
                <w:szCs w:val="20"/>
                <w:lang w:val="en-CA"/>
              </w:rPr>
            </w:pPr>
            <w:r w:rsidRPr="0026329D">
              <w:rPr>
                <w:color w:val="000000"/>
                <w:sz w:val="20"/>
                <w:szCs w:val="20"/>
                <w:lang w:val="en-CA"/>
              </w:rPr>
              <w:t>50,000</w:t>
            </w:r>
          </w:p>
        </w:tc>
      </w:tr>
      <w:tr w:rsidR="00E44F75" w:rsidRPr="0026329D" w:rsidTr="00665A83">
        <w:tc>
          <w:tcPr>
            <w:tcW w:w="1104" w:type="pct"/>
            <w:vMerge/>
            <w:vAlign w:val="center"/>
          </w:tcPr>
          <w:p w:rsidR="00E44F75" w:rsidRPr="0026329D" w:rsidRDefault="00E44F75" w:rsidP="00665A83">
            <w:pPr>
              <w:rPr>
                <w:b/>
                <w:bCs/>
                <w:color w:val="000000"/>
                <w:sz w:val="20"/>
                <w:szCs w:val="20"/>
                <w:lang w:val="en-CA"/>
              </w:rPr>
            </w:pPr>
          </w:p>
        </w:tc>
        <w:tc>
          <w:tcPr>
            <w:tcW w:w="3174" w:type="pct"/>
            <w:shd w:val="clear" w:color="auto" w:fill="auto"/>
            <w:vAlign w:val="center"/>
          </w:tcPr>
          <w:p w:rsidR="00E44F75" w:rsidRPr="0026329D" w:rsidRDefault="00E44F75" w:rsidP="00665A83">
            <w:pPr>
              <w:jc w:val="left"/>
              <w:rPr>
                <w:color w:val="000000"/>
                <w:sz w:val="20"/>
                <w:szCs w:val="20"/>
                <w:lang w:val="en-CA"/>
              </w:rPr>
            </w:pPr>
            <w:r w:rsidRPr="0026329D">
              <w:rPr>
                <w:sz w:val="20"/>
                <w:szCs w:val="20"/>
                <w:lang w:val="en-CA"/>
              </w:rPr>
              <w:t xml:space="preserve">Study tours on technologies alternative to HCFCs </w:t>
            </w:r>
          </w:p>
        </w:tc>
        <w:tc>
          <w:tcPr>
            <w:tcW w:w="722" w:type="pct"/>
            <w:shd w:val="clear" w:color="auto" w:fill="auto"/>
            <w:vAlign w:val="center"/>
          </w:tcPr>
          <w:p w:rsidR="00E44F75" w:rsidRPr="0026329D" w:rsidRDefault="00E44F75" w:rsidP="00665A83">
            <w:pPr>
              <w:jc w:val="right"/>
              <w:rPr>
                <w:color w:val="000000"/>
                <w:sz w:val="20"/>
                <w:szCs w:val="20"/>
                <w:lang w:val="en-CA"/>
              </w:rPr>
            </w:pPr>
            <w:r w:rsidRPr="0026329D">
              <w:rPr>
                <w:color w:val="000000"/>
                <w:sz w:val="20"/>
                <w:szCs w:val="20"/>
                <w:lang w:val="en-CA"/>
              </w:rPr>
              <w:t>50,000</w:t>
            </w:r>
          </w:p>
        </w:tc>
      </w:tr>
      <w:tr w:rsidR="00E44F75" w:rsidRPr="0026329D" w:rsidTr="00665A83">
        <w:tc>
          <w:tcPr>
            <w:tcW w:w="1104" w:type="pct"/>
            <w:vMerge/>
            <w:vAlign w:val="center"/>
          </w:tcPr>
          <w:p w:rsidR="00E44F75" w:rsidRPr="0026329D" w:rsidRDefault="00E44F75" w:rsidP="00665A83">
            <w:pPr>
              <w:rPr>
                <w:b/>
                <w:bCs/>
                <w:color w:val="000000"/>
                <w:sz w:val="20"/>
                <w:szCs w:val="20"/>
                <w:lang w:val="en-CA"/>
              </w:rPr>
            </w:pPr>
          </w:p>
        </w:tc>
        <w:tc>
          <w:tcPr>
            <w:tcW w:w="3174" w:type="pct"/>
            <w:shd w:val="clear" w:color="auto" w:fill="auto"/>
            <w:vAlign w:val="center"/>
          </w:tcPr>
          <w:p w:rsidR="00E44F75" w:rsidRPr="0026329D" w:rsidRDefault="00E44F75" w:rsidP="00665A83">
            <w:pPr>
              <w:jc w:val="left"/>
              <w:rPr>
                <w:color w:val="000000"/>
                <w:sz w:val="20"/>
                <w:szCs w:val="20"/>
                <w:lang w:val="en-CA"/>
              </w:rPr>
            </w:pPr>
            <w:r w:rsidRPr="0026329D">
              <w:rPr>
                <w:sz w:val="20"/>
                <w:szCs w:val="20"/>
                <w:lang w:val="en-CA"/>
              </w:rPr>
              <w:t>Performance verification</w:t>
            </w:r>
          </w:p>
        </w:tc>
        <w:tc>
          <w:tcPr>
            <w:tcW w:w="722" w:type="pct"/>
            <w:shd w:val="clear" w:color="auto" w:fill="auto"/>
            <w:vAlign w:val="center"/>
          </w:tcPr>
          <w:p w:rsidR="00E44F75" w:rsidRPr="0026329D" w:rsidRDefault="00E44F75" w:rsidP="00665A83">
            <w:pPr>
              <w:jc w:val="right"/>
              <w:rPr>
                <w:color w:val="000000"/>
                <w:sz w:val="20"/>
                <w:szCs w:val="20"/>
                <w:lang w:val="en-CA"/>
              </w:rPr>
            </w:pPr>
            <w:r w:rsidRPr="0026329D">
              <w:rPr>
                <w:color w:val="000000"/>
                <w:sz w:val="20"/>
                <w:szCs w:val="20"/>
                <w:lang w:val="en-CA"/>
              </w:rPr>
              <w:t>330,000</w:t>
            </w:r>
          </w:p>
        </w:tc>
      </w:tr>
      <w:tr w:rsidR="00E44F75" w:rsidRPr="0026329D" w:rsidTr="00665A83">
        <w:tc>
          <w:tcPr>
            <w:tcW w:w="1104" w:type="pct"/>
            <w:vMerge/>
            <w:vAlign w:val="center"/>
          </w:tcPr>
          <w:p w:rsidR="00E44F75" w:rsidRPr="0026329D" w:rsidRDefault="00E44F75" w:rsidP="00665A83">
            <w:pPr>
              <w:rPr>
                <w:b/>
                <w:bCs/>
                <w:color w:val="000000"/>
                <w:sz w:val="20"/>
                <w:szCs w:val="20"/>
                <w:lang w:val="en-CA"/>
              </w:rPr>
            </w:pPr>
          </w:p>
        </w:tc>
        <w:tc>
          <w:tcPr>
            <w:tcW w:w="3174" w:type="pct"/>
            <w:shd w:val="clear" w:color="auto" w:fill="auto"/>
            <w:vAlign w:val="center"/>
          </w:tcPr>
          <w:p w:rsidR="00E44F75" w:rsidRPr="0026329D" w:rsidRDefault="00E44F75" w:rsidP="00665A83">
            <w:pPr>
              <w:jc w:val="left"/>
              <w:rPr>
                <w:sz w:val="20"/>
                <w:szCs w:val="20"/>
                <w:lang w:val="en-CA"/>
              </w:rPr>
            </w:pPr>
            <w:r w:rsidRPr="0026329D">
              <w:rPr>
                <w:sz w:val="20"/>
                <w:szCs w:val="20"/>
                <w:lang w:val="en-CA"/>
              </w:rPr>
              <w:t>Technical consulting service</w:t>
            </w:r>
          </w:p>
        </w:tc>
        <w:tc>
          <w:tcPr>
            <w:tcW w:w="722" w:type="pct"/>
            <w:shd w:val="clear" w:color="auto" w:fill="auto"/>
            <w:vAlign w:val="center"/>
          </w:tcPr>
          <w:p w:rsidR="00E44F75" w:rsidRPr="0026329D" w:rsidRDefault="00E44F75" w:rsidP="00665A83">
            <w:pPr>
              <w:jc w:val="right"/>
              <w:rPr>
                <w:color w:val="000000"/>
                <w:sz w:val="20"/>
                <w:szCs w:val="20"/>
                <w:lang w:val="en-CA"/>
              </w:rPr>
            </w:pPr>
            <w:r w:rsidRPr="0026329D">
              <w:rPr>
                <w:color w:val="000000"/>
                <w:sz w:val="20"/>
                <w:szCs w:val="20"/>
                <w:lang w:val="en-CA"/>
              </w:rPr>
              <w:t>10,000</w:t>
            </w:r>
          </w:p>
        </w:tc>
      </w:tr>
      <w:tr w:rsidR="00E44F75" w:rsidRPr="0026329D" w:rsidTr="00665A83">
        <w:tc>
          <w:tcPr>
            <w:tcW w:w="1104" w:type="pct"/>
            <w:vMerge w:val="restart"/>
            <w:vAlign w:val="center"/>
          </w:tcPr>
          <w:p w:rsidR="00E44F75" w:rsidRPr="0026329D" w:rsidRDefault="00E44F75" w:rsidP="00665A83">
            <w:pPr>
              <w:rPr>
                <w:b/>
                <w:bCs/>
                <w:color w:val="000000"/>
                <w:sz w:val="20"/>
                <w:szCs w:val="20"/>
                <w:lang w:val="en-CA"/>
              </w:rPr>
            </w:pPr>
            <w:r w:rsidRPr="0026329D">
              <w:rPr>
                <w:b/>
                <w:bCs/>
                <w:sz w:val="20"/>
                <w:szCs w:val="20"/>
                <w:lang w:val="en-CA"/>
              </w:rPr>
              <w:t>PMU</w:t>
            </w:r>
          </w:p>
        </w:tc>
        <w:tc>
          <w:tcPr>
            <w:tcW w:w="3174" w:type="pct"/>
            <w:shd w:val="clear" w:color="auto" w:fill="auto"/>
          </w:tcPr>
          <w:p w:rsidR="00E44F75" w:rsidRPr="0026329D" w:rsidRDefault="00E44F75" w:rsidP="00665A83">
            <w:pPr>
              <w:jc w:val="left"/>
              <w:rPr>
                <w:color w:val="000000"/>
                <w:sz w:val="20"/>
                <w:szCs w:val="20"/>
                <w:lang w:val="en-CA"/>
              </w:rPr>
            </w:pPr>
            <w:r w:rsidRPr="0026329D">
              <w:rPr>
                <w:sz w:val="20"/>
                <w:szCs w:val="20"/>
                <w:lang w:val="en-CA"/>
              </w:rPr>
              <w:t>Programme management team</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292,570</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color w:val="000000"/>
                <w:sz w:val="20"/>
                <w:szCs w:val="20"/>
                <w:lang w:val="en-CA"/>
              </w:rPr>
              <w:t>Travelling expenses</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53,009</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color w:val="000000"/>
                <w:sz w:val="20"/>
                <w:szCs w:val="20"/>
                <w:lang w:val="en-CA"/>
              </w:rPr>
              <w:t>Conference expenses</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40,776</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sz w:val="20"/>
                <w:szCs w:val="20"/>
                <w:lang w:val="en-CA"/>
              </w:rPr>
              <w:t>Consulting service fees</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36,699</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color w:val="000000"/>
                <w:sz w:val="20"/>
                <w:szCs w:val="20"/>
                <w:lang w:val="en-CA"/>
              </w:rPr>
              <w:t>Auxiliary personnel fees</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309,899</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color w:val="000000"/>
                <w:sz w:val="20"/>
                <w:szCs w:val="20"/>
                <w:lang w:val="en-CA"/>
              </w:rPr>
              <w:t>Computers, Internet, postal fees, telephone, and printing</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76,455</w:t>
            </w:r>
          </w:p>
        </w:tc>
      </w:tr>
      <w:tr w:rsidR="00E44F75" w:rsidRPr="0026329D" w:rsidTr="00665A83">
        <w:tc>
          <w:tcPr>
            <w:tcW w:w="1104" w:type="pct"/>
            <w:vMerge/>
            <w:vAlign w:val="center"/>
          </w:tcPr>
          <w:p w:rsidR="00E44F75" w:rsidRPr="0026329D" w:rsidRDefault="00E44F75" w:rsidP="00665A83">
            <w:pPr>
              <w:rPr>
                <w:b/>
                <w:bCs/>
                <w:sz w:val="20"/>
                <w:szCs w:val="20"/>
                <w:lang w:val="en-CA"/>
              </w:rPr>
            </w:pPr>
          </w:p>
        </w:tc>
        <w:tc>
          <w:tcPr>
            <w:tcW w:w="3174" w:type="pct"/>
            <w:shd w:val="clear" w:color="auto" w:fill="auto"/>
          </w:tcPr>
          <w:p w:rsidR="00E44F75" w:rsidRPr="0026329D" w:rsidRDefault="00E44F75" w:rsidP="00665A83">
            <w:pPr>
              <w:jc w:val="left"/>
              <w:rPr>
                <w:color w:val="000000"/>
                <w:sz w:val="20"/>
                <w:szCs w:val="20"/>
                <w:lang w:val="en-CA"/>
              </w:rPr>
            </w:pPr>
            <w:r w:rsidRPr="0026329D">
              <w:rPr>
                <w:color w:val="000000"/>
                <w:sz w:val="20"/>
                <w:szCs w:val="20"/>
                <w:lang w:val="en-CA"/>
              </w:rPr>
              <w:t>Office operation service and maintenance, public facilities expenses</w:t>
            </w:r>
          </w:p>
        </w:tc>
        <w:tc>
          <w:tcPr>
            <w:tcW w:w="722" w:type="pct"/>
            <w:shd w:val="clear" w:color="auto" w:fill="auto"/>
          </w:tcPr>
          <w:p w:rsidR="00E44F75" w:rsidRPr="0026329D" w:rsidRDefault="00E44F75" w:rsidP="00665A83">
            <w:pPr>
              <w:jc w:val="right"/>
              <w:rPr>
                <w:color w:val="000000"/>
                <w:sz w:val="20"/>
                <w:szCs w:val="20"/>
                <w:lang w:val="en-CA"/>
              </w:rPr>
            </w:pPr>
            <w:r w:rsidRPr="0026329D">
              <w:rPr>
                <w:sz w:val="20"/>
                <w:szCs w:val="20"/>
                <w:lang w:val="en-CA"/>
              </w:rPr>
              <w:t>209,998</w:t>
            </w:r>
          </w:p>
        </w:tc>
      </w:tr>
      <w:tr w:rsidR="00E44F75" w:rsidRPr="0026329D" w:rsidTr="00665A83">
        <w:tc>
          <w:tcPr>
            <w:tcW w:w="4278" w:type="pct"/>
            <w:gridSpan w:val="2"/>
          </w:tcPr>
          <w:p w:rsidR="00E44F75" w:rsidRPr="0026329D" w:rsidRDefault="00E44F75" w:rsidP="00665A83">
            <w:pPr>
              <w:jc w:val="left"/>
              <w:rPr>
                <w:b/>
                <w:bCs/>
                <w:color w:val="000000"/>
                <w:sz w:val="20"/>
                <w:szCs w:val="20"/>
                <w:lang w:val="en-CA"/>
              </w:rPr>
            </w:pPr>
            <w:r w:rsidRPr="0026329D">
              <w:rPr>
                <w:b/>
                <w:bCs/>
                <w:color w:val="000000"/>
                <w:sz w:val="20"/>
                <w:szCs w:val="20"/>
                <w:lang w:val="en-CA"/>
              </w:rPr>
              <w:t>Total</w:t>
            </w:r>
          </w:p>
        </w:tc>
        <w:tc>
          <w:tcPr>
            <w:tcW w:w="722" w:type="pct"/>
            <w:shd w:val="clear" w:color="auto" w:fill="auto"/>
          </w:tcPr>
          <w:p w:rsidR="00E44F75" w:rsidRPr="0026329D" w:rsidRDefault="00E44F75" w:rsidP="00665A83">
            <w:pPr>
              <w:jc w:val="right"/>
              <w:rPr>
                <w:b/>
                <w:bCs/>
                <w:color w:val="000000"/>
                <w:sz w:val="20"/>
                <w:szCs w:val="20"/>
                <w:lang w:val="en-CA"/>
              </w:rPr>
            </w:pPr>
            <w:r w:rsidRPr="0026329D">
              <w:rPr>
                <w:b/>
                <w:bCs/>
                <w:color w:val="000000"/>
                <w:sz w:val="20"/>
                <w:szCs w:val="20"/>
                <w:lang w:val="en-CA"/>
              </w:rPr>
              <w:t>18,534,654</w:t>
            </w:r>
          </w:p>
        </w:tc>
      </w:tr>
    </w:tbl>
    <w:p w:rsidR="00E44F75" w:rsidRPr="0026329D" w:rsidRDefault="00E44F75" w:rsidP="00E44F75">
      <w:pPr>
        <w:tabs>
          <w:tab w:val="num" w:pos="0"/>
          <w:tab w:val="num" w:pos="720"/>
          <w:tab w:val="num" w:pos="902"/>
        </w:tabs>
        <w:rPr>
          <w:i/>
          <w:sz w:val="24"/>
          <w:lang w:val="en-CA"/>
        </w:rPr>
      </w:pPr>
    </w:p>
    <w:p w:rsidR="00E44F75" w:rsidRPr="0026329D" w:rsidRDefault="00E44F75" w:rsidP="00E44F75">
      <w:pPr>
        <w:pStyle w:val="Heading1"/>
        <w:numPr>
          <w:ilvl w:val="0"/>
          <w:numId w:val="0"/>
        </w:numPr>
        <w:rPr>
          <w:i/>
          <w:lang w:val="en-CA"/>
        </w:rPr>
      </w:pPr>
      <w:r w:rsidRPr="0026329D">
        <w:rPr>
          <w:i/>
          <w:lang w:val="en-CA"/>
        </w:rPr>
        <w:t>Tranche distribution (2021-2026)</w:t>
      </w:r>
    </w:p>
    <w:p w:rsidR="00E44F75" w:rsidRPr="0026329D" w:rsidRDefault="00E44F75" w:rsidP="00E44F75">
      <w:pPr>
        <w:pStyle w:val="Heading1"/>
        <w:rPr>
          <w:lang w:val="en-CA"/>
        </w:rPr>
      </w:pPr>
      <w:r w:rsidRPr="0026329D">
        <w:rPr>
          <w:lang w:val="en-CA"/>
        </w:rPr>
        <w:t xml:space="preserve">The tranche disbursement schedule for the years 2021 to 2026 is contained in </w:t>
      </w:r>
      <w:r w:rsidR="00E52946" w:rsidRPr="0026329D">
        <w:rPr>
          <w:lang w:val="en-CA"/>
        </w:rPr>
        <w:t>Table </w:t>
      </w:r>
      <w:r w:rsidRPr="0026329D">
        <w:rPr>
          <w:lang w:val="en-CA"/>
        </w:rPr>
        <w:t xml:space="preserve">5. The tranche disbursement schedule for </w:t>
      </w:r>
      <w:r w:rsidR="00A81DEE" w:rsidRPr="0026329D">
        <w:rPr>
          <w:lang w:val="en-CA"/>
        </w:rPr>
        <w:t>stage </w:t>
      </w:r>
      <w:r w:rsidRPr="0026329D">
        <w:rPr>
          <w:lang w:val="en-CA"/>
        </w:rPr>
        <w:t xml:space="preserve">II of the XPS foam sector plan is in rows 2.2.1 to 2.2.4 of </w:t>
      </w:r>
      <w:r w:rsidR="00FB35E3" w:rsidRPr="0026329D">
        <w:rPr>
          <w:lang w:val="en-CA"/>
        </w:rPr>
        <w:t>Appendix </w:t>
      </w:r>
      <w:r w:rsidRPr="0026329D">
        <w:rPr>
          <w:lang w:val="en-CA"/>
        </w:rPr>
        <w:t>2</w:t>
      </w:r>
      <w:r w:rsidRPr="0026329D">
        <w:rPr>
          <w:lang w:val="en-CA"/>
        </w:rPr>
        <w:noBreakHyphen/>
        <w:t xml:space="preserve">A of the draft revised Agreement between the Government of China and the Executive Committee submitted by UNDP, </w:t>
      </w:r>
      <w:r w:rsidR="005534CA" w:rsidRPr="0026329D">
        <w:rPr>
          <w:lang w:val="en-CA"/>
        </w:rPr>
        <w:t xml:space="preserve">is contained in </w:t>
      </w:r>
      <w:r w:rsidRPr="0026329D">
        <w:rPr>
          <w:lang w:val="en-CA"/>
        </w:rPr>
        <w:t>Annex I</w:t>
      </w:r>
      <w:r w:rsidR="00337C27" w:rsidRPr="0026329D">
        <w:rPr>
          <w:lang w:val="en-CA"/>
        </w:rPr>
        <w:t>I</w:t>
      </w:r>
      <w:r w:rsidRPr="0026329D">
        <w:rPr>
          <w:lang w:val="en-CA"/>
        </w:rPr>
        <w:t xml:space="preserve"> to the present document.</w:t>
      </w:r>
    </w:p>
    <w:p w:rsidR="00E44F75" w:rsidRPr="0026329D" w:rsidRDefault="00E52946" w:rsidP="00E44F75">
      <w:pPr>
        <w:tabs>
          <w:tab w:val="num" w:pos="0"/>
          <w:tab w:val="num" w:pos="720"/>
          <w:tab w:val="num" w:pos="902"/>
        </w:tabs>
        <w:rPr>
          <w:b/>
          <w:lang w:val="en-CA"/>
        </w:rPr>
      </w:pPr>
      <w:r w:rsidRPr="0026329D">
        <w:rPr>
          <w:b/>
          <w:lang w:val="en-CA"/>
        </w:rPr>
        <w:t>Table </w:t>
      </w:r>
      <w:r w:rsidR="00E44F75" w:rsidRPr="0026329D">
        <w:rPr>
          <w:b/>
          <w:lang w:val="en-CA"/>
        </w:rPr>
        <w:t>5. Tranche distribution XPS foam sector plan 2021-2026 (</w:t>
      </w:r>
      <w:r w:rsidR="00475A50" w:rsidRPr="0026329D">
        <w:rPr>
          <w:b/>
          <w:lang w:val="en-CA"/>
        </w:rPr>
        <w:t>US $</w:t>
      </w:r>
      <w:r w:rsidR="00E44F75" w:rsidRPr="0026329D">
        <w:rPr>
          <w:b/>
          <w:lang w:val="en-CA"/>
        </w:rPr>
        <w:t>)</w:t>
      </w:r>
    </w:p>
    <w:tbl>
      <w:tblPr>
        <w:tblStyle w:val="TableGrid"/>
        <w:tblW w:w="5000" w:type="pct"/>
        <w:tblLook w:val="04A0" w:firstRow="1" w:lastRow="0" w:firstColumn="1" w:lastColumn="0" w:noHBand="0" w:noVBand="1"/>
      </w:tblPr>
      <w:tblGrid>
        <w:gridCol w:w="1449"/>
        <w:gridCol w:w="1202"/>
        <w:gridCol w:w="1379"/>
        <w:gridCol w:w="1379"/>
        <w:gridCol w:w="1379"/>
        <w:gridCol w:w="1379"/>
        <w:gridCol w:w="1273"/>
      </w:tblGrid>
      <w:tr w:rsidR="00E44F75" w:rsidRPr="0026329D" w:rsidTr="00665A83">
        <w:tc>
          <w:tcPr>
            <w:tcW w:w="767" w:type="pct"/>
          </w:tcPr>
          <w:p w:rsidR="00E44F75" w:rsidRPr="0026329D" w:rsidRDefault="00E44F75" w:rsidP="00665A83">
            <w:pPr>
              <w:tabs>
                <w:tab w:val="num" w:pos="0"/>
                <w:tab w:val="num" w:pos="720"/>
                <w:tab w:val="num" w:pos="902"/>
              </w:tabs>
              <w:jc w:val="left"/>
              <w:rPr>
                <w:b/>
                <w:sz w:val="20"/>
                <w:szCs w:val="20"/>
                <w:lang w:val="en-CA"/>
              </w:rPr>
            </w:pPr>
            <w:r w:rsidRPr="0026329D">
              <w:rPr>
                <w:b/>
                <w:sz w:val="20"/>
                <w:szCs w:val="20"/>
                <w:lang w:val="en-CA"/>
              </w:rPr>
              <w:t>Year</w:t>
            </w:r>
          </w:p>
        </w:tc>
        <w:tc>
          <w:tcPr>
            <w:tcW w:w="636"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2021</w:t>
            </w:r>
          </w:p>
        </w:tc>
        <w:tc>
          <w:tcPr>
            <w:tcW w:w="730"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2022</w:t>
            </w:r>
          </w:p>
        </w:tc>
        <w:tc>
          <w:tcPr>
            <w:tcW w:w="730"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2023</w:t>
            </w:r>
          </w:p>
        </w:tc>
        <w:tc>
          <w:tcPr>
            <w:tcW w:w="730"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2024</w:t>
            </w:r>
          </w:p>
        </w:tc>
        <w:tc>
          <w:tcPr>
            <w:tcW w:w="730"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2025</w:t>
            </w:r>
          </w:p>
        </w:tc>
        <w:tc>
          <w:tcPr>
            <w:tcW w:w="674" w:type="pct"/>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2026</w:t>
            </w:r>
          </w:p>
        </w:tc>
      </w:tr>
      <w:tr w:rsidR="00E44F75" w:rsidRPr="0026329D" w:rsidTr="00665A83">
        <w:tc>
          <w:tcPr>
            <w:tcW w:w="767" w:type="pct"/>
          </w:tcPr>
          <w:p w:rsidR="00E44F75" w:rsidRPr="0026329D" w:rsidRDefault="00E44F75" w:rsidP="00665A83">
            <w:pPr>
              <w:tabs>
                <w:tab w:val="num" w:pos="0"/>
                <w:tab w:val="num" w:pos="720"/>
                <w:tab w:val="num" w:pos="902"/>
              </w:tabs>
              <w:rPr>
                <w:b/>
                <w:sz w:val="20"/>
                <w:szCs w:val="20"/>
                <w:lang w:val="en-CA"/>
              </w:rPr>
            </w:pPr>
            <w:r w:rsidRPr="0026329D">
              <w:rPr>
                <w:b/>
                <w:sz w:val="20"/>
                <w:szCs w:val="20"/>
                <w:lang w:val="en-CA"/>
              </w:rPr>
              <w:t xml:space="preserve">Tranche value </w:t>
            </w:r>
          </w:p>
        </w:tc>
        <w:tc>
          <w:tcPr>
            <w:tcW w:w="636"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5,000,000</w:t>
            </w:r>
          </w:p>
        </w:tc>
        <w:tc>
          <w:tcPr>
            <w:tcW w:w="730"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2,000,000</w:t>
            </w:r>
          </w:p>
        </w:tc>
        <w:tc>
          <w:tcPr>
            <w:tcW w:w="730"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3,000,000</w:t>
            </w:r>
          </w:p>
        </w:tc>
        <w:tc>
          <w:tcPr>
            <w:tcW w:w="730"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1,000,000</w:t>
            </w:r>
          </w:p>
        </w:tc>
        <w:tc>
          <w:tcPr>
            <w:tcW w:w="730"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4,000,000</w:t>
            </w:r>
          </w:p>
        </w:tc>
        <w:tc>
          <w:tcPr>
            <w:tcW w:w="674" w:type="pct"/>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3,534,654</w:t>
            </w:r>
          </w:p>
        </w:tc>
      </w:tr>
    </w:tbl>
    <w:p w:rsidR="00E44F75" w:rsidRPr="0026329D" w:rsidRDefault="00E44F75" w:rsidP="00E44F75">
      <w:pPr>
        <w:tabs>
          <w:tab w:val="num" w:pos="0"/>
          <w:tab w:val="num" w:pos="720"/>
          <w:tab w:val="num" w:pos="902"/>
        </w:tabs>
        <w:rPr>
          <w:b/>
          <w:lang w:val="en-CA"/>
        </w:rPr>
      </w:pPr>
    </w:p>
    <w:p w:rsidR="00E44F75" w:rsidRPr="0026329D" w:rsidRDefault="00E44F75" w:rsidP="00E44F75">
      <w:pPr>
        <w:keepNext/>
        <w:keepLines/>
        <w:tabs>
          <w:tab w:val="num" w:pos="0"/>
          <w:tab w:val="num" w:pos="720"/>
          <w:tab w:val="num" w:pos="902"/>
        </w:tabs>
        <w:spacing w:afterLines="50" w:after="120"/>
        <w:rPr>
          <w:b/>
          <w:lang w:val="en-CA"/>
        </w:rPr>
      </w:pPr>
      <w:r w:rsidRPr="0026329D">
        <w:rPr>
          <w:b/>
          <w:lang w:val="en-CA"/>
        </w:rPr>
        <w:t>Secretariat’s comments</w:t>
      </w:r>
    </w:p>
    <w:p w:rsidR="00E44F75" w:rsidRPr="0026329D" w:rsidRDefault="00E44F75" w:rsidP="00E44F75">
      <w:pPr>
        <w:pStyle w:val="Heading1"/>
        <w:keepNext/>
        <w:keepLines/>
        <w:rPr>
          <w:lang w:val="en-CA"/>
        </w:rPr>
      </w:pPr>
      <w:r w:rsidRPr="0026329D">
        <w:rPr>
          <w:lang w:val="en-CA"/>
        </w:rPr>
        <w:t xml:space="preserve">The Secretariat notes that the overall cost of </w:t>
      </w:r>
      <w:r w:rsidR="00A81DEE" w:rsidRPr="0026329D">
        <w:rPr>
          <w:lang w:val="en-CA"/>
        </w:rPr>
        <w:t>stage </w:t>
      </w:r>
      <w:r w:rsidRPr="0026329D">
        <w:rPr>
          <w:lang w:val="en-CA"/>
        </w:rPr>
        <w:t xml:space="preserve">II of the XPS foam sector plan has been adjusted from </w:t>
      </w:r>
      <w:r w:rsidR="00475A50" w:rsidRPr="0026329D">
        <w:rPr>
          <w:lang w:val="en-CA"/>
        </w:rPr>
        <w:t>US $</w:t>
      </w:r>
      <w:r w:rsidRPr="0026329D">
        <w:rPr>
          <w:lang w:val="en-CA"/>
        </w:rPr>
        <w:t xml:space="preserve">112,786,630 to </w:t>
      </w:r>
      <w:r w:rsidR="00475A50" w:rsidRPr="0026329D">
        <w:rPr>
          <w:lang w:val="en-CA"/>
        </w:rPr>
        <w:t>US $</w:t>
      </w:r>
      <w:r w:rsidRPr="0026329D">
        <w:rPr>
          <w:lang w:val="en-CA"/>
        </w:rPr>
        <w:t xml:space="preserve">44,939,952, out of which </w:t>
      </w:r>
      <w:r w:rsidR="00475A50" w:rsidRPr="0026329D">
        <w:rPr>
          <w:lang w:val="en-CA"/>
        </w:rPr>
        <w:t>US $</w:t>
      </w:r>
      <w:r w:rsidRPr="0026329D">
        <w:rPr>
          <w:lang w:val="en-CA"/>
        </w:rPr>
        <w:t xml:space="preserve">26,405,298 have been approved in previous tranches. The level of funds allocated for the period 2021-2026 is </w:t>
      </w:r>
      <w:r w:rsidR="00475A50" w:rsidRPr="0026329D">
        <w:rPr>
          <w:lang w:val="en-CA"/>
        </w:rPr>
        <w:t>US $</w:t>
      </w:r>
      <w:r w:rsidRPr="0026329D">
        <w:rPr>
          <w:lang w:val="en-CA"/>
        </w:rPr>
        <w:t>18,534,654.</w:t>
      </w:r>
    </w:p>
    <w:p w:rsidR="00E44F75" w:rsidRPr="0026329D" w:rsidRDefault="00E44F75" w:rsidP="006D40F7">
      <w:pPr>
        <w:pStyle w:val="Heading1"/>
        <w:rPr>
          <w:lang w:val="en-CA"/>
        </w:rPr>
      </w:pPr>
      <w:r w:rsidRPr="0026329D">
        <w:rPr>
          <w:lang w:val="en-CA"/>
        </w:rPr>
        <w:t xml:space="preserve">In average, the combined cost-effectiveness threshold for individual conversions has been reduced from </w:t>
      </w:r>
      <w:r w:rsidR="00475A50" w:rsidRPr="0026329D">
        <w:rPr>
          <w:lang w:val="en-CA"/>
        </w:rPr>
        <w:t>US $</w:t>
      </w:r>
      <w:r w:rsidRPr="0026329D">
        <w:rPr>
          <w:lang w:val="en-CA"/>
        </w:rPr>
        <w:t xml:space="preserve">5.60/kg for the 10 enterprises already assisted to </w:t>
      </w:r>
      <w:r w:rsidR="00475A50" w:rsidRPr="0026329D">
        <w:rPr>
          <w:lang w:val="en-CA"/>
        </w:rPr>
        <w:t>US $</w:t>
      </w:r>
      <w:r w:rsidRPr="0026329D">
        <w:rPr>
          <w:lang w:val="en-CA"/>
        </w:rPr>
        <w:t>4.00/kg for the 11 new ones, in order to accommodate the maximum possible number of enterprises within the available funding. Consequently, the assisted enterprises will provide a larger share of co-financing, and a large number of enterprises will convert with their own funding.</w:t>
      </w:r>
    </w:p>
    <w:p w:rsidR="00E44F75" w:rsidRPr="0026329D" w:rsidRDefault="00E44F75" w:rsidP="00E44F75">
      <w:pPr>
        <w:pStyle w:val="Heading1"/>
        <w:rPr>
          <w:lang w:val="en-CA"/>
        </w:rPr>
      </w:pPr>
      <w:r w:rsidRPr="0026329D">
        <w:rPr>
          <w:lang w:val="en-CA"/>
        </w:rPr>
        <w:t>Noting that a large number of enterprises will not receive funding for conversion, the Secretariat asked how the revised plan of action envisaged monitoring overall HCFC phase-out in the sector, especially by the non-assisted enterprises. UNIDO explained that the TA and policy components will direct substantial efforts and resources into building the capacity of local EEBs for monitoring, while the PMU will also provide necessary technical input and sector information to the MEE, the EEBs, and the industry. Ultimately, the Government of China assumes full monitoring responsibility during the implementation of the sector plan</w:t>
      </w:r>
      <w:r w:rsidR="00A9529F" w:rsidRPr="0026329D">
        <w:rPr>
          <w:lang w:val="en-CA"/>
        </w:rPr>
        <w:t xml:space="preserve">; </w:t>
      </w:r>
      <w:r w:rsidRPr="0026329D">
        <w:rPr>
          <w:lang w:val="en-CA"/>
        </w:rPr>
        <w:t>the PMU will provide technical input and sector information to the MEE</w:t>
      </w:r>
      <w:r w:rsidR="00A9529F" w:rsidRPr="0026329D">
        <w:rPr>
          <w:lang w:val="en-CA"/>
        </w:rPr>
        <w:t>,</w:t>
      </w:r>
      <w:r w:rsidRPr="0026329D">
        <w:rPr>
          <w:lang w:val="en-CA"/>
        </w:rPr>
        <w:t xml:space="preserve"> the EEBs, </w:t>
      </w:r>
      <w:r w:rsidR="00A9529F" w:rsidRPr="0026329D">
        <w:rPr>
          <w:lang w:val="en-CA"/>
        </w:rPr>
        <w:t xml:space="preserve">and </w:t>
      </w:r>
      <w:r w:rsidRPr="0026329D">
        <w:rPr>
          <w:lang w:val="en-CA"/>
        </w:rPr>
        <w:t>the industry.</w:t>
      </w:r>
    </w:p>
    <w:p w:rsidR="00E44F75" w:rsidRPr="0026329D" w:rsidRDefault="00E44F75" w:rsidP="00081B71">
      <w:pPr>
        <w:pStyle w:val="Heading1"/>
        <w:keepNext/>
        <w:keepLines/>
        <w:rPr>
          <w:rFonts w:eastAsia="DengXian"/>
          <w:lang w:val="en-CA"/>
        </w:rPr>
      </w:pPr>
      <w:r w:rsidRPr="0026329D">
        <w:rPr>
          <w:lang w:val="en-CA"/>
        </w:rPr>
        <w:t>Regarding the enterprises that are not directly assisted through conversion projects, the Secretariat inquired whether they would receive support through the TA component to facilitate their conversion to low</w:t>
      </w:r>
      <w:r w:rsidR="00081B71">
        <w:rPr>
          <w:lang w:val="en-CA"/>
        </w:rPr>
        <w:noBreakHyphen/>
      </w:r>
      <w:r w:rsidRPr="0026329D">
        <w:rPr>
          <w:lang w:val="en-CA"/>
        </w:rPr>
        <w:t xml:space="preserve">GWP alternatives. UNIDO explained that the TA component </w:t>
      </w:r>
      <w:r w:rsidRPr="0026329D">
        <w:rPr>
          <w:rFonts w:eastAsia="DengXian"/>
          <w:lang w:val="en-CA"/>
        </w:rPr>
        <w:t>will benefit the transition to low-GWP alternatives by enterprises not assisted through investment projects, and highlighted four activities:</w:t>
      </w:r>
    </w:p>
    <w:p w:rsidR="00E44F75" w:rsidRPr="0026329D" w:rsidRDefault="00E44F75" w:rsidP="00E44F75">
      <w:pPr>
        <w:pStyle w:val="Heading2"/>
        <w:rPr>
          <w:rFonts w:eastAsia="DengXian"/>
          <w:lang w:val="en-CA"/>
        </w:rPr>
      </w:pPr>
      <w:r w:rsidRPr="0026329D">
        <w:rPr>
          <w:rFonts w:eastAsia="DengXian"/>
          <w:lang w:val="en-CA"/>
        </w:rPr>
        <w:t>Training and technical support to enterprises to guide them in adopting low</w:t>
      </w:r>
      <w:r w:rsidRPr="0026329D">
        <w:rPr>
          <w:rFonts w:eastAsia="DengXian"/>
          <w:lang w:val="en-CA"/>
        </w:rPr>
        <w:noBreakHyphen/>
        <w:t>GWP alternatives, especially on the aspects of technical formulas, equipment, on</w:t>
      </w:r>
      <w:r w:rsidRPr="0026329D">
        <w:rPr>
          <w:rFonts w:eastAsia="DengXian"/>
          <w:lang w:val="en-CA"/>
        </w:rPr>
        <w:noBreakHyphen/>
        <w:t>site start</w:t>
      </w:r>
      <w:r w:rsidRPr="0026329D">
        <w:rPr>
          <w:rFonts w:eastAsia="DengXian"/>
          <w:lang w:val="en-CA"/>
        </w:rPr>
        <w:noBreakHyphen/>
        <w:t xml:space="preserve">up technologies, product testing, and fire safety; </w:t>
      </w:r>
    </w:p>
    <w:p w:rsidR="00E44F75" w:rsidRPr="0026329D" w:rsidRDefault="00E44F75" w:rsidP="00E44F75">
      <w:pPr>
        <w:pStyle w:val="Heading2"/>
        <w:rPr>
          <w:rFonts w:eastAsia="DengXian"/>
          <w:lang w:val="en-CA"/>
        </w:rPr>
      </w:pPr>
      <w:r w:rsidRPr="0026329D">
        <w:rPr>
          <w:rFonts w:eastAsia="DengXian"/>
          <w:lang w:val="en-CA"/>
        </w:rPr>
        <w:t xml:space="preserve">Workshops to disseminate relevant policies and regulations, as well as share the experiences of beneficiaries; </w:t>
      </w:r>
    </w:p>
    <w:p w:rsidR="00E44F75" w:rsidRPr="0026329D" w:rsidRDefault="00E44F75" w:rsidP="00E44F75">
      <w:pPr>
        <w:pStyle w:val="Heading2"/>
        <w:rPr>
          <w:rFonts w:eastAsia="DengXian"/>
          <w:lang w:val="en-CA"/>
        </w:rPr>
      </w:pPr>
      <w:r w:rsidRPr="0026329D">
        <w:rPr>
          <w:rFonts w:eastAsia="DengXian"/>
          <w:lang w:val="en-CA"/>
        </w:rPr>
        <w:t>Optimization and evaluation of the equipment and technologies to provide timely technical advice and guidance to the industry during the conversion process; and</w:t>
      </w:r>
    </w:p>
    <w:p w:rsidR="00E44F75" w:rsidRPr="0026329D" w:rsidRDefault="00E44F75" w:rsidP="002E42DE">
      <w:pPr>
        <w:pStyle w:val="Heading2"/>
        <w:rPr>
          <w:rFonts w:eastAsia="DengXian"/>
          <w:lang w:val="en-CA"/>
        </w:rPr>
      </w:pPr>
      <w:r w:rsidRPr="0026329D">
        <w:rPr>
          <w:rFonts w:eastAsia="DengXian"/>
          <w:lang w:val="en-CA"/>
        </w:rPr>
        <w:t>Formulation and revision of technical standards, which will also contribute to the market uptake of low-GWP alternatives. The Government of China also plans to issue the recommended catalogue of alternatives to HCFCs in various sectors in order to guide the industry in the selection of low-GWP alternative technologies when replacing HCFCs.</w:t>
      </w:r>
    </w:p>
    <w:p w:rsidR="00E44F75" w:rsidRPr="0026329D" w:rsidRDefault="003304E4" w:rsidP="00E44F75">
      <w:pPr>
        <w:rPr>
          <w:b/>
          <w:lang w:val="en-CA"/>
        </w:rPr>
      </w:pPr>
      <w:r w:rsidRPr="0026329D">
        <w:rPr>
          <w:b/>
          <w:lang w:val="en-CA"/>
        </w:rPr>
        <w:t>Recommendation</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The Executive Committee may wish to approve the revised plan of action for </w:t>
      </w:r>
      <w:r w:rsidR="00A81DEE" w:rsidRPr="0026329D">
        <w:rPr>
          <w:lang w:val="en-CA"/>
        </w:rPr>
        <w:t>stage </w:t>
      </w:r>
      <w:r w:rsidRPr="0026329D">
        <w:rPr>
          <w:lang w:val="en-CA"/>
        </w:rPr>
        <w:t>II of the extruded polystyrene (XPS) foam sector plan submitted by UNIDO in line with decision 84/69(a)(iv)b. and (v) as described in document UNEP/OzL.Pro/ExCom/86/21/Add.1.</w:t>
      </w:r>
    </w:p>
    <w:p w:rsidR="00E44F75" w:rsidRPr="0026329D" w:rsidRDefault="00A9529F" w:rsidP="002E42DE">
      <w:pPr>
        <w:keepNext/>
        <w:rPr>
          <w:b/>
          <w:lang w:val="en-CA"/>
        </w:rPr>
      </w:pPr>
      <w:r w:rsidRPr="0026329D">
        <w:rPr>
          <w:b/>
          <w:lang w:val="en-CA"/>
        </w:rPr>
        <w:t xml:space="preserve">REVISED POLYURETHANE (PU) FOAM SECTOR PLAN </w:t>
      </w:r>
      <w:r w:rsidR="00E44F75" w:rsidRPr="0026329D">
        <w:rPr>
          <w:b/>
          <w:lang w:val="en-CA"/>
        </w:rPr>
        <w:t>(World Bank)</w:t>
      </w:r>
    </w:p>
    <w:p w:rsidR="00E44F75" w:rsidRPr="0026329D" w:rsidRDefault="00E44F75" w:rsidP="00E44F75">
      <w:pPr>
        <w:rPr>
          <w:lang w:val="en-CA"/>
        </w:rPr>
      </w:pPr>
    </w:p>
    <w:p w:rsidR="00A84275" w:rsidRPr="0026329D" w:rsidRDefault="00A84275" w:rsidP="00E44F75">
      <w:pPr>
        <w:rPr>
          <w:b/>
          <w:lang w:val="en-CA"/>
        </w:rPr>
      </w:pPr>
      <w:r w:rsidRPr="0026329D">
        <w:rPr>
          <w:b/>
          <w:lang w:val="en-CA"/>
        </w:rPr>
        <w:t>Sector plan description</w:t>
      </w:r>
    </w:p>
    <w:p w:rsidR="00A84275" w:rsidRPr="0026329D" w:rsidRDefault="00A84275" w:rsidP="00E44F75">
      <w:pPr>
        <w:rPr>
          <w:lang w:val="en-CA"/>
        </w:rPr>
      </w:pPr>
    </w:p>
    <w:p w:rsidR="00E44F75" w:rsidRPr="0026329D" w:rsidRDefault="00E44F75" w:rsidP="00E44F75">
      <w:pPr>
        <w:rPr>
          <w:b/>
          <w:lang w:val="en-CA"/>
        </w:rPr>
      </w:pPr>
      <w:r w:rsidRPr="0026329D">
        <w:rPr>
          <w:b/>
          <w:lang w:val="en-CA"/>
        </w:rPr>
        <w:t>Background</w:t>
      </w:r>
    </w:p>
    <w:p w:rsidR="00E44F75" w:rsidRPr="0026329D" w:rsidRDefault="00E44F75" w:rsidP="00E44F75">
      <w:pPr>
        <w:rPr>
          <w:b/>
          <w:lang w:val="en-CA"/>
        </w:rPr>
      </w:pPr>
    </w:p>
    <w:p w:rsidR="00E44F75" w:rsidRPr="0026329D" w:rsidRDefault="00E44F75" w:rsidP="00E44F75">
      <w:pPr>
        <w:pStyle w:val="Heading1"/>
        <w:rPr>
          <w:lang w:val="en-CA"/>
        </w:rPr>
      </w:pPr>
      <w:r w:rsidRPr="0026329D">
        <w:rPr>
          <w:lang w:val="en-CA"/>
        </w:rPr>
        <w:t>At its 77</w:t>
      </w:r>
      <w:r w:rsidRPr="0026329D">
        <w:rPr>
          <w:vertAlign w:val="superscript"/>
          <w:lang w:val="en-CA"/>
        </w:rPr>
        <w:t>th</w:t>
      </w:r>
      <w:r w:rsidRPr="0026329D">
        <w:rPr>
          <w:lang w:val="en-CA"/>
        </w:rPr>
        <w:t xml:space="preserve"> meeting, the Executive Committee approved the PU foam manufacturing sector plan of </w:t>
      </w:r>
      <w:r w:rsidR="00A81DEE" w:rsidRPr="0026329D">
        <w:rPr>
          <w:lang w:val="en-CA"/>
        </w:rPr>
        <w:t>stage </w:t>
      </w:r>
      <w:r w:rsidRPr="0026329D">
        <w:rPr>
          <w:lang w:val="en-CA"/>
        </w:rPr>
        <w:t>II of the HCFC phase-out management plan (HPMP) to achieve, by 2026, total phase</w:t>
      </w:r>
      <w:r w:rsidRPr="0026329D">
        <w:rPr>
          <w:lang w:val="en-CA"/>
        </w:rPr>
        <w:noBreakHyphen/>
        <w:t xml:space="preserve">out of HCFCs in the sector, in the amount of </w:t>
      </w:r>
      <w:r w:rsidR="00475A50" w:rsidRPr="0026329D">
        <w:rPr>
          <w:lang w:val="en-CA"/>
        </w:rPr>
        <w:t>US $</w:t>
      </w:r>
      <w:r w:rsidRPr="0026329D">
        <w:rPr>
          <w:lang w:val="en-CA"/>
        </w:rPr>
        <w:t xml:space="preserve">141,471,210 of the total amount approved in principle for </w:t>
      </w:r>
      <w:r w:rsidR="00A81DEE" w:rsidRPr="0026329D">
        <w:rPr>
          <w:lang w:val="en-CA"/>
        </w:rPr>
        <w:t>stage </w:t>
      </w:r>
      <w:r w:rsidRPr="0026329D">
        <w:rPr>
          <w:lang w:val="en-CA"/>
        </w:rPr>
        <w:t xml:space="preserve">II, plus agency support costs for the World Bank. At that meeting, the Executive Committee also approved the first tranche of the PU foam sector plan, and the corresponding 2017 tranche implementation plan. </w:t>
      </w:r>
    </w:p>
    <w:p w:rsidR="00E44F75" w:rsidRPr="0026329D" w:rsidRDefault="00E44F75" w:rsidP="00E44F75">
      <w:pPr>
        <w:pStyle w:val="Heading1"/>
        <w:rPr>
          <w:lang w:val="en-CA"/>
        </w:rPr>
      </w:pPr>
      <w:r w:rsidRPr="0026329D">
        <w:rPr>
          <w:lang w:val="en-CA"/>
        </w:rPr>
        <w:t>At its 85</w:t>
      </w:r>
      <w:r w:rsidRPr="0026329D">
        <w:rPr>
          <w:vertAlign w:val="superscript"/>
          <w:lang w:val="en-CA"/>
        </w:rPr>
        <w:t>th</w:t>
      </w:r>
      <w:r w:rsidRPr="0026329D">
        <w:rPr>
          <w:lang w:val="en-CA"/>
        </w:rPr>
        <w:t xml:space="preserve"> meeting, the Executive Committee approved the second tranche of the PU foam sector plan of </w:t>
      </w:r>
      <w:r w:rsidR="00A81DEE" w:rsidRPr="0026329D">
        <w:rPr>
          <w:lang w:val="en-CA"/>
        </w:rPr>
        <w:t>stage </w:t>
      </w:r>
      <w:r w:rsidRPr="0026329D">
        <w:rPr>
          <w:lang w:val="en-CA"/>
        </w:rPr>
        <w:t xml:space="preserve">II of the HPMP, and the corresponding 2020-2021 tranche implementation plan. Overall, a total of </w:t>
      </w:r>
      <w:r w:rsidR="00475A50" w:rsidRPr="0026329D">
        <w:rPr>
          <w:lang w:val="en-CA"/>
        </w:rPr>
        <w:t>US $</w:t>
      </w:r>
      <w:r w:rsidRPr="0026329D">
        <w:rPr>
          <w:lang w:val="en-CA"/>
        </w:rPr>
        <w:t xml:space="preserve">9,112,039, plus agency support cost for the World Bank, has been approved so far. </w:t>
      </w:r>
    </w:p>
    <w:p w:rsidR="00E44F75" w:rsidRPr="0026329D" w:rsidRDefault="00E44F75" w:rsidP="00E44F75">
      <w:pPr>
        <w:pStyle w:val="Heading1"/>
        <w:rPr>
          <w:lang w:val="en-CA"/>
        </w:rPr>
      </w:pPr>
      <w:r w:rsidRPr="0026329D">
        <w:rPr>
          <w:lang w:val="en-CA"/>
        </w:rPr>
        <w:t>As of mid-2020, 11 phase-out projects had been signed, four enterprises had adopted cyclopentane technology, five enterprises had adopted water-blown technology, and two enterprises had adopted HFO technology. The ongoing contracts involve seven panel, one pipe insulation, one solar water heater, and two integral skins enterprises to phase out 1,189.17 metric tonnes (mt) of HCFC-141b.</w:t>
      </w:r>
    </w:p>
    <w:p w:rsidR="00E44F75" w:rsidRPr="0026329D" w:rsidRDefault="00E44F75" w:rsidP="00081B71">
      <w:pPr>
        <w:keepNext/>
        <w:keepLines/>
        <w:rPr>
          <w:b/>
          <w:lang w:val="en-CA"/>
        </w:rPr>
      </w:pPr>
      <w:r w:rsidRPr="0026329D">
        <w:rPr>
          <w:b/>
          <w:lang w:val="en-CA"/>
        </w:rPr>
        <w:t>Revised plan of action</w:t>
      </w:r>
    </w:p>
    <w:p w:rsidR="00E44F75" w:rsidRPr="0026329D" w:rsidRDefault="00E44F75" w:rsidP="00081B71">
      <w:pPr>
        <w:keepNext/>
        <w:keepLines/>
        <w:rPr>
          <w:lang w:val="en-CA"/>
        </w:rPr>
      </w:pPr>
    </w:p>
    <w:p w:rsidR="00E44F75" w:rsidRPr="0026329D" w:rsidRDefault="00E44F75" w:rsidP="00081B71">
      <w:pPr>
        <w:pStyle w:val="Heading1"/>
        <w:keepNext/>
        <w:keepLines/>
        <w:rPr>
          <w:lang w:val="en-CA"/>
        </w:rPr>
      </w:pPr>
      <w:r w:rsidRPr="0026329D">
        <w:rPr>
          <w:lang w:val="en-CA"/>
        </w:rPr>
        <w:t xml:space="preserve">In line with decision 84/69(a)(iv)b and (v), the World Bank, as the lead implementing agency, has submitted on behalf of the Government of China a revised plan of action for </w:t>
      </w:r>
      <w:r w:rsidR="00A81DEE" w:rsidRPr="0026329D">
        <w:rPr>
          <w:lang w:val="en-CA"/>
        </w:rPr>
        <w:t>stage </w:t>
      </w:r>
      <w:r w:rsidRPr="0026329D">
        <w:rPr>
          <w:lang w:val="en-CA"/>
        </w:rPr>
        <w:t xml:space="preserve">II of the PU foam sector plan, for the years 2021 to 2026, at a cost of </w:t>
      </w:r>
      <w:r w:rsidR="00475A50" w:rsidRPr="0026329D">
        <w:rPr>
          <w:lang w:val="en-CA"/>
        </w:rPr>
        <w:t>US $</w:t>
      </w:r>
      <w:r w:rsidRPr="0026329D">
        <w:rPr>
          <w:lang w:val="en-CA"/>
        </w:rPr>
        <w:t xml:space="preserve">19,200,000, plus agency support costs of </w:t>
      </w:r>
      <w:r w:rsidR="00475A50" w:rsidRPr="0026329D">
        <w:rPr>
          <w:lang w:val="en-CA"/>
        </w:rPr>
        <w:t>US $</w:t>
      </w:r>
      <w:r w:rsidRPr="0026329D">
        <w:rPr>
          <w:lang w:val="en-CA"/>
        </w:rPr>
        <w:t>1,344,000 for the World Bank.</w:t>
      </w:r>
      <w:r w:rsidRPr="0026329D">
        <w:rPr>
          <w:rStyle w:val="FootnoteReference"/>
          <w:lang w:val="en-CA"/>
        </w:rPr>
        <w:footnoteReference w:id="26"/>
      </w:r>
      <w:r w:rsidRPr="0026329D">
        <w:rPr>
          <w:lang w:val="en-CA"/>
        </w:rPr>
        <w:t xml:space="preserve"> </w:t>
      </w:r>
    </w:p>
    <w:p w:rsidR="00E44F75" w:rsidRPr="0026329D" w:rsidRDefault="00E44F75" w:rsidP="00E44F75">
      <w:pPr>
        <w:pStyle w:val="Heading1"/>
        <w:rPr>
          <w:lang w:val="en-CA"/>
        </w:rPr>
      </w:pPr>
      <w:r w:rsidRPr="0026329D">
        <w:rPr>
          <w:lang w:val="en-CA"/>
        </w:rPr>
        <w:t xml:space="preserve">Noting that between 2016 and 2020, </w:t>
      </w:r>
      <w:r w:rsidR="00475A50" w:rsidRPr="0026329D">
        <w:rPr>
          <w:lang w:val="en-CA"/>
        </w:rPr>
        <w:t>US $</w:t>
      </w:r>
      <w:r w:rsidRPr="0026329D">
        <w:rPr>
          <w:lang w:val="en-CA"/>
        </w:rPr>
        <w:t xml:space="preserve">9,112,039, plus agency support costs have already been approved for the PU foam sector plan, the revised approval in principle for the entire PU foam sector plan is </w:t>
      </w:r>
      <w:r w:rsidR="00475A50" w:rsidRPr="0026329D">
        <w:rPr>
          <w:lang w:val="en-CA"/>
        </w:rPr>
        <w:t>US $</w:t>
      </w:r>
      <w:r w:rsidRPr="0026329D">
        <w:rPr>
          <w:lang w:val="en-CA"/>
        </w:rPr>
        <w:t>28,312,039, plus agency support costs for the World Bank.</w:t>
      </w:r>
      <w:r w:rsidR="00475A50" w:rsidRPr="0026329D">
        <w:rPr>
          <w:lang w:val="en-CA"/>
        </w:rPr>
        <w:t xml:space="preserve"> </w:t>
      </w:r>
    </w:p>
    <w:p w:rsidR="00E44F75" w:rsidRPr="0026329D" w:rsidRDefault="00E44F75" w:rsidP="00A9529F">
      <w:pPr>
        <w:widowControl w:val="0"/>
        <w:numPr>
          <w:ilvl w:val="0"/>
          <w:numId w:val="1"/>
        </w:numPr>
        <w:spacing w:after="240"/>
        <w:outlineLvl w:val="0"/>
        <w:rPr>
          <w:lang w:val="en-CA"/>
        </w:rPr>
      </w:pPr>
      <w:r w:rsidRPr="0026329D">
        <w:rPr>
          <w:lang w:val="en-CA"/>
        </w:rPr>
        <w:t xml:space="preserve">In line with the draft revised Agreement submitted by UNDP to the present meeting, no funding is being requested at the present meeting. The next tranche of </w:t>
      </w:r>
      <w:r w:rsidR="00A81DEE" w:rsidRPr="0026329D">
        <w:rPr>
          <w:lang w:val="en-CA"/>
        </w:rPr>
        <w:t>stage </w:t>
      </w:r>
      <w:r w:rsidRPr="0026329D">
        <w:rPr>
          <w:lang w:val="en-CA"/>
        </w:rPr>
        <w:t xml:space="preserve">II of the PU foam sector plan of </w:t>
      </w:r>
      <w:r w:rsidR="00475A50" w:rsidRPr="0026329D">
        <w:rPr>
          <w:lang w:val="en-CA"/>
        </w:rPr>
        <w:t>US $</w:t>
      </w:r>
      <w:r w:rsidRPr="0026329D">
        <w:rPr>
          <w:lang w:val="en-CA"/>
        </w:rPr>
        <w:t xml:space="preserve">4,000,000, plus agency support costs of </w:t>
      </w:r>
      <w:r w:rsidR="00475A50" w:rsidRPr="0026329D">
        <w:rPr>
          <w:lang w:val="en-CA"/>
        </w:rPr>
        <w:t>US $</w:t>
      </w:r>
      <w:r w:rsidRPr="0026329D">
        <w:rPr>
          <w:lang w:val="en-CA"/>
        </w:rPr>
        <w:t>280,000 for the World Bank, will be submitted to the second meeting of 2021.</w:t>
      </w:r>
    </w:p>
    <w:p w:rsidR="00E44F75" w:rsidRPr="0026329D" w:rsidRDefault="00E44F75" w:rsidP="00E2305C">
      <w:pPr>
        <w:keepNext/>
        <w:keepLines/>
        <w:rPr>
          <w:u w:val="single"/>
          <w:lang w:val="en-CA"/>
        </w:rPr>
      </w:pPr>
      <w:r w:rsidRPr="0026329D">
        <w:rPr>
          <w:u w:val="single"/>
          <w:lang w:val="en-CA"/>
        </w:rPr>
        <w:t>HCFC consumption targets</w:t>
      </w:r>
    </w:p>
    <w:p w:rsidR="00E44F75" w:rsidRPr="0026329D" w:rsidRDefault="00E44F75" w:rsidP="00E2305C">
      <w:pPr>
        <w:keepNext/>
        <w:keepLines/>
        <w:rPr>
          <w:lang w:val="en-CA"/>
        </w:rPr>
      </w:pPr>
    </w:p>
    <w:p w:rsidR="00E44F75" w:rsidRPr="0026329D" w:rsidRDefault="00E44F75" w:rsidP="00E2305C">
      <w:pPr>
        <w:pStyle w:val="Heading1"/>
        <w:keepNext/>
        <w:keepLines/>
        <w:rPr>
          <w:lang w:val="en-CA"/>
        </w:rPr>
      </w:pPr>
      <w:r w:rsidRPr="0026329D">
        <w:rPr>
          <w:lang w:val="en-CA"/>
        </w:rPr>
        <w:t xml:space="preserve">The HCFC phase-out timeline for </w:t>
      </w:r>
      <w:r w:rsidR="00A81DEE" w:rsidRPr="0026329D">
        <w:rPr>
          <w:lang w:val="en-CA"/>
        </w:rPr>
        <w:t>stage </w:t>
      </w:r>
      <w:r w:rsidRPr="0026329D">
        <w:rPr>
          <w:lang w:val="en-CA"/>
        </w:rPr>
        <w:t xml:space="preserve">II of the PU foam sector plan is shown in Table 1 and reflected in row 1.3.3 of </w:t>
      </w:r>
      <w:r w:rsidR="00FB35E3" w:rsidRPr="0026329D">
        <w:rPr>
          <w:lang w:val="en-CA"/>
        </w:rPr>
        <w:t>Appendix </w:t>
      </w:r>
      <w:r w:rsidRPr="0026329D">
        <w:rPr>
          <w:lang w:val="en-CA"/>
        </w:rPr>
        <w:t xml:space="preserve">2-A of the </w:t>
      </w:r>
      <w:r w:rsidR="00A516A1" w:rsidRPr="0026329D">
        <w:rPr>
          <w:lang w:val="en-CA"/>
        </w:rPr>
        <w:t>draft revised</w:t>
      </w:r>
      <w:r w:rsidRPr="0026329D">
        <w:rPr>
          <w:lang w:val="en-CA"/>
        </w:rPr>
        <w:t xml:space="preserve"> Agreement between China and the Executive Committee in Annex I</w:t>
      </w:r>
      <w:r w:rsidR="00337C27" w:rsidRPr="0026329D">
        <w:rPr>
          <w:lang w:val="en-CA"/>
        </w:rPr>
        <w:t>I</w:t>
      </w:r>
      <w:r w:rsidRPr="0026329D">
        <w:rPr>
          <w:lang w:val="en-CA"/>
        </w:rPr>
        <w:t>.</w:t>
      </w:r>
      <w:r w:rsidR="00475A50" w:rsidRPr="0026329D">
        <w:rPr>
          <w:lang w:val="en-CA"/>
        </w:rPr>
        <w:t xml:space="preserve"> </w:t>
      </w:r>
      <w:r w:rsidRPr="0026329D">
        <w:rPr>
          <w:lang w:val="en-CA"/>
        </w:rPr>
        <w:t>The HCFC consumption targets for the PU foam sector have been maintained as originally approved at the 77</w:t>
      </w:r>
      <w:r w:rsidRPr="0026329D">
        <w:rPr>
          <w:vertAlign w:val="superscript"/>
          <w:lang w:val="en-CA"/>
        </w:rPr>
        <w:t>th</w:t>
      </w:r>
      <w:r w:rsidRPr="0026329D">
        <w:rPr>
          <w:lang w:val="en-CA"/>
        </w:rPr>
        <w:t xml:space="preserve"> meeting. </w:t>
      </w:r>
    </w:p>
    <w:p w:rsidR="00E44F75" w:rsidRPr="0026329D" w:rsidRDefault="00E44F75" w:rsidP="00E44F75">
      <w:pPr>
        <w:pStyle w:val="Heading1"/>
        <w:numPr>
          <w:ilvl w:val="0"/>
          <w:numId w:val="0"/>
        </w:numPr>
        <w:spacing w:after="0"/>
        <w:rPr>
          <w:b/>
          <w:lang w:val="en-CA"/>
        </w:rPr>
      </w:pPr>
      <w:r w:rsidRPr="0026329D">
        <w:rPr>
          <w:b/>
          <w:lang w:val="en-CA"/>
        </w:rPr>
        <w:t xml:space="preserve">Table 1. HCFC-141b phase-out targets for </w:t>
      </w:r>
      <w:r w:rsidR="00A81DEE" w:rsidRPr="0026329D">
        <w:rPr>
          <w:b/>
          <w:lang w:val="en-CA"/>
        </w:rPr>
        <w:t>stage </w:t>
      </w:r>
      <w:r w:rsidRPr="0026329D">
        <w:rPr>
          <w:b/>
          <w:lang w:val="en-CA"/>
        </w:rPr>
        <w:t>II of the PU foam sector plan in China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949"/>
        <w:gridCol w:w="949"/>
        <w:gridCol w:w="949"/>
        <w:gridCol w:w="949"/>
        <w:gridCol w:w="948"/>
        <w:gridCol w:w="948"/>
        <w:gridCol w:w="948"/>
      </w:tblGrid>
      <w:tr w:rsidR="00E44F75" w:rsidRPr="0026329D" w:rsidTr="00665A83">
        <w:trPr>
          <w:tblHeader/>
        </w:trPr>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E44F75" w:rsidRPr="0026329D" w:rsidRDefault="00E44F75" w:rsidP="00665A83">
            <w:pPr>
              <w:tabs>
                <w:tab w:val="left" w:pos="720"/>
              </w:tabs>
              <w:autoSpaceDE w:val="0"/>
              <w:autoSpaceDN w:val="0"/>
              <w:adjustRightInd w:val="0"/>
              <w:ind w:right="18"/>
              <w:jc w:val="left"/>
              <w:rPr>
                <w:b/>
                <w:sz w:val="20"/>
                <w:szCs w:val="20"/>
                <w:lang w:val="en-CA"/>
              </w:rPr>
            </w:pPr>
            <w:r w:rsidRPr="0026329D">
              <w:rPr>
                <w:b/>
                <w:sz w:val="20"/>
                <w:szCs w:val="20"/>
                <w:lang w:val="en-CA"/>
              </w:rPr>
              <w:t>Maximum allowable consumption</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Starting point</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2016</w:t>
            </w:r>
          </w:p>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2017</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2018 2019</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2020</w:t>
            </w:r>
          </w:p>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2021</w:t>
            </w:r>
          </w:p>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2022</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2023</w:t>
            </w:r>
          </w:p>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2024</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2025</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center"/>
              <w:rPr>
                <w:b/>
                <w:sz w:val="20"/>
                <w:szCs w:val="20"/>
                <w:lang w:val="en-CA"/>
              </w:rPr>
            </w:pPr>
            <w:r w:rsidRPr="0026329D">
              <w:rPr>
                <w:b/>
                <w:sz w:val="20"/>
                <w:szCs w:val="20"/>
                <w:lang w:val="en-CA"/>
              </w:rPr>
              <w:t>2026</w:t>
            </w:r>
          </w:p>
        </w:tc>
      </w:tr>
      <w:tr w:rsidR="00E44F75" w:rsidRPr="0026329D" w:rsidTr="00665A83">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sz w:val="20"/>
                <w:szCs w:val="20"/>
                <w:lang w:val="en-CA"/>
              </w:rPr>
              <w:t>Mt</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49,020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40,451</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34,614</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26,691</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9,804</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3,000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0</w:t>
            </w:r>
          </w:p>
        </w:tc>
      </w:tr>
      <w:tr w:rsidR="00E44F75" w:rsidRPr="0026329D" w:rsidTr="00665A83">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sz w:val="20"/>
                <w:szCs w:val="20"/>
                <w:lang w:val="en-CA"/>
              </w:rPr>
              <w:t>ODP tonnes</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5,392.20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4,449.60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3,774,50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2,965.70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1,078.40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330.00</w:t>
            </w:r>
          </w:p>
        </w:tc>
        <w:tc>
          <w:tcPr>
            <w:tcW w:w="502" w:type="pct"/>
            <w:tcBorders>
              <w:top w:val="single" w:sz="4" w:space="0" w:color="auto"/>
              <w:left w:val="single" w:sz="4" w:space="0" w:color="auto"/>
              <w:bottom w:val="single" w:sz="4" w:space="0" w:color="auto"/>
              <w:right w:val="single" w:sz="4" w:space="0" w:color="auto"/>
            </w:tcBorders>
            <w:vAlign w:val="center"/>
            <w:hideMark/>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0</w:t>
            </w:r>
          </w:p>
        </w:tc>
      </w:tr>
      <w:tr w:rsidR="00E44F75" w:rsidRPr="0026329D" w:rsidTr="00665A83">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sz w:val="20"/>
                <w:szCs w:val="20"/>
                <w:lang w:val="en-CA"/>
              </w:rPr>
              <w:t>Reduction (ODP tonnes)</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675.10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808.80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1,887.30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748.40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333.00</w:t>
            </w:r>
          </w:p>
        </w:tc>
      </w:tr>
      <w:tr w:rsidR="00E44F75" w:rsidRPr="0026329D" w:rsidTr="00665A83">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E44F75" w:rsidRPr="0026329D" w:rsidRDefault="00E44F75" w:rsidP="00665A83">
            <w:pPr>
              <w:tabs>
                <w:tab w:val="left" w:pos="720"/>
              </w:tabs>
              <w:autoSpaceDE w:val="0"/>
              <w:autoSpaceDN w:val="0"/>
              <w:adjustRightInd w:val="0"/>
              <w:ind w:right="18"/>
              <w:jc w:val="left"/>
              <w:rPr>
                <w:sz w:val="20"/>
                <w:szCs w:val="20"/>
                <w:lang w:val="en-CA"/>
              </w:rPr>
            </w:pPr>
            <w:r w:rsidRPr="0026329D">
              <w:rPr>
                <w:sz w:val="20"/>
                <w:szCs w:val="20"/>
                <w:lang w:val="en-CA"/>
              </w:rPr>
              <w:t>Reduction from starting point (%)</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30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45</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80</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94</w:t>
            </w:r>
          </w:p>
        </w:tc>
        <w:tc>
          <w:tcPr>
            <w:tcW w:w="502" w:type="pct"/>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tabs>
                <w:tab w:val="left" w:pos="720"/>
              </w:tabs>
              <w:autoSpaceDE w:val="0"/>
              <w:autoSpaceDN w:val="0"/>
              <w:adjustRightInd w:val="0"/>
              <w:ind w:right="18"/>
              <w:jc w:val="right"/>
              <w:rPr>
                <w:sz w:val="20"/>
                <w:szCs w:val="20"/>
                <w:lang w:val="en-CA"/>
              </w:rPr>
            </w:pPr>
            <w:r w:rsidRPr="0026329D">
              <w:rPr>
                <w:sz w:val="20"/>
                <w:szCs w:val="20"/>
                <w:lang w:val="en-CA"/>
              </w:rPr>
              <w:t>100</w:t>
            </w:r>
          </w:p>
        </w:tc>
      </w:tr>
    </w:tbl>
    <w:p w:rsidR="00E44F75" w:rsidRPr="0026329D" w:rsidRDefault="00E44F75" w:rsidP="00E44F75">
      <w:pPr>
        <w:rPr>
          <w:i/>
          <w:lang w:val="en-CA"/>
        </w:rPr>
      </w:pPr>
    </w:p>
    <w:p w:rsidR="00E44F75" w:rsidRPr="0026329D" w:rsidRDefault="00E44F75" w:rsidP="00E44F75">
      <w:pPr>
        <w:keepNext/>
        <w:keepLines/>
        <w:rPr>
          <w:u w:val="single"/>
          <w:lang w:val="en-CA"/>
        </w:rPr>
      </w:pPr>
      <w:r w:rsidRPr="0026329D">
        <w:rPr>
          <w:u w:val="single"/>
          <w:lang w:val="en-CA"/>
        </w:rPr>
        <w:t>HCFC phase-out strategy for the PU foam sector plan in 2021-2026</w:t>
      </w:r>
    </w:p>
    <w:p w:rsidR="00E44F75" w:rsidRPr="0026329D" w:rsidRDefault="00E44F75" w:rsidP="00E44F75">
      <w:pPr>
        <w:keepNext/>
        <w:keepLines/>
        <w:rPr>
          <w:lang w:val="en-CA"/>
        </w:rPr>
      </w:pPr>
    </w:p>
    <w:p w:rsidR="00E44F75" w:rsidRPr="0026329D" w:rsidRDefault="00A81DEE" w:rsidP="00E44F75">
      <w:pPr>
        <w:pStyle w:val="Heading1"/>
        <w:rPr>
          <w:lang w:val="en-CA"/>
        </w:rPr>
      </w:pPr>
      <w:r w:rsidRPr="0026329D">
        <w:rPr>
          <w:lang w:val="en-CA"/>
        </w:rPr>
        <w:t>Stage </w:t>
      </w:r>
      <w:r w:rsidR="00E44F75" w:rsidRPr="0026329D">
        <w:rPr>
          <w:lang w:val="en-CA"/>
        </w:rPr>
        <w:t>II of the HPMP originally estimated that there were 2,100 enterprises in the PU foam manufacturing sector consuming 4,444 ODP tonnes of HCFC-141b</w:t>
      </w:r>
      <w:r w:rsidR="00A9529F" w:rsidRPr="0026329D">
        <w:rPr>
          <w:lang w:val="en-CA"/>
        </w:rPr>
        <w:t xml:space="preserve">, of which </w:t>
      </w:r>
      <w:r w:rsidR="00E44F75" w:rsidRPr="0026329D">
        <w:rPr>
          <w:lang w:val="en-CA"/>
        </w:rPr>
        <w:t xml:space="preserve">3,639 ODP tonnes were estimated to be eligible for funding. </w:t>
      </w:r>
      <w:r w:rsidR="00A9529F" w:rsidRPr="0026329D">
        <w:rPr>
          <w:lang w:val="en-CA"/>
        </w:rPr>
        <w:t xml:space="preserve">The plan proposed to assist approximately </w:t>
      </w:r>
      <w:r w:rsidR="00E44F75" w:rsidRPr="0026329D">
        <w:rPr>
          <w:lang w:val="en-CA"/>
        </w:rPr>
        <w:t xml:space="preserve">150 enterprises with consumption above 20 mt and SMEs through systems houses. The revised plan of action proposes assistance to phase out 379.30 ODP tonnes through </w:t>
      </w:r>
      <w:r w:rsidR="00750339" w:rsidRPr="0026329D">
        <w:rPr>
          <w:lang w:val="en-CA"/>
        </w:rPr>
        <w:t xml:space="preserve">conversion of </w:t>
      </w:r>
      <w:r w:rsidR="00E44F75" w:rsidRPr="0026329D">
        <w:rPr>
          <w:lang w:val="en-CA"/>
        </w:rPr>
        <w:t>individual enterprise</w:t>
      </w:r>
      <w:r w:rsidR="00750339" w:rsidRPr="0026329D">
        <w:rPr>
          <w:lang w:val="en-CA"/>
        </w:rPr>
        <w:t>s</w:t>
      </w:r>
      <w:r w:rsidR="00E44F75" w:rsidRPr="0026329D">
        <w:rPr>
          <w:lang w:val="en-CA"/>
        </w:rPr>
        <w:t xml:space="preserve">, and </w:t>
      </w:r>
      <w:r w:rsidR="00750339" w:rsidRPr="0026329D">
        <w:rPr>
          <w:lang w:val="en-CA"/>
        </w:rPr>
        <w:t xml:space="preserve">through </w:t>
      </w:r>
      <w:r w:rsidR="00E44F75" w:rsidRPr="0026329D">
        <w:rPr>
          <w:lang w:val="en-CA"/>
        </w:rPr>
        <w:t xml:space="preserve">19 systems houses to channel TA </w:t>
      </w:r>
      <w:r w:rsidR="00750339" w:rsidRPr="0026329D">
        <w:rPr>
          <w:lang w:val="en-CA"/>
        </w:rPr>
        <w:t xml:space="preserve">including the development of foam blowing </w:t>
      </w:r>
      <w:r w:rsidR="00E44F75" w:rsidRPr="0026329D">
        <w:rPr>
          <w:lang w:val="en-CA"/>
        </w:rPr>
        <w:t>formulation</w:t>
      </w:r>
      <w:r w:rsidR="00750339" w:rsidRPr="0026329D">
        <w:rPr>
          <w:lang w:val="en-CA"/>
        </w:rPr>
        <w:t>s</w:t>
      </w:r>
      <w:r w:rsidR="00E44F75" w:rsidRPr="0026329D">
        <w:rPr>
          <w:lang w:val="en-CA"/>
        </w:rPr>
        <w:t xml:space="preserve"> to their downstream enterprises</w:t>
      </w:r>
      <w:r w:rsidR="00750339" w:rsidRPr="0026329D">
        <w:rPr>
          <w:lang w:val="en-CA"/>
        </w:rPr>
        <w:t xml:space="preserve"> (</w:t>
      </w:r>
      <w:r w:rsidR="001C04EE" w:rsidRPr="0026329D">
        <w:rPr>
          <w:lang w:val="en-CA"/>
        </w:rPr>
        <w:t xml:space="preserve">many </w:t>
      </w:r>
      <w:r w:rsidR="00750339" w:rsidRPr="0026329D">
        <w:rPr>
          <w:lang w:val="en-CA"/>
        </w:rPr>
        <w:t>of which are SMEs)</w:t>
      </w:r>
      <w:r w:rsidR="00E44F75" w:rsidRPr="0026329D">
        <w:rPr>
          <w:lang w:val="en-CA"/>
        </w:rPr>
        <w:t>. The number of system houses or individual conversion projects to be funded may be adjusted according to circumstances that arise during the implementation</w:t>
      </w:r>
      <w:r w:rsidR="00750339" w:rsidRPr="0026329D">
        <w:rPr>
          <w:lang w:val="en-CA"/>
        </w:rPr>
        <w:t xml:space="preserve"> stage</w:t>
      </w:r>
      <w:r w:rsidR="00E44F75" w:rsidRPr="0026329D">
        <w:rPr>
          <w:lang w:val="en-CA"/>
        </w:rPr>
        <w:t xml:space="preserve">. The sector plan will be supported by policy and TA components, which will be stepped up in implementation given the reduction in </w:t>
      </w:r>
      <w:r w:rsidR="00750339" w:rsidRPr="0026329D">
        <w:rPr>
          <w:lang w:val="en-CA"/>
        </w:rPr>
        <w:t xml:space="preserve">the </w:t>
      </w:r>
      <w:r w:rsidR="00E44F75" w:rsidRPr="0026329D">
        <w:rPr>
          <w:lang w:val="en-CA"/>
        </w:rPr>
        <w:t xml:space="preserve">funding </w:t>
      </w:r>
      <w:r w:rsidR="00750339" w:rsidRPr="0026329D">
        <w:rPr>
          <w:lang w:val="en-CA"/>
        </w:rPr>
        <w:t xml:space="preserve">level </w:t>
      </w:r>
      <w:r w:rsidR="00E44F75" w:rsidRPr="0026329D">
        <w:rPr>
          <w:lang w:val="en-CA"/>
        </w:rPr>
        <w:t>from the original approval.</w:t>
      </w:r>
      <w:r w:rsidR="00475A50" w:rsidRPr="0026329D">
        <w:rPr>
          <w:lang w:val="en-CA"/>
        </w:rPr>
        <w:t xml:space="preserve"> </w:t>
      </w:r>
    </w:p>
    <w:p w:rsidR="00E44F75" w:rsidRPr="0026329D" w:rsidRDefault="00E44F75" w:rsidP="00AA78DC">
      <w:pPr>
        <w:pStyle w:val="Heading1"/>
        <w:rPr>
          <w:lang w:val="en-CA"/>
        </w:rPr>
      </w:pPr>
      <w:r w:rsidRPr="0026329D">
        <w:rPr>
          <w:lang w:val="en-CA"/>
        </w:rPr>
        <w:t>The implementation of the PU foam sector faces the following challenges: sharp reduction in Multilateral Fund funding; lack of incentive for most PU foam enterprise</w:t>
      </w:r>
      <w:r w:rsidR="00081B71">
        <w:rPr>
          <w:lang w:val="en-CA"/>
        </w:rPr>
        <w:t>s to phase out HCFC-141b (a low</w:t>
      </w:r>
      <w:r w:rsidR="00081B71">
        <w:rPr>
          <w:lang w:val="en-CA"/>
        </w:rPr>
        <w:noBreakHyphen/>
      </w:r>
      <w:r w:rsidRPr="0026329D">
        <w:rPr>
          <w:lang w:val="en-CA"/>
        </w:rPr>
        <w:t>cost, well performing, safe and mature blowing agent) due to the initial investment in adopting alternatives; and dispersed SMEs</w:t>
      </w:r>
      <w:r w:rsidR="00750339" w:rsidRPr="0026329D">
        <w:rPr>
          <w:lang w:val="en-CA"/>
        </w:rPr>
        <w:t xml:space="preserve"> </w:t>
      </w:r>
      <w:r w:rsidRPr="0026329D">
        <w:rPr>
          <w:lang w:val="en-CA"/>
        </w:rPr>
        <w:t>with low capital and limited technical and management ability, which make the Government’s supervision difficult and costly.</w:t>
      </w:r>
    </w:p>
    <w:p w:rsidR="00E44F75" w:rsidRPr="0026329D" w:rsidRDefault="00E44F75" w:rsidP="00E44F75">
      <w:pPr>
        <w:pStyle w:val="Heading1"/>
        <w:rPr>
          <w:lang w:val="en-CA"/>
        </w:rPr>
      </w:pPr>
      <w:r w:rsidRPr="0026329D">
        <w:rPr>
          <w:lang w:val="en-CA"/>
        </w:rPr>
        <w:t xml:space="preserve">The strategy of </w:t>
      </w:r>
      <w:r w:rsidR="00A81DEE" w:rsidRPr="0026329D">
        <w:rPr>
          <w:lang w:val="en-CA"/>
        </w:rPr>
        <w:t>stage </w:t>
      </w:r>
      <w:r w:rsidRPr="0026329D">
        <w:rPr>
          <w:lang w:val="en-CA"/>
        </w:rPr>
        <w:t>II of the PU foam sector plan will promote the application of environmentally friendly, low-</w:t>
      </w:r>
      <w:r w:rsidR="00750339" w:rsidRPr="0026329D">
        <w:rPr>
          <w:lang w:val="en-CA"/>
        </w:rPr>
        <w:t xml:space="preserve"> </w:t>
      </w:r>
      <w:r w:rsidRPr="0026329D">
        <w:rPr>
          <w:lang w:val="en-CA"/>
        </w:rPr>
        <w:t>GWP alternative technologies in the sector; guide the phase-out with policies and regulations; further improve the supervision mechanism; and strengthen the ability to monitor and inspect the PU foam sector. With regard to the manufacturing sector, it will strengthen technical training and encourage enterprises to phase out HCFC-141b on their own; support conversion of enterprises with demonstration potential and high cost-effectiveness; restrict the supply of raw materials required for the formulation of HCFC</w:t>
      </w:r>
      <w:r w:rsidRPr="0026329D">
        <w:rPr>
          <w:lang w:val="en-CA"/>
        </w:rPr>
        <w:noBreakHyphen/>
        <w:t>141b</w:t>
      </w:r>
      <w:r w:rsidRPr="0026329D">
        <w:rPr>
          <w:lang w:val="en-CA"/>
        </w:rPr>
        <w:noBreakHyphen/>
        <w:t>based foam systems by restricting the use of HCFC-141b at systems houses; and strengthen technical support by systems houses to the SMEs undertaking their own conversions.</w:t>
      </w:r>
    </w:p>
    <w:p w:rsidR="00E44F75" w:rsidRPr="0026329D" w:rsidRDefault="00E44F75" w:rsidP="00E44F75">
      <w:pPr>
        <w:pStyle w:val="Heading1"/>
        <w:rPr>
          <w:lang w:val="en-CA"/>
        </w:rPr>
      </w:pPr>
      <w:r w:rsidRPr="0026329D">
        <w:rPr>
          <w:lang w:val="en-CA"/>
        </w:rPr>
        <w:t xml:space="preserve">The activities in the plan of action for </w:t>
      </w:r>
      <w:r w:rsidR="00A81DEE" w:rsidRPr="0026329D">
        <w:rPr>
          <w:lang w:val="en-CA"/>
        </w:rPr>
        <w:t>stage </w:t>
      </w:r>
      <w:r w:rsidRPr="0026329D">
        <w:rPr>
          <w:lang w:val="en-CA"/>
        </w:rPr>
        <w:t>II are grouped in four components: policies and regulations; enterprises’ phase-out activities; TA activities; and project management.</w:t>
      </w:r>
    </w:p>
    <w:p w:rsidR="00E44F75" w:rsidRPr="0026329D" w:rsidRDefault="00E44F75" w:rsidP="00750339">
      <w:pPr>
        <w:keepLines/>
        <w:widowControl w:val="0"/>
        <w:spacing w:before="260" w:after="260"/>
        <w:outlineLvl w:val="1"/>
        <w:rPr>
          <w:rFonts w:eastAsia="SimSun"/>
          <w:bCs/>
          <w:i/>
          <w:lang w:val="en-CA"/>
        </w:rPr>
      </w:pPr>
      <w:bookmarkStart w:id="9" w:name="_Toc11453"/>
      <w:bookmarkStart w:id="10" w:name="_Toc5933"/>
      <w:bookmarkStart w:id="11" w:name="_Toc31325"/>
      <w:bookmarkStart w:id="12" w:name="_Toc12556"/>
      <w:bookmarkStart w:id="13" w:name="_Toc28500"/>
      <w:bookmarkStart w:id="14" w:name="_Toc1328"/>
      <w:bookmarkStart w:id="15" w:name="_Toc14295"/>
      <w:bookmarkStart w:id="16" w:name="_Toc8250"/>
      <w:r w:rsidRPr="0026329D">
        <w:rPr>
          <w:rFonts w:eastAsia="SimSun"/>
          <w:bCs/>
          <w:i/>
          <w:lang w:val="en-CA"/>
        </w:rPr>
        <w:t>Policy and regulation</w:t>
      </w:r>
      <w:bookmarkEnd w:id="9"/>
      <w:bookmarkEnd w:id="10"/>
      <w:bookmarkEnd w:id="11"/>
      <w:bookmarkEnd w:id="12"/>
      <w:bookmarkEnd w:id="13"/>
      <w:bookmarkEnd w:id="14"/>
      <w:bookmarkEnd w:id="15"/>
      <w:bookmarkEnd w:id="16"/>
      <w:r w:rsidRPr="0026329D">
        <w:rPr>
          <w:rFonts w:eastAsia="SimSun"/>
          <w:bCs/>
          <w:i/>
          <w:lang w:val="en-CA"/>
        </w:rPr>
        <w:t>s</w:t>
      </w:r>
    </w:p>
    <w:p w:rsidR="00E44F75" w:rsidRPr="0026329D" w:rsidRDefault="00E44F75" w:rsidP="00750339">
      <w:pPr>
        <w:pStyle w:val="Heading1"/>
        <w:widowControl w:val="0"/>
        <w:rPr>
          <w:lang w:val="en-CA"/>
        </w:rPr>
      </w:pPr>
      <w:r w:rsidRPr="0026329D">
        <w:rPr>
          <w:lang w:val="en-CA"/>
        </w:rPr>
        <w:t>The objectives of the ODS phase-out policy are: to ensure that HCFC-141b in the PU foam industry is phased out as planned, minimizing the negative impact on the development of the foam industry; and to encourage and promote the adoption of environmentally friendly, economically acceptable and technically feasible alternatives. The Government will formulate supporting policies and regulations while carrying out the phase</w:t>
      </w:r>
      <w:r w:rsidRPr="0026329D">
        <w:rPr>
          <w:lang w:val="en-CA"/>
        </w:rPr>
        <w:noBreakHyphen/>
        <w:t xml:space="preserve">out plan for the PU foam sector, as shown in Table 2. The Government is also considering adding a requirement on purchasing products without ODS to the Government’s green procurement policy, and </w:t>
      </w:r>
      <w:r w:rsidRPr="0026329D">
        <w:rPr>
          <w:szCs w:val="24"/>
          <w:lang w:val="en-CA"/>
        </w:rPr>
        <w:t>a</w:t>
      </w:r>
      <w:r w:rsidRPr="0026329D">
        <w:rPr>
          <w:rFonts w:eastAsia="SimSun"/>
          <w:szCs w:val="24"/>
          <w:lang w:val="en-CA"/>
        </w:rPr>
        <w:t>dopting environmental labeling certification on products that do not use ODS or HFCs with high</w:t>
      </w:r>
      <w:r w:rsidR="005534CA" w:rsidRPr="0026329D">
        <w:rPr>
          <w:rFonts w:eastAsia="SimSun"/>
          <w:szCs w:val="24"/>
          <w:lang w:val="en-CA"/>
        </w:rPr>
        <w:noBreakHyphen/>
      </w:r>
      <w:r w:rsidRPr="0026329D">
        <w:rPr>
          <w:rFonts w:eastAsia="SimSun"/>
          <w:szCs w:val="24"/>
          <w:lang w:val="en-CA"/>
        </w:rPr>
        <w:t xml:space="preserve">GWP values, </w:t>
      </w:r>
      <w:r w:rsidRPr="0026329D">
        <w:rPr>
          <w:szCs w:val="24"/>
          <w:lang w:val="en-CA"/>
        </w:rPr>
        <w:t>to accelerate and encourage the phase</w:t>
      </w:r>
      <w:r w:rsidRPr="0026329D">
        <w:rPr>
          <w:szCs w:val="24"/>
          <w:lang w:val="en-CA"/>
        </w:rPr>
        <w:noBreakHyphen/>
        <w:t xml:space="preserve">out process. </w:t>
      </w:r>
    </w:p>
    <w:p w:rsidR="00E44F75" w:rsidRPr="0026329D" w:rsidRDefault="00E44F75" w:rsidP="00E44F75">
      <w:pPr>
        <w:rPr>
          <w:b/>
          <w:bCs/>
          <w:szCs w:val="21"/>
          <w:lang w:val="en-CA"/>
        </w:rPr>
      </w:pPr>
      <w:r w:rsidRPr="0026329D">
        <w:rPr>
          <w:b/>
          <w:bCs/>
          <w:szCs w:val="21"/>
          <w:lang w:val="en-CA"/>
        </w:rPr>
        <w:t>Table 2. Overall set of policies required in the PU foam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7992"/>
      </w:tblGrid>
      <w:tr w:rsidR="00E44F75" w:rsidRPr="0026329D" w:rsidTr="00665A83">
        <w:trPr>
          <w:tblHeader/>
        </w:trPr>
        <w:tc>
          <w:tcPr>
            <w:tcW w:w="767" w:type="pct"/>
            <w:shd w:val="clear" w:color="auto" w:fill="auto"/>
          </w:tcPr>
          <w:p w:rsidR="00E44F75" w:rsidRPr="0026329D" w:rsidRDefault="00E44F75" w:rsidP="00665A83">
            <w:pPr>
              <w:jc w:val="left"/>
              <w:rPr>
                <w:rFonts w:eastAsia="SimSun"/>
                <w:b/>
                <w:bCs/>
                <w:sz w:val="20"/>
                <w:lang w:val="en-CA"/>
              </w:rPr>
            </w:pPr>
            <w:r w:rsidRPr="0026329D">
              <w:rPr>
                <w:rFonts w:eastAsia="SimSun"/>
                <w:b/>
                <w:bCs/>
                <w:sz w:val="20"/>
                <w:szCs w:val="20"/>
                <w:lang w:val="en-CA"/>
              </w:rPr>
              <w:t>Policy type</w:t>
            </w:r>
          </w:p>
        </w:tc>
        <w:tc>
          <w:tcPr>
            <w:tcW w:w="4233" w:type="pct"/>
            <w:shd w:val="clear" w:color="auto" w:fill="auto"/>
            <w:vAlign w:val="center"/>
          </w:tcPr>
          <w:p w:rsidR="00E44F75" w:rsidRPr="0026329D" w:rsidRDefault="00E44F75" w:rsidP="00665A83">
            <w:pPr>
              <w:jc w:val="center"/>
              <w:rPr>
                <w:rFonts w:eastAsia="SimSun"/>
                <w:b/>
                <w:bCs/>
                <w:sz w:val="20"/>
                <w:lang w:val="en-CA"/>
              </w:rPr>
            </w:pPr>
            <w:r w:rsidRPr="0026329D">
              <w:rPr>
                <w:rFonts w:eastAsia="SimSun"/>
                <w:b/>
                <w:bCs/>
                <w:sz w:val="20"/>
                <w:lang w:val="en-CA"/>
              </w:rPr>
              <w:t>Content of the policy</w:t>
            </w:r>
          </w:p>
        </w:tc>
      </w:tr>
      <w:tr w:rsidR="00E44F75" w:rsidRPr="0026329D" w:rsidTr="00665A83">
        <w:tc>
          <w:tcPr>
            <w:tcW w:w="767" w:type="pct"/>
            <w:vAlign w:val="center"/>
          </w:tcPr>
          <w:p w:rsidR="00E44F75" w:rsidRPr="0026329D" w:rsidRDefault="00E44F75" w:rsidP="00665A83">
            <w:pPr>
              <w:rPr>
                <w:rFonts w:eastAsia="SimSun"/>
                <w:sz w:val="20"/>
                <w:lang w:val="en-CA"/>
              </w:rPr>
            </w:pPr>
            <w:r w:rsidRPr="0026329D">
              <w:rPr>
                <w:rFonts w:eastAsia="SimSun"/>
                <w:sz w:val="20"/>
                <w:lang w:val="en-CA"/>
              </w:rPr>
              <w:t>Administration</w:t>
            </w:r>
          </w:p>
        </w:tc>
        <w:tc>
          <w:tcPr>
            <w:tcW w:w="4233" w:type="pct"/>
          </w:tcPr>
          <w:p w:rsidR="00E44F75" w:rsidRPr="0026329D" w:rsidRDefault="00E44F75" w:rsidP="00411B01">
            <w:pPr>
              <w:widowControl w:val="0"/>
              <w:numPr>
                <w:ilvl w:val="0"/>
                <w:numId w:val="45"/>
              </w:numPr>
              <w:jc w:val="left"/>
              <w:rPr>
                <w:rFonts w:eastAsia="SimSun"/>
                <w:sz w:val="20"/>
                <w:lang w:val="en-CA"/>
              </w:rPr>
            </w:pPr>
            <w:r w:rsidRPr="0026329D">
              <w:rPr>
                <w:rFonts w:eastAsia="SimSun"/>
                <w:sz w:val="20"/>
                <w:lang w:val="en-CA"/>
              </w:rPr>
              <w:t>Focus on the control of HCFC-141b production on a national level</w:t>
            </w:r>
          </w:p>
          <w:p w:rsidR="00E44F75" w:rsidRPr="0026329D" w:rsidRDefault="00E44F75" w:rsidP="00411B01">
            <w:pPr>
              <w:widowControl w:val="0"/>
              <w:numPr>
                <w:ilvl w:val="0"/>
                <w:numId w:val="45"/>
              </w:numPr>
              <w:jc w:val="left"/>
              <w:rPr>
                <w:rFonts w:eastAsia="SimSun"/>
                <w:sz w:val="20"/>
                <w:lang w:val="en-CA"/>
              </w:rPr>
            </w:pPr>
            <w:r w:rsidRPr="0026329D">
              <w:rPr>
                <w:rFonts w:eastAsia="SimSun"/>
                <w:sz w:val="20"/>
                <w:lang w:val="en-CA"/>
              </w:rPr>
              <w:t>Addition of enterprises that completed the phase-out of HCFC-141b to the supervision list</w:t>
            </w:r>
          </w:p>
          <w:p w:rsidR="00E44F75" w:rsidRPr="0026329D" w:rsidRDefault="00E44F75" w:rsidP="00411B01">
            <w:pPr>
              <w:widowControl w:val="0"/>
              <w:numPr>
                <w:ilvl w:val="0"/>
                <w:numId w:val="45"/>
              </w:numPr>
              <w:jc w:val="left"/>
              <w:rPr>
                <w:rFonts w:eastAsia="SimSun"/>
                <w:sz w:val="20"/>
                <w:szCs w:val="20"/>
                <w:lang w:val="en-CA"/>
              </w:rPr>
            </w:pPr>
            <w:r w:rsidRPr="0026329D">
              <w:rPr>
                <w:rFonts w:eastAsia="SimSun"/>
                <w:sz w:val="20"/>
                <w:lang w:val="en-CA"/>
              </w:rPr>
              <w:t xml:space="preserve">Formulation of a </w:t>
            </w:r>
            <w:r w:rsidRPr="0026329D">
              <w:rPr>
                <w:bCs/>
                <w:iCs/>
                <w:sz w:val="20"/>
                <w:szCs w:val="20"/>
                <w:lang w:val="en-CA"/>
              </w:rPr>
              <w:t xml:space="preserve">list of </w:t>
            </w:r>
            <w:r w:rsidRPr="0026329D">
              <w:rPr>
                <w:rFonts w:eastAsia="SimSun"/>
                <w:bCs/>
                <w:iCs/>
                <w:sz w:val="20"/>
                <w:szCs w:val="20"/>
                <w:lang w:val="en-CA"/>
              </w:rPr>
              <w:t>r</w:t>
            </w:r>
            <w:r w:rsidRPr="0026329D">
              <w:rPr>
                <w:bCs/>
                <w:iCs/>
                <w:sz w:val="20"/>
                <w:szCs w:val="20"/>
                <w:lang w:val="en-CA"/>
              </w:rPr>
              <w:t>ecommended alternatives to HCFCs</w:t>
            </w:r>
          </w:p>
          <w:p w:rsidR="00E44F75" w:rsidRPr="0026329D" w:rsidRDefault="00E44F75" w:rsidP="00411B01">
            <w:pPr>
              <w:widowControl w:val="0"/>
              <w:numPr>
                <w:ilvl w:val="0"/>
                <w:numId w:val="45"/>
              </w:numPr>
              <w:jc w:val="left"/>
              <w:rPr>
                <w:rFonts w:eastAsia="SimSun"/>
                <w:sz w:val="20"/>
                <w:lang w:val="en-CA"/>
              </w:rPr>
            </w:pPr>
            <w:r w:rsidRPr="0026329D">
              <w:rPr>
                <w:rFonts w:eastAsia="SimSun"/>
                <w:bCs/>
                <w:iCs/>
                <w:sz w:val="20"/>
                <w:lang w:val="en-CA"/>
              </w:rPr>
              <w:t>Ban on using HCFC-141b in solar water heaters and pipe insulation sub</w:t>
            </w:r>
            <w:r w:rsidRPr="0026329D">
              <w:rPr>
                <w:rFonts w:eastAsia="SimSun"/>
                <w:bCs/>
                <w:iCs/>
                <w:sz w:val="20"/>
                <w:lang w:val="en-CA"/>
              </w:rPr>
              <w:noBreakHyphen/>
              <w:t>sectors</w:t>
            </w:r>
            <w:r w:rsidRPr="0026329D">
              <w:rPr>
                <w:rFonts w:eastAsia="SimSun"/>
                <w:sz w:val="20"/>
                <w:lang w:val="en-CA"/>
              </w:rPr>
              <w:t xml:space="preserve"> as of 1 January 2023</w:t>
            </w:r>
          </w:p>
          <w:p w:rsidR="00E44F75" w:rsidRPr="0026329D" w:rsidRDefault="00E44F75" w:rsidP="00411B01">
            <w:pPr>
              <w:widowControl w:val="0"/>
              <w:numPr>
                <w:ilvl w:val="0"/>
                <w:numId w:val="45"/>
              </w:numPr>
              <w:jc w:val="left"/>
              <w:rPr>
                <w:rFonts w:eastAsia="SimSun"/>
                <w:sz w:val="20"/>
                <w:lang w:val="en-CA"/>
              </w:rPr>
            </w:pPr>
            <w:r w:rsidRPr="0026329D">
              <w:rPr>
                <w:rFonts w:eastAsia="SimSun"/>
                <w:bCs/>
                <w:iCs/>
                <w:sz w:val="20"/>
                <w:lang w:val="en-CA"/>
              </w:rPr>
              <w:t>Ban on using HCFC-141b in other sub-sectors except the spray foam sub-sector</w:t>
            </w:r>
            <w:r w:rsidRPr="0026329D">
              <w:rPr>
                <w:rFonts w:eastAsia="SimSun"/>
                <w:sz w:val="20"/>
                <w:lang w:val="en-CA"/>
              </w:rPr>
              <w:t xml:space="preserve"> as of 1 January 2025 </w:t>
            </w:r>
          </w:p>
          <w:p w:rsidR="00E44F75" w:rsidRPr="0026329D" w:rsidRDefault="00E44F75" w:rsidP="00411B01">
            <w:pPr>
              <w:widowControl w:val="0"/>
              <w:numPr>
                <w:ilvl w:val="0"/>
                <w:numId w:val="45"/>
              </w:numPr>
              <w:jc w:val="left"/>
              <w:rPr>
                <w:rFonts w:eastAsia="SimSun"/>
                <w:sz w:val="20"/>
                <w:lang w:val="en-CA"/>
              </w:rPr>
            </w:pPr>
            <w:r w:rsidRPr="0026329D">
              <w:rPr>
                <w:rFonts w:eastAsia="SimSun"/>
                <w:bCs/>
                <w:iCs/>
                <w:sz w:val="20"/>
                <w:lang w:val="en-CA"/>
              </w:rPr>
              <w:t>Ban on using HCFC-141b in the PU foam sector as of 1 January 2026</w:t>
            </w:r>
          </w:p>
        </w:tc>
      </w:tr>
      <w:tr w:rsidR="00E44F75" w:rsidRPr="0026329D" w:rsidTr="00665A83">
        <w:tc>
          <w:tcPr>
            <w:tcW w:w="767" w:type="pct"/>
            <w:vAlign w:val="center"/>
          </w:tcPr>
          <w:p w:rsidR="00E44F75" w:rsidRPr="0026329D" w:rsidRDefault="00E44F75" w:rsidP="00665A83">
            <w:pPr>
              <w:rPr>
                <w:rFonts w:eastAsia="SimSun"/>
                <w:sz w:val="20"/>
                <w:lang w:val="en-CA"/>
              </w:rPr>
            </w:pPr>
            <w:r w:rsidRPr="0026329D">
              <w:rPr>
                <w:rFonts w:eastAsia="SimSun"/>
                <w:sz w:val="20"/>
                <w:lang w:val="en-CA"/>
              </w:rPr>
              <w:t>Sector management</w:t>
            </w:r>
          </w:p>
        </w:tc>
        <w:tc>
          <w:tcPr>
            <w:tcW w:w="4233" w:type="pct"/>
          </w:tcPr>
          <w:p w:rsidR="00E44F75" w:rsidRPr="0026329D" w:rsidRDefault="00E44F75" w:rsidP="00411B01">
            <w:pPr>
              <w:widowControl w:val="0"/>
              <w:numPr>
                <w:ilvl w:val="0"/>
                <w:numId w:val="42"/>
              </w:numPr>
              <w:ind w:left="160" w:hanging="160"/>
              <w:jc w:val="left"/>
              <w:rPr>
                <w:rFonts w:eastAsia="SimSun"/>
                <w:sz w:val="20"/>
                <w:lang w:val="en-CA"/>
              </w:rPr>
            </w:pPr>
            <w:r w:rsidRPr="0026329D">
              <w:rPr>
                <w:rFonts w:eastAsia="SimSun"/>
                <w:sz w:val="20"/>
                <w:lang w:val="en-CA"/>
              </w:rPr>
              <w:t>Formulation of industrial policies to guide the PU foam sector to phase out HCFC-141b</w:t>
            </w:r>
          </w:p>
          <w:p w:rsidR="00E44F75" w:rsidRPr="0026329D" w:rsidRDefault="00E44F75" w:rsidP="00411B01">
            <w:pPr>
              <w:widowControl w:val="0"/>
              <w:numPr>
                <w:ilvl w:val="0"/>
                <w:numId w:val="42"/>
              </w:numPr>
              <w:jc w:val="left"/>
              <w:rPr>
                <w:rFonts w:eastAsia="SimSun"/>
                <w:sz w:val="20"/>
                <w:lang w:val="en-CA"/>
              </w:rPr>
            </w:pPr>
            <w:r w:rsidRPr="0026329D">
              <w:rPr>
                <w:rFonts w:eastAsia="SimSun"/>
                <w:sz w:val="20"/>
                <w:lang w:val="en-CA"/>
              </w:rPr>
              <w:t>Revision of technical and product standards according to progress and demands during the phase</w:t>
            </w:r>
            <w:r w:rsidRPr="0026329D">
              <w:rPr>
                <w:rFonts w:eastAsia="SimSun"/>
                <w:sz w:val="20"/>
                <w:lang w:val="en-CA"/>
              </w:rPr>
              <w:noBreakHyphen/>
              <w:t>out process</w:t>
            </w:r>
          </w:p>
          <w:p w:rsidR="00E44F75" w:rsidRPr="0026329D" w:rsidRDefault="00E44F75" w:rsidP="00411B01">
            <w:pPr>
              <w:widowControl w:val="0"/>
              <w:numPr>
                <w:ilvl w:val="0"/>
                <w:numId w:val="42"/>
              </w:numPr>
              <w:jc w:val="left"/>
              <w:rPr>
                <w:rFonts w:eastAsia="SimSun"/>
                <w:sz w:val="20"/>
                <w:lang w:val="en-CA"/>
              </w:rPr>
            </w:pPr>
            <w:r w:rsidRPr="0026329D">
              <w:rPr>
                <w:rFonts w:eastAsia="SimSun"/>
                <w:sz w:val="20"/>
                <w:lang w:val="en-CA"/>
              </w:rPr>
              <w:t xml:space="preserve">Monitoring of HCFC-141b consumption through the annual material balance calculation </w:t>
            </w:r>
          </w:p>
        </w:tc>
      </w:tr>
      <w:tr w:rsidR="00E44F75" w:rsidRPr="0026329D" w:rsidTr="00665A83">
        <w:tc>
          <w:tcPr>
            <w:tcW w:w="767" w:type="pct"/>
            <w:vAlign w:val="center"/>
          </w:tcPr>
          <w:p w:rsidR="00E44F75" w:rsidRPr="0026329D" w:rsidRDefault="00E44F75" w:rsidP="00665A83">
            <w:pPr>
              <w:jc w:val="left"/>
              <w:rPr>
                <w:rFonts w:eastAsia="SimSun"/>
                <w:sz w:val="20"/>
                <w:szCs w:val="20"/>
                <w:lang w:val="en-CA"/>
              </w:rPr>
            </w:pPr>
            <w:r w:rsidRPr="0026329D">
              <w:rPr>
                <w:rFonts w:eastAsia="SimSun"/>
                <w:sz w:val="20"/>
                <w:szCs w:val="20"/>
                <w:lang w:val="en-CA"/>
              </w:rPr>
              <w:t>Evaluation and publicity management</w:t>
            </w:r>
          </w:p>
        </w:tc>
        <w:tc>
          <w:tcPr>
            <w:tcW w:w="4233" w:type="pct"/>
          </w:tcPr>
          <w:p w:rsidR="00E44F75" w:rsidRPr="0026329D" w:rsidRDefault="00E44F75" w:rsidP="00411B01">
            <w:pPr>
              <w:widowControl w:val="0"/>
              <w:numPr>
                <w:ilvl w:val="0"/>
                <w:numId w:val="43"/>
              </w:numPr>
              <w:jc w:val="left"/>
              <w:rPr>
                <w:rFonts w:eastAsia="SimSun"/>
                <w:sz w:val="20"/>
                <w:lang w:val="en-CA"/>
              </w:rPr>
            </w:pPr>
            <w:r w:rsidRPr="0026329D">
              <w:rPr>
                <w:rFonts w:eastAsia="SimSun"/>
                <w:sz w:val="20"/>
                <w:lang w:val="en-CA"/>
              </w:rPr>
              <w:t>Development of an evaluation system for technologies alternative to HCFC-141b, including the phase</w:t>
            </w:r>
            <w:r w:rsidRPr="0026329D">
              <w:rPr>
                <w:rFonts w:eastAsia="SimSun"/>
                <w:sz w:val="20"/>
                <w:lang w:val="en-CA"/>
              </w:rPr>
              <w:noBreakHyphen/>
              <w:t>out progress per sub-sector, GWP value, ODP value, conversion costs, product performance and production safety</w:t>
            </w:r>
          </w:p>
        </w:tc>
      </w:tr>
      <w:tr w:rsidR="00E44F75" w:rsidRPr="0026329D" w:rsidTr="00665A83">
        <w:tc>
          <w:tcPr>
            <w:tcW w:w="767" w:type="pct"/>
            <w:vAlign w:val="center"/>
          </w:tcPr>
          <w:p w:rsidR="00E44F75" w:rsidRPr="0026329D" w:rsidRDefault="00E44F75" w:rsidP="00665A83">
            <w:pPr>
              <w:rPr>
                <w:rFonts w:eastAsia="SimSun"/>
                <w:sz w:val="20"/>
                <w:lang w:val="en-CA"/>
              </w:rPr>
            </w:pPr>
            <w:r w:rsidRPr="0026329D">
              <w:rPr>
                <w:rFonts w:eastAsia="SimSun"/>
                <w:sz w:val="20"/>
                <w:lang w:val="en-CA"/>
              </w:rPr>
              <w:t>Supervision and administration management</w:t>
            </w:r>
          </w:p>
        </w:tc>
        <w:tc>
          <w:tcPr>
            <w:tcW w:w="4233" w:type="pct"/>
          </w:tcPr>
          <w:p w:rsidR="00E44F75" w:rsidRPr="0026329D" w:rsidRDefault="00E44F75" w:rsidP="00411B01">
            <w:pPr>
              <w:widowControl w:val="0"/>
              <w:numPr>
                <w:ilvl w:val="0"/>
                <w:numId w:val="44"/>
              </w:numPr>
              <w:jc w:val="left"/>
              <w:rPr>
                <w:rFonts w:eastAsia="SimSun"/>
                <w:sz w:val="20"/>
                <w:lang w:val="en-CA"/>
              </w:rPr>
            </w:pPr>
            <w:r w:rsidRPr="0026329D">
              <w:rPr>
                <w:rFonts w:eastAsia="SimSun"/>
                <w:sz w:val="20"/>
                <w:lang w:val="en-CA"/>
              </w:rPr>
              <w:t>Establishment of a national ODS atmospheric monitoring network</w:t>
            </w:r>
          </w:p>
          <w:p w:rsidR="00E44F75" w:rsidRPr="0026329D" w:rsidRDefault="00E44F75" w:rsidP="00411B01">
            <w:pPr>
              <w:widowControl w:val="0"/>
              <w:numPr>
                <w:ilvl w:val="0"/>
                <w:numId w:val="44"/>
              </w:numPr>
              <w:jc w:val="left"/>
              <w:rPr>
                <w:rFonts w:eastAsia="SimSun"/>
                <w:sz w:val="20"/>
                <w:lang w:val="en-CA"/>
              </w:rPr>
            </w:pPr>
            <w:r w:rsidRPr="0026329D">
              <w:rPr>
                <w:rFonts w:eastAsia="SimSun"/>
                <w:sz w:val="20"/>
                <w:lang w:val="en-CA"/>
              </w:rPr>
              <w:t>Specification of the responsibilities of local authorities, formulation of local laws and regulations, improvement of record-keeping management systems, and strengthening daily supervision and administration</w:t>
            </w:r>
          </w:p>
          <w:p w:rsidR="00E44F75" w:rsidRPr="0026329D" w:rsidRDefault="00E44F75" w:rsidP="00411B01">
            <w:pPr>
              <w:widowControl w:val="0"/>
              <w:numPr>
                <w:ilvl w:val="0"/>
                <w:numId w:val="44"/>
              </w:numPr>
              <w:jc w:val="left"/>
              <w:rPr>
                <w:rFonts w:eastAsia="SimSun"/>
                <w:sz w:val="20"/>
                <w:lang w:val="en-CA"/>
              </w:rPr>
            </w:pPr>
            <w:r w:rsidRPr="0026329D">
              <w:rPr>
                <w:sz w:val="20"/>
                <w:lang w:val="en-CA"/>
              </w:rPr>
              <w:t>Development of a product-sampling programme</w:t>
            </w:r>
            <w:r w:rsidRPr="0026329D">
              <w:rPr>
                <w:rFonts w:eastAsia="SimSun"/>
                <w:sz w:val="20"/>
                <w:lang w:val="en-CA"/>
              </w:rPr>
              <w:t xml:space="preserve"> using quick detectors to identify products containing HCFC-141b (particularly those products for which the use of HCFC-141b has already been banned under </w:t>
            </w:r>
            <w:r w:rsidR="00A81DEE" w:rsidRPr="0026329D">
              <w:rPr>
                <w:rFonts w:eastAsia="SimSun"/>
                <w:sz w:val="20"/>
                <w:lang w:val="en-CA"/>
              </w:rPr>
              <w:t>stage </w:t>
            </w:r>
            <w:r w:rsidRPr="0026329D">
              <w:rPr>
                <w:rFonts w:eastAsia="SimSun"/>
                <w:sz w:val="20"/>
                <w:lang w:val="en-CA"/>
              </w:rPr>
              <w:t>I)</w:t>
            </w:r>
          </w:p>
        </w:tc>
      </w:tr>
    </w:tbl>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The revised plan of action for the PU foam sector will include the issuance of policies covering administration and industry management (e.g., bans on the use of HCFC-141b in different sub-sectors, formulation and updating of standards, the recommended list of alternatives to HCFCs). Other measures aimed at supervision and industry management are national complementary activities (e.g., establishing a national ODS atmospheric network).</w:t>
      </w:r>
    </w:p>
    <w:p w:rsidR="00E44F75" w:rsidRPr="0026329D" w:rsidRDefault="00E44F75" w:rsidP="00E44F75">
      <w:pPr>
        <w:keepNext/>
        <w:keepLines/>
        <w:spacing w:before="260" w:after="260"/>
        <w:outlineLvl w:val="1"/>
        <w:rPr>
          <w:rFonts w:eastAsia="SimSun"/>
          <w:bCs/>
          <w:i/>
          <w:szCs w:val="24"/>
          <w:lang w:val="en-CA"/>
        </w:rPr>
      </w:pPr>
      <w:r w:rsidRPr="0026329D">
        <w:rPr>
          <w:rFonts w:eastAsia="SimSun"/>
          <w:bCs/>
          <w:i/>
          <w:szCs w:val="24"/>
          <w:lang w:val="en-CA"/>
        </w:rPr>
        <w:t>Phase-out activities at enterprises</w:t>
      </w:r>
    </w:p>
    <w:p w:rsidR="00E44F75" w:rsidRPr="0026329D" w:rsidRDefault="00A81DEE" w:rsidP="00E44F75">
      <w:pPr>
        <w:pStyle w:val="Heading1"/>
        <w:rPr>
          <w:lang w:val="en-CA"/>
        </w:rPr>
      </w:pPr>
      <w:r w:rsidRPr="0026329D">
        <w:rPr>
          <w:lang w:val="en-CA"/>
        </w:rPr>
        <w:t>Stage </w:t>
      </w:r>
      <w:r w:rsidR="00E44F75" w:rsidRPr="0026329D">
        <w:rPr>
          <w:lang w:val="en-CA"/>
        </w:rPr>
        <w:t>II of the HPMP was approved for an accelerated phase-out of HCFC-141b in the PU foam sector, including a 30</w:t>
      </w:r>
      <w:r w:rsidRPr="0026329D">
        <w:rPr>
          <w:lang w:val="en-CA"/>
        </w:rPr>
        <w:t> per cent</w:t>
      </w:r>
      <w:r w:rsidR="00E44F75" w:rsidRPr="0026329D">
        <w:rPr>
          <w:lang w:val="en-CA"/>
        </w:rPr>
        <w:t xml:space="preserve"> reduction in 2018, which was completed as scheduled. Pipeline insulation and solar water heaters are the two priority sub-sectors to phase out HCFCs; the targets for other sub</w:t>
      </w:r>
      <w:r w:rsidR="00E44F75" w:rsidRPr="0026329D">
        <w:rPr>
          <w:lang w:val="en-CA"/>
        </w:rPr>
        <w:noBreakHyphen/>
        <w:t>sectors will be based on the feasibility and cost of low-GWP alternative technologies, with phase-out in the spray foam sub</w:t>
      </w:r>
      <w:r w:rsidR="00E44F75" w:rsidRPr="0026329D">
        <w:rPr>
          <w:lang w:val="en-CA"/>
        </w:rPr>
        <w:noBreakHyphen/>
        <w:t xml:space="preserve">sector expected to be completed in the final phase of </w:t>
      </w:r>
      <w:r w:rsidRPr="0026329D">
        <w:rPr>
          <w:lang w:val="en-CA"/>
        </w:rPr>
        <w:t>stage </w:t>
      </w:r>
      <w:r w:rsidR="00E44F75" w:rsidRPr="0026329D">
        <w:rPr>
          <w:lang w:val="en-CA"/>
        </w:rPr>
        <w:t xml:space="preserve">II. </w:t>
      </w:r>
    </w:p>
    <w:p w:rsidR="00E44F75" w:rsidRPr="0026329D" w:rsidRDefault="00E44F75" w:rsidP="00E44F75">
      <w:pPr>
        <w:pStyle w:val="Heading1"/>
        <w:rPr>
          <w:lang w:val="en-CA"/>
        </w:rPr>
      </w:pPr>
      <w:r w:rsidRPr="0026329D">
        <w:rPr>
          <w:lang w:val="en-CA"/>
        </w:rPr>
        <w:t>Given the funding level available and the fact that most enterprises in the sector are SMEs, the implementation of conversions at individual enterprises alone would not be sufficient to achieve the HCFC phase</w:t>
      </w:r>
      <w:r w:rsidRPr="0026329D">
        <w:rPr>
          <w:lang w:val="en-CA"/>
        </w:rPr>
        <w:noBreakHyphen/>
        <w:t>out required to meet the Government of China’s obligations. Therefore, the revised phase</w:t>
      </w:r>
      <w:r w:rsidRPr="0026329D">
        <w:rPr>
          <w:lang w:val="en-CA"/>
        </w:rPr>
        <w:noBreakHyphen/>
        <w:t>out strategy includes providing TA to PU foam enterprises, mostly to SMEs, through systems houses. The allocation of funds and the number of projects both at the systems houses and at the individual enterprises might be adjusted according to circumstances arising in the course of implementation.</w:t>
      </w:r>
    </w:p>
    <w:p w:rsidR="00E44F75" w:rsidRPr="0026329D" w:rsidRDefault="00E44F75" w:rsidP="00E44F75">
      <w:pPr>
        <w:pStyle w:val="Heading1"/>
        <w:rPr>
          <w:lang w:val="en-CA"/>
        </w:rPr>
      </w:pPr>
      <w:r w:rsidRPr="0026329D">
        <w:rPr>
          <w:lang w:val="en-CA"/>
        </w:rPr>
        <w:t>During the implementation of the action plan for the PU foam sector, hydrocarbon (HC), water</w:t>
      </w:r>
      <w:r w:rsidRPr="0026329D">
        <w:rPr>
          <w:lang w:val="en-CA"/>
        </w:rPr>
        <w:noBreakHyphen/>
        <w:t>blown and HFO technology will continue to be the main alternative technologies.</w:t>
      </w:r>
    </w:p>
    <w:p w:rsidR="00E44F75" w:rsidRPr="0026329D" w:rsidRDefault="00E44F75" w:rsidP="00E44F75">
      <w:pPr>
        <w:pStyle w:val="Heading3"/>
        <w:numPr>
          <w:ilvl w:val="0"/>
          <w:numId w:val="0"/>
        </w:numPr>
        <w:rPr>
          <w:i/>
          <w:u w:val="single"/>
          <w:lang w:val="en-CA"/>
        </w:rPr>
      </w:pPr>
      <w:r w:rsidRPr="0026329D">
        <w:rPr>
          <w:i/>
          <w:u w:val="single"/>
          <w:lang w:val="en-CA"/>
        </w:rPr>
        <w:t>Individual conversion projects for large and medium-scale enterprises</w:t>
      </w:r>
    </w:p>
    <w:p w:rsidR="00E44F75" w:rsidRPr="0026329D" w:rsidRDefault="00E44F75" w:rsidP="00E44F75">
      <w:pPr>
        <w:pStyle w:val="Heading1"/>
        <w:rPr>
          <w:rFonts w:eastAsia="SimSun"/>
          <w:lang w:val="en-CA"/>
        </w:rPr>
      </w:pPr>
      <w:r w:rsidRPr="0026329D">
        <w:rPr>
          <w:rFonts w:eastAsia="SimSun"/>
          <w:lang w:val="en-CA"/>
        </w:rPr>
        <w:t xml:space="preserve">A limited number of individual conversion projects (estimated at 30 to 40) will be supported from 2021 to 2026 (at an estimated cost of </w:t>
      </w:r>
      <w:r w:rsidR="00475A50" w:rsidRPr="0026329D">
        <w:rPr>
          <w:rFonts w:eastAsia="SimSun"/>
          <w:lang w:val="en-CA"/>
        </w:rPr>
        <w:t>US $</w:t>
      </w:r>
      <w:r w:rsidRPr="0026329D">
        <w:rPr>
          <w:rFonts w:eastAsia="SimSun"/>
          <w:lang w:val="en-CA"/>
        </w:rPr>
        <w:t>9,314,000). Large enterprises will carry out conversion activities using their own resources. Funding from the Multilateral Fund will be used as an incentive for early phase</w:t>
      </w:r>
      <w:r w:rsidRPr="0026329D">
        <w:rPr>
          <w:rFonts w:eastAsia="SimSun"/>
          <w:lang w:val="en-CA"/>
        </w:rPr>
        <w:noBreakHyphen/>
        <w:t>out. The individual projects will also serve as demonstration by providing experience and technical information to the various foam sub-sectors, and by inviting suppliers of equipment and/or material to develop compatible facilities and solutions for the market. From 2021, the PU foam industry is expected to phase out about 2,259 mt (248.49 ODP tonnes) of HCFC-141b through the individual conversion projects.</w:t>
      </w:r>
    </w:p>
    <w:p w:rsidR="00E44F75" w:rsidRPr="0026329D" w:rsidRDefault="00E44F75" w:rsidP="00E44F75">
      <w:pPr>
        <w:adjustRightInd w:val="0"/>
        <w:snapToGrid w:val="0"/>
        <w:spacing w:after="240"/>
        <w:rPr>
          <w:i/>
          <w:u w:val="single"/>
          <w:lang w:val="en-CA"/>
        </w:rPr>
      </w:pPr>
      <w:r w:rsidRPr="0026329D">
        <w:rPr>
          <w:i/>
          <w:u w:val="single"/>
          <w:lang w:val="en-CA"/>
        </w:rPr>
        <w:t>Systems house projects</w:t>
      </w:r>
    </w:p>
    <w:p w:rsidR="00E44F75" w:rsidRPr="0026329D" w:rsidRDefault="00E44F75" w:rsidP="00E44F75">
      <w:pPr>
        <w:pStyle w:val="Heading1"/>
        <w:rPr>
          <w:lang w:val="en-CA"/>
        </w:rPr>
      </w:pPr>
      <w:r w:rsidRPr="0026329D">
        <w:rPr>
          <w:lang w:val="en-CA"/>
        </w:rPr>
        <w:t>The plan of action intends to assist mostly SMEs to undertake the phase-out of HCFC</w:t>
      </w:r>
      <w:r w:rsidRPr="0026329D">
        <w:rPr>
          <w:lang w:val="en-CA"/>
        </w:rPr>
        <w:noBreakHyphen/>
        <w:t xml:space="preserve">141b through systems houses as suppliers of materials, alternative technologies and </w:t>
      </w:r>
      <w:r w:rsidR="00D15333" w:rsidRPr="0026329D">
        <w:rPr>
          <w:lang w:val="en-CA"/>
        </w:rPr>
        <w:t>TA</w:t>
      </w:r>
      <w:r w:rsidRPr="0026329D">
        <w:rPr>
          <w:lang w:val="en-CA"/>
        </w:rPr>
        <w:t xml:space="preserve">. Nineteen systems houses will be supported (at an estimated cost of </w:t>
      </w:r>
      <w:r w:rsidR="00475A50" w:rsidRPr="0026329D">
        <w:rPr>
          <w:lang w:val="en-CA"/>
        </w:rPr>
        <w:t>US $</w:t>
      </w:r>
      <w:r w:rsidRPr="0026329D">
        <w:rPr>
          <w:lang w:val="en-CA"/>
        </w:rPr>
        <w:t>5,450,000), including 15 producers of water or HFO pre</w:t>
      </w:r>
      <w:r w:rsidRPr="0026329D">
        <w:rPr>
          <w:lang w:val="en-CA"/>
        </w:rPr>
        <w:noBreakHyphen/>
        <w:t xml:space="preserve">blended </w:t>
      </w:r>
      <w:r w:rsidRPr="0026329D">
        <w:rPr>
          <w:rFonts w:eastAsia="SimSun"/>
          <w:lang w:val="en-CA"/>
        </w:rPr>
        <w:t>polyols</w:t>
      </w:r>
      <w:r w:rsidRPr="0026329D">
        <w:rPr>
          <w:lang w:val="en-CA"/>
        </w:rPr>
        <w:t xml:space="preserve"> and four producers of HC</w:t>
      </w:r>
      <w:r w:rsidR="00A81DEE" w:rsidRPr="0026329D">
        <w:rPr>
          <w:lang w:val="en-CA"/>
        </w:rPr>
        <w:t xml:space="preserve"> </w:t>
      </w:r>
      <w:r w:rsidRPr="0026329D">
        <w:rPr>
          <w:lang w:val="en-CA"/>
        </w:rPr>
        <w:t xml:space="preserve">pre-blended </w:t>
      </w:r>
      <w:r w:rsidRPr="0026329D">
        <w:rPr>
          <w:rFonts w:eastAsia="SimSun"/>
          <w:lang w:val="en-CA"/>
        </w:rPr>
        <w:t>polyols</w:t>
      </w:r>
      <w:r w:rsidRPr="0026329D">
        <w:rPr>
          <w:lang w:val="en-CA"/>
        </w:rPr>
        <w:t>. Priority will be given to systems houses with a high consumption of HCFC-141b, those located in provinces with a high concentration of HCFC</w:t>
      </w:r>
      <w:r w:rsidRPr="0026329D">
        <w:rPr>
          <w:lang w:val="en-CA"/>
        </w:rPr>
        <w:noBreakHyphen/>
        <w:t>141b consumption and foam enterprises, those in provinces where no systems house projects have been implemented before, and those whose downstream enterprises are primarily HCFC</w:t>
      </w:r>
      <w:r w:rsidRPr="0026329D">
        <w:rPr>
          <w:lang w:val="en-CA"/>
        </w:rPr>
        <w:noBreakHyphen/>
        <w:t xml:space="preserve">141b consumers. </w:t>
      </w:r>
    </w:p>
    <w:p w:rsidR="00E44F75" w:rsidRPr="0026329D" w:rsidRDefault="00E44F75" w:rsidP="00E44F75">
      <w:pPr>
        <w:pStyle w:val="Heading1"/>
        <w:rPr>
          <w:rFonts w:eastAsia="SimSun"/>
          <w:lang w:val="en-CA"/>
        </w:rPr>
      </w:pPr>
      <w:r w:rsidRPr="0026329D">
        <w:rPr>
          <w:rFonts w:eastAsia="SimSun"/>
          <w:lang w:val="en-CA"/>
        </w:rPr>
        <w:t>An HCFC-141b phase-out target will be set for systems houses that would like to participate in the project. These systems houses should achieve reduction milestones in the years specified in the contract, until HCFC-141b is completely phased out by 2026. This method will allow control of HCFC</w:t>
      </w:r>
      <w:r w:rsidRPr="0026329D">
        <w:rPr>
          <w:rFonts w:eastAsia="SimSun"/>
          <w:lang w:val="en-CA"/>
        </w:rPr>
        <w:noBreakHyphen/>
        <w:t>141b consumption and will use the market network to actively promote alternative technology applications, from the systems houses to downstream enterprises.</w:t>
      </w:r>
    </w:p>
    <w:p w:rsidR="00E44F75" w:rsidRPr="0026329D" w:rsidRDefault="00E44F75" w:rsidP="00E44F75">
      <w:pPr>
        <w:pStyle w:val="Heading1"/>
        <w:rPr>
          <w:rFonts w:eastAsia="SimSun"/>
          <w:lang w:val="en-CA"/>
        </w:rPr>
      </w:pPr>
      <w:r w:rsidRPr="0026329D">
        <w:rPr>
          <w:rFonts w:eastAsia="SimSun"/>
          <w:lang w:val="en-CA"/>
        </w:rPr>
        <w:t xml:space="preserve">Further to the three established HC pre-blended polyol production capacities in </w:t>
      </w:r>
      <w:r w:rsidR="00A81DEE" w:rsidRPr="0026329D">
        <w:rPr>
          <w:rFonts w:eastAsia="SimSun"/>
          <w:lang w:val="en-CA"/>
        </w:rPr>
        <w:t>stage </w:t>
      </w:r>
      <w:r w:rsidRPr="0026329D">
        <w:rPr>
          <w:rFonts w:eastAsia="SimSun"/>
          <w:lang w:val="en-CA"/>
        </w:rPr>
        <w:t>I, there are plans to establish another four HC pre</w:t>
      </w:r>
      <w:r w:rsidRPr="0026329D">
        <w:rPr>
          <w:rFonts w:eastAsia="SimSun"/>
          <w:lang w:val="en-CA"/>
        </w:rPr>
        <w:noBreakHyphen/>
        <w:t>blended polyol production capacities to support enterprises wishing to invest in production equipment and safety conversion in other regions. These systems houses aim to meet the market demand for HC pre-blended polyols, while reducing the transportation radius and safety risks.</w:t>
      </w:r>
    </w:p>
    <w:p w:rsidR="00E44F75" w:rsidRPr="0026329D" w:rsidRDefault="00E44F75" w:rsidP="00E44F75">
      <w:pPr>
        <w:pStyle w:val="Heading1"/>
        <w:rPr>
          <w:lang w:val="en-CA"/>
        </w:rPr>
      </w:pPr>
      <w:r w:rsidRPr="0026329D">
        <w:rPr>
          <w:lang w:val="en-CA"/>
        </w:rPr>
        <w:t xml:space="preserve">In addition, the establishment of 15 water-based or HFO </w:t>
      </w:r>
      <w:r w:rsidRPr="0026329D">
        <w:rPr>
          <w:rFonts w:eastAsia="SimSun"/>
          <w:lang w:val="en-CA"/>
        </w:rPr>
        <w:t>pre-blended</w:t>
      </w:r>
      <w:r w:rsidRPr="0026329D">
        <w:rPr>
          <w:lang w:val="en-CA"/>
        </w:rPr>
        <w:t xml:space="preserve"> </w:t>
      </w:r>
      <w:r w:rsidRPr="0026329D">
        <w:rPr>
          <w:rFonts w:eastAsia="SimSun"/>
          <w:lang w:val="en-CA"/>
        </w:rPr>
        <w:t>polyol</w:t>
      </w:r>
      <w:r w:rsidRPr="0026329D">
        <w:rPr>
          <w:lang w:val="en-CA"/>
        </w:rPr>
        <w:t xml:space="preserve"> production capacity projects is planned. On the basis of investment in relevant production equipment for systems houses, funding will also be provided for systems houses to deliver TA and raw materials to the downstream SMEs to support their phase-out of HCFC-141b.</w:t>
      </w:r>
    </w:p>
    <w:p w:rsidR="00E44F75" w:rsidRPr="0026329D" w:rsidRDefault="00E44F75" w:rsidP="00E44F75">
      <w:pPr>
        <w:rPr>
          <w:i/>
          <w:lang w:val="en-CA"/>
        </w:rPr>
      </w:pPr>
      <w:r w:rsidRPr="0026329D">
        <w:rPr>
          <w:i/>
          <w:lang w:val="en-CA"/>
        </w:rPr>
        <w:t>TA activities</w:t>
      </w:r>
    </w:p>
    <w:p w:rsidR="00E44F75" w:rsidRPr="0026329D" w:rsidRDefault="00E44F75" w:rsidP="00E44F75">
      <w:pPr>
        <w:rPr>
          <w:lang w:val="en-CA"/>
        </w:rPr>
      </w:pPr>
    </w:p>
    <w:p w:rsidR="00E44F75" w:rsidRPr="0026329D" w:rsidRDefault="00A81DEE" w:rsidP="00AA78DC">
      <w:pPr>
        <w:pStyle w:val="Heading1"/>
        <w:widowControl w:val="0"/>
        <w:rPr>
          <w:lang w:val="en-CA"/>
        </w:rPr>
      </w:pPr>
      <w:r w:rsidRPr="0026329D">
        <w:rPr>
          <w:lang w:val="en-CA"/>
        </w:rPr>
        <w:t>Stage </w:t>
      </w:r>
      <w:r w:rsidR="00E44F75" w:rsidRPr="0026329D">
        <w:rPr>
          <w:lang w:val="en-CA"/>
        </w:rPr>
        <w:t xml:space="preserve">II of the PU foam sector plan will continue to carry out TA activities in the period 2021-2026 (at a cost of </w:t>
      </w:r>
      <w:r w:rsidR="00475A50" w:rsidRPr="0026329D">
        <w:rPr>
          <w:lang w:val="en-CA"/>
        </w:rPr>
        <w:t>US $</w:t>
      </w:r>
      <w:r w:rsidR="00E44F75" w:rsidRPr="0026329D">
        <w:rPr>
          <w:lang w:val="en-CA"/>
        </w:rPr>
        <w:t>3,380,000) to ensure the timely achievement and sustainability of phase-out targets, as listed in Table 3.</w:t>
      </w:r>
    </w:p>
    <w:p w:rsidR="00E44F75" w:rsidRPr="0026329D" w:rsidRDefault="00E44F75" w:rsidP="00E44F75">
      <w:pPr>
        <w:keepNext/>
        <w:keepLines/>
        <w:widowControl w:val="0"/>
        <w:adjustRightInd w:val="0"/>
        <w:snapToGrid w:val="0"/>
        <w:jc w:val="left"/>
        <w:rPr>
          <w:rFonts w:eastAsia="SimSun"/>
          <w:b/>
          <w:szCs w:val="24"/>
          <w:lang w:val="en-CA"/>
        </w:rPr>
      </w:pPr>
      <w:r w:rsidRPr="0026329D">
        <w:rPr>
          <w:rFonts w:eastAsia="SimSun"/>
          <w:b/>
          <w:szCs w:val="24"/>
          <w:lang w:val="en-CA"/>
        </w:rPr>
        <w:t xml:space="preserve">Table 3. TA activities in the PU foam sector plan </w:t>
      </w:r>
    </w:p>
    <w:tbl>
      <w:tblPr>
        <w:tblW w:w="9535" w:type="dxa"/>
        <w:tblLayout w:type="fixed"/>
        <w:tblLook w:val="0000" w:firstRow="0" w:lastRow="0" w:firstColumn="0" w:lastColumn="0" w:noHBand="0" w:noVBand="0"/>
      </w:tblPr>
      <w:tblGrid>
        <w:gridCol w:w="1885"/>
        <w:gridCol w:w="6480"/>
        <w:gridCol w:w="1170"/>
      </w:tblGrid>
      <w:tr w:rsidR="00E44F75" w:rsidRPr="0026329D" w:rsidTr="00C84F9C">
        <w:trPr>
          <w:tblHeader/>
        </w:trPr>
        <w:tc>
          <w:tcPr>
            <w:tcW w:w="1885"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E44F75" w:rsidRPr="0026329D" w:rsidRDefault="00E44F75" w:rsidP="00750339">
            <w:pPr>
              <w:keepNext/>
              <w:keepLines/>
              <w:widowControl w:val="0"/>
              <w:tabs>
                <w:tab w:val="left" w:pos="284"/>
              </w:tabs>
              <w:jc w:val="left"/>
              <w:rPr>
                <w:rFonts w:eastAsia="SimSun"/>
                <w:b/>
                <w:sz w:val="20"/>
                <w:szCs w:val="20"/>
                <w:lang w:val="en-CA"/>
              </w:rPr>
            </w:pPr>
            <w:r w:rsidRPr="0026329D">
              <w:rPr>
                <w:rFonts w:eastAsia="SimSun"/>
                <w:b/>
                <w:sz w:val="20"/>
                <w:szCs w:val="20"/>
                <w:lang w:val="en-CA"/>
              </w:rPr>
              <w:t>Activity</w:t>
            </w:r>
          </w:p>
        </w:tc>
        <w:tc>
          <w:tcPr>
            <w:tcW w:w="6480" w:type="dxa"/>
            <w:tcBorders>
              <w:top w:val="single" w:sz="4" w:space="0" w:color="auto"/>
              <w:left w:val="single" w:sz="4" w:space="0" w:color="auto"/>
              <w:bottom w:val="single" w:sz="4" w:space="0" w:color="auto"/>
              <w:right w:val="single" w:sz="4" w:space="0" w:color="auto"/>
            </w:tcBorders>
            <w:vAlign w:val="center"/>
          </w:tcPr>
          <w:p w:rsidR="00E44F75" w:rsidRPr="0026329D" w:rsidRDefault="00E44F75" w:rsidP="00665A83">
            <w:pPr>
              <w:keepNext/>
              <w:keepLines/>
              <w:widowControl w:val="0"/>
              <w:jc w:val="center"/>
              <w:rPr>
                <w:b/>
                <w:sz w:val="20"/>
                <w:szCs w:val="20"/>
                <w:lang w:val="en-CA"/>
              </w:rPr>
            </w:pPr>
            <w:r w:rsidRPr="0026329D">
              <w:rPr>
                <w:rFonts w:eastAsia="SimSun"/>
                <w:b/>
                <w:sz w:val="20"/>
                <w:szCs w:val="20"/>
                <w:lang w:val="en-CA"/>
              </w:rPr>
              <w:t>Objectives</w:t>
            </w: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tcPr>
          <w:p w:rsidR="00E44F75" w:rsidRPr="0026329D" w:rsidRDefault="00E44F75" w:rsidP="00665A83">
            <w:pPr>
              <w:keepNext/>
              <w:keepLines/>
              <w:widowControl w:val="0"/>
              <w:jc w:val="center"/>
              <w:rPr>
                <w:rFonts w:eastAsia="SimSun"/>
                <w:b/>
                <w:sz w:val="20"/>
                <w:szCs w:val="20"/>
                <w:lang w:val="en-CA"/>
              </w:rPr>
            </w:pPr>
            <w:r w:rsidRPr="0026329D">
              <w:rPr>
                <w:rFonts w:eastAsia="SimSun"/>
                <w:b/>
                <w:sz w:val="20"/>
                <w:szCs w:val="20"/>
                <w:lang w:val="en-CA"/>
              </w:rPr>
              <w:t>Cost (</w:t>
            </w:r>
            <w:r w:rsidR="00475A50" w:rsidRPr="0026329D">
              <w:rPr>
                <w:rFonts w:eastAsia="SimSun"/>
                <w:b/>
                <w:sz w:val="20"/>
                <w:szCs w:val="20"/>
                <w:lang w:val="en-CA"/>
              </w:rPr>
              <w:t>US $</w:t>
            </w:r>
            <w:r w:rsidRPr="0026329D">
              <w:rPr>
                <w:rFonts w:eastAsia="SimSun"/>
                <w:b/>
                <w:sz w:val="20"/>
                <w:szCs w:val="20"/>
                <w:lang w:val="en-CA"/>
              </w:rPr>
              <w:t>)</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Studies (research and development) on alternative technologies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sz w:val="20"/>
                <w:szCs w:val="20"/>
                <w:lang w:val="en-CA"/>
              </w:rPr>
            </w:pPr>
            <w:r w:rsidRPr="0026329D">
              <w:rPr>
                <w:rFonts w:eastAsia="SimSun"/>
                <w:sz w:val="20"/>
                <w:szCs w:val="20"/>
                <w:lang w:val="en-CA"/>
              </w:rPr>
              <w:t>Strengthening the capacity to study and optimize foam systems with alternative technologies, especially in SMEs, by research institutions publicly invited by</w:t>
            </w:r>
            <w:r w:rsidRPr="0026329D">
              <w:rPr>
                <w:lang w:val="en-CA"/>
              </w:rPr>
              <w:t xml:space="preserve"> t</w:t>
            </w:r>
            <w:r w:rsidRPr="0026329D">
              <w:rPr>
                <w:rFonts w:eastAsia="SimSun"/>
                <w:sz w:val="20"/>
                <w:szCs w:val="20"/>
                <w:lang w:val="en-CA"/>
              </w:rPr>
              <w:t xml:space="preserve">he Foreign Economic Cooperation Office (FECO) to participate. The institutions will evaluate the advantages and disadvantages of alternative foaming effects and cost reduction, and will share the outcomes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400,000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Technical consulting services</w:t>
            </w:r>
          </w:p>
        </w:tc>
        <w:tc>
          <w:tcPr>
            <w:tcW w:w="6480" w:type="dxa"/>
            <w:tcBorders>
              <w:top w:val="single" w:sz="4" w:space="0" w:color="auto"/>
              <w:left w:val="single" w:sz="4" w:space="0" w:color="auto"/>
              <w:bottom w:val="single" w:sz="4" w:space="0" w:color="auto"/>
              <w:right w:val="single" w:sz="4" w:space="0" w:color="auto"/>
            </w:tcBorders>
          </w:tcPr>
          <w:p w:rsidR="00E44F75" w:rsidRPr="0026329D" w:rsidRDefault="00E44F75" w:rsidP="00665A83">
            <w:pPr>
              <w:jc w:val="left"/>
              <w:rPr>
                <w:rFonts w:eastAsia="SimSun"/>
                <w:b/>
                <w:sz w:val="20"/>
                <w:szCs w:val="20"/>
                <w:lang w:val="en-CA"/>
              </w:rPr>
            </w:pPr>
            <w:r w:rsidRPr="0026329D">
              <w:rPr>
                <w:rFonts w:eastAsia="SimSun"/>
                <w:sz w:val="20"/>
                <w:szCs w:val="20"/>
                <w:lang w:val="en-CA"/>
              </w:rPr>
              <w:t>Providing support to FECO on policies and development of alternative technologies, reviewing and evaluating sub-projects, and delivering technical comments on verifications and presentations during the training workshops and seminars</w:t>
            </w:r>
          </w:p>
        </w:tc>
        <w:tc>
          <w:tcPr>
            <w:tcW w:w="1170" w:type="dxa"/>
            <w:tcBorders>
              <w:top w:val="single" w:sz="4" w:space="0" w:color="auto"/>
              <w:left w:val="single" w:sz="4" w:space="0" w:color="auto"/>
              <w:bottom w:val="single" w:sz="4" w:space="0" w:color="auto"/>
              <w:right w:val="single" w:sz="4" w:space="0" w:color="auto"/>
            </w:tcBorders>
          </w:tcPr>
          <w:p w:rsidR="00E44F75" w:rsidRPr="0026329D" w:rsidRDefault="00E44F75" w:rsidP="00665A83">
            <w:pPr>
              <w:jc w:val="right"/>
              <w:rPr>
                <w:rFonts w:eastAsia="SimSun"/>
                <w:sz w:val="20"/>
                <w:szCs w:val="20"/>
                <w:lang w:val="en-CA"/>
              </w:rPr>
            </w:pPr>
            <w:r w:rsidRPr="0026329D">
              <w:rPr>
                <w:rFonts w:eastAsia="SimSun"/>
                <w:sz w:val="20"/>
                <w:szCs w:val="20"/>
                <w:lang w:val="en-CA"/>
              </w:rPr>
              <w:t>30,000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Revision of industry standards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 xml:space="preserve">Revising existing standards for foam products in different applications, taking into account changes in foam properties when using alternative technologies, experience gained from the implementation of </w:t>
            </w:r>
            <w:r w:rsidR="00A81DEE" w:rsidRPr="0026329D">
              <w:rPr>
                <w:rFonts w:eastAsia="SimSun"/>
                <w:sz w:val="20"/>
                <w:szCs w:val="20"/>
                <w:lang w:val="en-CA"/>
              </w:rPr>
              <w:t>stage </w:t>
            </w:r>
            <w:r w:rsidRPr="0026329D">
              <w:rPr>
                <w:rFonts w:eastAsia="SimSun"/>
                <w:sz w:val="20"/>
                <w:szCs w:val="20"/>
                <w:lang w:val="en-CA"/>
              </w:rPr>
              <w:t xml:space="preserve">I, and circumstances of the application of alternatives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250,000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Policy impact assessment</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sz w:val="20"/>
                <w:szCs w:val="20"/>
                <w:lang w:val="en-CA"/>
              </w:rPr>
            </w:pPr>
            <w:r w:rsidRPr="0026329D">
              <w:rPr>
                <w:rFonts w:eastAsia="SimSun"/>
                <w:sz w:val="20"/>
                <w:szCs w:val="20"/>
                <w:lang w:val="en-CA"/>
              </w:rPr>
              <w:t xml:space="preserve">Conducting technical feasibility studies to evaluate in advance the environmental, economic and social impact on the industry of the planned bans on the use of HCFC-141b in different PU foam sub-sectors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200,000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Capacity building for local EEBs and other sectors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Providing assistance to local EEBs in monitoring the consumption and phase</w:t>
            </w:r>
            <w:r w:rsidRPr="0026329D">
              <w:rPr>
                <w:rFonts w:eastAsia="SimSun"/>
                <w:sz w:val="20"/>
                <w:szCs w:val="20"/>
                <w:lang w:val="en-CA"/>
              </w:rPr>
              <w:noBreakHyphen/>
              <w:t xml:space="preserve">out of HCFC-141b, in regions with a high concentration of PU foam enterprises. Training on PU foam production knowledge, testing methods and key points, enforcement protocols and examples for enforcement officers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500,000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Domestic executive implementation support agency (ISA)</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sz w:val="20"/>
                <w:szCs w:val="20"/>
                <w:lang w:val="en-CA"/>
              </w:rPr>
            </w:pPr>
            <w:r w:rsidRPr="0026329D">
              <w:rPr>
                <w:rFonts w:eastAsia="SimSun"/>
                <w:sz w:val="20"/>
                <w:szCs w:val="20"/>
                <w:lang w:val="en-CA"/>
              </w:rPr>
              <w:t>Technical advice and support from ISA to FECO and concerned enterprises, including the selection of alternative technologies, assisting enterprises in drafting implementation plans, and conducting sub</w:t>
            </w:r>
            <w:r w:rsidRPr="0026329D">
              <w:rPr>
                <w:rFonts w:eastAsia="SimSun"/>
                <w:sz w:val="20"/>
                <w:szCs w:val="20"/>
                <w:lang w:val="en-CA"/>
              </w:rPr>
              <w:noBreakHyphen/>
              <w:t>project technical verification and acceptance procedures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830,000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Baseline verification</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sz w:val="20"/>
                <w:szCs w:val="20"/>
                <w:lang w:val="en-CA"/>
              </w:rPr>
            </w:pPr>
            <w:r w:rsidRPr="0026329D">
              <w:rPr>
                <w:rFonts w:eastAsia="SimSun"/>
                <w:sz w:val="20"/>
                <w:szCs w:val="20"/>
                <w:lang w:val="en-CA"/>
              </w:rPr>
              <w:t>Conducting audits of baseline consumption and qualification of enterprises applying for phase-out sub-projects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290,000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Performance verification</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Verification of the implementation of phase-out activities, milestones of HCFC</w:t>
            </w:r>
            <w:r w:rsidRPr="0026329D">
              <w:rPr>
                <w:rFonts w:eastAsia="SimSun"/>
                <w:sz w:val="20"/>
                <w:szCs w:val="20"/>
                <w:lang w:val="en-CA"/>
              </w:rPr>
              <w:noBreakHyphen/>
              <w:t>141b phase-out, status of use of alternative technologies, and use of the Multilateral Fund funding at beneficiary enterprises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290,000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 xml:space="preserve">Study tours and exchanges </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To facilitate sharing information on policies</w:t>
            </w:r>
            <w:r w:rsidRPr="0026329D">
              <w:rPr>
                <w:rStyle w:val="CommentReference"/>
                <w:sz w:val="20"/>
                <w:szCs w:val="20"/>
                <w:lang w:val="en-CA"/>
              </w:rPr>
              <w:t xml:space="preserve"> </w:t>
            </w:r>
            <w:r w:rsidRPr="0026329D">
              <w:rPr>
                <w:rFonts w:eastAsia="SimSun"/>
                <w:sz w:val="20"/>
                <w:szCs w:val="20"/>
                <w:lang w:val="en-CA"/>
              </w:rPr>
              <w:t>and best practices in monitoring and enforcement, and on alternative technologies between national stakeholders (Government, industrial associations, and research institutes) and their counterparts in non-Article 5 countries</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150,000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 xml:space="preserve">Creation of an academic network </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Helping enterprises establish partnerships with universities, colleges and research institutes to share knowledge of developments in non</w:t>
            </w:r>
            <w:r w:rsidRPr="0026329D">
              <w:rPr>
                <w:rFonts w:eastAsia="SimSun"/>
                <w:sz w:val="20"/>
                <w:szCs w:val="20"/>
                <w:lang w:val="en-CA"/>
              </w:rPr>
              <w:noBreakHyphen/>
              <w:t>ODS industry, promoting the adoption of alternative technologies, and updating policy measures</w:t>
            </w:r>
          </w:p>
        </w:tc>
        <w:tc>
          <w:tcPr>
            <w:tcW w:w="1170" w:type="dxa"/>
            <w:vMerge/>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rsidR="00E44F75" w:rsidRPr="0026329D" w:rsidRDefault="00E44F75" w:rsidP="00665A83">
            <w:pPr>
              <w:tabs>
                <w:tab w:val="left" w:pos="284"/>
              </w:tabs>
              <w:jc w:val="left"/>
              <w:rPr>
                <w:rFonts w:eastAsia="SimSun"/>
                <w:sz w:val="20"/>
                <w:szCs w:val="20"/>
                <w:lang w:val="en-CA"/>
              </w:rPr>
            </w:pPr>
            <w:r w:rsidRPr="0026329D">
              <w:rPr>
                <w:rFonts w:eastAsia="SimSun"/>
                <w:sz w:val="20"/>
                <w:szCs w:val="20"/>
                <w:lang w:val="en-CA"/>
              </w:rPr>
              <w:t>Public awareness and outreach</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left"/>
              <w:rPr>
                <w:rFonts w:eastAsia="SimSun"/>
                <w:b/>
                <w:sz w:val="20"/>
                <w:szCs w:val="20"/>
                <w:lang w:val="en-CA"/>
              </w:rPr>
            </w:pPr>
            <w:r w:rsidRPr="0026329D">
              <w:rPr>
                <w:rFonts w:eastAsia="SimSun"/>
                <w:sz w:val="20"/>
                <w:szCs w:val="20"/>
                <w:lang w:val="en-CA"/>
              </w:rPr>
              <w:t xml:space="preserve">Public outreach strategy to solicit the support and participation of the foam industry and the public and help create demand for greener products in construction, appliances, and other sectors, including </w:t>
            </w:r>
            <w:r w:rsidRPr="0026329D">
              <w:rPr>
                <w:rFonts w:eastAsia="SimSun"/>
                <w:i/>
                <w:sz w:val="20"/>
                <w:szCs w:val="20"/>
                <w:lang w:val="en-CA"/>
              </w:rPr>
              <w:t>inter alia</w:t>
            </w:r>
            <w:r w:rsidRPr="0026329D">
              <w:rPr>
                <w:rFonts w:eastAsia="SimSun"/>
                <w:sz w:val="20"/>
                <w:szCs w:val="20"/>
                <w:lang w:val="en-CA"/>
              </w:rPr>
              <w:t xml:space="preserve"> publications, posters and conferences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E44F75" w:rsidRPr="0026329D" w:rsidRDefault="00E44F75" w:rsidP="00665A83">
            <w:pPr>
              <w:jc w:val="right"/>
              <w:rPr>
                <w:rFonts w:eastAsia="SimSun"/>
                <w:sz w:val="20"/>
                <w:szCs w:val="20"/>
                <w:lang w:val="en-CA"/>
              </w:rPr>
            </w:pPr>
            <w:r w:rsidRPr="0026329D">
              <w:rPr>
                <w:rFonts w:eastAsia="SimSun"/>
                <w:sz w:val="20"/>
                <w:szCs w:val="20"/>
                <w:lang w:val="en-CA"/>
              </w:rPr>
              <w:t>50,000</w:t>
            </w:r>
          </w:p>
        </w:tc>
      </w:tr>
      <w:tr w:rsidR="00E44F75" w:rsidRPr="0026329D" w:rsidTr="00C84F9C">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tcPr>
          <w:p w:rsidR="00E44F75" w:rsidRPr="0026329D" w:rsidRDefault="00E44F75" w:rsidP="00665A83">
            <w:pPr>
              <w:tabs>
                <w:tab w:val="left" w:pos="284"/>
              </w:tabs>
              <w:jc w:val="left"/>
              <w:rPr>
                <w:rFonts w:eastAsia="SimSun"/>
                <w:b/>
                <w:sz w:val="20"/>
                <w:szCs w:val="20"/>
                <w:lang w:val="en-CA"/>
              </w:rPr>
            </w:pPr>
            <w:r w:rsidRPr="0026329D">
              <w:rPr>
                <w:rFonts w:eastAsia="SimSun"/>
                <w:b/>
                <w:sz w:val="20"/>
                <w:szCs w:val="20"/>
                <w:lang w:val="en-CA"/>
              </w:rPr>
              <w:t>Total</w:t>
            </w:r>
          </w:p>
        </w:tc>
        <w:tc>
          <w:tcPr>
            <w:tcW w:w="6480" w:type="dxa"/>
            <w:tcBorders>
              <w:top w:val="single" w:sz="4" w:space="0" w:color="auto"/>
              <w:left w:val="single" w:sz="4" w:space="0" w:color="auto"/>
              <w:bottom w:val="single" w:sz="4" w:space="0" w:color="auto"/>
              <w:right w:val="single" w:sz="4" w:space="0" w:color="auto"/>
            </w:tcBorders>
            <w:shd w:val="clear" w:color="000000" w:fill="FFFFFF"/>
            <w:vAlign w:val="center"/>
          </w:tcPr>
          <w:p w:rsidR="00E44F75" w:rsidRPr="0026329D" w:rsidRDefault="00E44F75" w:rsidP="00665A83">
            <w:pPr>
              <w:rPr>
                <w:rFonts w:eastAsia="SimSun"/>
                <w:sz w:val="20"/>
                <w:szCs w:val="20"/>
                <w:lang w:val="en-CA"/>
              </w:rPr>
            </w:pPr>
          </w:p>
        </w:tc>
        <w:tc>
          <w:tcPr>
            <w:tcW w:w="1170" w:type="dxa"/>
            <w:tcBorders>
              <w:top w:val="single" w:sz="4" w:space="0" w:color="auto"/>
              <w:left w:val="nil"/>
              <w:bottom w:val="single" w:sz="4" w:space="0" w:color="auto"/>
              <w:right w:val="single" w:sz="4" w:space="0" w:color="auto"/>
            </w:tcBorders>
          </w:tcPr>
          <w:p w:rsidR="00E44F75" w:rsidRPr="0026329D" w:rsidRDefault="00E44F75" w:rsidP="00665A83">
            <w:pPr>
              <w:jc w:val="right"/>
              <w:rPr>
                <w:rFonts w:eastAsia="SimSun"/>
                <w:b/>
                <w:sz w:val="20"/>
                <w:szCs w:val="20"/>
                <w:lang w:val="en-CA"/>
              </w:rPr>
            </w:pPr>
            <w:r w:rsidRPr="0026329D">
              <w:rPr>
                <w:rFonts w:eastAsia="SimSun"/>
                <w:b/>
                <w:sz w:val="20"/>
                <w:szCs w:val="20"/>
                <w:lang w:val="en-CA"/>
              </w:rPr>
              <w:t>3,380,000</w:t>
            </w:r>
          </w:p>
        </w:tc>
      </w:tr>
    </w:tbl>
    <w:p w:rsidR="00E44F75" w:rsidRPr="0026329D" w:rsidRDefault="00E44F75" w:rsidP="00E44F75">
      <w:pPr>
        <w:rPr>
          <w:lang w:val="en-CA"/>
        </w:rPr>
      </w:pPr>
    </w:p>
    <w:p w:rsidR="00E44F75" w:rsidRPr="0026329D" w:rsidRDefault="00E44F75" w:rsidP="00081B71">
      <w:pPr>
        <w:keepNext/>
        <w:keepLines/>
        <w:rPr>
          <w:i/>
          <w:lang w:val="en-CA"/>
        </w:rPr>
      </w:pPr>
      <w:r w:rsidRPr="0026329D">
        <w:rPr>
          <w:i/>
          <w:lang w:val="en-CA"/>
        </w:rPr>
        <w:t>Project implementation</w:t>
      </w:r>
      <w:r w:rsidR="00A81DEE" w:rsidRPr="0026329D">
        <w:rPr>
          <w:i/>
          <w:lang w:val="en-CA"/>
        </w:rPr>
        <w:t xml:space="preserve"> and monitoring</w:t>
      </w:r>
      <w:r w:rsidRPr="0026329D">
        <w:rPr>
          <w:i/>
          <w:lang w:val="en-CA"/>
        </w:rPr>
        <w:t xml:space="preserve"> unit (PMU)</w:t>
      </w:r>
    </w:p>
    <w:p w:rsidR="00E44F75" w:rsidRPr="0026329D" w:rsidRDefault="00E44F75" w:rsidP="00081B71">
      <w:pPr>
        <w:keepNext/>
        <w:keepLines/>
        <w:rPr>
          <w:lang w:val="en-CA"/>
        </w:rPr>
      </w:pPr>
    </w:p>
    <w:p w:rsidR="00E44F75" w:rsidRPr="0026329D" w:rsidRDefault="00E44F75" w:rsidP="00081B71">
      <w:pPr>
        <w:pStyle w:val="Heading1"/>
        <w:keepNext/>
        <w:keepLines/>
        <w:rPr>
          <w:lang w:val="en-CA"/>
        </w:rPr>
      </w:pPr>
      <w:r w:rsidRPr="0026329D">
        <w:rPr>
          <w:lang w:val="en-CA"/>
        </w:rPr>
        <w:t xml:space="preserve">The PMU (at a cost of </w:t>
      </w:r>
      <w:r w:rsidR="00475A50" w:rsidRPr="0026329D">
        <w:rPr>
          <w:lang w:val="en-CA"/>
        </w:rPr>
        <w:t>US $</w:t>
      </w:r>
      <w:r w:rsidRPr="0026329D">
        <w:rPr>
          <w:lang w:val="en-CA"/>
        </w:rPr>
        <w:t>1,056,000) will continue to manage and monitor project implementation. PMU activities include: recruiting enterprises to participate in HCFC</w:t>
      </w:r>
      <w:r w:rsidRPr="0026329D">
        <w:rPr>
          <w:lang w:val="en-CA"/>
        </w:rPr>
        <w:noBreakHyphen/>
        <w:t>141b conversion activities and monitoring implementation of their activities; organizing and participating in verifications, evaluation meetings, and commissioning during project implementation, facilitating independent verification of sub</w:t>
      </w:r>
      <w:r w:rsidRPr="0026329D">
        <w:rPr>
          <w:lang w:val="en-CA"/>
        </w:rPr>
        <w:noBreakHyphen/>
        <w:t>project completion; reviewing project documents submitted by beneficiaries and processing contract performance; communicating and coordinating with the World Bank, the ISA, technical experts and other stakeholders on project implementation; designing TA activities and recruiting qualified implementing agencies; and preparing work plans, progress reports and other documents as required.</w:t>
      </w:r>
    </w:p>
    <w:p w:rsidR="00E44F75" w:rsidRPr="0026329D" w:rsidRDefault="00E44F75" w:rsidP="00E44F75">
      <w:pPr>
        <w:pStyle w:val="Heading1"/>
        <w:rPr>
          <w:lang w:val="en-CA"/>
        </w:rPr>
      </w:pPr>
      <w:r w:rsidRPr="0026329D">
        <w:rPr>
          <w:lang w:val="en-CA"/>
        </w:rPr>
        <w:t xml:space="preserve">The PMU will also assume more responsibilities in the area of communications and cooperation with policymakers and industry through: the organization of work and coordination meetings with national policy makers, industrial associations and representatives to discuss phase-out progress and policy measures to phase out HCFC-141b in the PU foam sector, as well as actions to promote the penetration of alternative technologies; providing the Ministry of Ecology and Environment (MEE), local EEBs and other ministries with technical support on the latest sector information and assisting in the development of regulations and plans related to ODS management for PU foam enterprises and systems houses at the local level; and providing technical support and input for the monitoring and supervision activities organized by the MEE and local EEBs. </w:t>
      </w:r>
    </w:p>
    <w:p w:rsidR="00E44F75" w:rsidRPr="0026329D" w:rsidRDefault="00E44F75" w:rsidP="00E44F75">
      <w:pPr>
        <w:pStyle w:val="Heading2"/>
        <w:numPr>
          <w:ilvl w:val="0"/>
          <w:numId w:val="0"/>
        </w:numPr>
        <w:rPr>
          <w:rFonts w:eastAsia="SimSun"/>
          <w:u w:val="single"/>
          <w:lang w:val="en-CA"/>
        </w:rPr>
      </w:pPr>
      <w:r w:rsidRPr="0026329D">
        <w:rPr>
          <w:rFonts w:eastAsia="SimSun"/>
          <w:u w:val="single"/>
          <w:lang w:val="en-CA"/>
        </w:rPr>
        <w:t xml:space="preserve">Total eligible incremental cost for </w:t>
      </w:r>
      <w:r w:rsidR="00A81DEE" w:rsidRPr="0026329D">
        <w:rPr>
          <w:rFonts w:eastAsia="SimSun"/>
          <w:u w:val="single"/>
          <w:lang w:val="en-CA"/>
        </w:rPr>
        <w:t>stage </w:t>
      </w:r>
      <w:r w:rsidRPr="0026329D">
        <w:rPr>
          <w:rFonts w:eastAsia="SimSun"/>
          <w:u w:val="single"/>
          <w:lang w:val="en-CA"/>
        </w:rPr>
        <w:t>II (2021-2026)</w:t>
      </w:r>
    </w:p>
    <w:p w:rsidR="00E44F75" w:rsidRPr="0026329D" w:rsidRDefault="00E44F75" w:rsidP="00E44F75">
      <w:pPr>
        <w:pStyle w:val="Heading3"/>
        <w:numPr>
          <w:ilvl w:val="0"/>
          <w:numId w:val="0"/>
        </w:numPr>
        <w:rPr>
          <w:rFonts w:eastAsia="SimSun"/>
          <w:i/>
          <w:lang w:val="en-CA"/>
        </w:rPr>
      </w:pPr>
      <w:r w:rsidRPr="0026329D">
        <w:rPr>
          <w:rFonts w:eastAsia="SimSun"/>
          <w:i/>
          <w:lang w:val="en-CA"/>
        </w:rPr>
        <w:t>Incremental cost for enterprise conversions</w:t>
      </w:r>
    </w:p>
    <w:p w:rsidR="00E44F75" w:rsidRPr="0026329D" w:rsidRDefault="00E44F75" w:rsidP="00E44F75">
      <w:pPr>
        <w:pStyle w:val="Heading1"/>
        <w:rPr>
          <w:rFonts w:eastAsia="SimSun"/>
          <w:lang w:val="en-CA"/>
        </w:rPr>
      </w:pPr>
      <w:r w:rsidRPr="0026329D">
        <w:rPr>
          <w:rFonts w:eastAsia="SimSun"/>
          <w:lang w:val="en-CA"/>
        </w:rPr>
        <w:t xml:space="preserve">A total of </w:t>
      </w:r>
      <w:r w:rsidR="00475A50" w:rsidRPr="0026329D">
        <w:rPr>
          <w:rFonts w:eastAsia="SimSun"/>
          <w:lang w:val="en-CA"/>
        </w:rPr>
        <w:t>US $</w:t>
      </w:r>
      <w:r w:rsidRPr="0026329D">
        <w:rPr>
          <w:rFonts w:eastAsia="SimSun"/>
          <w:lang w:val="en-CA"/>
        </w:rPr>
        <w:t xml:space="preserve">14,764,000 was allocated to enterprise phase-out activities between 2021 and 2026, including </w:t>
      </w:r>
      <w:r w:rsidR="00475A50" w:rsidRPr="0026329D">
        <w:rPr>
          <w:rFonts w:eastAsia="SimSun"/>
          <w:lang w:val="en-CA"/>
        </w:rPr>
        <w:t>US $</w:t>
      </w:r>
      <w:r w:rsidRPr="0026329D">
        <w:rPr>
          <w:rFonts w:eastAsia="SimSun"/>
          <w:lang w:val="en-CA"/>
        </w:rPr>
        <w:t xml:space="preserve">9,314,000 for individual conversions and </w:t>
      </w:r>
      <w:r w:rsidR="00475A50" w:rsidRPr="0026329D">
        <w:rPr>
          <w:rFonts w:eastAsia="SimSun"/>
          <w:lang w:val="en-CA"/>
        </w:rPr>
        <w:t>US $</w:t>
      </w:r>
      <w:r w:rsidRPr="0026329D">
        <w:rPr>
          <w:rFonts w:eastAsia="SimSun"/>
          <w:lang w:val="en-CA"/>
        </w:rPr>
        <w:t xml:space="preserve">5,450,000 for systems house projects. </w:t>
      </w:r>
    </w:p>
    <w:p w:rsidR="00E44F75" w:rsidRPr="0026329D" w:rsidRDefault="00E44F75" w:rsidP="00E44F75">
      <w:pPr>
        <w:pStyle w:val="Heading1"/>
        <w:numPr>
          <w:ilvl w:val="0"/>
          <w:numId w:val="0"/>
        </w:numPr>
        <w:rPr>
          <w:rFonts w:eastAsia="SimSun"/>
          <w:i/>
          <w:u w:val="single"/>
          <w:lang w:val="en-CA"/>
        </w:rPr>
      </w:pPr>
      <w:r w:rsidRPr="0026329D">
        <w:rPr>
          <w:rFonts w:eastAsia="SimSun"/>
          <w:i/>
          <w:u w:val="single"/>
          <w:lang w:val="en-CA"/>
        </w:rPr>
        <w:t xml:space="preserve">Individual conversion projects </w:t>
      </w:r>
    </w:p>
    <w:p w:rsidR="00E44F75" w:rsidRPr="0026329D" w:rsidRDefault="00E44F75" w:rsidP="00E44F75">
      <w:pPr>
        <w:pStyle w:val="Heading1"/>
        <w:rPr>
          <w:rFonts w:eastAsia="SimSun"/>
          <w:lang w:val="en-CA"/>
        </w:rPr>
      </w:pPr>
      <w:r w:rsidRPr="0026329D">
        <w:rPr>
          <w:rFonts w:eastAsia="SimSun"/>
          <w:lang w:val="en-CA"/>
        </w:rPr>
        <w:t>For the revised plan of action, the cost of enterprise conversion activities was determined according to the low-GWP technology selected. Conversions to HCs will only include incremental capital costs (ICC) to cover equipment retrofit and plant adaptations to cover minimum safety requirements, while conversions to HFO and water-blown technology will only include incremental operational costs (IOC) required to cover the price difference of the blowing agent (HFO) or other raw material chemicals (water</w:t>
      </w:r>
      <w:r w:rsidRPr="0026329D">
        <w:rPr>
          <w:rFonts w:eastAsia="SimSun"/>
          <w:lang w:val="en-CA"/>
        </w:rPr>
        <w:noBreakHyphen/>
        <w:t xml:space="preserve">blown technology). The average values calculated are largely consistent with those approved for </w:t>
      </w:r>
      <w:r w:rsidR="00A81DEE" w:rsidRPr="0026329D">
        <w:rPr>
          <w:rFonts w:eastAsia="SimSun"/>
          <w:lang w:val="en-CA"/>
        </w:rPr>
        <w:t>stage </w:t>
      </w:r>
      <w:r w:rsidRPr="0026329D">
        <w:rPr>
          <w:rFonts w:eastAsia="SimSun"/>
          <w:lang w:val="en-CA"/>
        </w:rPr>
        <w:t xml:space="preserve">II of the HPMP. </w:t>
      </w:r>
    </w:p>
    <w:p w:rsidR="00E44F75" w:rsidRPr="0026329D" w:rsidRDefault="00E44F75" w:rsidP="00E44F75">
      <w:pPr>
        <w:pStyle w:val="Heading1"/>
        <w:rPr>
          <w:rFonts w:eastAsia="SimSun"/>
          <w:lang w:val="en-CA"/>
        </w:rPr>
      </w:pPr>
      <w:r w:rsidRPr="0026329D">
        <w:rPr>
          <w:rFonts w:eastAsia="SimSun"/>
          <w:lang w:val="en-CA"/>
        </w:rPr>
        <w:t>Given the level of funds available for the PU foam sector plan, the scale of conversion activities and the level of funding provided to enterprises were adjusted as shown in Table 4.</w:t>
      </w:r>
      <w:r w:rsidR="00475A50" w:rsidRPr="0026329D">
        <w:rPr>
          <w:rFonts w:eastAsia="SimSun"/>
          <w:lang w:val="en-CA"/>
        </w:rPr>
        <w:t xml:space="preserve"> </w:t>
      </w:r>
    </w:p>
    <w:p w:rsidR="00E44F75" w:rsidRPr="0026329D" w:rsidRDefault="00E44F75" w:rsidP="00E44F75">
      <w:pPr>
        <w:keepNext/>
        <w:keepLines/>
        <w:jc w:val="left"/>
        <w:rPr>
          <w:rFonts w:eastAsia="SimSun"/>
          <w:b/>
          <w:lang w:val="en-CA"/>
        </w:rPr>
      </w:pPr>
      <w:r w:rsidRPr="0026329D">
        <w:rPr>
          <w:rFonts w:eastAsia="SimSun"/>
          <w:b/>
          <w:lang w:val="en-CA"/>
        </w:rPr>
        <w:t>Table 4. Incremental costs for individual conversion projects (</w:t>
      </w:r>
      <w:r w:rsidR="00475A50" w:rsidRPr="0026329D">
        <w:rPr>
          <w:rFonts w:eastAsia="SimSun"/>
          <w:b/>
          <w:lang w:val="en-CA"/>
        </w:rPr>
        <w:t>US $</w:t>
      </w:r>
      <w:r w:rsidRPr="0026329D">
        <w:rPr>
          <w:rFonts w:eastAsia="SimSun"/>
          <w:b/>
          <w:lang w:val="en-CA"/>
        </w:rPr>
        <w:t>)</w:t>
      </w:r>
    </w:p>
    <w:tbl>
      <w:tblPr>
        <w:tblW w:w="5003" w:type="pct"/>
        <w:tblLayout w:type="fixed"/>
        <w:tblLook w:val="0000" w:firstRow="0" w:lastRow="0" w:firstColumn="0" w:lastColumn="0" w:noHBand="0" w:noVBand="0"/>
      </w:tblPr>
      <w:tblGrid>
        <w:gridCol w:w="3490"/>
        <w:gridCol w:w="1984"/>
        <w:gridCol w:w="1986"/>
        <w:gridCol w:w="1986"/>
      </w:tblGrid>
      <w:tr w:rsidR="00AA78DC" w:rsidRPr="0026329D" w:rsidTr="00AA78DC">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vAlign w:val="center"/>
          </w:tcPr>
          <w:p w:rsidR="00E44F75" w:rsidRPr="0026329D" w:rsidRDefault="00E44F75" w:rsidP="00AA78DC">
            <w:pPr>
              <w:keepNext/>
              <w:keepLines/>
              <w:jc w:val="left"/>
              <w:rPr>
                <w:rFonts w:eastAsia="SimSun"/>
                <w:b/>
                <w:sz w:val="20"/>
                <w:szCs w:val="20"/>
                <w:lang w:val="en-CA"/>
              </w:rPr>
            </w:pPr>
            <w:r w:rsidRPr="0026329D">
              <w:rPr>
                <w:rFonts w:eastAsia="SimSun"/>
                <w:b/>
                <w:sz w:val="20"/>
                <w:szCs w:val="20"/>
                <w:lang w:val="en-CA"/>
              </w:rPr>
              <w:t>Alternative technology</w:t>
            </w:r>
          </w:p>
        </w:tc>
        <w:tc>
          <w:tcPr>
            <w:tcW w:w="1050" w:type="pct"/>
            <w:tcBorders>
              <w:top w:val="single" w:sz="4" w:space="0" w:color="auto"/>
              <w:left w:val="nil"/>
              <w:bottom w:val="single" w:sz="4" w:space="0" w:color="auto"/>
              <w:right w:val="single" w:sz="4" w:space="0" w:color="auto"/>
            </w:tcBorders>
            <w:noWrap/>
            <w:tcMar>
              <w:left w:w="0" w:type="dxa"/>
              <w:right w:w="0" w:type="dxa"/>
            </w:tcMar>
            <w:vAlign w:val="center"/>
          </w:tcPr>
          <w:p w:rsidR="00E44F75" w:rsidRPr="0026329D" w:rsidRDefault="00E44F75" w:rsidP="00AA78DC">
            <w:pPr>
              <w:keepNext/>
              <w:keepLines/>
              <w:jc w:val="center"/>
              <w:rPr>
                <w:rFonts w:eastAsia="SimSun"/>
                <w:b/>
                <w:sz w:val="20"/>
                <w:szCs w:val="20"/>
                <w:lang w:val="en-CA"/>
              </w:rPr>
            </w:pPr>
            <w:r w:rsidRPr="0026329D">
              <w:rPr>
                <w:rFonts w:eastAsia="SimSun"/>
                <w:b/>
                <w:sz w:val="20"/>
                <w:szCs w:val="20"/>
                <w:lang w:val="en-CA"/>
              </w:rPr>
              <w:t>Enterprises</w:t>
            </w:r>
            <w:r w:rsidR="00AA78DC" w:rsidRPr="0026329D">
              <w:rPr>
                <w:rFonts w:eastAsia="SimSun"/>
                <w:b/>
                <w:sz w:val="20"/>
                <w:szCs w:val="20"/>
                <w:lang w:val="en-CA"/>
              </w:rPr>
              <w:t xml:space="preserve"> </w:t>
            </w:r>
            <w:r w:rsidRPr="0026329D">
              <w:rPr>
                <w:rFonts w:eastAsia="SimSun"/>
                <w:b/>
                <w:sz w:val="20"/>
                <w:szCs w:val="20"/>
                <w:lang w:val="en-CA"/>
              </w:rPr>
              <w:t>converting to HC</w:t>
            </w:r>
          </w:p>
        </w:tc>
        <w:tc>
          <w:tcPr>
            <w:tcW w:w="1051" w:type="pct"/>
            <w:tcBorders>
              <w:top w:val="single" w:sz="4" w:space="0" w:color="auto"/>
              <w:left w:val="nil"/>
              <w:bottom w:val="single" w:sz="4" w:space="0" w:color="auto"/>
              <w:right w:val="single" w:sz="4" w:space="0" w:color="auto"/>
            </w:tcBorders>
            <w:noWrap/>
            <w:tcMar>
              <w:left w:w="0" w:type="dxa"/>
              <w:right w:w="0" w:type="dxa"/>
            </w:tcMar>
            <w:vAlign w:val="center"/>
          </w:tcPr>
          <w:p w:rsidR="00E44F75" w:rsidRPr="0026329D" w:rsidRDefault="00E44F75" w:rsidP="00AA78DC">
            <w:pPr>
              <w:keepNext/>
              <w:keepLines/>
              <w:jc w:val="center"/>
              <w:rPr>
                <w:rFonts w:eastAsia="SimSun"/>
                <w:b/>
                <w:sz w:val="20"/>
                <w:szCs w:val="20"/>
                <w:lang w:val="en-CA"/>
              </w:rPr>
            </w:pPr>
            <w:r w:rsidRPr="0026329D">
              <w:rPr>
                <w:rFonts w:eastAsia="SimSun"/>
                <w:b/>
                <w:sz w:val="20"/>
                <w:szCs w:val="20"/>
                <w:lang w:val="en-CA"/>
              </w:rPr>
              <w:t>Enterprises</w:t>
            </w:r>
            <w:r w:rsidR="00AA78DC" w:rsidRPr="0026329D">
              <w:rPr>
                <w:rFonts w:eastAsia="SimSun"/>
                <w:b/>
                <w:sz w:val="20"/>
                <w:szCs w:val="20"/>
                <w:lang w:val="en-CA"/>
              </w:rPr>
              <w:t xml:space="preserve"> </w:t>
            </w:r>
            <w:r w:rsidRPr="0026329D">
              <w:rPr>
                <w:rFonts w:eastAsia="SimSun"/>
                <w:b/>
                <w:sz w:val="20"/>
                <w:szCs w:val="20"/>
                <w:lang w:val="en-CA"/>
              </w:rPr>
              <w:t>converting to</w:t>
            </w:r>
            <w:r w:rsidR="00AA78DC" w:rsidRPr="0026329D">
              <w:rPr>
                <w:rFonts w:eastAsia="SimSun"/>
                <w:b/>
                <w:sz w:val="20"/>
                <w:szCs w:val="20"/>
                <w:lang w:val="en-CA"/>
              </w:rPr>
              <w:t xml:space="preserve"> </w:t>
            </w:r>
            <w:r w:rsidRPr="0026329D">
              <w:rPr>
                <w:rFonts w:eastAsia="SimSun"/>
                <w:b/>
                <w:sz w:val="20"/>
                <w:szCs w:val="20"/>
                <w:lang w:val="en-CA"/>
              </w:rPr>
              <w:t>HFO or water</w:t>
            </w:r>
          </w:p>
        </w:tc>
        <w:tc>
          <w:tcPr>
            <w:tcW w:w="1051" w:type="pct"/>
            <w:tcBorders>
              <w:top w:val="single" w:sz="4" w:space="0" w:color="auto"/>
              <w:left w:val="nil"/>
              <w:bottom w:val="single" w:sz="4" w:space="0" w:color="auto"/>
              <w:right w:val="single" w:sz="4" w:space="0" w:color="auto"/>
            </w:tcBorders>
            <w:tcMar>
              <w:left w:w="0" w:type="dxa"/>
              <w:right w:w="0" w:type="dxa"/>
            </w:tcMar>
            <w:vAlign w:val="center"/>
          </w:tcPr>
          <w:p w:rsidR="00E44F75" w:rsidRPr="0026329D" w:rsidRDefault="00E44F75" w:rsidP="00AA78DC">
            <w:pPr>
              <w:keepNext/>
              <w:keepLines/>
              <w:jc w:val="center"/>
              <w:rPr>
                <w:rFonts w:eastAsia="SimSun"/>
                <w:b/>
                <w:sz w:val="20"/>
                <w:szCs w:val="20"/>
                <w:lang w:val="en-CA"/>
              </w:rPr>
            </w:pPr>
            <w:r w:rsidRPr="0026329D">
              <w:rPr>
                <w:rFonts w:eastAsia="SimSun"/>
                <w:b/>
                <w:sz w:val="20"/>
                <w:szCs w:val="20"/>
                <w:lang w:val="en-CA"/>
              </w:rPr>
              <w:t>Total</w:t>
            </w:r>
          </w:p>
        </w:tc>
      </w:tr>
      <w:tr w:rsidR="00E44F75" w:rsidRPr="0026329D" w:rsidTr="00AA78DC">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E44F75" w:rsidRPr="0026329D" w:rsidRDefault="00E44F75" w:rsidP="00665A83">
            <w:pPr>
              <w:rPr>
                <w:rFonts w:eastAsia="SimSun"/>
                <w:sz w:val="20"/>
                <w:szCs w:val="20"/>
                <w:lang w:val="en-CA"/>
              </w:rPr>
            </w:pPr>
            <w:r w:rsidRPr="0026329D">
              <w:rPr>
                <w:rFonts w:eastAsia="SimSun"/>
                <w:sz w:val="20"/>
                <w:szCs w:val="20"/>
                <w:lang w:val="en-CA"/>
              </w:rPr>
              <w:t>ICC to be provided (</w:t>
            </w:r>
            <w:r w:rsidR="00475A50" w:rsidRPr="0026329D">
              <w:rPr>
                <w:rFonts w:eastAsia="SimSun"/>
                <w:sz w:val="20"/>
                <w:szCs w:val="20"/>
                <w:lang w:val="en-CA"/>
              </w:rPr>
              <w:t>US $</w:t>
            </w:r>
            <w:r w:rsidRPr="0026329D">
              <w:rPr>
                <w:rFonts w:eastAsia="SimSun"/>
                <w:sz w:val="20"/>
                <w:szCs w:val="20"/>
                <w:lang w:val="en-CA"/>
              </w:rPr>
              <w:t>/kg HCFC-141b)</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6.00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0.00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E44F75" w:rsidRPr="0026329D" w:rsidRDefault="00E44F75" w:rsidP="00665A83">
            <w:pPr>
              <w:jc w:val="right"/>
              <w:rPr>
                <w:rFonts w:eastAsia="SimSun"/>
                <w:sz w:val="20"/>
                <w:szCs w:val="20"/>
                <w:lang w:val="en-CA"/>
              </w:rPr>
            </w:pPr>
          </w:p>
        </w:tc>
      </w:tr>
      <w:tr w:rsidR="00E44F75" w:rsidRPr="0026329D" w:rsidTr="00AA78DC">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E44F75" w:rsidRPr="0026329D" w:rsidRDefault="00E44F75" w:rsidP="00665A83">
            <w:pPr>
              <w:rPr>
                <w:rFonts w:eastAsia="SimSun"/>
                <w:sz w:val="20"/>
                <w:szCs w:val="20"/>
                <w:lang w:val="en-CA"/>
              </w:rPr>
            </w:pPr>
            <w:r w:rsidRPr="0026329D">
              <w:rPr>
                <w:rFonts w:eastAsia="SimSun"/>
                <w:sz w:val="20"/>
                <w:szCs w:val="20"/>
                <w:lang w:val="en-CA"/>
              </w:rPr>
              <w:t>IOC to be provided (</w:t>
            </w:r>
            <w:r w:rsidR="00475A50" w:rsidRPr="0026329D">
              <w:rPr>
                <w:rFonts w:eastAsia="SimSun"/>
                <w:sz w:val="20"/>
                <w:szCs w:val="20"/>
                <w:lang w:val="en-CA"/>
              </w:rPr>
              <w:t>US $</w:t>
            </w:r>
            <w:r w:rsidRPr="0026329D">
              <w:rPr>
                <w:rFonts w:eastAsia="SimSun"/>
                <w:sz w:val="20"/>
                <w:szCs w:val="20"/>
                <w:lang w:val="en-CA"/>
              </w:rPr>
              <w:t>/kg HCFC-141b)</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4.00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E44F75" w:rsidRPr="0026329D" w:rsidRDefault="00E44F75" w:rsidP="00665A83">
            <w:pPr>
              <w:jc w:val="right"/>
              <w:rPr>
                <w:rFonts w:eastAsia="SimSun"/>
                <w:sz w:val="20"/>
                <w:szCs w:val="20"/>
                <w:lang w:val="en-CA"/>
              </w:rPr>
            </w:pPr>
          </w:p>
        </w:tc>
      </w:tr>
      <w:tr w:rsidR="00E44F75" w:rsidRPr="0026329D" w:rsidTr="00AA78DC">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E44F75" w:rsidRPr="0026329D" w:rsidRDefault="00E44F75" w:rsidP="00665A83">
            <w:pPr>
              <w:rPr>
                <w:rFonts w:eastAsia="SimSun"/>
                <w:sz w:val="20"/>
                <w:szCs w:val="20"/>
                <w:lang w:val="en-CA"/>
              </w:rPr>
            </w:pPr>
            <w:r w:rsidRPr="0026329D">
              <w:rPr>
                <w:rFonts w:eastAsia="SimSun"/>
                <w:sz w:val="20"/>
                <w:szCs w:val="20"/>
                <w:lang w:val="en-CA"/>
              </w:rPr>
              <w:t>Estimated phase-out impact (mt)</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139</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sz w:val="20"/>
                <w:szCs w:val="20"/>
                <w:lang w:val="en-CA"/>
              </w:rPr>
            </w:pPr>
            <w:r w:rsidRPr="0026329D">
              <w:rPr>
                <w:rFonts w:eastAsia="SimSun"/>
                <w:sz w:val="20"/>
                <w:szCs w:val="20"/>
                <w:lang w:val="en-CA"/>
              </w:rPr>
              <w:t>2,120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E44F75" w:rsidRPr="0026329D" w:rsidRDefault="00E44F75" w:rsidP="00750339">
            <w:pPr>
              <w:ind w:right="370"/>
              <w:jc w:val="right"/>
              <w:rPr>
                <w:rFonts w:eastAsia="SimSun"/>
                <w:sz w:val="20"/>
                <w:szCs w:val="20"/>
                <w:lang w:val="en-CA"/>
              </w:rPr>
            </w:pPr>
            <w:r w:rsidRPr="0026329D">
              <w:rPr>
                <w:rFonts w:eastAsia="SimSun"/>
                <w:sz w:val="20"/>
                <w:szCs w:val="20"/>
                <w:lang w:val="en-CA"/>
              </w:rPr>
              <w:t>2,259</w:t>
            </w:r>
          </w:p>
        </w:tc>
      </w:tr>
      <w:tr w:rsidR="00E44F75" w:rsidRPr="0026329D" w:rsidTr="00AA78DC">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rsidR="00E44F75" w:rsidRPr="0026329D" w:rsidRDefault="00E44F75" w:rsidP="00665A83">
            <w:pPr>
              <w:rPr>
                <w:rFonts w:eastAsia="SimSun"/>
                <w:b/>
                <w:bCs/>
                <w:sz w:val="20"/>
                <w:szCs w:val="20"/>
                <w:lang w:val="en-CA"/>
              </w:rPr>
            </w:pPr>
            <w:r w:rsidRPr="0026329D">
              <w:rPr>
                <w:rFonts w:eastAsia="SimSun"/>
                <w:b/>
                <w:bCs/>
                <w:sz w:val="20"/>
                <w:szCs w:val="20"/>
                <w:lang w:val="en-CA"/>
              </w:rPr>
              <w:t>Total cost (</w:t>
            </w:r>
            <w:r w:rsidR="00475A50" w:rsidRPr="0026329D">
              <w:rPr>
                <w:rFonts w:eastAsia="SimSun"/>
                <w:b/>
                <w:bCs/>
                <w:sz w:val="20"/>
                <w:szCs w:val="20"/>
                <w:lang w:val="en-CA"/>
              </w:rPr>
              <w:t>US $</w:t>
            </w:r>
            <w:r w:rsidRPr="0026329D">
              <w:rPr>
                <w:rFonts w:eastAsia="SimSun"/>
                <w:b/>
                <w:bCs/>
                <w:sz w:val="20"/>
                <w:szCs w:val="20"/>
                <w:lang w:val="en-CA"/>
              </w:rPr>
              <w:t>)</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b/>
                <w:bCs/>
                <w:sz w:val="20"/>
                <w:szCs w:val="20"/>
                <w:lang w:val="en-CA"/>
              </w:rPr>
            </w:pPr>
            <w:r w:rsidRPr="0026329D">
              <w:rPr>
                <w:rFonts w:eastAsia="SimSun"/>
                <w:b/>
                <w:bCs/>
                <w:sz w:val="20"/>
                <w:szCs w:val="20"/>
                <w:lang w:val="en-CA"/>
              </w:rPr>
              <w:t>834,000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rsidR="00E44F75" w:rsidRPr="0026329D" w:rsidRDefault="00E44F75" w:rsidP="00750339">
            <w:pPr>
              <w:ind w:right="536"/>
              <w:jc w:val="right"/>
              <w:rPr>
                <w:rFonts w:eastAsia="SimSun"/>
                <w:b/>
                <w:bCs/>
                <w:sz w:val="20"/>
                <w:szCs w:val="20"/>
                <w:lang w:val="en-CA"/>
              </w:rPr>
            </w:pPr>
            <w:r w:rsidRPr="0026329D">
              <w:rPr>
                <w:rFonts w:eastAsia="SimSun"/>
                <w:b/>
                <w:bCs/>
                <w:sz w:val="20"/>
                <w:szCs w:val="20"/>
                <w:lang w:val="en-CA"/>
              </w:rPr>
              <w:t>8,480,000</w:t>
            </w:r>
          </w:p>
        </w:tc>
        <w:tc>
          <w:tcPr>
            <w:tcW w:w="1051" w:type="pct"/>
            <w:tcBorders>
              <w:top w:val="single" w:sz="4" w:space="0" w:color="auto"/>
              <w:left w:val="nil"/>
              <w:bottom w:val="single" w:sz="4" w:space="0" w:color="auto"/>
              <w:right w:val="single" w:sz="4" w:space="0" w:color="auto"/>
            </w:tcBorders>
            <w:tcMar>
              <w:left w:w="115" w:type="dxa"/>
              <w:right w:w="173" w:type="dxa"/>
            </w:tcMar>
          </w:tcPr>
          <w:p w:rsidR="00E44F75" w:rsidRPr="0026329D" w:rsidRDefault="00E44F75" w:rsidP="00750339">
            <w:pPr>
              <w:ind w:right="370"/>
              <w:jc w:val="right"/>
              <w:rPr>
                <w:rFonts w:eastAsia="SimSun"/>
                <w:b/>
                <w:bCs/>
                <w:sz w:val="20"/>
                <w:szCs w:val="20"/>
                <w:lang w:val="en-CA"/>
              </w:rPr>
            </w:pPr>
            <w:r w:rsidRPr="0026329D">
              <w:rPr>
                <w:rFonts w:eastAsia="SimSun"/>
                <w:b/>
                <w:bCs/>
                <w:sz w:val="20"/>
                <w:szCs w:val="20"/>
                <w:lang w:val="en-CA"/>
              </w:rPr>
              <w:t>9,314,000</w:t>
            </w:r>
          </w:p>
        </w:tc>
      </w:tr>
    </w:tbl>
    <w:p w:rsidR="00E44F75" w:rsidRPr="0026329D" w:rsidRDefault="00E44F75" w:rsidP="00E44F75">
      <w:pPr>
        <w:rPr>
          <w:rFonts w:eastAsia="SimSun"/>
          <w:sz w:val="20"/>
          <w:szCs w:val="20"/>
          <w:lang w:val="en-CA"/>
        </w:rPr>
      </w:pPr>
    </w:p>
    <w:p w:rsidR="00E44F75" w:rsidRPr="0026329D" w:rsidRDefault="00E44F75" w:rsidP="00E44F75">
      <w:pPr>
        <w:rPr>
          <w:i/>
          <w:u w:val="single"/>
          <w:lang w:val="en-CA"/>
        </w:rPr>
      </w:pPr>
      <w:r w:rsidRPr="0026329D">
        <w:rPr>
          <w:rFonts w:eastAsia="SimSun"/>
          <w:i/>
          <w:u w:val="single"/>
          <w:lang w:val="en-CA"/>
        </w:rPr>
        <w:t>Systems house projects</w:t>
      </w:r>
    </w:p>
    <w:p w:rsidR="00E44F75" w:rsidRPr="0026329D" w:rsidRDefault="00E44F75" w:rsidP="00E44F75">
      <w:pPr>
        <w:rPr>
          <w:lang w:val="en-CA"/>
        </w:rPr>
      </w:pPr>
    </w:p>
    <w:p w:rsidR="00E44F75" w:rsidRPr="0026329D" w:rsidRDefault="00E44F75" w:rsidP="00E44F75">
      <w:pPr>
        <w:pStyle w:val="Heading1"/>
        <w:rPr>
          <w:rFonts w:eastAsia="SimSun"/>
          <w:lang w:val="en-CA"/>
        </w:rPr>
      </w:pPr>
      <w:r w:rsidRPr="0026329D">
        <w:rPr>
          <w:rFonts w:eastAsia="SimSun"/>
          <w:lang w:val="en-CA"/>
        </w:rPr>
        <w:t xml:space="preserve">For the four systems houses that will supply pre-blended HCs, Multilateral Fund assistance will be used primarily to build production capacity and for safety adaptations. For the 15 systems houses that will supply HFO or water-based technology, assistance will be used to invest in capacity building, in technical guidance and in raw material trial costs for downstream SMEs. The estimated funding level for the systems houses is shown in Table 5 </w:t>
      </w:r>
    </w:p>
    <w:p w:rsidR="00E44F75" w:rsidRPr="0026329D" w:rsidRDefault="00E44F75" w:rsidP="00AA78DC">
      <w:pPr>
        <w:keepNext/>
        <w:rPr>
          <w:rFonts w:eastAsia="SimSun"/>
          <w:b/>
          <w:lang w:val="en-CA"/>
        </w:rPr>
      </w:pPr>
      <w:r w:rsidRPr="0026329D">
        <w:rPr>
          <w:rFonts w:eastAsia="SimSun"/>
          <w:b/>
          <w:lang w:val="en-CA"/>
        </w:rPr>
        <w:t>Table 5. Cost of the systems house projects (</w:t>
      </w:r>
      <w:r w:rsidR="00475A50" w:rsidRPr="0026329D">
        <w:rPr>
          <w:rFonts w:eastAsia="SimSun"/>
          <w:b/>
          <w:lang w:val="en-CA"/>
        </w:rPr>
        <w:t>US $</w:t>
      </w:r>
      <w:r w:rsidRPr="0026329D">
        <w:rPr>
          <w:rFonts w:eastAsia="SimSun"/>
          <w:b/>
          <w:lang w:val="en-CA"/>
        </w:rPr>
        <w:t>)</w:t>
      </w:r>
    </w:p>
    <w:tbl>
      <w:tblPr>
        <w:tblW w:w="9463" w:type="dxa"/>
        <w:tblLayout w:type="fixed"/>
        <w:tblLook w:val="04A0" w:firstRow="1" w:lastRow="0" w:firstColumn="1" w:lastColumn="0" w:noHBand="0" w:noVBand="1"/>
      </w:tblPr>
      <w:tblGrid>
        <w:gridCol w:w="3865"/>
        <w:gridCol w:w="1818"/>
        <w:gridCol w:w="1890"/>
        <w:gridCol w:w="1890"/>
      </w:tblGrid>
      <w:tr w:rsidR="00E44F75" w:rsidRPr="0026329D" w:rsidTr="002E42DE">
        <w:trPr>
          <w:tblHeader/>
        </w:trPr>
        <w:tc>
          <w:tcPr>
            <w:tcW w:w="3865" w:type="dxa"/>
            <w:vMerge w:val="restart"/>
            <w:tcBorders>
              <w:top w:val="single" w:sz="4" w:space="0" w:color="auto"/>
              <w:left w:val="single" w:sz="4" w:space="0" w:color="auto"/>
              <w:right w:val="single" w:sz="4" w:space="0" w:color="auto"/>
            </w:tcBorders>
            <w:shd w:val="clear" w:color="auto" w:fill="auto"/>
            <w:noWrap/>
            <w:vAlign w:val="center"/>
            <w:hideMark/>
          </w:tcPr>
          <w:p w:rsidR="00E44F75" w:rsidRPr="0026329D" w:rsidRDefault="00E44F75" w:rsidP="00665A83">
            <w:pPr>
              <w:jc w:val="left"/>
              <w:rPr>
                <w:b/>
                <w:color w:val="000000"/>
                <w:sz w:val="20"/>
                <w:szCs w:val="20"/>
                <w:lang w:val="en-CA" w:eastAsia="en-CA"/>
              </w:rPr>
            </w:pPr>
            <w:r w:rsidRPr="0026329D">
              <w:rPr>
                <w:b/>
                <w:color w:val="000000"/>
                <w:sz w:val="20"/>
                <w:szCs w:val="20"/>
                <w:lang w:val="en-CA" w:eastAsia="en-CA"/>
              </w:rPr>
              <w:t>Description</w:t>
            </w:r>
          </w:p>
        </w:tc>
        <w:tc>
          <w:tcPr>
            <w:tcW w:w="370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44F75" w:rsidRPr="0026329D" w:rsidRDefault="00E44F75" w:rsidP="00665A83">
            <w:pPr>
              <w:jc w:val="center"/>
              <w:rPr>
                <w:b/>
                <w:color w:val="000000"/>
                <w:sz w:val="20"/>
                <w:szCs w:val="20"/>
                <w:lang w:val="en-CA" w:eastAsia="en-CA"/>
              </w:rPr>
            </w:pPr>
            <w:r w:rsidRPr="0026329D">
              <w:rPr>
                <w:b/>
                <w:color w:val="000000"/>
                <w:sz w:val="20"/>
                <w:szCs w:val="20"/>
                <w:lang w:val="en-CA" w:eastAsia="en-CA"/>
              </w:rPr>
              <w:t>HC</w:t>
            </w:r>
          </w:p>
        </w:tc>
        <w:tc>
          <w:tcPr>
            <w:tcW w:w="1890" w:type="dxa"/>
            <w:vMerge w:val="restart"/>
            <w:tcBorders>
              <w:top w:val="single" w:sz="4" w:space="0" w:color="auto"/>
              <w:left w:val="nil"/>
              <w:right w:val="single" w:sz="4" w:space="0" w:color="auto"/>
            </w:tcBorders>
            <w:shd w:val="clear" w:color="auto" w:fill="auto"/>
            <w:noWrap/>
            <w:tcMar>
              <w:left w:w="0" w:type="dxa"/>
              <w:right w:w="0" w:type="dxa"/>
            </w:tcMar>
            <w:vAlign w:val="center"/>
            <w:hideMark/>
          </w:tcPr>
          <w:p w:rsidR="00E44F75" w:rsidRPr="0026329D" w:rsidRDefault="00E44F75" w:rsidP="00665A83">
            <w:pPr>
              <w:jc w:val="center"/>
              <w:rPr>
                <w:b/>
                <w:color w:val="000000"/>
                <w:sz w:val="20"/>
                <w:szCs w:val="20"/>
                <w:lang w:val="en-CA" w:eastAsia="en-CA"/>
              </w:rPr>
            </w:pPr>
            <w:r w:rsidRPr="0026329D">
              <w:rPr>
                <w:b/>
                <w:color w:val="000000"/>
                <w:sz w:val="20"/>
                <w:szCs w:val="20"/>
                <w:lang w:val="en-CA" w:eastAsia="en-CA"/>
              </w:rPr>
              <w:t>HFO/water</w:t>
            </w:r>
          </w:p>
        </w:tc>
      </w:tr>
      <w:tr w:rsidR="00E44F75" w:rsidRPr="0026329D" w:rsidTr="002E42DE">
        <w:trPr>
          <w:tblHeader/>
        </w:trPr>
        <w:tc>
          <w:tcPr>
            <w:tcW w:w="3865" w:type="dxa"/>
            <w:vMerge/>
            <w:tcBorders>
              <w:left w:val="single" w:sz="4" w:space="0" w:color="auto"/>
              <w:bottom w:val="single" w:sz="4" w:space="0" w:color="auto"/>
              <w:right w:val="single" w:sz="4" w:space="0" w:color="auto"/>
            </w:tcBorders>
            <w:shd w:val="clear" w:color="auto" w:fill="auto"/>
            <w:noWrap/>
            <w:vAlign w:val="center"/>
            <w:hideMark/>
          </w:tcPr>
          <w:p w:rsidR="00E44F75" w:rsidRPr="0026329D" w:rsidRDefault="00E44F75" w:rsidP="00665A83">
            <w:pPr>
              <w:jc w:val="center"/>
              <w:rPr>
                <w:b/>
                <w:color w:val="000000"/>
                <w:sz w:val="20"/>
                <w:szCs w:val="20"/>
                <w:lang w:val="en-CA" w:eastAsia="en-CA"/>
              </w:rPr>
            </w:pPr>
          </w:p>
        </w:tc>
        <w:tc>
          <w:tcPr>
            <w:tcW w:w="18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44F75" w:rsidRPr="0026329D" w:rsidRDefault="00E44F75" w:rsidP="00665A83">
            <w:pPr>
              <w:jc w:val="center"/>
              <w:rPr>
                <w:b/>
                <w:color w:val="000000"/>
                <w:sz w:val="20"/>
                <w:szCs w:val="20"/>
                <w:lang w:val="en-CA" w:eastAsia="en-CA"/>
              </w:rPr>
            </w:pPr>
            <w:r w:rsidRPr="0026329D">
              <w:rPr>
                <w:b/>
                <w:color w:val="000000"/>
                <w:sz w:val="20"/>
                <w:szCs w:val="20"/>
                <w:lang w:val="en-CA" w:eastAsia="en-CA"/>
              </w:rPr>
              <w:t>Low-speed mixing kettle mode</w:t>
            </w:r>
          </w:p>
        </w:tc>
        <w:tc>
          <w:tcPr>
            <w:tcW w:w="189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44F75" w:rsidRPr="0026329D" w:rsidRDefault="00E44F75" w:rsidP="00665A83">
            <w:pPr>
              <w:jc w:val="center"/>
              <w:rPr>
                <w:b/>
                <w:color w:val="000000"/>
                <w:sz w:val="20"/>
                <w:szCs w:val="20"/>
                <w:lang w:val="en-CA" w:eastAsia="en-CA"/>
              </w:rPr>
            </w:pPr>
            <w:r w:rsidRPr="0026329D">
              <w:rPr>
                <w:b/>
                <w:color w:val="000000"/>
                <w:sz w:val="20"/>
                <w:szCs w:val="20"/>
                <w:lang w:val="en-CA" w:eastAsia="en-CA"/>
              </w:rPr>
              <w:t>Static premix mode</w:t>
            </w:r>
          </w:p>
        </w:tc>
        <w:tc>
          <w:tcPr>
            <w:tcW w:w="1890"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E44F75" w:rsidRPr="0026329D" w:rsidRDefault="00E44F75" w:rsidP="00665A83">
            <w:pPr>
              <w:jc w:val="center"/>
              <w:rPr>
                <w:b/>
                <w:color w:val="000000"/>
                <w:sz w:val="20"/>
                <w:szCs w:val="20"/>
                <w:lang w:val="en-CA" w:eastAsia="en-CA"/>
              </w:rPr>
            </w:pP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Pre-blended polyol low-speed mixing kettle and foaming agent storage tank</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170,000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80,000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HC storage tank and pre-mixing units</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170,000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Safety measures</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120,000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120,000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Packing facility for pre-blended polyols</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40,000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40,000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30,000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Experimental and testing facilities</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15,000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Raw material IOC</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 </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50,000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Trials, training and technical support</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20,000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20,000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25,000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Total</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350,000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350,000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200,000</w:t>
            </w:r>
          </w:p>
        </w:tc>
      </w:tr>
      <w:tr w:rsidR="00E44F75" w:rsidRPr="0026329D" w:rsidTr="002E42DE">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E44F75" w:rsidRPr="0026329D" w:rsidRDefault="00E44F75" w:rsidP="00665A83">
            <w:pPr>
              <w:jc w:val="left"/>
              <w:rPr>
                <w:color w:val="000000"/>
                <w:sz w:val="20"/>
                <w:szCs w:val="20"/>
                <w:lang w:val="en-CA" w:eastAsia="en-CA"/>
              </w:rPr>
            </w:pPr>
            <w:r w:rsidRPr="0026329D">
              <w:rPr>
                <w:color w:val="000000"/>
                <w:sz w:val="20"/>
                <w:szCs w:val="20"/>
                <w:lang w:val="en-CA" w:eastAsia="en-CA"/>
              </w:rPr>
              <w:t>Funding from the Multilateral Fund</w:t>
            </w:r>
          </w:p>
        </w:tc>
        <w:tc>
          <w:tcPr>
            <w:tcW w:w="1818"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300,000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300,000</w:t>
            </w:r>
          </w:p>
        </w:tc>
        <w:tc>
          <w:tcPr>
            <w:tcW w:w="1890" w:type="dxa"/>
            <w:tcBorders>
              <w:top w:val="nil"/>
              <w:left w:val="nil"/>
              <w:bottom w:val="single" w:sz="4" w:space="0" w:color="auto"/>
              <w:right w:val="single" w:sz="4" w:space="0" w:color="auto"/>
            </w:tcBorders>
            <w:shd w:val="clear" w:color="auto" w:fill="auto"/>
            <w:noWrap/>
            <w:hideMark/>
          </w:tcPr>
          <w:p w:rsidR="00E44F75" w:rsidRPr="0026329D" w:rsidRDefault="00E44F75" w:rsidP="00665A83">
            <w:pPr>
              <w:jc w:val="right"/>
              <w:rPr>
                <w:color w:val="000000"/>
                <w:sz w:val="20"/>
                <w:szCs w:val="20"/>
                <w:lang w:val="en-CA" w:eastAsia="en-CA"/>
              </w:rPr>
            </w:pPr>
            <w:r w:rsidRPr="0026329D">
              <w:rPr>
                <w:color w:val="000000"/>
                <w:sz w:val="20"/>
                <w:szCs w:val="20"/>
                <w:lang w:val="en-CA" w:eastAsia="en-CA"/>
              </w:rPr>
              <w:t>150,000</w:t>
            </w:r>
          </w:p>
        </w:tc>
      </w:tr>
    </w:tbl>
    <w:p w:rsidR="00E44F75" w:rsidRPr="0026329D" w:rsidRDefault="00E44F75" w:rsidP="00E44F75">
      <w:pPr>
        <w:rPr>
          <w:rFonts w:eastAsia="SimSun"/>
          <w:b/>
          <w:lang w:val="en-CA"/>
        </w:rPr>
      </w:pPr>
    </w:p>
    <w:p w:rsidR="00E44F75" w:rsidRPr="0026329D" w:rsidRDefault="00E44F75" w:rsidP="00E2305C">
      <w:pPr>
        <w:pStyle w:val="Heading1"/>
        <w:keepNext/>
        <w:keepLines/>
        <w:rPr>
          <w:rFonts w:eastAsia="SimSun"/>
          <w:lang w:val="en-CA"/>
        </w:rPr>
      </w:pPr>
      <w:r w:rsidRPr="0026329D">
        <w:rPr>
          <w:rFonts w:eastAsia="SimSun"/>
          <w:lang w:val="en-CA"/>
        </w:rPr>
        <w:t xml:space="preserve">The total cost of the systems house projects under </w:t>
      </w:r>
      <w:r w:rsidR="00A81DEE" w:rsidRPr="0026329D">
        <w:rPr>
          <w:rFonts w:eastAsia="SimSun"/>
          <w:lang w:val="en-CA"/>
        </w:rPr>
        <w:t>stage </w:t>
      </w:r>
      <w:r w:rsidRPr="0026329D">
        <w:rPr>
          <w:rFonts w:eastAsia="SimSun"/>
          <w:lang w:val="en-CA"/>
        </w:rPr>
        <w:t>II of the HPMP is shown in Table 6.</w:t>
      </w:r>
    </w:p>
    <w:p w:rsidR="00E44F75" w:rsidRPr="0026329D" w:rsidRDefault="00E44F75" w:rsidP="00E2305C">
      <w:pPr>
        <w:keepNext/>
        <w:keepLines/>
        <w:jc w:val="left"/>
        <w:rPr>
          <w:rFonts w:eastAsia="SimSun"/>
          <w:b/>
          <w:lang w:val="en-CA"/>
        </w:rPr>
      </w:pPr>
      <w:r w:rsidRPr="0026329D">
        <w:rPr>
          <w:rFonts w:eastAsia="SimSun"/>
          <w:b/>
          <w:lang w:val="en-CA"/>
        </w:rPr>
        <w:t>Table 6. Total cost of the systems house projects (</w:t>
      </w:r>
      <w:r w:rsidR="00475A50" w:rsidRPr="0026329D">
        <w:rPr>
          <w:rFonts w:eastAsia="SimSun"/>
          <w:b/>
          <w:lang w:val="en-CA"/>
        </w:rPr>
        <w:t>US $</w:t>
      </w:r>
      <w:r w:rsidRPr="0026329D">
        <w:rPr>
          <w:rFonts w:eastAsia="SimSun"/>
          <w:b/>
          <w:lang w:val="en-C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1593"/>
        <w:gridCol w:w="2050"/>
        <w:gridCol w:w="1592"/>
      </w:tblGrid>
      <w:tr w:rsidR="00E44F75" w:rsidRPr="0026329D" w:rsidTr="002E42DE">
        <w:trPr>
          <w:trHeight w:val="152"/>
          <w:jc w:val="center"/>
        </w:trPr>
        <w:tc>
          <w:tcPr>
            <w:tcW w:w="2227" w:type="pct"/>
            <w:noWrap/>
            <w:vAlign w:val="center"/>
          </w:tcPr>
          <w:p w:rsidR="00E44F75" w:rsidRPr="0026329D" w:rsidRDefault="00E44F75" w:rsidP="00E2305C">
            <w:pPr>
              <w:keepNext/>
              <w:keepLines/>
              <w:jc w:val="left"/>
              <w:rPr>
                <w:rFonts w:eastAsia="SimSun"/>
                <w:b/>
                <w:sz w:val="20"/>
                <w:szCs w:val="20"/>
                <w:lang w:val="en-CA"/>
              </w:rPr>
            </w:pPr>
            <w:r w:rsidRPr="0026329D">
              <w:rPr>
                <w:rFonts w:eastAsia="SimSun"/>
                <w:b/>
                <w:sz w:val="20"/>
                <w:szCs w:val="20"/>
                <w:lang w:val="en-CA"/>
              </w:rPr>
              <w:t xml:space="preserve">Systems houses </w:t>
            </w:r>
          </w:p>
        </w:tc>
        <w:tc>
          <w:tcPr>
            <w:tcW w:w="844" w:type="pct"/>
            <w:noWrap/>
            <w:vAlign w:val="center"/>
          </w:tcPr>
          <w:p w:rsidR="00E44F75" w:rsidRPr="0026329D" w:rsidRDefault="00E44F75" w:rsidP="00E2305C">
            <w:pPr>
              <w:keepNext/>
              <w:keepLines/>
              <w:jc w:val="center"/>
              <w:rPr>
                <w:rFonts w:eastAsia="SimSun"/>
                <w:b/>
                <w:sz w:val="20"/>
                <w:szCs w:val="20"/>
                <w:lang w:val="en-CA"/>
              </w:rPr>
            </w:pPr>
            <w:r w:rsidRPr="0026329D">
              <w:rPr>
                <w:rFonts w:eastAsia="SimSun"/>
                <w:b/>
                <w:sz w:val="20"/>
                <w:szCs w:val="20"/>
                <w:lang w:val="en-CA"/>
              </w:rPr>
              <w:t>HC</w:t>
            </w:r>
          </w:p>
        </w:tc>
        <w:tc>
          <w:tcPr>
            <w:tcW w:w="1086" w:type="pct"/>
            <w:noWrap/>
            <w:vAlign w:val="center"/>
          </w:tcPr>
          <w:p w:rsidR="00E44F75" w:rsidRPr="0026329D" w:rsidRDefault="00E44F75" w:rsidP="00E2305C">
            <w:pPr>
              <w:keepNext/>
              <w:keepLines/>
              <w:jc w:val="center"/>
              <w:rPr>
                <w:rFonts w:eastAsia="SimSun"/>
                <w:b/>
                <w:sz w:val="20"/>
                <w:szCs w:val="20"/>
                <w:lang w:val="en-CA"/>
              </w:rPr>
            </w:pPr>
            <w:r w:rsidRPr="0026329D">
              <w:rPr>
                <w:rFonts w:eastAsia="SimSun"/>
                <w:b/>
                <w:sz w:val="20"/>
                <w:szCs w:val="20"/>
                <w:lang w:val="en-CA"/>
              </w:rPr>
              <w:t>HFO/water</w:t>
            </w:r>
          </w:p>
        </w:tc>
        <w:tc>
          <w:tcPr>
            <w:tcW w:w="843" w:type="pct"/>
            <w:noWrap/>
            <w:vAlign w:val="center"/>
          </w:tcPr>
          <w:p w:rsidR="00E44F75" w:rsidRPr="0026329D" w:rsidRDefault="00E44F75" w:rsidP="00E2305C">
            <w:pPr>
              <w:keepNext/>
              <w:keepLines/>
              <w:jc w:val="center"/>
              <w:rPr>
                <w:rFonts w:eastAsia="SimSun"/>
                <w:b/>
                <w:sz w:val="20"/>
                <w:szCs w:val="20"/>
                <w:lang w:val="en-CA"/>
              </w:rPr>
            </w:pPr>
            <w:r w:rsidRPr="0026329D">
              <w:rPr>
                <w:rFonts w:eastAsia="SimSun"/>
                <w:b/>
                <w:sz w:val="20"/>
                <w:szCs w:val="20"/>
                <w:lang w:val="en-CA"/>
              </w:rPr>
              <w:t>Total</w:t>
            </w:r>
          </w:p>
        </w:tc>
      </w:tr>
      <w:tr w:rsidR="00E44F75" w:rsidRPr="0026329D" w:rsidTr="002E42DE">
        <w:trPr>
          <w:trHeight w:val="116"/>
          <w:jc w:val="center"/>
        </w:trPr>
        <w:tc>
          <w:tcPr>
            <w:tcW w:w="2227" w:type="pct"/>
            <w:noWrap/>
          </w:tcPr>
          <w:p w:rsidR="00E44F75" w:rsidRPr="0026329D" w:rsidRDefault="00E44F75" w:rsidP="00E2305C">
            <w:pPr>
              <w:keepNext/>
              <w:keepLines/>
              <w:rPr>
                <w:rFonts w:eastAsia="SimSun"/>
                <w:sz w:val="20"/>
                <w:szCs w:val="20"/>
                <w:lang w:val="en-CA"/>
              </w:rPr>
            </w:pPr>
            <w:r w:rsidRPr="0026329D">
              <w:rPr>
                <w:rFonts w:eastAsia="SimSun"/>
                <w:sz w:val="20"/>
                <w:szCs w:val="20"/>
                <w:lang w:val="en-CA"/>
              </w:rPr>
              <w:t>Fund to be provided (</w:t>
            </w:r>
            <w:r w:rsidR="00475A50" w:rsidRPr="0026329D">
              <w:rPr>
                <w:rFonts w:eastAsia="SimSun"/>
                <w:sz w:val="20"/>
                <w:szCs w:val="20"/>
                <w:lang w:val="en-CA"/>
              </w:rPr>
              <w:t>US $</w:t>
            </w:r>
            <w:r w:rsidRPr="0026329D">
              <w:rPr>
                <w:rFonts w:eastAsia="SimSun"/>
                <w:sz w:val="20"/>
                <w:szCs w:val="20"/>
                <w:lang w:val="en-CA"/>
              </w:rPr>
              <w:t>)</w:t>
            </w:r>
          </w:p>
        </w:tc>
        <w:tc>
          <w:tcPr>
            <w:tcW w:w="844" w:type="pct"/>
            <w:noWrap/>
          </w:tcPr>
          <w:p w:rsidR="00E44F75" w:rsidRPr="0026329D" w:rsidRDefault="00E44F75" w:rsidP="00E2305C">
            <w:pPr>
              <w:keepNext/>
              <w:keepLines/>
              <w:jc w:val="right"/>
              <w:rPr>
                <w:rFonts w:eastAsia="SimSun"/>
                <w:sz w:val="20"/>
                <w:szCs w:val="20"/>
                <w:lang w:val="en-CA"/>
              </w:rPr>
            </w:pPr>
            <w:r w:rsidRPr="0026329D">
              <w:rPr>
                <w:rFonts w:eastAsia="SimSun"/>
                <w:sz w:val="20"/>
                <w:szCs w:val="20"/>
                <w:lang w:val="en-CA"/>
              </w:rPr>
              <w:t>300,000</w:t>
            </w:r>
          </w:p>
        </w:tc>
        <w:tc>
          <w:tcPr>
            <w:tcW w:w="1086" w:type="pct"/>
            <w:noWrap/>
          </w:tcPr>
          <w:p w:rsidR="00E44F75" w:rsidRPr="0026329D" w:rsidRDefault="00E44F75" w:rsidP="00E2305C">
            <w:pPr>
              <w:keepNext/>
              <w:keepLines/>
              <w:jc w:val="right"/>
              <w:rPr>
                <w:rFonts w:eastAsia="SimSun"/>
                <w:sz w:val="20"/>
                <w:szCs w:val="20"/>
                <w:lang w:val="en-CA"/>
              </w:rPr>
            </w:pPr>
            <w:r w:rsidRPr="0026329D">
              <w:rPr>
                <w:rFonts w:eastAsia="SimSun"/>
                <w:sz w:val="20"/>
                <w:szCs w:val="20"/>
                <w:lang w:val="en-CA"/>
              </w:rPr>
              <w:t>150,000</w:t>
            </w:r>
          </w:p>
        </w:tc>
        <w:tc>
          <w:tcPr>
            <w:tcW w:w="843" w:type="pct"/>
            <w:noWrap/>
          </w:tcPr>
          <w:p w:rsidR="00E44F75" w:rsidRPr="0026329D" w:rsidRDefault="00E44F75" w:rsidP="00E2305C">
            <w:pPr>
              <w:keepNext/>
              <w:keepLines/>
              <w:jc w:val="right"/>
              <w:rPr>
                <w:rFonts w:eastAsia="SimSun"/>
                <w:sz w:val="20"/>
                <w:szCs w:val="20"/>
                <w:lang w:val="en-CA"/>
              </w:rPr>
            </w:pPr>
            <w:r w:rsidRPr="0026329D">
              <w:rPr>
                <w:rFonts w:eastAsia="SimSun"/>
                <w:sz w:val="20"/>
                <w:szCs w:val="20"/>
                <w:lang w:val="en-CA"/>
              </w:rPr>
              <w:t>-</w:t>
            </w:r>
          </w:p>
        </w:tc>
      </w:tr>
      <w:tr w:rsidR="00E44F75" w:rsidRPr="0026329D" w:rsidTr="002E42DE">
        <w:trPr>
          <w:trHeight w:val="44"/>
          <w:jc w:val="center"/>
        </w:trPr>
        <w:tc>
          <w:tcPr>
            <w:tcW w:w="2227" w:type="pct"/>
            <w:noWrap/>
          </w:tcPr>
          <w:p w:rsidR="00E44F75" w:rsidRPr="0026329D" w:rsidRDefault="00E44F75" w:rsidP="00665A83">
            <w:pPr>
              <w:rPr>
                <w:rFonts w:eastAsia="SimSun"/>
                <w:sz w:val="20"/>
                <w:szCs w:val="20"/>
                <w:lang w:val="en-CA"/>
              </w:rPr>
            </w:pPr>
            <w:r w:rsidRPr="0026329D">
              <w:rPr>
                <w:rFonts w:eastAsia="SimSun"/>
                <w:sz w:val="20"/>
                <w:szCs w:val="20"/>
                <w:lang w:val="en-CA"/>
              </w:rPr>
              <w:t xml:space="preserve">Number of systems houses </w:t>
            </w:r>
          </w:p>
        </w:tc>
        <w:tc>
          <w:tcPr>
            <w:tcW w:w="844"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4</w:t>
            </w:r>
          </w:p>
        </w:tc>
        <w:tc>
          <w:tcPr>
            <w:tcW w:w="1086"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15</w:t>
            </w:r>
          </w:p>
        </w:tc>
        <w:tc>
          <w:tcPr>
            <w:tcW w:w="843"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19</w:t>
            </w:r>
          </w:p>
        </w:tc>
      </w:tr>
      <w:tr w:rsidR="00E44F75" w:rsidRPr="0026329D" w:rsidTr="002E42DE">
        <w:trPr>
          <w:trHeight w:val="152"/>
          <w:jc w:val="center"/>
        </w:trPr>
        <w:tc>
          <w:tcPr>
            <w:tcW w:w="2227" w:type="pct"/>
            <w:noWrap/>
          </w:tcPr>
          <w:p w:rsidR="00E44F75" w:rsidRPr="0026329D" w:rsidRDefault="00E44F75" w:rsidP="00665A83">
            <w:pPr>
              <w:rPr>
                <w:rFonts w:eastAsia="SimSun"/>
                <w:sz w:val="20"/>
                <w:szCs w:val="20"/>
                <w:lang w:val="en-CA"/>
              </w:rPr>
            </w:pPr>
            <w:r w:rsidRPr="0026329D">
              <w:rPr>
                <w:rFonts w:eastAsia="SimSun"/>
                <w:sz w:val="20"/>
                <w:szCs w:val="20"/>
                <w:lang w:val="en-CA"/>
              </w:rPr>
              <w:t>Total cost systems houses (</w:t>
            </w:r>
            <w:r w:rsidR="00475A50" w:rsidRPr="0026329D">
              <w:rPr>
                <w:rFonts w:eastAsia="SimSun"/>
                <w:sz w:val="20"/>
                <w:szCs w:val="20"/>
                <w:lang w:val="en-CA"/>
              </w:rPr>
              <w:t>US $</w:t>
            </w:r>
            <w:r w:rsidRPr="0026329D">
              <w:rPr>
                <w:rFonts w:eastAsia="SimSun"/>
                <w:sz w:val="20"/>
                <w:szCs w:val="20"/>
                <w:lang w:val="en-CA"/>
              </w:rPr>
              <w:t>)</w:t>
            </w:r>
          </w:p>
        </w:tc>
        <w:tc>
          <w:tcPr>
            <w:tcW w:w="844"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1,200,000</w:t>
            </w:r>
          </w:p>
        </w:tc>
        <w:tc>
          <w:tcPr>
            <w:tcW w:w="1086"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2,250,000</w:t>
            </w:r>
          </w:p>
        </w:tc>
        <w:tc>
          <w:tcPr>
            <w:tcW w:w="843"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3,450,000</w:t>
            </w:r>
          </w:p>
        </w:tc>
      </w:tr>
      <w:tr w:rsidR="00E44F75" w:rsidRPr="0026329D" w:rsidTr="002E42DE">
        <w:trPr>
          <w:trHeight w:val="170"/>
          <w:jc w:val="center"/>
        </w:trPr>
        <w:tc>
          <w:tcPr>
            <w:tcW w:w="2227" w:type="pct"/>
            <w:noWrap/>
          </w:tcPr>
          <w:p w:rsidR="00E44F75" w:rsidRPr="0026329D" w:rsidRDefault="00E44F75" w:rsidP="00665A83">
            <w:pPr>
              <w:rPr>
                <w:rFonts w:eastAsia="SimSun"/>
                <w:sz w:val="20"/>
                <w:szCs w:val="20"/>
                <w:lang w:val="en-CA"/>
              </w:rPr>
            </w:pPr>
            <w:r w:rsidRPr="0026329D">
              <w:rPr>
                <w:rFonts w:eastAsia="SimSun"/>
                <w:sz w:val="20"/>
                <w:szCs w:val="20"/>
                <w:lang w:val="en-CA"/>
              </w:rPr>
              <w:t>Trial cost for downstream SMEs (</w:t>
            </w:r>
            <w:r w:rsidR="00475A50" w:rsidRPr="0026329D">
              <w:rPr>
                <w:rFonts w:eastAsia="SimSun"/>
                <w:sz w:val="20"/>
                <w:szCs w:val="20"/>
                <w:lang w:val="en-CA"/>
              </w:rPr>
              <w:t>US $</w:t>
            </w:r>
            <w:r w:rsidRPr="0026329D">
              <w:rPr>
                <w:rFonts w:eastAsia="SimSun"/>
                <w:sz w:val="20"/>
                <w:szCs w:val="20"/>
                <w:lang w:val="en-CA"/>
              </w:rPr>
              <w:t>)</w:t>
            </w:r>
          </w:p>
        </w:tc>
        <w:tc>
          <w:tcPr>
            <w:tcW w:w="844"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0</w:t>
            </w:r>
          </w:p>
        </w:tc>
        <w:tc>
          <w:tcPr>
            <w:tcW w:w="1086"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50,000</w:t>
            </w:r>
          </w:p>
        </w:tc>
        <w:tc>
          <w:tcPr>
            <w:tcW w:w="843"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w:t>
            </w:r>
          </w:p>
        </w:tc>
      </w:tr>
      <w:tr w:rsidR="00E44F75" w:rsidRPr="0026329D" w:rsidTr="002E42DE">
        <w:trPr>
          <w:trHeight w:val="251"/>
          <w:jc w:val="center"/>
        </w:trPr>
        <w:tc>
          <w:tcPr>
            <w:tcW w:w="2227" w:type="pct"/>
            <w:noWrap/>
          </w:tcPr>
          <w:p w:rsidR="00E44F75" w:rsidRPr="0026329D" w:rsidRDefault="00E44F75" w:rsidP="00665A83">
            <w:pPr>
              <w:rPr>
                <w:rFonts w:eastAsia="SimSun"/>
                <w:sz w:val="20"/>
                <w:szCs w:val="20"/>
                <w:lang w:val="en-CA"/>
              </w:rPr>
            </w:pPr>
            <w:r w:rsidRPr="0026329D">
              <w:rPr>
                <w:rFonts w:eastAsia="SimSun"/>
                <w:sz w:val="20"/>
                <w:szCs w:val="20"/>
                <w:lang w:val="en-CA"/>
              </w:rPr>
              <w:t xml:space="preserve">Supported downstream SMEs </w:t>
            </w:r>
          </w:p>
        </w:tc>
        <w:tc>
          <w:tcPr>
            <w:tcW w:w="844"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0</w:t>
            </w:r>
          </w:p>
        </w:tc>
        <w:tc>
          <w:tcPr>
            <w:tcW w:w="1086"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40</w:t>
            </w:r>
          </w:p>
        </w:tc>
        <w:tc>
          <w:tcPr>
            <w:tcW w:w="843"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40</w:t>
            </w:r>
          </w:p>
        </w:tc>
      </w:tr>
      <w:tr w:rsidR="00E44F75" w:rsidRPr="0026329D" w:rsidTr="002E42DE">
        <w:trPr>
          <w:trHeight w:val="80"/>
          <w:jc w:val="center"/>
        </w:trPr>
        <w:tc>
          <w:tcPr>
            <w:tcW w:w="2227" w:type="pct"/>
            <w:noWrap/>
          </w:tcPr>
          <w:p w:rsidR="00E44F75" w:rsidRPr="0026329D" w:rsidRDefault="00E44F75" w:rsidP="00665A83">
            <w:pPr>
              <w:rPr>
                <w:rFonts w:eastAsia="SimSun"/>
                <w:sz w:val="20"/>
                <w:szCs w:val="20"/>
                <w:lang w:val="en-CA"/>
              </w:rPr>
            </w:pPr>
            <w:r w:rsidRPr="0026329D">
              <w:rPr>
                <w:rFonts w:eastAsia="SimSun"/>
                <w:sz w:val="20"/>
                <w:szCs w:val="20"/>
                <w:lang w:val="en-CA"/>
              </w:rPr>
              <w:t>Total cost downstream SMEs (</w:t>
            </w:r>
            <w:r w:rsidR="00475A50" w:rsidRPr="0026329D">
              <w:rPr>
                <w:rFonts w:eastAsia="SimSun"/>
                <w:sz w:val="20"/>
                <w:szCs w:val="20"/>
                <w:lang w:val="en-CA"/>
              </w:rPr>
              <w:t>US $</w:t>
            </w:r>
            <w:r w:rsidRPr="0026329D">
              <w:rPr>
                <w:rFonts w:eastAsia="SimSun"/>
                <w:sz w:val="20"/>
                <w:szCs w:val="20"/>
                <w:lang w:val="en-CA"/>
              </w:rPr>
              <w:t>)</w:t>
            </w:r>
          </w:p>
        </w:tc>
        <w:tc>
          <w:tcPr>
            <w:tcW w:w="844"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w:t>
            </w:r>
          </w:p>
        </w:tc>
        <w:tc>
          <w:tcPr>
            <w:tcW w:w="1086"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2,000,000</w:t>
            </w:r>
          </w:p>
        </w:tc>
        <w:tc>
          <w:tcPr>
            <w:tcW w:w="843" w:type="pct"/>
            <w:noWrap/>
          </w:tcPr>
          <w:p w:rsidR="00E44F75" w:rsidRPr="0026329D" w:rsidRDefault="00E44F75" w:rsidP="00665A83">
            <w:pPr>
              <w:jc w:val="right"/>
              <w:rPr>
                <w:rFonts w:eastAsia="SimSun"/>
                <w:sz w:val="20"/>
                <w:szCs w:val="20"/>
                <w:lang w:val="en-CA"/>
              </w:rPr>
            </w:pPr>
            <w:r w:rsidRPr="0026329D">
              <w:rPr>
                <w:rFonts w:eastAsia="SimSun"/>
                <w:sz w:val="20"/>
                <w:szCs w:val="20"/>
                <w:lang w:val="en-CA"/>
              </w:rPr>
              <w:t>2,000,000</w:t>
            </w:r>
          </w:p>
        </w:tc>
      </w:tr>
      <w:tr w:rsidR="00E44F75" w:rsidRPr="0026329D" w:rsidTr="002E42DE">
        <w:trPr>
          <w:trHeight w:val="143"/>
          <w:jc w:val="center"/>
        </w:trPr>
        <w:tc>
          <w:tcPr>
            <w:tcW w:w="2227" w:type="pct"/>
            <w:noWrap/>
          </w:tcPr>
          <w:p w:rsidR="00E44F75" w:rsidRPr="0026329D" w:rsidRDefault="00E44F75" w:rsidP="00665A83">
            <w:pPr>
              <w:rPr>
                <w:rFonts w:eastAsia="SimSun"/>
                <w:b/>
                <w:bCs/>
                <w:sz w:val="20"/>
                <w:szCs w:val="20"/>
                <w:lang w:val="en-CA"/>
              </w:rPr>
            </w:pPr>
            <w:r w:rsidRPr="0026329D">
              <w:rPr>
                <w:rFonts w:eastAsia="SimSun"/>
                <w:b/>
                <w:bCs/>
                <w:sz w:val="20"/>
                <w:szCs w:val="20"/>
                <w:lang w:val="en-CA"/>
              </w:rPr>
              <w:t>Total cost (</w:t>
            </w:r>
            <w:r w:rsidR="00475A50" w:rsidRPr="0026329D">
              <w:rPr>
                <w:rFonts w:eastAsia="SimSun"/>
                <w:b/>
                <w:bCs/>
                <w:sz w:val="20"/>
                <w:szCs w:val="20"/>
                <w:lang w:val="en-CA"/>
              </w:rPr>
              <w:t>US $</w:t>
            </w:r>
            <w:r w:rsidRPr="0026329D">
              <w:rPr>
                <w:rFonts w:eastAsia="SimSun"/>
                <w:b/>
                <w:bCs/>
                <w:sz w:val="20"/>
                <w:szCs w:val="20"/>
                <w:lang w:val="en-CA"/>
              </w:rPr>
              <w:t>)</w:t>
            </w:r>
          </w:p>
        </w:tc>
        <w:tc>
          <w:tcPr>
            <w:tcW w:w="844" w:type="pct"/>
            <w:noWrap/>
          </w:tcPr>
          <w:p w:rsidR="00E44F75" w:rsidRPr="0026329D" w:rsidRDefault="00E44F75" w:rsidP="00665A83">
            <w:pPr>
              <w:jc w:val="right"/>
              <w:rPr>
                <w:rFonts w:eastAsia="SimSun"/>
                <w:b/>
                <w:bCs/>
                <w:sz w:val="20"/>
                <w:szCs w:val="20"/>
                <w:lang w:val="en-CA"/>
              </w:rPr>
            </w:pPr>
            <w:r w:rsidRPr="0026329D">
              <w:rPr>
                <w:rFonts w:eastAsia="SimSun"/>
                <w:b/>
                <w:bCs/>
                <w:sz w:val="20"/>
                <w:szCs w:val="20"/>
                <w:lang w:val="en-CA"/>
              </w:rPr>
              <w:t>1,200,000</w:t>
            </w:r>
          </w:p>
        </w:tc>
        <w:tc>
          <w:tcPr>
            <w:tcW w:w="1086" w:type="pct"/>
            <w:noWrap/>
          </w:tcPr>
          <w:p w:rsidR="00E44F75" w:rsidRPr="0026329D" w:rsidRDefault="00E44F75" w:rsidP="00665A83">
            <w:pPr>
              <w:jc w:val="right"/>
              <w:rPr>
                <w:rFonts w:eastAsia="SimSun"/>
                <w:b/>
                <w:bCs/>
                <w:sz w:val="20"/>
                <w:szCs w:val="20"/>
                <w:lang w:val="en-CA"/>
              </w:rPr>
            </w:pPr>
            <w:r w:rsidRPr="0026329D">
              <w:rPr>
                <w:rFonts w:eastAsia="SimSun"/>
                <w:b/>
                <w:bCs/>
                <w:sz w:val="20"/>
                <w:szCs w:val="20"/>
                <w:lang w:val="en-CA"/>
              </w:rPr>
              <w:t>4,250,000</w:t>
            </w:r>
          </w:p>
        </w:tc>
        <w:tc>
          <w:tcPr>
            <w:tcW w:w="843" w:type="pct"/>
            <w:noWrap/>
          </w:tcPr>
          <w:p w:rsidR="00E44F75" w:rsidRPr="0026329D" w:rsidRDefault="00E44F75" w:rsidP="00665A83">
            <w:pPr>
              <w:jc w:val="right"/>
              <w:rPr>
                <w:rFonts w:eastAsia="SimSun"/>
                <w:b/>
                <w:bCs/>
                <w:sz w:val="20"/>
                <w:szCs w:val="20"/>
                <w:lang w:val="en-CA"/>
              </w:rPr>
            </w:pPr>
            <w:r w:rsidRPr="0026329D">
              <w:rPr>
                <w:rFonts w:eastAsia="SimSun"/>
                <w:b/>
                <w:bCs/>
                <w:sz w:val="20"/>
                <w:szCs w:val="20"/>
                <w:lang w:val="en-CA"/>
              </w:rPr>
              <w:t>5,450,000</w:t>
            </w:r>
          </w:p>
        </w:tc>
      </w:tr>
    </w:tbl>
    <w:p w:rsidR="00E44F75" w:rsidRPr="0026329D" w:rsidRDefault="00E44F75" w:rsidP="00E44F75">
      <w:pPr>
        <w:rPr>
          <w:rFonts w:eastAsia="SimSun"/>
          <w:lang w:val="en-CA"/>
        </w:rPr>
      </w:pPr>
    </w:p>
    <w:p w:rsidR="00E44F75" w:rsidRPr="0026329D" w:rsidRDefault="00E44F75" w:rsidP="00E44F75">
      <w:pPr>
        <w:pStyle w:val="Heading3"/>
        <w:numPr>
          <w:ilvl w:val="0"/>
          <w:numId w:val="0"/>
        </w:numPr>
        <w:rPr>
          <w:rFonts w:eastAsia="SimSun"/>
          <w:i/>
          <w:lang w:val="en-CA"/>
        </w:rPr>
      </w:pPr>
      <w:bookmarkStart w:id="17" w:name="_Toc26928"/>
      <w:bookmarkStart w:id="18" w:name="_Toc28503"/>
      <w:bookmarkStart w:id="19" w:name="_Toc28330"/>
      <w:bookmarkStart w:id="20" w:name="_Toc19947"/>
      <w:bookmarkStart w:id="21" w:name="_Toc15417"/>
      <w:bookmarkStart w:id="22" w:name="_Toc2201"/>
      <w:bookmarkStart w:id="23" w:name="_Toc14810"/>
      <w:bookmarkStart w:id="24" w:name="_Toc32562"/>
      <w:bookmarkStart w:id="25" w:name="_Toc23967"/>
      <w:bookmarkStart w:id="26" w:name="_Toc13841"/>
      <w:r w:rsidRPr="0026329D">
        <w:rPr>
          <w:rFonts w:eastAsia="SimSun"/>
          <w:i/>
          <w:lang w:val="en-CA"/>
        </w:rPr>
        <w:t>PMU cost</w:t>
      </w:r>
      <w:bookmarkEnd w:id="17"/>
      <w:bookmarkEnd w:id="18"/>
      <w:bookmarkEnd w:id="19"/>
      <w:bookmarkEnd w:id="20"/>
      <w:bookmarkEnd w:id="21"/>
      <w:bookmarkEnd w:id="22"/>
      <w:bookmarkEnd w:id="23"/>
      <w:bookmarkEnd w:id="24"/>
      <w:bookmarkEnd w:id="25"/>
      <w:bookmarkEnd w:id="26"/>
    </w:p>
    <w:p w:rsidR="00E44F75" w:rsidRPr="0026329D" w:rsidRDefault="00E44F75" w:rsidP="00E44F75">
      <w:pPr>
        <w:pStyle w:val="Heading1"/>
        <w:rPr>
          <w:rFonts w:eastAsia="SimSun"/>
          <w:lang w:val="en-CA"/>
        </w:rPr>
      </w:pPr>
      <w:r w:rsidRPr="0026329D">
        <w:rPr>
          <w:rFonts w:eastAsia="SimSun"/>
          <w:lang w:val="en-CA"/>
        </w:rPr>
        <w:t xml:space="preserve">The PMU costs for </w:t>
      </w:r>
      <w:r w:rsidR="00A81DEE" w:rsidRPr="0026329D">
        <w:rPr>
          <w:rFonts w:eastAsia="SimSun"/>
          <w:lang w:val="en-CA"/>
        </w:rPr>
        <w:t>stage </w:t>
      </w:r>
      <w:r w:rsidRPr="0026329D">
        <w:rPr>
          <w:rFonts w:eastAsia="SimSun"/>
          <w:lang w:val="en-CA"/>
        </w:rPr>
        <w:t>II of the PU foam sector plan from 2021 to 2026 are shown in Table 7.</w:t>
      </w:r>
    </w:p>
    <w:p w:rsidR="00E44F75" w:rsidRPr="0026329D" w:rsidRDefault="00E44F75" w:rsidP="00E44F75">
      <w:pPr>
        <w:keepNext/>
        <w:keepLines/>
        <w:rPr>
          <w:rFonts w:eastAsia="SimSun"/>
          <w:lang w:val="en-CA"/>
        </w:rPr>
      </w:pPr>
      <w:r w:rsidRPr="0026329D">
        <w:rPr>
          <w:rFonts w:eastAsia="SimSun"/>
          <w:b/>
          <w:lang w:val="en-CA"/>
        </w:rPr>
        <w:t xml:space="preserve">Table 7. PMU costs </w:t>
      </w:r>
      <w:r w:rsidRPr="0026329D">
        <w:rPr>
          <w:b/>
          <w:lang w:val="en-CA"/>
        </w:rPr>
        <w:t>(</w:t>
      </w:r>
      <w:r w:rsidR="00475A50" w:rsidRPr="0026329D">
        <w:rPr>
          <w:b/>
          <w:lang w:val="en-CA"/>
        </w:rPr>
        <w:t>US $</w:t>
      </w:r>
      <w:r w:rsidRPr="0026329D">
        <w:rPr>
          <w:b/>
          <w:lang w:val="en-C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9"/>
        <w:gridCol w:w="2821"/>
      </w:tblGrid>
      <w:tr w:rsidR="00E44F75" w:rsidRPr="0026329D" w:rsidTr="002E42DE">
        <w:trPr>
          <w:trHeight w:val="98"/>
          <w:tblHeader/>
          <w:jc w:val="center"/>
        </w:trPr>
        <w:tc>
          <w:tcPr>
            <w:tcW w:w="3506" w:type="pct"/>
          </w:tcPr>
          <w:p w:rsidR="00E44F75" w:rsidRPr="0026329D" w:rsidRDefault="00E44F75" w:rsidP="00665A83">
            <w:pPr>
              <w:rPr>
                <w:b/>
                <w:sz w:val="20"/>
                <w:szCs w:val="20"/>
                <w:lang w:val="en-CA"/>
              </w:rPr>
            </w:pPr>
            <w:r w:rsidRPr="0026329D">
              <w:rPr>
                <w:b/>
                <w:sz w:val="20"/>
                <w:szCs w:val="20"/>
                <w:lang w:val="en-CA"/>
              </w:rPr>
              <w:t>Description</w:t>
            </w:r>
          </w:p>
        </w:tc>
        <w:tc>
          <w:tcPr>
            <w:tcW w:w="1494" w:type="pct"/>
            <w:tcBorders>
              <w:top w:val="single" w:sz="4" w:space="0" w:color="auto"/>
              <w:left w:val="nil"/>
              <w:bottom w:val="single" w:sz="4" w:space="0" w:color="auto"/>
              <w:right w:val="single" w:sz="4" w:space="0" w:color="auto"/>
            </w:tcBorders>
            <w:vAlign w:val="center"/>
          </w:tcPr>
          <w:p w:rsidR="00E44F75" w:rsidRPr="0026329D" w:rsidRDefault="00E44F75" w:rsidP="00665A83">
            <w:pPr>
              <w:jc w:val="center"/>
              <w:rPr>
                <w:rFonts w:eastAsia="SimSun"/>
                <w:b/>
                <w:sz w:val="20"/>
                <w:szCs w:val="20"/>
                <w:lang w:val="en-CA"/>
              </w:rPr>
            </w:pPr>
            <w:r w:rsidRPr="0026329D">
              <w:rPr>
                <w:rFonts w:eastAsia="SimSun"/>
                <w:b/>
                <w:sz w:val="20"/>
                <w:szCs w:val="20"/>
                <w:lang w:val="en-CA"/>
              </w:rPr>
              <w:t>Cost (</w:t>
            </w:r>
            <w:r w:rsidR="00475A50" w:rsidRPr="0026329D">
              <w:rPr>
                <w:rFonts w:eastAsia="SimSun"/>
                <w:b/>
                <w:sz w:val="20"/>
                <w:szCs w:val="20"/>
                <w:lang w:val="en-CA"/>
              </w:rPr>
              <w:t>US $</w:t>
            </w:r>
            <w:r w:rsidRPr="0026329D">
              <w:rPr>
                <w:rFonts w:eastAsia="SimSun"/>
                <w:b/>
                <w:sz w:val="20"/>
                <w:szCs w:val="20"/>
                <w:lang w:val="en-CA"/>
              </w:rPr>
              <w:t>)</w:t>
            </w:r>
          </w:p>
        </w:tc>
      </w:tr>
      <w:tr w:rsidR="00E44F75" w:rsidRPr="0026329D" w:rsidTr="002E42DE">
        <w:trPr>
          <w:trHeight w:val="98"/>
          <w:jc w:val="center"/>
        </w:trPr>
        <w:tc>
          <w:tcPr>
            <w:tcW w:w="3506" w:type="pct"/>
          </w:tcPr>
          <w:p w:rsidR="00E44F75" w:rsidRPr="0026329D" w:rsidRDefault="00E44F75" w:rsidP="00665A83">
            <w:pPr>
              <w:rPr>
                <w:sz w:val="20"/>
                <w:szCs w:val="20"/>
                <w:lang w:val="en-CA"/>
              </w:rPr>
            </w:pPr>
            <w:r w:rsidRPr="0026329D">
              <w:rPr>
                <w:sz w:val="20"/>
                <w:szCs w:val="20"/>
                <w:lang w:val="en-CA"/>
              </w:rPr>
              <w:t>Project staff</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316,800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Domestic and international travel</w:t>
            </w:r>
          </w:p>
        </w:tc>
        <w:tc>
          <w:tcPr>
            <w:tcW w:w="1494" w:type="pct"/>
            <w:tcBorders>
              <w:top w:val="nil"/>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52,800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Domestic and international meetings</w:t>
            </w:r>
          </w:p>
        </w:tc>
        <w:tc>
          <w:tcPr>
            <w:tcW w:w="1494" w:type="pct"/>
            <w:tcBorders>
              <w:top w:val="nil"/>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42,240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Consulting services</w:t>
            </w:r>
          </w:p>
        </w:tc>
        <w:tc>
          <w:tcPr>
            <w:tcW w:w="1494" w:type="pct"/>
            <w:tcBorders>
              <w:top w:val="nil"/>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42,240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Supporting staff</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316,800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 xml:space="preserve">Computer, Internet, post, phone, printing, etc. </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73,920</w:t>
            </w:r>
          </w:p>
        </w:tc>
      </w:tr>
      <w:tr w:rsidR="00E44F75" w:rsidRPr="0026329D" w:rsidTr="002E42DE">
        <w:trPr>
          <w:trHeight w:val="165"/>
          <w:jc w:val="center"/>
        </w:trPr>
        <w:tc>
          <w:tcPr>
            <w:tcW w:w="3506" w:type="pct"/>
          </w:tcPr>
          <w:p w:rsidR="00E44F75" w:rsidRPr="0026329D" w:rsidRDefault="00E44F75" w:rsidP="00665A83">
            <w:pPr>
              <w:rPr>
                <w:sz w:val="20"/>
                <w:szCs w:val="20"/>
                <w:lang w:val="en-CA"/>
              </w:rPr>
            </w:pPr>
            <w:r w:rsidRPr="0026329D">
              <w:rPr>
                <w:sz w:val="20"/>
                <w:szCs w:val="20"/>
                <w:lang w:val="en-CA"/>
              </w:rPr>
              <w:t>Office operation service and maintenance, utilities</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rFonts w:eastAsia="SimSun"/>
                <w:sz w:val="20"/>
                <w:szCs w:val="20"/>
                <w:lang w:val="en-CA"/>
              </w:rPr>
            </w:pPr>
            <w:r w:rsidRPr="0026329D">
              <w:rPr>
                <w:rFonts w:eastAsia="SimSun"/>
                <w:sz w:val="20"/>
                <w:szCs w:val="20"/>
                <w:lang w:val="en-CA"/>
              </w:rPr>
              <w:t>211,200</w:t>
            </w:r>
          </w:p>
        </w:tc>
      </w:tr>
      <w:tr w:rsidR="00E44F75" w:rsidRPr="0026329D" w:rsidTr="002E42DE">
        <w:trPr>
          <w:trHeight w:val="165"/>
          <w:jc w:val="center"/>
        </w:trPr>
        <w:tc>
          <w:tcPr>
            <w:tcW w:w="3506" w:type="pct"/>
          </w:tcPr>
          <w:p w:rsidR="00E44F75" w:rsidRPr="0026329D" w:rsidRDefault="00E44F75" w:rsidP="00665A83">
            <w:pPr>
              <w:rPr>
                <w:b/>
                <w:bCs/>
                <w:sz w:val="20"/>
                <w:szCs w:val="20"/>
                <w:lang w:val="en-CA"/>
              </w:rPr>
            </w:pPr>
            <w:r w:rsidRPr="0026329D">
              <w:rPr>
                <w:b/>
                <w:bCs/>
                <w:sz w:val="20"/>
                <w:szCs w:val="20"/>
                <w:lang w:val="en-CA"/>
              </w:rPr>
              <w:t>Total</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rsidR="00E44F75" w:rsidRPr="0026329D" w:rsidRDefault="00E44F75" w:rsidP="00665A83">
            <w:pPr>
              <w:ind w:right="-1610"/>
              <w:jc w:val="right"/>
              <w:rPr>
                <w:b/>
                <w:bCs/>
                <w:sz w:val="20"/>
                <w:szCs w:val="20"/>
                <w:lang w:val="en-CA"/>
              </w:rPr>
            </w:pPr>
            <w:r w:rsidRPr="0026329D">
              <w:rPr>
                <w:rFonts w:eastAsia="SimSun"/>
                <w:b/>
                <w:bCs/>
                <w:sz w:val="20"/>
                <w:szCs w:val="20"/>
                <w:lang w:val="en-CA"/>
              </w:rPr>
              <w:t>1,056,000</w:t>
            </w:r>
          </w:p>
        </w:tc>
      </w:tr>
    </w:tbl>
    <w:p w:rsidR="00E44F75" w:rsidRPr="0026329D" w:rsidRDefault="00E44F75" w:rsidP="00E44F75">
      <w:pPr>
        <w:rPr>
          <w:rFonts w:eastAsia="SimHei"/>
          <w:bCs/>
          <w:kern w:val="44"/>
          <w:sz w:val="28"/>
          <w:szCs w:val="24"/>
          <w:lang w:val="en-CA"/>
        </w:rPr>
      </w:pPr>
    </w:p>
    <w:p w:rsidR="00E44F75" w:rsidRPr="0026329D" w:rsidRDefault="00E44F75" w:rsidP="00E44F75">
      <w:pPr>
        <w:rPr>
          <w:i/>
          <w:lang w:val="en-CA"/>
        </w:rPr>
      </w:pPr>
      <w:r w:rsidRPr="0026329D">
        <w:rPr>
          <w:i/>
          <w:lang w:val="en-CA"/>
        </w:rPr>
        <w:t>Revised cost of all components</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In summary, the Government of China allocated </w:t>
      </w:r>
      <w:r w:rsidR="00475A50" w:rsidRPr="0026329D">
        <w:rPr>
          <w:lang w:val="en-CA"/>
        </w:rPr>
        <w:t>US $</w:t>
      </w:r>
      <w:r w:rsidRPr="0026329D">
        <w:rPr>
          <w:lang w:val="en-CA"/>
        </w:rPr>
        <w:t xml:space="preserve">19,200,000 to the PU foam sector for the period from 2021 to 2026, of which </w:t>
      </w:r>
      <w:r w:rsidR="00475A50" w:rsidRPr="0026329D">
        <w:rPr>
          <w:lang w:val="en-CA"/>
        </w:rPr>
        <w:t>US $</w:t>
      </w:r>
      <w:r w:rsidRPr="0026329D">
        <w:rPr>
          <w:lang w:val="en-CA"/>
        </w:rPr>
        <w:t xml:space="preserve">14,764,000 are allocated to the enterprise conversion activities, </w:t>
      </w:r>
      <w:r w:rsidR="00475A50" w:rsidRPr="0026329D">
        <w:rPr>
          <w:lang w:val="en-CA"/>
        </w:rPr>
        <w:t>US $</w:t>
      </w:r>
      <w:r w:rsidRPr="0026329D">
        <w:rPr>
          <w:lang w:val="en-CA"/>
        </w:rPr>
        <w:t xml:space="preserve">3,380,000 to TA activities and </w:t>
      </w:r>
      <w:r w:rsidR="00475A50" w:rsidRPr="0026329D">
        <w:rPr>
          <w:lang w:val="en-CA"/>
        </w:rPr>
        <w:t>US $</w:t>
      </w:r>
      <w:r w:rsidRPr="0026329D">
        <w:rPr>
          <w:lang w:val="en-CA"/>
        </w:rPr>
        <w:t>1,056,000 to the PMU, as specified in Table 8.</w:t>
      </w:r>
    </w:p>
    <w:p w:rsidR="00E44F75" w:rsidRPr="0026329D" w:rsidRDefault="00E44F75" w:rsidP="00081B71">
      <w:pPr>
        <w:keepNext/>
        <w:keepLines/>
        <w:rPr>
          <w:rFonts w:eastAsia="SimSun"/>
          <w:b/>
          <w:lang w:val="en-CA"/>
        </w:rPr>
      </w:pPr>
      <w:r w:rsidRPr="0026329D">
        <w:rPr>
          <w:rFonts w:eastAsia="SimSun"/>
          <w:b/>
          <w:lang w:val="en-CA"/>
        </w:rPr>
        <w:t>Table 8. Cost breakdown for the PU foam sector 2021-2026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811"/>
      </w:tblGrid>
      <w:tr w:rsidR="00E44F75" w:rsidRPr="0026329D" w:rsidTr="00665A83">
        <w:trPr>
          <w:trHeight w:val="125"/>
        </w:trPr>
        <w:tc>
          <w:tcPr>
            <w:tcW w:w="3511" w:type="pct"/>
          </w:tcPr>
          <w:p w:rsidR="00E44F75" w:rsidRPr="0026329D" w:rsidRDefault="00E44F75" w:rsidP="00081B71">
            <w:pPr>
              <w:keepNext/>
              <w:keepLines/>
              <w:jc w:val="center"/>
              <w:rPr>
                <w:rFonts w:eastAsia="SimHei"/>
                <w:b/>
                <w:kern w:val="44"/>
                <w:sz w:val="20"/>
                <w:szCs w:val="20"/>
                <w:lang w:val="en-CA"/>
              </w:rPr>
            </w:pPr>
            <w:r w:rsidRPr="0026329D">
              <w:rPr>
                <w:rFonts w:eastAsia="SimHei"/>
                <w:b/>
                <w:kern w:val="44"/>
                <w:sz w:val="20"/>
                <w:szCs w:val="20"/>
                <w:lang w:val="en-CA"/>
              </w:rPr>
              <w:t>Activities</w:t>
            </w:r>
          </w:p>
        </w:tc>
        <w:tc>
          <w:tcPr>
            <w:tcW w:w="1489" w:type="pct"/>
          </w:tcPr>
          <w:p w:rsidR="00E44F75" w:rsidRPr="0026329D" w:rsidRDefault="00E44F75" w:rsidP="00081B71">
            <w:pPr>
              <w:keepNext/>
              <w:keepLines/>
              <w:jc w:val="center"/>
              <w:rPr>
                <w:rFonts w:eastAsia="SimHei"/>
                <w:b/>
                <w:kern w:val="44"/>
                <w:sz w:val="20"/>
                <w:szCs w:val="20"/>
                <w:lang w:val="en-CA"/>
              </w:rPr>
            </w:pPr>
            <w:r w:rsidRPr="0026329D">
              <w:rPr>
                <w:rFonts w:eastAsia="SimHei"/>
                <w:b/>
                <w:kern w:val="44"/>
                <w:sz w:val="20"/>
                <w:szCs w:val="20"/>
                <w:lang w:val="en-CA"/>
              </w:rPr>
              <w:t xml:space="preserve">Cost </w:t>
            </w:r>
            <w:r w:rsidRPr="0026329D">
              <w:rPr>
                <w:rFonts w:eastAsia="SimSun"/>
                <w:b/>
                <w:sz w:val="20"/>
                <w:szCs w:val="20"/>
                <w:lang w:val="en-CA"/>
              </w:rPr>
              <w:t>（</w:t>
            </w:r>
            <w:r w:rsidR="00475A50" w:rsidRPr="0026329D">
              <w:rPr>
                <w:rFonts w:eastAsia="SimSun"/>
                <w:b/>
                <w:sz w:val="20"/>
                <w:szCs w:val="20"/>
                <w:lang w:val="en-CA"/>
              </w:rPr>
              <w:t>US $</w:t>
            </w:r>
            <w:r w:rsidRPr="0026329D">
              <w:rPr>
                <w:rFonts w:eastAsia="SimSun"/>
                <w:b/>
                <w:sz w:val="20"/>
                <w:szCs w:val="20"/>
                <w:lang w:val="en-CA"/>
              </w:rPr>
              <w:t>）</w:t>
            </w:r>
          </w:p>
        </w:tc>
      </w:tr>
      <w:tr w:rsidR="00E44F75" w:rsidRPr="0026329D" w:rsidTr="00665A83">
        <w:tc>
          <w:tcPr>
            <w:tcW w:w="3511" w:type="pct"/>
          </w:tcPr>
          <w:p w:rsidR="00E44F75" w:rsidRPr="0026329D" w:rsidRDefault="00E44F75" w:rsidP="00081B71">
            <w:pPr>
              <w:keepNext/>
              <w:keepLines/>
              <w:rPr>
                <w:rFonts w:eastAsia="SimHei"/>
                <w:bCs/>
                <w:kern w:val="44"/>
                <w:sz w:val="20"/>
                <w:szCs w:val="20"/>
                <w:lang w:val="en-CA"/>
              </w:rPr>
            </w:pPr>
            <w:r w:rsidRPr="0026329D">
              <w:rPr>
                <w:rFonts w:eastAsia="SimHei"/>
                <w:bCs/>
                <w:kern w:val="44"/>
                <w:sz w:val="20"/>
                <w:szCs w:val="20"/>
                <w:lang w:val="en-CA"/>
              </w:rPr>
              <w:t xml:space="preserve">Enterprise conversion activities </w:t>
            </w:r>
          </w:p>
        </w:tc>
        <w:tc>
          <w:tcPr>
            <w:tcW w:w="1489" w:type="pct"/>
          </w:tcPr>
          <w:p w:rsidR="00E44F75" w:rsidRPr="0026329D" w:rsidRDefault="00E44F75" w:rsidP="00081B71">
            <w:pPr>
              <w:keepNext/>
              <w:keepLines/>
              <w:ind w:right="158"/>
              <w:jc w:val="right"/>
              <w:rPr>
                <w:rFonts w:eastAsia="SimHei"/>
                <w:bCs/>
                <w:kern w:val="44"/>
                <w:sz w:val="20"/>
                <w:szCs w:val="20"/>
                <w:lang w:val="en-CA"/>
              </w:rPr>
            </w:pPr>
            <w:r w:rsidRPr="0026329D">
              <w:rPr>
                <w:rFonts w:eastAsia="SimHei"/>
                <w:bCs/>
                <w:kern w:val="44"/>
                <w:sz w:val="20"/>
                <w:szCs w:val="20"/>
                <w:lang w:val="en-CA"/>
              </w:rPr>
              <w:t>14,764,000</w:t>
            </w:r>
          </w:p>
        </w:tc>
      </w:tr>
      <w:tr w:rsidR="00E44F75" w:rsidRPr="0026329D" w:rsidTr="00665A83">
        <w:tc>
          <w:tcPr>
            <w:tcW w:w="3511" w:type="pct"/>
          </w:tcPr>
          <w:p w:rsidR="00E44F75" w:rsidRPr="0026329D" w:rsidRDefault="00E44F75" w:rsidP="00081B71">
            <w:pPr>
              <w:keepNext/>
              <w:keepLines/>
              <w:rPr>
                <w:rFonts w:eastAsia="SimHei"/>
                <w:bCs/>
                <w:kern w:val="44"/>
                <w:sz w:val="20"/>
                <w:szCs w:val="20"/>
                <w:lang w:val="en-CA"/>
              </w:rPr>
            </w:pPr>
            <w:r w:rsidRPr="0026329D">
              <w:rPr>
                <w:rFonts w:eastAsia="SimHei"/>
                <w:bCs/>
                <w:kern w:val="44"/>
                <w:sz w:val="20"/>
                <w:szCs w:val="20"/>
                <w:lang w:val="en-CA"/>
              </w:rPr>
              <w:t>TA activities</w:t>
            </w:r>
          </w:p>
        </w:tc>
        <w:tc>
          <w:tcPr>
            <w:tcW w:w="1489" w:type="pct"/>
          </w:tcPr>
          <w:p w:rsidR="00E44F75" w:rsidRPr="0026329D" w:rsidRDefault="00E44F75" w:rsidP="00081B71">
            <w:pPr>
              <w:keepNext/>
              <w:keepLines/>
              <w:ind w:right="158"/>
              <w:jc w:val="right"/>
              <w:rPr>
                <w:rFonts w:eastAsia="SimHei"/>
                <w:bCs/>
                <w:kern w:val="44"/>
                <w:sz w:val="20"/>
                <w:szCs w:val="20"/>
                <w:lang w:val="en-CA"/>
              </w:rPr>
            </w:pPr>
            <w:r w:rsidRPr="0026329D">
              <w:rPr>
                <w:rFonts w:eastAsia="SimHei"/>
                <w:bCs/>
                <w:kern w:val="44"/>
                <w:sz w:val="20"/>
                <w:szCs w:val="20"/>
                <w:lang w:val="en-CA"/>
              </w:rPr>
              <w:t>3,380,000</w:t>
            </w:r>
          </w:p>
        </w:tc>
      </w:tr>
      <w:tr w:rsidR="00E44F75" w:rsidRPr="0026329D" w:rsidTr="00665A83">
        <w:tc>
          <w:tcPr>
            <w:tcW w:w="3511" w:type="pct"/>
          </w:tcPr>
          <w:p w:rsidR="00E44F75" w:rsidRPr="0026329D" w:rsidRDefault="00E44F75" w:rsidP="00665A83">
            <w:pPr>
              <w:rPr>
                <w:rFonts w:eastAsia="SimHei"/>
                <w:bCs/>
                <w:kern w:val="44"/>
                <w:sz w:val="20"/>
                <w:szCs w:val="20"/>
                <w:lang w:val="en-CA"/>
              </w:rPr>
            </w:pPr>
            <w:r w:rsidRPr="0026329D">
              <w:rPr>
                <w:rFonts w:eastAsia="SimHei"/>
                <w:bCs/>
                <w:kern w:val="44"/>
                <w:sz w:val="20"/>
                <w:szCs w:val="20"/>
                <w:lang w:val="en-CA"/>
              </w:rPr>
              <w:t>PMU</w:t>
            </w:r>
          </w:p>
        </w:tc>
        <w:tc>
          <w:tcPr>
            <w:tcW w:w="1489" w:type="pct"/>
          </w:tcPr>
          <w:p w:rsidR="00E44F75" w:rsidRPr="0026329D" w:rsidRDefault="00E44F75" w:rsidP="00665A83">
            <w:pPr>
              <w:ind w:right="158"/>
              <w:jc w:val="right"/>
              <w:rPr>
                <w:rFonts w:eastAsia="SimHei"/>
                <w:bCs/>
                <w:kern w:val="44"/>
                <w:sz w:val="20"/>
                <w:szCs w:val="20"/>
                <w:lang w:val="en-CA"/>
              </w:rPr>
            </w:pPr>
            <w:r w:rsidRPr="0026329D">
              <w:rPr>
                <w:rFonts w:eastAsia="SimHei"/>
                <w:bCs/>
                <w:kern w:val="44"/>
                <w:sz w:val="20"/>
                <w:szCs w:val="20"/>
                <w:lang w:val="en-CA"/>
              </w:rPr>
              <w:t>1,056,000</w:t>
            </w:r>
          </w:p>
        </w:tc>
      </w:tr>
      <w:tr w:rsidR="00E44F75" w:rsidRPr="0026329D" w:rsidTr="00665A83">
        <w:tc>
          <w:tcPr>
            <w:tcW w:w="3511" w:type="pct"/>
          </w:tcPr>
          <w:p w:rsidR="00E44F75" w:rsidRPr="0026329D" w:rsidRDefault="00E44F75" w:rsidP="00665A83">
            <w:pPr>
              <w:rPr>
                <w:rFonts w:eastAsia="SimHei"/>
                <w:b/>
                <w:kern w:val="44"/>
                <w:sz w:val="20"/>
                <w:szCs w:val="20"/>
                <w:lang w:val="en-CA"/>
              </w:rPr>
            </w:pPr>
            <w:r w:rsidRPr="0026329D">
              <w:rPr>
                <w:rFonts w:eastAsia="SimHei"/>
                <w:b/>
                <w:kern w:val="44"/>
                <w:sz w:val="20"/>
                <w:szCs w:val="20"/>
                <w:lang w:val="en-CA"/>
              </w:rPr>
              <w:t>Total</w:t>
            </w:r>
          </w:p>
        </w:tc>
        <w:tc>
          <w:tcPr>
            <w:tcW w:w="1489" w:type="pct"/>
          </w:tcPr>
          <w:p w:rsidR="00E44F75" w:rsidRPr="0026329D" w:rsidRDefault="00E44F75" w:rsidP="00665A83">
            <w:pPr>
              <w:ind w:right="158"/>
              <w:jc w:val="right"/>
              <w:rPr>
                <w:rFonts w:eastAsia="SimHei"/>
                <w:b/>
                <w:kern w:val="44"/>
                <w:sz w:val="20"/>
                <w:szCs w:val="20"/>
                <w:lang w:val="en-CA"/>
              </w:rPr>
            </w:pPr>
            <w:r w:rsidRPr="0026329D">
              <w:rPr>
                <w:rFonts w:eastAsia="SimHei"/>
                <w:b/>
                <w:kern w:val="44"/>
                <w:sz w:val="20"/>
                <w:szCs w:val="20"/>
                <w:lang w:val="en-CA"/>
              </w:rPr>
              <w:t>19,200,000</w:t>
            </w:r>
          </w:p>
        </w:tc>
      </w:tr>
    </w:tbl>
    <w:p w:rsidR="00E44F75" w:rsidRPr="0026329D" w:rsidRDefault="00E44F75" w:rsidP="00E44F75">
      <w:pPr>
        <w:rPr>
          <w:lang w:val="en-CA"/>
        </w:rPr>
      </w:pPr>
    </w:p>
    <w:p w:rsidR="00E44F75" w:rsidRPr="0026329D" w:rsidRDefault="00E44F75" w:rsidP="00E44F75">
      <w:pPr>
        <w:pStyle w:val="Heading1"/>
        <w:numPr>
          <w:ilvl w:val="0"/>
          <w:numId w:val="0"/>
        </w:numPr>
        <w:rPr>
          <w:i/>
          <w:lang w:val="en-CA"/>
        </w:rPr>
      </w:pPr>
      <w:r w:rsidRPr="0026329D">
        <w:rPr>
          <w:i/>
          <w:lang w:val="en-CA"/>
        </w:rPr>
        <w:t>Tranche distribution (2021-2026)</w:t>
      </w:r>
    </w:p>
    <w:p w:rsidR="00E44F75" w:rsidRPr="0026329D" w:rsidRDefault="00E44F75" w:rsidP="00E44F75">
      <w:pPr>
        <w:pStyle w:val="Heading1"/>
        <w:rPr>
          <w:lang w:val="en-CA"/>
        </w:rPr>
      </w:pPr>
      <w:r w:rsidRPr="0026329D">
        <w:rPr>
          <w:lang w:val="en-CA"/>
        </w:rPr>
        <w:t xml:space="preserve">The tranche disbursement schedule for the years 2021 to 2026 is contained in Table 9. The entire tranche disbursement schedule for </w:t>
      </w:r>
      <w:r w:rsidR="00A81DEE" w:rsidRPr="0026329D">
        <w:rPr>
          <w:lang w:val="en-CA"/>
        </w:rPr>
        <w:t>stage </w:t>
      </w:r>
      <w:r w:rsidRPr="0026329D">
        <w:rPr>
          <w:lang w:val="en-CA"/>
        </w:rPr>
        <w:t>II of the PU foam sector plan is in rows 2.3.1 and 2.3.2 of Appendix 2</w:t>
      </w:r>
      <w:r w:rsidRPr="0026329D">
        <w:rPr>
          <w:lang w:val="en-CA"/>
        </w:rPr>
        <w:noBreakHyphen/>
        <w:t>A of the draft revised Agreement between the Government of China and the Executive Committee submitted by UNDP, in Annex I</w:t>
      </w:r>
      <w:r w:rsidR="00337C27" w:rsidRPr="0026329D">
        <w:rPr>
          <w:lang w:val="en-CA"/>
        </w:rPr>
        <w:t>I</w:t>
      </w:r>
      <w:r w:rsidRPr="0026329D">
        <w:rPr>
          <w:lang w:val="en-CA"/>
        </w:rPr>
        <w:t>.</w:t>
      </w:r>
    </w:p>
    <w:p w:rsidR="00E44F75" w:rsidRPr="0026329D" w:rsidRDefault="00E44F75" w:rsidP="00E44F75">
      <w:pPr>
        <w:tabs>
          <w:tab w:val="num" w:pos="0"/>
          <w:tab w:val="num" w:pos="720"/>
          <w:tab w:val="num" w:pos="902"/>
        </w:tabs>
        <w:rPr>
          <w:b/>
          <w:lang w:val="en-CA"/>
        </w:rPr>
      </w:pPr>
      <w:r w:rsidRPr="0026329D">
        <w:rPr>
          <w:b/>
          <w:lang w:val="en-CA"/>
        </w:rPr>
        <w:t>Table 9 Tranche distribution for the 2021-2026 PU foam sector plan (</w:t>
      </w:r>
      <w:r w:rsidR="00475A50" w:rsidRPr="0026329D">
        <w:rPr>
          <w:b/>
          <w:lang w:val="en-CA"/>
        </w:rPr>
        <w:t>US $</w:t>
      </w:r>
      <w:r w:rsidRPr="0026329D">
        <w:rPr>
          <w:b/>
          <w:lang w:val="en-CA"/>
        </w:rPr>
        <w:t>)</w:t>
      </w:r>
    </w:p>
    <w:tbl>
      <w:tblPr>
        <w:tblStyle w:val="TableGrid"/>
        <w:tblW w:w="0" w:type="auto"/>
        <w:tblLook w:val="04A0" w:firstRow="1" w:lastRow="0" w:firstColumn="1" w:lastColumn="0" w:noHBand="0" w:noVBand="1"/>
      </w:tblPr>
      <w:tblGrid>
        <w:gridCol w:w="1435"/>
        <w:gridCol w:w="1190"/>
        <w:gridCol w:w="1366"/>
        <w:gridCol w:w="1366"/>
        <w:gridCol w:w="1366"/>
        <w:gridCol w:w="1366"/>
        <w:gridCol w:w="1261"/>
      </w:tblGrid>
      <w:tr w:rsidR="00E44F75" w:rsidRPr="0026329D" w:rsidTr="00665A83">
        <w:tc>
          <w:tcPr>
            <w:tcW w:w="1435" w:type="dxa"/>
          </w:tcPr>
          <w:p w:rsidR="00E44F75" w:rsidRPr="0026329D" w:rsidRDefault="00650E5A" w:rsidP="00665A83">
            <w:pPr>
              <w:tabs>
                <w:tab w:val="num" w:pos="0"/>
                <w:tab w:val="num" w:pos="720"/>
                <w:tab w:val="num" w:pos="902"/>
              </w:tabs>
              <w:jc w:val="left"/>
              <w:rPr>
                <w:b/>
                <w:sz w:val="20"/>
                <w:szCs w:val="20"/>
                <w:lang w:val="en-CA"/>
              </w:rPr>
            </w:pPr>
            <w:r w:rsidRPr="0026329D">
              <w:rPr>
                <w:b/>
                <w:sz w:val="20"/>
                <w:szCs w:val="20"/>
                <w:lang w:val="en-CA"/>
              </w:rPr>
              <w:t>Year</w:t>
            </w:r>
          </w:p>
        </w:tc>
        <w:tc>
          <w:tcPr>
            <w:tcW w:w="1190"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2021</w:t>
            </w:r>
          </w:p>
        </w:tc>
        <w:tc>
          <w:tcPr>
            <w:tcW w:w="1366"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2022</w:t>
            </w:r>
          </w:p>
        </w:tc>
        <w:tc>
          <w:tcPr>
            <w:tcW w:w="1366"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2023</w:t>
            </w:r>
          </w:p>
        </w:tc>
        <w:tc>
          <w:tcPr>
            <w:tcW w:w="1366"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2024</w:t>
            </w:r>
          </w:p>
        </w:tc>
        <w:tc>
          <w:tcPr>
            <w:tcW w:w="1366"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2025</w:t>
            </w:r>
          </w:p>
        </w:tc>
        <w:tc>
          <w:tcPr>
            <w:tcW w:w="1261" w:type="dxa"/>
          </w:tcPr>
          <w:p w:rsidR="00E44F75" w:rsidRPr="0026329D" w:rsidRDefault="00E44F75" w:rsidP="00665A83">
            <w:pPr>
              <w:tabs>
                <w:tab w:val="num" w:pos="0"/>
                <w:tab w:val="num" w:pos="720"/>
                <w:tab w:val="num" w:pos="902"/>
              </w:tabs>
              <w:jc w:val="center"/>
              <w:rPr>
                <w:sz w:val="20"/>
                <w:szCs w:val="20"/>
                <w:lang w:val="en-CA"/>
              </w:rPr>
            </w:pPr>
            <w:r w:rsidRPr="0026329D">
              <w:rPr>
                <w:sz w:val="20"/>
                <w:szCs w:val="20"/>
                <w:lang w:val="en-CA"/>
              </w:rPr>
              <w:t>2026</w:t>
            </w:r>
          </w:p>
        </w:tc>
      </w:tr>
      <w:tr w:rsidR="00E44F75" w:rsidRPr="0026329D" w:rsidTr="00665A83">
        <w:tc>
          <w:tcPr>
            <w:tcW w:w="1435" w:type="dxa"/>
          </w:tcPr>
          <w:p w:rsidR="00E44F75" w:rsidRPr="0026329D" w:rsidRDefault="00E44F75" w:rsidP="00665A83">
            <w:pPr>
              <w:tabs>
                <w:tab w:val="num" w:pos="0"/>
                <w:tab w:val="num" w:pos="720"/>
                <w:tab w:val="num" w:pos="902"/>
              </w:tabs>
              <w:rPr>
                <w:b/>
                <w:sz w:val="20"/>
                <w:szCs w:val="20"/>
                <w:lang w:val="en-CA"/>
              </w:rPr>
            </w:pPr>
            <w:r w:rsidRPr="0026329D">
              <w:rPr>
                <w:b/>
                <w:sz w:val="20"/>
                <w:szCs w:val="20"/>
                <w:lang w:val="en-CA"/>
              </w:rPr>
              <w:t>Tranche value</w:t>
            </w:r>
          </w:p>
        </w:tc>
        <w:tc>
          <w:tcPr>
            <w:tcW w:w="1190"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4,000,000</w:t>
            </w:r>
          </w:p>
        </w:tc>
        <w:tc>
          <w:tcPr>
            <w:tcW w:w="1366"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0</w:t>
            </w:r>
          </w:p>
        </w:tc>
        <w:tc>
          <w:tcPr>
            <w:tcW w:w="1366"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5,000,000</w:t>
            </w:r>
          </w:p>
        </w:tc>
        <w:tc>
          <w:tcPr>
            <w:tcW w:w="1366"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1,000,000</w:t>
            </w:r>
          </w:p>
        </w:tc>
        <w:tc>
          <w:tcPr>
            <w:tcW w:w="1366"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5,000,000</w:t>
            </w:r>
          </w:p>
        </w:tc>
        <w:tc>
          <w:tcPr>
            <w:tcW w:w="1261" w:type="dxa"/>
          </w:tcPr>
          <w:p w:rsidR="00E44F75" w:rsidRPr="0026329D" w:rsidRDefault="00E44F75" w:rsidP="00665A83">
            <w:pPr>
              <w:tabs>
                <w:tab w:val="num" w:pos="0"/>
                <w:tab w:val="num" w:pos="720"/>
                <w:tab w:val="num" w:pos="902"/>
              </w:tabs>
              <w:jc w:val="right"/>
              <w:rPr>
                <w:sz w:val="20"/>
                <w:szCs w:val="20"/>
                <w:lang w:val="en-CA"/>
              </w:rPr>
            </w:pPr>
            <w:r w:rsidRPr="0026329D">
              <w:rPr>
                <w:sz w:val="20"/>
                <w:szCs w:val="20"/>
                <w:lang w:val="en-CA"/>
              </w:rPr>
              <w:t>4,200,000</w:t>
            </w:r>
          </w:p>
        </w:tc>
      </w:tr>
    </w:tbl>
    <w:p w:rsidR="00E44F75" w:rsidRPr="0026329D" w:rsidRDefault="00E44F75" w:rsidP="00E44F75">
      <w:pPr>
        <w:rPr>
          <w:lang w:val="en-CA"/>
        </w:rPr>
      </w:pPr>
    </w:p>
    <w:p w:rsidR="00E44F75" w:rsidRPr="0026329D" w:rsidRDefault="00E44F75" w:rsidP="00650E5A">
      <w:pPr>
        <w:keepNext/>
        <w:keepLines/>
        <w:rPr>
          <w:b/>
          <w:lang w:val="en-CA"/>
        </w:rPr>
      </w:pPr>
      <w:r w:rsidRPr="0026329D">
        <w:rPr>
          <w:b/>
          <w:lang w:val="en-CA"/>
        </w:rPr>
        <w:t xml:space="preserve">Secretariat’s comments </w:t>
      </w:r>
    </w:p>
    <w:p w:rsidR="00E44F75" w:rsidRPr="0026329D" w:rsidRDefault="00E44F75" w:rsidP="00650E5A">
      <w:pPr>
        <w:keepNext/>
        <w:keepLines/>
        <w:rPr>
          <w:lang w:val="en-CA"/>
        </w:rPr>
      </w:pPr>
    </w:p>
    <w:p w:rsidR="00E44F75" w:rsidRPr="0026329D" w:rsidRDefault="00E44F75" w:rsidP="00650E5A">
      <w:pPr>
        <w:pStyle w:val="Heading1"/>
        <w:keepNext/>
        <w:keepLines/>
        <w:rPr>
          <w:lang w:val="en-CA"/>
        </w:rPr>
      </w:pPr>
      <w:r w:rsidRPr="0026329D">
        <w:rPr>
          <w:lang w:val="en-CA"/>
        </w:rPr>
        <w:t xml:space="preserve">The Secretariat notes that the overall cost of </w:t>
      </w:r>
      <w:r w:rsidR="00A81DEE" w:rsidRPr="0026329D">
        <w:rPr>
          <w:lang w:val="en-CA"/>
        </w:rPr>
        <w:t>stage </w:t>
      </w:r>
      <w:r w:rsidRPr="0026329D">
        <w:rPr>
          <w:lang w:val="en-CA"/>
        </w:rPr>
        <w:t xml:space="preserve">II of the PU foam sector plan has been adjusted from </w:t>
      </w:r>
      <w:r w:rsidR="00475A50" w:rsidRPr="0026329D">
        <w:rPr>
          <w:lang w:val="en-CA"/>
        </w:rPr>
        <w:t>US $</w:t>
      </w:r>
      <w:r w:rsidRPr="0026329D">
        <w:rPr>
          <w:lang w:val="en-CA"/>
        </w:rPr>
        <w:t xml:space="preserve">141,471,210 to </w:t>
      </w:r>
      <w:r w:rsidR="00475A50" w:rsidRPr="0026329D">
        <w:rPr>
          <w:lang w:val="en-CA"/>
        </w:rPr>
        <w:t>US $</w:t>
      </w:r>
      <w:r w:rsidRPr="0026329D">
        <w:rPr>
          <w:lang w:val="en-CA"/>
        </w:rPr>
        <w:t xml:space="preserve">28,312,039, out of which </w:t>
      </w:r>
      <w:r w:rsidR="00475A50" w:rsidRPr="0026329D">
        <w:rPr>
          <w:lang w:val="en-CA"/>
        </w:rPr>
        <w:t>US $</w:t>
      </w:r>
      <w:r w:rsidRPr="0026329D">
        <w:rPr>
          <w:lang w:val="en-CA"/>
        </w:rPr>
        <w:t xml:space="preserve">9,112,039 have already been approved in previous tranches. The level of funds allocated to the period of 2021-2026 is </w:t>
      </w:r>
      <w:r w:rsidR="00475A50" w:rsidRPr="0026329D">
        <w:rPr>
          <w:lang w:val="en-CA"/>
        </w:rPr>
        <w:t>US $</w:t>
      </w:r>
      <w:r w:rsidRPr="0026329D">
        <w:rPr>
          <w:lang w:val="en-CA"/>
        </w:rPr>
        <w:t>19,200,000.</w:t>
      </w:r>
    </w:p>
    <w:p w:rsidR="00E44F75" w:rsidRPr="0026329D" w:rsidRDefault="00E44F75" w:rsidP="00E44F75">
      <w:pPr>
        <w:pStyle w:val="Heading1"/>
        <w:rPr>
          <w:lang w:val="en-CA"/>
        </w:rPr>
      </w:pPr>
      <w:r w:rsidRPr="0026329D">
        <w:rPr>
          <w:lang w:val="en-CA"/>
        </w:rPr>
        <w:t xml:space="preserve">In addition to the reduction in the number of enterprises assisted under </w:t>
      </w:r>
      <w:r w:rsidR="00A81DEE" w:rsidRPr="0026329D">
        <w:rPr>
          <w:lang w:val="en-CA"/>
        </w:rPr>
        <w:t>stage </w:t>
      </w:r>
      <w:r w:rsidRPr="0026329D">
        <w:rPr>
          <w:lang w:val="en-CA"/>
        </w:rPr>
        <w:t xml:space="preserve">II, the funding to be provided to individual sub-projects has been reduced from an average of </w:t>
      </w:r>
      <w:r w:rsidR="00475A50" w:rsidRPr="0026329D">
        <w:rPr>
          <w:lang w:val="en-CA"/>
        </w:rPr>
        <w:t>US $</w:t>
      </w:r>
      <w:r w:rsidRPr="0026329D">
        <w:rPr>
          <w:lang w:val="en-CA"/>
        </w:rPr>
        <w:t xml:space="preserve">6.23/kg to </w:t>
      </w:r>
      <w:r w:rsidR="00475A50" w:rsidRPr="0026329D">
        <w:rPr>
          <w:lang w:val="en-CA"/>
        </w:rPr>
        <w:t>US $</w:t>
      </w:r>
      <w:r w:rsidRPr="0026329D">
        <w:rPr>
          <w:lang w:val="en-CA"/>
        </w:rPr>
        <w:t xml:space="preserve">6.00/kg for enterprises converting to HC and from </w:t>
      </w:r>
      <w:r w:rsidR="00475A50" w:rsidRPr="0026329D">
        <w:rPr>
          <w:lang w:val="en-CA"/>
        </w:rPr>
        <w:t>US $</w:t>
      </w:r>
      <w:r w:rsidRPr="0026329D">
        <w:rPr>
          <w:lang w:val="en-CA"/>
        </w:rPr>
        <w:t xml:space="preserve">6.79/kg to </w:t>
      </w:r>
      <w:r w:rsidR="00475A50" w:rsidRPr="0026329D">
        <w:rPr>
          <w:lang w:val="en-CA"/>
        </w:rPr>
        <w:t>US $</w:t>
      </w:r>
      <w:r w:rsidRPr="0026329D">
        <w:rPr>
          <w:lang w:val="en-CA"/>
        </w:rPr>
        <w:t>4.00/kg for enterprises converting to HFO or water</w:t>
      </w:r>
      <w:r w:rsidRPr="0026329D">
        <w:rPr>
          <w:lang w:val="en-CA"/>
        </w:rPr>
        <w:noBreakHyphen/>
        <w:t>based technology. Consequently, the enterprises will provide a larger share of co-financing.</w:t>
      </w:r>
    </w:p>
    <w:p w:rsidR="00E44F75" w:rsidRPr="0026329D" w:rsidRDefault="00E44F75" w:rsidP="00E44F75">
      <w:pPr>
        <w:keepNext/>
        <w:rPr>
          <w:i/>
          <w:lang w:val="en-CA"/>
        </w:rPr>
      </w:pPr>
      <w:r w:rsidRPr="0026329D">
        <w:rPr>
          <w:i/>
          <w:lang w:val="en-CA"/>
        </w:rPr>
        <w:t xml:space="preserve">Systems house projects </w:t>
      </w:r>
    </w:p>
    <w:p w:rsidR="00E44F75" w:rsidRPr="0026329D" w:rsidRDefault="00E44F75" w:rsidP="00E44F75">
      <w:pPr>
        <w:keepNext/>
        <w:rPr>
          <w:lang w:val="en-CA"/>
        </w:rPr>
      </w:pPr>
    </w:p>
    <w:p w:rsidR="00E44F75" w:rsidRPr="0026329D" w:rsidRDefault="00E44F75" w:rsidP="00E44F75">
      <w:pPr>
        <w:pStyle w:val="Heading1"/>
        <w:keepNext/>
        <w:rPr>
          <w:lang w:val="en-CA"/>
        </w:rPr>
      </w:pPr>
      <w:r w:rsidRPr="0026329D">
        <w:rPr>
          <w:lang w:val="en-CA"/>
        </w:rPr>
        <w:t>The Secretariat notes a prominent role of the systems houses given their influence on technology and the TA they can provide to SMEs. Regarding the estimated number of enterprises that could be converted and the level of HCFC</w:t>
      </w:r>
      <w:r w:rsidRPr="0026329D">
        <w:rPr>
          <w:lang w:val="en-CA"/>
        </w:rPr>
        <w:noBreakHyphen/>
        <w:t>141b consumption that could be phased out because of the assistance to the 19</w:t>
      </w:r>
      <w:r w:rsidR="005F2D17" w:rsidRPr="0026329D">
        <w:rPr>
          <w:lang w:val="en-CA"/>
        </w:rPr>
        <w:t> </w:t>
      </w:r>
      <w:r w:rsidRPr="0026329D">
        <w:rPr>
          <w:lang w:val="en-CA"/>
        </w:rPr>
        <w:t>systems houses, the World Bank indicated that, based on the amount of funding allocated, it would be expected that each systems house could reach around 40 eligible downstream enterprises. However, these numbers will be better known upon the presentation of tranche requests, at which time they will be provided. The 19 systems houses are also expected to extend technical support to additional 300 enterprises in order to facilitate conversions through those enterprises’ own financial resources.</w:t>
      </w:r>
    </w:p>
    <w:p w:rsidR="00E44F75" w:rsidRPr="0026329D" w:rsidRDefault="00E44F75" w:rsidP="00E44F75">
      <w:pPr>
        <w:pStyle w:val="Heading1"/>
        <w:rPr>
          <w:lang w:val="en-CA"/>
        </w:rPr>
      </w:pPr>
      <w:r w:rsidRPr="0026329D">
        <w:rPr>
          <w:lang w:val="en-CA"/>
        </w:rPr>
        <w:t>The Secretariat requested more details on the planned system to monitor the progress made by systems houses. The World Bank indicated that the project will set up an incentive-based mechanism to ensure that systems houses identify and work with eligible downstream enterprises and that the number of enterprises and the amount of HCFC-141b phase-out is tracked. As systems houses share their customer names and locations during implementation, the Government can include those enterprises in the provincial HCFC</w:t>
      </w:r>
      <w:r w:rsidRPr="0026329D">
        <w:rPr>
          <w:lang w:val="en-CA"/>
        </w:rPr>
        <w:noBreakHyphen/>
        <w:t xml:space="preserve">141b user registries (if they are not already registered) so that the EEBs can continue monitoring them. </w:t>
      </w:r>
    </w:p>
    <w:p w:rsidR="00E44F75" w:rsidRPr="0026329D" w:rsidRDefault="00E44F75" w:rsidP="00E44F75">
      <w:pPr>
        <w:pStyle w:val="Heading1"/>
        <w:rPr>
          <w:lang w:val="en-CA"/>
        </w:rPr>
      </w:pPr>
      <w:r w:rsidRPr="0026329D">
        <w:rPr>
          <w:lang w:val="en-CA"/>
        </w:rPr>
        <w:t>The World Bank also explained that in addition to the EEBs’ normal monitoring, the project would ensure that there were periodic checks of downstream enterprises (once systems houses confirm that assistance has been provided). As part of its supervisory role, the World Bank will also conduct regular site visits to a percentage of SMEs assisted through the systems houses.</w:t>
      </w:r>
    </w:p>
    <w:p w:rsidR="00E44F75" w:rsidRPr="0026329D" w:rsidRDefault="00E44F75" w:rsidP="00E44F75">
      <w:pPr>
        <w:rPr>
          <w:i/>
          <w:lang w:val="en-CA"/>
        </w:rPr>
      </w:pPr>
      <w:r w:rsidRPr="0026329D">
        <w:rPr>
          <w:i/>
          <w:lang w:val="en-CA"/>
        </w:rPr>
        <w:t>Monitoring and sustainability of the phase-out of HCFC-141b</w:t>
      </w:r>
    </w:p>
    <w:p w:rsidR="00E44F75" w:rsidRPr="0026329D" w:rsidRDefault="00E44F75" w:rsidP="00E44F75">
      <w:pPr>
        <w:rPr>
          <w:lang w:val="en-CA"/>
        </w:rPr>
      </w:pPr>
    </w:p>
    <w:p w:rsidR="00E44F75" w:rsidRPr="0026329D" w:rsidRDefault="00E44F75" w:rsidP="00E44F75">
      <w:pPr>
        <w:pStyle w:val="Heading1"/>
        <w:rPr>
          <w:lang w:val="en-CA"/>
        </w:rPr>
      </w:pPr>
      <w:r w:rsidRPr="0026329D">
        <w:rPr>
          <w:lang w:val="en-CA"/>
        </w:rPr>
        <w:t xml:space="preserve">Noting that there may be systems houses that will not receive funding from the project, the Secretariat considered it important to promote their simultaneous phase-out of HCFC-141b, so that the clients of the assisted systems houses do not return to HCFC-141b by switching to a non-assisted systems house as supplier. The World Bank indicated that the sustainability of the downstream enterprise conversions could be ensured by tying assistance to a commitment by each enterprise to cease HCFC use, and checking through the provincial registry of enterprises, which will allow local EEBs and FECO to conduct follow-up. The revised plan of action includes workshops and targeted awareness campaigns to inform all PU foam stakeholders of planned bans and timing, available alternatives, and where those alternatives can be sourced. The World Bank also reiterated that the delivery mechanism, including the checks and balances needed to promote sustainable phase-out through the systems house component, will be further developed upon approval of the revised action plan. </w:t>
      </w:r>
    </w:p>
    <w:p w:rsidR="00010587" w:rsidRPr="0026329D" w:rsidRDefault="00E44F75" w:rsidP="00010587">
      <w:pPr>
        <w:pStyle w:val="Heading1"/>
        <w:rPr>
          <w:lang w:val="en-CA"/>
        </w:rPr>
      </w:pPr>
      <w:r w:rsidRPr="0026329D">
        <w:rPr>
          <w:lang w:val="en-CA"/>
        </w:rPr>
        <w:t xml:space="preserve">As there will also be a larger number of PU foam enterprises that will not receive funding from the project, the TA and policy components will direct substantial efforts and funding into building the capacity of local EEBs for monitoring the phase-out of HCFC-141b, building on the work already completed under </w:t>
      </w:r>
      <w:r w:rsidR="00A81DEE" w:rsidRPr="0026329D">
        <w:rPr>
          <w:lang w:val="en-CA"/>
        </w:rPr>
        <w:t>stage </w:t>
      </w:r>
      <w:r w:rsidRPr="0026329D">
        <w:rPr>
          <w:lang w:val="en-CA"/>
        </w:rPr>
        <w:t>I. Ultimately, it will be the Government of China that assumes full monitoring responsibility during the duration of the foam sector plan</w:t>
      </w:r>
      <w:r w:rsidR="00010587" w:rsidRPr="0026329D">
        <w:rPr>
          <w:lang w:val="en-CA"/>
        </w:rPr>
        <w:t>;</w:t>
      </w:r>
      <w:r w:rsidRPr="0026329D">
        <w:rPr>
          <w:lang w:val="en-CA"/>
        </w:rPr>
        <w:t xml:space="preserve"> the PMU will provide technical input and sector information to the MEE</w:t>
      </w:r>
      <w:r w:rsidR="00010587" w:rsidRPr="0026329D">
        <w:rPr>
          <w:lang w:val="en-CA"/>
        </w:rPr>
        <w:t xml:space="preserve">, </w:t>
      </w:r>
      <w:r w:rsidRPr="0026329D">
        <w:rPr>
          <w:lang w:val="en-CA"/>
        </w:rPr>
        <w:t xml:space="preserve">the EEBs, </w:t>
      </w:r>
      <w:r w:rsidR="00010587" w:rsidRPr="0026329D">
        <w:rPr>
          <w:lang w:val="en-CA"/>
        </w:rPr>
        <w:t>and</w:t>
      </w:r>
      <w:r w:rsidRPr="0026329D">
        <w:rPr>
          <w:lang w:val="en-CA"/>
        </w:rPr>
        <w:t xml:space="preserve"> the industry</w:t>
      </w:r>
      <w:r w:rsidR="00010587" w:rsidRPr="0026329D">
        <w:rPr>
          <w:lang w:val="en-CA"/>
        </w:rPr>
        <w:t>.</w:t>
      </w:r>
    </w:p>
    <w:p w:rsidR="00E44F75" w:rsidRPr="0026329D" w:rsidRDefault="00E44F75" w:rsidP="00E44F75">
      <w:pPr>
        <w:pStyle w:val="Heading1"/>
        <w:rPr>
          <w:lang w:val="en-CA"/>
        </w:rPr>
      </w:pPr>
      <w:r w:rsidRPr="0026329D">
        <w:rPr>
          <w:lang w:val="en-CA"/>
        </w:rPr>
        <w:t>The TA component also includes activities to facilitate the conversion of non</w:t>
      </w:r>
      <w:r w:rsidRPr="0026329D">
        <w:rPr>
          <w:lang w:val="en-CA"/>
        </w:rPr>
        <w:noBreakHyphen/>
        <w:t>assisted enterprises to low-GWP alternatives. The information exchange platform will facilitate supplier</w:t>
      </w:r>
      <w:r w:rsidRPr="0026329D">
        <w:rPr>
          <w:lang w:val="en-CA"/>
        </w:rPr>
        <w:noBreakHyphen/>
        <w:t>enterprise “match</w:t>
      </w:r>
      <w:r w:rsidRPr="0026329D">
        <w:rPr>
          <w:lang w:val="en-CA"/>
        </w:rPr>
        <w:noBreakHyphen/>
        <w:t>making” for certain pre-blended polyols and formulations. An enabling environment for the conversion will also be created largely through the revision/introduction of foam product standards (by application). This will be complemented by capacity-building measures (i.e., technical seminars on alternatives, training, and sector conferences) and general awareness</w:t>
      </w:r>
      <w:r w:rsidRPr="0026329D">
        <w:rPr>
          <w:lang w:val="en-CA"/>
        </w:rPr>
        <w:noBreakHyphen/>
        <w:t>raising initiatives. In addition, an evaluation of alternative technologies, and research and development on low</w:t>
      </w:r>
      <w:r w:rsidRPr="0026329D">
        <w:rPr>
          <w:lang w:val="en-CA"/>
        </w:rPr>
        <w:noBreakHyphen/>
        <w:t>GWP alternatives and foaming formulas will be conducted during the implementation of the sector plan. The Government of China plans to issue a recommended list of HCFC alternatives in order to guide the market uptake of low</w:t>
      </w:r>
      <w:r w:rsidRPr="0026329D">
        <w:rPr>
          <w:lang w:val="en-CA"/>
        </w:rPr>
        <w:noBreakHyphen/>
        <w:t>GWP alternatives. However, it is also acknowledged that the project will have some limitations with regard to its breadth of influence over certain applications/sub-sectors and non</w:t>
      </w:r>
      <w:r w:rsidRPr="0026329D">
        <w:rPr>
          <w:lang w:val="en-CA"/>
        </w:rPr>
        <w:noBreakHyphen/>
        <w:t>funded enterprises.</w:t>
      </w:r>
    </w:p>
    <w:p w:rsidR="00E44F75" w:rsidRPr="0026329D" w:rsidRDefault="003304E4" w:rsidP="002E42DE">
      <w:pPr>
        <w:keepNext/>
        <w:rPr>
          <w:b/>
          <w:lang w:val="en-CA"/>
        </w:rPr>
      </w:pPr>
      <w:r w:rsidRPr="0026329D">
        <w:rPr>
          <w:b/>
          <w:lang w:val="en-CA"/>
        </w:rPr>
        <w:t>Recommendation</w:t>
      </w:r>
    </w:p>
    <w:p w:rsidR="00E44F75" w:rsidRPr="0026329D" w:rsidRDefault="00E44F75" w:rsidP="002E42DE">
      <w:pPr>
        <w:keepNext/>
        <w:rPr>
          <w:lang w:val="en-CA"/>
        </w:rPr>
      </w:pPr>
    </w:p>
    <w:p w:rsidR="00E44F75" w:rsidRPr="0026329D" w:rsidRDefault="00E44F75" w:rsidP="00E44F75">
      <w:pPr>
        <w:numPr>
          <w:ilvl w:val="0"/>
          <w:numId w:val="1"/>
        </w:numPr>
        <w:spacing w:after="240"/>
        <w:outlineLvl w:val="0"/>
        <w:rPr>
          <w:lang w:val="en-CA"/>
        </w:rPr>
      </w:pPr>
      <w:r w:rsidRPr="0026329D">
        <w:rPr>
          <w:lang w:val="en-CA"/>
        </w:rPr>
        <w:t xml:space="preserve">The Executive Committee may wish to approve the revised plan of action for </w:t>
      </w:r>
      <w:r w:rsidR="00A81DEE" w:rsidRPr="0026329D">
        <w:rPr>
          <w:lang w:val="en-CA"/>
        </w:rPr>
        <w:t>stage </w:t>
      </w:r>
      <w:r w:rsidRPr="0026329D">
        <w:rPr>
          <w:lang w:val="en-CA"/>
        </w:rPr>
        <w:t>II of the polyurethane (PU) foam sector plan submitted by the World Bank in line with decision 84/69(a)(iv)b</w:t>
      </w:r>
      <w:r w:rsidR="00085689" w:rsidRPr="0026329D">
        <w:rPr>
          <w:lang w:val="en-CA"/>
        </w:rPr>
        <w:t>.</w:t>
      </w:r>
      <w:r w:rsidRPr="0026329D">
        <w:rPr>
          <w:lang w:val="en-CA"/>
        </w:rPr>
        <w:t xml:space="preserve"> and (v), as described in document UNEP/OzL.Pro/ExCom/86/21/Add.1.</w:t>
      </w:r>
    </w:p>
    <w:p w:rsidR="00E90F8A" w:rsidRPr="0026329D" w:rsidRDefault="00750339" w:rsidP="00E90F8A">
      <w:pPr>
        <w:rPr>
          <w:b/>
          <w:lang w:val="en-CA"/>
        </w:rPr>
      </w:pPr>
      <w:r w:rsidRPr="0026329D">
        <w:rPr>
          <w:b/>
          <w:lang w:val="en-CA"/>
        </w:rPr>
        <w:t>REVISED SOLVENT SECTOR PLAN (UNDP)</w:t>
      </w:r>
    </w:p>
    <w:p w:rsidR="00E90F8A" w:rsidRPr="0026329D" w:rsidRDefault="00E90F8A" w:rsidP="00E90F8A">
      <w:pPr>
        <w:pStyle w:val="Title1"/>
        <w:rPr>
          <w:u w:val="single"/>
          <w:lang w:val="en-CA"/>
        </w:rPr>
      </w:pPr>
    </w:p>
    <w:p w:rsidR="00A84275" w:rsidRPr="0026329D" w:rsidRDefault="00A84275" w:rsidP="00E90F8A">
      <w:pPr>
        <w:rPr>
          <w:b/>
          <w:lang w:val="en-CA"/>
        </w:rPr>
      </w:pPr>
      <w:r w:rsidRPr="0026329D">
        <w:rPr>
          <w:b/>
          <w:lang w:val="en-CA"/>
        </w:rPr>
        <w:t>Sector plan description</w:t>
      </w:r>
    </w:p>
    <w:p w:rsidR="00A84275" w:rsidRPr="0026329D" w:rsidRDefault="00A84275" w:rsidP="00E90F8A">
      <w:pPr>
        <w:rPr>
          <w:b/>
          <w:lang w:val="en-CA"/>
        </w:rPr>
      </w:pPr>
    </w:p>
    <w:p w:rsidR="00E90F8A" w:rsidRPr="0026329D" w:rsidRDefault="00E90F8A" w:rsidP="00E90F8A">
      <w:pPr>
        <w:rPr>
          <w:b/>
          <w:lang w:val="en-CA"/>
        </w:rPr>
      </w:pPr>
      <w:r w:rsidRPr="0026329D">
        <w:rPr>
          <w:b/>
          <w:lang w:val="en-CA"/>
        </w:rPr>
        <w:t>Background</w:t>
      </w:r>
    </w:p>
    <w:p w:rsidR="00E90F8A" w:rsidRPr="0026329D" w:rsidRDefault="00E90F8A" w:rsidP="00E90F8A">
      <w:pPr>
        <w:rPr>
          <w:b/>
          <w:lang w:val="en-CA"/>
        </w:rPr>
      </w:pPr>
    </w:p>
    <w:p w:rsidR="00E90F8A" w:rsidRPr="0026329D" w:rsidRDefault="00E90F8A" w:rsidP="00E90F8A">
      <w:pPr>
        <w:pStyle w:val="Heading1"/>
        <w:rPr>
          <w:lang w:val="en-CA"/>
        </w:rPr>
      </w:pPr>
      <w:r w:rsidRPr="0026329D">
        <w:rPr>
          <w:lang w:val="en-CA"/>
        </w:rPr>
        <w:t>At its 76</w:t>
      </w:r>
      <w:r w:rsidRPr="0026329D">
        <w:rPr>
          <w:vertAlign w:val="superscript"/>
          <w:lang w:val="en-CA"/>
        </w:rPr>
        <w:t>th</w:t>
      </w:r>
      <w:r w:rsidRPr="0026329D">
        <w:rPr>
          <w:lang w:val="en-CA"/>
        </w:rPr>
        <w:t xml:space="preserve"> meeting, the Executive Committee approved in principle the solvent sector plan of </w:t>
      </w:r>
      <w:r w:rsidR="00A81DEE" w:rsidRPr="0026329D">
        <w:rPr>
          <w:lang w:val="en-CA"/>
        </w:rPr>
        <w:t>stage </w:t>
      </w:r>
      <w:r w:rsidRPr="0026329D">
        <w:rPr>
          <w:lang w:val="en-CA"/>
        </w:rPr>
        <w:t xml:space="preserve">II of the HPMP for China to achieve by 2026, complete phase-out of all HCFCs in that sector, in the amount of </w:t>
      </w:r>
      <w:r w:rsidR="00475A50" w:rsidRPr="0026329D">
        <w:rPr>
          <w:lang w:val="en-CA"/>
        </w:rPr>
        <w:t>US $</w:t>
      </w:r>
      <w:r w:rsidRPr="0026329D">
        <w:rPr>
          <w:lang w:val="en-CA"/>
        </w:rPr>
        <w:t xml:space="preserve">44.8 million, plus agency support costs of </w:t>
      </w:r>
      <w:r w:rsidR="00475A50" w:rsidRPr="0026329D">
        <w:rPr>
          <w:lang w:val="en-CA"/>
        </w:rPr>
        <w:t>US $</w:t>
      </w:r>
      <w:r w:rsidRPr="0026329D">
        <w:rPr>
          <w:lang w:val="en-CA"/>
        </w:rPr>
        <w:t xml:space="preserve">2,912,000 for UNDP. </w:t>
      </w:r>
    </w:p>
    <w:p w:rsidR="00E90F8A" w:rsidRPr="0026329D" w:rsidRDefault="00E90F8A" w:rsidP="00E90F8A">
      <w:pPr>
        <w:pStyle w:val="Heading1"/>
        <w:rPr>
          <w:lang w:val="en-CA"/>
        </w:rPr>
      </w:pPr>
      <w:r w:rsidRPr="0026329D">
        <w:rPr>
          <w:lang w:val="en-CA"/>
        </w:rPr>
        <w:t xml:space="preserve">The second tranche for the solvent sector plan of </w:t>
      </w:r>
      <w:r w:rsidR="00A81DEE" w:rsidRPr="0026329D">
        <w:rPr>
          <w:lang w:val="en-CA"/>
        </w:rPr>
        <w:t>stage </w:t>
      </w:r>
      <w:r w:rsidRPr="0026329D">
        <w:rPr>
          <w:lang w:val="en-CA"/>
        </w:rPr>
        <w:t>II of the HPMP was approved by the Executive Committee at its 80</w:t>
      </w:r>
      <w:r w:rsidRPr="0026329D">
        <w:rPr>
          <w:vertAlign w:val="superscript"/>
          <w:lang w:val="en-CA"/>
        </w:rPr>
        <w:t>th</w:t>
      </w:r>
      <w:r w:rsidRPr="0026329D">
        <w:rPr>
          <w:lang w:val="en-CA"/>
        </w:rPr>
        <w:t> meeting, with the corresponding 2017-2018 tranche implementation plan. At its 82</w:t>
      </w:r>
      <w:r w:rsidRPr="0026329D">
        <w:rPr>
          <w:vertAlign w:val="superscript"/>
          <w:lang w:val="en-CA"/>
        </w:rPr>
        <w:t>nd</w:t>
      </w:r>
      <w:r w:rsidRPr="0026329D">
        <w:rPr>
          <w:lang w:val="en-CA"/>
        </w:rPr>
        <w:t> meeting, the Executive Committee noted the request from the Government of China for the third tranche of the solvent sector plan and decided to defer consideration of these requests to the 83</w:t>
      </w:r>
      <w:r w:rsidRPr="0026329D">
        <w:rPr>
          <w:vertAlign w:val="superscript"/>
          <w:lang w:val="en-CA"/>
        </w:rPr>
        <w:t>rd</w:t>
      </w:r>
      <w:r w:rsidRPr="0026329D">
        <w:rPr>
          <w:lang w:val="en-CA"/>
        </w:rPr>
        <w:t> meeting (decision 82/71(b)); at which meeting a decision was made to further defer consideration of the third tranche to the 84</w:t>
      </w:r>
      <w:r w:rsidRPr="0026329D">
        <w:rPr>
          <w:vertAlign w:val="superscript"/>
          <w:lang w:val="en-CA"/>
        </w:rPr>
        <w:t>th</w:t>
      </w:r>
      <w:r w:rsidRPr="0026329D">
        <w:rPr>
          <w:lang w:val="en-CA"/>
        </w:rPr>
        <w:t> meeting (decision 83/55).</w:t>
      </w:r>
    </w:p>
    <w:p w:rsidR="00E90F8A" w:rsidRPr="0026329D" w:rsidRDefault="00E90F8A" w:rsidP="00AA78DC">
      <w:pPr>
        <w:pStyle w:val="Heading1"/>
        <w:widowControl w:val="0"/>
        <w:rPr>
          <w:lang w:val="en-CA"/>
        </w:rPr>
      </w:pPr>
      <w:r w:rsidRPr="0026329D">
        <w:rPr>
          <w:lang w:val="en-CA"/>
        </w:rPr>
        <w:t xml:space="preserve">The third tranche of the solvent sector plan of </w:t>
      </w:r>
      <w:r w:rsidR="00A81DEE" w:rsidRPr="0026329D">
        <w:rPr>
          <w:lang w:val="en-CA"/>
        </w:rPr>
        <w:t>stage </w:t>
      </w:r>
      <w:r w:rsidRPr="0026329D">
        <w:rPr>
          <w:lang w:val="en-CA"/>
        </w:rPr>
        <w:t xml:space="preserve">II of the HPMP for China, and the corresponding 2020-2022 tranche implementation plan was approved in the amount of </w:t>
      </w:r>
      <w:r w:rsidR="00475A50" w:rsidRPr="0026329D">
        <w:rPr>
          <w:lang w:val="en-CA"/>
        </w:rPr>
        <w:t>US $</w:t>
      </w:r>
      <w:r w:rsidRPr="0026329D">
        <w:rPr>
          <w:lang w:val="en-CA"/>
        </w:rPr>
        <w:t xml:space="preserve">12,946,782, plus agency support costs of </w:t>
      </w:r>
      <w:r w:rsidR="00475A50" w:rsidRPr="0026329D">
        <w:rPr>
          <w:lang w:val="en-CA"/>
        </w:rPr>
        <w:t>US $</w:t>
      </w:r>
      <w:r w:rsidRPr="0026329D">
        <w:rPr>
          <w:lang w:val="en-CA"/>
        </w:rPr>
        <w:t>906,275 for UNDP during the intersessional approval process (IAP) established for the 85</w:t>
      </w:r>
      <w:r w:rsidRPr="0026329D">
        <w:rPr>
          <w:vertAlign w:val="superscript"/>
          <w:lang w:val="en-CA"/>
        </w:rPr>
        <w:t>th</w:t>
      </w:r>
      <w:r w:rsidRPr="0026329D">
        <w:rPr>
          <w:lang w:val="en-CA"/>
        </w:rPr>
        <w:t> meeting.</w:t>
      </w:r>
      <w:r w:rsidRPr="0026329D">
        <w:rPr>
          <w:rStyle w:val="FootnoteReference"/>
          <w:lang w:val="en-CA"/>
        </w:rPr>
        <w:footnoteReference w:id="27"/>
      </w:r>
      <w:r w:rsidRPr="0026329D">
        <w:rPr>
          <w:lang w:val="en-CA"/>
        </w:rPr>
        <w:t xml:space="preserve"> </w:t>
      </w:r>
    </w:p>
    <w:p w:rsidR="00E90F8A" w:rsidRPr="0026329D" w:rsidRDefault="00E90F8A" w:rsidP="00E90F8A">
      <w:pPr>
        <w:rPr>
          <w:b/>
          <w:lang w:val="en-CA"/>
        </w:rPr>
      </w:pPr>
      <w:r w:rsidRPr="0026329D">
        <w:rPr>
          <w:b/>
          <w:lang w:val="en-CA"/>
        </w:rPr>
        <w:t xml:space="preserve">Revised plan of action </w:t>
      </w:r>
    </w:p>
    <w:p w:rsidR="00E90F8A" w:rsidRPr="0026329D" w:rsidRDefault="00E90F8A" w:rsidP="00E90F8A">
      <w:pPr>
        <w:rPr>
          <w:lang w:val="en-CA"/>
        </w:rPr>
      </w:pPr>
    </w:p>
    <w:p w:rsidR="00E90F8A" w:rsidRPr="0026329D" w:rsidRDefault="00E90F8A" w:rsidP="00E90F8A">
      <w:pPr>
        <w:pStyle w:val="Heading1"/>
        <w:rPr>
          <w:lang w:val="en-CA"/>
        </w:rPr>
      </w:pPr>
      <w:r w:rsidRPr="0026329D">
        <w:rPr>
          <w:lang w:val="en-CA"/>
        </w:rPr>
        <w:t xml:space="preserve">In line with decision 84/69(a)(iv)b and (v), UNDP as the lead implementing agency had submitted on behalf of the Government of China, revised funding tranches for 2021-2026 as well as the adjusted plan of action for </w:t>
      </w:r>
      <w:r w:rsidR="00A81DEE" w:rsidRPr="0026329D">
        <w:rPr>
          <w:lang w:val="en-CA"/>
        </w:rPr>
        <w:t>stage </w:t>
      </w:r>
      <w:r w:rsidRPr="0026329D">
        <w:rPr>
          <w:lang w:val="en-CA"/>
        </w:rPr>
        <w:t xml:space="preserve">II of the solvent sector plan, at a revised total cost amounting to </w:t>
      </w:r>
      <w:r w:rsidR="00475A50" w:rsidRPr="0026329D">
        <w:rPr>
          <w:lang w:val="en-CA"/>
        </w:rPr>
        <w:t>US $</w:t>
      </w:r>
      <w:r w:rsidRPr="0026329D">
        <w:rPr>
          <w:lang w:val="en-CA"/>
        </w:rPr>
        <w:t xml:space="preserve">25,589,340, plus agency support costs of </w:t>
      </w:r>
      <w:r w:rsidR="00475A50" w:rsidRPr="0026329D">
        <w:rPr>
          <w:lang w:val="en-CA"/>
        </w:rPr>
        <w:t>US $</w:t>
      </w:r>
      <w:r w:rsidRPr="0026329D">
        <w:rPr>
          <w:lang w:val="en-CA"/>
        </w:rPr>
        <w:t>1,802,585 for UNDP.</w:t>
      </w:r>
      <w:r w:rsidRPr="0026329D">
        <w:rPr>
          <w:rStyle w:val="FootnoteReference"/>
          <w:lang w:val="en-CA"/>
        </w:rPr>
        <w:footnoteReference w:id="28"/>
      </w:r>
      <w:r w:rsidRPr="0026329D">
        <w:rPr>
          <w:lang w:val="en-CA"/>
        </w:rPr>
        <w:t xml:space="preserve"> The implementation of </w:t>
      </w:r>
      <w:r w:rsidR="00A81DEE" w:rsidRPr="0026329D">
        <w:rPr>
          <w:lang w:val="en-CA"/>
        </w:rPr>
        <w:t>stage </w:t>
      </w:r>
      <w:r w:rsidRPr="0026329D">
        <w:rPr>
          <w:lang w:val="en-CA"/>
        </w:rPr>
        <w:t>II of the solvent sector plan will assist China in meeting the Montreal compliance target of 67.5 per cent in 2025, and the total phase-out of HCFC-141b and HCFC-225ca in the solvent sector in 2026.</w:t>
      </w:r>
    </w:p>
    <w:p w:rsidR="00E90F8A" w:rsidRPr="0026329D" w:rsidRDefault="00E90F8A" w:rsidP="00E90F8A">
      <w:pPr>
        <w:numPr>
          <w:ilvl w:val="0"/>
          <w:numId w:val="1"/>
        </w:numPr>
        <w:spacing w:after="240"/>
        <w:outlineLvl w:val="0"/>
        <w:rPr>
          <w:lang w:val="en-CA"/>
        </w:rPr>
      </w:pPr>
      <w:r w:rsidRPr="0026329D">
        <w:rPr>
          <w:lang w:val="en-CA"/>
        </w:rPr>
        <w:t>In line with the draft revised Agreement submitted by UNDP to the 86</w:t>
      </w:r>
      <w:r w:rsidRPr="0026329D">
        <w:rPr>
          <w:vertAlign w:val="superscript"/>
          <w:lang w:val="en-CA"/>
        </w:rPr>
        <w:t>th</w:t>
      </w:r>
      <w:r w:rsidRPr="0026329D">
        <w:rPr>
          <w:lang w:val="en-CA"/>
        </w:rPr>
        <w:t xml:space="preserve"> meeting, the next tranche of </w:t>
      </w:r>
      <w:r w:rsidR="00A81DEE" w:rsidRPr="0026329D">
        <w:rPr>
          <w:lang w:val="en-CA"/>
        </w:rPr>
        <w:t>stage </w:t>
      </w:r>
      <w:r w:rsidRPr="0026329D">
        <w:rPr>
          <w:lang w:val="en-CA"/>
        </w:rPr>
        <w:t xml:space="preserve">II of the solvent sector plan of </w:t>
      </w:r>
      <w:r w:rsidR="00475A50" w:rsidRPr="0026329D">
        <w:rPr>
          <w:lang w:val="en-CA"/>
        </w:rPr>
        <w:t>US $</w:t>
      </w:r>
      <w:r w:rsidRPr="0026329D">
        <w:rPr>
          <w:lang w:val="en-CA"/>
        </w:rPr>
        <w:t xml:space="preserve">2,500,000, plus agency support costs of </w:t>
      </w:r>
      <w:r w:rsidR="00475A50" w:rsidRPr="0026329D">
        <w:rPr>
          <w:lang w:val="en-CA"/>
        </w:rPr>
        <w:t>US $</w:t>
      </w:r>
      <w:r w:rsidRPr="0026329D">
        <w:rPr>
          <w:lang w:val="en-CA"/>
        </w:rPr>
        <w:t>187,500 for UNDP, will be submitted to the second meeting of 2021.</w:t>
      </w:r>
    </w:p>
    <w:p w:rsidR="00E90F8A" w:rsidRPr="0026329D" w:rsidRDefault="00E90F8A" w:rsidP="00E90F8A">
      <w:pPr>
        <w:rPr>
          <w:u w:val="single"/>
          <w:lang w:val="en-CA"/>
        </w:rPr>
      </w:pPr>
      <w:r w:rsidRPr="0026329D">
        <w:rPr>
          <w:u w:val="single"/>
          <w:lang w:val="en-CA"/>
        </w:rPr>
        <w:t>HCFC consumption targets</w:t>
      </w:r>
    </w:p>
    <w:p w:rsidR="00E90F8A" w:rsidRPr="0026329D" w:rsidRDefault="00E90F8A" w:rsidP="00E90F8A">
      <w:pPr>
        <w:rPr>
          <w:lang w:val="en-CA"/>
        </w:rPr>
      </w:pPr>
    </w:p>
    <w:p w:rsidR="00E90F8A" w:rsidRPr="0026329D" w:rsidRDefault="00E90F8A" w:rsidP="00E90F8A">
      <w:pPr>
        <w:pStyle w:val="Heading1"/>
        <w:rPr>
          <w:lang w:val="en-CA"/>
        </w:rPr>
      </w:pPr>
      <w:r w:rsidRPr="0026329D">
        <w:rPr>
          <w:lang w:val="en-CA"/>
        </w:rPr>
        <w:t xml:space="preserve">The HCFC consumption targets for all the years in </w:t>
      </w:r>
      <w:r w:rsidR="00A81DEE" w:rsidRPr="0026329D">
        <w:rPr>
          <w:lang w:val="en-CA"/>
        </w:rPr>
        <w:t>stage </w:t>
      </w:r>
      <w:r w:rsidRPr="0026329D">
        <w:rPr>
          <w:lang w:val="en-CA"/>
        </w:rPr>
        <w:t xml:space="preserve">II of the solvent sector were maintained as previously approved, and the Government of China had committed to achieve a complete phase-out of HCFCs used in the solvent sector by the end of 2025. The HCFC phase-out timeline for </w:t>
      </w:r>
      <w:r w:rsidR="00A81DEE" w:rsidRPr="0026329D">
        <w:rPr>
          <w:lang w:val="en-CA"/>
        </w:rPr>
        <w:t>stage </w:t>
      </w:r>
      <w:r w:rsidRPr="0026329D">
        <w:rPr>
          <w:lang w:val="en-CA"/>
        </w:rPr>
        <w:t xml:space="preserve">II of the Solvent sector is shown in Table 1 and reflected in row 1.3.2 of Appendix 2-A of the </w:t>
      </w:r>
      <w:r w:rsidR="00A516A1" w:rsidRPr="0026329D">
        <w:rPr>
          <w:lang w:val="en-CA"/>
        </w:rPr>
        <w:t>draft revised</w:t>
      </w:r>
      <w:r w:rsidRPr="0026329D">
        <w:rPr>
          <w:lang w:val="en-CA"/>
        </w:rPr>
        <w:t xml:space="preserve"> Agreement between China and the Executive Committee in Annex II.</w:t>
      </w:r>
    </w:p>
    <w:p w:rsidR="00E90F8A" w:rsidRPr="0026329D" w:rsidRDefault="00E90F8A" w:rsidP="002E42DE">
      <w:pPr>
        <w:keepNext/>
        <w:rPr>
          <w:b/>
          <w:lang w:val="en-CA"/>
        </w:rPr>
      </w:pPr>
      <w:r w:rsidRPr="0026329D">
        <w:rPr>
          <w:b/>
          <w:lang w:val="en-CA"/>
        </w:rPr>
        <w:t>Table 1. HCFC phase-out targets for the solvent sector in China</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933"/>
        <w:gridCol w:w="933"/>
        <w:gridCol w:w="933"/>
        <w:gridCol w:w="933"/>
        <w:gridCol w:w="933"/>
        <w:gridCol w:w="933"/>
        <w:gridCol w:w="933"/>
      </w:tblGrid>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B95AFC">
            <w:pPr>
              <w:jc w:val="left"/>
              <w:rPr>
                <w:b/>
                <w:sz w:val="20"/>
                <w:szCs w:val="20"/>
                <w:lang w:val="en-CA"/>
              </w:rPr>
            </w:pPr>
            <w:r w:rsidRPr="0026329D">
              <w:rPr>
                <w:b/>
                <w:sz w:val="20"/>
                <w:szCs w:val="20"/>
                <w:lang w:val="en-CA"/>
              </w:rPr>
              <w:t xml:space="preserve">Maximum allowable consumption of HCFCs in the </w:t>
            </w:r>
            <w:r w:rsidR="00B95AFC" w:rsidRPr="0026329D">
              <w:rPr>
                <w:b/>
                <w:sz w:val="20"/>
                <w:szCs w:val="20"/>
                <w:lang w:val="en-CA"/>
              </w:rPr>
              <w:t>s</w:t>
            </w:r>
            <w:r w:rsidRPr="0026329D">
              <w:rPr>
                <w:b/>
                <w:sz w:val="20"/>
                <w:szCs w:val="20"/>
                <w:lang w:val="en-CA"/>
              </w:rPr>
              <w:t>olvent sector</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Starting point</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2016 2017</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2018 2019</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2020 2021 2022</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2023</w:t>
            </w:r>
          </w:p>
          <w:p w:rsidR="00E90F8A" w:rsidRPr="0026329D" w:rsidRDefault="00E90F8A" w:rsidP="00B95AFC">
            <w:pPr>
              <w:jc w:val="center"/>
              <w:rPr>
                <w:b/>
                <w:sz w:val="20"/>
                <w:szCs w:val="20"/>
                <w:lang w:val="en-CA"/>
              </w:rPr>
            </w:pPr>
            <w:r w:rsidRPr="0026329D">
              <w:rPr>
                <w:b/>
                <w:sz w:val="20"/>
                <w:szCs w:val="20"/>
                <w:lang w:val="en-CA"/>
              </w:rPr>
              <w:t>2024</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2025</w:t>
            </w:r>
          </w:p>
        </w:tc>
        <w:tc>
          <w:tcPr>
            <w:tcW w:w="494" w:type="pct"/>
            <w:shd w:val="clear" w:color="auto" w:fill="auto"/>
            <w:vAlign w:val="center"/>
          </w:tcPr>
          <w:p w:rsidR="00E90F8A" w:rsidRPr="0026329D" w:rsidRDefault="00E90F8A" w:rsidP="00B95AFC">
            <w:pPr>
              <w:jc w:val="center"/>
              <w:rPr>
                <w:b/>
                <w:sz w:val="20"/>
                <w:szCs w:val="20"/>
                <w:lang w:val="en-CA"/>
              </w:rPr>
            </w:pPr>
            <w:r w:rsidRPr="0026329D">
              <w:rPr>
                <w:b/>
                <w:sz w:val="20"/>
                <w:szCs w:val="20"/>
                <w:lang w:val="en-CA"/>
              </w:rPr>
              <w:t>2026</w:t>
            </w:r>
          </w:p>
        </w:tc>
      </w:tr>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6322A8">
            <w:pPr>
              <w:jc w:val="left"/>
              <w:rPr>
                <w:sz w:val="20"/>
                <w:szCs w:val="20"/>
                <w:lang w:val="en-CA"/>
              </w:rPr>
            </w:pPr>
            <w:r w:rsidRPr="0026329D">
              <w:rPr>
                <w:sz w:val="20"/>
                <w:szCs w:val="20"/>
                <w:lang w:val="en-CA"/>
              </w:rPr>
              <w:t>Metric tonnes (mt)</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4,173</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4,173</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3,624.51</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2,944.91</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1,359.19</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500</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0</w:t>
            </w:r>
          </w:p>
        </w:tc>
      </w:tr>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6322A8">
            <w:pPr>
              <w:jc w:val="left"/>
              <w:rPr>
                <w:sz w:val="20"/>
                <w:szCs w:val="20"/>
                <w:lang w:val="en-CA"/>
              </w:rPr>
            </w:pPr>
            <w:r w:rsidRPr="0026329D">
              <w:rPr>
                <w:sz w:val="20"/>
                <w:szCs w:val="20"/>
                <w:lang w:val="en-CA"/>
              </w:rPr>
              <w:t>ODP tonnes</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455.2</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455.2</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395.4</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321.2</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148.3</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55</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0</w:t>
            </w:r>
          </w:p>
        </w:tc>
      </w:tr>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6322A8">
            <w:pPr>
              <w:jc w:val="left"/>
              <w:rPr>
                <w:sz w:val="20"/>
                <w:szCs w:val="20"/>
                <w:lang w:val="en-CA"/>
              </w:rPr>
            </w:pPr>
            <w:r w:rsidRPr="0026329D">
              <w:rPr>
                <w:sz w:val="20"/>
                <w:szCs w:val="20"/>
                <w:lang w:val="en-CA"/>
              </w:rPr>
              <w:t>Reduction (mt)</w:t>
            </w:r>
          </w:p>
        </w:tc>
        <w:tc>
          <w:tcPr>
            <w:tcW w:w="494" w:type="pct"/>
            <w:shd w:val="clear" w:color="auto" w:fill="auto"/>
          </w:tcPr>
          <w:p w:rsidR="00E90F8A" w:rsidRPr="0026329D" w:rsidRDefault="00E90F8A" w:rsidP="006322A8">
            <w:pPr>
              <w:jc w:val="right"/>
              <w:rPr>
                <w:sz w:val="20"/>
                <w:szCs w:val="20"/>
                <w:lang w:val="en-CA"/>
              </w:rPr>
            </w:pP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357.63</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548.49</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679.60</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1,585.72</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859.19</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500</w:t>
            </w:r>
          </w:p>
        </w:tc>
      </w:tr>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6322A8">
            <w:pPr>
              <w:jc w:val="left"/>
              <w:rPr>
                <w:sz w:val="20"/>
                <w:szCs w:val="20"/>
                <w:lang w:val="en-CA"/>
              </w:rPr>
            </w:pPr>
            <w:r w:rsidRPr="0026329D">
              <w:rPr>
                <w:sz w:val="20"/>
                <w:szCs w:val="20"/>
                <w:lang w:val="en-CA"/>
              </w:rPr>
              <w:t>Reduction (ODP tonnes)</w:t>
            </w:r>
          </w:p>
        </w:tc>
        <w:tc>
          <w:tcPr>
            <w:tcW w:w="494" w:type="pct"/>
            <w:shd w:val="clear" w:color="auto" w:fill="auto"/>
          </w:tcPr>
          <w:p w:rsidR="00E90F8A" w:rsidRPr="0026329D" w:rsidRDefault="00E90F8A" w:rsidP="006322A8">
            <w:pPr>
              <w:jc w:val="right"/>
              <w:rPr>
                <w:sz w:val="20"/>
                <w:szCs w:val="20"/>
                <w:lang w:val="en-CA"/>
              </w:rPr>
            </w:pP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39.05</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59.79</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74.14</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172.97</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93.27</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55</w:t>
            </w:r>
          </w:p>
        </w:tc>
      </w:tr>
      <w:tr w:rsidR="00E90F8A" w:rsidRPr="0026329D" w:rsidTr="00B95AFC">
        <w:trPr>
          <w:cantSplit/>
          <w:jc w:val="right"/>
        </w:trPr>
        <w:tc>
          <w:tcPr>
            <w:tcW w:w="1541" w:type="pct"/>
            <w:shd w:val="clear" w:color="auto" w:fill="auto"/>
            <w:tcMar>
              <w:left w:w="29" w:type="dxa"/>
              <w:right w:w="0" w:type="dxa"/>
            </w:tcMar>
            <w:vAlign w:val="center"/>
          </w:tcPr>
          <w:p w:rsidR="00E90F8A" w:rsidRPr="0026329D" w:rsidRDefault="00E90F8A" w:rsidP="006322A8">
            <w:pPr>
              <w:jc w:val="left"/>
              <w:rPr>
                <w:sz w:val="20"/>
                <w:szCs w:val="20"/>
                <w:lang w:val="en-CA"/>
              </w:rPr>
            </w:pPr>
            <w:r w:rsidRPr="0026329D">
              <w:rPr>
                <w:sz w:val="20"/>
                <w:szCs w:val="20"/>
                <w:lang w:val="en-CA"/>
              </w:rPr>
              <w:t>Reduction from starting point (%)</w:t>
            </w:r>
          </w:p>
        </w:tc>
        <w:tc>
          <w:tcPr>
            <w:tcW w:w="494" w:type="pct"/>
            <w:shd w:val="clear" w:color="auto" w:fill="auto"/>
          </w:tcPr>
          <w:p w:rsidR="00E90F8A" w:rsidRPr="0026329D" w:rsidRDefault="00E90F8A" w:rsidP="006322A8">
            <w:pPr>
              <w:jc w:val="right"/>
              <w:rPr>
                <w:sz w:val="20"/>
                <w:szCs w:val="20"/>
                <w:lang w:val="en-CA"/>
              </w:rPr>
            </w:pP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10</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20</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35</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70</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88</w:t>
            </w:r>
          </w:p>
        </w:tc>
        <w:tc>
          <w:tcPr>
            <w:tcW w:w="494" w:type="pct"/>
            <w:shd w:val="clear" w:color="auto" w:fill="auto"/>
          </w:tcPr>
          <w:p w:rsidR="00E90F8A" w:rsidRPr="0026329D" w:rsidRDefault="00E90F8A" w:rsidP="006322A8">
            <w:pPr>
              <w:jc w:val="right"/>
              <w:rPr>
                <w:sz w:val="20"/>
                <w:szCs w:val="20"/>
                <w:lang w:val="en-CA"/>
              </w:rPr>
            </w:pPr>
            <w:r w:rsidRPr="0026329D">
              <w:rPr>
                <w:sz w:val="20"/>
                <w:szCs w:val="20"/>
                <w:lang w:val="en-CA"/>
              </w:rPr>
              <w:t>100</w:t>
            </w:r>
          </w:p>
        </w:tc>
      </w:tr>
    </w:tbl>
    <w:p w:rsidR="00E90F8A" w:rsidRPr="0026329D" w:rsidRDefault="00E90F8A" w:rsidP="00E90F8A">
      <w:pPr>
        <w:rPr>
          <w:lang w:val="en-CA"/>
        </w:rPr>
      </w:pPr>
    </w:p>
    <w:p w:rsidR="00E90F8A" w:rsidRPr="0026329D" w:rsidRDefault="00E90F8A" w:rsidP="00E90F8A">
      <w:pPr>
        <w:rPr>
          <w:u w:val="single"/>
          <w:lang w:val="en-CA"/>
        </w:rPr>
      </w:pPr>
      <w:r w:rsidRPr="0026329D">
        <w:rPr>
          <w:u w:val="single"/>
          <w:lang w:val="en-CA"/>
        </w:rPr>
        <w:t xml:space="preserve">Components of the revised plan of action </w:t>
      </w:r>
    </w:p>
    <w:p w:rsidR="00E90F8A" w:rsidRPr="0026329D" w:rsidRDefault="00E90F8A" w:rsidP="00E90F8A">
      <w:pPr>
        <w:rPr>
          <w:lang w:val="en-CA"/>
        </w:rPr>
      </w:pPr>
    </w:p>
    <w:p w:rsidR="00E90F8A" w:rsidRPr="0026329D" w:rsidRDefault="00E90F8A" w:rsidP="00E90F8A">
      <w:pPr>
        <w:pStyle w:val="Heading1"/>
        <w:rPr>
          <w:lang w:val="en-CA"/>
        </w:rPr>
      </w:pPr>
      <w:r w:rsidRPr="0026329D">
        <w:rPr>
          <w:lang w:val="en-CA"/>
        </w:rPr>
        <w:t xml:space="preserve">The revised plan of action for </w:t>
      </w:r>
      <w:r w:rsidR="00A81DEE" w:rsidRPr="0026329D">
        <w:rPr>
          <w:lang w:val="en-CA"/>
        </w:rPr>
        <w:t>stage </w:t>
      </w:r>
      <w:r w:rsidRPr="0026329D">
        <w:rPr>
          <w:lang w:val="en-CA"/>
        </w:rPr>
        <w:t xml:space="preserve">II of the solvent sector plan comprises four components: investment activities at the enterprise level, policy and regulatory interventions to ensure timely and sustainable phase-out of HCFCs; technical assistance (TA) to strengthen the technical capacity of the industry and to promote the adoption of low-global-warming potential (GWP) alternatives; and project management. </w:t>
      </w:r>
    </w:p>
    <w:p w:rsidR="00E90F8A" w:rsidRPr="0026329D" w:rsidRDefault="00E90F8A" w:rsidP="00081B71">
      <w:pPr>
        <w:pStyle w:val="Heading1"/>
        <w:keepNext/>
        <w:keepLines/>
        <w:numPr>
          <w:ilvl w:val="0"/>
          <w:numId w:val="0"/>
        </w:numPr>
        <w:rPr>
          <w:i/>
          <w:lang w:val="en-CA"/>
        </w:rPr>
      </w:pPr>
      <w:r w:rsidRPr="0026329D">
        <w:rPr>
          <w:i/>
          <w:lang w:val="en-CA"/>
        </w:rPr>
        <w:t>Investment projects</w:t>
      </w:r>
    </w:p>
    <w:p w:rsidR="00E90F8A" w:rsidRPr="0026329D" w:rsidRDefault="00E90F8A" w:rsidP="00081B71">
      <w:pPr>
        <w:pStyle w:val="Heading1"/>
        <w:keepNext/>
        <w:keepLines/>
        <w:rPr>
          <w:lang w:val="en-CA"/>
        </w:rPr>
      </w:pPr>
      <w:r w:rsidRPr="0026329D">
        <w:rPr>
          <w:lang w:val="en-CA"/>
        </w:rPr>
        <w:t xml:space="preserve">The investment project will cover 18 small and medium-sized enterprise (SMEs) in the disposable medical devices (DMD) sub-sector and seven SMEs in the electronic degreasing sub-sector, with a verified HCFCs baseline consumption of 372.19 mt (40.92 ODP tonnes) of HCFC-141b. The total funding allocated for these enterprises is </w:t>
      </w:r>
      <w:r w:rsidR="00475A50" w:rsidRPr="0026329D">
        <w:rPr>
          <w:lang w:val="en-CA"/>
        </w:rPr>
        <w:t>US $</w:t>
      </w:r>
      <w:r w:rsidRPr="0026329D">
        <w:rPr>
          <w:lang w:val="en-CA"/>
        </w:rPr>
        <w:t xml:space="preserve">2,041,421, at a cost-effectiveness level of </w:t>
      </w:r>
      <w:r w:rsidR="00475A50" w:rsidRPr="0026329D">
        <w:rPr>
          <w:lang w:val="en-CA"/>
        </w:rPr>
        <w:t>US $</w:t>
      </w:r>
      <w:r w:rsidRPr="0026329D">
        <w:rPr>
          <w:lang w:val="en-CA"/>
        </w:rPr>
        <w:t>9.86/kg, which is lower than that in the sector plan as originally approved (</w:t>
      </w:r>
      <w:r w:rsidR="00475A50" w:rsidRPr="0026329D">
        <w:rPr>
          <w:lang w:val="en-CA"/>
        </w:rPr>
        <w:t>US $</w:t>
      </w:r>
      <w:r w:rsidRPr="0026329D">
        <w:rPr>
          <w:lang w:val="en-CA"/>
        </w:rPr>
        <w:t>13/kg). This required counterpart funding from the beneficiary enterprises to ensure the phase-out of HCFCs at the committed date.</w:t>
      </w:r>
      <w:r w:rsidRPr="0026329D">
        <w:rPr>
          <w:bCs/>
          <w:lang w:val="en-CA"/>
        </w:rPr>
        <w:t xml:space="preserve"> All enterprises will be using low-GWP alternatives (e.g., </w:t>
      </w:r>
      <w:r w:rsidRPr="0026329D">
        <w:rPr>
          <w:lang w:val="en-CA"/>
        </w:rPr>
        <w:t>KC-6, hydrocarbons or diluent, trans-1, 2-dichloroethyl</w:t>
      </w:r>
      <w:r w:rsidR="005F2D17" w:rsidRPr="0026329D">
        <w:rPr>
          <w:lang w:val="en-CA"/>
        </w:rPr>
        <w:t>ene and hydrofluoroether, water</w:t>
      </w:r>
      <w:r w:rsidR="005F2D17" w:rsidRPr="0026329D">
        <w:rPr>
          <w:lang w:val="en-CA"/>
        </w:rPr>
        <w:noBreakHyphen/>
      </w:r>
      <w:r w:rsidRPr="0026329D">
        <w:rPr>
          <w:lang w:val="en-CA"/>
        </w:rPr>
        <w:t>based cleaning agent, modified alcohol, nano silicon carbonate, F-solvents, or naphthenic aromatics).</w:t>
      </w:r>
    </w:p>
    <w:p w:rsidR="00E90F8A" w:rsidRPr="0026329D" w:rsidRDefault="00E90F8A" w:rsidP="00E90F8A">
      <w:pPr>
        <w:pStyle w:val="Heading1"/>
        <w:rPr>
          <w:lang w:val="en-CA"/>
        </w:rPr>
      </w:pPr>
      <w:r w:rsidRPr="0026329D">
        <w:rPr>
          <w:lang w:val="en-CA"/>
        </w:rPr>
        <w:t>Based on technical consultations with the stakeholders, it was agreed that for the DMD sub-sector, only IOC</w:t>
      </w:r>
      <w:r w:rsidR="00B52608" w:rsidRPr="0026329D">
        <w:rPr>
          <w:lang w:val="en-CA"/>
        </w:rPr>
        <w:t xml:space="preserve"> </w:t>
      </w:r>
      <w:r w:rsidRPr="0026329D">
        <w:rPr>
          <w:lang w:val="en-CA"/>
        </w:rPr>
        <w:t>will be provided as this sub-sector</w:t>
      </w:r>
      <w:r w:rsidRPr="0026329D">
        <w:rPr>
          <w:rFonts w:asciiTheme="minorHAnsi" w:eastAsiaTheme="minorEastAsia" w:hAnsiTheme="minorHAnsi" w:cstheme="minorBidi"/>
          <w:bCs/>
          <w:kern w:val="2"/>
          <w:sz w:val="21"/>
          <w:lang w:val="en-CA" w:eastAsia="zh-CN"/>
        </w:rPr>
        <w:t xml:space="preserve"> </w:t>
      </w:r>
      <w:r w:rsidRPr="0026329D">
        <w:rPr>
          <w:bCs/>
          <w:lang w:val="en-CA"/>
        </w:rPr>
        <w:t xml:space="preserve">has well-known alternatives, requires similar parts for conversion, and a technical manual for the HCFCs phase-out in the sub-sector was produced in 2018. The phase-out associated with the DMD sub-sector amounts to 237.9 mt (26.17 ODP tonnes) of HCFC-141b at a cost of </w:t>
      </w:r>
      <w:r w:rsidR="00475A50" w:rsidRPr="0026329D">
        <w:rPr>
          <w:bCs/>
          <w:lang w:val="en-CA"/>
        </w:rPr>
        <w:t>US $</w:t>
      </w:r>
      <w:r w:rsidRPr="0026329D">
        <w:rPr>
          <w:bCs/>
          <w:lang w:val="en-CA"/>
        </w:rPr>
        <w:t xml:space="preserve">689,910, at a cost-effectiveness of </w:t>
      </w:r>
      <w:r w:rsidR="00475A50" w:rsidRPr="0026329D">
        <w:rPr>
          <w:bCs/>
          <w:lang w:val="en-CA"/>
        </w:rPr>
        <w:t>US $</w:t>
      </w:r>
      <w:r w:rsidRPr="0026329D">
        <w:rPr>
          <w:bCs/>
          <w:lang w:val="en-CA"/>
        </w:rPr>
        <w:t>2.90/kg.</w:t>
      </w:r>
    </w:p>
    <w:p w:rsidR="00E90F8A" w:rsidRPr="0026329D" w:rsidRDefault="00E90F8A" w:rsidP="00E90F8A">
      <w:pPr>
        <w:pStyle w:val="Heading1"/>
        <w:rPr>
          <w:bCs/>
          <w:lang w:val="en-CA"/>
        </w:rPr>
      </w:pPr>
      <w:r w:rsidRPr="0026329D">
        <w:rPr>
          <w:bCs/>
          <w:lang w:val="en-CA"/>
        </w:rPr>
        <w:t xml:space="preserve">The remaining funding amounting to </w:t>
      </w:r>
      <w:r w:rsidR="00475A50" w:rsidRPr="0026329D">
        <w:rPr>
          <w:bCs/>
          <w:lang w:val="en-CA"/>
        </w:rPr>
        <w:t>US $</w:t>
      </w:r>
      <w:r w:rsidRPr="0026329D">
        <w:rPr>
          <w:bCs/>
          <w:lang w:val="en-CA"/>
        </w:rPr>
        <w:t>1,324,511 is allocated to</w:t>
      </w:r>
      <w:r w:rsidR="005F2D17" w:rsidRPr="0026329D">
        <w:rPr>
          <w:bCs/>
          <w:lang w:val="en-CA"/>
        </w:rPr>
        <w:t xml:space="preserve"> the electronics degreasing sub</w:t>
      </w:r>
      <w:r w:rsidR="005F2D17" w:rsidRPr="0026329D">
        <w:rPr>
          <w:bCs/>
          <w:lang w:val="en-CA"/>
        </w:rPr>
        <w:noBreakHyphen/>
      </w:r>
      <w:r w:rsidRPr="0026329D">
        <w:rPr>
          <w:bCs/>
          <w:lang w:val="en-CA"/>
        </w:rPr>
        <w:t xml:space="preserve">sector, to phase out 134.29 mt (14.77 ODP tonnes) of HCFC-141b, at a cost-effectiveness of </w:t>
      </w:r>
      <w:r w:rsidR="00475A50" w:rsidRPr="0026329D">
        <w:rPr>
          <w:bCs/>
          <w:lang w:val="en-CA"/>
        </w:rPr>
        <w:t>US $</w:t>
      </w:r>
      <w:r w:rsidRPr="0026329D">
        <w:rPr>
          <w:bCs/>
          <w:lang w:val="en-CA"/>
        </w:rPr>
        <w:t xml:space="preserve">9.86/kg to cover ICC and IOC. </w:t>
      </w:r>
    </w:p>
    <w:p w:rsidR="00E90F8A" w:rsidRPr="0026329D" w:rsidRDefault="00E90F8A" w:rsidP="00650E5A">
      <w:pPr>
        <w:pStyle w:val="Heading1"/>
        <w:keepNext/>
        <w:keepLines/>
        <w:rPr>
          <w:lang w:val="en-CA"/>
        </w:rPr>
      </w:pPr>
      <w:r w:rsidRPr="0026329D">
        <w:rPr>
          <w:lang w:val="en-CA"/>
        </w:rPr>
        <w:t>The Government of China emphasized that this is the most-cost-effective approach to assist eligible enterprises in solvent sector; it will allow conversions with the preferred alternatives at the same time taking into account safety measures and health considerations. The funding to be provided will be mostly for supporting activities, such as training, testing and detection, environmental and safety assessments.</w:t>
      </w:r>
    </w:p>
    <w:p w:rsidR="00E90F8A" w:rsidRPr="0026329D" w:rsidRDefault="00E90F8A" w:rsidP="00E90F8A">
      <w:pPr>
        <w:pStyle w:val="Heading1"/>
        <w:keepNext/>
        <w:numPr>
          <w:ilvl w:val="0"/>
          <w:numId w:val="0"/>
        </w:numPr>
        <w:tabs>
          <w:tab w:val="num" w:pos="0"/>
        </w:tabs>
        <w:rPr>
          <w:lang w:val="en-CA"/>
        </w:rPr>
      </w:pPr>
      <w:r w:rsidRPr="0026329D">
        <w:rPr>
          <w:i/>
          <w:lang w:val="en-CA"/>
        </w:rPr>
        <w:t>Policy and regulatory interventions</w:t>
      </w:r>
    </w:p>
    <w:p w:rsidR="00E90F8A" w:rsidRPr="0026329D" w:rsidRDefault="00E90F8A" w:rsidP="002E42DE">
      <w:pPr>
        <w:pStyle w:val="Heading1"/>
        <w:widowControl w:val="0"/>
        <w:rPr>
          <w:lang w:val="en-CA"/>
        </w:rPr>
      </w:pPr>
      <w:r w:rsidRPr="0026329D">
        <w:rPr>
          <w:lang w:val="en-CA"/>
        </w:rPr>
        <w:t>To support the investment activities and the sustainable phase out of HCFC-141b in the solvent sector, the Government will introduce policies, laws and regulations into the overall ODS policy framework. This will ensure that the phase-out in the solvent sector is met and sustained; establish effective mechanisms to encourage a wide participation of enterprises in the phase-out activities and adopt environmentally friendly alternatives; promote the research and development and uptake of alternatives for HCFC-141b; that the growth of the sector is not negatively affected by conversion activities; and, the possibility of introducing tax and financial incentives to encourage enterprises to participate in the phase-out.</w:t>
      </w:r>
    </w:p>
    <w:p w:rsidR="00E90F8A" w:rsidRPr="0026329D" w:rsidRDefault="00E90F8A" w:rsidP="00E90F8A">
      <w:pPr>
        <w:rPr>
          <w:i/>
          <w:lang w:val="en-CA"/>
        </w:rPr>
      </w:pPr>
      <w:r w:rsidRPr="0026329D">
        <w:rPr>
          <w:i/>
          <w:lang w:val="en-CA"/>
        </w:rPr>
        <w:t>TA </w:t>
      </w:r>
    </w:p>
    <w:p w:rsidR="00E90F8A" w:rsidRPr="0026329D" w:rsidRDefault="00E90F8A" w:rsidP="00E90F8A">
      <w:pPr>
        <w:rPr>
          <w:i/>
          <w:u w:val="single"/>
          <w:lang w:val="en-CA"/>
        </w:rPr>
      </w:pPr>
    </w:p>
    <w:p w:rsidR="00E90F8A" w:rsidRPr="0026329D" w:rsidRDefault="00E90F8A" w:rsidP="00E90F8A">
      <w:pPr>
        <w:pStyle w:val="Heading1"/>
        <w:rPr>
          <w:lang w:val="en-CA"/>
        </w:rPr>
      </w:pPr>
      <w:r w:rsidRPr="0026329D">
        <w:rPr>
          <w:lang w:val="en-CA"/>
        </w:rPr>
        <w:t xml:space="preserve">TA activities, at a funding level of </w:t>
      </w:r>
      <w:r w:rsidR="00475A50" w:rsidRPr="0026329D">
        <w:rPr>
          <w:lang w:val="en-CA"/>
        </w:rPr>
        <w:t>US $</w:t>
      </w:r>
      <w:r w:rsidRPr="0026329D">
        <w:rPr>
          <w:lang w:val="en-CA"/>
        </w:rPr>
        <w:t xml:space="preserve">1,400,000, are designed to support the sustainable </w:t>
      </w:r>
      <w:r w:rsidR="005F2D17" w:rsidRPr="0026329D">
        <w:rPr>
          <w:lang w:val="en-CA"/>
        </w:rPr>
        <w:t>phase</w:t>
      </w:r>
      <w:r w:rsidR="005F2D17" w:rsidRPr="0026329D">
        <w:rPr>
          <w:lang w:val="en-CA"/>
        </w:rPr>
        <w:noBreakHyphen/>
      </w:r>
      <w:r w:rsidRPr="0026329D">
        <w:rPr>
          <w:lang w:val="en-CA"/>
        </w:rPr>
        <w:t>out of HCFC-141b, HCFC-225ca, and HCFC-225cb in the solvent sector, and include:</w:t>
      </w:r>
    </w:p>
    <w:p w:rsidR="00E90F8A" w:rsidRPr="0026329D" w:rsidRDefault="00E90F8A" w:rsidP="00E90F8A">
      <w:pPr>
        <w:pStyle w:val="Heading2"/>
        <w:rPr>
          <w:lang w:val="en-CA"/>
        </w:rPr>
      </w:pPr>
      <w:r w:rsidRPr="0026329D">
        <w:rPr>
          <w:lang w:val="en-CA"/>
        </w:rPr>
        <w:t>Training for enterprises on the procedures for implementation of conversion activities, procurement of equipment and services, and monitoring and reporting project progress; meetings to exchange experiences in project implementation, information on available alternatives and their applications to support enterprises with their phase-out activities; and policy consultation meetings to gain support for new approaches and regulations that may be established during implementation (</w:t>
      </w:r>
      <w:r w:rsidR="00475A50" w:rsidRPr="0026329D">
        <w:rPr>
          <w:lang w:val="en-CA"/>
        </w:rPr>
        <w:t>US $</w:t>
      </w:r>
      <w:r w:rsidRPr="0026329D">
        <w:rPr>
          <w:lang w:val="en-CA"/>
        </w:rPr>
        <w:t>75,000);</w:t>
      </w:r>
    </w:p>
    <w:p w:rsidR="00E90F8A" w:rsidRPr="0026329D" w:rsidRDefault="00E90F8A" w:rsidP="00E90F8A">
      <w:pPr>
        <w:pStyle w:val="Heading2"/>
        <w:rPr>
          <w:lang w:val="en-CA"/>
        </w:rPr>
      </w:pPr>
      <w:r w:rsidRPr="0026329D">
        <w:rPr>
          <w:lang w:val="en-CA"/>
        </w:rPr>
        <w:t>Improving capacity of authorities to manage and monitor the phase-out in the solvent sector including local Ecology and Environment Bureaus (EEBs) and industrial associations through meetings and workshops (</w:t>
      </w:r>
      <w:r w:rsidR="00475A50" w:rsidRPr="0026329D">
        <w:rPr>
          <w:lang w:val="en-CA"/>
        </w:rPr>
        <w:t>US $</w:t>
      </w:r>
      <w:r w:rsidRPr="0026329D">
        <w:rPr>
          <w:lang w:val="en-CA"/>
        </w:rPr>
        <w:t>200,000);</w:t>
      </w:r>
    </w:p>
    <w:p w:rsidR="00E90F8A" w:rsidRPr="0026329D" w:rsidRDefault="00E90F8A" w:rsidP="001761BD">
      <w:pPr>
        <w:pStyle w:val="Heading2"/>
        <w:keepNext/>
        <w:keepLines/>
        <w:rPr>
          <w:lang w:val="en-CA"/>
        </w:rPr>
      </w:pPr>
      <w:r w:rsidRPr="0026329D">
        <w:rPr>
          <w:lang w:val="en-CA"/>
        </w:rPr>
        <w:t>An implementation supporting agency (ISA) will provide supervision and consultancy services including screening and evaluation of alternatives; assisting eligible enterprises to complete necessary documentation for funding; assisting the project management team in project verification, supervision and evaluation; and providing SME’s with TA necessary to support their phase-out (</w:t>
      </w:r>
      <w:r w:rsidR="00475A50" w:rsidRPr="0026329D">
        <w:rPr>
          <w:lang w:val="en-CA"/>
        </w:rPr>
        <w:t>US $</w:t>
      </w:r>
      <w:r w:rsidRPr="0026329D">
        <w:rPr>
          <w:lang w:val="en-CA"/>
        </w:rPr>
        <w:t>700,000);</w:t>
      </w:r>
    </w:p>
    <w:p w:rsidR="00E90F8A" w:rsidRPr="0026329D" w:rsidRDefault="00E90F8A" w:rsidP="00E90F8A">
      <w:pPr>
        <w:pStyle w:val="Heading2"/>
        <w:rPr>
          <w:lang w:val="en-CA"/>
        </w:rPr>
      </w:pPr>
      <w:r w:rsidRPr="0026329D">
        <w:rPr>
          <w:lang w:val="en-CA"/>
        </w:rPr>
        <w:t>Carry out market research and evaluation on the promotion and application potential of various available alternatives, formulate and update relevant standards and safety requirements for alternatives (</w:t>
      </w:r>
      <w:r w:rsidR="00475A50" w:rsidRPr="0026329D">
        <w:rPr>
          <w:lang w:val="en-CA"/>
        </w:rPr>
        <w:t>US $</w:t>
      </w:r>
      <w:r w:rsidRPr="0026329D">
        <w:rPr>
          <w:lang w:val="en-CA"/>
        </w:rPr>
        <w:t>125,000)</w:t>
      </w:r>
    </w:p>
    <w:p w:rsidR="00E90F8A" w:rsidRPr="0026329D" w:rsidRDefault="00E90F8A" w:rsidP="00E90F8A">
      <w:pPr>
        <w:pStyle w:val="Heading2"/>
        <w:rPr>
          <w:lang w:val="en-CA"/>
        </w:rPr>
      </w:pPr>
      <w:r w:rsidRPr="0026329D">
        <w:rPr>
          <w:lang w:val="en-CA"/>
        </w:rPr>
        <w:t>Research, and analyze the feasibility of introducing a ban on HCFC consumption for the solvent sector; and how it could be managed (</w:t>
      </w:r>
      <w:r w:rsidR="00475A50" w:rsidRPr="0026329D">
        <w:rPr>
          <w:lang w:val="en-CA"/>
        </w:rPr>
        <w:t>US $</w:t>
      </w:r>
      <w:r w:rsidRPr="0026329D">
        <w:rPr>
          <w:lang w:val="en-CA"/>
        </w:rPr>
        <w:t>150,000);</w:t>
      </w:r>
    </w:p>
    <w:p w:rsidR="00E90F8A" w:rsidRPr="0026329D" w:rsidRDefault="00E90F8A" w:rsidP="00AA78DC">
      <w:pPr>
        <w:pStyle w:val="Heading2"/>
        <w:rPr>
          <w:lang w:val="en-CA"/>
        </w:rPr>
      </w:pPr>
      <w:r w:rsidRPr="0026329D">
        <w:rPr>
          <w:lang w:val="en-CA"/>
        </w:rPr>
        <w:t>Evaluation by sector experts, ISA, or competent local departments through field investigation of enterprises that have completed HCFCs phase-out in the solvent sector on the effectiveness of the phase-out actions (</w:t>
      </w:r>
      <w:r w:rsidR="00475A50" w:rsidRPr="0026329D">
        <w:rPr>
          <w:lang w:val="en-CA"/>
        </w:rPr>
        <w:t>US $</w:t>
      </w:r>
      <w:r w:rsidRPr="0026329D">
        <w:rPr>
          <w:lang w:val="en-CA"/>
        </w:rPr>
        <w:t>100,000); and</w:t>
      </w:r>
    </w:p>
    <w:p w:rsidR="00E90F8A" w:rsidRPr="0026329D" w:rsidRDefault="00E90F8A" w:rsidP="00E90F8A">
      <w:pPr>
        <w:pStyle w:val="Heading2"/>
        <w:rPr>
          <w:lang w:val="en-CA"/>
        </w:rPr>
      </w:pPr>
      <w:r w:rsidRPr="0026329D">
        <w:rPr>
          <w:lang w:val="en-CA"/>
        </w:rPr>
        <w:t>Study visits by project management personnel, representatives from local EEBs, associations, scientific research institutions to institutions in other countries to facilitate sharing information on policy and alternative technologies to HCFC-141b and gain experiences in the selection of alternatives including the organization and management of phase-out activities (</w:t>
      </w:r>
      <w:r w:rsidR="00475A50" w:rsidRPr="0026329D">
        <w:rPr>
          <w:lang w:val="en-CA"/>
        </w:rPr>
        <w:t>US $</w:t>
      </w:r>
      <w:r w:rsidRPr="0026329D">
        <w:rPr>
          <w:lang w:val="en-CA"/>
        </w:rPr>
        <w:t>50,000).</w:t>
      </w:r>
    </w:p>
    <w:p w:rsidR="00E90F8A" w:rsidRPr="0026329D" w:rsidRDefault="00E90F8A" w:rsidP="00E90F8A">
      <w:pPr>
        <w:rPr>
          <w:i/>
          <w:lang w:val="en-CA"/>
        </w:rPr>
      </w:pPr>
      <w:r w:rsidRPr="0026329D">
        <w:rPr>
          <w:i/>
          <w:lang w:val="en-CA"/>
        </w:rPr>
        <w:t>PMU</w:t>
      </w:r>
    </w:p>
    <w:p w:rsidR="00E90F8A" w:rsidRPr="0026329D" w:rsidRDefault="00E90F8A" w:rsidP="00E90F8A">
      <w:pPr>
        <w:rPr>
          <w:i/>
          <w:u w:val="single"/>
          <w:lang w:val="en-CA"/>
        </w:rPr>
      </w:pPr>
    </w:p>
    <w:p w:rsidR="00E90F8A" w:rsidRPr="0026329D" w:rsidRDefault="00E90F8A" w:rsidP="00E90F8A">
      <w:pPr>
        <w:pStyle w:val="Heading1"/>
        <w:rPr>
          <w:lang w:val="en-CA"/>
        </w:rPr>
      </w:pPr>
      <w:r w:rsidRPr="0026329D">
        <w:rPr>
          <w:lang w:val="en-CA"/>
        </w:rPr>
        <w:t>The PMU (</w:t>
      </w:r>
      <w:r w:rsidR="00475A50" w:rsidRPr="0026329D">
        <w:rPr>
          <w:lang w:val="en-CA"/>
        </w:rPr>
        <w:t>US $</w:t>
      </w:r>
      <w:r w:rsidRPr="0026329D">
        <w:rPr>
          <w:lang w:val="en-CA"/>
        </w:rPr>
        <w:t>331,288) will continue to be used for: monitoring implementation of sub-grant agreements and TA</w:t>
      </w:r>
      <w:r w:rsidR="00475A50" w:rsidRPr="0026329D">
        <w:rPr>
          <w:lang w:val="en-CA"/>
        </w:rPr>
        <w:t xml:space="preserve"> </w:t>
      </w:r>
      <w:r w:rsidRPr="0026329D">
        <w:rPr>
          <w:lang w:val="en-CA"/>
        </w:rPr>
        <w:t>activities; organizing and participating in verifications, evaluation meetings, and project commissioning; reviewing project documents submitted by beneficiaries and processing contract performance; communicating and coordinating with implementing agencies, ISA, technical experts and other stakeholders on project implementation; designing TA</w:t>
      </w:r>
      <w:r w:rsidR="00475A50" w:rsidRPr="0026329D">
        <w:rPr>
          <w:lang w:val="en-CA"/>
        </w:rPr>
        <w:t xml:space="preserve"> </w:t>
      </w:r>
      <w:r w:rsidRPr="0026329D">
        <w:rPr>
          <w:lang w:val="en-CA"/>
        </w:rPr>
        <w:t>activities, developing terms of reference and selecting qualified implementing agencies; and preparing work plans, progress reports and other documents as required.</w:t>
      </w:r>
    </w:p>
    <w:p w:rsidR="00E90F8A" w:rsidRPr="0026329D" w:rsidRDefault="00E90F8A" w:rsidP="00E90F8A">
      <w:pPr>
        <w:pStyle w:val="Heading1"/>
        <w:rPr>
          <w:lang w:val="en-CA"/>
        </w:rPr>
      </w:pPr>
      <w:r w:rsidRPr="0026329D">
        <w:rPr>
          <w:lang w:val="en-CA"/>
        </w:rPr>
        <w:t>The PMU will undertake more responsibilities in the area of communications and cooperation with policy makers and industry through: the organization of work and coordination meetings with policy makers and industrial associations discuss HCFC phase-out progress and policy measures, as well as actions to promote the penetration of alternative technologies; providing the MEE, local EEBs and other ministries with technical support based on the latest sector information, assisting in the development of regulations and plans related to ODS management for solvent enterprises on a local level; and providing technical support and input for the monitoring and supervision activities organized by the MEE and local EEBs.</w:t>
      </w:r>
    </w:p>
    <w:p w:rsidR="00E90F8A" w:rsidRPr="0026329D" w:rsidRDefault="00E90F8A" w:rsidP="00E90F8A">
      <w:pPr>
        <w:pStyle w:val="Heading1"/>
        <w:numPr>
          <w:ilvl w:val="0"/>
          <w:numId w:val="0"/>
        </w:numPr>
        <w:rPr>
          <w:u w:val="single"/>
          <w:lang w:val="en-CA"/>
        </w:rPr>
      </w:pPr>
      <w:r w:rsidRPr="0026329D">
        <w:rPr>
          <w:u w:val="single"/>
          <w:lang w:val="en-CA"/>
        </w:rPr>
        <w:t xml:space="preserve">Total funding allocated for </w:t>
      </w:r>
      <w:r w:rsidR="00A81DEE" w:rsidRPr="0026329D">
        <w:rPr>
          <w:u w:val="single"/>
          <w:lang w:val="en-CA"/>
        </w:rPr>
        <w:t>stage </w:t>
      </w:r>
      <w:r w:rsidRPr="0026329D">
        <w:rPr>
          <w:u w:val="single"/>
          <w:lang w:val="en-CA"/>
        </w:rPr>
        <w:t>II of the solvent sector</w:t>
      </w:r>
    </w:p>
    <w:p w:rsidR="00E90F8A" w:rsidRPr="0026329D" w:rsidRDefault="00E90F8A" w:rsidP="00AA78DC">
      <w:pPr>
        <w:pStyle w:val="Heading1"/>
        <w:widowControl w:val="0"/>
        <w:rPr>
          <w:lang w:val="en-CA"/>
        </w:rPr>
      </w:pPr>
      <w:r w:rsidRPr="0026329D">
        <w:rPr>
          <w:lang w:val="en-CA"/>
        </w:rPr>
        <w:t xml:space="preserve">In line with the revised agreement for </w:t>
      </w:r>
      <w:r w:rsidR="00A81DEE" w:rsidRPr="0026329D">
        <w:rPr>
          <w:lang w:val="en-CA"/>
        </w:rPr>
        <w:t>stage </w:t>
      </w:r>
      <w:r w:rsidRPr="0026329D">
        <w:rPr>
          <w:lang w:val="en-CA"/>
        </w:rPr>
        <w:t>II of the HPMP at the 84</w:t>
      </w:r>
      <w:r w:rsidRPr="0026329D">
        <w:rPr>
          <w:vertAlign w:val="superscript"/>
          <w:lang w:val="en-CA"/>
        </w:rPr>
        <w:t>th</w:t>
      </w:r>
      <w:r w:rsidRPr="0026329D">
        <w:rPr>
          <w:lang w:val="en-CA"/>
        </w:rPr>
        <w:t xml:space="preserve"> meeting and the adjusted work plan, the funding of </w:t>
      </w:r>
      <w:r w:rsidR="00475A50" w:rsidRPr="0026329D">
        <w:rPr>
          <w:lang w:val="en-CA"/>
        </w:rPr>
        <w:t>US $</w:t>
      </w:r>
      <w:r w:rsidRPr="0026329D">
        <w:rPr>
          <w:lang w:val="en-CA"/>
        </w:rPr>
        <w:t xml:space="preserve">6,043,431 including support costs of </w:t>
      </w:r>
      <w:r w:rsidR="00475A50" w:rsidRPr="0026329D">
        <w:rPr>
          <w:lang w:val="en-CA"/>
        </w:rPr>
        <w:t>US $</w:t>
      </w:r>
      <w:r w:rsidRPr="0026329D">
        <w:rPr>
          <w:lang w:val="en-CA"/>
        </w:rPr>
        <w:t xml:space="preserve">453,257 will be allocated to the solvent sector plan for the period from 2021 to 2026. </w:t>
      </w:r>
    </w:p>
    <w:p w:rsidR="00E90F8A" w:rsidRPr="0026329D" w:rsidRDefault="00E90F8A" w:rsidP="00E90F8A">
      <w:pPr>
        <w:pStyle w:val="Heading1"/>
        <w:numPr>
          <w:ilvl w:val="0"/>
          <w:numId w:val="0"/>
        </w:numPr>
        <w:rPr>
          <w:i/>
          <w:lang w:val="en-CA"/>
        </w:rPr>
      </w:pPr>
      <w:r w:rsidRPr="0026329D">
        <w:rPr>
          <w:i/>
          <w:lang w:val="en-CA"/>
        </w:rPr>
        <w:t>Incremental cost for enterprise conversions</w:t>
      </w:r>
    </w:p>
    <w:p w:rsidR="00E90F8A" w:rsidRPr="0026329D" w:rsidRDefault="00E90F8A" w:rsidP="00E90F8A">
      <w:pPr>
        <w:pStyle w:val="Heading1"/>
        <w:rPr>
          <w:lang w:val="en-CA"/>
        </w:rPr>
      </w:pPr>
      <w:r w:rsidRPr="0026329D">
        <w:rPr>
          <w:lang w:val="en-CA"/>
        </w:rPr>
        <w:t xml:space="preserve">The estimated costs for the investment projects are calculated at </w:t>
      </w:r>
      <w:r w:rsidR="00475A50" w:rsidRPr="0026329D">
        <w:rPr>
          <w:lang w:val="en-CA"/>
        </w:rPr>
        <w:t>US $</w:t>
      </w:r>
      <w:r w:rsidRPr="0026329D">
        <w:rPr>
          <w:lang w:val="en-CA"/>
        </w:rPr>
        <w:t>2,041,421 for the conversion of 25 enterprises, summarized in Table 2.</w:t>
      </w:r>
    </w:p>
    <w:p w:rsidR="00E90F8A" w:rsidRPr="0026329D" w:rsidRDefault="00E90F8A" w:rsidP="001761BD">
      <w:pPr>
        <w:keepNext/>
        <w:keepLines/>
        <w:rPr>
          <w:b/>
          <w:lang w:val="en-CA"/>
        </w:rPr>
      </w:pPr>
      <w:r w:rsidRPr="0026329D">
        <w:rPr>
          <w:b/>
          <w:lang w:val="en-CA"/>
        </w:rPr>
        <w:t>Table 2: Estimated funding for the conversion of 25 enterprises in the solvent sector</w:t>
      </w:r>
    </w:p>
    <w:tbl>
      <w:tblPr>
        <w:tblStyle w:val="TableList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2207"/>
        <w:gridCol w:w="2887"/>
      </w:tblGrid>
      <w:tr w:rsidR="00E90F8A" w:rsidRPr="001761BD" w:rsidTr="006322A8">
        <w:trPr>
          <w:cnfStyle w:val="100000000000" w:firstRow="1" w:lastRow="0" w:firstColumn="0" w:lastColumn="0" w:oddVBand="0" w:evenVBand="0" w:oddHBand="0" w:evenHBand="0" w:firstRowFirstColumn="0" w:firstRowLastColumn="0" w:lastRowFirstColumn="0" w:lastRowLastColumn="0"/>
        </w:trPr>
        <w:tc>
          <w:tcPr>
            <w:tcW w:w="2304" w:type="pct"/>
            <w:tcBorders>
              <w:bottom w:val="single" w:sz="4" w:space="0" w:color="auto"/>
            </w:tcBorders>
          </w:tcPr>
          <w:p w:rsidR="00E90F8A" w:rsidRPr="001761BD" w:rsidRDefault="00E90F8A" w:rsidP="001761BD">
            <w:pPr>
              <w:keepNext/>
              <w:keepLines/>
              <w:spacing w:after="0" w:line="240" w:lineRule="auto"/>
              <w:rPr>
                <w:color w:val="auto"/>
                <w:sz w:val="20"/>
                <w:szCs w:val="20"/>
                <w:lang w:val="en-CA"/>
              </w:rPr>
            </w:pPr>
            <w:r w:rsidRPr="001761BD">
              <w:rPr>
                <w:color w:val="auto"/>
                <w:sz w:val="20"/>
                <w:szCs w:val="20"/>
                <w:lang w:val="en-CA"/>
              </w:rPr>
              <w:t>Description</w:t>
            </w:r>
          </w:p>
        </w:tc>
        <w:tc>
          <w:tcPr>
            <w:tcW w:w="1168" w:type="pct"/>
            <w:tcBorders>
              <w:bottom w:val="single" w:sz="4" w:space="0" w:color="auto"/>
            </w:tcBorders>
            <w:vAlign w:val="center"/>
          </w:tcPr>
          <w:p w:rsidR="00E90F8A" w:rsidRPr="001761BD" w:rsidRDefault="00E90F8A" w:rsidP="001761BD">
            <w:pPr>
              <w:keepNext/>
              <w:keepLines/>
              <w:spacing w:after="0" w:line="240" w:lineRule="auto"/>
              <w:jc w:val="center"/>
              <w:rPr>
                <w:color w:val="auto"/>
                <w:sz w:val="20"/>
                <w:szCs w:val="20"/>
                <w:lang w:val="en-CA"/>
              </w:rPr>
            </w:pPr>
            <w:r w:rsidRPr="001761BD">
              <w:rPr>
                <w:color w:val="auto"/>
                <w:sz w:val="20"/>
                <w:szCs w:val="20"/>
                <w:lang w:val="en-CA"/>
              </w:rPr>
              <w:t>DMD</w:t>
            </w:r>
          </w:p>
        </w:tc>
        <w:tc>
          <w:tcPr>
            <w:tcW w:w="1528" w:type="pct"/>
            <w:tcBorders>
              <w:bottom w:val="single" w:sz="4" w:space="0" w:color="auto"/>
            </w:tcBorders>
            <w:vAlign w:val="center"/>
          </w:tcPr>
          <w:p w:rsidR="00E90F8A" w:rsidRPr="001761BD" w:rsidRDefault="00E90F8A" w:rsidP="001761BD">
            <w:pPr>
              <w:keepNext/>
              <w:keepLines/>
              <w:spacing w:after="0" w:line="240" w:lineRule="auto"/>
              <w:jc w:val="center"/>
              <w:rPr>
                <w:color w:val="auto"/>
                <w:sz w:val="20"/>
                <w:szCs w:val="20"/>
                <w:lang w:val="en-CA"/>
              </w:rPr>
            </w:pPr>
            <w:r w:rsidRPr="001761BD">
              <w:rPr>
                <w:color w:val="auto"/>
                <w:sz w:val="20"/>
                <w:szCs w:val="20"/>
                <w:lang w:val="en-CA"/>
              </w:rPr>
              <w:t>Electronics degreasing</w:t>
            </w:r>
          </w:p>
        </w:tc>
      </w:tr>
      <w:tr w:rsidR="00E90F8A" w:rsidRPr="001761BD" w:rsidTr="006322A8">
        <w:tc>
          <w:tcPr>
            <w:tcW w:w="2304" w:type="pct"/>
          </w:tcPr>
          <w:p w:rsidR="00E90F8A" w:rsidRPr="001761BD" w:rsidRDefault="00E90F8A" w:rsidP="006322A8">
            <w:pPr>
              <w:spacing w:after="0" w:line="240" w:lineRule="auto"/>
              <w:rPr>
                <w:sz w:val="20"/>
                <w:szCs w:val="20"/>
                <w:lang w:val="en-CA"/>
              </w:rPr>
            </w:pPr>
            <w:r w:rsidRPr="001761BD">
              <w:rPr>
                <w:sz w:val="20"/>
                <w:szCs w:val="20"/>
                <w:lang w:val="en-CA"/>
              </w:rPr>
              <w:t>HCFC-141b to be phased out 2021-2026 (mt)</w:t>
            </w:r>
          </w:p>
        </w:tc>
        <w:tc>
          <w:tcPr>
            <w:tcW w:w="116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237.90</w:t>
            </w:r>
          </w:p>
        </w:tc>
        <w:tc>
          <w:tcPr>
            <w:tcW w:w="152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134.29</w:t>
            </w:r>
          </w:p>
        </w:tc>
      </w:tr>
      <w:tr w:rsidR="00E90F8A" w:rsidRPr="001761BD" w:rsidTr="006322A8">
        <w:tc>
          <w:tcPr>
            <w:tcW w:w="2304" w:type="pct"/>
          </w:tcPr>
          <w:p w:rsidR="00E90F8A" w:rsidRPr="001761BD" w:rsidRDefault="00E90F8A" w:rsidP="006322A8">
            <w:pPr>
              <w:spacing w:after="0" w:line="240" w:lineRule="auto"/>
              <w:rPr>
                <w:sz w:val="20"/>
                <w:szCs w:val="20"/>
                <w:lang w:val="en-CA"/>
              </w:rPr>
            </w:pPr>
            <w:r w:rsidRPr="001761BD">
              <w:rPr>
                <w:sz w:val="20"/>
                <w:szCs w:val="20"/>
                <w:lang w:val="en-CA"/>
              </w:rPr>
              <w:t>Number of enterprises</w:t>
            </w:r>
          </w:p>
        </w:tc>
        <w:tc>
          <w:tcPr>
            <w:tcW w:w="116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18</w:t>
            </w:r>
          </w:p>
        </w:tc>
        <w:tc>
          <w:tcPr>
            <w:tcW w:w="152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7</w:t>
            </w:r>
          </w:p>
        </w:tc>
      </w:tr>
      <w:tr w:rsidR="00E90F8A" w:rsidRPr="001761BD" w:rsidTr="006322A8">
        <w:tc>
          <w:tcPr>
            <w:tcW w:w="2304" w:type="pct"/>
          </w:tcPr>
          <w:p w:rsidR="00E90F8A" w:rsidRPr="001761BD" w:rsidRDefault="00E90F8A" w:rsidP="006322A8">
            <w:pPr>
              <w:spacing w:after="0" w:line="240" w:lineRule="auto"/>
              <w:rPr>
                <w:sz w:val="20"/>
                <w:szCs w:val="20"/>
                <w:lang w:val="en-CA"/>
              </w:rPr>
            </w:pPr>
            <w:r w:rsidRPr="001761BD">
              <w:rPr>
                <w:sz w:val="20"/>
                <w:szCs w:val="20"/>
                <w:lang w:val="en-CA"/>
              </w:rPr>
              <w:t xml:space="preserve">Payment </w:t>
            </w:r>
          </w:p>
        </w:tc>
        <w:tc>
          <w:tcPr>
            <w:tcW w:w="116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IOC only</w:t>
            </w:r>
          </w:p>
        </w:tc>
        <w:tc>
          <w:tcPr>
            <w:tcW w:w="152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 xml:space="preserve">ICC and IOC </w:t>
            </w:r>
          </w:p>
        </w:tc>
      </w:tr>
      <w:tr w:rsidR="00E90F8A" w:rsidRPr="001761BD" w:rsidTr="006322A8">
        <w:tc>
          <w:tcPr>
            <w:tcW w:w="2304" w:type="pct"/>
          </w:tcPr>
          <w:p w:rsidR="00E90F8A" w:rsidRPr="001761BD" w:rsidRDefault="00E90F8A" w:rsidP="006322A8">
            <w:pPr>
              <w:spacing w:after="0" w:line="240" w:lineRule="auto"/>
              <w:rPr>
                <w:sz w:val="20"/>
                <w:szCs w:val="20"/>
                <w:lang w:val="en-CA"/>
              </w:rPr>
            </w:pPr>
            <w:r w:rsidRPr="001761BD">
              <w:rPr>
                <w:sz w:val="20"/>
                <w:szCs w:val="20"/>
                <w:lang w:val="en-CA"/>
              </w:rPr>
              <w:t>Cost-effectiveness (</w:t>
            </w:r>
            <w:r w:rsidR="00475A50" w:rsidRPr="001761BD">
              <w:rPr>
                <w:sz w:val="20"/>
                <w:szCs w:val="20"/>
                <w:lang w:val="en-CA"/>
              </w:rPr>
              <w:t>US $</w:t>
            </w:r>
            <w:r w:rsidRPr="001761BD">
              <w:rPr>
                <w:sz w:val="20"/>
                <w:szCs w:val="20"/>
                <w:lang w:val="en-CA"/>
              </w:rPr>
              <w:t>/kg)</w:t>
            </w:r>
          </w:p>
        </w:tc>
        <w:tc>
          <w:tcPr>
            <w:tcW w:w="116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 xml:space="preserve">2.90 </w:t>
            </w:r>
          </w:p>
        </w:tc>
        <w:tc>
          <w:tcPr>
            <w:tcW w:w="152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 xml:space="preserve">9.86 </w:t>
            </w:r>
          </w:p>
        </w:tc>
      </w:tr>
      <w:tr w:rsidR="00E90F8A" w:rsidRPr="001761BD" w:rsidTr="006322A8">
        <w:tc>
          <w:tcPr>
            <w:tcW w:w="2304" w:type="pct"/>
          </w:tcPr>
          <w:p w:rsidR="00E90F8A" w:rsidRPr="001761BD" w:rsidRDefault="00E90F8A" w:rsidP="006322A8">
            <w:pPr>
              <w:spacing w:after="0" w:line="240" w:lineRule="auto"/>
              <w:rPr>
                <w:sz w:val="20"/>
                <w:szCs w:val="20"/>
                <w:lang w:val="en-CA"/>
              </w:rPr>
            </w:pPr>
            <w:r w:rsidRPr="001761BD">
              <w:rPr>
                <w:sz w:val="20"/>
                <w:szCs w:val="20"/>
                <w:lang w:val="en-CA" w:eastAsia="zh-CN"/>
              </w:rPr>
              <w:t>Total cost (</w:t>
            </w:r>
            <w:r w:rsidR="00475A50" w:rsidRPr="001761BD">
              <w:rPr>
                <w:sz w:val="20"/>
                <w:szCs w:val="20"/>
                <w:lang w:val="en-CA" w:eastAsia="zh-CN"/>
              </w:rPr>
              <w:t>US $</w:t>
            </w:r>
            <w:r w:rsidRPr="001761BD">
              <w:rPr>
                <w:sz w:val="20"/>
                <w:szCs w:val="20"/>
                <w:lang w:val="en-CA" w:eastAsia="zh-CN"/>
              </w:rPr>
              <w:t>)</w:t>
            </w:r>
          </w:p>
        </w:tc>
        <w:tc>
          <w:tcPr>
            <w:tcW w:w="116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689,910</w:t>
            </w:r>
          </w:p>
        </w:tc>
        <w:tc>
          <w:tcPr>
            <w:tcW w:w="1528" w:type="pct"/>
            <w:vAlign w:val="center"/>
          </w:tcPr>
          <w:p w:rsidR="00E90F8A" w:rsidRPr="001761BD" w:rsidRDefault="00E90F8A" w:rsidP="006322A8">
            <w:pPr>
              <w:spacing w:after="0" w:line="240" w:lineRule="auto"/>
              <w:jc w:val="right"/>
              <w:rPr>
                <w:sz w:val="20"/>
                <w:szCs w:val="20"/>
                <w:lang w:val="en-CA"/>
              </w:rPr>
            </w:pPr>
            <w:r w:rsidRPr="001761BD">
              <w:rPr>
                <w:sz w:val="20"/>
                <w:szCs w:val="20"/>
                <w:lang w:val="en-CA"/>
              </w:rPr>
              <w:t>1,324,511</w:t>
            </w:r>
          </w:p>
        </w:tc>
      </w:tr>
    </w:tbl>
    <w:p w:rsidR="00E90F8A" w:rsidRPr="0026329D" w:rsidRDefault="00E90F8A" w:rsidP="00E90F8A">
      <w:pPr>
        <w:rPr>
          <w:lang w:val="en-CA"/>
        </w:rPr>
      </w:pPr>
    </w:p>
    <w:p w:rsidR="00E90F8A" w:rsidRPr="0026329D" w:rsidRDefault="00E90F8A" w:rsidP="00E90F8A">
      <w:pPr>
        <w:spacing w:after="240"/>
        <w:rPr>
          <w:i/>
          <w:lang w:val="en-CA"/>
        </w:rPr>
      </w:pPr>
      <w:r w:rsidRPr="0026329D">
        <w:rPr>
          <w:i/>
          <w:lang w:val="en-CA"/>
        </w:rPr>
        <w:t xml:space="preserve">Revised cost of all components </w:t>
      </w:r>
    </w:p>
    <w:p w:rsidR="00E90F8A" w:rsidRPr="0026329D" w:rsidRDefault="00E90F8A" w:rsidP="00E90F8A">
      <w:pPr>
        <w:pStyle w:val="Heading1"/>
        <w:rPr>
          <w:lang w:val="en-CA"/>
        </w:rPr>
      </w:pPr>
      <w:r w:rsidRPr="0026329D">
        <w:rPr>
          <w:lang w:val="en-CA"/>
        </w:rPr>
        <w:t>In order to complete the phase-out of HCFC</w:t>
      </w:r>
      <w:r w:rsidR="00B52608" w:rsidRPr="0026329D">
        <w:rPr>
          <w:lang w:val="en-CA"/>
        </w:rPr>
        <w:t>-141b</w:t>
      </w:r>
      <w:r w:rsidRPr="0026329D">
        <w:rPr>
          <w:lang w:val="en-CA"/>
        </w:rPr>
        <w:t xml:space="preserve"> in the solvent sector by the end of 2025, the Government of China, has </w:t>
      </w:r>
      <w:r w:rsidR="00B52608" w:rsidRPr="0026329D">
        <w:rPr>
          <w:lang w:val="en-CA"/>
        </w:rPr>
        <w:t xml:space="preserve">allocated </w:t>
      </w:r>
      <w:r w:rsidR="00475A50" w:rsidRPr="0026329D">
        <w:rPr>
          <w:lang w:val="en-CA"/>
        </w:rPr>
        <w:t>US $</w:t>
      </w:r>
      <w:r w:rsidRPr="0026329D">
        <w:rPr>
          <w:lang w:val="en-CA"/>
        </w:rPr>
        <w:t>6,0</w:t>
      </w:r>
      <w:r w:rsidR="000143CA" w:rsidRPr="0026329D">
        <w:rPr>
          <w:lang w:val="en-CA"/>
        </w:rPr>
        <w:t>2</w:t>
      </w:r>
      <w:r w:rsidRPr="0026329D">
        <w:rPr>
          <w:lang w:val="en-CA"/>
        </w:rPr>
        <w:t>3,431 for the solvent sector</w:t>
      </w:r>
      <w:r w:rsidR="00B52608" w:rsidRPr="0026329D">
        <w:rPr>
          <w:lang w:val="en-CA"/>
        </w:rPr>
        <w:t xml:space="preserve"> between 2021 and 2026</w:t>
      </w:r>
      <w:r w:rsidRPr="0026329D">
        <w:rPr>
          <w:lang w:val="en-CA"/>
        </w:rPr>
        <w:t xml:space="preserve">, as described </w:t>
      </w:r>
      <w:r w:rsidR="00B52608" w:rsidRPr="0026329D">
        <w:rPr>
          <w:lang w:val="en-CA"/>
        </w:rPr>
        <w:t xml:space="preserve">as </w:t>
      </w:r>
      <w:r w:rsidRPr="0026329D">
        <w:rPr>
          <w:lang w:val="en-CA"/>
        </w:rPr>
        <w:t>summarized in Table 3.</w:t>
      </w:r>
    </w:p>
    <w:p w:rsidR="00E90F8A" w:rsidRPr="0026329D" w:rsidRDefault="00E90F8A" w:rsidP="00E90F8A">
      <w:pPr>
        <w:tabs>
          <w:tab w:val="num" w:pos="0"/>
          <w:tab w:val="num" w:pos="720"/>
          <w:tab w:val="num" w:pos="902"/>
        </w:tabs>
        <w:jc w:val="left"/>
        <w:rPr>
          <w:b/>
          <w:lang w:val="en-CA"/>
        </w:rPr>
      </w:pPr>
      <w:r w:rsidRPr="0026329D">
        <w:rPr>
          <w:b/>
          <w:lang w:val="en-CA"/>
        </w:rPr>
        <w:t>Table 3. Cost breakdown of funding</w:t>
      </w:r>
      <w:r w:rsidR="00B52608" w:rsidRPr="0026329D">
        <w:rPr>
          <w:b/>
          <w:lang w:val="en-CA"/>
        </w:rPr>
        <w:t xml:space="preserve"> for the solvent sector plan (2021-2026)</w:t>
      </w:r>
    </w:p>
    <w:tbl>
      <w:tblPr>
        <w:tblStyle w:val="TableGrid"/>
        <w:tblW w:w="9445" w:type="dxa"/>
        <w:tblLook w:val="04A0" w:firstRow="1" w:lastRow="0" w:firstColumn="1" w:lastColumn="0" w:noHBand="0" w:noVBand="1"/>
      </w:tblPr>
      <w:tblGrid>
        <w:gridCol w:w="1975"/>
        <w:gridCol w:w="5760"/>
        <w:gridCol w:w="1710"/>
      </w:tblGrid>
      <w:tr w:rsidR="00E90F8A" w:rsidRPr="0026329D" w:rsidTr="00650E5A">
        <w:trPr>
          <w:tblHeader/>
        </w:trPr>
        <w:tc>
          <w:tcPr>
            <w:tcW w:w="1975" w:type="dxa"/>
            <w:tcMar>
              <w:left w:w="43" w:type="dxa"/>
              <w:right w:w="0" w:type="dxa"/>
            </w:tcMar>
          </w:tcPr>
          <w:p w:rsidR="00E90F8A" w:rsidRPr="0026329D" w:rsidRDefault="00B52608" w:rsidP="00B52608">
            <w:pPr>
              <w:pStyle w:val="Heading1"/>
              <w:numPr>
                <w:ilvl w:val="0"/>
                <w:numId w:val="0"/>
              </w:numPr>
              <w:spacing w:after="0"/>
              <w:outlineLvl w:val="0"/>
              <w:rPr>
                <w:b/>
                <w:sz w:val="20"/>
                <w:szCs w:val="20"/>
                <w:lang w:val="en-CA"/>
              </w:rPr>
            </w:pPr>
            <w:r w:rsidRPr="0026329D">
              <w:rPr>
                <w:b/>
                <w:sz w:val="20"/>
                <w:szCs w:val="20"/>
                <w:lang w:val="en-CA"/>
              </w:rPr>
              <w:t>Description</w:t>
            </w:r>
          </w:p>
        </w:tc>
        <w:tc>
          <w:tcPr>
            <w:tcW w:w="5760" w:type="dxa"/>
          </w:tcPr>
          <w:p w:rsidR="00E90F8A" w:rsidRPr="0026329D" w:rsidRDefault="00E90F8A" w:rsidP="006322A8">
            <w:pPr>
              <w:pStyle w:val="Heading1"/>
              <w:numPr>
                <w:ilvl w:val="0"/>
                <w:numId w:val="0"/>
              </w:numPr>
              <w:spacing w:after="0"/>
              <w:jc w:val="center"/>
              <w:outlineLvl w:val="0"/>
              <w:rPr>
                <w:b/>
                <w:sz w:val="20"/>
                <w:szCs w:val="20"/>
                <w:lang w:val="en-CA"/>
              </w:rPr>
            </w:pPr>
            <w:r w:rsidRPr="0026329D">
              <w:rPr>
                <w:b/>
                <w:sz w:val="20"/>
                <w:szCs w:val="20"/>
                <w:lang w:val="en-CA"/>
              </w:rPr>
              <w:t>Activities</w:t>
            </w:r>
          </w:p>
        </w:tc>
        <w:tc>
          <w:tcPr>
            <w:tcW w:w="1710" w:type="dxa"/>
          </w:tcPr>
          <w:p w:rsidR="00E90F8A" w:rsidRPr="0026329D" w:rsidRDefault="00E90F8A" w:rsidP="006322A8">
            <w:pPr>
              <w:pStyle w:val="Heading1"/>
              <w:numPr>
                <w:ilvl w:val="0"/>
                <w:numId w:val="0"/>
              </w:numPr>
              <w:spacing w:after="0"/>
              <w:jc w:val="center"/>
              <w:outlineLvl w:val="0"/>
              <w:rPr>
                <w:b/>
                <w:sz w:val="20"/>
                <w:szCs w:val="20"/>
                <w:lang w:val="en-CA"/>
              </w:rPr>
            </w:pPr>
            <w:r w:rsidRPr="0026329D">
              <w:rPr>
                <w:b/>
                <w:sz w:val="20"/>
                <w:szCs w:val="20"/>
                <w:lang w:val="en-CA"/>
              </w:rPr>
              <w:t>Funding (</w:t>
            </w:r>
            <w:r w:rsidR="00475A50" w:rsidRPr="0026329D">
              <w:rPr>
                <w:b/>
                <w:sz w:val="20"/>
                <w:szCs w:val="20"/>
                <w:lang w:val="en-CA"/>
              </w:rPr>
              <w:t>US $</w:t>
            </w:r>
            <w:r w:rsidRPr="0026329D">
              <w:rPr>
                <w:b/>
                <w:sz w:val="20"/>
                <w:szCs w:val="20"/>
                <w:lang w:val="en-CA"/>
              </w:rPr>
              <w:t>)</w:t>
            </w:r>
          </w:p>
        </w:tc>
      </w:tr>
      <w:tr w:rsidR="00E90F8A" w:rsidRPr="0026329D" w:rsidTr="00B52608">
        <w:tc>
          <w:tcPr>
            <w:tcW w:w="1975" w:type="dxa"/>
            <w:tcMar>
              <w:left w:w="43" w:type="dxa"/>
              <w:right w:w="0" w:type="dxa"/>
            </w:tcMar>
          </w:tcPr>
          <w:p w:rsidR="00E90F8A" w:rsidRPr="0026329D" w:rsidRDefault="00E90F8A" w:rsidP="00B52608">
            <w:pPr>
              <w:pStyle w:val="Heading1"/>
              <w:numPr>
                <w:ilvl w:val="0"/>
                <w:numId w:val="0"/>
              </w:numPr>
              <w:spacing w:after="0"/>
              <w:outlineLvl w:val="0"/>
              <w:rPr>
                <w:sz w:val="20"/>
                <w:szCs w:val="20"/>
                <w:lang w:val="en-CA"/>
              </w:rPr>
            </w:pPr>
            <w:r w:rsidRPr="0026329D">
              <w:rPr>
                <w:sz w:val="20"/>
                <w:szCs w:val="20"/>
                <w:lang w:val="en-CA"/>
              </w:rPr>
              <w:t xml:space="preserve">Conversion </w:t>
            </w:r>
            <w:r w:rsidR="00B52608" w:rsidRPr="0026329D">
              <w:rPr>
                <w:sz w:val="20"/>
                <w:szCs w:val="20"/>
                <w:lang w:val="en-CA"/>
              </w:rPr>
              <w:t>enterprises</w:t>
            </w: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Investment projects for 25 enterprises</w:t>
            </w:r>
          </w:p>
        </w:tc>
        <w:tc>
          <w:tcPr>
            <w:tcW w:w="1710" w:type="dxa"/>
          </w:tcPr>
          <w:p w:rsidR="00E90F8A" w:rsidRPr="0026329D" w:rsidRDefault="00717853" w:rsidP="006322A8">
            <w:pPr>
              <w:pStyle w:val="Heading1"/>
              <w:numPr>
                <w:ilvl w:val="0"/>
                <w:numId w:val="0"/>
              </w:numPr>
              <w:spacing w:after="0"/>
              <w:jc w:val="right"/>
              <w:outlineLvl w:val="0"/>
              <w:rPr>
                <w:sz w:val="20"/>
                <w:szCs w:val="20"/>
                <w:lang w:val="en-CA"/>
              </w:rPr>
            </w:pPr>
            <w:r w:rsidRPr="0026329D">
              <w:rPr>
                <w:sz w:val="20"/>
                <w:szCs w:val="20"/>
                <w:lang w:val="en-CA"/>
              </w:rPr>
              <w:t>4,292,143</w:t>
            </w:r>
          </w:p>
        </w:tc>
      </w:tr>
      <w:tr w:rsidR="00E90F8A" w:rsidRPr="0026329D" w:rsidTr="00B52608">
        <w:tc>
          <w:tcPr>
            <w:tcW w:w="1975" w:type="dxa"/>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TA</w:t>
            </w: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Policy development, standards setting, etc.</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1,400,000</w:t>
            </w:r>
          </w:p>
        </w:tc>
      </w:tr>
      <w:tr w:rsidR="00E90F8A" w:rsidRPr="0026329D" w:rsidTr="00B52608">
        <w:tc>
          <w:tcPr>
            <w:tcW w:w="1975" w:type="dxa"/>
            <w:vMerge w:val="restart"/>
            <w:tcMar>
              <w:left w:w="43" w:type="dxa"/>
              <w:right w:w="0" w:type="dxa"/>
            </w:tcMar>
            <w:vAlign w:val="center"/>
          </w:tcPr>
          <w:p w:rsidR="00E90F8A" w:rsidRPr="0026329D" w:rsidRDefault="00B52608" w:rsidP="00AA78DC">
            <w:pPr>
              <w:pStyle w:val="Heading1"/>
              <w:numPr>
                <w:ilvl w:val="0"/>
                <w:numId w:val="0"/>
              </w:numPr>
              <w:spacing w:after="0"/>
              <w:jc w:val="left"/>
              <w:outlineLvl w:val="0"/>
              <w:rPr>
                <w:sz w:val="20"/>
                <w:szCs w:val="20"/>
                <w:lang w:val="en-CA"/>
              </w:rPr>
            </w:pPr>
            <w:r w:rsidRPr="0026329D">
              <w:rPr>
                <w:sz w:val="20"/>
                <w:szCs w:val="20"/>
                <w:lang w:val="en-CA"/>
              </w:rPr>
              <w:t>PMU</w:t>
            </w: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Programme management team</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64,011</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Travel (domestic/international)</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17,192</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Meetings and conferences</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15,205</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Consulting service fees</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13,780</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Auxiliary personnel fees</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114,820</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Computers, Internet, postal fees, telephone, and printing</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28,425</w:t>
            </w:r>
          </w:p>
        </w:tc>
      </w:tr>
      <w:tr w:rsidR="00E90F8A" w:rsidRPr="0026329D" w:rsidTr="00B52608">
        <w:tc>
          <w:tcPr>
            <w:tcW w:w="1975" w:type="dxa"/>
            <w:vMerge/>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p>
        </w:tc>
        <w:tc>
          <w:tcPr>
            <w:tcW w:w="5760" w:type="dxa"/>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Office operation service and maintenance, public facilities expenses</w:t>
            </w:r>
          </w:p>
        </w:tc>
        <w:tc>
          <w:tcPr>
            <w:tcW w:w="1710" w:type="dxa"/>
          </w:tcPr>
          <w:p w:rsidR="00E90F8A" w:rsidRPr="0026329D" w:rsidRDefault="00E90F8A" w:rsidP="006322A8">
            <w:pPr>
              <w:pStyle w:val="Heading1"/>
              <w:numPr>
                <w:ilvl w:val="0"/>
                <w:numId w:val="0"/>
              </w:numPr>
              <w:spacing w:after="0"/>
              <w:jc w:val="right"/>
              <w:outlineLvl w:val="0"/>
              <w:rPr>
                <w:sz w:val="20"/>
                <w:szCs w:val="20"/>
                <w:lang w:val="en-CA"/>
              </w:rPr>
            </w:pPr>
            <w:r w:rsidRPr="0026329D">
              <w:rPr>
                <w:sz w:val="20"/>
                <w:szCs w:val="20"/>
                <w:lang w:val="en-CA"/>
              </w:rPr>
              <w:t>77,855</w:t>
            </w:r>
          </w:p>
        </w:tc>
      </w:tr>
      <w:tr w:rsidR="00E90F8A" w:rsidRPr="0026329D" w:rsidTr="00B52608">
        <w:tc>
          <w:tcPr>
            <w:tcW w:w="1975" w:type="dxa"/>
            <w:tcMar>
              <w:left w:w="43" w:type="dxa"/>
              <w:right w:w="0" w:type="dxa"/>
            </w:tcMar>
          </w:tcPr>
          <w:p w:rsidR="00E90F8A" w:rsidRPr="0026329D" w:rsidRDefault="00E90F8A" w:rsidP="006322A8">
            <w:pPr>
              <w:pStyle w:val="Heading1"/>
              <w:numPr>
                <w:ilvl w:val="0"/>
                <w:numId w:val="0"/>
              </w:numPr>
              <w:spacing w:after="0"/>
              <w:outlineLvl w:val="0"/>
              <w:rPr>
                <w:sz w:val="20"/>
                <w:szCs w:val="20"/>
                <w:lang w:val="en-CA"/>
              </w:rPr>
            </w:pPr>
            <w:r w:rsidRPr="0026329D">
              <w:rPr>
                <w:sz w:val="20"/>
                <w:szCs w:val="20"/>
                <w:lang w:val="en-CA"/>
              </w:rPr>
              <w:t>Total</w:t>
            </w:r>
          </w:p>
        </w:tc>
        <w:tc>
          <w:tcPr>
            <w:tcW w:w="5760" w:type="dxa"/>
          </w:tcPr>
          <w:p w:rsidR="00E90F8A" w:rsidRPr="0026329D" w:rsidRDefault="00E90F8A" w:rsidP="006322A8">
            <w:pPr>
              <w:pStyle w:val="Heading1"/>
              <w:numPr>
                <w:ilvl w:val="0"/>
                <w:numId w:val="0"/>
              </w:numPr>
              <w:spacing w:after="0"/>
              <w:outlineLvl w:val="0"/>
              <w:rPr>
                <w:sz w:val="20"/>
                <w:szCs w:val="20"/>
                <w:lang w:val="en-CA"/>
              </w:rPr>
            </w:pPr>
          </w:p>
        </w:tc>
        <w:tc>
          <w:tcPr>
            <w:tcW w:w="1710" w:type="dxa"/>
          </w:tcPr>
          <w:p w:rsidR="00E90F8A" w:rsidRPr="0026329D" w:rsidRDefault="00E90F8A" w:rsidP="00717853">
            <w:pPr>
              <w:pStyle w:val="Heading1"/>
              <w:numPr>
                <w:ilvl w:val="0"/>
                <w:numId w:val="0"/>
              </w:numPr>
              <w:spacing w:after="0"/>
              <w:jc w:val="right"/>
              <w:outlineLvl w:val="0"/>
              <w:rPr>
                <w:b/>
                <w:sz w:val="20"/>
                <w:szCs w:val="20"/>
                <w:lang w:val="en-CA"/>
              </w:rPr>
            </w:pPr>
            <w:r w:rsidRPr="0026329D">
              <w:rPr>
                <w:b/>
                <w:sz w:val="20"/>
                <w:szCs w:val="20"/>
                <w:lang w:val="en-CA"/>
              </w:rPr>
              <w:t>6,0</w:t>
            </w:r>
            <w:r w:rsidR="00717853" w:rsidRPr="0026329D">
              <w:rPr>
                <w:b/>
                <w:sz w:val="20"/>
                <w:szCs w:val="20"/>
                <w:lang w:val="en-CA"/>
              </w:rPr>
              <w:t>2</w:t>
            </w:r>
            <w:r w:rsidRPr="0026329D">
              <w:rPr>
                <w:b/>
                <w:sz w:val="20"/>
                <w:szCs w:val="20"/>
                <w:lang w:val="en-CA"/>
              </w:rPr>
              <w:t>3,431</w:t>
            </w:r>
          </w:p>
        </w:tc>
      </w:tr>
    </w:tbl>
    <w:p w:rsidR="00E90F8A" w:rsidRPr="0026329D" w:rsidRDefault="00E90F8A" w:rsidP="00AA78DC">
      <w:pPr>
        <w:pStyle w:val="Heading1"/>
        <w:numPr>
          <w:ilvl w:val="0"/>
          <w:numId w:val="0"/>
        </w:numPr>
        <w:spacing w:after="0"/>
        <w:rPr>
          <w:i/>
          <w:lang w:val="en-CA"/>
        </w:rPr>
      </w:pPr>
    </w:p>
    <w:p w:rsidR="00E90F8A" w:rsidRPr="0026329D" w:rsidRDefault="00E90F8A" w:rsidP="00E90F8A">
      <w:pPr>
        <w:pStyle w:val="Heading1"/>
        <w:keepNext/>
        <w:numPr>
          <w:ilvl w:val="0"/>
          <w:numId w:val="0"/>
        </w:numPr>
        <w:rPr>
          <w:i/>
          <w:lang w:val="en-CA"/>
        </w:rPr>
      </w:pPr>
      <w:r w:rsidRPr="0026329D">
        <w:rPr>
          <w:i/>
          <w:lang w:val="en-CA"/>
        </w:rPr>
        <w:t>Tranche distribution (2021-2026)</w:t>
      </w:r>
    </w:p>
    <w:p w:rsidR="00E90F8A" w:rsidRPr="0026329D" w:rsidRDefault="00E90F8A" w:rsidP="00E90F8A">
      <w:pPr>
        <w:pStyle w:val="Heading1"/>
        <w:keepNext/>
        <w:rPr>
          <w:lang w:val="en-CA"/>
        </w:rPr>
      </w:pPr>
      <w:r w:rsidRPr="0026329D">
        <w:rPr>
          <w:lang w:val="en-CA"/>
        </w:rPr>
        <w:t xml:space="preserve">The tranche disbursement schedule for the years 2021 to 2026 is contained in Table 4. The entire tranche disbursement schedule for </w:t>
      </w:r>
      <w:r w:rsidR="00A81DEE" w:rsidRPr="0026329D">
        <w:rPr>
          <w:lang w:val="en-CA"/>
        </w:rPr>
        <w:t>stage </w:t>
      </w:r>
      <w:r w:rsidRPr="0026329D">
        <w:rPr>
          <w:lang w:val="en-CA"/>
        </w:rPr>
        <w:t xml:space="preserve">II of the Solvent sector plan is in rows 2.6.1 and 2.6.2 of Appendix 2-A of the draft revised Agreement between the Government of China and the Executive Committee submitted by UNDP, in Annex II </w:t>
      </w:r>
    </w:p>
    <w:p w:rsidR="00E90F8A" w:rsidRPr="0026329D" w:rsidRDefault="00E90F8A" w:rsidP="00E90F8A">
      <w:pPr>
        <w:tabs>
          <w:tab w:val="num" w:pos="0"/>
          <w:tab w:val="num" w:pos="720"/>
          <w:tab w:val="num" w:pos="902"/>
        </w:tabs>
        <w:rPr>
          <w:b/>
          <w:lang w:val="en-CA"/>
        </w:rPr>
      </w:pPr>
      <w:r w:rsidRPr="0026329D">
        <w:rPr>
          <w:b/>
          <w:lang w:val="en-CA"/>
        </w:rPr>
        <w:t>Table 4. Tranche distribution solvent sector plan 2021-2016 (</w:t>
      </w:r>
      <w:r w:rsidR="00475A50" w:rsidRPr="0026329D">
        <w:rPr>
          <w:b/>
          <w:lang w:val="en-CA"/>
        </w:rPr>
        <w:t>US $</w:t>
      </w:r>
      <w:r w:rsidRPr="0026329D">
        <w:rPr>
          <w:b/>
          <w:lang w:val="en-CA"/>
        </w:rPr>
        <w:t>)</w:t>
      </w:r>
    </w:p>
    <w:tbl>
      <w:tblPr>
        <w:tblStyle w:val="TableGrid"/>
        <w:tblW w:w="0" w:type="auto"/>
        <w:tblLook w:val="04A0" w:firstRow="1" w:lastRow="0" w:firstColumn="1" w:lastColumn="0" w:noHBand="0" w:noVBand="1"/>
      </w:tblPr>
      <w:tblGrid>
        <w:gridCol w:w="1435"/>
        <w:gridCol w:w="1190"/>
        <w:gridCol w:w="1366"/>
        <w:gridCol w:w="1366"/>
        <w:gridCol w:w="1366"/>
        <w:gridCol w:w="1366"/>
        <w:gridCol w:w="1261"/>
      </w:tblGrid>
      <w:tr w:rsidR="00E90F8A" w:rsidRPr="0026329D" w:rsidTr="00AA78DC">
        <w:tc>
          <w:tcPr>
            <w:tcW w:w="1435" w:type="dxa"/>
            <w:vAlign w:val="center"/>
          </w:tcPr>
          <w:p w:rsidR="00E90F8A" w:rsidRPr="0026329D" w:rsidRDefault="00AA78DC" w:rsidP="00AA78DC">
            <w:pPr>
              <w:tabs>
                <w:tab w:val="num" w:pos="0"/>
                <w:tab w:val="num" w:pos="720"/>
                <w:tab w:val="num" w:pos="902"/>
              </w:tabs>
              <w:jc w:val="left"/>
              <w:rPr>
                <w:b/>
                <w:sz w:val="20"/>
                <w:szCs w:val="20"/>
                <w:lang w:val="en-CA"/>
              </w:rPr>
            </w:pPr>
            <w:r w:rsidRPr="0026329D">
              <w:rPr>
                <w:b/>
                <w:sz w:val="20"/>
                <w:szCs w:val="20"/>
                <w:lang w:val="en-CA"/>
              </w:rPr>
              <w:t>Item</w:t>
            </w:r>
          </w:p>
        </w:tc>
        <w:tc>
          <w:tcPr>
            <w:tcW w:w="1190"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2021</w:t>
            </w:r>
          </w:p>
        </w:tc>
        <w:tc>
          <w:tcPr>
            <w:tcW w:w="1366"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2022</w:t>
            </w:r>
          </w:p>
        </w:tc>
        <w:tc>
          <w:tcPr>
            <w:tcW w:w="1366"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2023</w:t>
            </w:r>
          </w:p>
        </w:tc>
        <w:tc>
          <w:tcPr>
            <w:tcW w:w="1366"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2024</w:t>
            </w:r>
          </w:p>
        </w:tc>
        <w:tc>
          <w:tcPr>
            <w:tcW w:w="1366"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2025</w:t>
            </w:r>
          </w:p>
        </w:tc>
        <w:tc>
          <w:tcPr>
            <w:tcW w:w="1261" w:type="dxa"/>
          </w:tcPr>
          <w:p w:rsidR="00E90F8A" w:rsidRPr="0026329D" w:rsidRDefault="00E90F8A" w:rsidP="006322A8">
            <w:pPr>
              <w:tabs>
                <w:tab w:val="num" w:pos="0"/>
                <w:tab w:val="num" w:pos="720"/>
                <w:tab w:val="num" w:pos="902"/>
              </w:tabs>
              <w:jc w:val="center"/>
              <w:rPr>
                <w:b/>
                <w:sz w:val="20"/>
                <w:szCs w:val="20"/>
                <w:lang w:val="en-CA"/>
              </w:rPr>
            </w:pPr>
            <w:r w:rsidRPr="0026329D">
              <w:rPr>
                <w:b/>
                <w:sz w:val="20"/>
                <w:szCs w:val="20"/>
                <w:lang w:val="en-CA"/>
              </w:rPr>
              <w:t>2026</w:t>
            </w:r>
          </w:p>
        </w:tc>
      </w:tr>
      <w:tr w:rsidR="00E90F8A" w:rsidRPr="0026329D" w:rsidTr="006322A8">
        <w:tc>
          <w:tcPr>
            <w:tcW w:w="1435" w:type="dxa"/>
          </w:tcPr>
          <w:p w:rsidR="00E90F8A" w:rsidRPr="0026329D" w:rsidRDefault="00E90F8A" w:rsidP="006322A8">
            <w:pPr>
              <w:tabs>
                <w:tab w:val="num" w:pos="0"/>
                <w:tab w:val="num" w:pos="720"/>
                <w:tab w:val="num" w:pos="902"/>
              </w:tabs>
              <w:rPr>
                <w:sz w:val="20"/>
                <w:szCs w:val="20"/>
                <w:lang w:val="en-CA"/>
              </w:rPr>
            </w:pPr>
            <w:r w:rsidRPr="0026329D">
              <w:rPr>
                <w:sz w:val="20"/>
                <w:szCs w:val="20"/>
                <w:lang w:val="en-CA"/>
              </w:rPr>
              <w:t>Amount</w:t>
            </w:r>
          </w:p>
        </w:tc>
        <w:tc>
          <w:tcPr>
            <w:tcW w:w="1190" w:type="dxa"/>
          </w:tcPr>
          <w:p w:rsidR="00E90F8A" w:rsidRPr="0026329D" w:rsidRDefault="00E90F8A" w:rsidP="006322A8">
            <w:pPr>
              <w:tabs>
                <w:tab w:val="num" w:pos="0"/>
                <w:tab w:val="num" w:pos="720"/>
                <w:tab w:val="num" w:pos="902"/>
              </w:tabs>
              <w:jc w:val="right"/>
              <w:rPr>
                <w:sz w:val="20"/>
                <w:szCs w:val="20"/>
                <w:lang w:val="en-CA"/>
              </w:rPr>
            </w:pPr>
            <w:r w:rsidRPr="0026329D">
              <w:rPr>
                <w:sz w:val="20"/>
                <w:szCs w:val="20"/>
                <w:lang w:val="en-CA"/>
              </w:rPr>
              <w:t>2,500,000</w:t>
            </w:r>
          </w:p>
        </w:tc>
        <w:tc>
          <w:tcPr>
            <w:tcW w:w="1366" w:type="dxa"/>
          </w:tcPr>
          <w:p w:rsidR="00E90F8A" w:rsidRPr="0026329D" w:rsidRDefault="00E90F8A" w:rsidP="006322A8">
            <w:pPr>
              <w:tabs>
                <w:tab w:val="num" w:pos="0"/>
                <w:tab w:val="num" w:pos="720"/>
                <w:tab w:val="num" w:pos="902"/>
              </w:tabs>
              <w:jc w:val="right"/>
              <w:rPr>
                <w:sz w:val="20"/>
                <w:szCs w:val="20"/>
                <w:lang w:val="en-CA"/>
              </w:rPr>
            </w:pPr>
            <w:r w:rsidRPr="0026329D">
              <w:rPr>
                <w:sz w:val="20"/>
                <w:szCs w:val="20"/>
                <w:lang w:val="en-CA"/>
              </w:rPr>
              <w:t>1,000,000</w:t>
            </w:r>
          </w:p>
        </w:tc>
        <w:tc>
          <w:tcPr>
            <w:tcW w:w="1366" w:type="dxa"/>
          </w:tcPr>
          <w:p w:rsidR="00E90F8A" w:rsidRPr="0026329D" w:rsidRDefault="00E90F8A" w:rsidP="006322A8">
            <w:pPr>
              <w:tabs>
                <w:tab w:val="num" w:pos="0"/>
                <w:tab w:val="num" w:pos="720"/>
                <w:tab w:val="num" w:pos="902"/>
              </w:tabs>
              <w:jc w:val="right"/>
              <w:rPr>
                <w:sz w:val="20"/>
                <w:szCs w:val="20"/>
                <w:lang w:val="en-CA"/>
              </w:rPr>
            </w:pPr>
            <w:r w:rsidRPr="0026329D">
              <w:rPr>
                <w:sz w:val="20"/>
                <w:szCs w:val="20"/>
                <w:lang w:val="en-CA"/>
              </w:rPr>
              <w:t>2,000,000</w:t>
            </w:r>
          </w:p>
        </w:tc>
        <w:tc>
          <w:tcPr>
            <w:tcW w:w="1366" w:type="dxa"/>
          </w:tcPr>
          <w:p w:rsidR="00E90F8A" w:rsidRPr="0026329D" w:rsidRDefault="00E90F8A" w:rsidP="006322A8">
            <w:pPr>
              <w:tabs>
                <w:tab w:val="num" w:pos="0"/>
                <w:tab w:val="num" w:pos="720"/>
                <w:tab w:val="num" w:pos="902"/>
              </w:tabs>
              <w:jc w:val="right"/>
              <w:rPr>
                <w:sz w:val="20"/>
                <w:szCs w:val="20"/>
                <w:lang w:val="en-CA"/>
              </w:rPr>
            </w:pPr>
            <w:r w:rsidRPr="0026329D">
              <w:rPr>
                <w:sz w:val="20"/>
                <w:szCs w:val="20"/>
                <w:lang w:val="en-CA"/>
              </w:rPr>
              <w:t>0.00</w:t>
            </w:r>
          </w:p>
        </w:tc>
        <w:tc>
          <w:tcPr>
            <w:tcW w:w="1366" w:type="dxa"/>
          </w:tcPr>
          <w:p w:rsidR="00E90F8A" w:rsidRPr="0026329D" w:rsidRDefault="00E90F8A" w:rsidP="00717853">
            <w:pPr>
              <w:tabs>
                <w:tab w:val="num" w:pos="0"/>
                <w:tab w:val="num" w:pos="720"/>
                <w:tab w:val="num" w:pos="902"/>
              </w:tabs>
              <w:jc w:val="right"/>
              <w:rPr>
                <w:sz w:val="20"/>
                <w:szCs w:val="20"/>
                <w:lang w:val="en-CA"/>
              </w:rPr>
            </w:pPr>
            <w:r w:rsidRPr="0026329D">
              <w:rPr>
                <w:sz w:val="20"/>
                <w:szCs w:val="20"/>
                <w:lang w:val="en-CA"/>
              </w:rPr>
              <w:t>5</w:t>
            </w:r>
            <w:r w:rsidR="00717853" w:rsidRPr="0026329D">
              <w:rPr>
                <w:sz w:val="20"/>
                <w:szCs w:val="20"/>
                <w:lang w:val="en-CA"/>
              </w:rPr>
              <w:t>23</w:t>
            </w:r>
            <w:r w:rsidRPr="0026329D">
              <w:rPr>
                <w:sz w:val="20"/>
                <w:szCs w:val="20"/>
                <w:lang w:val="en-CA"/>
              </w:rPr>
              <w:t>,</w:t>
            </w:r>
            <w:r w:rsidR="00717853" w:rsidRPr="0026329D">
              <w:rPr>
                <w:sz w:val="20"/>
                <w:szCs w:val="20"/>
                <w:lang w:val="en-CA"/>
              </w:rPr>
              <w:t>431</w:t>
            </w:r>
          </w:p>
        </w:tc>
        <w:tc>
          <w:tcPr>
            <w:tcW w:w="1261" w:type="dxa"/>
          </w:tcPr>
          <w:p w:rsidR="00E90F8A" w:rsidRPr="0026329D" w:rsidRDefault="00E90F8A" w:rsidP="006322A8">
            <w:pPr>
              <w:tabs>
                <w:tab w:val="num" w:pos="0"/>
                <w:tab w:val="num" w:pos="720"/>
                <w:tab w:val="num" w:pos="902"/>
              </w:tabs>
              <w:jc w:val="right"/>
              <w:rPr>
                <w:sz w:val="20"/>
                <w:szCs w:val="20"/>
                <w:lang w:val="en-CA"/>
              </w:rPr>
            </w:pPr>
            <w:r w:rsidRPr="0026329D">
              <w:rPr>
                <w:sz w:val="20"/>
                <w:szCs w:val="20"/>
                <w:lang w:val="en-CA"/>
              </w:rPr>
              <w:t>0.00</w:t>
            </w:r>
          </w:p>
        </w:tc>
      </w:tr>
    </w:tbl>
    <w:p w:rsidR="00E90F8A" w:rsidRPr="0026329D" w:rsidRDefault="00E90F8A" w:rsidP="00E90F8A">
      <w:pPr>
        <w:tabs>
          <w:tab w:val="num" w:pos="0"/>
          <w:tab w:val="num" w:pos="720"/>
          <w:tab w:val="num" w:pos="902"/>
        </w:tabs>
        <w:rPr>
          <w:lang w:val="en-CA"/>
        </w:rPr>
      </w:pPr>
    </w:p>
    <w:p w:rsidR="00E90F8A" w:rsidRPr="0026329D" w:rsidRDefault="00E90F8A" w:rsidP="002E42DE">
      <w:pPr>
        <w:keepNext/>
        <w:tabs>
          <w:tab w:val="num" w:pos="0"/>
          <w:tab w:val="num" w:pos="720"/>
          <w:tab w:val="num" w:pos="902"/>
        </w:tabs>
        <w:spacing w:after="240"/>
        <w:rPr>
          <w:b/>
          <w:lang w:val="en-CA"/>
        </w:rPr>
      </w:pPr>
      <w:r w:rsidRPr="0026329D">
        <w:rPr>
          <w:b/>
          <w:lang w:val="en-CA"/>
        </w:rPr>
        <w:t>Secretariat’s comments</w:t>
      </w:r>
    </w:p>
    <w:p w:rsidR="00E90F8A" w:rsidRPr="0026329D" w:rsidRDefault="00E90F8A" w:rsidP="00E90F8A">
      <w:pPr>
        <w:pStyle w:val="Heading1"/>
        <w:rPr>
          <w:lang w:val="en-CA"/>
        </w:rPr>
      </w:pPr>
      <w:r w:rsidRPr="0026329D">
        <w:rPr>
          <w:lang w:val="en-CA"/>
        </w:rPr>
        <w:t xml:space="preserve">The Secretariat noted that the overall cost of </w:t>
      </w:r>
      <w:r w:rsidR="00A81DEE" w:rsidRPr="0026329D">
        <w:rPr>
          <w:lang w:val="en-CA"/>
        </w:rPr>
        <w:t>stage </w:t>
      </w:r>
      <w:r w:rsidRPr="0026329D">
        <w:rPr>
          <w:lang w:val="en-CA"/>
        </w:rPr>
        <w:t xml:space="preserve">II of the solvent sector plan was adjusted from the original approval of </w:t>
      </w:r>
      <w:r w:rsidR="00475A50" w:rsidRPr="0026329D">
        <w:rPr>
          <w:lang w:val="en-CA"/>
        </w:rPr>
        <w:t>US $</w:t>
      </w:r>
      <w:r w:rsidRPr="0026329D">
        <w:rPr>
          <w:lang w:val="en-CA"/>
        </w:rPr>
        <w:t xml:space="preserve">44,800,000 to </w:t>
      </w:r>
      <w:r w:rsidR="00475A50" w:rsidRPr="0026329D">
        <w:rPr>
          <w:lang w:val="en-CA"/>
        </w:rPr>
        <w:t>US $</w:t>
      </w:r>
      <w:r w:rsidRPr="0026329D">
        <w:rPr>
          <w:lang w:val="en-CA"/>
        </w:rPr>
        <w:t xml:space="preserve">25,589,340; and that the Government of China, with the adjusted funding committed to meet the total phase-out of HCFC-141b in the solvent sector through the adoption of low-GWP alternatives. It was explained that the reduction in funding will be able to provide assistance to only a limited number of beneficiaries, however, the Government intends to implement a package of policy, regulations and TA to encourage and sustain the phase-out in the sector. These will include the strict enforcement of the quota and registration management of enterprises, as well as potential bans on HCFC-141b consumption in the solvent sector. The Government had also made commitments with the solvent enterprises in order for them to provide counterpart funding to enable conversions of a large number of SMEs. </w:t>
      </w:r>
    </w:p>
    <w:p w:rsidR="00E90F8A" w:rsidRPr="0026329D" w:rsidRDefault="00E90F8A" w:rsidP="00E90F8A">
      <w:pPr>
        <w:pStyle w:val="Heading1"/>
        <w:rPr>
          <w:lang w:val="en-CA"/>
        </w:rPr>
      </w:pPr>
      <w:r w:rsidRPr="0026329D">
        <w:rPr>
          <w:lang w:val="en-CA"/>
        </w:rPr>
        <w:t>UNDP further explained that there will be close monitoring of the phase-out in these solvent enterprises which will be done through strengthened capacity of local EEB’s (training and capacity building of EEB’s for supervision and inspection of ODS related activities are planned for 2021). The MEE has also issued guidelines on a trial basis for the supervision of ODS and training of officials from provincial, municipal, and county levels to manage and monitor the HCFC phase-out.</w:t>
      </w:r>
    </w:p>
    <w:p w:rsidR="00E90F8A" w:rsidRPr="0026329D" w:rsidRDefault="00E90F8A" w:rsidP="00E90F8A">
      <w:pPr>
        <w:pStyle w:val="Heading1"/>
        <w:rPr>
          <w:lang w:val="en-CA"/>
        </w:rPr>
      </w:pPr>
      <w:r w:rsidRPr="0026329D">
        <w:rPr>
          <w:lang w:val="en-CA"/>
        </w:rPr>
        <w:t>In clarifying the difference between the cost of consultancy services as part of TA and the same cost included in the budget for the PMU, UNDP explained that consultancy services that are part of TA will focus on consultations for the enterprises in the solvent sector, whereas the cost included in the PMU will refer to consultation provided to FECO staff during project management and monitoring.</w:t>
      </w:r>
    </w:p>
    <w:p w:rsidR="00E90F8A" w:rsidRPr="0026329D" w:rsidRDefault="003304E4" w:rsidP="00E90F8A">
      <w:pPr>
        <w:pStyle w:val="Heading1"/>
        <w:numPr>
          <w:ilvl w:val="0"/>
          <w:numId w:val="0"/>
        </w:numPr>
        <w:rPr>
          <w:lang w:val="en-CA"/>
        </w:rPr>
      </w:pPr>
      <w:r w:rsidRPr="0026329D">
        <w:rPr>
          <w:b/>
          <w:lang w:val="en-CA"/>
        </w:rPr>
        <w:t>Recommendation</w:t>
      </w:r>
    </w:p>
    <w:p w:rsidR="004E7321" w:rsidRPr="0026329D" w:rsidRDefault="00E90F8A" w:rsidP="00E90F8A">
      <w:pPr>
        <w:pStyle w:val="Heading1"/>
        <w:rPr>
          <w:lang w:val="en-CA"/>
        </w:rPr>
      </w:pPr>
      <w:r w:rsidRPr="0026329D">
        <w:rPr>
          <w:lang w:val="en-CA"/>
        </w:rPr>
        <w:t xml:space="preserve">The Executive Committee may wish to approve the revised plan of action for </w:t>
      </w:r>
      <w:r w:rsidR="00A81DEE" w:rsidRPr="0026329D">
        <w:rPr>
          <w:lang w:val="en-CA"/>
        </w:rPr>
        <w:t>stage </w:t>
      </w:r>
      <w:r w:rsidRPr="0026329D">
        <w:rPr>
          <w:lang w:val="en-CA"/>
        </w:rPr>
        <w:t>II of the solvent sector plan submitted by UNDP in line with decision 84/69(a)(iv)b</w:t>
      </w:r>
      <w:r w:rsidR="00085689" w:rsidRPr="0026329D">
        <w:rPr>
          <w:lang w:val="en-CA"/>
        </w:rPr>
        <w:t>.</w:t>
      </w:r>
      <w:r w:rsidRPr="0026329D">
        <w:rPr>
          <w:lang w:val="en-CA"/>
        </w:rPr>
        <w:t xml:space="preserve"> and (v) as described in document UNEP/OzL.Pro/ExCom/86/21/Add.1.</w:t>
      </w:r>
    </w:p>
    <w:p w:rsidR="004E7321" w:rsidRPr="0026329D" w:rsidRDefault="004E7321">
      <w:pPr>
        <w:jc w:val="left"/>
        <w:rPr>
          <w:lang w:val="en-CA"/>
        </w:rPr>
      </w:pPr>
      <w:r w:rsidRPr="0026329D">
        <w:rPr>
          <w:lang w:val="en-CA"/>
        </w:rPr>
        <w:br w:type="page"/>
      </w:r>
    </w:p>
    <w:p w:rsidR="001761BD" w:rsidRDefault="001761BD" w:rsidP="001761BD">
      <w:pPr>
        <w:rPr>
          <w:lang w:val="en-CA"/>
        </w:rPr>
      </w:pPr>
    </w:p>
    <w:p w:rsidR="001761BD" w:rsidRDefault="001761BD" w:rsidP="001761BD">
      <w:pPr>
        <w:rPr>
          <w:lang w:val="en-CA"/>
        </w:rPr>
      </w:pPr>
    </w:p>
    <w:p w:rsidR="00D54FFA" w:rsidRPr="0026329D" w:rsidRDefault="00D54FFA" w:rsidP="00641E90">
      <w:pPr>
        <w:spacing w:after="240"/>
        <w:ind w:left="1440" w:hanging="1440"/>
        <w:rPr>
          <w:lang w:val="en-CA"/>
        </w:rPr>
      </w:pPr>
      <w:r w:rsidRPr="0026329D">
        <w:rPr>
          <w:b/>
          <w:lang w:val="en-CA"/>
        </w:rPr>
        <w:t xml:space="preserve">PART IV: </w:t>
      </w:r>
      <w:r w:rsidRPr="0026329D">
        <w:rPr>
          <w:b/>
          <w:lang w:val="en-CA"/>
        </w:rPr>
        <w:tab/>
      </w:r>
      <w:r w:rsidR="00AC6CBD" w:rsidRPr="0026329D">
        <w:rPr>
          <w:b/>
          <w:lang w:val="en-CA"/>
        </w:rPr>
        <w:t>REPORT ON PROGRESS IN THE IMPLEMENTATION OF ACTIVITIES LISTED IN DECISION 83/41(</w:t>
      </w:r>
      <w:r w:rsidR="00B52608" w:rsidRPr="0026329D">
        <w:rPr>
          <w:b/>
          <w:lang w:val="en-CA"/>
        </w:rPr>
        <w:t>e</w:t>
      </w:r>
      <w:r w:rsidR="00AC6CBD" w:rsidRPr="0026329D">
        <w:rPr>
          <w:b/>
          <w:lang w:val="en-CA"/>
        </w:rPr>
        <w:t>)</w:t>
      </w:r>
    </w:p>
    <w:p w:rsidR="006322A8" w:rsidRPr="0026329D" w:rsidRDefault="006322A8" w:rsidP="006322A8">
      <w:pPr>
        <w:rPr>
          <w:b/>
          <w:lang w:val="en-CA"/>
        </w:rPr>
      </w:pPr>
      <w:r w:rsidRPr="0026329D">
        <w:rPr>
          <w:b/>
          <w:lang w:val="en-CA"/>
        </w:rPr>
        <w:t xml:space="preserve">Background </w:t>
      </w:r>
    </w:p>
    <w:p w:rsidR="006322A8" w:rsidRPr="0026329D" w:rsidRDefault="006322A8" w:rsidP="006322A8">
      <w:pPr>
        <w:rPr>
          <w:lang w:val="en-CA"/>
        </w:rPr>
      </w:pPr>
    </w:p>
    <w:p w:rsidR="006322A8" w:rsidRPr="0026329D" w:rsidRDefault="006322A8" w:rsidP="006322A8">
      <w:pPr>
        <w:pStyle w:val="Heading1"/>
        <w:rPr>
          <w:lang w:val="en-CA"/>
        </w:rPr>
      </w:pPr>
      <w:r w:rsidRPr="0026329D">
        <w:rPr>
          <w:lang w:val="en-CA"/>
        </w:rPr>
        <w:t>At its 83</w:t>
      </w:r>
      <w:r w:rsidRPr="0026329D">
        <w:rPr>
          <w:vertAlign w:val="superscript"/>
          <w:lang w:val="en-CA"/>
        </w:rPr>
        <w:t>rd</w:t>
      </w:r>
      <w:r w:rsidRPr="0026329D">
        <w:rPr>
          <w:lang w:val="en-CA"/>
        </w:rPr>
        <w:t> meeting, the Executive Committee considered the following two documents:</w:t>
      </w:r>
    </w:p>
    <w:p w:rsidR="006322A8" w:rsidRPr="0026329D" w:rsidRDefault="006322A8" w:rsidP="006322A8">
      <w:pPr>
        <w:pStyle w:val="Heading2"/>
        <w:rPr>
          <w:lang w:val="en-CA"/>
        </w:rPr>
      </w:pPr>
      <w:r w:rsidRPr="0026329D">
        <w:rPr>
          <w:lang w:val="en-CA"/>
        </w:rPr>
        <w:t>Review of current monitoring, reporting, verification and enforcement (MRVE) systems in accordance with HCFC consumption and production phase-out management plan Agreements between the Government of China and the Executive Committee, submitted by UNDP on behalf of the Government of China, in line with decisions 82/65 and 82/71(a); and</w:t>
      </w:r>
    </w:p>
    <w:p w:rsidR="006322A8" w:rsidRPr="0026329D" w:rsidRDefault="006322A8" w:rsidP="006322A8">
      <w:pPr>
        <w:pStyle w:val="Heading2"/>
        <w:rPr>
          <w:lang w:val="en-CA"/>
        </w:rPr>
      </w:pPr>
      <w:r w:rsidRPr="0026329D">
        <w:rPr>
          <w:lang w:val="en-CA"/>
        </w:rPr>
        <w:t xml:space="preserve">Desk study on the current system of monitoring consumption of foam-blowing agents at enterprises assisted under </w:t>
      </w:r>
      <w:r w:rsidR="00A81DEE" w:rsidRPr="0026329D">
        <w:rPr>
          <w:lang w:val="en-CA"/>
        </w:rPr>
        <w:t>stage </w:t>
      </w:r>
      <w:r w:rsidRPr="0026329D">
        <w:rPr>
          <w:lang w:val="en-CA"/>
        </w:rPr>
        <w:t xml:space="preserve">I of the HCFC phase-out management plan and verification methodology submitted by the World Bank on behalf of the Government of China in line with decision 82/67(c). </w:t>
      </w:r>
    </w:p>
    <w:p w:rsidR="006322A8" w:rsidRPr="0026329D" w:rsidRDefault="006322A8" w:rsidP="006322A8">
      <w:pPr>
        <w:pStyle w:val="Heading1"/>
        <w:rPr>
          <w:lang w:val="en-CA"/>
        </w:rPr>
      </w:pPr>
      <w:r w:rsidRPr="0026329D">
        <w:rPr>
          <w:lang w:val="en-CA"/>
        </w:rPr>
        <w:t xml:space="preserve">In its deliberations, the Committee </w:t>
      </w:r>
      <w:r w:rsidRPr="0026329D">
        <w:rPr>
          <w:i/>
          <w:lang w:val="en-CA"/>
        </w:rPr>
        <w:t>inter alia</w:t>
      </w:r>
      <w:r w:rsidRPr="0026329D">
        <w:rPr>
          <w:lang w:val="en-CA"/>
        </w:rPr>
        <w:t xml:space="preserve"> welcomed a number of regulatory and enforcement actions to be undertaken by the Government; noted with appreciation that the Government will undertake additional actions in support of its enforcement actions; and further noted with appreciation that the Government will consider a set of suggestions to supplement and augment its regulatory and enforcement actions. The Executive Committee also noted that the Government of China would submit a report at the 84</w:t>
      </w:r>
      <w:r w:rsidRPr="0026329D">
        <w:rPr>
          <w:vertAlign w:val="superscript"/>
          <w:lang w:val="en-CA"/>
        </w:rPr>
        <w:t>th</w:t>
      </w:r>
      <w:r w:rsidRPr="0026329D">
        <w:rPr>
          <w:lang w:val="en-CA"/>
        </w:rPr>
        <w:t> meeting, and again to the 86</w:t>
      </w:r>
      <w:r w:rsidRPr="0026329D">
        <w:rPr>
          <w:vertAlign w:val="superscript"/>
          <w:lang w:val="en-CA"/>
        </w:rPr>
        <w:t>th</w:t>
      </w:r>
      <w:r w:rsidRPr="0026329D">
        <w:rPr>
          <w:lang w:val="en-CA"/>
        </w:rPr>
        <w:t> meeting, on its progress in implementing the activities described in sub</w:t>
      </w:r>
      <w:r w:rsidRPr="0026329D">
        <w:rPr>
          <w:lang w:val="en-CA"/>
        </w:rPr>
        <w:noBreakHyphen/>
        <w:t>paragraphs (a) to (d) of decision 83/41.</w:t>
      </w:r>
    </w:p>
    <w:p w:rsidR="006322A8" w:rsidRPr="0026329D" w:rsidRDefault="006322A8" w:rsidP="006322A8">
      <w:pPr>
        <w:pStyle w:val="Heading1"/>
        <w:rPr>
          <w:lang w:val="en-CA"/>
        </w:rPr>
      </w:pPr>
      <w:r w:rsidRPr="0026329D">
        <w:rPr>
          <w:lang w:val="en-CA"/>
        </w:rPr>
        <w:t>At its 84</w:t>
      </w:r>
      <w:r w:rsidRPr="0026329D">
        <w:rPr>
          <w:vertAlign w:val="superscript"/>
          <w:lang w:val="en-CA"/>
        </w:rPr>
        <w:t>th</w:t>
      </w:r>
      <w:r w:rsidRPr="0026329D">
        <w:rPr>
          <w:lang w:val="en-CA"/>
        </w:rPr>
        <w:t> meeting, the Executive Committee considered the progress report submitted by the Government of China in line with decision 83/41(e).</w:t>
      </w:r>
      <w:r w:rsidRPr="0026329D">
        <w:rPr>
          <w:rStyle w:val="FootnoteReference"/>
          <w:lang w:val="en-CA"/>
        </w:rPr>
        <w:footnoteReference w:id="29"/>
      </w:r>
      <w:r w:rsidRPr="0026329D" w:rsidDel="00D959A4">
        <w:rPr>
          <w:lang w:val="en-CA"/>
        </w:rPr>
        <w:t xml:space="preserve"> </w:t>
      </w:r>
      <w:r w:rsidRPr="0026329D">
        <w:rPr>
          <w:lang w:val="en-CA"/>
        </w:rPr>
        <w:t>Subsequent to a discussion, the Executive Committee took note of the information provided by the representative of the Government of China regarding implementation of the activities listed in decision 83/41.</w:t>
      </w:r>
    </w:p>
    <w:p w:rsidR="004E7321" w:rsidRPr="0026329D" w:rsidRDefault="006322A8" w:rsidP="006322A8">
      <w:pPr>
        <w:pStyle w:val="Heading1"/>
        <w:rPr>
          <w:lang w:val="en-CA"/>
        </w:rPr>
      </w:pPr>
      <w:r w:rsidRPr="0026329D">
        <w:rPr>
          <w:lang w:val="en-CA"/>
        </w:rPr>
        <w:t>The Government of China has submitted to the 86</w:t>
      </w:r>
      <w:r w:rsidRPr="0026329D">
        <w:rPr>
          <w:vertAlign w:val="superscript"/>
          <w:lang w:val="en-CA"/>
        </w:rPr>
        <w:t>th</w:t>
      </w:r>
      <w:r w:rsidRPr="0026329D">
        <w:rPr>
          <w:lang w:val="en-CA"/>
        </w:rPr>
        <w:t xml:space="preserve"> meeting a Progress </w:t>
      </w:r>
      <w:r w:rsidR="004E7321" w:rsidRPr="0026329D">
        <w:rPr>
          <w:lang w:val="en-CA"/>
        </w:rPr>
        <w:t>r</w:t>
      </w:r>
      <w:r w:rsidRPr="0026329D">
        <w:rPr>
          <w:lang w:val="en-CA"/>
        </w:rPr>
        <w:t>eport pursuant to decision 83/41 (“</w:t>
      </w:r>
      <w:r w:rsidRPr="0026329D">
        <w:rPr>
          <w:i/>
          <w:lang w:val="en-CA"/>
        </w:rPr>
        <w:t>Progress Report</w:t>
      </w:r>
      <w:r w:rsidRPr="0026329D">
        <w:rPr>
          <w:lang w:val="en-CA"/>
        </w:rPr>
        <w:t>”). The Progress Report is attached in its entirety to the present document without editing or further review.</w:t>
      </w:r>
    </w:p>
    <w:p w:rsidR="004E7321" w:rsidRPr="0026329D" w:rsidRDefault="004E7321">
      <w:pPr>
        <w:jc w:val="left"/>
        <w:rPr>
          <w:lang w:val="en-CA"/>
        </w:rPr>
      </w:pPr>
      <w:r w:rsidRPr="0026329D">
        <w:rPr>
          <w:lang w:val="en-CA"/>
        </w:rPr>
        <w:br w:type="page"/>
      </w:r>
    </w:p>
    <w:p w:rsidR="001761BD" w:rsidRDefault="001761BD" w:rsidP="001761BD">
      <w:pPr>
        <w:rPr>
          <w:lang w:val="en-CA"/>
        </w:rPr>
      </w:pPr>
    </w:p>
    <w:p w:rsidR="001761BD" w:rsidRDefault="001761BD" w:rsidP="001761BD">
      <w:pPr>
        <w:rPr>
          <w:lang w:val="en-CA"/>
        </w:rPr>
      </w:pPr>
    </w:p>
    <w:p w:rsidR="00FB6DD9" w:rsidRPr="0026329D" w:rsidRDefault="00FB6DD9" w:rsidP="00FB6DD9">
      <w:pPr>
        <w:spacing w:after="240"/>
        <w:ind w:left="1440" w:hanging="1440"/>
        <w:rPr>
          <w:b/>
          <w:lang w:val="en-CA"/>
        </w:rPr>
      </w:pPr>
      <w:r w:rsidRPr="0026329D">
        <w:rPr>
          <w:b/>
          <w:lang w:val="en-CA"/>
        </w:rPr>
        <w:t xml:space="preserve">PART V: </w:t>
      </w:r>
      <w:r w:rsidRPr="0026329D">
        <w:rPr>
          <w:b/>
          <w:lang w:val="en-CA"/>
        </w:rPr>
        <w:tab/>
        <w:t>STUDY TO DETERMINE THE REGULATORY, ENFORCEMENT, POLICY OR MARKET CIRCUMSTANCES THAT MIGHT HAVE LED TO THE ILLEGAL PRODUCTION AND USE OF CFC-11 AND CFC-12 (DECISION 83/41(</w:t>
      </w:r>
      <w:r w:rsidR="006F5F66" w:rsidRPr="0026329D">
        <w:rPr>
          <w:b/>
          <w:lang w:val="en-CA"/>
        </w:rPr>
        <w:t>d</w:t>
      </w:r>
      <w:r w:rsidRPr="0026329D">
        <w:rPr>
          <w:b/>
          <w:lang w:val="en-CA"/>
        </w:rPr>
        <w:t>)</w:t>
      </w:r>
      <w:r w:rsidR="005B6963" w:rsidRPr="0026329D">
        <w:rPr>
          <w:b/>
          <w:lang w:val="en-CA"/>
        </w:rPr>
        <w:t>)</w:t>
      </w:r>
    </w:p>
    <w:p w:rsidR="006322A8" w:rsidRPr="0026329D" w:rsidRDefault="006322A8" w:rsidP="006322A8">
      <w:pPr>
        <w:rPr>
          <w:b/>
          <w:lang w:val="en-CA"/>
        </w:rPr>
      </w:pPr>
      <w:r w:rsidRPr="0026329D">
        <w:rPr>
          <w:b/>
          <w:lang w:val="en-CA"/>
        </w:rPr>
        <w:t xml:space="preserve">Background </w:t>
      </w:r>
    </w:p>
    <w:p w:rsidR="006322A8" w:rsidRPr="0026329D" w:rsidRDefault="006322A8" w:rsidP="006322A8">
      <w:pPr>
        <w:rPr>
          <w:lang w:val="en-CA"/>
        </w:rPr>
      </w:pPr>
    </w:p>
    <w:p w:rsidR="006322A8" w:rsidRPr="0026329D" w:rsidRDefault="006322A8" w:rsidP="006322A8">
      <w:pPr>
        <w:pStyle w:val="Heading1"/>
        <w:rPr>
          <w:lang w:val="en-CA"/>
        </w:rPr>
      </w:pPr>
      <w:r w:rsidRPr="0026329D">
        <w:rPr>
          <w:lang w:val="en-CA"/>
        </w:rPr>
        <w:t>In the context of its discussions at the 83</w:t>
      </w:r>
      <w:r w:rsidRPr="0026329D">
        <w:rPr>
          <w:vertAlign w:val="superscript"/>
          <w:lang w:val="en-CA"/>
        </w:rPr>
        <w:t>rd</w:t>
      </w:r>
      <w:r w:rsidRPr="0026329D">
        <w:rPr>
          <w:lang w:val="en-CA"/>
        </w:rPr>
        <w:t xml:space="preserve"> meeting on China’s MRVE systems, the Executive Committee </w:t>
      </w:r>
      <w:r w:rsidRPr="0026329D">
        <w:rPr>
          <w:i/>
          <w:lang w:val="en-CA"/>
        </w:rPr>
        <w:t>inter alia</w:t>
      </w:r>
      <w:r w:rsidRPr="0026329D">
        <w:rPr>
          <w:lang w:val="en-CA"/>
        </w:rPr>
        <w:t xml:space="preserve"> decided to note that the Government of China will consider engaging a non</w:t>
      </w:r>
      <w:r w:rsidRPr="0026329D">
        <w:rPr>
          <w:lang w:val="en-CA"/>
        </w:rPr>
        <w:noBreakHyphen/>
        <w:t xml:space="preserve">governmental consultant to undertake a study (including quantitative data, where available, and qualitative market information) to determine the regulatory, enforcement, policy or market circumstances that might have led to the illegal production and use of CFC-11 and CFC-12 (decision 83/41(d)). </w:t>
      </w:r>
    </w:p>
    <w:p w:rsidR="006322A8" w:rsidRPr="0026329D" w:rsidRDefault="006322A8" w:rsidP="006322A8">
      <w:pPr>
        <w:pStyle w:val="Heading1"/>
        <w:rPr>
          <w:lang w:val="en-CA"/>
        </w:rPr>
      </w:pPr>
      <w:r w:rsidRPr="0026329D">
        <w:rPr>
          <w:lang w:val="en-CA"/>
        </w:rPr>
        <w:t xml:space="preserve">Pursuant to </w:t>
      </w:r>
      <w:r w:rsidR="00A81DEE" w:rsidRPr="0026329D">
        <w:rPr>
          <w:lang w:val="en-CA"/>
        </w:rPr>
        <w:t>decision </w:t>
      </w:r>
      <w:r w:rsidRPr="0026329D">
        <w:rPr>
          <w:lang w:val="en-CA"/>
        </w:rPr>
        <w:t>83/41(d), the Government of China has submitted to the 86</w:t>
      </w:r>
      <w:r w:rsidRPr="0026329D">
        <w:rPr>
          <w:vertAlign w:val="superscript"/>
          <w:lang w:val="en-CA"/>
        </w:rPr>
        <w:t>th</w:t>
      </w:r>
      <w:r w:rsidRPr="0026329D">
        <w:rPr>
          <w:lang w:val="en-CA"/>
        </w:rPr>
        <w:t> meeting the Study on the Supervision, Law Enforcement, Policy and Market Situation of Ozone Depleting Substances in China that was prepared by a non-governmental consultant. That study is attached in its entirety to the present document without editing or further review.</w:t>
      </w:r>
    </w:p>
    <w:p w:rsidR="004E7321" w:rsidRPr="0026329D" w:rsidRDefault="004E7321">
      <w:pPr>
        <w:jc w:val="left"/>
        <w:rPr>
          <w:b/>
          <w:caps/>
          <w:lang w:val="en-CA"/>
        </w:rPr>
      </w:pPr>
      <w:r w:rsidRPr="0026329D">
        <w:rPr>
          <w:b/>
          <w:caps/>
          <w:lang w:val="en-CA"/>
        </w:rPr>
        <w:br w:type="page"/>
      </w:r>
    </w:p>
    <w:p w:rsidR="006E7D7A" w:rsidRDefault="006E7D7A" w:rsidP="006E7D7A">
      <w:pPr>
        <w:rPr>
          <w:lang w:val="en-CA"/>
        </w:rPr>
      </w:pPr>
    </w:p>
    <w:p w:rsidR="006E7D7A" w:rsidRDefault="006E7D7A" w:rsidP="006E7D7A">
      <w:pPr>
        <w:rPr>
          <w:lang w:val="en-CA"/>
        </w:rPr>
      </w:pPr>
    </w:p>
    <w:p w:rsidR="00956BCB" w:rsidRPr="0026329D" w:rsidRDefault="00D54FFA" w:rsidP="00641E90">
      <w:pPr>
        <w:keepNext/>
        <w:spacing w:after="240"/>
        <w:ind w:left="1440" w:hanging="1440"/>
        <w:rPr>
          <w:b/>
          <w:caps/>
          <w:lang w:val="en-CA"/>
        </w:rPr>
      </w:pPr>
      <w:r w:rsidRPr="0026329D">
        <w:rPr>
          <w:b/>
          <w:caps/>
          <w:lang w:val="en-CA"/>
        </w:rPr>
        <w:t>Part V</w:t>
      </w:r>
      <w:r w:rsidR="00FB6DD9" w:rsidRPr="0026329D">
        <w:rPr>
          <w:b/>
          <w:caps/>
          <w:lang w:val="en-CA"/>
        </w:rPr>
        <w:t>I</w:t>
      </w:r>
      <w:r w:rsidRPr="0026329D">
        <w:rPr>
          <w:b/>
          <w:caps/>
          <w:lang w:val="en-CA"/>
        </w:rPr>
        <w:t>:</w:t>
      </w:r>
      <w:r w:rsidRPr="0026329D">
        <w:rPr>
          <w:b/>
          <w:caps/>
          <w:lang w:val="en-CA"/>
        </w:rPr>
        <w:tab/>
        <w:t xml:space="preserve">Financial audit reports for the CFC production, halon, </w:t>
      </w:r>
      <w:r w:rsidRPr="0026329D">
        <w:rPr>
          <w:b/>
          <w:caps/>
          <w:lang w:val="en-CA"/>
        </w:rPr>
        <w:br/>
      </w:r>
      <w:r w:rsidR="007B650E" w:rsidRPr="0026329D">
        <w:rPr>
          <w:b/>
          <w:lang w:val="en-CA"/>
        </w:rPr>
        <w:t>PU</w:t>
      </w:r>
      <w:r w:rsidRPr="0026329D">
        <w:rPr>
          <w:b/>
          <w:lang w:val="en-CA"/>
        </w:rPr>
        <w:t xml:space="preserve"> FOAM</w:t>
      </w:r>
      <w:r w:rsidRPr="0026329D">
        <w:rPr>
          <w:b/>
          <w:caps/>
          <w:lang w:val="en-CA"/>
        </w:rPr>
        <w:t>, process agent II, refrigeration</w:t>
      </w:r>
      <w:r w:rsidR="00995AFC" w:rsidRPr="0026329D">
        <w:rPr>
          <w:b/>
          <w:caps/>
          <w:lang w:val="en-CA"/>
        </w:rPr>
        <w:t xml:space="preserve"> </w:t>
      </w:r>
      <w:r w:rsidR="00D10856" w:rsidRPr="0026329D">
        <w:rPr>
          <w:b/>
          <w:caps/>
          <w:lang w:val="en-CA"/>
        </w:rPr>
        <w:t>servicing and solvent sectors</w:t>
      </w:r>
    </w:p>
    <w:p w:rsidR="00C54C57" w:rsidRPr="0026329D" w:rsidRDefault="00C54C57" w:rsidP="00C54C57">
      <w:pPr>
        <w:spacing w:after="240"/>
        <w:rPr>
          <w:b/>
          <w:lang w:val="en-CA"/>
        </w:rPr>
      </w:pPr>
      <w:r w:rsidRPr="0026329D">
        <w:rPr>
          <w:b/>
          <w:lang w:val="en-CA"/>
        </w:rPr>
        <w:t>Note by the Secretariat</w:t>
      </w:r>
    </w:p>
    <w:p w:rsidR="00C54C57" w:rsidRPr="0026329D" w:rsidRDefault="00C54C57" w:rsidP="00C54C57">
      <w:pPr>
        <w:numPr>
          <w:ilvl w:val="0"/>
          <w:numId w:val="1"/>
        </w:numPr>
        <w:spacing w:after="240"/>
        <w:outlineLvl w:val="0"/>
        <w:rPr>
          <w:lang w:val="en-CA"/>
        </w:rPr>
      </w:pPr>
      <w:r w:rsidRPr="0026329D">
        <w:rPr>
          <w:lang w:val="en-CA"/>
        </w:rPr>
        <w:t>The financial audit reports as of 31 December 2019 for the CFC production, halon, polyurethane (PU) foam, process agent II, refrigeration servicing and solvent sectors, were submitted in line with decision</w:t>
      </w:r>
      <w:r w:rsidR="0024474E" w:rsidRPr="0026329D">
        <w:rPr>
          <w:lang w:val="en-CA"/>
        </w:rPr>
        <w:t> </w:t>
      </w:r>
      <w:r w:rsidRPr="0026329D">
        <w:rPr>
          <w:lang w:val="en-CA"/>
        </w:rPr>
        <w:t>84/39(c) to the 85</w:t>
      </w:r>
      <w:r w:rsidRPr="0026329D">
        <w:rPr>
          <w:vertAlign w:val="superscript"/>
          <w:lang w:val="en-CA"/>
        </w:rPr>
        <w:t>th</w:t>
      </w:r>
      <w:r w:rsidR="0024474E" w:rsidRPr="0026329D">
        <w:rPr>
          <w:vertAlign w:val="superscript"/>
          <w:lang w:val="en-CA"/>
        </w:rPr>
        <w:t> </w:t>
      </w:r>
      <w:r w:rsidRPr="0026329D">
        <w:rPr>
          <w:lang w:val="en-CA"/>
        </w:rPr>
        <w:t xml:space="preserve">meeting and included in </w:t>
      </w:r>
      <w:r w:rsidR="0024474E" w:rsidRPr="0026329D">
        <w:rPr>
          <w:lang w:val="en-CA"/>
        </w:rPr>
        <w:t>document UNEP/OzL.Pro/ExCom/85/</w:t>
      </w:r>
      <w:r w:rsidRPr="0026329D">
        <w:rPr>
          <w:lang w:val="en-CA"/>
        </w:rPr>
        <w:t xml:space="preserve">9. </w:t>
      </w:r>
    </w:p>
    <w:p w:rsidR="00C54C57" w:rsidRPr="0026329D" w:rsidRDefault="00C54C57" w:rsidP="00A84275">
      <w:pPr>
        <w:pStyle w:val="Heading1"/>
        <w:rPr>
          <w:lang w:val="en-CA"/>
        </w:rPr>
      </w:pPr>
      <w:r w:rsidRPr="0026329D">
        <w:rPr>
          <w:lang w:val="en-CA"/>
        </w:rPr>
        <w:t xml:space="preserve">This matter was not considered under the </w:t>
      </w:r>
      <w:r w:rsidR="004E7321" w:rsidRPr="0026329D">
        <w:rPr>
          <w:lang w:val="en-CA"/>
        </w:rPr>
        <w:t>intersessional approval process established for the 85</w:t>
      </w:r>
      <w:r w:rsidR="004E7321" w:rsidRPr="0026329D">
        <w:rPr>
          <w:vertAlign w:val="superscript"/>
          <w:lang w:val="en-CA"/>
        </w:rPr>
        <w:t>th</w:t>
      </w:r>
      <w:r w:rsidR="0024474E" w:rsidRPr="0026329D">
        <w:rPr>
          <w:vertAlign w:val="superscript"/>
          <w:lang w:val="en-CA"/>
        </w:rPr>
        <w:t> </w:t>
      </w:r>
      <w:r w:rsidR="004E7321" w:rsidRPr="0026329D">
        <w:rPr>
          <w:lang w:val="en-CA"/>
        </w:rPr>
        <w:t>meeting</w:t>
      </w:r>
      <w:r w:rsidRPr="0026329D">
        <w:rPr>
          <w:lang w:val="en-CA"/>
        </w:rPr>
        <w:t>. As the meeting was postponed due to restrictions associated to the COVID-19 pandemic, the matter is included again in the present document for consideration at the 86</w:t>
      </w:r>
      <w:r w:rsidRPr="0026329D">
        <w:rPr>
          <w:vertAlign w:val="superscript"/>
          <w:lang w:val="en-CA"/>
        </w:rPr>
        <w:t>th</w:t>
      </w:r>
      <w:r w:rsidR="009B3FC3" w:rsidRPr="0026329D">
        <w:rPr>
          <w:lang w:val="en-CA"/>
        </w:rPr>
        <w:t> meeting</w:t>
      </w:r>
      <w:r w:rsidRPr="0026329D">
        <w:rPr>
          <w:lang w:val="en-CA"/>
        </w:rPr>
        <w:t>. As there have not been modifications or additional information submitted, the section presented at the 85</w:t>
      </w:r>
      <w:r w:rsidRPr="0026329D">
        <w:rPr>
          <w:vertAlign w:val="superscript"/>
          <w:lang w:val="en-CA"/>
        </w:rPr>
        <w:t>th</w:t>
      </w:r>
      <w:r w:rsidR="009B3FC3" w:rsidRPr="0026329D">
        <w:rPr>
          <w:lang w:val="en-CA"/>
        </w:rPr>
        <w:t> meeting</w:t>
      </w:r>
      <w:r w:rsidRPr="0026329D">
        <w:rPr>
          <w:lang w:val="en-CA"/>
        </w:rPr>
        <w:t xml:space="preserve"> is reproduced below in its entirety for consideration by the Executive Committee. </w:t>
      </w:r>
      <w:r w:rsidR="00A84275" w:rsidRPr="0026329D">
        <w:rPr>
          <w:lang w:val="en-CA"/>
        </w:rPr>
        <w:t xml:space="preserve">Text has been updated in two paragraphs and the recommendation using </w:t>
      </w:r>
      <w:r w:rsidR="00A84275" w:rsidRPr="0026329D">
        <w:rPr>
          <w:b/>
          <w:lang w:val="en-CA"/>
        </w:rPr>
        <w:t>bold</w:t>
      </w:r>
      <w:r w:rsidR="00A84275" w:rsidRPr="0026329D">
        <w:rPr>
          <w:lang w:val="en-CA"/>
        </w:rPr>
        <w:t xml:space="preserve"> for ease of reference.</w:t>
      </w:r>
      <w:r w:rsidRPr="0026329D">
        <w:rPr>
          <w:lang w:val="en-CA"/>
        </w:rPr>
        <w:t xml:space="preserve"> </w:t>
      </w:r>
    </w:p>
    <w:p w:rsidR="00D54FFA" w:rsidRPr="0026329D" w:rsidRDefault="00D54FFA" w:rsidP="00D54FFA">
      <w:pPr>
        <w:spacing w:after="240"/>
        <w:rPr>
          <w:b/>
          <w:lang w:val="en-CA"/>
        </w:rPr>
      </w:pPr>
      <w:r w:rsidRPr="0026329D">
        <w:rPr>
          <w:b/>
          <w:lang w:val="en-CA"/>
        </w:rPr>
        <w:t>Background</w:t>
      </w:r>
    </w:p>
    <w:p w:rsidR="00D54FFA" w:rsidRPr="0026329D" w:rsidRDefault="00D54FFA" w:rsidP="00D54FFA">
      <w:pPr>
        <w:widowControl w:val="0"/>
        <w:numPr>
          <w:ilvl w:val="0"/>
          <w:numId w:val="1"/>
        </w:numPr>
        <w:spacing w:after="240"/>
        <w:outlineLvl w:val="0"/>
        <w:rPr>
          <w:lang w:val="en-CA"/>
        </w:rPr>
      </w:pPr>
      <w:r w:rsidRPr="0026329D">
        <w:rPr>
          <w:lang w:val="en-CA"/>
        </w:rPr>
        <w:t>At its 84</w:t>
      </w:r>
      <w:r w:rsidRPr="0026329D">
        <w:rPr>
          <w:vertAlign w:val="superscript"/>
          <w:lang w:val="en-CA"/>
        </w:rPr>
        <w:t>th</w:t>
      </w:r>
      <w:r w:rsidR="009B3FC3" w:rsidRPr="0026329D">
        <w:rPr>
          <w:lang w:val="en-CA"/>
        </w:rPr>
        <w:t> meeting</w:t>
      </w:r>
      <w:r w:rsidRPr="0026329D">
        <w:rPr>
          <w:lang w:val="en-CA"/>
        </w:rPr>
        <w:t>, the Executive Committee considered the financial audit reports for the CFC production, halon, polyurethane (PU) foam, process agent II, refrigeration servicing and solvent sectors, in which an update of activities implemented in each sector plan was also provided.</w:t>
      </w:r>
      <w:r w:rsidRPr="0026329D">
        <w:rPr>
          <w:vertAlign w:val="superscript"/>
          <w:lang w:val="en-CA"/>
        </w:rPr>
        <w:footnoteReference w:id="30"/>
      </w:r>
      <w:r w:rsidRPr="0026329D">
        <w:rPr>
          <w:lang w:val="en-CA"/>
        </w:rPr>
        <w:t xml:space="preserve"> Subsequently, the Executive Committee </w:t>
      </w:r>
      <w:r w:rsidRPr="0026329D">
        <w:rPr>
          <w:i/>
          <w:lang w:val="en-CA"/>
        </w:rPr>
        <w:t>inter alia</w:t>
      </w:r>
      <w:r w:rsidRPr="0026329D">
        <w:rPr>
          <w:lang w:val="en-CA"/>
        </w:rPr>
        <w:t xml:space="preserve"> requested the Government of China, through the relevant implementing agency, to submit at the 85</w:t>
      </w:r>
      <w:r w:rsidRPr="0026329D">
        <w:rPr>
          <w:vertAlign w:val="superscript"/>
          <w:lang w:val="en-CA"/>
        </w:rPr>
        <w:t>th</w:t>
      </w:r>
      <w:r w:rsidR="009B3FC3" w:rsidRPr="0026329D">
        <w:rPr>
          <w:lang w:val="en-CA"/>
        </w:rPr>
        <w:t> meeting</w:t>
      </w:r>
      <w:r w:rsidRPr="0026329D">
        <w:rPr>
          <w:lang w:val="en-CA"/>
        </w:rPr>
        <w:t xml:space="preserve"> the financial audit reports as at 31 December 2019 for the CFC production, halon, PU foam, process agent II, refrigeration servicing, and solvent sector plans, and the project completion reports (PCRs) for the CFC production, PU foam, refrigeration servicing and solvent sector plans; and to return to the Multilateral Fund at the 85</w:t>
      </w:r>
      <w:r w:rsidRPr="0026329D">
        <w:rPr>
          <w:vertAlign w:val="superscript"/>
          <w:lang w:val="en-CA"/>
        </w:rPr>
        <w:t>th</w:t>
      </w:r>
      <w:r w:rsidRPr="0026329D">
        <w:rPr>
          <w:lang w:val="en-CA"/>
        </w:rPr>
        <w:t> meeting the funding balances available as at 31 December 2019 associated with the CFC production, PU foam, refrigeration servicing and solvent sector plans (</w:t>
      </w:r>
      <w:r w:rsidR="00A81DEE" w:rsidRPr="0026329D">
        <w:rPr>
          <w:lang w:val="en-CA"/>
        </w:rPr>
        <w:t>decision </w:t>
      </w:r>
      <w:r w:rsidRPr="0026329D">
        <w:rPr>
          <w:lang w:val="en-CA"/>
        </w:rPr>
        <w:t>84/39(c)(i) and (c)(ii)).</w:t>
      </w:r>
    </w:p>
    <w:p w:rsidR="00D54FFA" w:rsidRPr="0026329D" w:rsidRDefault="00D54FFA" w:rsidP="00D54FFA">
      <w:pPr>
        <w:widowControl w:val="0"/>
        <w:numPr>
          <w:ilvl w:val="0"/>
          <w:numId w:val="1"/>
        </w:numPr>
        <w:spacing w:after="240"/>
        <w:outlineLvl w:val="0"/>
        <w:rPr>
          <w:lang w:val="en-CA"/>
        </w:rPr>
      </w:pPr>
      <w:r w:rsidRPr="0026329D">
        <w:rPr>
          <w:lang w:val="en-CA"/>
        </w:rPr>
        <w:t xml:space="preserve">In line with </w:t>
      </w:r>
      <w:r w:rsidR="00A81DEE" w:rsidRPr="0026329D">
        <w:rPr>
          <w:lang w:val="en-CA"/>
        </w:rPr>
        <w:t>decision </w:t>
      </w:r>
      <w:r w:rsidRPr="0026329D">
        <w:rPr>
          <w:lang w:val="en-CA"/>
        </w:rPr>
        <w:t xml:space="preserve">84/39(c)(i), relevant implementing agencies, on behalf of the Government of China, submitted the financial audit reports as at 31 December 2019 and PCRs for the CFC production, PU foam, refrigeration servicing and solvent sectors. Supplemental final reports were submitted for the refrigeration servicing and solvent sectors. An update on progress in the process agent II sector is provided in paragraphs 218 to 230 of </w:t>
      </w:r>
      <w:r w:rsidRPr="0026329D">
        <w:rPr>
          <w:b/>
          <w:strike/>
          <w:lang w:val="en-CA"/>
        </w:rPr>
        <w:t>the present</w:t>
      </w:r>
      <w:r w:rsidRPr="0026329D">
        <w:rPr>
          <w:lang w:val="en-CA"/>
        </w:rPr>
        <w:t xml:space="preserve"> </w:t>
      </w:r>
      <w:r w:rsidR="00A81DEE" w:rsidRPr="0026329D">
        <w:rPr>
          <w:lang w:val="en-CA"/>
        </w:rPr>
        <w:t>document </w:t>
      </w:r>
      <w:r w:rsidR="00924A79" w:rsidRPr="0026329D">
        <w:rPr>
          <w:b/>
          <w:lang w:val="en-CA"/>
        </w:rPr>
        <w:t>UNEP/OzL.Pro/ExCom/85/</w:t>
      </w:r>
      <w:r w:rsidR="00C54C57" w:rsidRPr="0026329D">
        <w:rPr>
          <w:b/>
          <w:lang w:val="en-CA"/>
        </w:rPr>
        <w:t>9</w:t>
      </w:r>
      <w:r w:rsidRPr="0026329D">
        <w:rPr>
          <w:lang w:val="en-CA"/>
        </w:rPr>
        <w:t xml:space="preserve">. </w:t>
      </w:r>
    </w:p>
    <w:p w:rsidR="00D54FFA" w:rsidRPr="0026329D" w:rsidRDefault="00D54FFA" w:rsidP="00D54FFA">
      <w:pPr>
        <w:numPr>
          <w:ilvl w:val="0"/>
          <w:numId w:val="1"/>
        </w:numPr>
        <w:spacing w:after="240"/>
        <w:outlineLvl w:val="0"/>
        <w:rPr>
          <w:lang w:val="en-CA"/>
        </w:rPr>
      </w:pPr>
      <w:r w:rsidRPr="0026329D">
        <w:rPr>
          <w:lang w:val="en-CA"/>
        </w:rPr>
        <w:t xml:space="preserve">The financial data in the present report is based on the audit report submitted by the Government of China as of 31 December 2019, reflecting remaining balances of </w:t>
      </w:r>
      <w:r w:rsidR="00475A50" w:rsidRPr="0026329D">
        <w:rPr>
          <w:lang w:val="en-CA"/>
        </w:rPr>
        <w:t>US $</w:t>
      </w:r>
      <w:r w:rsidRPr="0026329D">
        <w:rPr>
          <w:lang w:val="en-CA"/>
        </w:rPr>
        <w:t>11,309,628 (</w:t>
      </w:r>
      <w:r w:rsidR="00E52946" w:rsidRPr="0026329D">
        <w:rPr>
          <w:lang w:val="en-CA"/>
        </w:rPr>
        <w:t>Table </w:t>
      </w:r>
      <w:r w:rsidR="002D5B54" w:rsidRPr="0026329D">
        <w:rPr>
          <w:lang w:val="en-CA"/>
        </w:rPr>
        <w:t>1</w:t>
      </w:r>
      <w:r w:rsidRPr="0026329D">
        <w:rPr>
          <w:lang w:val="en-CA"/>
        </w:rPr>
        <w:t xml:space="preserve">). The remaining balances from completed sector plans (i.e., CFC production, PU foam, refrigeration servicing and solvent) amount to </w:t>
      </w:r>
      <w:r w:rsidR="00475A50" w:rsidRPr="0026329D">
        <w:rPr>
          <w:lang w:val="en-CA"/>
        </w:rPr>
        <w:t>US $</w:t>
      </w:r>
      <w:r w:rsidRPr="0026329D">
        <w:rPr>
          <w:lang w:val="en-CA"/>
        </w:rPr>
        <w:t xml:space="preserve">792,215 (i.e., </w:t>
      </w:r>
      <w:r w:rsidR="00475A50" w:rsidRPr="0026329D">
        <w:rPr>
          <w:lang w:val="en-CA"/>
        </w:rPr>
        <w:t>US $</w:t>
      </w:r>
      <w:r w:rsidRPr="0026329D">
        <w:rPr>
          <w:lang w:val="en-CA"/>
        </w:rPr>
        <w:t xml:space="preserve">311,653 from balances </w:t>
      </w:r>
      <w:r w:rsidR="00475A50" w:rsidRPr="0026329D">
        <w:rPr>
          <w:lang w:val="en-CA"/>
        </w:rPr>
        <w:t>US $</w:t>
      </w:r>
      <w:r w:rsidRPr="0026329D">
        <w:rPr>
          <w:lang w:val="en-CA"/>
        </w:rPr>
        <w:t>480,561 from cumulative interest). In line with decision 84/39(c)(ii), the balances being returned to the 85</w:t>
      </w:r>
      <w:r w:rsidRPr="0026329D">
        <w:rPr>
          <w:vertAlign w:val="superscript"/>
          <w:lang w:val="en-CA"/>
        </w:rPr>
        <w:t>th</w:t>
      </w:r>
      <w:r w:rsidR="009B3FC3" w:rsidRPr="0026329D">
        <w:rPr>
          <w:lang w:val="en-CA"/>
        </w:rPr>
        <w:t> meeting</w:t>
      </w:r>
      <w:r w:rsidRPr="0026329D">
        <w:rPr>
          <w:lang w:val="en-CA"/>
        </w:rPr>
        <w:t xml:space="preserve"> therefore amount to </w:t>
      </w:r>
      <w:r w:rsidR="00475A50" w:rsidRPr="0026329D">
        <w:rPr>
          <w:lang w:val="en-CA"/>
        </w:rPr>
        <w:t>US $</w:t>
      </w:r>
      <w:r w:rsidRPr="0026329D">
        <w:rPr>
          <w:lang w:val="en-CA"/>
        </w:rPr>
        <w:t xml:space="preserve">792,215. </w:t>
      </w:r>
    </w:p>
    <w:p w:rsidR="00D54FFA" w:rsidRPr="0026329D" w:rsidRDefault="00E52946" w:rsidP="00D54FFA">
      <w:pPr>
        <w:rPr>
          <w:b/>
          <w:sz w:val="21"/>
          <w:szCs w:val="21"/>
          <w:lang w:val="en-CA"/>
        </w:rPr>
      </w:pPr>
      <w:r w:rsidRPr="0026329D">
        <w:rPr>
          <w:b/>
          <w:sz w:val="21"/>
          <w:szCs w:val="21"/>
          <w:lang w:val="en-CA"/>
        </w:rPr>
        <w:t>Table </w:t>
      </w:r>
      <w:r w:rsidR="002D5B54" w:rsidRPr="0026329D">
        <w:rPr>
          <w:b/>
          <w:sz w:val="21"/>
          <w:szCs w:val="21"/>
          <w:lang w:val="en-CA"/>
        </w:rPr>
        <w:t>1.</w:t>
      </w:r>
      <w:r w:rsidR="00D54FFA" w:rsidRPr="0026329D">
        <w:rPr>
          <w:b/>
          <w:sz w:val="21"/>
          <w:szCs w:val="21"/>
          <w:lang w:val="en-CA"/>
        </w:rPr>
        <w:t xml:space="preserve"> Remaining balances and interest for CFC production, halon, PU foam, process agent II, refrigeration servicing, and solvent sector plans (</w:t>
      </w:r>
      <w:r w:rsidR="00475A50" w:rsidRPr="0026329D">
        <w:rPr>
          <w:b/>
          <w:sz w:val="21"/>
          <w:szCs w:val="21"/>
          <w:lang w:val="en-CA"/>
        </w:rPr>
        <w:t>US $</w:t>
      </w:r>
      <w:r w:rsidR="00D54FFA" w:rsidRPr="0026329D">
        <w:rPr>
          <w:b/>
          <w:sz w:val="21"/>
          <w:szCs w:val="21"/>
          <w:lang w:val="en-CA"/>
        </w:rPr>
        <w:t>)</w:t>
      </w:r>
    </w:p>
    <w:tbl>
      <w:tblPr>
        <w:tblW w:w="5070" w:type="pct"/>
        <w:tblLook w:val="04A0" w:firstRow="1" w:lastRow="0" w:firstColumn="1" w:lastColumn="0" w:noHBand="0" w:noVBand="1"/>
      </w:tblPr>
      <w:tblGrid>
        <w:gridCol w:w="3085"/>
        <w:gridCol w:w="1979"/>
        <w:gridCol w:w="1979"/>
        <w:gridCol w:w="1302"/>
        <w:gridCol w:w="1227"/>
      </w:tblGrid>
      <w:tr w:rsidR="00D54FFA" w:rsidRPr="0026329D" w:rsidTr="00090F6A">
        <w:trPr>
          <w:tblHeader/>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b/>
                <w:color w:val="000000"/>
                <w:sz w:val="20"/>
                <w:szCs w:val="20"/>
                <w:lang w:val="en-CA" w:eastAsia="en-CA"/>
              </w:rPr>
            </w:pPr>
            <w:r w:rsidRPr="0026329D">
              <w:rPr>
                <w:b/>
                <w:color w:val="000000"/>
                <w:sz w:val="20"/>
                <w:szCs w:val="20"/>
                <w:lang w:val="en-CA" w:eastAsia="en-CA"/>
              </w:rPr>
              <w:t>Activity</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D54FFA" w:rsidRPr="0026329D" w:rsidRDefault="00D54FFA" w:rsidP="00090F6A">
            <w:pPr>
              <w:jc w:val="center"/>
              <w:rPr>
                <w:b/>
                <w:color w:val="000000"/>
                <w:sz w:val="20"/>
                <w:szCs w:val="20"/>
                <w:lang w:val="en-CA" w:eastAsia="en-CA"/>
              </w:rPr>
            </w:pPr>
            <w:r w:rsidRPr="0026329D">
              <w:rPr>
                <w:b/>
                <w:color w:val="000000"/>
                <w:sz w:val="20"/>
                <w:szCs w:val="20"/>
                <w:lang w:val="en-CA" w:eastAsia="en-CA"/>
              </w:rPr>
              <w:t>Balance as at 30 June 2019</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D54FFA" w:rsidRPr="0026329D" w:rsidRDefault="00D54FFA" w:rsidP="00411B01">
            <w:pPr>
              <w:jc w:val="center"/>
              <w:rPr>
                <w:b/>
                <w:color w:val="000000"/>
                <w:sz w:val="20"/>
                <w:szCs w:val="20"/>
                <w:lang w:val="en-CA" w:eastAsia="en-CA"/>
              </w:rPr>
            </w:pPr>
            <w:r w:rsidRPr="0026329D">
              <w:rPr>
                <w:b/>
                <w:color w:val="000000"/>
                <w:sz w:val="20"/>
                <w:szCs w:val="20"/>
                <w:lang w:val="en-CA" w:eastAsia="en-CA"/>
              </w:rPr>
              <w:t>Balance as at 31</w:t>
            </w:r>
            <w:r w:rsidR="00411B01" w:rsidRPr="0026329D">
              <w:rPr>
                <w:b/>
                <w:color w:val="000000"/>
                <w:sz w:val="20"/>
                <w:szCs w:val="20"/>
                <w:lang w:val="en-CA" w:eastAsia="en-CA"/>
              </w:rPr>
              <w:t> </w:t>
            </w:r>
            <w:r w:rsidR="00D15333" w:rsidRPr="0026329D">
              <w:rPr>
                <w:b/>
                <w:color w:val="000000"/>
                <w:sz w:val="20"/>
                <w:szCs w:val="20"/>
                <w:lang w:val="en-CA" w:eastAsia="en-CA"/>
              </w:rPr>
              <w:t>Dec.</w:t>
            </w:r>
            <w:r w:rsidRPr="0026329D">
              <w:rPr>
                <w:b/>
                <w:color w:val="000000"/>
                <w:sz w:val="20"/>
                <w:szCs w:val="20"/>
                <w:lang w:val="en-CA" w:eastAsia="en-CA"/>
              </w:rPr>
              <w:t xml:space="preserve"> 2019</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54FFA" w:rsidRPr="0026329D" w:rsidRDefault="00D54FFA" w:rsidP="00090F6A">
            <w:pPr>
              <w:jc w:val="center"/>
              <w:rPr>
                <w:b/>
                <w:color w:val="000000"/>
                <w:sz w:val="20"/>
                <w:szCs w:val="20"/>
                <w:lang w:val="en-CA" w:eastAsia="en-CA"/>
              </w:rPr>
            </w:pPr>
            <w:r w:rsidRPr="0026329D">
              <w:rPr>
                <w:b/>
                <w:color w:val="000000"/>
                <w:sz w:val="20"/>
                <w:szCs w:val="20"/>
                <w:lang w:val="en-CA" w:eastAsia="en-CA"/>
              </w:rPr>
              <w:t>Cumulative interest</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4FFA" w:rsidRPr="0026329D" w:rsidRDefault="00D54FFA" w:rsidP="00090F6A">
            <w:pPr>
              <w:jc w:val="center"/>
              <w:rPr>
                <w:b/>
                <w:color w:val="000000"/>
                <w:sz w:val="20"/>
                <w:szCs w:val="20"/>
                <w:lang w:val="en-CA" w:eastAsia="en-CA"/>
              </w:rPr>
            </w:pPr>
            <w:r w:rsidRPr="0026329D">
              <w:rPr>
                <w:b/>
                <w:color w:val="000000"/>
                <w:sz w:val="20"/>
                <w:szCs w:val="20"/>
                <w:lang w:val="en-CA" w:eastAsia="en-CA"/>
              </w:rPr>
              <w:t>Completion date</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CFC production (World Bank) </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179,878</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33,907</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22,119</w:t>
            </w: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2019</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Halon sector (World Bank)</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9,154,827</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8,913,167</w:t>
            </w:r>
          </w:p>
        </w:tc>
        <w:tc>
          <w:tcPr>
            <w:tcW w:w="680" w:type="pct"/>
            <w:vMerge/>
            <w:tcBorders>
              <w:top w:val="nil"/>
              <w:left w:val="single" w:sz="4" w:space="0" w:color="auto"/>
              <w:bottom w:val="single" w:sz="4" w:space="0" w:color="000000"/>
              <w:right w:val="single" w:sz="4" w:space="0" w:color="auto"/>
            </w:tcBorders>
            <w:vAlign w:val="center"/>
            <w:hideMark/>
          </w:tcPr>
          <w:p w:rsidR="00D54FFA" w:rsidRPr="0026329D" w:rsidRDefault="00D54FFA" w:rsidP="00090F6A">
            <w:pPr>
              <w:jc w:val="left"/>
              <w:rPr>
                <w:color w:val="000000"/>
                <w:sz w:val="20"/>
                <w:szCs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2020</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Process agent II (World Bank)</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3,076,109</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2,084,808</w:t>
            </w:r>
          </w:p>
        </w:tc>
        <w:tc>
          <w:tcPr>
            <w:tcW w:w="680" w:type="pct"/>
            <w:vMerge/>
            <w:tcBorders>
              <w:top w:val="nil"/>
              <w:left w:val="single" w:sz="4" w:space="0" w:color="auto"/>
              <w:bottom w:val="single" w:sz="4" w:space="0" w:color="000000"/>
              <w:right w:val="single" w:sz="4" w:space="0" w:color="auto"/>
            </w:tcBorders>
            <w:vAlign w:val="center"/>
            <w:hideMark/>
          </w:tcPr>
          <w:p w:rsidR="00D54FFA" w:rsidRPr="0026329D" w:rsidRDefault="00D54FFA" w:rsidP="00090F6A">
            <w:pPr>
              <w:jc w:val="left"/>
              <w:rPr>
                <w:color w:val="000000"/>
                <w:sz w:val="20"/>
                <w:szCs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2020</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PU foam (World Bank)</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897,009</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280,108</w:t>
            </w:r>
          </w:p>
        </w:tc>
        <w:tc>
          <w:tcPr>
            <w:tcW w:w="680" w:type="pct"/>
            <w:vMerge/>
            <w:tcBorders>
              <w:top w:val="nil"/>
              <w:left w:val="single" w:sz="4" w:space="0" w:color="auto"/>
              <w:bottom w:val="single" w:sz="4" w:space="0" w:color="000000"/>
              <w:right w:val="single" w:sz="4" w:space="0" w:color="auto"/>
            </w:tcBorders>
            <w:vAlign w:val="center"/>
            <w:hideMark/>
          </w:tcPr>
          <w:p w:rsidR="00D54FFA" w:rsidRPr="0026329D" w:rsidRDefault="00D54FFA" w:rsidP="00090F6A">
            <w:pPr>
              <w:jc w:val="left"/>
              <w:rPr>
                <w:color w:val="000000"/>
                <w:sz w:val="20"/>
                <w:szCs w:val="20"/>
                <w:lang w:val="en-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2019</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Servicing (Japan, UNEP, UNIDO)</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735,791</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752</w:t>
            </w:r>
          </w:p>
        </w:tc>
        <w:tc>
          <w:tcPr>
            <w:tcW w:w="680"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99,178</w:t>
            </w: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2019</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Solvent ( UNDP)</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708,822</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-3,114</w:t>
            </w:r>
            <w:r w:rsidR="00411B01" w:rsidRPr="0026329D">
              <w:rPr>
                <w:color w:val="000000"/>
                <w:sz w:val="20"/>
                <w:szCs w:val="20"/>
                <w:lang w:val="en-CA" w:eastAsia="en-CA"/>
              </w:rPr>
              <w:t>*</w:t>
            </w:r>
          </w:p>
        </w:tc>
        <w:tc>
          <w:tcPr>
            <w:tcW w:w="680"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color w:val="000000"/>
                <w:sz w:val="20"/>
                <w:szCs w:val="20"/>
                <w:lang w:val="en-CA" w:eastAsia="en-CA"/>
              </w:rPr>
            </w:pPr>
            <w:r w:rsidRPr="0026329D">
              <w:rPr>
                <w:color w:val="000000"/>
                <w:sz w:val="20"/>
                <w:szCs w:val="20"/>
                <w:lang w:val="en-CA" w:eastAsia="en-CA"/>
              </w:rPr>
              <w:t>359,265</w:t>
            </w:r>
            <w:r w:rsidR="00411B01" w:rsidRPr="0026329D">
              <w:rPr>
                <w:color w:val="000000"/>
                <w:sz w:val="20"/>
                <w:szCs w:val="20"/>
                <w:lang w:val="en-CA" w:eastAsia="en-CA"/>
              </w:rPr>
              <w:t>*</w:t>
            </w: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15333" w:rsidP="00090F6A">
            <w:pPr>
              <w:jc w:val="center"/>
              <w:rPr>
                <w:color w:val="000000"/>
                <w:sz w:val="20"/>
                <w:szCs w:val="20"/>
                <w:lang w:val="en-CA" w:eastAsia="en-CA"/>
              </w:rPr>
            </w:pPr>
            <w:r w:rsidRPr="0026329D">
              <w:rPr>
                <w:color w:val="000000"/>
                <w:sz w:val="20"/>
                <w:szCs w:val="20"/>
                <w:lang w:val="en-CA" w:eastAsia="en-CA"/>
              </w:rPr>
              <w:t>Dec. 2019</w:t>
            </w:r>
          </w:p>
        </w:tc>
      </w:tr>
      <w:tr w:rsidR="00D54FFA" w:rsidRPr="0026329D" w:rsidTr="00090F6A">
        <w:tc>
          <w:tcPr>
            <w:tcW w:w="1611" w:type="pct"/>
            <w:tcBorders>
              <w:top w:val="nil"/>
              <w:left w:val="single" w:sz="4" w:space="0" w:color="auto"/>
              <w:bottom w:val="single" w:sz="4" w:space="0" w:color="auto"/>
              <w:right w:val="single" w:sz="4" w:space="0" w:color="auto"/>
            </w:tcBorders>
            <w:shd w:val="clear" w:color="auto" w:fill="auto"/>
            <w:vAlign w:val="center"/>
            <w:hideMark/>
          </w:tcPr>
          <w:p w:rsidR="00D54FFA" w:rsidRPr="0026329D" w:rsidRDefault="00D54FFA" w:rsidP="00090F6A">
            <w:pPr>
              <w:jc w:val="left"/>
              <w:rPr>
                <w:b/>
                <w:bCs/>
                <w:color w:val="000000"/>
                <w:sz w:val="20"/>
                <w:szCs w:val="20"/>
                <w:lang w:val="en-CA" w:eastAsia="en-CA"/>
              </w:rPr>
            </w:pPr>
            <w:r w:rsidRPr="0026329D">
              <w:rPr>
                <w:b/>
                <w:bCs/>
                <w:color w:val="000000"/>
                <w:sz w:val="20"/>
                <w:szCs w:val="20"/>
                <w:lang w:val="en-CA" w:eastAsia="en-CA"/>
              </w:rPr>
              <w:t>Total</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b/>
                <w:bCs/>
                <w:color w:val="000000"/>
                <w:sz w:val="20"/>
                <w:szCs w:val="20"/>
                <w:lang w:val="en-CA" w:eastAsia="en-CA"/>
              </w:rPr>
            </w:pPr>
            <w:r w:rsidRPr="0026329D">
              <w:rPr>
                <w:b/>
                <w:bCs/>
                <w:color w:val="000000"/>
                <w:sz w:val="20"/>
                <w:szCs w:val="20"/>
                <w:lang w:val="en-CA" w:eastAsia="en-CA"/>
              </w:rPr>
              <w:t>14,752,436</w:t>
            </w:r>
          </w:p>
        </w:tc>
        <w:tc>
          <w:tcPr>
            <w:tcW w:w="1034"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b/>
                <w:bCs/>
                <w:color w:val="000000"/>
                <w:sz w:val="20"/>
                <w:szCs w:val="20"/>
                <w:lang w:val="en-CA" w:eastAsia="en-CA"/>
              </w:rPr>
            </w:pPr>
            <w:r w:rsidRPr="0026329D">
              <w:rPr>
                <w:b/>
                <w:bCs/>
                <w:color w:val="000000"/>
                <w:sz w:val="20"/>
                <w:szCs w:val="20"/>
                <w:lang w:val="en-CA" w:eastAsia="en-CA"/>
              </w:rPr>
              <w:t>11,309,628</w:t>
            </w:r>
          </w:p>
        </w:tc>
        <w:tc>
          <w:tcPr>
            <w:tcW w:w="680"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right"/>
              <w:rPr>
                <w:b/>
                <w:bCs/>
                <w:color w:val="000000"/>
                <w:sz w:val="20"/>
                <w:szCs w:val="20"/>
                <w:lang w:val="en-CA" w:eastAsia="en-CA"/>
              </w:rPr>
            </w:pPr>
            <w:r w:rsidRPr="0026329D">
              <w:rPr>
                <w:b/>
                <w:bCs/>
                <w:color w:val="000000"/>
                <w:sz w:val="20"/>
                <w:szCs w:val="20"/>
                <w:lang w:val="en-CA" w:eastAsia="en-CA"/>
              </w:rPr>
              <w:t>480,561</w:t>
            </w:r>
          </w:p>
        </w:tc>
        <w:tc>
          <w:tcPr>
            <w:tcW w:w="641" w:type="pct"/>
            <w:tcBorders>
              <w:top w:val="nil"/>
              <w:left w:val="nil"/>
              <w:bottom w:val="single" w:sz="4" w:space="0" w:color="auto"/>
              <w:right w:val="single" w:sz="4" w:space="0" w:color="auto"/>
            </w:tcBorders>
            <w:shd w:val="clear" w:color="auto" w:fill="auto"/>
            <w:noWrap/>
            <w:vAlign w:val="center"/>
            <w:hideMark/>
          </w:tcPr>
          <w:p w:rsidR="00D54FFA" w:rsidRPr="0026329D" w:rsidRDefault="00D54FFA" w:rsidP="00090F6A">
            <w:pPr>
              <w:jc w:val="left"/>
              <w:rPr>
                <w:color w:val="000000"/>
                <w:sz w:val="20"/>
                <w:szCs w:val="20"/>
                <w:lang w:val="en-CA" w:eastAsia="en-CA"/>
              </w:rPr>
            </w:pPr>
            <w:r w:rsidRPr="0026329D">
              <w:rPr>
                <w:color w:val="000000"/>
                <w:sz w:val="20"/>
                <w:szCs w:val="20"/>
                <w:lang w:val="en-CA" w:eastAsia="en-CA"/>
              </w:rPr>
              <w:t> </w:t>
            </w:r>
          </w:p>
        </w:tc>
      </w:tr>
    </w:tbl>
    <w:p w:rsidR="00D54FFA" w:rsidRPr="0026329D" w:rsidRDefault="00D54FFA" w:rsidP="00D54FFA">
      <w:pPr>
        <w:rPr>
          <w:sz w:val="18"/>
          <w:szCs w:val="18"/>
          <w:lang w:val="en-CA"/>
        </w:rPr>
      </w:pPr>
      <w:r w:rsidRPr="0026329D">
        <w:rPr>
          <w:sz w:val="18"/>
          <w:szCs w:val="18"/>
          <w:lang w:val="en-CA"/>
        </w:rPr>
        <w:t xml:space="preserve">*The total balance to be returned by UNDP is calculated as </w:t>
      </w:r>
      <w:r w:rsidR="00475A50" w:rsidRPr="0026329D">
        <w:rPr>
          <w:sz w:val="18"/>
          <w:szCs w:val="18"/>
          <w:lang w:val="en-CA"/>
        </w:rPr>
        <w:t>US $</w:t>
      </w:r>
      <w:r w:rsidRPr="0026329D">
        <w:rPr>
          <w:sz w:val="18"/>
          <w:szCs w:val="18"/>
          <w:lang w:val="en-CA"/>
        </w:rPr>
        <w:t>356,151.</w:t>
      </w:r>
    </w:p>
    <w:p w:rsidR="00D54FFA" w:rsidRPr="0026329D" w:rsidRDefault="00D54FFA" w:rsidP="00D54FFA">
      <w:pPr>
        <w:rPr>
          <w:lang w:val="en-CA"/>
        </w:rPr>
      </w:pPr>
    </w:p>
    <w:p w:rsidR="00D54FFA" w:rsidRPr="0026329D" w:rsidRDefault="00D54FFA" w:rsidP="00D54FFA">
      <w:pPr>
        <w:spacing w:after="240"/>
        <w:rPr>
          <w:b/>
          <w:lang w:val="en-CA"/>
        </w:rPr>
      </w:pPr>
      <w:r w:rsidRPr="0026329D">
        <w:rPr>
          <w:b/>
          <w:lang w:val="en-CA"/>
        </w:rPr>
        <w:t>Secretariat</w:t>
      </w:r>
      <w:r w:rsidR="002D5B54" w:rsidRPr="0026329D">
        <w:rPr>
          <w:b/>
          <w:lang w:val="en-CA"/>
        </w:rPr>
        <w:t>’s</w:t>
      </w:r>
      <w:r w:rsidRPr="0026329D">
        <w:rPr>
          <w:b/>
          <w:lang w:val="en-CA"/>
        </w:rPr>
        <w:t xml:space="preserve"> comments</w:t>
      </w:r>
    </w:p>
    <w:p w:rsidR="00D54FFA" w:rsidRPr="0026329D" w:rsidRDefault="00D54FFA" w:rsidP="00D54FFA">
      <w:pPr>
        <w:widowControl w:val="0"/>
        <w:numPr>
          <w:ilvl w:val="0"/>
          <w:numId w:val="1"/>
        </w:numPr>
        <w:spacing w:after="240"/>
        <w:outlineLvl w:val="0"/>
        <w:rPr>
          <w:lang w:val="en-CA"/>
        </w:rPr>
      </w:pPr>
      <w:r w:rsidRPr="0026329D">
        <w:rPr>
          <w:lang w:val="en-CA"/>
        </w:rPr>
        <w:t xml:space="preserve">The CFC production, PU foam, refrigeration servicing, and solvent sector plans have been completed. While preliminary PCRs have been submitted, the financial data </w:t>
      </w:r>
      <w:r w:rsidR="00D41BEC" w:rsidRPr="0026329D">
        <w:rPr>
          <w:b/>
          <w:lang w:val="en-CA"/>
        </w:rPr>
        <w:t>therein</w:t>
      </w:r>
      <w:r w:rsidR="00D41BEC" w:rsidRPr="0026329D">
        <w:rPr>
          <w:lang w:val="en-CA"/>
        </w:rPr>
        <w:t xml:space="preserve"> </w:t>
      </w:r>
      <w:r w:rsidRPr="0026329D">
        <w:rPr>
          <w:lang w:val="en-CA"/>
        </w:rPr>
        <w:t>does not yet reflect the final disbursements to beneficiaries, nor the returns to the 85</w:t>
      </w:r>
      <w:r w:rsidRPr="0026329D">
        <w:rPr>
          <w:vertAlign w:val="superscript"/>
          <w:lang w:val="en-CA"/>
        </w:rPr>
        <w:t>th</w:t>
      </w:r>
      <w:r w:rsidR="009B3FC3" w:rsidRPr="0026329D">
        <w:rPr>
          <w:lang w:val="en-CA"/>
        </w:rPr>
        <w:t> meeting</w:t>
      </w:r>
      <w:r w:rsidRPr="0026329D">
        <w:rPr>
          <w:lang w:val="en-CA"/>
        </w:rPr>
        <w:t xml:space="preserve">. The Senior Monitoring and Evaluation Officer is working with the relevant implementing agencies to ensure the financial data is included in the respective PCRs. </w:t>
      </w:r>
    </w:p>
    <w:p w:rsidR="00D54FFA" w:rsidRPr="0026329D" w:rsidRDefault="00D54FFA" w:rsidP="00D54FFA">
      <w:pPr>
        <w:numPr>
          <w:ilvl w:val="0"/>
          <w:numId w:val="1"/>
        </w:numPr>
        <w:spacing w:after="240"/>
        <w:outlineLvl w:val="0"/>
        <w:rPr>
          <w:lang w:val="en-CA"/>
        </w:rPr>
      </w:pPr>
      <w:r w:rsidRPr="0026329D">
        <w:rPr>
          <w:lang w:val="en-CA"/>
        </w:rPr>
        <w:t>As agreed at the 84</w:t>
      </w:r>
      <w:r w:rsidRPr="0026329D">
        <w:rPr>
          <w:vertAlign w:val="superscript"/>
          <w:lang w:val="en-CA"/>
        </w:rPr>
        <w:t>th</w:t>
      </w:r>
      <w:r w:rsidR="009B3FC3" w:rsidRPr="0026329D">
        <w:rPr>
          <w:lang w:val="en-CA"/>
        </w:rPr>
        <w:t> meeting</w:t>
      </w:r>
      <w:r w:rsidRPr="0026329D">
        <w:rPr>
          <w:lang w:val="en-CA"/>
        </w:rPr>
        <w:t>, the halon and process agent II sector plans will be completed by 31 December 2020, and any remaining balances as at that date would be returned to the 87</w:t>
      </w:r>
      <w:r w:rsidRPr="0026329D">
        <w:rPr>
          <w:vertAlign w:val="superscript"/>
          <w:lang w:val="en-CA"/>
        </w:rPr>
        <w:t>th</w:t>
      </w:r>
      <w:r w:rsidRPr="0026329D">
        <w:rPr>
          <w:lang w:val="en-CA"/>
        </w:rPr>
        <w:t> meeting, in line with decision 84/39(b).</w:t>
      </w:r>
    </w:p>
    <w:p w:rsidR="00D54FFA" w:rsidRPr="0026329D" w:rsidRDefault="003304E4" w:rsidP="00D54FFA">
      <w:pPr>
        <w:keepNext/>
        <w:keepLines/>
        <w:spacing w:after="240"/>
        <w:rPr>
          <w:b/>
          <w:bCs/>
          <w:lang w:val="en-CA"/>
        </w:rPr>
      </w:pPr>
      <w:r w:rsidRPr="0026329D">
        <w:rPr>
          <w:b/>
          <w:bCs/>
          <w:lang w:val="en-CA"/>
        </w:rPr>
        <w:t>Recommendation</w:t>
      </w:r>
    </w:p>
    <w:p w:rsidR="00D54FFA" w:rsidRPr="0026329D" w:rsidRDefault="00D54FFA" w:rsidP="00D54FFA">
      <w:pPr>
        <w:numPr>
          <w:ilvl w:val="0"/>
          <w:numId w:val="1"/>
        </w:numPr>
        <w:spacing w:after="240"/>
        <w:outlineLvl w:val="0"/>
        <w:rPr>
          <w:lang w:val="en-CA"/>
        </w:rPr>
      </w:pPr>
      <w:r w:rsidRPr="0026329D">
        <w:rPr>
          <w:lang w:val="en-CA"/>
        </w:rPr>
        <w:t>The Executive Committee may wish:</w:t>
      </w:r>
    </w:p>
    <w:p w:rsidR="00D54FFA" w:rsidRPr="0026329D" w:rsidRDefault="00D54FFA" w:rsidP="00D54FFA">
      <w:pPr>
        <w:keepNext/>
        <w:keepLines/>
        <w:widowControl w:val="0"/>
        <w:numPr>
          <w:ilvl w:val="1"/>
          <w:numId w:val="1"/>
        </w:numPr>
        <w:spacing w:after="240"/>
        <w:outlineLvl w:val="1"/>
        <w:rPr>
          <w:lang w:val="en-CA"/>
        </w:rPr>
      </w:pPr>
      <w:r w:rsidRPr="0026329D">
        <w:rPr>
          <w:lang w:val="en-CA"/>
        </w:rPr>
        <w:t>To note:</w:t>
      </w:r>
    </w:p>
    <w:p w:rsidR="00D54FFA" w:rsidRPr="0026329D" w:rsidRDefault="00D54FFA" w:rsidP="00D54FFA">
      <w:pPr>
        <w:widowControl w:val="0"/>
        <w:numPr>
          <w:ilvl w:val="2"/>
          <w:numId w:val="1"/>
        </w:numPr>
        <w:tabs>
          <w:tab w:val="left" w:pos="6521"/>
        </w:tabs>
        <w:spacing w:after="240"/>
        <w:outlineLvl w:val="2"/>
        <w:rPr>
          <w:lang w:val="en-CA"/>
        </w:rPr>
      </w:pPr>
      <w:r w:rsidRPr="0026329D">
        <w:rPr>
          <w:lang w:val="en-CA"/>
        </w:rPr>
        <w:t xml:space="preserve">The financial audit reports for the CFC production, halon, polyurethane (PU) foam, process agent II, solvent and servicing sectors in China, contained in document UNEP/OzL.Pro/ExCom/85/9; </w:t>
      </w:r>
    </w:p>
    <w:p w:rsidR="00D54FFA" w:rsidRPr="006E7D7A" w:rsidRDefault="00D54FFA" w:rsidP="00B90979">
      <w:pPr>
        <w:pStyle w:val="Heading3"/>
        <w:rPr>
          <w:lang w:val="en-CA"/>
        </w:rPr>
      </w:pPr>
      <w:r w:rsidRPr="0026329D">
        <w:rPr>
          <w:lang w:val="en-CA"/>
        </w:rPr>
        <w:t xml:space="preserve">That the World Bank </w:t>
      </w:r>
      <w:r w:rsidR="006D156C" w:rsidRPr="0026329D">
        <w:rPr>
          <w:lang w:val="en-CA"/>
        </w:rPr>
        <w:t xml:space="preserve">will </w:t>
      </w:r>
      <w:r w:rsidRPr="006E7D7A">
        <w:rPr>
          <w:lang w:val="en-CA"/>
        </w:rPr>
        <w:t xml:space="preserve">return the remaining balances in the CFC production and PU foam sectors of </w:t>
      </w:r>
      <w:r w:rsidR="00475A50" w:rsidRPr="006E7D7A">
        <w:rPr>
          <w:lang w:val="en-CA"/>
        </w:rPr>
        <w:t>US $</w:t>
      </w:r>
      <w:r w:rsidRPr="006E7D7A">
        <w:rPr>
          <w:lang w:val="en-CA"/>
        </w:rPr>
        <w:t xml:space="preserve">314,015, and accumulated interest of </w:t>
      </w:r>
      <w:r w:rsidR="00475A50" w:rsidRPr="006E7D7A">
        <w:rPr>
          <w:lang w:val="en-CA"/>
        </w:rPr>
        <w:t>US $</w:t>
      </w:r>
      <w:r w:rsidRPr="006E7D7A">
        <w:rPr>
          <w:lang w:val="en-CA"/>
        </w:rPr>
        <w:t>22,119, to the</w:t>
      </w:r>
      <w:r w:rsidR="00B90979" w:rsidRPr="006E7D7A">
        <w:rPr>
          <w:lang w:val="en-CA"/>
        </w:rPr>
        <w:t xml:space="preserve"> </w:t>
      </w:r>
      <w:r w:rsidR="00995AFC" w:rsidRPr="006E7D7A">
        <w:rPr>
          <w:b/>
          <w:lang w:val="en-CA"/>
        </w:rPr>
        <w:t>86</w:t>
      </w:r>
      <w:r w:rsidR="00995AFC" w:rsidRPr="006E7D7A">
        <w:rPr>
          <w:b/>
          <w:vertAlign w:val="superscript"/>
          <w:lang w:val="en-CA"/>
        </w:rPr>
        <w:t>th</w:t>
      </w:r>
      <w:r w:rsidR="009B3FC3" w:rsidRPr="006E7D7A">
        <w:rPr>
          <w:lang w:val="en-CA"/>
        </w:rPr>
        <w:t> meeting</w:t>
      </w:r>
      <w:r w:rsidRPr="006E7D7A">
        <w:rPr>
          <w:lang w:val="en-CA"/>
        </w:rPr>
        <w:t>;</w:t>
      </w:r>
    </w:p>
    <w:p w:rsidR="00D54FFA" w:rsidRPr="006E7D7A" w:rsidRDefault="00D54FFA" w:rsidP="00D54FFA">
      <w:pPr>
        <w:widowControl w:val="0"/>
        <w:numPr>
          <w:ilvl w:val="2"/>
          <w:numId w:val="1"/>
        </w:numPr>
        <w:spacing w:after="240"/>
        <w:outlineLvl w:val="2"/>
        <w:rPr>
          <w:lang w:val="en-CA"/>
        </w:rPr>
      </w:pPr>
      <w:r w:rsidRPr="006E7D7A">
        <w:rPr>
          <w:lang w:val="en-CA"/>
        </w:rPr>
        <w:t xml:space="preserve">That UNIDO </w:t>
      </w:r>
      <w:r w:rsidR="006D156C" w:rsidRPr="006E7D7A">
        <w:rPr>
          <w:lang w:val="en-CA"/>
        </w:rPr>
        <w:t xml:space="preserve">will </w:t>
      </w:r>
      <w:r w:rsidRPr="006E7D7A">
        <w:rPr>
          <w:lang w:val="en-CA"/>
        </w:rPr>
        <w:t xml:space="preserve">return the remaining balances in the refrigeration servicing sector plan of </w:t>
      </w:r>
      <w:r w:rsidR="00475A50" w:rsidRPr="006E7D7A">
        <w:rPr>
          <w:lang w:val="en-CA"/>
        </w:rPr>
        <w:t>US $</w:t>
      </w:r>
      <w:r w:rsidRPr="006E7D7A">
        <w:rPr>
          <w:lang w:val="en-CA"/>
        </w:rPr>
        <w:t xml:space="preserve">752, plus accumulated interest of </w:t>
      </w:r>
      <w:r w:rsidR="00475A50" w:rsidRPr="006E7D7A">
        <w:rPr>
          <w:lang w:val="en-CA"/>
        </w:rPr>
        <w:t>US $</w:t>
      </w:r>
      <w:r w:rsidRPr="006E7D7A">
        <w:rPr>
          <w:lang w:val="en-CA"/>
        </w:rPr>
        <w:t>99,178 to the</w:t>
      </w:r>
      <w:r w:rsidR="00B90979" w:rsidRPr="006E7D7A">
        <w:rPr>
          <w:lang w:val="en-CA"/>
        </w:rPr>
        <w:t xml:space="preserve"> </w:t>
      </w:r>
      <w:r w:rsidR="00995AFC" w:rsidRPr="006E7D7A">
        <w:rPr>
          <w:b/>
          <w:lang w:val="en-CA"/>
        </w:rPr>
        <w:t>86</w:t>
      </w:r>
      <w:r w:rsidR="00995AFC" w:rsidRPr="006E7D7A">
        <w:rPr>
          <w:b/>
          <w:vertAlign w:val="superscript"/>
          <w:lang w:val="en-CA"/>
        </w:rPr>
        <w:t>th</w:t>
      </w:r>
      <w:r w:rsidR="009B3FC3" w:rsidRPr="006E7D7A">
        <w:rPr>
          <w:lang w:val="en-CA"/>
        </w:rPr>
        <w:t> meeting</w:t>
      </w:r>
      <w:r w:rsidRPr="006E7D7A">
        <w:rPr>
          <w:lang w:val="en-CA"/>
        </w:rPr>
        <w:t xml:space="preserve">; </w:t>
      </w:r>
    </w:p>
    <w:p w:rsidR="00D54FFA" w:rsidRPr="0026329D" w:rsidRDefault="00D54FFA" w:rsidP="00D54FFA">
      <w:pPr>
        <w:widowControl w:val="0"/>
        <w:numPr>
          <w:ilvl w:val="2"/>
          <w:numId w:val="1"/>
        </w:numPr>
        <w:spacing w:after="240"/>
        <w:outlineLvl w:val="2"/>
        <w:rPr>
          <w:lang w:val="en-CA"/>
        </w:rPr>
      </w:pPr>
      <w:r w:rsidRPr="006E7D7A">
        <w:rPr>
          <w:lang w:val="en-CA"/>
        </w:rPr>
        <w:t xml:space="preserve">That UNDP </w:t>
      </w:r>
      <w:r w:rsidR="006D156C" w:rsidRPr="006E7D7A">
        <w:rPr>
          <w:lang w:val="en-CA"/>
        </w:rPr>
        <w:t xml:space="preserve">will </w:t>
      </w:r>
      <w:r w:rsidRPr="006E7D7A">
        <w:rPr>
          <w:lang w:val="en-CA"/>
        </w:rPr>
        <w:t>return</w:t>
      </w:r>
      <w:r w:rsidRPr="0026329D">
        <w:rPr>
          <w:lang w:val="en-CA"/>
        </w:rPr>
        <w:t xml:space="preserve"> </w:t>
      </w:r>
      <w:r w:rsidR="00475A50" w:rsidRPr="0026329D">
        <w:rPr>
          <w:lang w:val="en-CA"/>
        </w:rPr>
        <w:t>US $</w:t>
      </w:r>
      <w:r w:rsidRPr="0026329D">
        <w:rPr>
          <w:lang w:val="en-CA"/>
        </w:rPr>
        <w:t xml:space="preserve">356,151, the accumulated interest from the solvent sector plan to the </w:t>
      </w:r>
      <w:r w:rsidR="00995AFC" w:rsidRPr="0026329D">
        <w:rPr>
          <w:b/>
          <w:lang w:val="en-CA"/>
        </w:rPr>
        <w:t>86</w:t>
      </w:r>
      <w:r w:rsidR="00995AFC" w:rsidRPr="0026329D">
        <w:rPr>
          <w:b/>
          <w:vertAlign w:val="superscript"/>
          <w:lang w:val="en-CA"/>
        </w:rPr>
        <w:t>th</w:t>
      </w:r>
      <w:r w:rsidR="009B3FC3" w:rsidRPr="0026329D">
        <w:rPr>
          <w:lang w:val="en-CA"/>
        </w:rPr>
        <w:t> meeting</w:t>
      </w:r>
      <w:r w:rsidRPr="0026329D">
        <w:rPr>
          <w:lang w:val="en-CA"/>
        </w:rPr>
        <w:t xml:space="preserve">; </w:t>
      </w:r>
    </w:p>
    <w:p w:rsidR="00D54FFA" w:rsidRPr="0026329D" w:rsidRDefault="00D54FFA" w:rsidP="00D54FFA">
      <w:pPr>
        <w:widowControl w:val="0"/>
        <w:numPr>
          <w:ilvl w:val="1"/>
          <w:numId w:val="1"/>
        </w:numPr>
        <w:spacing w:after="240"/>
        <w:outlineLvl w:val="1"/>
        <w:rPr>
          <w:lang w:val="en-CA"/>
        </w:rPr>
      </w:pPr>
      <w:r w:rsidRPr="0026329D">
        <w:rPr>
          <w:lang w:val="en-CA"/>
        </w:rPr>
        <w:t>To request the World Bank to submit the financial audit reports for the halon and process agent II sector plans that would be completed by 31 December 2020, in line with decision 84/39(b) to the 87</w:t>
      </w:r>
      <w:r w:rsidRPr="0026329D">
        <w:rPr>
          <w:vertAlign w:val="superscript"/>
          <w:lang w:val="en-CA"/>
        </w:rPr>
        <w:t>th</w:t>
      </w:r>
      <w:r w:rsidR="009B3FC3" w:rsidRPr="0026329D">
        <w:rPr>
          <w:lang w:val="en-CA"/>
        </w:rPr>
        <w:t> meeting</w:t>
      </w:r>
      <w:r w:rsidRPr="0026329D">
        <w:rPr>
          <w:lang w:val="en-CA"/>
        </w:rPr>
        <w:t xml:space="preserve"> together with the corresponding project completion reports (PCRs) and any remaining balances as at 31 December 2020; and</w:t>
      </w:r>
    </w:p>
    <w:p w:rsidR="004E7321" w:rsidRPr="0026329D" w:rsidRDefault="00D54FFA" w:rsidP="00D54FFA">
      <w:pPr>
        <w:widowControl w:val="0"/>
        <w:numPr>
          <w:ilvl w:val="1"/>
          <w:numId w:val="1"/>
        </w:numPr>
        <w:spacing w:after="240"/>
        <w:outlineLvl w:val="1"/>
        <w:rPr>
          <w:lang w:val="en-CA"/>
        </w:rPr>
      </w:pPr>
      <w:r w:rsidRPr="0026329D">
        <w:rPr>
          <w:lang w:val="en-CA"/>
        </w:rPr>
        <w:t xml:space="preserve">To request the Senior Monitoring and Evaluation Officer to work with the relevant implementing agency to ensure that the PCRs submitted for the CFC production, PU foam, refrigeration servicing, and solvent sector plans reflect disbursements to final beneficiaries, consistent with the information provided in the financial audit reports submitted to the </w:t>
      </w:r>
      <w:r w:rsidR="00995AFC" w:rsidRPr="0026329D">
        <w:rPr>
          <w:b/>
          <w:lang w:val="en-CA"/>
        </w:rPr>
        <w:t>86</w:t>
      </w:r>
      <w:r w:rsidR="00995AFC" w:rsidRPr="0026329D">
        <w:rPr>
          <w:b/>
          <w:vertAlign w:val="superscript"/>
          <w:lang w:val="en-CA"/>
        </w:rPr>
        <w:t>th</w:t>
      </w:r>
      <w:r w:rsidR="00995AFC" w:rsidRPr="0026329D">
        <w:rPr>
          <w:lang w:val="en-CA"/>
        </w:rPr>
        <w:t> </w:t>
      </w:r>
      <w:r w:rsidRPr="0026329D">
        <w:rPr>
          <w:lang w:val="en-CA"/>
        </w:rPr>
        <w:t>meeting.</w:t>
      </w:r>
    </w:p>
    <w:p w:rsidR="004E7321" w:rsidRPr="0026329D" w:rsidRDefault="004E7321">
      <w:pPr>
        <w:jc w:val="left"/>
        <w:rPr>
          <w:lang w:val="en-CA"/>
        </w:rPr>
      </w:pPr>
      <w:r w:rsidRPr="0026329D">
        <w:rPr>
          <w:lang w:val="en-CA"/>
        </w:rPr>
        <w:br w:type="page"/>
      </w:r>
    </w:p>
    <w:p w:rsidR="00967221" w:rsidRPr="0026329D" w:rsidRDefault="00967221" w:rsidP="00967221">
      <w:pPr>
        <w:ind w:left="1440" w:hanging="1440"/>
        <w:rPr>
          <w:rFonts w:eastAsiaTheme="minorEastAsia"/>
          <w:b/>
          <w:lang w:val="en-CA"/>
        </w:rPr>
      </w:pPr>
      <w:r w:rsidRPr="0026329D">
        <w:rPr>
          <w:rFonts w:eastAsiaTheme="minorEastAsia"/>
          <w:b/>
          <w:lang w:val="en-CA"/>
        </w:rPr>
        <w:t>PART VI</w:t>
      </w:r>
      <w:r w:rsidR="00FB6DD9" w:rsidRPr="0026329D">
        <w:rPr>
          <w:rFonts w:eastAsiaTheme="minorEastAsia"/>
          <w:b/>
          <w:lang w:val="en-CA"/>
        </w:rPr>
        <w:t>I</w:t>
      </w:r>
      <w:r w:rsidRPr="0026329D">
        <w:rPr>
          <w:rFonts w:eastAsiaTheme="minorEastAsia"/>
          <w:b/>
          <w:lang w:val="en-CA"/>
        </w:rPr>
        <w:t>:</w:t>
      </w:r>
      <w:r w:rsidRPr="0026329D">
        <w:rPr>
          <w:rFonts w:eastAsiaTheme="minorEastAsia"/>
          <w:b/>
          <w:lang w:val="en-CA"/>
        </w:rPr>
        <w:tab/>
        <w:t xml:space="preserve">SECTOR PLAN FOR THE PHASE-OUT OF METHYL BROMIDE </w:t>
      </w:r>
      <w:r w:rsidR="007B650E" w:rsidRPr="0026329D">
        <w:rPr>
          <w:rFonts w:eastAsiaTheme="minorEastAsia"/>
          <w:b/>
          <w:lang w:val="en-CA"/>
        </w:rPr>
        <w:t xml:space="preserve">(MB) </w:t>
      </w:r>
      <w:r w:rsidRPr="0026329D">
        <w:rPr>
          <w:rFonts w:eastAsiaTheme="minorEastAsia"/>
          <w:b/>
          <w:lang w:val="en-CA"/>
        </w:rPr>
        <w:t xml:space="preserve">PRODUCTION </w:t>
      </w:r>
    </w:p>
    <w:p w:rsidR="00967221" w:rsidRPr="0026329D" w:rsidRDefault="00967221" w:rsidP="00967221">
      <w:pPr>
        <w:ind w:left="1440" w:hanging="1440"/>
        <w:rPr>
          <w:rFonts w:eastAsiaTheme="minorEastAsia"/>
          <w:b/>
          <w:lang w:val="en-CA"/>
        </w:rPr>
      </w:pPr>
    </w:p>
    <w:p w:rsidR="006F5F66" w:rsidRPr="0026329D" w:rsidRDefault="006F5F66" w:rsidP="00967221">
      <w:pPr>
        <w:ind w:left="1440" w:hanging="1440"/>
        <w:rPr>
          <w:rFonts w:eastAsiaTheme="minorEastAsia"/>
          <w:b/>
          <w:lang w:val="en-CA"/>
        </w:rPr>
      </w:pPr>
      <w:r w:rsidRPr="0026329D">
        <w:rPr>
          <w:rFonts w:eastAsiaTheme="minorEastAsia"/>
          <w:b/>
          <w:lang w:val="en-CA"/>
        </w:rPr>
        <w:t>Background</w:t>
      </w:r>
    </w:p>
    <w:p w:rsidR="006F5F66" w:rsidRPr="0026329D" w:rsidRDefault="006F5F66" w:rsidP="00967221">
      <w:pPr>
        <w:ind w:left="1440" w:hanging="1440"/>
        <w:rPr>
          <w:rFonts w:eastAsiaTheme="minorEastAsia"/>
          <w:b/>
          <w:lang w:val="en-CA"/>
        </w:rPr>
      </w:pPr>
    </w:p>
    <w:p w:rsidR="00273D6B" w:rsidRPr="0026329D" w:rsidRDefault="00273D6B" w:rsidP="00273D6B">
      <w:pPr>
        <w:pStyle w:val="Heading1"/>
        <w:rPr>
          <w:rFonts w:eastAsiaTheme="minorEastAsia"/>
          <w:lang w:val="en-CA"/>
        </w:rPr>
      </w:pPr>
      <w:r w:rsidRPr="0026329D">
        <w:rPr>
          <w:rFonts w:eastAsiaTheme="minorEastAsia"/>
          <w:lang w:val="en-CA"/>
        </w:rPr>
        <w:t>At its 84</w:t>
      </w:r>
      <w:r w:rsidRPr="0026329D">
        <w:rPr>
          <w:rFonts w:eastAsiaTheme="minorEastAsia"/>
          <w:vertAlign w:val="superscript"/>
          <w:lang w:val="en-CA"/>
        </w:rPr>
        <w:t>th </w:t>
      </w:r>
      <w:r w:rsidRPr="0026329D">
        <w:rPr>
          <w:rFonts w:eastAsiaTheme="minorEastAsia"/>
          <w:lang w:val="en-CA"/>
        </w:rPr>
        <w:t>meeting, the Executive Committee noted the report on the status of implementation of the sector plan for the phase-out of methyl bromide (MB) production in China, the update on the contract for the monitoring and supervision programme to be implemented by the Customs Authority, and the update regarding the MB labelling and traceability system, submitted by UNIDO; and requested the Government of China, through UNIDO, to include an update on the MB labelling and traceability system in the annual report on the status of implementation of the sector plan for the phase-out of MB production in China to be submitted at the 86</w:t>
      </w:r>
      <w:r w:rsidRPr="0026329D">
        <w:rPr>
          <w:rFonts w:eastAsiaTheme="minorEastAsia"/>
          <w:vertAlign w:val="superscript"/>
          <w:lang w:val="en-CA"/>
        </w:rPr>
        <w:t>th</w:t>
      </w:r>
      <w:r w:rsidRPr="0026329D">
        <w:rPr>
          <w:rFonts w:eastAsiaTheme="minorEastAsia"/>
          <w:lang w:val="en-CA"/>
        </w:rPr>
        <w:t xml:space="preserve"> meeting (decision 84/40(a) and (b)). </w:t>
      </w:r>
    </w:p>
    <w:p w:rsidR="00273D6B" w:rsidRPr="0026329D" w:rsidRDefault="00273D6B" w:rsidP="00273D6B">
      <w:pPr>
        <w:pStyle w:val="Heading1"/>
        <w:rPr>
          <w:rFonts w:eastAsiaTheme="minorEastAsia"/>
          <w:lang w:val="en-CA"/>
        </w:rPr>
      </w:pPr>
      <w:r w:rsidRPr="0026329D">
        <w:rPr>
          <w:rFonts w:eastAsiaTheme="minorEastAsia"/>
          <w:lang w:val="en-CA"/>
        </w:rPr>
        <w:t>On behalf of the Government of China, UNIDO submitted to the 86</w:t>
      </w:r>
      <w:r w:rsidRPr="0026329D">
        <w:rPr>
          <w:rFonts w:eastAsiaTheme="minorEastAsia"/>
          <w:vertAlign w:val="superscript"/>
          <w:lang w:val="en-CA"/>
        </w:rPr>
        <w:t>th</w:t>
      </w:r>
      <w:r w:rsidRPr="0026329D">
        <w:rPr>
          <w:rFonts w:eastAsiaTheme="minorEastAsia"/>
          <w:lang w:val="en-CA"/>
        </w:rPr>
        <w:t xml:space="preserve"> meeting the requested progress report and update, in line with </w:t>
      </w:r>
      <w:r w:rsidR="00A81DEE" w:rsidRPr="0026329D">
        <w:rPr>
          <w:rFonts w:eastAsiaTheme="minorEastAsia"/>
          <w:lang w:val="en-CA"/>
        </w:rPr>
        <w:t>decision </w:t>
      </w:r>
      <w:r w:rsidRPr="0026329D">
        <w:rPr>
          <w:rFonts w:eastAsiaTheme="minorEastAsia"/>
          <w:lang w:val="en-CA"/>
        </w:rPr>
        <w:t>84/40(a) and (b).</w:t>
      </w:r>
    </w:p>
    <w:p w:rsidR="00273D6B" w:rsidRPr="0026329D" w:rsidRDefault="00273D6B" w:rsidP="00273D6B">
      <w:pPr>
        <w:pStyle w:val="Heading1"/>
        <w:rPr>
          <w:rFonts w:eastAsiaTheme="minorEastAsia"/>
          <w:lang w:val="en-CA"/>
        </w:rPr>
      </w:pPr>
      <w:r w:rsidRPr="0026329D">
        <w:rPr>
          <w:rFonts w:eastAsiaTheme="minorEastAsia"/>
          <w:lang w:val="en-CA"/>
        </w:rPr>
        <w:t>The Agreement between the Government of China and the Executive Committee specified a maximum annual allowable production of MB for controlled uses for 2015 and beyond of zero save for quarantine pre-shipment (QPS), feedstock and critical uses to be approved by the Parties. The Government of China did not submit a critical-use nomination for production for 2019. The 2019 verification report confirmed that China’s production for controlled uses was zero; the Government reported no consumption of MB under Article 7 of the Montreal Protocol and under the country programme data report.</w:t>
      </w:r>
    </w:p>
    <w:p w:rsidR="00273D6B" w:rsidRPr="0026329D" w:rsidRDefault="00273D6B" w:rsidP="00273D6B">
      <w:pPr>
        <w:spacing w:after="240"/>
        <w:outlineLvl w:val="0"/>
        <w:rPr>
          <w:rFonts w:eastAsiaTheme="minorEastAsia"/>
          <w:u w:val="single"/>
          <w:lang w:val="en-CA"/>
        </w:rPr>
      </w:pPr>
      <w:r w:rsidRPr="0026329D">
        <w:rPr>
          <w:rFonts w:eastAsiaTheme="minorEastAsia"/>
          <w:u w:val="single"/>
          <w:lang w:val="en-CA"/>
        </w:rPr>
        <w:t>Verification of 2019 MB production</w:t>
      </w:r>
    </w:p>
    <w:p w:rsidR="00273D6B" w:rsidRPr="0026329D" w:rsidRDefault="00273D6B" w:rsidP="00273D6B">
      <w:pPr>
        <w:pStyle w:val="Heading1"/>
        <w:rPr>
          <w:rFonts w:eastAsiaTheme="minorEastAsia"/>
          <w:lang w:val="en-CA"/>
        </w:rPr>
      </w:pPr>
      <w:r w:rsidRPr="0026329D">
        <w:rPr>
          <w:rFonts w:eastAsiaTheme="minorEastAsia"/>
          <w:lang w:val="en-CA"/>
        </w:rPr>
        <w:t>The production data verification for three MB producers was conducted in August 2020. The related 2019 production data were collected and verified, including: plant’s identification, plant’s history, plant’s operation details, sales figures, and inventory at the beginning and end of the year. The verification team concluded that none of the three enterprises has produced MB for controlled uses.</w:t>
      </w:r>
    </w:p>
    <w:p w:rsidR="00273D6B" w:rsidRPr="0026329D" w:rsidRDefault="00273D6B" w:rsidP="00273D6B">
      <w:pPr>
        <w:rPr>
          <w:rFonts w:eastAsiaTheme="minorEastAsia"/>
          <w:u w:val="single"/>
          <w:lang w:val="en-CA"/>
        </w:rPr>
      </w:pPr>
      <w:r w:rsidRPr="0026329D">
        <w:rPr>
          <w:rFonts w:eastAsiaTheme="minorEastAsia"/>
          <w:u w:val="single"/>
          <w:lang w:val="en-CA"/>
        </w:rPr>
        <w:t>Progress report</w:t>
      </w:r>
    </w:p>
    <w:p w:rsidR="00273D6B" w:rsidRPr="0026329D" w:rsidRDefault="00273D6B" w:rsidP="00273D6B">
      <w:pPr>
        <w:rPr>
          <w:rFonts w:eastAsiaTheme="minorEastAsia"/>
          <w:lang w:val="en-CA"/>
        </w:rPr>
      </w:pPr>
    </w:p>
    <w:p w:rsidR="00273D6B" w:rsidRPr="0026329D" w:rsidRDefault="00273D6B" w:rsidP="00273D6B">
      <w:pPr>
        <w:pStyle w:val="Heading1"/>
        <w:rPr>
          <w:rFonts w:eastAsiaTheme="minorEastAsia"/>
          <w:lang w:val="en-CA"/>
        </w:rPr>
      </w:pPr>
      <w:r w:rsidRPr="0026329D">
        <w:rPr>
          <w:rFonts w:eastAsiaTheme="minorEastAsia"/>
          <w:lang w:val="en-CA"/>
        </w:rPr>
        <w:t>At its 82</w:t>
      </w:r>
      <w:r w:rsidRPr="0026329D">
        <w:rPr>
          <w:rFonts w:eastAsiaTheme="minorEastAsia"/>
          <w:vertAlign w:val="superscript"/>
          <w:lang w:val="en-CA"/>
        </w:rPr>
        <w:t>nd </w:t>
      </w:r>
      <w:r w:rsidRPr="0026329D">
        <w:rPr>
          <w:rFonts w:eastAsiaTheme="minorEastAsia"/>
          <w:lang w:val="en-CA"/>
        </w:rPr>
        <w:t xml:space="preserve">meeting, the Executive Committee noted the 2019-2021 work plan, which consists of near-term activities focused on monitoring and supervision of MB production in 2019 to 2021, and activities intended to ensure the long-term compliance through the establishment and implementation of MB monitoring and supervision programmes and tools. </w:t>
      </w:r>
    </w:p>
    <w:p w:rsidR="00273D6B" w:rsidRPr="0026329D" w:rsidRDefault="00273D6B" w:rsidP="00273D6B">
      <w:pPr>
        <w:pStyle w:val="Heading1"/>
        <w:rPr>
          <w:rFonts w:eastAsiaTheme="minorEastAsia"/>
          <w:lang w:val="en-CA"/>
        </w:rPr>
      </w:pPr>
      <w:r w:rsidRPr="0026329D">
        <w:rPr>
          <w:rFonts w:eastAsiaTheme="minorEastAsia"/>
          <w:lang w:val="en-CA"/>
        </w:rPr>
        <w:t xml:space="preserve">FECO finalized the terms of reference to establish the MB labelling and traceability system and </w:t>
      </w:r>
      <w:bookmarkStart w:id="27" w:name="_Hlk50023451"/>
      <w:r w:rsidRPr="0026329D">
        <w:rPr>
          <w:rFonts w:eastAsiaTheme="minorEastAsia"/>
          <w:lang w:val="en-CA"/>
        </w:rPr>
        <w:t>selected the Animal, Plant and Foodstuff Inspection Centre of Tianjin Customs</w:t>
      </w:r>
      <w:bookmarkEnd w:id="27"/>
      <w:r w:rsidRPr="0026329D">
        <w:rPr>
          <w:rFonts w:eastAsiaTheme="minorEastAsia"/>
          <w:lang w:val="en-CA"/>
        </w:rPr>
        <w:t xml:space="preserve"> to develop the system based on the existing production data reporting system. Each container of MB that was produced at the three MB producers would be labelled and tracked throughout its use for QPS or feedstock, thereby establishing a dynamic MB traceability production and consumption data management information system. In addition, the Centre will update the publication on principles and applied techniques of animal and plant quarantine treatment based on new research on MB alternatives and application methods (RMB 3,489,686).</w:t>
      </w:r>
    </w:p>
    <w:p w:rsidR="00273D6B" w:rsidRPr="0026329D" w:rsidRDefault="00273D6B" w:rsidP="00273D6B">
      <w:pPr>
        <w:pStyle w:val="Heading1"/>
        <w:rPr>
          <w:rFonts w:eastAsiaTheme="minorEastAsia"/>
          <w:lang w:val="en-CA"/>
        </w:rPr>
      </w:pPr>
      <w:r w:rsidRPr="0026329D">
        <w:rPr>
          <w:rFonts w:eastAsiaTheme="minorEastAsia"/>
          <w:lang w:val="en-CA"/>
        </w:rPr>
        <w:t xml:space="preserve">The data survey of MB feedstock uses for 2017-2018 was delayed due to the COVID-19 pandemic; data for 2017-2019 was being collected and will be combined with data from 2020 for a 2017-2020 survey report that will be completed in 2021. </w:t>
      </w:r>
    </w:p>
    <w:p w:rsidR="00273D6B" w:rsidRPr="0026329D" w:rsidRDefault="00273D6B" w:rsidP="006E7D7A">
      <w:pPr>
        <w:keepNext/>
        <w:keepLines/>
        <w:widowControl w:val="0"/>
        <w:spacing w:after="240"/>
        <w:outlineLvl w:val="0"/>
        <w:rPr>
          <w:rFonts w:eastAsiaTheme="minorEastAsia"/>
          <w:b/>
          <w:noProof/>
          <w:lang w:val="en-CA"/>
        </w:rPr>
      </w:pPr>
      <w:r w:rsidRPr="0026329D">
        <w:rPr>
          <w:rFonts w:eastAsiaTheme="minorEastAsia"/>
          <w:b/>
          <w:noProof/>
          <w:lang w:val="en-CA"/>
        </w:rPr>
        <w:t>Secretariat’s comments</w:t>
      </w:r>
    </w:p>
    <w:p w:rsidR="00273D6B" w:rsidRPr="0026329D" w:rsidRDefault="00273D6B" w:rsidP="006E7D7A">
      <w:pPr>
        <w:pStyle w:val="Heading1"/>
        <w:keepNext/>
        <w:keepLines/>
        <w:widowControl w:val="0"/>
        <w:rPr>
          <w:rFonts w:eastAsiaTheme="minorEastAsia"/>
          <w:lang w:val="en-CA"/>
        </w:rPr>
      </w:pPr>
      <w:r w:rsidRPr="0026329D">
        <w:rPr>
          <w:lang w:val="en-CA"/>
        </w:rPr>
        <w:t>No information was available on the 2014 case of illegal production of MB referred to in document UNEP/OzL.Pro/ExCom/84/22/Add.1 (</w:t>
      </w:r>
      <w:r w:rsidR="00A81DEE" w:rsidRPr="0026329D">
        <w:rPr>
          <w:lang w:val="en-CA"/>
        </w:rPr>
        <w:t>decision </w:t>
      </w:r>
      <w:r w:rsidRPr="0026329D">
        <w:rPr>
          <w:lang w:val="en-CA"/>
        </w:rPr>
        <w:t xml:space="preserve">84/40(c)). In addition, no further information was available on whether </w:t>
      </w:r>
      <w:r w:rsidRPr="0026329D">
        <w:rPr>
          <w:rFonts w:eastAsiaTheme="minorEastAsia"/>
          <w:lang w:val="en-CA"/>
        </w:rPr>
        <w:t>atmospheric monitoring stations that may be established in Jiangsu, Shandong, Shanghai, and Zhejiang provinces, where feedstock use of MB was concentrated, would include instruments that can measure atmospheric abundances of MB.</w:t>
      </w:r>
    </w:p>
    <w:p w:rsidR="00273D6B" w:rsidRPr="0026329D" w:rsidRDefault="00273D6B" w:rsidP="00273D6B">
      <w:pPr>
        <w:rPr>
          <w:rFonts w:eastAsiaTheme="minorEastAsia"/>
          <w:b/>
          <w:lang w:val="en-CA"/>
        </w:rPr>
      </w:pPr>
      <w:r w:rsidRPr="0026329D">
        <w:rPr>
          <w:rFonts w:eastAsiaTheme="minorEastAsia"/>
          <w:b/>
          <w:lang w:val="en-CA"/>
        </w:rPr>
        <w:t>Recommendation</w:t>
      </w:r>
    </w:p>
    <w:p w:rsidR="00273D6B" w:rsidRPr="0026329D" w:rsidRDefault="00273D6B" w:rsidP="00273D6B">
      <w:pPr>
        <w:rPr>
          <w:rFonts w:eastAsiaTheme="minorEastAsia"/>
          <w:lang w:val="en-CA"/>
        </w:rPr>
      </w:pPr>
    </w:p>
    <w:p w:rsidR="004B4CD0" w:rsidRPr="0026329D" w:rsidRDefault="00273D6B" w:rsidP="00273D6B">
      <w:pPr>
        <w:pStyle w:val="Heading1"/>
        <w:rPr>
          <w:rFonts w:eastAsiaTheme="minorEastAsia"/>
          <w:lang w:val="en-CA"/>
        </w:rPr>
      </w:pPr>
      <w:r w:rsidRPr="0026329D">
        <w:rPr>
          <w:rFonts w:eastAsiaTheme="minorEastAsia"/>
          <w:lang w:val="en-CA"/>
        </w:rPr>
        <w:t xml:space="preserve">The Executive Committee may wish to consider noting the report on the status of implementation of the sector plan for the phase-out of methyl bromide (MB) production in China, </w:t>
      </w:r>
      <w:r w:rsidRPr="0026329D">
        <w:rPr>
          <w:lang w:val="en-CA"/>
        </w:rPr>
        <w:t>and the</w:t>
      </w:r>
      <w:r w:rsidRPr="0026329D">
        <w:rPr>
          <w:rFonts w:eastAsiaTheme="minorEastAsia"/>
          <w:lang w:val="en-CA"/>
        </w:rPr>
        <w:t xml:space="preserve"> update regarding the </w:t>
      </w:r>
      <w:r w:rsidRPr="0026329D">
        <w:rPr>
          <w:lang w:val="en-CA"/>
        </w:rPr>
        <w:t>MB</w:t>
      </w:r>
      <w:r w:rsidRPr="0026329D">
        <w:rPr>
          <w:rFonts w:eastAsiaTheme="minorEastAsia"/>
          <w:lang w:val="en-CA"/>
        </w:rPr>
        <w:t xml:space="preserve"> labelling and traceability system submitted by UNIDO, contained in document UNEP/OzL.Pro/ExCom/86/21/Add.1.</w:t>
      </w:r>
      <w:r w:rsidR="004B4CD0" w:rsidRPr="0026329D">
        <w:rPr>
          <w:rFonts w:eastAsiaTheme="minorEastAsia"/>
          <w:lang w:val="en-CA"/>
        </w:rPr>
        <w:t xml:space="preserve"> </w:t>
      </w:r>
    </w:p>
    <w:p w:rsidR="00B90979" w:rsidRDefault="00B90979" w:rsidP="00B90979">
      <w:pPr>
        <w:rPr>
          <w:rFonts w:eastAsiaTheme="minorEastAsia"/>
          <w:lang w:val="en-CA"/>
        </w:rPr>
      </w:pPr>
    </w:p>
    <w:p w:rsidR="0026329D" w:rsidRDefault="0026329D" w:rsidP="00B90979">
      <w:pPr>
        <w:rPr>
          <w:rFonts w:eastAsiaTheme="minorEastAsia"/>
          <w:lang w:val="en-CA"/>
        </w:rPr>
      </w:pPr>
    </w:p>
    <w:sectPr w:rsidR="0026329D" w:rsidSect="003927DC">
      <w:headerReference w:type="even" r:id="rId12"/>
      <w:headerReference w:type="default" r:id="rId13"/>
      <w:footerReference w:type="even" r:id="rId14"/>
      <w:footerReference w:type="default" r:id="rId15"/>
      <w:footerReference w:type="first" r:id="rId16"/>
      <w:pgSz w:w="12240" w:h="15840" w:code="1"/>
      <w:pgMar w:top="720" w:right="135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9D" w:rsidRDefault="0026329D" w:rsidP="004A504B">
      <w:r>
        <w:separator/>
      </w:r>
    </w:p>
  </w:endnote>
  <w:endnote w:type="continuationSeparator" w:id="0">
    <w:p w:rsidR="0026329D" w:rsidRDefault="0026329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D" w:rsidRPr="0033525D" w:rsidRDefault="0026329D">
    <w:pPr>
      <w:jc w:val="center"/>
    </w:pPr>
    <w:r>
      <w:fldChar w:fldCharType="begin"/>
    </w:r>
    <w:r>
      <w:instrText xml:space="preserve"> PAGE </w:instrText>
    </w:r>
    <w:r>
      <w:fldChar w:fldCharType="separate"/>
    </w:r>
    <w:r w:rsidR="006E152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D" w:rsidRPr="0033525D" w:rsidRDefault="0026329D">
    <w:pPr>
      <w:jc w:val="center"/>
    </w:pPr>
    <w:r>
      <w:fldChar w:fldCharType="begin"/>
    </w:r>
    <w:r>
      <w:instrText xml:space="preserve"> PAGE </w:instrText>
    </w:r>
    <w:r>
      <w:fldChar w:fldCharType="separate"/>
    </w:r>
    <w:r w:rsidR="006E1523">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D" w:rsidRDefault="0026329D"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26329D" w:rsidRDefault="0026329D"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9D" w:rsidRDefault="0026329D" w:rsidP="004A504B">
      <w:r>
        <w:separator/>
      </w:r>
    </w:p>
  </w:footnote>
  <w:footnote w:type="continuationSeparator" w:id="0">
    <w:p w:rsidR="0026329D" w:rsidRDefault="0026329D" w:rsidP="004A504B">
      <w:r>
        <w:continuationSeparator/>
      </w:r>
    </w:p>
  </w:footnote>
  <w:footnote w:id="1">
    <w:p w:rsidR="0026329D" w:rsidRPr="006E126D" w:rsidRDefault="0026329D">
      <w:pPr>
        <w:pStyle w:val="FootnoteText"/>
        <w:rPr>
          <w:lang w:val="en-CA"/>
        </w:rPr>
      </w:pPr>
      <w:r>
        <w:rPr>
          <w:rStyle w:val="FootnoteReference"/>
        </w:rPr>
        <w:footnoteRef/>
      </w:r>
      <w:r>
        <w:t xml:space="preserve"> </w:t>
      </w:r>
      <w:r w:rsidRPr="00692D14">
        <w:t>Due to coronavirus disease (COVID-19)</w:t>
      </w:r>
    </w:p>
  </w:footnote>
  <w:footnote w:id="2">
    <w:p w:rsidR="0026329D" w:rsidRPr="00956E26" w:rsidRDefault="0026329D" w:rsidP="006322A8">
      <w:pPr>
        <w:pStyle w:val="FootnoteText"/>
        <w:rPr>
          <w:lang w:val="en-CA"/>
        </w:rPr>
      </w:pPr>
      <w:r>
        <w:rPr>
          <w:rStyle w:val="FootnoteReference"/>
        </w:rPr>
        <w:footnoteRef/>
      </w:r>
      <w:r>
        <w:t xml:space="preserve"> </w:t>
      </w:r>
      <w:r>
        <w:rPr>
          <w:lang w:val="en-CA"/>
        </w:rPr>
        <w:t>R</w:t>
      </w:r>
      <w:r w:rsidRPr="0052634A">
        <w:rPr>
          <w:lang w:val="en-CA"/>
        </w:rPr>
        <w:t>ows 1.3.1, 1.3.2, 1.3.3, 1.3.4 and 1.3.5 of Appendix 2</w:t>
      </w:r>
      <w:r w:rsidRPr="0052634A">
        <w:rPr>
          <w:lang w:val="en-CA"/>
        </w:rPr>
        <w:noBreakHyphen/>
        <w:t>A of the</w:t>
      </w:r>
      <w:r>
        <w:rPr>
          <w:lang w:val="en-CA"/>
        </w:rPr>
        <w:t xml:space="preserve"> Agreement.</w:t>
      </w:r>
    </w:p>
  </w:footnote>
  <w:footnote w:id="3">
    <w:p w:rsidR="0026329D" w:rsidRPr="003949EA" w:rsidRDefault="0026329D">
      <w:pPr>
        <w:pStyle w:val="FootnoteText"/>
      </w:pPr>
      <w:r w:rsidRPr="00D1617B">
        <w:rPr>
          <w:rStyle w:val="FootnoteReference"/>
        </w:rPr>
        <w:footnoteRef/>
      </w:r>
      <w:r w:rsidRPr="00D1617B">
        <w:t xml:space="preserve"> A progress report on the XPS foam, PU foam, ICR, solvent, and servicing sector plans have not been included as </w:t>
      </w:r>
      <w:r>
        <w:t>stage </w:t>
      </w:r>
      <w:r w:rsidRPr="00D1617B">
        <w:t>I for these sectors have already been completed.</w:t>
      </w:r>
    </w:p>
  </w:footnote>
  <w:footnote w:id="4">
    <w:p w:rsidR="0026329D" w:rsidRPr="00ED1BA0" w:rsidRDefault="0026329D" w:rsidP="006322A8">
      <w:pPr>
        <w:pStyle w:val="FootnoteText"/>
        <w:rPr>
          <w:lang w:val="en-CA"/>
        </w:rPr>
      </w:pPr>
      <w:r>
        <w:rPr>
          <w:rStyle w:val="FootnoteReference"/>
        </w:rPr>
        <w:footnoteRef/>
      </w:r>
      <w:r>
        <w:t xml:space="preserve"> </w:t>
      </w:r>
      <w:r>
        <w:rPr>
          <w:lang w:val="en-CA"/>
        </w:rPr>
        <w:t>At the 84</w:t>
      </w:r>
      <w:r w:rsidRPr="00ED1BA0">
        <w:rPr>
          <w:vertAlign w:val="superscript"/>
          <w:lang w:val="en-CA"/>
        </w:rPr>
        <w:t>th</w:t>
      </w:r>
      <w:r>
        <w:rPr>
          <w:lang w:val="en-CA"/>
        </w:rPr>
        <w:t xml:space="preserve"> meeting, it was reported that </w:t>
      </w:r>
      <w:r w:rsidRPr="00ED1BA0">
        <w:t>178,163</w:t>
      </w:r>
      <w:r>
        <w:t> </w:t>
      </w:r>
      <w:r w:rsidRPr="00ED1BA0">
        <w:t xml:space="preserve">R-290 split units </w:t>
      </w:r>
      <w:r>
        <w:t>and 550,000 </w:t>
      </w:r>
      <w:r w:rsidRPr="00ED1BA0">
        <w:t xml:space="preserve">factory-sealed R-290 units </w:t>
      </w:r>
      <w:r>
        <w:t>had been manufactured through August 2019. Those figures have been updated following the third party verification undertaken for the 86</w:t>
      </w:r>
      <w:r w:rsidRPr="00185708">
        <w:rPr>
          <w:vertAlign w:val="superscript"/>
        </w:rPr>
        <w:t>th</w:t>
      </w:r>
      <w:r>
        <w:t xml:space="preserve"> meeting. </w:t>
      </w:r>
    </w:p>
  </w:footnote>
  <w:footnote w:id="5">
    <w:p w:rsidR="0026329D" w:rsidRPr="00634079" w:rsidRDefault="0026329D" w:rsidP="006322A8">
      <w:pPr>
        <w:pStyle w:val="FootnoteText"/>
        <w:rPr>
          <w:lang w:val="en-CA"/>
        </w:rPr>
      </w:pPr>
      <w:r>
        <w:rPr>
          <w:rStyle w:val="FootnoteReference"/>
        </w:rPr>
        <w:footnoteRef/>
      </w:r>
      <w:r>
        <w:t xml:space="preserve"> IOC</w:t>
      </w:r>
      <w:r w:rsidRPr="00634079">
        <w:t xml:space="preserve"> will only be provided based on the sale of split R-290 ACs to China and other Article</w:t>
      </w:r>
      <w:r>
        <w:t> </w:t>
      </w:r>
      <w:r w:rsidRPr="00634079">
        <w:t>5 countries. IOCs will not be paid based on sale of factory-sealed units, such as portable ACs, window-type ACs, and dehumidifiers, which are already established in the marketplace</w:t>
      </w:r>
      <w:r>
        <w:t>.</w:t>
      </w:r>
    </w:p>
  </w:footnote>
  <w:footnote w:id="6">
    <w:p w:rsidR="0026329D" w:rsidRPr="008C296A" w:rsidRDefault="0026329D" w:rsidP="006322A8">
      <w:pPr>
        <w:pStyle w:val="FootnoteText"/>
        <w:rPr>
          <w:lang w:val="en-CA"/>
        </w:rPr>
      </w:pPr>
      <w:r>
        <w:rPr>
          <w:rStyle w:val="FootnoteReference"/>
        </w:rPr>
        <w:footnoteRef/>
      </w:r>
      <w:r>
        <w:t xml:space="preserve"> The disbursement by FECO is higher than that of UNIDO given disbursements by FECO with its own resources for IOC payments in 2020; FECO plans to request further disbursement from UNIDO. </w:t>
      </w:r>
    </w:p>
  </w:footnote>
  <w:footnote w:id="7">
    <w:p w:rsidR="0026329D" w:rsidRPr="00271259" w:rsidRDefault="0026329D" w:rsidP="006322A8">
      <w:pPr>
        <w:pStyle w:val="FootnoteText"/>
      </w:pPr>
      <w:r>
        <w:rPr>
          <w:rStyle w:val="FootnoteReference"/>
        </w:rPr>
        <w:footnoteRef/>
      </w:r>
      <w:r>
        <w:t xml:space="preserve"> Additional technical assistance activities to facilitate the introduction of R-290 RAC technology would be conducted under stage II of the RAC sector plan. </w:t>
      </w:r>
    </w:p>
  </w:footnote>
  <w:footnote w:id="8">
    <w:p w:rsidR="0026329D" w:rsidRPr="00E83E41" w:rsidRDefault="0026329D" w:rsidP="006322A8">
      <w:pPr>
        <w:pStyle w:val="FootnoteText"/>
        <w:rPr>
          <w:lang w:val="en-CA"/>
        </w:rPr>
      </w:pPr>
      <w:r>
        <w:rPr>
          <w:rStyle w:val="FootnoteReference"/>
        </w:rPr>
        <w:footnoteRef/>
      </w:r>
      <w:r>
        <w:t xml:space="preserve"> </w:t>
      </w:r>
      <w:r>
        <w:rPr>
          <w:lang w:val="en-CA"/>
        </w:rPr>
        <w:t xml:space="preserve">Paragraphs 105-108 of </w:t>
      </w:r>
      <w:r w:rsidRPr="00E83E41">
        <w:t>UNEP/OzL.Pro/ExCom/81/29</w:t>
      </w:r>
      <w:r>
        <w:t>.</w:t>
      </w:r>
    </w:p>
  </w:footnote>
  <w:footnote w:id="9">
    <w:p w:rsidR="0026329D" w:rsidRPr="00A23B05" w:rsidRDefault="0026329D" w:rsidP="006322A8">
      <w:pPr>
        <w:pStyle w:val="FootnoteText"/>
        <w:rPr>
          <w:lang w:val="en-CA"/>
        </w:rPr>
      </w:pPr>
      <w:r>
        <w:rPr>
          <w:rStyle w:val="FootnoteReference"/>
        </w:rPr>
        <w:footnoteRef/>
      </w:r>
      <w:r>
        <w:t xml:space="preserve"> </w:t>
      </w:r>
      <w:r w:rsidRPr="00F56B3F">
        <w:rPr>
          <w:lang w:val="en-CA"/>
        </w:rPr>
        <w:t>The manufacturing capacity of the 17 converted lines is approximately 7</w:t>
      </w:r>
      <w:r>
        <w:rPr>
          <w:lang w:val="en-CA"/>
        </w:rPr>
        <w:t> </w:t>
      </w:r>
      <w:r w:rsidRPr="00F56B3F">
        <w:rPr>
          <w:lang w:val="en-CA"/>
        </w:rPr>
        <w:t>million units/year.</w:t>
      </w:r>
      <w:r>
        <w:rPr>
          <w:lang w:val="en-CA"/>
        </w:rPr>
        <w:t xml:space="preserve"> Accordingly, the capacity utilization between </w:t>
      </w:r>
      <w:r w:rsidRPr="00D52B39">
        <w:rPr>
          <w:lang w:val="en-CA"/>
        </w:rPr>
        <w:t>1 September 2019 and 31 August 2020</w:t>
      </w:r>
      <w:r>
        <w:rPr>
          <w:lang w:val="en-CA"/>
        </w:rPr>
        <w:t xml:space="preserve"> is approximately 1 per cent. </w:t>
      </w:r>
    </w:p>
  </w:footnote>
  <w:footnote w:id="10">
    <w:p w:rsidR="0026329D" w:rsidRPr="00B1591E" w:rsidRDefault="0026329D" w:rsidP="00285DDA">
      <w:pPr>
        <w:pStyle w:val="FootnoteText"/>
        <w:rPr>
          <w:sz w:val="18"/>
          <w:szCs w:val="18"/>
        </w:rPr>
      </w:pPr>
      <w:r w:rsidRPr="00B1591E">
        <w:rPr>
          <w:rStyle w:val="FootnoteReference"/>
          <w:sz w:val="18"/>
          <w:szCs w:val="18"/>
        </w:rPr>
        <w:footnoteRef/>
      </w:r>
      <w:r w:rsidRPr="00B1591E">
        <w:rPr>
          <w:sz w:val="18"/>
          <w:szCs w:val="18"/>
        </w:rPr>
        <w:t xml:space="preserve"> </w:t>
      </w:r>
      <w:r w:rsidRPr="00FE3307">
        <w:rPr>
          <w:lang w:val="en-CA"/>
        </w:rPr>
        <w:t xml:space="preserve">As per the letter of </w:t>
      </w:r>
      <w:r>
        <w:rPr>
          <w:lang w:val="en-CA"/>
        </w:rPr>
        <w:t>7 September 2020</w:t>
      </w:r>
      <w:r w:rsidRPr="00FE3307">
        <w:rPr>
          <w:lang w:val="en-CA"/>
        </w:rPr>
        <w:t xml:space="preserve"> from the Ministry of </w:t>
      </w:r>
      <w:r>
        <w:rPr>
          <w:lang w:val="en-CA"/>
        </w:rPr>
        <w:t>Ecology and Environment</w:t>
      </w:r>
      <w:r w:rsidRPr="00FE3307">
        <w:rPr>
          <w:lang w:val="en-CA"/>
        </w:rPr>
        <w:t xml:space="preserve"> of </w:t>
      </w:r>
      <w:r>
        <w:rPr>
          <w:lang w:val="en-CA"/>
        </w:rPr>
        <w:t>China</w:t>
      </w:r>
      <w:r w:rsidRPr="00FE3307">
        <w:rPr>
          <w:lang w:val="en-CA"/>
        </w:rPr>
        <w:t xml:space="preserve"> to </w:t>
      </w:r>
      <w:r>
        <w:rPr>
          <w:lang w:val="en-CA"/>
        </w:rPr>
        <w:t>UNDP</w:t>
      </w:r>
      <w:r w:rsidRPr="00FE3307">
        <w:rPr>
          <w:lang w:val="en-CA"/>
        </w:rPr>
        <w:t>.</w:t>
      </w:r>
    </w:p>
  </w:footnote>
  <w:footnote w:id="11">
    <w:p w:rsidR="0026329D" w:rsidRPr="00B106AE" w:rsidRDefault="0026329D" w:rsidP="00285DDA">
      <w:pPr>
        <w:pStyle w:val="FootnoteText"/>
        <w:rPr>
          <w:lang w:val="en-CA"/>
        </w:rPr>
      </w:pPr>
      <w:r w:rsidRPr="00B1591E">
        <w:rPr>
          <w:rStyle w:val="FootnoteReference"/>
          <w:sz w:val="18"/>
          <w:szCs w:val="18"/>
        </w:rPr>
        <w:footnoteRef/>
      </w:r>
      <w:r w:rsidRPr="00B1591E">
        <w:rPr>
          <w:sz w:val="18"/>
          <w:szCs w:val="18"/>
        </w:rPr>
        <w:t xml:space="preserve"> </w:t>
      </w:r>
      <w:r>
        <w:rPr>
          <w:sz w:val="18"/>
          <w:szCs w:val="18"/>
        </w:rPr>
        <w:t>Paragraph </w:t>
      </w:r>
      <w:r w:rsidRPr="00B1591E">
        <w:rPr>
          <w:sz w:val="18"/>
          <w:szCs w:val="18"/>
        </w:rPr>
        <w:t xml:space="preserve">55-61 of </w:t>
      </w:r>
      <w:r>
        <w:rPr>
          <w:sz w:val="18"/>
          <w:szCs w:val="18"/>
        </w:rPr>
        <w:t>d</w:t>
      </w:r>
      <w:r w:rsidRPr="00B1591E">
        <w:rPr>
          <w:sz w:val="18"/>
          <w:szCs w:val="18"/>
        </w:rPr>
        <w:t xml:space="preserve">ocument </w:t>
      </w:r>
      <w:r w:rsidRPr="00B1591E">
        <w:rPr>
          <w:sz w:val="18"/>
          <w:szCs w:val="18"/>
        </w:rPr>
        <w:fldChar w:fldCharType="begin"/>
      </w:r>
      <w:r w:rsidRPr="00B1591E">
        <w:rPr>
          <w:sz w:val="18"/>
          <w:szCs w:val="18"/>
        </w:rPr>
        <w:instrText xml:space="preserve"> DOCPROPERTY  "Document number"  \* MERGEFORMAT </w:instrText>
      </w:r>
      <w:r w:rsidRPr="00B1591E">
        <w:rPr>
          <w:sz w:val="18"/>
          <w:szCs w:val="18"/>
        </w:rPr>
        <w:fldChar w:fldCharType="separate"/>
      </w:r>
      <w:r w:rsidRPr="00B1591E">
        <w:rPr>
          <w:sz w:val="18"/>
          <w:szCs w:val="18"/>
        </w:rPr>
        <w:t>UNEP/OzL.Pro/ExCom/85/21</w:t>
      </w:r>
      <w:r w:rsidRPr="00B1591E">
        <w:rPr>
          <w:sz w:val="18"/>
          <w:szCs w:val="18"/>
        </w:rPr>
        <w:fldChar w:fldCharType="end"/>
      </w:r>
      <w:r>
        <w:rPr>
          <w:sz w:val="18"/>
          <w:szCs w:val="18"/>
        </w:rPr>
        <w:t>.</w:t>
      </w:r>
    </w:p>
  </w:footnote>
  <w:footnote w:id="12">
    <w:p w:rsidR="0026329D" w:rsidRPr="00B4601E" w:rsidRDefault="0026329D" w:rsidP="00285DDA">
      <w:pPr>
        <w:pStyle w:val="FootnoteText"/>
      </w:pPr>
      <w:r>
        <w:rPr>
          <w:rStyle w:val="FootnoteReference"/>
        </w:rPr>
        <w:footnoteRef/>
      </w:r>
      <w:r>
        <w:t xml:space="preserve"> Paragraph 143 to 145 of document </w:t>
      </w:r>
      <w:r w:rsidRPr="00E00537">
        <w:t>UNEP/OzL.Pro/ExCom/80/37</w:t>
      </w:r>
      <w:r>
        <w:t xml:space="preserve"> for R-513A and paragraph </w:t>
      </w:r>
      <w:r w:rsidRPr="00B4601E">
        <w:t xml:space="preserve">89 to 92 of </w:t>
      </w:r>
      <w:r>
        <w:t>document </w:t>
      </w:r>
      <w:r w:rsidRPr="00B4601E">
        <w:t>UNEP/OzL.Pro/ExCom/83/22</w:t>
      </w:r>
      <w:r>
        <w:t xml:space="preserve"> for CO</w:t>
      </w:r>
      <w:r w:rsidRPr="00335F44">
        <w:rPr>
          <w:vertAlign w:val="subscript"/>
        </w:rPr>
        <w:t>2</w:t>
      </w:r>
      <w:r>
        <w:t>/HFC-134a.</w:t>
      </w:r>
    </w:p>
  </w:footnote>
  <w:footnote w:id="13">
    <w:p w:rsidR="0026329D" w:rsidRPr="007A3B91" w:rsidRDefault="0026329D" w:rsidP="00337C27">
      <w:pPr>
        <w:pStyle w:val="FootnoteText"/>
        <w:rPr>
          <w:lang w:val="en-US"/>
        </w:rPr>
      </w:pPr>
      <w:r>
        <w:rPr>
          <w:rStyle w:val="FootnoteReference"/>
        </w:rPr>
        <w:footnoteRef/>
      </w:r>
      <w:r>
        <w:t xml:space="preserve"> </w:t>
      </w:r>
      <w:r w:rsidRPr="00FE3307">
        <w:rPr>
          <w:lang w:val="en-CA"/>
        </w:rPr>
        <w:t xml:space="preserve">As per the letter </w:t>
      </w:r>
      <w:r w:rsidRPr="007A3B91">
        <w:rPr>
          <w:lang w:val="en-CA"/>
        </w:rPr>
        <w:t>of 7 September</w:t>
      </w:r>
      <w:r>
        <w:rPr>
          <w:lang w:val="en-CA"/>
        </w:rPr>
        <w:t xml:space="preserve"> 2020</w:t>
      </w:r>
      <w:r w:rsidRPr="00FE3307">
        <w:rPr>
          <w:lang w:val="en-CA"/>
        </w:rPr>
        <w:t xml:space="preserve"> from the Ministry of </w:t>
      </w:r>
      <w:r>
        <w:rPr>
          <w:lang w:val="en-CA"/>
        </w:rPr>
        <w:t>Ecology and Environment of China to UNIDO.</w:t>
      </w:r>
    </w:p>
  </w:footnote>
  <w:footnote w:id="14">
    <w:p w:rsidR="0026329D" w:rsidRPr="005665FB" w:rsidRDefault="0026329D" w:rsidP="00337C27">
      <w:pPr>
        <w:pStyle w:val="FootnoteText"/>
        <w:rPr>
          <w:lang w:val="en-US"/>
        </w:rPr>
      </w:pPr>
      <w:r>
        <w:rPr>
          <w:rStyle w:val="FootnoteReference"/>
        </w:rPr>
        <w:footnoteRef/>
      </w:r>
      <w:r>
        <w:t xml:space="preserve"> </w:t>
      </w:r>
      <w:r>
        <w:rPr>
          <w:lang w:val="en-US"/>
        </w:rPr>
        <w:t>Inclusive of US $</w:t>
      </w:r>
      <w:r w:rsidRPr="00DA5988">
        <w:rPr>
          <w:lang w:val="en-US"/>
        </w:rPr>
        <w:t>31,562,981</w:t>
      </w:r>
      <w:r>
        <w:rPr>
          <w:lang w:val="en-US"/>
        </w:rPr>
        <w:t>, plus US $2,066,976 for UNIDO and US $108,108 for the Government of Italy, already approved at the 77</w:t>
      </w:r>
      <w:r w:rsidRPr="004B0715">
        <w:rPr>
          <w:vertAlign w:val="superscript"/>
          <w:lang w:val="en-US"/>
        </w:rPr>
        <w:t>th</w:t>
      </w:r>
      <w:r>
        <w:rPr>
          <w:lang w:val="en-US"/>
        </w:rPr>
        <w:t xml:space="preserve"> and the 81</w:t>
      </w:r>
      <w:r w:rsidRPr="004B0715">
        <w:rPr>
          <w:vertAlign w:val="superscript"/>
          <w:lang w:val="en-US"/>
        </w:rPr>
        <w:t>st</w:t>
      </w:r>
      <w:r>
        <w:rPr>
          <w:lang w:val="en-US"/>
        </w:rPr>
        <w:t xml:space="preserve"> meetings. </w:t>
      </w:r>
    </w:p>
  </w:footnote>
  <w:footnote w:id="15">
    <w:p w:rsidR="0026329D" w:rsidRPr="001D1486" w:rsidRDefault="0026329D" w:rsidP="00337C27">
      <w:pPr>
        <w:pStyle w:val="FootnoteText"/>
        <w:rPr>
          <w:lang w:val="en-CA"/>
        </w:rPr>
      </w:pPr>
      <w:r>
        <w:rPr>
          <w:rStyle w:val="FootnoteReference"/>
        </w:rPr>
        <w:footnoteRef/>
      </w:r>
      <w:r>
        <w:t xml:space="preserve"> At a total funding level of </w:t>
      </w:r>
      <w:r>
        <w:rPr>
          <w:lang w:val="en-US"/>
        </w:rPr>
        <w:t>US $</w:t>
      </w:r>
      <w:r w:rsidRPr="00DA5988">
        <w:rPr>
          <w:lang w:val="en-CA"/>
        </w:rPr>
        <w:t>31,562,981</w:t>
      </w:r>
      <w:r>
        <w:rPr>
          <w:lang w:val="en-US"/>
        </w:rPr>
        <w:t>, plus US $2,066,976 for UNIDO and US $108,108 for the Government of Italy, already approved at the 77</w:t>
      </w:r>
      <w:r w:rsidRPr="004B0715">
        <w:rPr>
          <w:vertAlign w:val="superscript"/>
          <w:lang w:val="en-US"/>
        </w:rPr>
        <w:t>th</w:t>
      </w:r>
      <w:r>
        <w:rPr>
          <w:lang w:val="en-US"/>
        </w:rPr>
        <w:t xml:space="preserve"> and the 81</w:t>
      </w:r>
      <w:r w:rsidRPr="004B0715">
        <w:rPr>
          <w:vertAlign w:val="superscript"/>
          <w:lang w:val="en-US"/>
        </w:rPr>
        <w:t>st</w:t>
      </w:r>
      <w:r>
        <w:rPr>
          <w:lang w:val="en-US"/>
        </w:rPr>
        <w:t xml:space="preserve"> meetings.</w:t>
      </w:r>
    </w:p>
  </w:footnote>
  <w:footnote w:id="16">
    <w:p w:rsidR="0026329D" w:rsidRPr="0063420F" w:rsidRDefault="0026329D" w:rsidP="00337C27">
      <w:pPr>
        <w:pStyle w:val="FootnoteText"/>
        <w:rPr>
          <w:lang w:val="en-CA"/>
        </w:rPr>
      </w:pPr>
      <w:r>
        <w:rPr>
          <w:rStyle w:val="FootnoteReference"/>
        </w:rPr>
        <w:footnoteRef/>
      </w:r>
      <w:r>
        <w:t xml:space="preserve"> At the 77</w:t>
      </w:r>
      <w:r w:rsidRPr="0063420F">
        <w:rPr>
          <w:vertAlign w:val="superscript"/>
        </w:rPr>
        <w:t>th</w:t>
      </w:r>
      <w:r>
        <w:t xml:space="preserve"> meeting, the Government of China had agreed to phase-out 10,505 mt of HCFC-22 </w:t>
      </w:r>
      <w:r w:rsidRPr="0024580B">
        <w:rPr>
          <w:lang w:val="en-CA"/>
        </w:rPr>
        <w:t>without funding from the Multilateral Fund in 2016-2021</w:t>
      </w:r>
      <w:r>
        <w:rPr>
          <w:lang w:val="en-CA"/>
        </w:rPr>
        <w:t>.</w:t>
      </w:r>
    </w:p>
  </w:footnote>
  <w:footnote w:id="17">
    <w:p w:rsidR="0026329D" w:rsidRPr="0035574D" w:rsidRDefault="0026329D" w:rsidP="00337C27">
      <w:pPr>
        <w:pStyle w:val="FootnoteText"/>
        <w:rPr>
          <w:lang w:val="en-CA"/>
        </w:rPr>
      </w:pPr>
      <w:r>
        <w:rPr>
          <w:rStyle w:val="FootnoteReference"/>
        </w:rPr>
        <w:footnoteRef/>
      </w:r>
      <w:r>
        <w:t xml:space="preserve"> </w:t>
      </w:r>
      <w:r w:rsidRPr="001E1DBE">
        <w:rPr>
          <w:lang w:val="en-CA"/>
        </w:rPr>
        <w:t xml:space="preserve">The annual capacity of the 18 RAC manufacturing lines converted to R-290 under </w:t>
      </w:r>
      <w:r>
        <w:rPr>
          <w:lang w:val="en-CA"/>
        </w:rPr>
        <w:t>stage </w:t>
      </w:r>
      <w:r w:rsidRPr="001E1DBE">
        <w:rPr>
          <w:lang w:val="en-CA"/>
        </w:rPr>
        <w:t xml:space="preserve">I is 6,738,455 units/year. By the end of </w:t>
      </w:r>
      <w:r>
        <w:rPr>
          <w:lang w:val="en-CA"/>
        </w:rPr>
        <w:t>stage </w:t>
      </w:r>
      <w:r w:rsidRPr="001E1DBE">
        <w:rPr>
          <w:lang w:val="en-CA"/>
        </w:rPr>
        <w:t xml:space="preserve">II, </w:t>
      </w:r>
      <w:r>
        <w:rPr>
          <w:lang w:val="en-CA"/>
        </w:rPr>
        <w:t xml:space="preserve">an additional ten manufacturing lines would be converted to </w:t>
      </w:r>
      <w:r w:rsidRPr="001E1DBE">
        <w:rPr>
          <w:lang w:val="en-CA"/>
        </w:rPr>
        <w:t>R-290</w:t>
      </w:r>
      <w:r>
        <w:rPr>
          <w:lang w:val="en-CA"/>
        </w:rPr>
        <w:t>, bringing the total</w:t>
      </w:r>
      <w:r w:rsidRPr="001E1DBE">
        <w:rPr>
          <w:lang w:val="en-CA"/>
        </w:rPr>
        <w:t xml:space="preserve"> </w:t>
      </w:r>
      <w:r>
        <w:rPr>
          <w:lang w:val="en-CA"/>
        </w:rPr>
        <w:t xml:space="preserve">R-290 manufacturing </w:t>
      </w:r>
      <w:r w:rsidRPr="001E1DBE">
        <w:rPr>
          <w:lang w:val="en-CA"/>
        </w:rPr>
        <w:t xml:space="preserve">capacity </w:t>
      </w:r>
      <w:r>
        <w:rPr>
          <w:lang w:val="en-CA"/>
        </w:rPr>
        <w:t xml:space="preserve">to </w:t>
      </w:r>
      <w:r w:rsidRPr="001E1DBE">
        <w:rPr>
          <w:lang w:val="en-CA"/>
        </w:rPr>
        <w:t>approximately 10 million units/year</w:t>
      </w:r>
      <w:r>
        <w:rPr>
          <w:lang w:val="en-CA"/>
        </w:rPr>
        <w:t xml:space="preserve">. </w:t>
      </w:r>
      <w:r w:rsidRPr="001E1DBE">
        <w:rPr>
          <w:lang w:val="en-CA"/>
        </w:rPr>
        <w:t>In 2019, China’s RAC manufacturing capacity was approximately 154 million units/year</w:t>
      </w:r>
      <w:r>
        <w:rPr>
          <w:lang w:val="en-CA"/>
        </w:rPr>
        <w:t>; by 2026, that capacity would be approximately 232 million units/year, a</w:t>
      </w:r>
      <w:r w:rsidRPr="001E1DBE">
        <w:rPr>
          <w:lang w:val="en-CA"/>
        </w:rPr>
        <w:t xml:space="preserve">ssuming continued growth </w:t>
      </w:r>
      <w:r>
        <w:rPr>
          <w:lang w:val="en-CA"/>
        </w:rPr>
        <w:t xml:space="preserve">at approximately </w:t>
      </w:r>
      <w:r w:rsidRPr="001E1DBE">
        <w:rPr>
          <w:lang w:val="en-CA"/>
        </w:rPr>
        <w:t>6 per cent</w:t>
      </w:r>
      <w:r>
        <w:rPr>
          <w:lang w:val="en-CA"/>
        </w:rPr>
        <w:t xml:space="preserve">/year. </w:t>
      </w:r>
    </w:p>
  </w:footnote>
  <w:footnote w:id="18">
    <w:p w:rsidR="0026329D" w:rsidRPr="00834A3A" w:rsidRDefault="0026329D" w:rsidP="00337C27">
      <w:pPr>
        <w:pStyle w:val="FootnoteText"/>
        <w:rPr>
          <w:lang w:val="en-CA"/>
        </w:rPr>
      </w:pPr>
      <w:r>
        <w:rPr>
          <w:rStyle w:val="FootnoteReference"/>
        </w:rPr>
        <w:footnoteRef/>
      </w:r>
      <w:r>
        <w:t xml:space="preserve"> I</w:t>
      </w:r>
      <w:r w:rsidRPr="00834A3A">
        <w:t xml:space="preserve">n line with </w:t>
      </w:r>
      <w:r>
        <w:t>paragraph </w:t>
      </w:r>
      <w:r w:rsidRPr="00834A3A">
        <w:t xml:space="preserve">17 of </w:t>
      </w:r>
      <w:r>
        <w:t>decision </w:t>
      </w:r>
      <w:r w:rsidRPr="00834A3A">
        <w:t>XXVIII/2, any R-410A and HFC-32 RAC manufacturing capacity established after the cut-off date for eligible capacity of 1 January 2020 would not be eligible</w:t>
      </w:r>
      <w:r>
        <w:t xml:space="preserve"> for funding under an HFC phase</w:t>
      </w:r>
      <w:r>
        <w:noBreakHyphen/>
      </w:r>
      <w:r w:rsidRPr="00834A3A">
        <w:t>down.</w:t>
      </w:r>
    </w:p>
  </w:footnote>
  <w:footnote w:id="19">
    <w:p w:rsidR="0026329D" w:rsidRPr="00942EE6" w:rsidRDefault="0026329D" w:rsidP="00337C27">
      <w:pPr>
        <w:pStyle w:val="FootnoteText"/>
        <w:rPr>
          <w:lang w:val="en-CA"/>
        </w:rPr>
      </w:pPr>
      <w:r>
        <w:rPr>
          <w:rStyle w:val="FootnoteReference"/>
        </w:rPr>
        <w:footnoteRef/>
      </w:r>
      <w:r>
        <w:t xml:space="preserve"> </w:t>
      </w:r>
      <w:r>
        <w:rPr>
          <w:lang w:val="en-CA"/>
        </w:rPr>
        <w:t xml:space="preserve">Paragraph 205 of </w:t>
      </w:r>
      <w:r w:rsidRPr="00942EE6">
        <w:rPr>
          <w:lang w:val="en-CA"/>
        </w:rPr>
        <w:t>UNEP/OzL.Pro/ExCom/80/59</w:t>
      </w:r>
      <w:r>
        <w:rPr>
          <w:lang w:val="en-CA"/>
        </w:rPr>
        <w:t>.</w:t>
      </w:r>
    </w:p>
  </w:footnote>
  <w:footnote w:id="20">
    <w:p w:rsidR="0026329D" w:rsidRPr="0025318D" w:rsidRDefault="0026329D" w:rsidP="00337C27">
      <w:pPr>
        <w:pStyle w:val="FootnoteText"/>
        <w:rPr>
          <w:lang w:val="en-CA"/>
        </w:rPr>
      </w:pPr>
      <w:r>
        <w:rPr>
          <w:rStyle w:val="FootnoteReference"/>
        </w:rPr>
        <w:footnoteRef/>
      </w:r>
      <w:r>
        <w:t xml:space="preserve"> </w:t>
      </w:r>
      <w:r>
        <w:rPr>
          <w:lang w:val="en-CA"/>
        </w:rPr>
        <w:t>Paragraph 62 of document </w:t>
      </w:r>
      <w:r w:rsidRPr="0025318D">
        <w:t>UNEP/OzL.Pro</w:t>
      </w:r>
      <w:r w:rsidRPr="00FC760E">
        <w:rPr>
          <w:lang w:val="en-CA"/>
        </w:rPr>
        <w:t>/ExCom</w:t>
      </w:r>
      <w:r w:rsidRPr="0025318D">
        <w:t>/84/42</w:t>
      </w:r>
      <w:r>
        <w:t>.</w:t>
      </w:r>
    </w:p>
  </w:footnote>
  <w:footnote w:id="21">
    <w:p w:rsidR="0026329D" w:rsidRPr="00132DB0" w:rsidRDefault="0026329D" w:rsidP="00337C27">
      <w:pPr>
        <w:pStyle w:val="FootnoteText"/>
        <w:rPr>
          <w:lang w:val="en-CA"/>
        </w:rPr>
      </w:pPr>
      <w:r>
        <w:rPr>
          <w:rStyle w:val="FootnoteReference"/>
        </w:rPr>
        <w:footnoteRef/>
      </w:r>
      <w:r>
        <w:t xml:space="preserve"> </w:t>
      </w:r>
      <w:r>
        <w:rPr>
          <w:lang w:val="en-CA"/>
        </w:rPr>
        <w:t xml:space="preserve">IOCs would not be provided for R-290 RAC equipment sold to non-Article 5 countries. </w:t>
      </w:r>
    </w:p>
  </w:footnote>
  <w:footnote w:id="22">
    <w:p w:rsidR="0026329D" w:rsidRPr="000E6D21" w:rsidRDefault="0026329D" w:rsidP="00337C27">
      <w:pPr>
        <w:pStyle w:val="FootnoteText"/>
        <w:rPr>
          <w:lang w:val="en-CA"/>
        </w:rPr>
      </w:pPr>
      <w:r>
        <w:rPr>
          <w:rStyle w:val="FootnoteReference"/>
        </w:rPr>
        <w:footnoteRef/>
      </w:r>
      <w:r>
        <w:t xml:space="preserve"> </w:t>
      </w:r>
      <w:r>
        <w:rPr>
          <w:lang w:val="en-CA"/>
        </w:rPr>
        <w:t xml:space="preserve">Paragraph 100 and Table 2 of </w:t>
      </w:r>
      <w:r w:rsidRPr="000E6D21">
        <w:t>UNEP/OzL.Pro/ExCom/81/29</w:t>
      </w:r>
      <w:r>
        <w:t>.</w:t>
      </w:r>
    </w:p>
  </w:footnote>
  <w:footnote w:id="23">
    <w:p w:rsidR="0026329D" w:rsidRDefault="0026329D" w:rsidP="00EC5231">
      <w:pPr>
        <w:pStyle w:val="FootnoteText"/>
      </w:pPr>
      <w:r>
        <w:rPr>
          <w:rStyle w:val="FootnoteReference"/>
        </w:rPr>
        <w:footnoteRef/>
      </w:r>
      <w:r>
        <w:t xml:space="preserve"> </w:t>
      </w:r>
      <w:r w:rsidRPr="00FE3307">
        <w:rPr>
          <w:lang w:val="en-CA"/>
        </w:rPr>
        <w:t xml:space="preserve">As per the letter of </w:t>
      </w:r>
      <w:r>
        <w:rPr>
          <w:lang w:val="en-CA"/>
        </w:rPr>
        <w:t>7 September 2020</w:t>
      </w:r>
      <w:r w:rsidRPr="00FE3307">
        <w:rPr>
          <w:lang w:val="en-CA"/>
        </w:rPr>
        <w:t xml:space="preserve"> from the Ministry of </w:t>
      </w:r>
      <w:r>
        <w:rPr>
          <w:lang w:val="en-CA"/>
        </w:rPr>
        <w:t>Ecology and Environment</w:t>
      </w:r>
      <w:r w:rsidRPr="00FE3307">
        <w:rPr>
          <w:lang w:val="en-CA"/>
        </w:rPr>
        <w:t xml:space="preserve"> of </w:t>
      </w:r>
      <w:r>
        <w:rPr>
          <w:lang w:val="en-CA"/>
        </w:rPr>
        <w:t>China</w:t>
      </w:r>
      <w:r w:rsidRPr="00FE3307">
        <w:rPr>
          <w:lang w:val="en-CA"/>
        </w:rPr>
        <w:t xml:space="preserve"> to </w:t>
      </w:r>
      <w:r>
        <w:rPr>
          <w:lang w:val="en-CA"/>
        </w:rPr>
        <w:t>UNEP</w:t>
      </w:r>
      <w:r w:rsidRPr="00FE3307">
        <w:rPr>
          <w:lang w:val="en-CA"/>
        </w:rPr>
        <w:t>.</w:t>
      </w:r>
    </w:p>
  </w:footnote>
  <w:footnote w:id="24">
    <w:p w:rsidR="0026329D" w:rsidRDefault="0026329D" w:rsidP="00EC5231">
      <w:pPr>
        <w:pStyle w:val="FootnoteText"/>
        <w:tabs>
          <w:tab w:val="left" w:pos="3420"/>
        </w:tabs>
      </w:pPr>
      <w:r>
        <w:rPr>
          <w:rStyle w:val="FootnoteReference"/>
        </w:rPr>
        <w:footnoteRef/>
      </w:r>
      <w:r>
        <w:t xml:space="preserve"> According to China’s submission, this will be considered as the revised HPMP stage II to differentiate it from the original stage II for the sector where funds had been approved until 2020 (i.e., at the 77</w:t>
      </w:r>
      <w:r w:rsidRPr="008C0A7C">
        <w:rPr>
          <w:vertAlign w:val="superscript"/>
        </w:rPr>
        <w:t>th</w:t>
      </w:r>
      <w:r>
        <w:t xml:space="preserve"> and 81</w:t>
      </w:r>
      <w:r w:rsidRPr="008C0A7C">
        <w:rPr>
          <w:vertAlign w:val="superscript"/>
        </w:rPr>
        <w:t>st</w:t>
      </w:r>
      <w:r>
        <w:t> meetings, respectively).</w:t>
      </w:r>
    </w:p>
  </w:footnote>
  <w:footnote w:id="25">
    <w:p w:rsidR="0026329D" w:rsidRDefault="0026329D" w:rsidP="00E44F75">
      <w:pPr>
        <w:pStyle w:val="FootnoteText"/>
      </w:pPr>
      <w:r>
        <w:rPr>
          <w:rStyle w:val="FootnoteReference"/>
        </w:rPr>
        <w:footnoteRef/>
      </w:r>
      <w:r>
        <w:t xml:space="preserve"> As per the letter of 7 September 2020 from the Ministry of Ecology and Environment of China to UNIDO.</w:t>
      </w:r>
    </w:p>
  </w:footnote>
  <w:footnote w:id="26">
    <w:p w:rsidR="0026329D" w:rsidRDefault="0026329D" w:rsidP="00E44F75">
      <w:pPr>
        <w:pStyle w:val="FootnoteText"/>
      </w:pPr>
      <w:r>
        <w:rPr>
          <w:rStyle w:val="FootnoteReference"/>
        </w:rPr>
        <w:footnoteRef/>
      </w:r>
      <w:r>
        <w:t xml:space="preserve"> As per the letter of 7 September 2020 from the Ministry of Ecology and Environment of China</w:t>
      </w:r>
      <w:r w:rsidRPr="00F31155">
        <w:t xml:space="preserve"> to </w:t>
      </w:r>
      <w:r>
        <w:t>the World Bank</w:t>
      </w:r>
      <w:r w:rsidRPr="00F31155">
        <w:t>.</w:t>
      </w:r>
    </w:p>
  </w:footnote>
  <w:footnote w:id="27">
    <w:p w:rsidR="0026329D" w:rsidRPr="00D41B9B" w:rsidRDefault="0026329D" w:rsidP="00E90F8A">
      <w:pPr>
        <w:pStyle w:val="FootnoteText"/>
      </w:pPr>
      <w:r>
        <w:rPr>
          <w:rStyle w:val="FootnoteReference"/>
        </w:rPr>
        <w:footnoteRef/>
      </w:r>
      <w:r>
        <w:t xml:space="preserve"> Paragraph 94(b) of </w:t>
      </w:r>
      <w:r w:rsidRPr="00D41B9B">
        <w:t>UNEP/OzL.Pro/ExCom/85/IAP/3</w:t>
      </w:r>
      <w:r>
        <w:t xml:space="preserve"> (Projects approved intersessionally).</w:t>
      </w:r>
    </w:p>
  </w:footnote>
  <w:footnote w:id="28">
    <w:p w:rsidR="0026329D" w:rsidRDefault="0026329D" w:rsidP="00E90F8A">
      <w:pPr>
        <w:pStyle w:val="FootnoteText"/>
      </w:pPr>
      <w:r>
        <w:rPr>
          <w:rStyle w:val="FootnoteReference"/>
        </w:rPr>
        <w:footnoteRef/>
      </w:r>
      <w:r>
        <w:t xml:space="preserve"> </w:t>
      </w:r>
      <w:r w:rsidRPr="00FE3307">
        <w:rPr>
          <w:lang w:val="en-CA"/>
        </w:rPr>
        <w:t xml:space="preserve">As per the letter of </w:t>
      </w:r>
      <w:r>
        <w:rPr>
          <w:lang w:val="en-CA"/>
        </w:rPr>
        <w:t>7 September 2020</w:t>
      </w:r>
      <w:r w:rsidRPr="00FE3307">
        <w:rPr>
          <w:lang w:val="en-CA"/>
        </w:rPr>
        <w:t xml:space="preserve"> from the Ministry of </w:t>
      </w:r>
      <w:r>
        <w:rPr>
          <w:lang w:val="en-CA"/>
        </w:rPr>
        <w:t>Ecology and Environment</w:t>
      </w:r>
      <w:r w:rsidRPr="00FE3307">
        <w:rPr>
          <w:lang w:val="en-CA"/>
        </w:rPr>
        <w:t xml:space="preserve"> of </w:t>
      </w:r>
      <w:r>
        <w:rPr>
          <w:lang w:val="en-CA"/>
        </w:rPr>
        <w:t>China</w:t>
      </w:r>
      <w:r w:rsidRPr="00FE3307">
        <w:rPr>
          <w:lang w:val="en-CA"/>
        </w:rPr>
        <w:t xml:space="preserve"> to </w:t>
      </w:r>
      <w:r>
        <w:rPr>
          <w:lang w:val="en-CA"/>
        </w:rPr>
        <w:t>UNDP</w:t>
      </w:r>
      <w:r w:rsidRPr="00FE3307">
        <w:rPr>
          <w:lang w:val="en-CA"/>
        </w:rPr>
        <w:t>.</w:t>
      </w:r>
    </w:p>
  </w:footnote>
  <w:footnote w:id="29">
    <w:p w:rsidR="0026329D" w:rsidRPr="00D959A4" w:rsidRDefault="0026329D" w:rsidP="006322A8">
      <w:pPr>
        <w:pStyle w:val="FootnoteText"/>
        <w:rPr>
          <w:lang w:val="en-CA"/>
        </w:rPr>
      </w:pPr>
      <w:r>
        <w:rPr>
          <w:rStyle w:val="FootnoteReference"/>
        </w:rPr>
        <w:footnoteRef/>
      </w:r>
      <w:r>
        <w:t xml:space="preserve"> </w:t>
      </w:r>
      <w:r w:rsidRPr="00D959A4">
        <w:t>UNEP/OzL.Pro/ExCom/84/22/Add.1</w:t>
      </w:r>
      <w:r>
        <w:t>.</w:t>
      </w:r>
    </w:p>
  </w:footnote>
  <w:footnote w:id="30">
    <w:p w:rsidR="0026329D" w:rsidRPr="00A233DC" w:rsidRDefault="0026329D" w:rsidP="00D54FFA">
      <w:pPr>
        <w:pStyle w:val="FootnoteText"/>
        <w:rPr>
          <w:lang w:val="en-CA"/>
        </w:rPr>
      </w:pPr>
      <w:r>
        <w:rPr>
          <w:rStyle w:val="FootnoteReference"/>
        </w:rPr>
        <w:footnoteRef/>
      </w:r>
      <w:r>
        <w:t xml:space="preserve"> </w:t>
      </w:r>
      <w:r>
        <w:rPr>
          <w:lang w:val="en-CA"/>
        </w:rPr>
        <w:t>Paragraphs 6-105 of UNEP/OzL.Pro/ExCom/84/22/Add.1.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D" w:rsidRPr="0033525D" w:rsidRDefault="00EB3DFC">
    <w:fldSimple w:instr=" DOCPROPERTY &quot;Document number&quot;  \* MERGEFORMAT ">
      <w:r w:rsidR="00C84F9C">
        <w:t>UNEP/OzL.Pro/ExCom/86/21/Add.1</w:t>
      </w:r>
    </w:fldSimple>
  </w:p>
  <w:p w:rsidR="0026329D" w:rsidRPr="0033525D" w:rsidRDefault="0026329D"/>
  <w:p w:rsidR="0026329D" w:rsidRPr="0033525D" w:rsidRDefault="002632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D" w:rsidRPr="0033525D" w:rsidRDefault="00EB3DFC">
    <w:pPr>
      <w:jc w:val="right"/>
    </w:pPr>
    <w:fldSimple w:instr=" DOCPROPERTY &quot;Document number&quot;  \* MERGEFORMAT ">
      <w:r w:rsidR="00C84F9C">
        <w:t>UNEP/OzL.Pro/ExCom/86/21/Add.1</w:t>
      </w:r>
    </w:fldSimple>
  </w:p>
  <w:p w:rsidR="0026329D" w:rsidRPr="0033525D" w:rsidRDefault="0026329D"/>
  <w:p w:rsidR="0026329D" w:rsidRPr="0033525D" w:rsidRDefault="002632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7711EB"/>
    <w:multiLevelType w:val="hybridMultilevel"/>
    <w:tmpl w:val="C3181426"/>
    <w:lvl w:ilvl="0" w:tplc="04090019">
      <w:start w:val="1"/>
      <w:numFmt w:val="lowerLetter"/>
      <w:lvlText w:val="%1)"/>
      <w:lvlJc w:val="left"/>
      <w:pPr>
        <w:ind w:left="988" w:hanging="420"/>
      </w:pPr>
    </w:lvl>
    <w:lvl w:ilvl="1" w:tplc="40429F0E">
      <w:start w:val="1"/>
      <w:numFmt w:val="lowerLetter"/>
      <w:lvlText w:val="%2）"/>
      <w:lvlJc w:val="left"/>
      <w:pPr>
        <w:ind w:left="1695" w:hanging="375"/>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15:restartNumberingAfterBreak="0">
    <w:nsid w:val="018F676D"/>
    <w:multiLevelType w:val="hybridMultilevel"/>
    <w:tmpl w:val="095C89D4"/>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080F5D82"/>
    <w:multiLevelType w:val="hybridMultilevel"/>
    <w:tmpl w:val="2B885D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C9C5C2E"/>
    <w:multiLevelType w:val="hybridMultilevel"/>
    <w:tmpl w:val="AC6058F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103B6C0E"/>
    <w:multiLevelType w:val="hybridMultilevel"/>
    <w:tmpl w:val="569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1010B19"/>
    <w:multiLevelType w:val="hybridMultilevel"/>
    <w:tmpl w:val="0BD8ABB2"/>
    <w:lvl w:ilvl="0" w:tplc="435C82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31C537D"/>
    <w:multiLevelType w:val="hybridMultilevel"/>
    <w:tmpl w:val="5A7A97BC"/>
    <w:lvl w:ilvl="0" w:tplc="04090011">
      <w:start w:val="1"/>
      <w:numFmt w:val="decimal"/>
      <w:lvlText w:val="%1)"/>
      <w:lvlJc w:val="left"/>
      <w:pPr>
        <w:ind w:left="1082" w:hanging="420"/>
      </w:p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9" w15:restartNumberingAfterBreak="0">
    <w:nsid w:val="24F163A3"/>
    <w:multiLevelType w:val="hybridMultilevel"/>
    <w:tmpl w:val="EBB669C6"/>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C7D74F3"/>
    <w:multiLevelType w:val="hybridMultilevel"/>
    <w:tmpl w:val="12E412FE"/>
    <w:lvl w:ilvl="0" w:tplc="F4CA7AA2">
      <w:start w:val="2"/>
      <w:numFmt w:val="bullet"/>
      <w:lvlText w:val=""/>
      <w:lvlJc w:val="left"/>
      <w:pPr>
        <w:ind w:left="1335" w:hanging="9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92E87"/>
    <w:multiLevelType w:val="hybridMultilevel"/>
    <w:tmpl w:val="48B0EC5A"/>
    <w:lvl w:ilvl="0" w:tplc="7146E8C2">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B15E3"/>
    <w:multiLevelType w:val="hybridMultilevel"/>
    <w:tmpl w:val="A3546888"/>
    <w:lvl w:ilvl="0" w:tplc="1B7A7666">
      <w:start w:val="1"/>
      <w:numFmt w:val="decimal"/>
      <w:pStyle w:val="5"/>
      <w:lvlText w:val="5.%1 "/>
      <w:lvlJc w:val="left"/>
      <w:pPr>
        <w:tabs>
          <w:tab w:val="num" w:pos="720"/>
        </w:tabs>
        <w:ind w:left="0" w:firstLine="0"/>
      </w:pPr>
      <w:rPr>
        <w:rFonts w:hint="eastAsia"/>
      </w:rPr>
    </w:lvl>
    <w:lvl w:ilvl="1" w:tplc="D5D62738"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5" w15:restartNumberingAfterBreak="0">
    <w:nsid w:val="3B9A3A74"/>
    <w:multiLevelType w:val="hybridMultilevel"/>
    <w:tmpl w:val="E108B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15A0"/>
    <w:multiLevelType w:val="hybridMultilevel"/>
    <w:tmpl w:val="89586F8E"/>
    <w:lvl w:ilvl="0" w:tplc="241EF4CA">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A2559F"/>
    <w:multiLevelType w:val="hybridMultilevel"/>
    <w:tmpl w:val="559E239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C61C4E"/>
    <w:multiLevelType w:val="hybridMultilevel"/>
    <w:tmpl w:val="4DC62E50"/>
    <w:lvl w:ilvl="0" w:tplc="05EEB9AA">
      <w:start w:val="1"/>
      <w:numFmt w:val="lowerLetter"/>
      <w:lvlText w:val="%1."/>
      <w:lvlJc w:val="left"/>
      <w:pPr>
        <w:ind w:left="420" w:hanging="420"/>
      </w:pPr>
      <w:rPr>
        <w:rFonts w:ascii="Times New Roman" w:eastAsia="Times New Roman" w:hAnsi="Times New Roman" w:cs="Times New Roman"/>
      </w:rPr>
    </w:lvl>
    <w:lvl w:ilvl="1" w:tplc="6622A02A">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5C06E2C"/>
    <w:multiLevelType w:val="hybridMultilevel"/>
    <w:tmpl w:val="73482FB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C1A54"/>
    <w:multiLevelType w:val="multilevel"/>
    <w:tmpl w:val="ADCCD90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lvlText w:val="%4)"/>
      <w:lvlJc w:val="left"/>
      <w:pPr>
        <w:ind w:left="0" w:firstLine="0"/>
      </w:pPr>
      <w:rPr>
        <w:rFonts w:ascii="Times New Roman" w:hAnsi="Times New Roman" w:hint="default"/>
        <w:sz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56A06E29"/>
    <w:multiLevelType w:val="multilevel"/>
    <w:tmpl w:val="D770978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581341"/>
    <w:multiLevelType w:val="hybridMultilevel"/>
    <w:tmpl w:val="B7E0939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FD0048D"/>
    <w:multiLevelType w:val="hybridMultilevel"/>
    <w:tmpl w:val="7D08043C"/>
    <w:lvl w:ilvl="0" w:tplc="1A58FFC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D3CEB"/>
    <w:multiLevelType w:val="multilevel"/>
    <w:tmpl w:val="8E94253E"/>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AA4D9E"/>
    <w:multiLevelType w:val="hybridMultilevel"/>
    <w:tmpl w:val="57480108"/>
    <w:lvl w:ilvl="0" w:tplc="C9EE276E">
      <w:start w:val="1"/>
      <w:numFmt w:val="decimal"/>
      <w:pStyle w:val="Paragraph"/>
      <w:lvlText w:val="%1."/>
      <w:lvlJc w:val="left"/>
      <w:pPr>
        <w:ind w:left="1267" w:hanging="360"/>
      </w:pPr>
      <w:rPr>
        <w:rFonts w:hint="default"/>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38" w15:restartNumberingAfterBreak="0">
    <w:nsid w:val="63CF3BF6"/>
    <w:multiLevelType w:val="multilevel"/>
    <w:tmpl w:val="B70CDE44"/>
    <w:lvl w:ilvl="0">
      <w:start w:val="1"/>
      <w:numFmt w:val="decimal"/>
      <w:lvlText w:val="%1."/>
      <w:lvlJc w:val="left"/>
      <w:pPr>
        <w:tabs>
          <w:tab w:val="num" w:pos="0"/>
        </w:tabs>
        <w:ind w:left="0" w:firstLine="0"/>
      </w:pPr>
      <w:rPr>
        <w:rFonts w:hint="default"/>
        <w:b w:val="0"/>
        <w:i w:val="0"/>
      </w:rPr>
    </w:lvl>
    <w:lvl w:ilvl="1">
      <w:start w:val="5"/>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66" w:hanging="706"/>
      </w:pPr>
      <w:rPr>
        <w:rFonts w:hint="default"/>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9" w15:restartNumberingAfterBreak="0">
    <w:nsid w:val="66F9387F"/>
    <w:multiLevelType w:val="hybridMultilevel"/>
    <w:tmpl w:val="35BE3DD4"/>
    <w:lvl w:ilvl="0" w:tplc="04090003">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D473E8"/>
    <w:multiLevelType w:val="multilevel"/>
    <w:tmpl w:val="481475DC"/>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20"/>
  </w:num>
  <w:num w:numId="6">
    <w:abstractNumId w:val="28"/>
  </w:num>
  <w:num w:numId="7">
    <w:abstractNumId w:val="30"/>
  </w:num>
  <w:num w:numId="8">
    <w:abstractNumId w:val="41"/>
  </w:num>
  <w:num w:numId="9">
    <w:abstractNumId w:val="24"/>
  </w:num>
  <w:num w:numId="10">
    <w:abstractNumId w:val="15"/>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7"/>
  </w:num>
  <w:num w:numId="15">
    <w:abstractNumId w:val="3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32"/>
  </w:num>
  <w:num w:numId="28">
    <w:abstractNumId w:val="33"/>
  </w:num>
  <w:num w:numId="29">
    <w:abstractNumId w:val="36"/>
  </w:num>
  <w:num w:numId="30">
    <w:abstractNumId w:val="39"/>
  </w:num>
  <w:num w:numId="31">
    <w:abstractNumId w:val="29"/>
  </w:num>
  <w:num w:numId="32">
    <w:abstractNumId w:val="12"/>
  </w:num>
  <w:num w:numId="33">
    <w:abstractNumId w:val="11"/>
  </w:num>
  <w:num w:numId="34">
    <w:abstractNumId w:val="18"/>
  </w:num>
  <w:num w:numId="35">
    <w:abstractNumId w:val="40"/>
  </w:num>
  <w:num w:numId="36">
    <w:abstractNumId w:val="26"/>
  </w:num>
  <w:num w:numId="37">
    <w:abstractNumId w:val="21"/>
  </w:num>
  <w:num w:numId="38">
    <w:abstractNumId w:val="25"/>
  </w:num>
  <w:num w:numId="39">
    <w:abstractNumId w:val="10"/>
    <w:lvlOverride w:ilvl="0">
      <w:startOverride w:val="3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num>
  <w:num w:numId="41">
    <w:abstractNumId w:val="35"/>
  </w:num>
  <w:num w:numId="42">
    <w:abstractNumId w:val="19"/>
  </w:num>
  <w:num w:numId="43">
    <w:abstractNumId w:val="31"/>
  </w:num>
  <w:num w:numId="44">
    <w:abstractNumId w:val="27"/>
  </w:num>
  <w:num w:numId="45">
    <w:abstractNumId w:val="14"/>
  </w:num>
  <w:num w:numId="46">
    <w:abstractNumId w:val="17"/>
  </w:num>
  <w:num w:numId="47">
    <w:abstractNumId w:val="13"/>
  </w:num>
  <w:num w:numId="4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3B40B5"/>
    <w:rsid w:val="00000FED"/>
    <w:rsid w:val="00003C86"/>
    <w:rsid w:val="0000434E"/>
    <w:rsid w:val="00007062"/>
    <w:rsid w:val="00007DF6"/>
    <w:rsid w:val="000104D3"/>
    <w:rsid w:val="00010587"/>
    <w:rsid w:val="000143CA"/>
    <w:rsid w:val="000211A9"/>
    <w:rsid w:val="0002400E"/>
    <w:rsid w:val="00031260"/>
    <w:rsid w:val="00034359"/>
    <w:rsid w:val="0003681A"/>
    <w:rsid w:val="000372B7"/>
    <w:rsid w:val="000413F0"/>
    <w:rsid w:val="00050F6E"/>
    <w:rsid w:val="0005184D"/>
    <w:rsid w:val="00053772"/>
    <w:rsid w:val="00053F8B"/>
    <w:rsid w:val="00061EC2"/>
    <w:rsid w:val="00076323"/>
    <w:rsid w:val="00080ED0"/>
    <w:rsid w:val="00081B71"/>
    <w:rsid w:val="000850C0"/>
    <w:rsid w:val="00085689"/>
    <w:rsid w:val="00085B8F"/>
    <w:rsid w:val="00090481"/>
    <w:rsid w:val="00090F6A"/>
    <w:rsid w:val="00096CD2"/>
    <w:rsid w:val="000A13B5"/>
    <w:rsid w:val="000A3826"/>
    <w:rsid w:val="000A6C26"/>
    <w:rsid w:val="000B29ED"/>
    <w:rsid w:val="000B4A8F"/>
    <w:rsid w:val="000B7D3D"/>
    <w:rsid w:val="000C411F"/>
    <w:rsid w:val="000D52A4"/>
    <w:rsid w:val="000E04AD"/>
    <w:rsid w:val="000E07BC"/>
    <w:rsid w:val="000F1CD4"/>
    <w:rsid w:val="000F4103"/>
    <w:rsid w:val="000F70A7"/>
    <w:rsid w:val="00113CCA"/>
    <w:rsid w:val="00122F25"/>
    <w:rsid w:val="00135980"/>
    <w:rsid w:val="00136D35"/>
    <w:rsid w:val="00144BBE"/>
    <w:rsid w:val="00147119"/>
    <w:rsid w:val="001511E2"/>
    <w:rsid w:val="00154FC9"/>
    <w:rsid w:val="00162D38"/>
    <w:rsid w:val="00164719"/>
    <w:rsid w:val="00166FC4"/>
    <w:rsid w:val="001677AC"/>
    <w:rsid w:val="00171019"/>
    <w:rsid w:val="001761BD"/>
    <w:rsid w:val="001804EA"/>
    <w:rsid w:val="001810DA"/>
    <w:rsid w:val="0018553D"/>
    <w:rsid w:val="00185708"/>
    <w:rsid w:val="00190A61"/>
    <w:rsid w:val="0019615D"/>
    <w:rsid w:val="0019659C"/>
    <w:rsid w:val="001A1122"/>
    <w:rsid w:val="001A3342"/>
    <w:rsid w:val="001A3E3D"/>
    <w:rsid w:val="001A7049"/>
    <w:rsid w:val="001A762F"/>
    <w:rsid w:val="001B1E40"/>
    <w:rsid w:val="001C04EE"/>
    <w:rsid w:val="001C1CB5"/>
    <w:rsid w:val="001C764E"/>
    <w:rsid w:val="001D235F"/>
    <w:rsid w:val="001E1052"/>
    <w:rsid w:val="001E21B1"/>
    <w:rsid w:val="001E2F93"/>
    <w:rsid w:val="001E4554"/>
    <w:rsid w:val="001E61E5"/>
    <w:rsid w:val="001E7ECD"/>
    <w:rsid w:val="001F2159"/>
    <w:rsid w:val="001F2ED6"/>
    <w:rsid w:val="00210B8B"/>
    <w:rsid w:val="00214863"/>
    <w:rsid w:val="002156B4"/>
    <w:rsid w:val="00217C34"/>
    <w:rsid w:val="00224FCD"/>
    <w:rsid w:val="00242C87"/>
    <w:rsid w:val="0024474E"/>
    <w:rsid w:val="00244F6B"/>
    <w:rsid w:val="00253222"/>
    <w:rsid w:val="00261276"/>
    <w:rsid w:val="00262847"/>
    <w:rsid w:val="0026329D"/>
    <w:rsid w:val="00273D6B"/>
    <w:rsid w:val="002805E2"/>
    <w:rsid w:val="00281BB2"/>
    <w:rsid w:val="0028318F"/>
    <w:rsid w:val="002841E7"/>
    <w:rsid w:val="00285DDA"/>
    <w:rsid w:val="00286F46"/>
    <w:rsid w:val="00295464"/>
    <w:rsid w:val="002979AE"/>
    <w:rsid w:val="002A7AFC"/>
    <w:rsid w:val="002B254E"/>
    <w:rsid w:val="002B3041"/>
    <w:rsid w:val="002B5CC9"/>
    <w:rsid w:val="002B72E9"/>
    <w:rsid w:val="002C2B2F"/>
    <w:rsid w:val="002C7998"/>
    <w:rsid w:val="002D51B8"/>
    <w:rsid w:val="002D5B54"/>
    <w:rsid w:val="002E2BB9"/>
    <w:rsid w:val="002E42DE"/>
    <w:rsid w:val="002E50C6"/>
    <w:rsid w:val="002E5E10"/>
    <w:rsid w:val="002F1E53"/>
    <w:rsid w:val="002F2CAA"/>
    <w:rsid w:val="0030052C"/>
    <w:rsid w:val="003074C5"/>
    <w:rsid w:val="00311EE3"/>
    <w:rsid w:val="003304E4"/>
    <w:rsid w:val="003306E1"/>
    <w:rsid w:val="0033085D"/>
    <w:rsid w:val="003320E4"/>
    <w:rsid w:val="0033525D"/>
    <w:rsid w:val="00337478"/>
    <w:rsid w:val="00337C27"/>
    <w:rsid w:val="00340B70"/>
    <w:rsid w:val="003414F3"/>
    <w:rsid w:val="0034176C"/>
    <w:rsid w:val="0035613E"/>
    <w:rsid w:val="00363EE9"/>
    <w:rsid w:val="00376128"/>
    <w:rsid w:val="0037742E"/>
    <w:rsid w:val="00377D56"/>
    <w:rsid w:val="0038206D"/>
    <w:rsid w:val="0038245A"/>
    <w:rsid w:val="003840E6"/>
    <w:rsid w:val="00384C34"/>
    <w:rsid w:val="00385CFC"/>
    <w:rsid w:val="003927DC"/>
    <w:rsid w:val="0039337A"/>
    <w:rsid w:val="003949EA"/>
    <w:rsid w:val="003A0843"/>
    <w:rsid w:val="003A3189"/>
    <w:rsid w:val="003A3CA7"/>
    <w:rsid w:val="003A5786"/>
    <w:rsid w:val="003B33BD"/>
    <w:rsid w:val="003B40B5"/>
    <w:rsid w:val="003B569D"/>
    <w:rsid w:val="003C3C0E"/>
    <w:rsid w:val="003C4FEF"/>
    <w:rsid w:val="003D42A6"/>
    <w:rsid w:val="003D4F21"/>
    <w:rsid w:val="003D4FAC"/>
    <w:rsid w:val="003E1BEB"/>
    <w:rsid w:val="003E7906"/>
    <w:rsid w:val="003F16AA"/>
    <w:rsid w:val="003F352F"/>
    <w:rsid w:val="003F3C50"/>
    <w:rsid w:val="003F682B"/>
    <w:rsid w:val="003F798B"/>
    <w:rsid w:val="004000EC"/>
    <w:rsid w:val="00406A6A"/>
    <w:rsid w:val="00406B22"/>
    <w:rsid w:val="00411B01"/>
    <w:rsid w:val="004140C0"/>
    <w:rsid w:val="00421B65"/>
    <w:rsid w:val="00425F95"/>
    <w:rsid w:val="004328A7"/>
    <w:rsid w:val="00432C8B"/>
    <w:rsid w:val="00434C74"/>
    <w:rsid w:val="00437C01"/>
    <w:rsid w:val="00456EB4"/>
    <w:rsid w:val="004718F3"/>
    <w:rsid w:val="00475040"/>
    <w:rsid w:val="00475A50"/>
    <w:rsid w:val="0048490A"/>
    <w:rsid w:val="0048575E"/>
    <w:rsid w:val="00493D40"/>
    <w:rsid w:val="004967B6"/>
    <w:rsid w:val="00497045"/>
    <w:rsid w:val="004A504B"/>
    <w:rsid w:val="004A6911"/>
    <w:rsid w:val="004A7E96"/>
    <w:rsid w:val="004B4CD0"/>
    <w:rsid w:val="004B54E0"/>
    <w:rsid w:val="004B7384"/>
    <w:rsid w:val="004C4269"/>
    <w:rsid w:val="004D477C"/>
    <w:rsid w:val="004D6236"/>
    <w:rsid w:val="004D7B2D"/>
    <w:rsid w:val="004D7F90"/>
    <w:rsid w:val="004E03DF"/>
    <w:rsid w:val="004E0D63"/>
    <w:rsid w:val="004E4DBB"/>
    <w:rsid w:val="004E4E41"/>
    <w:rsid w:val="004E5BF2"/>
    <w:rsid w:val="004E7321"/>
    <w:rsid w:val="004E7F9C"/>
    <w:rsid w:val="004F3493"/>
    <w:rsid w:val="004F5143"/>
    <w:rsid w:val="0050075B"/>
    <w:rsid w:val="005057F3"/>
    <w:rsid w:val="0051252E"/>
    <w:rsid w:val="00512B09"/>
    <w:rsid w:val="005220ED"/>
    <w:rsid w:val="00533796"/>
    <w:rsid w:val="00537343"/>
    <w:rsid w:val="00543E17"/>
    <w:rsid w:val="00547B54"/>
    <w:rsid w:val="005534CA"/>
    <w:rsid w:val="00555D75"/>
    <w:rsid w:val="00560DF0"/>
    <w:rsid w:val="00560F25"/>
    <w:rsid w:val="0056759C"/>
    <w:rsid w:val="00580733"/>
    <w:rsid w:val="0058333A"/>
    <w:rsid w:val="005913FE"/>
    <w:rsid w:val="005938DB"/>
    <w:rsid w:val="0059513E"/>
    <w:rsid w:val="00595531"/>
    <w:rsid w:val="0059719C"/>
    <w:rsid w:val="005978DD"/>
    <w:rsid w:val="005A6D9F"/>
    <w:rsid w:val="005B48FF"/>
    <w:rsid w:val="005B6963"/>
    <w:rsid w:val="005B7C48"/>
    <w:rsid w:val="005D363F"/>
    <w:rsid w:val="005E3572"/>
    <w:rsid w:val="005E3DEE"/>
    <w:rsid w:val="005E3DF6"/>
    <w:rsid w:val="005F2D17"/>
    <w:rsid w:val="00602FBE"/>
    <w:rsid w:val="00604C15"/>
    <w:rsid w:val="006158D5"/>
    <w:rsid w:val="00616F23"/>
    <w:rsid w:val="0061726B"/>
    <w:rsid w:val="00621C17"/>
    <w:rsid w:val="00625D83"/>
    <w:rsid w:val="006322A8"/>
    <w:rsid w:val="00635318"/>
    <w:rsid w:val="00635DEC"/>
    <w:rsid w:val="00641E90"/>
    <w:rsid w:val="00650E5A"/>
    <w:rsid w:val="006623E7"/>
    <w:rsid w:val="00662B80"/>
    <w:rsid w:val="00665A83"/>
    <w:rsid w:val="00670F6C"/>
    <w:rsid w:val="00680D21"/>
    <w:rsid w:val="006852C7"/>
    <w:rsid w:val="006852CE"/>
    <w:rsid w:val="00692D14"/>
    <w:rsid w:val="006951AC"/>
    <w:rsid w:val="00696458"/>
    <w:rsid w:val="006A0413"/>
    <w:rsid w:val="006A1CA7"/>
    <w:rsid w:val="006A3CCB"/>
    <w:rsid w:val="006B2E50"/>
    <w:rsid w:val="006B65C7"/>
    <w:rsid w:val="006B7A4C"/>
    <w:rsid w:val="006B7E87"/>
    <w:rsid w:val="006C1727"/>
    <w:rsid w:val="006C32FD"/>
    <w:rsid w:val="006C39CE"/>
    <w:rsid w:val="006D0FCC"/>
    <w:rsid w:val="006D156C"/>
    <w:rsid w:val="006D213E"/>
    <w:rsid w:val="006D21F5"/>
    <w:rsid w:val="006D40F7"/>
    <w:rsid w:val="006D68E1"/>
    <w:rsid w:val="006E126D"/>
    <w:rsid w:val="006E1523"/>
    <w:rsid w:val="006E1A17"/>
    <w:rsid w:val="006E1FC3"/>
    <w:rsid w:val="006E20F8"/>
    <w:rsid w:val="006E7D7A"/>
    <w:rsid w:val="006F11E1"/>
    <w:rsid w:val="006F33C5"/>
    <w:rsid w:val="006F4665"/>
    <w:rsid w:val="006F5F66"/>
    <w:rsid w:val="00701C54"/>
    <w:rsid w:val="00704CE9"/>
    <w:rsid w:val="0070616B"/>
    <w:rsid w:val="00706295"/>
    <w:rsid w:val="00706FDA"/>
    <w:rsid w:val="007079B5"/>
    <w:rsid w:val="00707DE9"/>
    <w:rsid w:val="00711F9A"/>
    <w:rsid w:val="00712305"/>
    <w:rsid w:val="00713810"/>
    <w:rsid w:val="00717853"/>
    <w:rsid w:val="00726604"/>
    <w:rsid w:val="007303A5"/>
    <w:rsid w:val="00730B3E"/>
    <w:rsid w:val="0073420B"/>
    <w:rsid w:val="0074760E"/>
    <w:rsid w:val="00750339"/>
    <w:rsid w:val="00752974"/>
    <w:rsid w:val="00754ABA"/>
    <w:rsid w:val="007576C7"/>
    <w:rsid w:val="00770FAE"/>
    <w:rsid w:val="00794138"/>
    <w:rsid w:val="00795DCC"/>
    <w:rsid w:val="007A1546"/>
    <w:rsid w:val="007A228C"/>
    <w:rsid w:val="007A368E"/>
    <w:rsid w:val="007A54BF"/>
    <w:rsid w:val="007A5868"/>
    <w:rsid w:val="007B04CE"/>
    <w:rsid w:val="007B650E"/>
    <w:rsid w:val="007B6871"/>
    <w:rsid w:val="007B7A2F"/>
    <w:rsid w:val="007C3D33"/>
    <w:rsid w:val="007C428D"/>
    <w:rsid w:val="007C592E"/>
    <w:rsid w:val="007C59D4"/>
    <w:rsid w:val="007C7D82"/>
    <w:rsid w:val="007D294A"/>
    <w:rsid w:val="007D47D2"/>
    <w:rsid w:val="007D6EC0"/>
    <w:rsid w:val="007D7E1D"/>
    <w:rsid w:val="007F225B"/>
    <w:rsid w:val="00800CC5"/>
    <w:rsid w:val="00807DD1"/>
    <w:rsid w:val="00823D2E"/>
    <w:rsid w:val="008311B6"/>
    <w:rsid w:val="00831979"/>
    <w:rsid w:val="00835A0A"/>
    <w:rsid w:val="00851352"/>
    <w:rsid w:val="00855CC0"/>
    <w:rsid w:val="00857077"/>
    <w:rsid w:val="00861E71"/>
    <w:rsid w:val="00863230"/>
    <w:rsid w:val="00865BD0"/>
    <w:rsid w:val="008717D8"/>
    <w:rsid w:val="0087215C"/>
    <w:rsid w:val="00872560"/>
    <w:rsid w:val="00872B3F"/>
    <w:rsid w:val="00875D25"/>
    <w:rsid w:val="008769B1"/>
    <w:rsid w:val="00880478"/>
    <w:rsid w:val="00880E35"/>
    <w:rsid w:val="008875FE"/>
    <w:rsid w:val="00887F8E"/>
    <w:rsid w:val="0089552B"/>
    <w:rsid w:val="00896234"/>
    <w:rsid w:val="00897E43"/>
    <w:rsid w:val="008B0F1D"/>
    <w:rsid w:val="008B435F"/>
    <w:rsid w:val="008C0397"/>
    <w:rsid w:val="008C1532"/>
    <w:rsid w:val="008C1EF2"/>
    <w:rsid w:val="008C3F3E"/>
    <w:rsid w:val="008C5738"/>
    <w:rsid w:val="008C7EAD"/>
    <w:rsid w:val="008D0CFE"/>
    <w:rsid w:val="008D6152"/>
    <w:rsid w:val="008E1C50"/>
    <w:rsid w:val="008E4B76"/>
    <w:rsid w:val="008F0F81"/>
    <w:rsid w:val="008F27BF"/>
    <w:rsid w:val="008F35B8"/>
    <w:rsid w:val="008F5D2C"/>
    <w:rsid w:val="009102CF"/>
    <w:rsid w:val="00911FA3"/>
    <w:rsid w:val="00912B46"/>
    <w:rsid w:val="00913C8E"/>
    <w:rsid w:val="009142EC"/>
    <w:rsid w:val="009154C3"/>
    <w:rsid w:val="00923540"/>
    <w:rsid w:val="00924A79"/>
    <w:rsid w:val="00926767"/>
    <w:rsid w:val="009268F4"/>
    <w:rsid w:val="009361D5"/>
    <w:rsid w:val="009428A4"/>
    <w:rsid w:val="00956BCB"/>
    <w:rsid w:val="00960E0A"/>
    <w:rsid w:val="00961E77"/>
    <w:rsid w:val="00961F2B"/>
    <w:rsid w:val="009659F4"/>
    <w:rsid w:val="00967221"/>
    <w:rsid w:val="00970D60"/>
    <w:rsid w:val="009749EE"/>
    <w:rsid w:val="0099390E"/>
    <w:rsid w:val="00995AFC"/>
    <w:rsid w:val="009960E5"/>
    <w:rsid w:val="009A2BA2"/>
    <w:rsid w:val="009A7ADC"/>
    <w:rsid w:val="009B3FC3"/>
    <w:rsid w:val="009C19B7"/>
    <w:rsid w:val="009C5ABB"/>
    <w:rsid w:val="009D26E5"/>
    <w:rsid w:val="009D7C51"/>
    <w:rsid w:val="009E0D9F"/>
    <w:rsid w:val="009E196C"/>
    <w:rsid w:val="009F36BF"/>
    <w:rsid w:val="009F5345"/>
    <w:rsid w:val="00A00C92"/>
    <w:rsid w:val="00A111B6"/>
    <w:rsid w:val="00A138DD"/>
    <w:rsid w:val="00A1637C"/>
    <w:rsid w:val="00A17B13"/>
    <w:rsid w:val="00A2636B"/>
    <w:rsid w:val="00A26D27"/>
    <w:rsid w:val="00A32000"/>
    <w:rsid w:val="00A376EE"/>
    <w:rsid w:val="00A420D3"/>
    <w:rsid w:val="00A42A99"/>
    <w:rsid w:val="00A5151A"/>
    <w:rsid w:val="00A516A1"/>
    <w:rsid w:val="00A518B5"/>
    <w:rsid w:val="00A56EE6"/>
    <w:rsid w:val="00A57E0A"/>
    <w:rsid w:val="00A601D9"/>
    <w:rsid w:val="00A67628"/>
    <w:rsid w:val="00A81DEE"/>
    <w:rsid w:val="00A823F6"/>
    <w:rsid w:val="00A84275"/>
    <w:rsid w:val="00A8719E"/>
    <w:rsid w:val="00A90944"/>
    <w:rsid w:val="00A91333"/>
    <w:rsid w:val="00A92032"/>
    <w:rsid w:val="00A9529F"/>
    <w:rsid w:val="00AA0A89"/>
    <w:rsid w:val="00AA6429"/>
    <w:rsid w:val="00AA78DC"/>
    <w:rsid w:val="00AB1A11"/>
    <w:rsid w:val="00AB2BBB"/>
    <w:rsid w:val="00AB34FB"/>
    <w:rsid w:val="00AC01AA"/>
    <w:rsid w:val="00AC32BB"/>
    <w:rsid w:val="00AC4F72"/>
    <w:rsid w:val="00AC5849"/>
    <w:rsid w:val="00AC6CBD"/>
    <w:rsid w:val="00AF741A"/>
    <w:rsid w:val="00B01ADB"/>
    <w:rsid w:val="00B04161"/>
    <w:rsid w:val="00B056F9"/>
    <w:rsid w:val="00B11E3D"/>
    <w:rsid w:val="00B17E82"/>
    <w:rsid w:val="00B256E2"/>
    <w:rsid w:val="00B3268F"/>
    <w:rsid w:val="00B35813"/>
    <w:rsid w:val="00B410D2"/>
    <w:rsid w:val="00B4575A"/>
    <w:rsid w:val="00B52608"/>
    <w:rsid w:val="00B572B8"/>
    <w:rsid w:val="00B575BA"/>
    <w:rsid w:val="00B603F6"/>
    <w:rsid w:val="00B60C62"/>
    <w:rsid w:val="00B67956"/>
    <w:rsid w:val="00B6798D"/>
    <w:rsid w:val="00B71608"/>
    <w:rsid w:val="00B71CC4"/>
    <w:rsid w:val="00B72984"/>
    <w:rsid w:val="00B76429"/>
    <w:rsid w:val="00B90979"/>
    <w:rsid w:val="00B956D4"/>
    <w:rsid w:val="00B95AFC"/>
    <w:rsid w:val="00B97446"/>
    <w:rsid w:val="00BA3EA6"/>
    <w:rsid w:val="00BA7432"/>
    <w:rsid w:val="00BB2764"/>
    <w:rsid w:val="00BB3CD8"/>
    <w:rsid w:val="00BC070D"/>
    <w:rsid w:val="00BC1AA0"/>
    <w:rsid w:val="00BC2495"/>
    <w:rsid w:val="00BC390C"/>
    <w:rsid w:val="00BC39C1"/>
    <w:rsid w:val="00BC7EB9"/>
    <w:rsid w:val="00BD1678"/>
    <w:rsid w:val="00BD1BAC"/>
    <w:rsid w:val="00BD2643"/>
    <w:rsid w:val="00BD2DBD"/>
    <w:rsid w:val="00BD437C"/>
    <w:rsid w:val="00BD506F"/>
    <w:rsid w:val="00BD56B1"/>
    <w:rsid w:val="00BD6558"/>
    <w:rsid w:val="00BE0880"/>
    <w:rsid w:val="00BE703D"/>
    <w:rsid w:val="00BF2F76"/>
    <w:rsid w:val="00BF3022"/>
    <w:rsid w:val="00BF3214"/>
    <w:rsid w:val="00BF5573"/>
    <w:rsid w:val="00C15867"/>
    <w:rsid w:val="00C2296D"/>
    <w:rsid w:val="00C23155"/>
    <w:rsid w:val="00C23A91"/>
    <w:rsid w:val="00C23E62"/>
    <w:rsid w:val="00C24C8E"/>
    <w:rsid w:val="00C263C3"/>
    <w:rsid w:val="00C36766"/>
    <w:rsid w:val="00C40C41"/>
    <w:rsid w:val="00C41DE6"/>
    <w:rsid w:val="00C4481B"/>
    <w:rsid w:val="00C45885"/>
    <w:rsid w:val="00C479ED"/>
    <w:rsid w:val="00C50F22"/>
    <w:rsid w:val="00C54C57"/>
    <w:rsid w:val="00C57971"/>
    <w:rsid w:val="00C65BD7"/>
    <w:rsid w:val="00C76BA4"/>
    <w:rsid w:val="00C83A48"/>
    <w:rsid w:val="00C84F9C"/>
    <w:rsid w:val="00C85865"/>
    <w:rsid w:val="00C85E85"/>
    <w:rsid w:val="00C8642B"/>
    <w:rsid w:val="00C8663B"/>
    <w:rsid w:val="00CA1844"/>
    <w:rsid w:val="00CA2EAE"/>
    <w:rsid w:val="00CA4AC1"/>
    <w:rsid w:val="00CB0316"/>
    <w:rsid w:val="00CB0B11"/>
    <w:rsid w:val="00CB426A"/>
    <w:rsid w:val="00CB5354"/>
    <w:rsid w:val="00CB576F"/>
    <w:rsid w:val="00CC3C9E"/>
    <w:rsid w:val="00CC6A14"/>
    <w:rsid w:val="00CC70A3"/>
    <w:rsid w:val="00CD194D"/>
    <w:rsid w:val="00CD4442"/>
    <w:rsid w:val="00CD53C3"/>
    <w:rsid w:val="00CD574E"/>
    <w:rsid w:val="00CD62CA"/>
    <w:rsid w:val="00CE4C22"/>
    <w:rsid w:val="00CF197A"/>
    <w:rsid w:val="00CF41EC"/>
    <w:rsid w:val="00CF5D04"/>
    <w:rsid w:val="00D00AA3"/>
    <w:rsid w:val="00D01B76"/>
    <w:rsid w:val="00D04C51"/>
    <w:rsid w:val="00D04DE4"/>
    <w:rsid w:val="00D063F1"/>
    <w:rsid w:val="00D10856"/>
    <w:rsid w:val="00D14F22"/>
    <w:rsid w:val="00D15333"/>
    <w:rsid w:val="00D1617B"/>
    <w:rsid w:val="00D20324"/>
    <w:rsid w:val="00D405F9"/>
    <w:rsid w:val="00D41BEC"/>
    <w:rsid w:val="00D43E12"/>
    <w:rsid w:val="00D4741C"/>
    <w:rsid w:val="00D54FFA"/>
    <w:rsid w:val="00D57918"/>
    <w:rsid w:val="00D668C6"/>
    <w:rsid w:val="00D73C4C"/>
    <w:rsid w:val="00D73DC6"/>
    <w:rsid w:val="00D74C1A"/>
    <w:rsid w:val="00D754C1"/>
    <w:rsid w:val="00D77393"/>
    <w:rsid w:val="00D77A35"/>
    <w:rsid w:val="00D81B3E"/>
    <w:rsid w:val="00D90C70"/>
    <w:rsid w:val="00D90E49"/>
    <w:rsid w:val="00D92488"/>
    <w:rsid w:val="00D92E3E"/>
    <w:rsid w:val="00D96ADE"/>
    <w:rsid w:val="00DA0CE2"/>
    <w:rsid w:val="00DC6A10"/>
    <w:rsid w:val="00DC6E90"/>
    <w:rsid w:val="00DE5A02"/>
    <w:rsid w:val="00DE657E"/>
    <w:rsid w:val="00DF0555"/>
    <w:rsid w:val="00DF259B"/>
    <w:rsid w:val="00DF4704"/>
    <w:rsid w:val="00DF6E2C"/>
    <w:rsid w:val="00E002BC"/>
    <w:rsid w:val="00E01C3E"/>
    <w:rsid w:val="00E024AA"/>
    <w:rsid w:val="00E04A24"/>
    <w:rsid w:val="00E12D68"/>
    <w:rsid w:val="00E15C77"/>
    <w:rsid w:val="00E17D45"/>
    <w:rsid w:val="00E2305C"/>
    <w:rsid w:val="00E250F1"/>
    <w:rsid w:val="00E343C8"/>
    <w:rsid w:val="00E3550D"/>
    <w:rsid w:val="00E4066A"/>
    <w:rsid w:val="00E43FA4"/>
    <w:rsid w:val="00E44F75"/>
    <w:rsid w:val="00E52838"/>
    <w:rsid w:val="00E52946"/>
    <w:rsid w:val="00E614E0"/>
    <w:rsid w:val="00E61EA3"/>
    <w:rsid w:val="00E61F32"/>
    <w:rsid w:val="00E70471"/>
    <w:rsid w:val="00E73F7F"/>
    <w:rsid w:val="00E85409"/>
    <w:rsid w:val="00E90F8A"/>
    <w:rsid w:val="00EA2F18"/>
    <w:rsid w:val="00EA429F"/>
    <w:rsid w:val="00EA4F9E"/>
    <w:rsid w:val="00EA63CA"/>
    <w:rsid w:val="00EA6D3B"/>
    <w:rsid w:val="00EB00AD"/>
    <w:rsid w:val="00EB136C"/>
    <w:rsid w:val="00EB3DFC"/>
    <w:rsid w:val="00EB480E"/>
    <w:rsid w:val="00EB5EC6"/>
    <w:rsid w:val="00EB7FC9"/>
    <w:rsid w:val="00EC5231"/>
    <w:rsid w:val="00ED27E8"/>
    <w:rsid w:val="00ED7137"/>
    <w:rsid w:val="00ED782D"/>
    <w:rsid w:val="00EE3006"/>
    <w:rsid w:val="00EF06EA"/>
    <w:rsid w:val="00EF5413"/>
    <w:rsid w:val="00F04F3B"/>
    <w:rsid w:val="00F05412"/>
    <w:rsid w:val="00F165ED"/>
    <w:rsid w:val="00F21088"/>
    <w:rsid w:val="00F22439"/>
    <w:rsid w:val="00F327E7"/>
    <w:rsid w:val="00F35746"/>
    <w:rsid w:val="00F374CB"/>
    <w:rsid w:val="00F40262"/>
    <w:rsid w:val="00F4375C"/>
    <w:rsid w:val="00F447C7"/>
    <w:rsid w:val="00F459B4"/>
    <w:rsid w:val="00F5211B"/>
    <w:rsid w:val="00F554A9"/>
    <w:rsid w:val="00F65BD8"/>
    <w:rsid w:val="00F716FD"/>
    <w:rsid w:val="00F76603"/>
    <w:rsid w:val="00F77EAE"/>
    <w:rsid w:val="00F80355"/>
    <w:rsid w:val="00F81BC8"/>
    <w:rsid w:val="00F87C0C"/>
    <w:rsid w:val="00F87C43"/>
    <w:rsid w:val="00F96D42"/>
    <w:rsid w:val="00FB0C81"/>
    <w:rsid w:val="00FB35E3"/>
    <w:rsid w:val="00FB6DD9"/>
    <w:rsid w:val="00FC0719"/>
    <w:rsid w:val="00FC2200"/>
    <w:rsid w:val="00FC2540"/>
    <w:rsid w:val="00FC2995"/>
    <w:rsid w:val="00FC6C7C"/>
    <w:rsid w:val="00FC72C0"/>
    <w:rsid w:val="00FD040C"/>
    <w:rsid w:val="00FD34F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B732"/>
  <w15:docId w15:val="{2364E2C6-F0CC-4624-8E94-76A7984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9"/>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qFormat/>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unhideWhenUsed/>
    <w:qFormat/>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qFormat/>
    <w:rsid w:val="00B04161"/>
    <w:rPr>
      <w:sz w:val="20"/>
      <w:szCs w:val="20"/>
    </w:rPr>
  </w:style>
  <w:style w:type="character" w:customStyle="1" w:styleId="CommentTextChar">
    <w:name w:val="Comment Text Char"/>
    <w:basedOn w:val="DefaultParagraphFont"/>
    <w:link w:val="CommentText"/>
    <w:uiPriority w:val="99"/>
    <w:qFormat/>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paragraph" w:styleId="ListParagraph">
    <w:name w:val="List Paragraph"/>
    <w:basedOn w:val="Normal"/>
    <w:link w:val="ListParagraphChar"/>
    <w:uiPriority w:val="34"/>
    <w:qFormat/>
    <w:rsid w:val="006E20F8"/>
    <w:pPr>
      <w:ind w:left="720"/>
      <w:contextualSpacing/>
    </w:pPr>
    <w:rPr>
      <w:lang w:val="en-US"/>
    </w:rPr>
  </w:style>
  <w:style w:type="character" w:customStyle="1" w:styleId="ListParagraphChar">
    <w:name w:val="List Paragraph Char"/>
    <w:basedOn w:val="DefaultParagraphFont"/>
    <w:link w:val="ListParagraph"/>
    <w:uiPriority w:val="34"/>
    <w:rsid w:val="006E20F8"/>
    <w:rPr>
      <w:sz w:val="22"/>
      <w:szCs w:val="2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285DD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qFormat/>
    <w:rsid w:val="00285DDA"/>
    <w:rPr>
      <w:sz w:val="22"/>
      <w:szCs w:val="22"/>
      <w:lang w:val="en-GB"/>
    </w:rPr>
  </w:style>
  <w:style w:type="paragraph" w:customStyle="1" w:styleId="Style1">
    <w:name w:val="Style1"/>
    <w:basedOn w:val="ListParagraph"/>
    <w:link w:val="Style1Char"/>
    <w:qFormat/>
    <w:rsid w:val="00285DDA"/>
    <w:pPr>
      <w:numPr>
        <w:numId w:val="10"/>
      </w:numPr>
      <w:spacing w:line="360" w:lineRule="auto"/>
    </w:pPr>
    <w:rPr>
      <w:rFonts w:eastAsia="SimSun"/>
      <w:lang w:val="en-GB"/>
    </w:rPr>
  </w:style>
  <w:style w:type="character" w:customStyle="1" w:styleId="Style1Char">
    <w:name w:val="Style1 Char"/>
    <w:basedOn w:val="ListParagraphChar"/>
    <w:link w:val="Style1"/>
    <w:rsid w:val="00285DDA"/>
    <w:rPr>
      <w:rFonts w:eastAsia="SimSun"/>
      <w:sz w:val="22"/>
      <w:szCs w:val="22"/>
      <w:lang w:val="en-GB"/>
    </w:rPr>
  </w:style>
  <w:style w:type="paragraph" w:styleId="NoSpacing">
    <w:name w:val="No Spacing"/>
    <w:uiPriority w:val="1"/>
    <w:qFormat/>
    <w:rsid w:val="00285DDA"/>
    <w:pPr>
      <w:widowControl w:val="0"/>
      <w:jc w:val="both"/>
    </w:pPr>
    <w:rPr>
      <w:rFonts w:eastAsia="SimSun" w:cstheme="minorBidi"/>
      <w:kern w:val="2"/>
      <w:sz w:val="24"/>
      <w:szCs w:val="22"/>
      <w:lang w:eastAsia="zh-CN"/>
    </w:rPr>
  </w:style>
  <w:style w:type="paragraph" w:styleId="Caption">
    <w:name w:val="caption"/>
    <w:basedOn w:val="Normal"/>
    <w:next w:val="Normal"/>
    <w:unhideWhenUsed/>
    <w:qFormat/>
    <w:rsid w:val="00285DDA"/>
    <w:pPr>
      <w:widowControl w:val="0"/>
      <w:spacing w:afterLines="100" w:after="100"/>
      <w:jc w:val="center"/>
    </w:pPr>
    <w:rPr>
      <w:rFonts w:eastAsia="SimSun" w:cstheme="majorBidi"/>
      <w:kern w:val="2"/>
      <w:sz w:val="24"/>
      <w:szCs w:val="20"/>
      <w:lang w:val="en-US" w:eastAsia="zh-CN"/>
    </w:rPr>
  </w:style>
  <w:style w:type="paragraph" w:customStyle="1" w:styleId="NormalIndent1">
    <w:name w:val="Normal Indent1"/>
    <w:basedOn w:val="Normal"/>
    <w:rsid w:val="00285DDA"/>
    <w:pPr>
      <w:widowControl w:val="0"/>
      <w:ind w:firstLineChars="200" w:firstLine="420"/>
    </w:pPr>
    <w:rPr>
      <w:rFonts w:eastAsia="SimSun"/>
      <w:kern w:val="2"/>
      <w:sz w:val="21"/>
      <w:szCs w:val="20"/>
      <w:lang w:val="en-US" w:eastAsia="zh-CN"/>
    </w:rPr>
  </w:style>
  <w:style w:type="paragraph" w:styleId="Revision">
    <w:name w:val="Revision"/>
    <w:hidden/>
    <w:uiPriority w:val="99"/>
    <w:semiHidden/>
    <w:rsid w:val="00285DDA"/>
    <w:rPr>
      <w:rFonts w:eastAsia="SimSun"/>
      <w:sz w:val="22"/>
      <w:szCs w:val="22"/>
      <w:lang w:val="en-GB"/>
    </w:rPr>
  </w:style>
  <w:style w:type="character" w:customStyle="1" w:styleId="Heading4Char">
    <w:name w:val="Heading 4 Char"/>
    <w:aliases w:val="Heading 11 Char,para 4 Char,Título 41 Char,Heading 41 Char,heading 4 Char,标题 41 Char"/>
    <w:basedOn w:val="DefaultParagraphFont"/>
    <w:link w:val="Heading4"/>
    <w:uiPriority w:val="9"/>
    <w:rsid w:val="00285DDA"/>
    <w:rPr>
      <w:sz w:val="22"/>
      <w:szCs w:val="22"/>
      <w:lang w:val="en-GB"/>
    </w:rPr>
  </w:style>
  <w:style w:type="character" w:customStyle="1" w:styleId="Heading5Char">
    <w:name w:val="Heading 5 Char"/>
    <w:basedOn w:val="DefaultParagraphFont"/>
    <w:link w:val="Heading5"/>
    <w:rsid w:val="00285DDA"/>
    <w:rPr>
      <w:sz w:val="22"/>
      <w:szCs w:val="22"/>
      <w:lang w:val="en-GB"/>
    </w:rPr>
  </w:style>
  <w:style w:type="character" w:customStyle="1" w:styleId="Heading6Char">
    <w:name w:val="Heading 6 Char"/>
    <w:basedOn w:val="DefaultParagraphFont"/>
    <w:link w:val="Heading6"/>
    <w:rsid w:val="00285DDA"/>
    <w:rPr>
      <w:rFonts w:ascii="Arial" w:hAnsi="Arial"/>
      <w:i/>
      <w:sz w:val="22"/>
      <w:szCs w:val="22"/>
      <w:lang w:val="en-GB"/>
    </w:rPr>
  </w:style>
  <w:style w:type="character" w:customStyle="1" w:styleId="Heading7Char">
    <w:name w:val="Heading 7 Char"/>
    <w:basedOn w:val="DefaultParagraphFont"/>
    <w:link w:val="Heading7"/>
    <w:rsid w:val="00285DDA"/>
    <w:rPr>
      <w:rFonts w:ascii="Arial" w:hAnsi="Arial"/>
      <w:sz w:val="22"/>
      <w:szCs w:val="22"/>
      <w:lang w:val="en-GB"/>
    </w:rPr>
  </w:style>
  <w:style w:type="character" w:customStyle="1" w:styleId="Heading8Char">
    <w:name w:val="Heading 8 Char"/>
    <w:basedOn w:val="DefaultParagraphFont"/>
    <w:link w:val="Heading8"/>
    <w:rsid w:val="00285DDA"/>
    <w:rPr>
      <w:b/>
      <w:sz w:val="22"/>
      <w:szCs w:val="22"/>
      <w:lang w:val="en-GB"/>
    </w:rPr>
  </w:style>
  <w:style w:type="character" w:customStyle="1" w:styleId="Heading9Char">
    <w:name w:val="Heading 9 Char"/>
    <w:basedOn w:val="DefaultParagraphFont"/>
    <w:link w:val="Heading9"/>
    <w:rsid w:val="00285DDA"/>
    <w:rPr>
      <w:rFonts w:ascii="Arial" w:hAnsi="Arial"/>
      <w:i/>
      <w:sz w:val="18"/>
      <w:szCs w:val="22"/>
      <w:lang w:val="en-GB"/>
    </w:rPr>
  </w:style>
  <w:style w:type="character" w:customStyle="1" w:styleId="HeaderChar">
    <w:name w:val="Header Char"/>
    <w:basedOn w:val="DefaultParagraphFont"/>
    <w:link w:val="Header"/>
    <w:rsid w:val="00285DDA"/>
    <w:rPr>
      <w:sz w:val="22"/>
      <w:szCs w:val="22"/>
      <w:lang w:val="en-GB"/>
    </w:rPr>
  </w:style>
  <w:style w:type="character" w:customStyle="1" w:styleId="FooterChar">
    <w:name w:val="Footer Char"/>
    <w:basedOn w:val="DefaultParagraphFont"/>
    <w:link w:val="Footer"/>
    <w:rsid w:val="00285DDA"/>
    <w:rPr>
      <w:sz w:val="22"/>
      <w:szCs w:val="22"/>
      <w:lang w:val="en-GB"/>
    </w:rPr>
  </w:style>
  <w:style w:type="character" w:customStyle="1" w:styleId="BodyText3Char">
    <w:name w:val="Body Text 3 Char"/>
    <w:basedOn w:val="DefaultParagraphFont"/>
    <w:link w:val="BodyText3"/>
    <w:semiHidden/>
    <w:rsid w:val="00285DDA"/>
    <w:rPr>
      <w:sz w:val="16"/>
      <w:szCs w:val="16"/>
      <w:lang w:val="en-GB"/>
    </w:rPr>
  </w:style>
  <w:style w:type="character" w:customStyle="1" w:styleId="BodyTextIndent3Char">
    <w:name w:val="Body Text Indent 3 Char"/>
    <w:basedOn w:val="DefaultParagraphFont"/>
    <w:link w:val="BodyTextIndent3"/>
    <w:semiHidden/>
    <w:rsid w:val="00285DDA"/>
    <w:rPr>
      <w:sz w:val="16"/>
      <w:szCs w:val="16"/>
      <w:lang w:val="en-GB"/>
    </w:rPr>
  </w:style>
  <w:style w:type="character" w:customStyle="1" w:styleId="PlainTextChar">
    <w:name w:val="Plain Text Char"/>
    <w:basedOn w:val="DefaultParagraphFont"/>
    <w:link w:val="PlainText"/>
    <w:qFormat/>
    <w:rsid w:val="00285DDA"/>
    <w:rPr>
      <w:rFonts w:ascii="Courier New" w:hAnsi="Courier New" w:cs="Courier New"/>
      <w:szCs w:val="22"/>
      <w:lang w:val="en-GB"/>
    </w:rPr>
  </w:style>
  <w:style w:type="character" w:customStyle="1" w:styleId="SubtitleChar">
    <w:name w:val="Subtitle Char"/>
    <w:basedOn w:val="DefaultParagraphFont"/>
    <w:link w:val="Subtitle"/>
    <w:rsid w:val="00285DDA"/>
    <w:rPr>
      <w:rFonts w:ascii="Arial" w:hAnsi="Arial" w:cs="Arial"/>
      <w:sz w:val="22"/>
      <w:szCs w:val="22"/>
      <w:lang w:val="en-GB"/>
    </w:rPr>
  </w:style>
  <w:style w:type="character" w:customStyle="1" w:styleId="TitleChar">
    <w:name w:val="Title Char"/>
    <w:basedOn w:val="DefaultParagraphFont"/>
    <w:link w:val="Title"/>
    <w:rsid w:val="00285DDA"/>
    <w:rPr>
      <w:rFonts w:ascii="Arial" w:hAnsi="Arial" w:cs="Arial"/>
      <w:b/>
      <w:bCs/>
      <w:kern w:val="28"/>
      <w:sz w:val="22"/>
      <w:szCs w:val="22"/>
      <w:lang w:val="en-GB"/>
    </w:rPr>
  </w:style>
  <w:style w:type="character" w:customStyle="1" w:styleId="DateChar">
    <w:name w:val="Date Char"/>
    <w:basedOn w:val="DefaultParagraphFont"/>
    <w:link w:val="Date"/>
    <w:rsid w:val="00285DDA"/>
    <w:rPr>
      <w:sz w:val="22"/>
      <w:szCs w:val="22"/>
      <w:lang w:val="en-GB"/>
    </w:rPr>
  </w:style>
  <w:style w:type="paragraph" w:customStyle="1" w:styleId="3a">
    <w:name w:val="标题3a"/>
    <w:basedOn w:val="Heading3"/>
    <w:next w:val="PlainText"/>
    <w:qFormat/>
    <w:rsid w:val="00285DDA"/>
    <w:pPr>
      <w:keepNext/>
      <w:keepLines/>
      <w:numPr>
        <w:ilvl w:val="0"/>
        <w:numId w:val="0"/>
      </w:numPr>
      <w:spacing w:beforeLines="100" w:before="240" w:after="160"/>
    </w:pPr>
    <w:rPr>
      <w:rFonts w:eastAsia="SimSun"/>
      <w:b/>
      <w:bCs/>
      <w:kern w:val="2"/>
      <w:sz w:val="24"/>
      <w:szCs w:val="32"/>
      <w:lang w:val="en-US" w:eastAsia="zh-CN"/>
    </w:rPr>
  </w:style>
  <w:style w:type="paragraph" w:customStyle="1" w:styleId="output-val">
    <w:name w:val="output-val"/>
    <w:basedOn w:val="Normal"/>
    <w:rsid w:val="00285DDA"/>
    <w:pPr>
      <w:spacing w:beforeLines="100"/>
      <w:jc w:val="left"/>
    </w:pPr>
    <w:rPr>
      <w:rFonts w:ascii="SimSun" w:eastAsia="SimSun" w:hAnsi="SimSun" w:cs="SimSun"/>
      <w:sz w:val="24"/>
      <w:szCs w:val="24"/>
      <w:lang w:val="en-US" w:eastAsia="zh-CN"/>
    </w:rPr>
  </w:style>
  <w:style w:type="paragraph" w:customStyle="1" w:styleId="2a">
    <w:name w:val="标题2a"/>
    <w:basedOn w:val="Heading2"/>
    <w:next w:val="PlainText"/>
    <w:qFormat/>
    <w:rsid w:val="00285DDA"/>
    <w:pPr>
      <w:keepNext/>
      <w:keepLines/>
      <w:numPr>
        <w:ilvl w:val="0"/>
        <w:numId w:val="0"/>
      </w:numPr>
      <w:spacing w:beforeLines="100" w:before="360"/>
      <w:jc w:val="left"/>
    </w:pPr>
    <w:rPr>
      <w:rFonts w:eastAsia="SimSun"/>
      <w:b/>
      <w:bCs/>
      <w:kern w:val="2"/>
      <w:sz w:val="28"/>
      <w:szCs w:val="32"/>
      <w:lang w:val="en-US" w:eastAsia="zh-CN"/>
    </w:rPr>
  </w:style>
  <w:style w:type="paragraph" w:customStyle="1" w:styleId="1">
    <w:name w:val="列出段落1"/>
    <w:basedOn w:val="Normal"/>
    <w:qFormat/>
    <w:rsid w:val="00E44F75"/>
    <w:pPr>
      <w:widowControl w:val="0"/>
      <w:ind w:firstLineChars="200" w:firstLine="420"/>
    </w:pPr>
    <w:rPr>
      <w:rFonts w:ascii="DengXian" w:eastAsia="DengXian" w:hAnsi="DengXian" w:cs="Cordia New"/>
      <w:kern w:val="2"/>
      <w:sz w:val="21"/>
      <w:szCs w:val="24"/>
      <w:lang w:val="en-US" w:eastAsia="zh-CN"/>
    </w:rPr>
  </w:style>
  <w:style w:type="character" w:styleId="Emphasis">
    <w:name w:val="Emphasis"/>
    <w:basedOn w:val="DefaultParagraphFont"/>
    <w:uiPriority w:val="20"/>
    <w:qFormat/>
    <w:rsid w:val="00E44F75"/>
    <w:rPr>
      <w:i/>
      <w:iCs/>
    </w:rPr>
  </w:style>
  <w:style w:type="paragraph" w:customStyle="1" w:styleId="ListParagraph1">
    <w:name w:val="List Paragraph1"/>
    <w:basedOn w:val="Normal"/>
    <w:rsid w:val="00337C27"/>
    <w:pPr>
      <w:widowControl w:val="0"/>
      <w:ind w:firstLineChars="200" w:firstLine="420"/>
    </w:pPr>
    <w:rPr>
      <w:rFonts w:ascii="Calibri" w:eastAsia="SimSun" w:hAnsi="Calibri"/>
      <w:kern w:val="2"/>
      <w:sz w:val="21"/>
      <w:szCs w:val="20"/>
      <w:lang w:val="en-US" w:eastAsia="zh-CN"/>
    </w:rPr>
  </w:style>
  <w:style w:type="table" w:customStyle="1" w:styleId="ListTable3-Accent51">
    <w:name w:val="List Table 3 - Accent 51"/>
    <w:basedOn w:val="TableNormal"/>
    <w:uiPriority w:val="48"/>
    <w:rsid w:val="00337C27"/>
    <w:rPr>
      <w:rFonts w:asciiTheme="minorHAnsi" w:eastAsia="SimSun"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337C27"/>
    <w:pPr>
      <w:widowControl w:val="0"/>
      <w:autoSpaceDE w:val="0"/>
      <w:autoSpaceDN w:val="0"/>
      <w:adjustRightInd w:val="0"/>
    </w:pPr>
    <w:rPr>
      <w:rFonts w:eastAsia="SimSun"/>
      <w:color w:val="000000"/>
      <w:sz w:val="24"/>
      <w:szCs w:val="24"/>
      <w:lang w:eastAsia="zh-CN"/>
    </w:rPr>
  </w:style>
  <w:style w:type="paragraph" w:customStyle="1" w:styleId="5">
    <w:name w:val="正文首行缩进 5"/>
    <w:basedOn w:val="Normal"/>
    <w:rsid w:val="00337C27"/>
    <w:pPr>
      <w:widowControl w:val="0"/>
      <w:numPr>
        <w:numId w:val="13"/>
      </w:numPr>
      <w:spacing w:before="100" w:beforeAutospacing="1" w:after="100" w:afterAutospacing="1" w:line="340" w:lineRule="exact"/>
    </w:pPr>
    <w:rPr>
      <w:rFonts w:eastAsia="SimSun"/>
      <w:kern w:val="2"/>
      <w:sz w:val="24"/>
      <w:szCs w:val="20"/>
      <w:lang w:val="en-US" w:eastAsia="zh-CN" w:bidi="he-IL"/>
    </w:rPr>
  </w:style>
  <w:style w:type="paragraph" w:customStyle="1" w:styleId="Paragraph">
    <w:name w:val="Paragraph"/>
    <w:basedOn w:val="NormalIndent"/>
    <w:link w:val="ParagraphChar"/>
    <w:autoRedefine/>
    <w:qFormat/>
    <w:rsid w:val="00337C27"/>
    <w:pPr>
      <w:numPr>
        <w:numId w:val="14"/>
      </w:numPr>
      <w:spacing w:before="120" w:after="120"/>
      <w:ind w:left="0" w:firstLine="0"/>
    </w:pPr>
    <w:rPr>
      <w:rFonts w:eastAsia="MS Mincho" w:cs="Arial"/>
      <w:sz w:val="24"/>
      <w:lang w:val="en-US" w:eastAsia="zh-CN"/>
    </w:rPr>
  </w:style>
  <w:style w:type="character" w:customStyle="1" w:styleId="ParagraphChar">
    <w:name w:val="Paragraph Char"/>
    <w:link w:val="Paragraph"/>
    <w:rsid w:val="00337C27"/>
    <w:rPr>
      <w:rFonts w:eastAsia="MS Mincho" w:cs="Arial"/>
      <w:sz w:val="24"/>
      <w:szCs w:val="22"/>
      <w:lang w:eastAsia="zh-CN"/>
    </w:rPr>
  </w:style>
  <w:style w:type="paragraph" w:styleId="NormalIndent">
    <w:name w:val="Normal Indent"/>
    <w:basedOn w:val="Normal"/>
    <w:uiPriority w:val="99"/>
    <w:semiHidden/>
    <w:unhideWhenUsed/>
    <w:rsid w:val="00337C27"/>
    <w:pPr>
      <w:ind w:left="720"/>
    </w:pPr>
  </w:style>
  <w:style w:type="paragraph" w:styleId="ListBullet">
    <w:name w:val="List Bullet"/>
    <w:basedOn w:val="Normal"/>
    <w:autoRedefine/>
    <w:semiHidden/>
    <w:rsid w:val="00337C27"/>
    <w:pPr>
      <w:tabs>
        <w:tab w:val="num" w:pos="360"/>
      </w:tabs>
      <w:ind w:left="360" w:hanging="360"/>
    </w:pPr>
  </w:style>
  <w:style w:type="table" w:customStyle="1" w:styleId="TableList31">
    <w:name w:val="Table List 31"/>
    <w:basedOn w:val="TableNormal"/>
    <w:next w:val="TableList3"/>
    <w:qFormat/>
    <w:rsid w:val="00E90F8A"/>
    <w:pPr>
      <w:widowControl w:val="0"/>
      <w:spacing w:after="160" w:line="259" w:lineRule="auto"/>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10">
    <w:name w:val="Table Grid1"/>
    <w:basedOn w:val="TableNormal"/>
    <w:next w:val="TableGrid"/>
    <w:uiPriority w:val="59"/>
    <w:qFormat/>
    <w:rsid w:val="006322A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730">
      <w:bodyDiv w:val="1"/>
      <w:marLeft w:val="0"/>
      <w:marRight w:val="0"/>
      <w:marTop w:val="0"/>
      <w:marBottom w:val="0"/>
      <w:divBdr>
        <w:top w:val="none" w:sz="0" w:space="0" w:color="auto"/>
        <w:left w:val="none" w:sz="0" w:space="0" w:color="auto"/>
        <w:bottom w:val="none" w:sz="0" w:space="0" w:color="auto"/>
        <w:right w:val="none" w:sz="0" w:space="0" w:color="auto"/>
      </w:divBdr>
    </w:div>
    <w:div w:id="380061964">
      <w:bodyDiv w:val="1"/>
      <w:marLeft w:val="0"/>
      <w:marRight w:val="0"/>
      <w:marTop w:val="0"/>
      <w:marBottom w:val="0"/>
      <w:divBdr>
        <w:top w:val="none" w:sz="0" w:space="0" w:color="auto"/>
        <w:left w:val="none" w:sz="0" w:space="0" w:color="auto"/>
        <w:bottom w:val="none" w:sz="0" w:space="0" w:color="auto"/>
        <w:right w:val="none" w:sz="0" w:space="0" w:color="auto"/>
      </w:divBdr>
    </w:div>
    <w:div w:id="768698057">
      <w:bodyDiv w:val="1"/>
      <w:marLeft w:val="0"/>
      <w:marRight w:val="0"/>
      <w:marTop w:val="0"/>
      <w:marBottom w:val="0"/>
      <w:divBdr>
        <w:top w:val="none" w:sz="0" w:space="0" w:color="auto"/>
        <w:left w:val="none" w:sz="0" w:space="0" w:color="auto"/>
        <w:bottom w:val="none" w:sz="0" w:space="0" w:color="auto"/>
        <w:right w:val="none" w:sz="0" w:space="0" w:color="auto"/>
      </w:divBdr>
    </w:div>
    <w:div w:id="167156540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erin\Desktop\86%20ExCom\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UNEP/OzL.Pro/ExCom/86/21/Add.1</Document_x0020_Number>
    <DocumentType xmlns="64e33b30-101d-41de-b951-961aab25ea29">Pre-session</DocumentType>
    <Posted_x0020_after_x0020_IAP xmlns="abaacac7-de29-4bd9-9df9-38435041f724">true</Posted_x0020_after_x0020_IAP>
  </documentManagement>
</p:properties>
</file>

<file path=customXml/itemProps1.xml><?xml version="1.0" encoding="utf-8"?>
<ds:datastoreItem xmlns:ds="http://schemas.openxmlformats.org/officeDocument/2006/customXml" ds:itemID="{4A01EDBD-EB59-42BE-801B-9C4928A95D5C}"/>
</file>

<file path=customXml/itemProps2.xml><?xml version="1.0" encoding="utf-8"?>
<ds:datastoreItem xmlns:ds="http://schemas.openxmlformats.org/officeDocument/2006/customXml" ds:itemID="{2FBFCA28-95BC-42B1-9265-3301295FB461}"/>
</file>

<file path=customXml/itemProps3.xml><?xml version="1.0" encoding="utf-8"?>
<ds:datastoreItem xmlns:ds="http://schemas.openxmlformats.org/officeDocument/2006/customXml" ds:itemID="{786AC40B-6648-4F62-8711-E19BBF4ABEE2}"/>
</file>

<file path=customXml/itemProps4.xml><?xml version="1.0" encoding="utf-8"?>
<ds:datastoreItem xmlns:ds="http://schemas.openxmlformats.org/officeDocument/2006/customXml" ds:itemID="{7FAD4D75-9472-4D6D-B9D1-93C7297B9155}"/>
</file>

<file path=docProps/app.xml><?xml version="1.0" encoding="utf-8"?>
<Properties xmlns="http://schemas.openxmlformats.org/officeDocument/2006/extended-properties" xmlns:vt="http://schemas.openxmlformats.org/officeDocument/2006/docPropsVTypes">
  <Template>Eec86G</Template>
  <TotalTime>12</TotalTime>
  <Pages>68</Pages>
  <Words>30648</Words>
  <Characters>168982</Characters>
  <Application>Microsoft Office Word</Application>
  <DocSecurity>0</DocSecurity>
  <Lines>1408</Lines>
  <Paragraphs>398</Paragraphs>
  <ScaleCrop>false</ScaleCrop>
  <HeadingPairs>
    <vt:vector size="2" baseType="variant">
      <vt:variant>
        <vt:lpstr>Title</vt:lpstr>
      </vt:variant>
      <vt:variant>
        <vt:i4>1</vt:i4>
      </vt:variant>
    </vt:vector>
  </HeadingPairs>
  <TitlesOfParts>
    <vt:vector size="1" baseType="lpstr">
      <vt:lpstr>Report on projects with specific reporting requirements (Addendum)</vt:lpstr>
    </vt:vector>
  </TitlesOfParts>
  <Company>UNMFS</Company>
  <LinksUpToDate>false</LinksUpToDate>
  <CharactersWithSpaces>199232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projects with specific reporting requirements - addendum 1, part 1</dc:title>
  <dc:subject>86th</dc:subject>
  <dc:creator>Nanette Guerin</dc:creator>
  <dc:description>ARP - lead officer</dc:description>
  <cp:lastModifiedBy>Patricia Chau</cp:lastModifiedBy>
  <cp:revision>5</cp:revision>
  <cp:lastPrinted>2001-05-26T16:40:00Z</cp:lastPrinted>
  <dcterms:created xsi:type="dcterms:W3CDTF">2020-11-06T20:28:00Z</dcterms:created>
  <dcterms:modified xsi:type="dcterms:W3CDTF">2020-11-06T21:19:00Z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UNEP/OzL.Pro/ExCom/86/21/Add.1</vt:lpwstr>
  </property>
  <property fmtid="{D5CDD505-2E9C-101B-9397-08002B2CF9AE}" pid="3" name="Revision date">
    <vt:lpwstr>11/6/2020</vt:lpwstr>
  </property>
  <property fmtid="{D5CDD505-2E9C-101B-9397-08002B2CF9AE}" pid="4" name="ContentTypeId">
    <vt:lpwstr>0x0101005AF33A4CB358354C9EC302DF0A113603</vt:lpwstr>
  </property>
</Properties>
</file>