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olors1.xml" ContentType="application/vnd.ms-office.chartcolorstyle+xml"/>
  <Override PartName="/word/header2.xml" ContentType="application/vnd.openxmlformats-officedocument.wordprocessingml.header+xml"/>
  <Override PartName="/word/charts/chart2.xml" ContentType="application/vnd.openxmlformats-officedocument.drawingml.chart+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header1.xml" ContentType="application/vnd.openxmlformats-officedocument.wordprocessingml.header+xml"/>
  <Override PartName="/word/charts/style2.xml" ContentType="application/vnd.ms-office.chartstyle+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432" w:type="dxa"/>
        <w:tblLayout w:type="fixed"/>
        <w:tblLook w:val="0000" w:firstRow="0" w:lastRow="0" w:firstColumn="0" w:lastColumn="0" w:noHBand="0" w:noVBand="0"/>
      </w:tblPr>
      <w:tblGrid>
        <w:gridCol w:w="2070"/>
        <w:gridCol w:w="3420"/>
        <w:gridCol w:w="4590"/>
        <w:gridCol w:w="180"/>
      </w:tblGrid>
      <w:tr w:rsidR="00C15867" w:rsidRPr="00EE5B08" w14:paraId="3249C950" w14:textId="77777777" w:rsidTr="00C43F0E">
        <w:trPr>
          <w:trHeight w:val="720"/>
        </w:trPr>
        <w:tc>
          <w:tcPr>
            <w:tcW w:w="5490" w:type="dxa"/>
            <w:gridSpan w:val="2"/>
            <w:tcBorders>
              <w:bottom w:val="single" w:sz="18" w:space="0" w:color="auto"/>
            </w:tcBorders>
          </w:tcPr>
          <w:p w14:paraId="3300338B" w14:textId="079F650E" w:rsidR="00C15867" w:rsidRPr="00EE5B08" w:rsidRDefault="00BD4A63" w:rsidP="00E02D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BD4A63">
              <w:rPr>
                <w:rFonts w:ascii="Univers" w:hAnsi="Univers" w:hint="eastAsia"/>
                <w:b/>
                <w:sz w:val="28"/>
                <w:szCs w:val="28"/>
              </w:rPr>
              <w:t>联</w:t>
            </w:r>
            <w:r w:rsidRPr="00BD4A63">
              <w:rPr>
                <w:rFonts w:ascii="Univers" w:hAnsi="Univers"/>
                <w:b/>
                <w:sz w:val="28"/>
                <w:szCs w:val="28"/>
              </w:rPr>
              <w:t xml:space="preserve">  </w:t>
            </w:r>
            <w:r w:rsidRPr="00BD4A63">
              <w:rPr>
                <w:rFonts w:ascii="Univers" w:hAnsi="Univers" w:hint="eastAsia"/>
                <w:b/>
                <w:sz w:val="28"/>
                <w:szCs w:val="28"/>
              </w:rPr>
              <w:t>合</w:t>
            </w:r>
            <w:r w:rsidRPr="00BD4A63">
              <w:rPr>
                <w:rFonts w:ascii="Univers" w:hAnsi="Univers"/>
                <w:b/>
                <w:sz w:val="28"/>
                <w:szCs w:val="28"/>
              </w:rPr>
              <w:t xml:space="preserve">  </w:t>
            </w:r>
            <w:r w:rsidRPr="00BD4A63">
              <w:rPr>
                <w:rFonts w:ascii="Univers" w:hAnsi="Univers" w:hint="eastAsia"/>
                <w:b/>
                <w:sz w:val="28"/>
                <w:szCs w:val="28"/>
              </w:rPr>
              <w:t>国</w:t>
            </w:r>
          </w:p>
        </w:tc>
        <w:tc>
          <w:tcPr>
            <w:tcW w:w="4770" w:type="dxa"/>
            <w:gridSpan w:val="2"/>
            <w:tcBorders>
              <w:bottom w:val="single" w:sz="18" w:space="0" w:color="auto"/>
            </w:tcBorders>
          </w:tcPr>
          <w:p w14:paraId="29C62A19" w14:textId="77777777" w:rsidR="00C15867" w:rsidRPr="00EE5B08" w:rsidRDefault="00C15867" w:rsidP="00E02DF4">
            <w:pPr>
              <w:jc w:val="right"/>
              <w:rPr>
                <w:sz w:val="52"/>
                <w:szCs w:val="52"/>
                <w:lang w:val="en-CA"/>
              </w:rPr>
            </w:pPr>
            <w:r w:rsidRPr="00EE5B08">
              <w:rPr>
                <w:rFonts w:ascii="Univers Bold" w:hAnsi="Univers Bold"/>
                <w:b/>
                <w:sz w:val="72"/>
                <w:lang w:val="en-CA"/>
              </w:rPr>
              <w:t>EP</w:t>
            </w:r>
          </w:p>
        </w:tc>
      </w:tr>
      <w:tr w:rsidR="00C15867" w:rsidRPr="00EE5B08" w14:paraId="2DF6E02E" w14:textId="77777777" w:rsidTr="00C43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Height w:val="2718"/>
        </w:trPr>
        <w:tc>
          <w:tcPr>
            <w:tcW w:w="2070" w:type="dxa"/>
            <w:tcBorders>
              <w:top w:val="nil"/>
              <w:left w:val="nil"/>
              <w:bottom w:val="single" w:sz="36" w:space="0" w:color="auto"/>
              <w:right w:val="nil"/>
            </w:tcBorders>
          </w:tcPr>
          <w:p w14:paraId="53BCDFCC" w14:textId="77777777" w:rsidR="00C15867" w:rsidRPr="00EE5B08" w:rsidRDefault="00E52838" w:rsidP="00E02DF4">
            <w:pPr>
              <w:spacing w:before="120"/>
              <w:rPr>
                <w:lang w:val="en-CA"/>
              </w:rPr>
            </w:pPr>
            <w:r w:rsidRPr="00EE5B08">
              <w:rPr>
                <w:noProof/>
                <w:lang w:val="en-US"/>
              </w:rPr>
              <mc:AlternateContent>
                <mc:Choice Requires="wpg">
                  <w:drawing>
                    <wp:anchor distT="0" distB="0" distL="114300" distR="114300" simplePos="0" relativeHeight="251660288" behindDoc="0" locked="0" layoutInCell="1" allowOverlap="1" wp14:anchorId="7550FE52" wp14:editId="3F399589">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mo="http://schemas.microsoft.com/office/mac/office/2008/main" xmlns:mv="urn:schemas-microsoft-com:mac:vml">
                  <w:pict>
                    <v:group w14:anchorId="16C02FB8" id="Group 1" o:spid="_x0000_s1026" style="position:absolute;left:0;text-align:left;margin-left:.2pt;margin-top:2.85pt;width:66.5pt;height:127.25pt;z-index:251660288" coordsize="844550,16160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50;top:768350;width:838200;height:8477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Q&#10;HInBAAAA2gAAAA8AAABkcnMvZG93bnJldi54bWxEj9GKwjAURN+F/YdwhX2zqYKLVKOIIOjCIlU/&#10;4NJcm9rmpttE7f69WRB8HGbmDLNY9bYRd+p85VjBOElBEBdOV1wqOJ+2oxkIH5A1No5JwR95WC0/&#10;BgvMtHtwTvdjKEWEsM9QgQmhzaT0hSGLPnEtcfQurrMYouxKqTt8RLht5CRNv6TFiuOCwZY2hor6&#10;eLMKrnX+neaHAn/2W1PP7GWaT3/3Sn0O+/UcRKA+vMOv9k4rmMD/lXgD5PI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SQHInBAAAA2gAAAA8AAAAAAAAAAAAAAAAAnAIAAGRy&#10;cy9kb3ducmV2LnhtbFBLBQYAAAAABAAEAPcAAACKAwAAAAA=&#10;">
                        <v:imagedata r:id="rId12" o:title="UNEP"/>
                        <v:path arrowok="t"/>
                      </v:shape>
                      <v:shape id="Picture 3" o:spid="_x0000_s1028" type="#_x0000_t75" style="position:absolute;width:822325;height:7308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F&#10;0s3BAAAA2gAAAA8AAABkcnMvZG93bnJldi54bWxEj0GLwjAUhO8L/ofwBG9rqsKuVNMiyoIXD2sV&#10;PD6bZ1NsXkqT1frvjSDscZiZb5hl3ttG3KjztWMFk3ECgrh0uuZKwaH4+ZyD8AFZY+OYFDzIQ54N&#10;PpaYanfnX7rtQyUihH2KCkwIbSqlLw1Z9GPXEkfv4jqLIcqukrrDe4TbRk6T5EtarDkuGGxpbai8&#10;7v+sAnteTy/zwlQt71BOvk+bI/pCqdGwXy1ABOrDf/jd3moFM3hdiTdAZk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AF0s3BAAAA2gAAAA8AAAAAAAAAAAAAAAAAnAIAAGRy&#10;cy9kb3ducmV2LnhtbFBLBQYAAAAABAAEAPcAAACKAwAAAAA=&#10;">
                        <v:imagedata r:id="rId13" o:title=""/>
                        <v:path arrowok="t"/>
                      </v:shape>
                    </v:group>
                  </w:pict>
                </mc:Fallback>
              </mc:AlternateContent>
            </w:r>
          </w:p>
        </w:tc>
        <w:tc>
          <w:tcPr>
            <w:tcW w:w="3420" w:type="dxa"/>
            <w:tcBorders>
              <w:top w:val="nil"/>
              <w:left w:val="nil"/>
              <w:bottom w:val="single" w:sz="36" w:space="0" w:color="auto"/>
              <w:right w:val="nil"/>
            </w:tcBorders>
          </w:tcPr>
          <w:p w14:paraId="191723D2" w14:textId="77777777" w:rsidR="00BD284A" w:rsidRDefault="00BD284A" w:rsidP="00C43F0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40"/>
                <w:szCs w:val="32"/>
              </w:rPr>
            </w:pPr>
          </w:p>
          <w:p w14:paraId="2DA53479" w14:textId="5D797F57" w:rsidR="00C43F0E" w:rsidRPr="00BD284A" w:rsidRDefault="00C43F0E" w:rsidP="00C43F0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44"/>
                <w:szCs w:val="44"/>
                <w:lang w:val="ru-RU"/>
              </w:rPr>
            </w:pPr>
            <w:r w:rsidRPr="00BD284A">
              <w:rPr>
                <w:rFonts w:ascii="Univers" w:hAnsi="Univers" w:hint="eastAsia"/>
                <w:b/>
                <w:sz w:val="48"/>
                <w:szCs w:val="44"/>
              </w:rPr>
              <w:t>联</w:t>
            </w:r>
            <w:r w:rsidRPr="00BD284A">
              <w:rPr>
                <w:rFonts w:ascii="Univers" w:hAnsi="Univers"/>
                <w:b/>
                <w:sz w:val="44"/>
                <w:szCs w:val="44"/>
              </w:rPr>
              <w:t xml:space="preserve"> </w:t>
            </w:r>
            <w:r w:rsidRPr="00BD284A">
              <w:rPr>
                <w:rFonts w:ascii="Univers" w:hAnsi="Univers" w:hint="eastAsia"/>
                <w:b/>
                <w:sz w:val="44"/>
                <w:szCs w:val="44"/>
              </w:rPr>
              <w:t>合</w:t>
            </w:r>
            <w:r w:rsidRPr="00BD284A">
              <w:rPr>
                <w:rFonts w:ascii="Univers" w:hAnsi="Univers"/>
                <w:b/>
                <w:sz w:val="44"/>
                <w:szCs w:val="44"/>
              </w:rPr>
              <w:t xml:space="preserve"> </w:t>
            </w:r>
            <w:r w:rsidRPr="00BD284A">
              <w:rPr>
                <w:rFonts w:ascii="Univers" w:hAnsi="Univers" w:hint="eastAsia"/>
                <w:b/>
                <w:sz w:val="44"/>
                <w:szCs w:val="44"/>
              </w:rPr>
              <w:t>国</w:t>
            </w:r>
          </w:p>
          <w:p w14:paraId="35DACF03" w14:textId="77777777" w:rsidR="00C43F0E" w:rsidRPr="00BD284A" w:rsidRDefault="00C43F0E" w:rsidP="00C43F0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8"/>
                <w:szCs w:val="32"/>
              </w:rPr>
            </w:pPr>
            <w:r w:rsidRPr="00BD284A">
              <w:rPr>
                <w:rFonts w:ascii="Univers" w:hAnsi="Univers" w:hint="eastAsia"/>
                <w:b/>
                <w:sz w:val="44"/>
                <w:szCs w:val="44"/>
              </w:rPr>
              <w:t>环</w:t>
            </w:r>
            <w:r w:rsidRPr="00BD284A">
              <w:rPr>
                <w:rFonts w:ascii="Univers" w:hAnsi="Univers"/>
                <w:b/>
                <w:sz w:val="44"/>
                <w:szCs w:val="44"/>
                <w:lang w:val="ru-RU"/>
              </w:rPr>
              <w:t xml:space="preserve"> </w:t>
            </w:r>
            <w:r w:rsidRPr="00BD284A">
              <w:rPr>
                <w:rFonts w:ascii="Univers" w:hAnsi="Univers" w:hint="eastAsia"/>
                <w:b/>
                <w:sz w:val="44"/>
                <w:szCs w:val="44"/>
              </w:rPr>
              <w:t>境</w:t>
            </w:r>
            <w:r w:rsidRPr="00BD284A">
              <w:rPr>
                <w:rFonts w:ascii="Univers" w:hAnsi="Univers"/>
                <w:b/>
                <w:sz w:val="44"/>
                <w:szCs w:val="44"/>
                <w:lang w:val="ru-RU"/>
              </w:rPr>
              <w:t xml:space="preserve"> </w:t>
            </w:r>
            <w:r w:rsidRPr="00BD284A">
              <w:rPr>
                <w:rFonts w:ascii="Univers" w:hAnsi="Univers" w:hint="eastAsia"/>
                <w:b/>
                <w:sz w:val="44"/>
                <w:szCs w:val="44"/>
              </w:rPr>
              <w:t>规</w:t>
            </w:r>
            <w:r w:rsidRPr="00BD284A">
              <w:rPr>
                <w:rFonts w:ascii="Univers" w:hAnsi="Univers"/>
                <w:b/>
                <w:sz w:val="44"/>
                <w:szCs w:val="44"/>
                <w:lang w:val="ru-RU"/>
              </w:rPr>
              <w:t xml:space="preserve"> </w:t>
            </w:r>
            <w:r w:rsidRPr="00BD284A">
              <w:rPr>
                <w:rFonts w:ascii="Univers" w:hAnsi="Univers" w:hint="eastAsia"/>
                <w:b/>
                <w:sz w:val="44"/>
                <w:szCs w:val="44"/>
              </w:rPr>
              <w:t>划</w:t>
            </w:r>
            <w:r w:rsidRPr="00BD284A">
              <w:rPr>
                <w:rFonts w:ascii="Univers" w:hAnsi="Univers"/>
                <w:b/>
                <w:sz w:val="44"/>
                <w:szCs w:val="44"/>
                <w:lang w:val="ru-RU"/>
              </w:rPr>
              <w:t xml:space="preserve"> </w:t>
            </w:r>
            <w:r w:rsidRPr="00BD284A">
              <w:rPr>
                <w:rFonts w:ascii="Univers" w:hAnsi="Univers" w:hint="eastAsia"/>
                <w:b/>
                <w:sz w:val="44"/>
                <w:szCs w:val="44"/>
              </w:rPr>
              <w:t>署</w:t>
            </w:r>
          </w:p>
          <w:p w14:paraId="6B098679" w14:textId="77777777" w:rsidR="00C15867" w:rsidRPr="00EE5B08" w:rsidRDefault="00C15867" w:rsidP="00E02DF4">
            <w:pPr>
              <w:spacing w:before="720"/>
              <w:ind w:left="158"/>
              <w:rPr>
                <w:lang w:val="en-CA"/>
              </w:rPr>
            </w:pPr>
          </w:p>
        </w:tc>
        <w:tc>
          <w:tcPr>
            <w:tcW w:w="4590" w:type="dxa"/>
            <w:tcBorders>
              <w:top w:val="nil"/>
              <w:left w:val="nil"/>
              <w:bottom w:val="single" w:sz="36" w:space="0" w:color="auto"/>
              <w:right w:val="nil"/>
            </w:tcBorders>
          </w:tcPr>
          <w:p w14:paraId="2FF68A03" w14:textId="77777777" w:rsidR="00BD284A" w:rsidRDefault="00BD284A" w:rsidP="00E02DF4">
            <w:pPr>
              <w:rPr>
                <w:lang w:val="en-CA"/>
              </w:rPr>
            </w:pPr>
          </w:p>
          <w:p w14:paraId="6778C4FE" w14:textId="2FBE3B52" w:rsidR="00C15867" w:rsidRPr="00EE5B08" w:rsidRDefault="00C15867" w:rsidP="00E02DF4">
            <w:pPr>
              <w:rPr>
                <w:lang w:val="en-CA"/>
              </w:rPr>
            </w:pPr>
            <w:r w:rsidRPr="00EE5B08">
              <w:rPr>
                <w:lang w:val="en-CA"/>
              </w:rPr>
              <w:t>Distr.</w:t>
            </w:r>
          </w:p>
          <w:p w14:paraId="1F2A39FD" w14:textId="77777777" w:rsidR="00923540" w:rsidRPr="00EE5B08" w:rsidRDefault="00923540" w:rsidP="00923540">
            <w:pPr>
              <w:rPr>
                <w:lang w:val="en-CA"/>
              </w:rPr>
            </w:pPr>
            <w:r w:rsidRPr="00EE5B08">
              <w:rPr>
                <w:lang w:val="en-CA"/>
              </w:rPr>
              <w:t>GENERAL</w:t>
            </w:r>
          </w:p>
          <w:p w14:paraId="31FF6019" w14:textId="77777777" w:rsidR="00C15867" w:rsidRPr="00EE5B08" w:rsidRDefault="00C15867" w:rsidP="00E02DF4">
            <w:pPr>
              <w:rPr>
                <w:lang w:val="en-CA"/>
              </w:rPr>
            </w:pPr>
          </w:p>
          <w:p w14:paraId="52520598" w14:textId="03886DB6" w:rsidR="00C15867" w:rsidRPr="00EE5B08" w:rsidRDefault="00075E40" w:rsidP="00E02DF4">
            <w:pPr>
              <w:rPr>
                <w:lang w:val="en-CA"/>
              </w:rPr>
            </w:pPr>
            <w:r w:rsidRPr="00EE5B08">
              <w:rPr>
                <w:lang w:val="en-CA"/>
              </w:rPr>
              <w:fldChar w:fldCharType="begin"/>
            </w:r>
            <w:r w:rsidRPr="00EE5B08">
              <w:rPr>
                <w:lang w:val="en-CA"/>
              </w:rPr>
              <w:instrText xml:space="preserve"> DOCPROPERTY "Document number"  \* MERGEFORMAT </w:instrText>
            </w:r>
            <w:r w:rsidRPr="00EE5B08">
              <w:rPr>
                <w:lang w:val="en-CA"/>
              </w:rPr>
              <w:fldChar w:fldCharType="separate"/>
            </w:r>
            <w:r w:rsidR="00A91F87">
              <w:rPr>
                <w:lang w:val="en-CA"/>
              </w:rPr>
              <w:t>UNEP/</w:t>
            </w:r>
            <w:proofErr w:type="spellStart"/>
            <w:r w:rsidR="00A91F87">
              <w:rPr>
                <w:lang w:val="en-CA"/>
              </w:rPr>
              <w:t>OzL.Pro</w:t>
            </w:r>
            <w:proofErr w:type="spellEnd"/>
            <w:r w:rsidR="00A91F87">
              <w:rPr>
                <w:lang w:val="en-CA"/>
              </w:rPr>
              <w:t>/</w:t>
            </w:r>
            <w:proofErr w:type="spellStart"/>
            <w:r w:rsidR="00A91F87">
              <w:rPr>
                <w:lang w:val="en-CA"/>
              </w:rPr>
              <w:t>ExCom</w:t>
            </w:r>
            <w:proofErr w:type="spellEnd"/>
            <w:r w:rsidR="00A91F87">
              <w:rPr>
                <w:lang w:val="en-CA"/>
              </w:rPr>
              <w:t>/86/95</w:t>
            </w:r>
            <w:r w:rsidRPr="00EE5B08">
              <w:rPr>
                <w:lang w:val="en-CA"/>
              </w:rPr>
              <w:fldChar w:fldCharType="end"/>
            </w:r>
          </w:p>
          <w:p w14:paraId="2FAD84A4" w14:textId="4CB0F490" w:rsidR="00C15867" w:rsidRPr="00EE5B08" w:rsidRDefault="00BC2495" w:rsidP="00E02DF4">
            <w:pPr>
              <w:rPr>
                <w:lang w:val="en-CA"/>
              </w:rPr>
            </w:pPr>
            <w:r w:rsidRPr="00EE5B08">
              <w:rPr>
                <w:lang w:val="en-CA"/>
              </w:rPr>
              <w:fldChar w:fldCharType="begin"/>
            </w:r>
            <w:r w:rsidR="00851352" w:rsidRPr="00EE5B08">
              <w:rPr>
                <w:lang w:val="en-CA"/>
              </w:rPr>
              <w:instrText xml:space="preserve"> DOCPROPERTY "Revision date" \@ "d MMMM YYYY"  \* MERGEFORMAT </w:instrText>
            </w:r>
            <w:r w:rsidRPr="00EE5B08">
              <w:rPr>
                <w:lang w:val="en-CA"/>
              </w:rPr>
              <w:fldChar w:fldCharType="separate"/>
            </w:r>
            <w:r w:rsidR="000D07F2">
              <w:rPr>
                <w:lang w:val="en-CA"/>
              </w:rPr>
              <w:t>26 January 2021</w:t>
            </w:r>
            <w:r w:rsidRPr="00EE5B08">
              <w:rPr>
                <w:lang w:val="en-CA"/>
              </w:rPr>
              <w:fldChar w:fldCharType="end"/>
            </w:r>
          </w:p>
          <w:p w14:paraId="2EC65B0D" w14:textId="5DAD1525" w:rsidR="00C15867" w:rsidRDefault="00C15867" w:rsidP="00E02DF4">
            <w:pPr>
              <w:rPr>
                <w:caps/>
                <w:lang w:val="en-CA"/>
              </w:rPr>
            </w:pPr>
          </w:p>
          <w:p w14:paraId="54112048" w14:textId="44CDAC66" w:rsidR="007C02F3" w:rsidRPr="00EE5B08" w:rsidRDefault="007C02F3" w:rsidP="00E02DF4">
            <w:pPr>
              <w:rPr>
                <w:caps/>
                <w:lang w:val="en-CA"/>
              </w:rPr>
            </w:pPr>
            <w:r>
              <w:rPr>
                <w:caps/>
                <w:lang w:val="en-CA"/>
              </w:rPr>
              <w:t>CHINESE</w:t>
            </w:r>
          </w:p>
          <w:p w14:paraId="0A9FC28A" w14:textId="2A32C4F6" w:rsidR="00C15867" w:rsidRPr="00EE5B08" w:rsidRDefault="00C15867" w:rsidP="00E02DF4">
            <w:pPr>
              <w:rPr>
                <w:lang w:val="en-CA"/>
              </w:rPr>
            </w:pPr>
            <w:r w:rsidRPr="00EE5B08">
              <w:rPr>
                <w:lang w:val="en-CA"/>
              </w:rPr>
              <w:t>ORIGINAL: ENGLISH</w:t>
            </w:r>
          </w:p>
        </w:tc>
      </w:tr>
    </w:tbl>
    <w:p w14:paraId="4B7A930F" w14:textId="77777777" w:rsidR="00C43F0E" w:rsidRPr="00C43F0E" w:rsidRDefault="00C43F0E" w:rsidP="00C43F0E">
      <w:pPr>
        <w:jc w:val="left"/>
        <w:rPr>
          <w:lang w:val="en-US"/>
        </w:rPr>
      </w:pPr>
      <w:proofErr w:type="spellStart"/>
      <w:r w:rsidRPr="00C43F0E">
        <w:rPr>
          <w:rFonts w:hint="eastAsia"/>
          <w:lang w:val="en-US"/>
        </w:rPr>
        <w:t>执行蒙特利尔议定书</w:t>
      </w:r>
      <w:proofErr w:type="spellEnd"/>
    </w:p>
    <w:p w14:paraId="38688C0E" w14:textId="77777777" w:rsidR="00C43F0E" w:rsidRPr="00C43F0E" w:rsidRDefault="00C43F0E" w:rsidP="00C43F0E">
      <w:pPr>
        <w:jc w:val="left"/>
        <w:rPr>
          <w:lang w:val="en-US"/>
        </w:rPr>
      </w:pPr>
      <w:r w:rsidRPr="00C43F0E">
        <w:rPr>
          <w:lang w:val="en-CA"/>
        </w:rPr>
        <w:t xml:space="preserve">  </w:t>
      </w:r>
      <w:proofErr w:type="spellStart"/>
      <w:r w:rsidRPr="00C43F0E">
        <w:rPr>
          <w:rFonts w:hint="eastAsia"/>
          <w:lang w:val="en-US"/>
        </w:rPr>
        <w:t>多边基金执行委员会</w:t>
      </w:r>
      <w:proofErr w:type="spellEnd"/>
      <w:r w:rsidRPr="00C43F0E">
        <w:rPr>
          <w:lang w:val="en-US"/>
        </w:rPr>
        <w:tab/>
      </w:r>
    </w:p>
    <w:p w14:paraId="1DD1B441" w14:textId="306F87B9" w:rsidR="00C43F0E" w:rsidRPr="00C43F0E" w:rsidRDefault="00C43F0E" w:rsidP="00C43F0E">
      <w:pPr>
        <w:jc w:val="left"/>
        <w:rPr>
          <w:lang w:val="en-CA"/>
        </w:rPr>
      </w:pPr>
      <w:proofErr w:type="spellStart"/>
      <w:r w:rsidRPr="00C43F0E">
        <w:rPr>
          <w:rFonts w:hint="eastAsia"/>
          <w:lang w:val="en-CA"/>
        </w:rPr>
        <w:t>第八十</w:t>
      </w:r>
      <w:r>
        <w:rPr>
          <w:rFonts w:hint="eastAsia"/>
          <w:lang w:val="en-CA"/>
        </w:rPr>
        <w:t>六</w:t>
      </w:r>
      <w:r w:rsidRPr="00C43F0E">
        <w:rPr>
          <w:lang w:val="en-CA"/>
        </w:rPr>
        <w:t>次会议</w:t>
      </w:r>
      <w:proofErr w:type="spellEnd"/>
    </w:p>
    <w:p w14:paraId="58F461B0" w14:textId="420196E8" w:rsidR="00704CE9" w:rsidRPr="006B5E13" w:rsidRDefault="00C43F0E" w:rsidP="003B6AEA">
      <w:pPr>
        <w:jc w:val="left"/>
        <w:rPr>
          <w:lang w:val="en-CA"/>
        </w:rPr>
      </w:pPr>
      <w:r>
        <w:rPr>
          <w:rFonts w:hint="eastAsia"/>
          <w:lang w:val="en-CA" w:eastAsia="zh-CN"/>
        </w:rPr>
        <w:t>2020</w:t>
      </w:r>
      <w:r>
        <w:rPr>
          <w:rFonts w:hint="eastAsia"/>
          <w:lang w:val="en-CA" w:eastAsia="zh-CN"/>
        </w:rPr>
        <w:t>年</w:t>
      </w:r>
      <w:r>
        <w:rPr>
          <w:rFonts w:hint="eastAsia"/>
          <w:lang w:val="en-CA" w:eastAsia="zh-CN"/>
        </w:rPr>
        <w:t>11</w:t>
      </w:r>
      <w:r>
        <w:rPr>
          <w:rFonts w:hint="eastAsia"/>
          <w:lang w:val="en-CA" w:eastAsia="zh-CN"/>
        </w:rPr>
        <w:t>月</w:t>
      </w:r>
      <w:r>
        <w:rPr>
          <w:rFonts w:hint="eastAsia"/>
          <w:lang w:val="en-CA" w:eastAsia="zh-CN"/>
        </w:rPr>
        <w:t>2</w:t>
      </w:r>
      <w:r>
        <w:rPr>
          <w:rFonts w:hint="eastAsia"/>
          <w:lang w:val="en-CA" w:eastAsia="zh-CN"/>
        </w:rPr>
        <w:t>日至</w:t>
      </w:r>
      <w:r>
        <w:rPr>
          <w:rFonts w:hint="eastAsia"/>
          <w:lang w:val="en-CA" w:eastAsia="zh-CN"/>
        </w:rPr>
        <w:t>6</w:t>
      </w:r>
      <w:r>
        <w:rPr>
          <w:rFonts w:hint="eastAsia"/>
          <w:lang w:val="en-CA" w:eastAsia="zh-CN"/>
        </w:rPr>
        <w:t>日</w:t>
      </w:r>
      <w:r w:rsidR="008F3163">
        <w:rPr>
          <w:rFonts w:hint="eastAsia"/>
          <w:lang w:val="en-CA" w:eastAsia="zh-CN"/>
        </w:rPr>
        <w:t>，蒙特利尔</w:t>
      </w:r>
    </w:p>
    <w:p w14:paraId="12757C0D" w14:textId="44CB9B85" w:rsidR="007600A7" w:rsidRPr="006B5E13" w:rsidRDefault="008F3163" w:rsidP="003B6AEA">
      <w:pPr>
        <w:jc w:val="left"/>
        <w:rPr>
          <w:lang w:val="en-CA"/>
        </w:rPr>
      </w:pPr>
      <w:r>
        <w:rPr>
          <w:rFonts w:hint="eastAsia"/>
          <w:lang w:val="en-CA" w:eastAsia="zh-CN"/>
        </w:rPr>
        <w:t>推迟至</w:t>
      </w:r>
      <w:r w:rsidR="00C43F0E">
        <w:rPr>
          <w:rFonts w:hint="eastAsia"/>
          <w:lang w:val="en-CA" w:eastAsia="zh-CN"/>
        </w:rPr>
        <w:t>2021</w:t>
      </w:r>
      <w:r w:rsidR="00C43F0E">
        <w:rPr>
          <w:rFonts w:hint="eastAsia"/>
          <w:lang w:val="en-CA" w:eastAsia="zh-CN"/>
        </w:rPr>
        <w:t>年</w:t>
      </w:r>
      <w:r w:rsidR="00C43F0E">
        <w:rPr>
          <w:rFonts w:hint="eastAsia"/>
          <w:lang w:val="en-CA" w:eastAsia="zh-CN"/>
        </w:rPr>
        <w:t>3</w:t>
      </w:r>
      <w:r w:rsidR="00C43F0E">
        <w:rPr>
          <w:rFonts w:hint="eastAsia"/>
          <w:lang w:val="en-CA" w:eastAsia="zh-CN"/>
        </w:rPr>
        <w:t>月</w:t>
      </w:r>
      <w:r w:rsidR="00C43F0E">
        <w:rPr>
          <w:rFonts w:hint="eastAsia"/>
          <w:lang w:val="en-CA" w:eastAsia="zh-CN"/>
        </w:rPr>
        <w:t>8</w:t>
      </w:r>
      <w:r w:rsidR="00C43F0E">
        <w:rPr>
          <w:rFonts w:hint="eastAsia"/>
          <w:lang w:val="en-CA" w:eastAsia="zh-CN"/>
        </w:rPr>
        <w:t>日至</w:t>
      </w:r>
      <w:r w:rsidR="00C43F0E">
        <w:rPr>
          <w:rFonts w:hint="eastAsia"/>
          <w:lang w:val="en-CA" w:eastAsia="zh-CN"/>
        </w:rPr>
        <w:t>12</w:t>
      </w:r>
      <w:r w:rsidR="00C43F0E">
        <w:rPr>
          <w:rFonts w:hint="eastAsia"/>
          <w:lang w:val="en-CA" w:eastAsia="zh-CN"/>
        </w:rPr>
        <w:t>日</w:t>
      </w:r>
      <w:r w:rsidR="007600A7" w:rsidRPr="006B5E13">
        <w:rPr>
          <w:rStyle w:val="FootnoteReference"/>
          <w:lang w:val="en-CA"/>
        </w:rPr>
        <w:footnoteReference w:id="1"/>
      </w:r>
    </w:p>
    <w:p w14:paraId="6716DFFA" w14:textId="739B5DFF" w:rsidR="00E9270B" w:rsidRPr="006B5E13" w:rsidRDefault="00E9270B" w:rsidP="003B6AEA">
      <w:pPr>
        <w:jc w:val="left"/>
        <w:rPr>
          <w:lang w:val="en-CA"/>
        </w:rPr>
      </w:pPr>
    </w:p>
    <w:p w14:paraId="2A71FA39" w14:textId="21C99EC2" w:rsidR="00E9270B" w:rsidRDefault="00E9270B" w:rsidP="003B6AEA">
      <w:pPr>
        <w:jc w:val="left"/>
        <w:rPr>
          <w:lang w:val="en-CA"/>
        </w:rPr>
      </w:pPr>
    </w:p>
    <w:p w14:paraId="4EDC402F" w14:textId="77777777" w:rsidR="00E13C14" w:rsidRPr="006B5E13" w:rsidRDefault="00E13C14" w:rsidP="003B6AEA">
      <w:pPr>
        <w:jc w:val="left"/>
        <w:rPr>
          <w:lang w:val="en-CA"/>
        </w:rPr>
      </w:pPr>
    </w:p>
    <w:p w14:paraId="2CE5D163" w14:textId="405C8E9F" w:rsidR="00E9270B" w:rsidRPr="007C02F3" w:rsidRDefault="007E322E" w:rsidP="003B6AEA">
      <w:pPr>
        <w:jc w:val="center"/>
        <w:rPr>
          <w:b/>
          <w:lang w:val="en-CA"/>
        </w:rPr>
      </w:pPr>
      <w:r w:rsidRPr="007C02F3">
        <w:rPr>
          <w:rFonts w:hint="eastAsia"/>
          <w:b/>
          <w:lang w:val="en-CA" w:eastAsia="zh-CN"/>
        </w:rPr>
        <w:t>与</w:t>
      </w:r>
      <w:r w:rsidR="00B67028" w:rsidRPr="007C02F3">
        <w:rPr>
          <w:rFonts w:hint="eastAsia"/>
          <w:b/>
          <w:lang w:val="en-CA" w:eastAsia="zh-CN"/>
        </w:rPr>
        <w:t>副产品</w:t>
      </w:r>
      <w:r w:rsidR="00D313D0" w:rsidRPr="007C02F3">
        <w:rPr>
          <w:b/>
          <w:lang w:val="en-CA" w:eastAsia="zh-CN"/>
        </w:rPr>
        <w:t>三氟甲烷（</w:t>
      </w:r>
      <w:r w:rsidR="00D313D0" w:rsidRPr="007C02F3">
        <w:rPr>
          <w:b/>
          <w:lang w:val="en-CA" w:eastAsia="zh-CN"/>
        </w:rPr>
        <w:t>HFC-23</w:t>
      </w:r>
      <w:r w:rsidR="00D313D0" w:rsidRPr="007C02F3">
        <w:rPr>
          <w:b/>
          <w:lang w:val="en-CA" w:eastAsia="zh-CN"/>
        </w:rPr>
        <w:t>）</w:t>
      </w:r>
      <w:r w:rsidRPr="007C02F3">
        <w:rPr>
          <w:rFonts w:hint="eastAsia"/>
          <w:b/>
          <w:lang w:val="en-CA" w:eastAsia="zh-CN"/>
        </w:rPr>
        <w:t>控制技术相关的关键</w:t>
      </w:r>
      <w:r w:rsidR="00D313D0" w:rsidRPr="007C02F3">
        <w:rPr>
          <w:rFonts w:hint="eastAsia"/>
          <w:b/>
          <w:color w:val="000000" w:themeColor="text1"/>
          <w:lang w:val="en-CA" w:eastAsia="zh-CN"/>
        </w:rPr>
        <w:t>问题</w:t>
      </w:r>
      <w:r w:rsidRPr="007C02F3">
        <w:rPr>
          <w:rFonts w:hint="eastAsia"/>
          <w:b/>
          <w:lang w:val="en-CA" w:eastAsia="zh-CN"/>
        </w:rPr>
        <w:t>（第</w:t>
      </w:r>
      <w:r w:rsidRPr="007C02F3">
        <w:rPr>
          <w:rFonts w:hint="eastAsia"/>
          <w:b/>
          <w:lang w:val="en-CA" w:eastAsia="zh-CN"/>
        </w:rPr>
        <w:t>84/90</w:t>
      </w:r>
      <w:r w:rsidRPr="007C02F3">
        <w:rPr>
          <w:rFonts w:hint="eastAsia"/>
          <w:b/>
          <w:lang w:val="en-CA" w:eastAsia="zh-CN"/>
        </w:rPr>
        <w:t>号决定）</w:t>
      </w:r>
    </w:p>
    <w:p w14:paraId="734B0F32" w14:textId="198FC9AF" w:rsidR="009F35FE" w:rsidRPr="007A1444" w:rsidRDefault="009F35FE" w:rsidP="003B6AEA">
      <w:pPr>
        <w:jc w:val="center"/>
        <w:rPr>
          <w:b/>
          <w:highlight w:val="cyan"/>
          <w:lang w:val="en-CA"/>
        </w:rPr>
      </w:pPr>
    </w:p>
    <w:p w14:paraId="695A2EDF" w14:textId="03C8741D" w:rsidR="00E9270B" w:rsidRPr="00CF024D" w:rsidRDefault="007E322E" w:rsidP="003B6AEA">
      <w:pPr>
        <w:rPr>
          <w:u w:val="single"/>
          <w:lang w:val="en-CA"/>
        </w:rPr>
      </w:pPr>
      <w:r w:rsidRPr="00CF024D">
        <w:rPr>
          <w:rFonts w:hint="eastAsia"/>
          <w:u w:val="single"/>
          <w:lang w:val="en-CA" w:eastAsia="zh-CN"/>
        </w:rPr>
        <w:t>背景</w:t>
      </w:r>
    </w:p>
    <w:p w14:paraId="43C50424" w14:textId="77777777" w:rsidR="00E9270B" w:rsidRPr="00CF024D" w:rsidRDefault="00E9270B" w:rsidP="003B6AEA">
      <w:pPr>
        <w:rPr>
          <w:lang w:val="en-CA"/>
        </w:rPr>
      </w:pPr>
    </w:p>
    <w:p w14:paraId="45DA0D25" w14:textId="0240D4D2" w:rsidR="00FE4DE9" w:rsidRPr="00CF024D" w:rsidRDefault="00FA1693" w:rsidP="00FE4DE9">
      <w:pPr>
        <w:pStyle w:val="Heading1"/>
        <w:rPr>
          <w:lang w:val="en-CA"/>
        </w:rPr>
      </w:pPr>
      <w:r w:rsidRPr="00CF024D">
        <w:rPr>
          <w:rFonts w:hint="eastAsia"/>
          <w:lang w:val="en-CA" w:eastAsia="zh-CN"/>
        </w:rPr>
        <w:t>在第八十三次会议上，执行委员会审议</w:t>
      </w:r>
      <w:r w:rsidR="00D31FB6" w:rsidRPr="00CF024D">
        <w:rPr>
          <w:rFonts w:hint="eastAsia"/>
          <w:lang w:val="en-CA" w:eastAsia="zh-CN"/>
        </w:rPr>
        <w:t>了</w:t>
      </w:r>
      <w:r w:rsidR="00B21B29" w:rsidRPr="00CF024D">
        <w:rPr>
          <w:rFonts w:hint="eastAsia"/>
          <w:lang w:val="en-CA" w:eastAsia="zh-CN"/>
        </w:rPr>
        <w:t>在</w:t>
      </w:r>
      <w:proofErr w:type="spellStart"/>
      <w:r w:rsidR="00B21B29" w:rsidRPr="00CF024D">
        <w:rPr>
          <w:lang w:val="en-CA"/>
        </w:rPr>
        <w:t>Frio</w:t>
      </w:r>
      <w:proofErr w:type="spellEnd"/>
      <w:r w:rsidR="00B21B29" w:rsidRPr="00CF024D">
        <w:rPr>
          <w:lang w:val="en-CA"/>
        </w:rPr>
        <w:t xml:space="preserve"> </w:t>
      </w:r>
      <w:proofErr w:type="spellStart"/>
      <w:r w:rsidR="00B21B29" w:rsidRPr="00CF024D">
        <w:rPr>
          <w:lang w:val="en-CA"/>
        </w:rPr>
        <w:t>Industrias</w:t>
      </w:r>
      <w:proofErr w:type="spellEnd"/>
      <w:r w:rsidR="00B21B29" w:rsidRPr="00CF024D">
        <w:rPr>
          <w:lang w:val="en-CA"/>
        </w:rPr>
        <w:t xml:space="preserve"> </w:t>
      </w:r>
      <w:proofErr w:type="spellStart"/>
      <w:r w:rsidR="00B21B29" w:rsidRPr="00CF024D">
        <w:rPr>
          <w:lang w:val="en-CA"/>
        </w:rPr>
        <w:t>Argentinas</w:t>
      </w:r>
      <w:proofErr w:type="spellEnd"/>
      <w:r w:rsidR="00B21B29" w:rsidRPr="00CF024D">
        <w:rPr>
          <w:rFonts w:hint="eastAsia"/>
          <w:lang w:val="en-CA" w:eastAsia="zh-CN"/>
        </w:rPr>
        <w:t>公司（</w:t>
      </w:r>
      <w:r w:rsidR="00B21B29" w:rsidRPr="00CF024D">
        <w:rPr>
          <w:lang w:val="en-CA"/>
        </w:rPr>
        <w:t>FIASA</w:t>
      </w:r>
      <w:r w:rsidR="00B21B29" w:rsidRPr="00CF024D">
        <w:rPr>
          <w:lang w:val="en-CA"/>
        </w:rPr>
        <w:t>）</w:t>
      </w:r>
      <w:proofErr w:type="spellStart"/>
      <w:r w:rsidR="00B21B29" w:rsidRPr="00CF024D">
        <w:rPr>
          <w:rFonts w:hint="eastAsia"/>
          <w:lang w:val="en-CA"/>
        </w:rPr>
        <w:t>控制和逐步淘汰</w:t>
      </w:r>
      <w:proofErr w:type="spellEnd"/>
      <w:r w:rsidR="00D313D0" w:rsidRPr="00CF024D">
        <w:rPr>
          <w:lang w:val="en-CA"/>
        </w:rPr>
        <w:t>HFC-23</w:t>
      </w:r>
      <w:r w:rsidR="00656520" w:rsidRPr="00CF024D">
        <w:rPr>
          <w:rFonts w:hint="eastAsia"/>
          <w:lang w:val="en-CA" w:eastAsia="zh-CN"/>
        </w:rPr>
        <w:t>排放项目提案</w:t>
      </w:r>
      <w:r w:rsidR="00C31ECB" w:rsidRPr="00CF024D">
        <w:rPr>
          <w:rFonts w:hint="eastAsia"/>
          <w:lang w:val="en-CA" w:eastAsia="zh-CN"/>
        </w:rPr>
        <w:t>的</w:t>
      </w:r>
      <w:r w:rsidR="00C31ECB" w:rsidRPr="00CF024D">
        <w:rPr>
          <w:lang w:val="en-CA" w:eastAsia="zh-CN"/>
        </w:rPr>
        <w:t>备选方案</w:t>
      </w:r>
      <w:r w:rsidR="00656520" w:rsidRPr="00CF024D">
        <w:rPr>
          <w:rFonts w:hint="eastAsia"/>
          <w:lang w:val="en-CA" w:eastAsia="zh-CN"/>
        </w:rPr>
        <w:t>，按照之前提交</w:t>
      </w:r>
      <w:r w:rsidR="00656520" w:rsidRPr="00CF024D">
        <w:rPr>
          <w:rStyle w:val="FootnoteReference"/>
          <w:lang w:val="en-CA"/>
        </w:rPr>
        <w:footnoteReference w:id="2"/>
      </w:r>
      <w:r w:rsidR="00656520" w:rsidRPr="00CF024D">
        <w:t>‬</w:t>
      </w:r>
      <w:r w:rsidR="00656520" w:rsidRPr="00CF024D">
        <w:rPr>
          <w:rFonts w:hint="eastAsia"/>
          <w:lang w:val="en-CA" w:eastAsia="zh-CN"/>
        </w:rPr>
        <w:t>，总成本在</w:t>
      </w:r>
      <w:r w:rsidR="00656520" w:rsidRPr="00CF024D">
        <w:rPr>
          <w:lang w:val="en-CA"/>
        </w:rPr>
        <w:t>10,867,000</w:t>
      </w:r>
      <w:r w:rsidR="00656520" w:rsidRPr="00CF024D">
        <w:rPr>
          <w:rFonts w:hint="eastAsia"/>
          <w:lang w:val="en-CA" w:eastAsia="zh-CN"/>
        </w:rPr>
        <w:t>美元附加机构支助费用</w:t>
      </w:r>
      <w:r w:rsidR="00656520" w:rsidRPr="00CF024D">
        <w:rPr>
          <w:lang w:val="en-CA"/>
        </w:rPr>
        <w:t>760,690</w:t>
      </w:r>
      <w:r w:rsidR="00656520" w:rsidRPr="00CF024D">
        <w:rPr>
          <w:rFonts w:hint="eastAsia"/>
          <w:lang w:val="en-CA" w:eastAsia="zh-CN"/>
        </w:rPr>
        <w:t>美元与</w:t>
      </w:r>
      <w:r w:rsidR="00656520" w:rsidRPr="00CF024D">
        <w:rPr>
          <w:lang w:val="en-CA"/>
        </w:rPr>
        <w:t>59,667,000</w:t>
      </w:r>
      <w:r w:rsidR="00656520" w:rsidRPr="00CF024D">
        <w:rPr>
          <w:rFonts w:hint="eastAsia"/>
          <w:lang w:val="en-CA" w:eastAsia="zh-CN"/>
        </w:rPr>
        <w:t>美元附加机构支助费用</w:t>
      </w:r>
      <w:r w:rsidR="00656520" w:rsidRPr="00CF024D">
        <w:rPr>
          <w:lang w:val="en-CA"/>
        </w:rPr>
        <w:t>4,176,690</w:t>
      </w:r>
      <w:r w:rsidR="00656520" w:rsidRPr="00CF024D">
        <w:rPr>
          <w:rFonts w:hint="eastAsia"/>
          <w:lang w:val="en-CA" w:eastAsia="zh-CN"/>
        </w:rPr>
        <w:t>美元之间。在全体大会和联络组商议之后，执行委员会</w:t>
      </w:r>
      <w:r w:rsidRPr="00CF024D">
        <w:rPr>
          <w:rFonts w:hint="eastAsia"/>
          <w:lang w:val="en-CA" w:eastAsia="zh-CN"/>
        </w:rPr>
        <w:t>将项目提案的进一步审议</w:t>
      </w:r>
      <w:r w:rsidR="007635DA" w:rsidRPr="00CF024D">
        <w:rPr>
          <w:rFonts w:hint="eastAsia"/>
          <w:lang w:val="en-CA" w:eastAsia="zh-CN"/>
        </w:rPr>
        <w:t>推迟到第八十四次会议</w:t>
      </w:r>
      <w:r w:rsidR="00AC7854" w:rsidRPr="00CF024D">
        <w:rPr>
          <w:rFonts w:hint="eastAsia"/>
          <w:lang w:val="en-CA" w:eastAsia="zh-CN"/>
        </w:rPr>
        <w:t>（第</w:t>
      </w:r>
      <w:r w:rsidR="00AC3F5D" w:rsidRPr="00CF024D">
        <w:rPr>
          <w:lang w:val="en-CA"/>
        </w:rPr>
        <w:t>83/66(b)</w:t>
      </w:r>
      <w:r w:rsidR="00AC3F5D" w:rsidRPr="00CF024D">
        <w:rPr>
          <w:rFonts w:hint="eastAsia"/>
          <w:lang w:val="en-CA" w:eastAsia="zh-CN"/>
        </w:rPr>
        <w:t>号决定）。</w:t>
      </w:r>
      <w:r w:rsidR="00CF5D1B" w:rsidRPr="00CF024D">
        <w:rPr>
          <w:lang w:val="en-CA"/>
        </w:rPr>
        <w:t>‬</w:t>
      </w:r>
    </w:p>
    <w:p w14:paraId="1B8E4651" w14:textId="57C6A82F" w:rsidR="007600A7" w:rsidRPr="00CF024D" w:rsidRDefault="00AC7854" w:rsidP="00701F10">
      <w:pPr>
        <w:pStyle w:val="Heading1"/>
        <w:tabs>
          <w:tab w:val="clear" w:pos="0"/>
          <w:tab w:val="num" w:pos="-1620"/>
        </w:tabs>
        <w:rPr>
          <w:lang w:val="en-CA"/>
        </w:rPr>
      </w:pPr>
      <w:proofErr w:type="spellStart"/>
      <w:r w:rsidRPr="00CF024D">
        <w:rPr>
          <w:rFonts w:hint="eastAsia"/>
          <w:lang w:val="en-CA"/>
        </w:rPr>
        <w:t>在第八十四</w:t>
      </w:r>
      <w:r w:rsidR="006C6E7F" w:rsidRPr="00CF024D">
        <w:rPr>
          <w:rFonts w:hint="eastAsia"/>
          <w:lang w:val="en-CA"/>
        </w:rPr>
        <w:t>次会议上，执行委员会审议</w:t>
      </w:r>
      <w:r w:rsidRPr="00CF024D">
        <w:rPr>
          <w:rFonts w:hint="eastAsia"/>
          <w:lang w:val="en-CA"/>
        </w:rPr>
        <w:t>了在</w:t>
      </w:r>
      <w:proofErr w:type="spellEnd"/>
      <w:r w:rsidR="006B478E" w:rsidRPr="00CF024D">
        <w:rPr>
          <w:lang w:val="en-CA"/>
        </w:rPr>
        <w:t>FIASA</w:t>
      </w:r>
      <w:proofErr w:type="spellStart"/>
      <w:r w:rsidR="006B478E" w:rsidRPr="00CF024D">
        <w:rPr>
          <w:lang w:val="en-CA"/>
        </w:rPr>
        <w:t>工厂</w:t>
      </w:r>
      <w:r w:rsidRPr="00CF024D">
        <w:rPr>
          <w:rFonts w:hint="eastAsia"/>
          <w:lang w:val="en-CA"/>
        </w:rPr>
        <w:t>控制和逐步淘汰</w:t>
      </w:r>
      <w:proofErr w:type="spellEnd"/>
      <w:r w:rsidR="00B67028" w:rsidRPr="00CF024D">
        <w:rPr>
          <w:rFonts w:hint="eastAsia"/>
          <w:lang w:val="en-CA" w:eastAsia="zh-CN"/>
        </w:rPr>
        <w:t>副产品</w:t>
      </w:r>
      <w:r w:rsidRPr="00CF024D">
        <w:rPr>
          <w:rFonts w:hint="eastAsia"/>
          <w:lang w:val="en-CA"/>
        </w:rPr>
        <w:t>HFC-23</w:t>
      </w:r>
      <w:proofErr w:type="spellStart"/>
      <w:r w:rsidRPr="00CF024D">
        <w:rPr>
          <w:rFonts w:hint="eastAsia"/>
          <w:lang w:val="en-CA"/>
        </w:rPr>
        <w:t>排放的项目提案，按照之前提交</w:t>
      </w:r>
      <w:r w:rsidR="00783A9D" w:rsidRPr="00CF024D">
        <w:rPr>
          <w:rFonts w:hint="eastAsia"/>
          <w:lang w:val="en-CA"/>
        </w:rPr>
        <w:t>并依照第</w:t>
      </w:r>
      <w:proofErr w:type="spellEnd"/>
      <w:r w:rsidR="00783A9D" w:rsidRPr="00CF024D">
        <w:rPr>
          <w:lang w:val="en-CA"/>
        </w:rPr>
        <w:t>83/66(b)</w:t>
      </w:r>
      <w:r w:rsidR="00783A9D" w:rsidRPr="00CF024D">
        <w:rPr>
          <w:rFonts w:hint="eastAsia"/>
          <w:lang w:val="en-CA" w:eastAsia="zh-CN"/>
        </w:rPr>
        <w:t>号决定</w:t>
      </w:r>
      <w:r w:rsidRPr="00CF024D">
        <w:rPr>
          <w:rFonts w:hint="eastAsia"/>
          <w:lang w:val="en-CA"/>
        </w:rPr>
        <w:t>，</w:t>
      </w:r>
      <w:proofErr w:type="spellStart"/>
      <w:r w:rsidRPr="00CF024D">
        <w:rPr>
          <w:rFonts w:hint="eastAsia"/>
          <w:lang w:val="en-CA"/>
        </w:rPr>
        <w:t>总成本在</w:t>
      </w:r>
      <w:proofErr w:type="spellEnd"/>
      <w:r w:rsidRPr="00CF024D">
        <w:rPr>
          <w:lang w:val="en-CA"/>
        </w:rPr>
        <w:t>10,867,000</w:t>
      </w:r>
      <w:proofErr w:type="spellStart"/>
      <w:r w:rsidRPr="00CF024D">
        <w:rPr>
          <w:rFonts w:hint="eastAsia"/>
          <w:lang w:val="en-CA"/>
        </w:rPr>
        <w:t>美元与</w:t>
      </w:r>
      <w:proofErr w:type="spellEnd"/>
      <w:r w:rsidRPr="00CF024D">
        <w:rPr>
          <w:lang w:val="en-CA"/>
        </w:rPr>
        <w:t>59,667,000</w:t>
      </w:r>
      <w:proofErr w:type="spellStart"/>
      <w:r w:rsidRPr="00CF024D">
        <w:rPr>
          <w:rFonts w:hint="eastAsia"/>
          <w:lang w:val="en-CA"/>
        </w:rPr>
        <w:t>美元之间</w:t>
      </w:r>
      <w:r w:rsidR="00783A9D" w:rsidRPr="00CF024D">
        <w:rPr>
          <w:rFonts w:hint="eastAsia"/>
          <w:lang w:val="en-CA"/>
        </w:rPr>
        <w:t>，附加机构支助费用</w:t>
      </w:r>
      <w:proofErr w:type="spellEnd"/>
      <w:r w:rsidR="00783A9D" w:rsidRPr="00CF024D">
        <w:rPr>
          <w:rStyle w:val="FootnoteReference"/>
          <w:lang w:val="en-CA"/>
        </w:rPr>
        <w:footnoteReference w:id="3"/>
      </w:r>
      <w:r w:rsidR="00783A9D" w:rsidRPr="00CF024D">
        <w:rPr>
          <w:rFonts w:hint="eastAsia"/>
          <w:lang w:val="en-CA"/>
        </w:rPr>
        <w:t>。</w:t>
      </w:r>
      <w:proofErr w:type="spellStart"/>
      <w:r w:rsidRPr="00CF024D">
        <w:rPr>
          <w:rFonts w:hint="eastAsia"/>
          <w:lang w:val="en-CA"/>
        </w:rPr>
        <w:t>商议之后，执行委员会</w:t>
      </w:r>
      <w:r w:rsidR="00783A9D" w:rsidRPr="00CF024D">
        <w:rPr>
          <w:rFonts w:hint="eastAsia"/>
          <w:lang w:val="en-CA"/>
        </w:rPr>
        <w:t>决定</w:t>
      </w:r>
      <w:r w:rsidRPr="00CF024D">
        <w:rPr>
          <w:rFonts w:hint="eastAsia"/>
          <w:lang w:val="en-CA"/>
        </w:rPr>
        <w:t>将</w:t>
      </w:r>
      <w:r w:rsidR="00783A9D" w:rsidRPr="00CF024D">
        <w:rPr>
          <w:rFonts w:hint="eastAsia"/>
          <w:lang w:val="en-CA"/>
        </w:rPr>
        <w:t>阿根廷控制</w:t>
      </w:r>
      <w:proofErr w:type="spellEnd"/>
      <w:r w:rsidR="00B67028" w:rsidRPr="00CF024D">
        <w:rPr>
          <w:rFonts w:hint="eastAsia"/>
          <w:lang w:val="en-CA" w:eastAsia="zh-CN"/>
        </w:rPr>
        <w:t>副产品</w:t>
      </w:r>
      <w:r w:rsidR="00783A9D" w:rsidRPr="00CF024D">
        <w:rPr>
          <w:rFonts w:hint="eastAsia"/>
          <w:lang w:val="en-CA"/>
        </w:rPr>
        <w:t>HFC-23</w:t>
      </w:r>
      <w:r w:rsidR="006C6E7F" w:rsidRPr="00CF024D">
        <w:rPr>
          <w:rFonts w:hint="eastAsia"/>
          <w:lang w:val="en-CA" w:eastAsia="zh-CN"/>
        </w:rPr>
        <w:t>排放的项目审议</w:t>
      </w:r>
      <w:r w:rsidR="00783A9D" w:rsidRPr="00CF024D">
        <w:rPr>
          <w:rFonts w:hint="eastAsia"/>
          <w:lang w:val="en-CA" w:eastAsia="zh-CN"/>
        </w:rPr>
        <w:t>推迟到</w:t>
      </w:r>
      <w:proofErr w:type="spellStart"/>
      <w:r w:rsidR="00783A9D" w:rsidRPr="00CF024D">
        <w:rPr>
          <w:rFonts w:hint="eastAsia"/>
          <w:lang w:val="en-CA"/>
        </w:rPr>
        <w:t>第八十五</w:t>
      </w:r>
      <w:r w:rsidRPr="00CF024D">
        <w:rPr>
          <w:rFonts w:hint="eastAsia"/>
          <w:lang w:val="en-CA"/>
        </w:rPr>
        <w:t>次会议（第</w:t>
      </w:r>
      <w:proofErr w:type="spellEnd"/>
      <w:r w:rsidR="00783A9D" w:rsidRPr="00CF024D">
        <w:rPr>
          <w:lang w:val="en-CA"/>
        </w:rPr>
        <w:t>84/</w:t>
      </w:r>
      <w:r w:rsidR="00783A9D" w:rsidRPr="00CF024D">
        <w:rPr>
          <w:rFonts w:hint="eastAsia"/>
          <w:lang w:val="en-CA" w:eastAsia="zh-CN"/>
        </w:rPr>
        <w:t>90</w:t>
      </w:r>
      <w:r w:rsidR="00783A9D" w:rsidRPr="00CF024D">
        <w:rPr>
          <w:lang w:val="en-CA"/>
        </w:rPr>
        <w:t>(</w:t>
      </w:r>
      <w:r w:rsidR="00783A9D" w:rsidRPr="00CF024D">
        <w:rPr>
          <w:rFonts w:hint="eastAsia"/>
          <w:lang w:val="en-CA" w:eastAsia="zh-CN"/>
        </w:rPr>
        <w:t>a</w:t>
      </w:r>
      <w:r w:rsidRPr="00CF024D">
        <w:rPr>
          <w:lang w:val="en-CA"/>
        </w:rPr>
        <w:t>)</w:t>
      </w:r>
      <w:proofErr w:type="spellStart"/>
      <w:r w:rsidRPr="00CF024D">
        <w:rPr>
          <w:rFonts w:hint="eastAsia"/>
          <w:lang w:val="en-CA"/>
        </w:rPr>
        <w:t>号决定</w:t>
      </w:r>
      <w:proofErr w:type="spellEnd"/>
      <w:r w:rsidRPr="00CF024D">
        <w:rPr>
          <w:rFonts w:hint="eastAsia"/>
          <w:lang w:val="en-CA"/>
        </w:rPr>
        <w:t>）</w:t>
      </w:r>
      <w:r w:rsidR="00A04FD7" w:rsidRPr="00CF024D">
        <w:rPr>
          <w:rFonts w:hint="eastAsia"/>
          <w:lang w:val="en-CA" w:eastAsia="zh-CN"/>
        </w:rPr>
        <w:t>。</w:t>
      </w:r>
    </w:p>
    <w:p w14:paraId="59A52142" w14:textId="1685F3E2" w:rsidR="00764205" w:rsidRPr="00CF024D" w:rsidRDefault="004B6465" w:rsidP="003B6AEA">
      <w:pPr>
        <w:pStyle w:val="Heading1"/>
        <w:tabs>
          <w:tab w:val="clear" w:pos="0"/>
          <w:tab w:val="num" w:pos="-2340"/>
        </w:tabs>
        <w:rPr>
          <w:lang w:val="en-CA" w:eastAsia="zh-CN"/>
        </w:rPr>
      </w:pPr>
      <w:r w:rsidRPr="00CF024D">
        <w:rPr>
          <w:rFonts w:hint="eastAsia"/>
          <w:lang w:val="en-CA" w:eastAsia="zh-CN"/>
        </w:rPr>
        <w:t>随后，一个成员国发言提出，尽管《蒙特利尔议定书》有着骄人的历史成就，</w:t>
      </w:r>
      <w:r w:rsidR="000F5FAA" w:rsidRPr="00CF024D">
        <w:rPr>
          <w:rFonts w:hint="eastAsia"/>
          <w:lang w:val="en-CA" w:eastAsia="zh-CN"/>
        </w:rPr>
        <w:t>第八十四次会议却可能因机制未能找到</w:t>
      </w:r>
      <w:r w:rsidR="00C70B90" w:rsidRPr="00CF024D">
        <w:rPr>
          <w:rFonts w:hint="eastAsia"/>
          <w:lang w:val="en-CA" w:eastAsia="zh-CN"/>
        </w:rPr>
        <w:t>让生产</w:t>
      </w:r>
      <w:r w:rsidR="00C70B90" w:rsidRPr="00CF024D">
        <w:rPr>
          <w:rFonts w:hint="eastAsia"/>
          <w:lang w:val="en-CA" w:eastAsia="zh-CN"/>
        </w:rPr>
        <w:t>HCFC-22</w:t>
      </w:r>
      <w:r w:rsidR="00C70B90" w:rsidRPr="00CF024D">
        <w:rPr>
          <w:rFonts w:hint="eastAsia"/>
          <w:lang w:val="en-CA" w:eastAsia="zh-CN"/>
        </w:rPr>
        <w:t>的第五条国家遵守</w:t>
      </w:r>
      <w:r w:rsidR="00C70B90" w:rsidRPr="00CF024D">
        <w:rPr>
          <w:rFonts w:hint="eastAsia"/>
          <w:lang w:val="en-CA" w:eastAsia="zh-CN"/>
        </w:rPr>
        <w:t>HFC-23</w:t>
      </w:r>
      <w:r w:rsidR="00C70B90" w:rsidRPr="00CF024D">
        <w:rPr>
          <w:rFonts w:hint="eastAsia"/>
          <w:lang w:val="en-CA" w:eastAsia="zh-CN"/>
        </w:rPr>
        <w:t>控制措施</w:t>
      </w:r>
      <w:r w:rsidR="000F5FAA" w:rsidRPr="00CF024D">
        <w:rPr>
          <w:rFonts w:hint="eastAsia"/>
          <w:lang w:val="en-CA" w:eastAsia="zh-CN"/>
        </w:rPr>
        <w:t>的办法而被载入史册。</w:t>
      </w:r>
      <w:r w:rsidR="00876CEB" w:rsidRPr="00CF024D">
        <w:rPr>
          <w:rFonts w:hint="eastAsia"/>
          <w:lang w:val="en-CA" w:eastAsia="zh-CN"/>
        </w:rPr>
        <w:t>议定书第十条包含了向第五条国家提供经济支援的义务，但执行委员会在这一点上未能履责。这不仅对生产</w:t>
      </w:r>
      <w:r w:rsidR="00876CEB" w:rsidRPr="00CF024D">
        <w:rPr>
          <w:rFonts w:hint="eastAsia"/>
          <w:lang w:val="en-CA" w:eastAsia="zh-CN"/>
        </w:rPr>
        <w:t>HCFC-22</w:t>
      </w:r>
      <w:r w:rsidR="00876CEB" w:rsidRPr="00CF024D">
        <w:rPr>
          <w:rFonts w:hint="eastAsia"/>
          <w:lang w:val="en-CA" w:eastAsia="zh-CN"/>
        </w:rPr>
        <w:t>的第五条国家造成问题，</w:t>
      </w:r>
      <w:r w:rsidR="000C493C" w:rsidRPr="00CF024D">
        <w:rPr>
          <w:rFonts w:hint="eastAsia"/>
          <w:lang w:val="en-CA" w:eastAsia="zh-CN"/>
        </w:rPr>
        <w:t>对所有</w:t>
      </w:r>
      <w:r w:rsidR="00E640AD" w:rsidRPr="00CF024D">
        <w:rPr>
          <w:rFonts w:hint="eastAsia"/>
          <w:lang w:val="en-CA" w:eastAsia="zh-CN"/>
        </w:rPr>
        <w:t>第五条国家都是如此。因此该成员国意欲将此事提交</w:t>
      </w:r>
      <w:r w:rsidR="00CF54DB" w:rsidRPr="00CF024D">
        <w:rPr>
          <w:rFonts w:hint="eastAsia"/>
          <w:lang w:val="en-CA" w:eastAsia="zh-CN"/>
        </w:rPr>
        <w:t>履行</w:t>
      </w:r>
      <w:r w:rsidR="002A4321" w:rsidRPr="00CF024D">
        <w:rPr>
          <w:rFonts w:hint="eastAsia"/>
          <w:lang w:val="en-CA" w:eastAsia="zh-CN"/>
        </w:rPr>
        <w:t>委员会以及不限成员名额</w:t>
      </w:r>
      <w:r w:rsidR="000C493C" w:rsidRPr="00CF024D">
        <w:rPr>
          <w:rFonts w:hint="eastAsia"/>
          <w:lang w:val="en-CA" w:eastAsia="zh-CN"/>
        </w:rPr>
        <w:t>工作组。</w:t>
      </w:r>
    </w:p>
    <w:p w14:paraId="4B8C21F5" w14:textId="51384AB5" w:rsidR="00290A1E" w:rsidRPr="00CF024D" w:rsidRDefault="00D37921" w:rsidP="00CF024D">
      <w:pPr>
        <w:pStyle w:val="Heading1"/>
        <w:widowControl w:val="0"/>
        <w:rPr>
          <w:lang w:val="en-CA"/>
        </w:rPr>
      </w:pPr>
      <w:r w:rsidRPr="00CF024D">
        <w:rPr>
          <w:rFonts w:hint="eastAsia"/>
          <w:lang w:val="en-CA" w:eastAsia="zh-CN"/>
        </w:rPr>
        <w:t>依照第</w:t>
      </w:r>
      <w:r w:rsidR="00290A1E" w:rsidRPr="00CF024D">
        <w:rPr>
          <w:lang w:val="en-CA"/>
        </w:rPr>
        <w:t>84/90(a)</w:t>
      </w:r>
      <w:r w:rsidRPr="00CF024D">
        <w:rPr>
          <w:rFonts w:hint="eastAsia"/>
          <w:lang w:val="en-CA" w:eastAsia="zh-CN"/>
        </w:rPr>
        <w:t>号决定，工发组织代表阿根廷政府</w:t>
      </w:r>
      <w:r w:rsidR="00FD0638" w:rsidRPr="00CF024D">
        <w:rPr>
          <w:rFonts w:hint="eastAsia"/>
          <w:lang w:val="en-CA" w:eastAsia="zh-CN"/>
        </w:rPr>
        <w:t>向第八十五次会议提交了项目提案</w:t>
      </w:r>
      <w:r w:rsidR="00FD0638" w:rsidRPr="00CF024D">
        <w:rPr>
          <w:rStyle w:val="FootnoteReference"/>
          <w:lang w:val="en-CA"/>
        </w:rPr>
        <w:footnoteReference w:id="4"/>
      </w:r>
      <w:r w:rsidR="00FD0638" w:rsidRPr="00CF024D">
        <w:rPr>
          <w:rFonts w:hint="eastAsia"/>
          <w:lang w:val="en-CA" w:eastAsia="zh-CN"/>
        </w:rPr>
        <w:t>，特别包含了</w:t>
      </w:r>
      <w:r w:rsidR="006B478E" w:rsidRPr="00CF024D">
        <w:rPr>
          <w:lang w:val="en-CA" w:eastAsia="zh-CN"/>
        </w:rPr>
        <w:t>FIASA</w:t>
      </w:r>
      <w:r w:rsidR="006B478E" w:rsidRPr="00CF024D">
        <w:rPr>
          <w:lang w:val="en-CA" w:eastAsia="zh-CN"/>
        </w:rPr>
        <w:t>工厂</w:t>
      </w:r>
      <w:r w:rsidR="00FD0638" w:rsidRPr="00CF024D">
        <w:rPr>
          <w:rFonts w:hint="eastAsia"/>
          <w:lang w:val="en-CA" w:eastAsia="zh-CN"/>
        </w:rPr>
        <w:t>2019</w:t>
      </w:r>
      <w:r w:rsidR="00FD0638" w:rsidRPr="00CF024D">
        <w:rPr>
          <w:rFonts w:hint="eastAsia"/>
          <w:lang w:val="en-CA" w:eastAsia="zh-CN"/>
        </w:rPr>
        <w:t>年</w:t>
      </w:r>
      <w:r w:rsidR="00FD0638" w:rsidRPr="00CF024D">
        <w:rPr>
          <w:rFonts w:hint="eastAsia"/>
          <w:lang w:val="en-CA" w:eastAsia="zh-CN"/>
        </w:rPr>
        <w:t>HCFC-22</w:t>
      </w:r>
      <w:r w:rsidR="00FD0638" w:rsidRPr="00CF024D">
        <w:rPr>
          <w:rFonts w:hint="eastAsia"/>
          <w:lang w:val="en-CA" w:eastAsia="zh-CN"/>
        </w:rPr>
        <w:t>生产、</w:t>
      </w:r>
      <w:r w:rsidR="00FD0638" w:rsidRPr="00CF024D">
        <w:rPr>
          <w:rFonts w:hint="eastAsia"/>
          <w:lang w:val="en-CA" w:eastAsia="zh-CN"/>
        </w:rPr>
        <w:t>2019</w:t>
      </w:r>
      <w:r w:rsidR="00FD0638" w:rsidRPr="00CF024D">
        <w:rPr>
          <w:rFonts w:hint="eastAsia"/>
          <w:lang w:val="en-CA" w:eastAsia="zh-CN"/>
        </w:rPr>
        <w:t>年</w:t>
      </w:r>
      <w:r w:rsidR="00FD0638" w:rsidRPr="00CF024D">
        <w:rPr>
          <w:rFonts w:hint="eastAsia"/>
          <w:lang w:val="en-CA" w:eastAsia="zh-CN"/>
        </w:rPr>
        <w:t>8</w:t>
      </w:r>
      <w:r w:rsidR="00FD0638" w:rsidRPr="00CF024D">
        <w:rPr>
          <w:rFonts w:hint="eastAsia"/>
          <w:lang w:val="en-CA" w:eastAsia="zh-CN"/>
        </w:rPr>
        <w:t>月经济危机的潜在影响以及副产品</w:t>
      </w:r>
      <w:r w:rsidR="00B67028" w:rsidRPr="00CF024D">
        <w:rPr>
          <w:rFonts w:hint="eastAsia"/>
          <w:lang w:val="en-CA" w:eastAsia="zh-CN"/>
        </w:rPr>
        <w:t>HFC-23</w:t>
      </w:r>
      <w:r w:rsidR="00FD0638" w:rsidRPr="00CF024D">
        <w:rPr>
          <w:rFonts w:hint="eastAsia"/>
          <w:lang w:val="en-CA" w:eastAsia="zh-CN"/>
        </w:rPr>
        <w:t>管理的相关信息。</w:t>
      </w:r>
      <w:r w:rsidR="00290A1E" w:rsidRPr="00CF024D">
        <w:rPr>
          <w:lang w:val="en-CA"/>
        </w:rPr>
        <w:t xml:space="preserve"> </w:t>
      </w:r>
    </w:p>
    <w:p w14:paraId="71DDA102" w14:textId="1E5D5AAA" w:rsidR="00A91F87" w:rsidRPr="00CF024D" w:rsidRDefault="0056398E" w:rsidP="00CF024D">
      <w:pPr>
        <w:pStyle w:val="Heading1"/>
        <w:tabs>
          <w:tab w:val="clear" w:pos="0"/>
          <w:tab w:val="num" w:pos="-3060"/>
        </w:tabs>
        <w:rPr>
          <w:sz w:val="24"/>
          <w:szCs w:val="24"/>
          <w:lang w:val="en-CA" w:eastAsia="en-CA"/>
        </w:rPr>
      </w:pPr>
      <w:r w:rsidRPr="00CF024D">
        <w:rPr>
          <w:rFonts w:hint="eastAsia"/>
          <w:lang w:val="en-CA" w:eastAsia="zh-CN"/>
        </w:rPr>
        <w:lastRenderedPageBreak/>
        <w:t>然而，依照为第八十五次和第八十六次会议建立的</w:t>
      </w:r>
      <w:r w:rsidR="00FA1693" w:rsidRPr="00CF024D">
        <w:rPr>
          <w:rFonts w:hint="eastAsia"/>
          <w:lang w:val="en-CA" w:eastAsia="zh-CN"/>
        </w:rPr>
        <w:t>闭会期间批准程序，执行委员会决定在第八十六次会议上（</w:t>
      </w:r>
      <w:r w:rsidR="00FA1693" w:rsidRPr="00CF024D">
        <w:rPr>
          <w:rFonts w:hint="eastAsia"/>
          <w:lang w:val="en-CA" w:eastAsia="zh-CN"/>
        </w:rPr>
        <w:t>2021</w:t>
      </w:r>
      <w:r w:rsidR="00FA1693" w:rsidRPr="00CF024D">
        <w:rPr>
          <w:rFonts w:hint="eastAsia"/>
          <w:lang w:val="en-CA" w:eastAsia="zh-CN"/>
        </w:rPr>
        <w:t>年</w:t>
      </w:r>
      <w:r w:rsidR="00FA1693" w:rsidRPr="00CF024D">
        <w:rPr>
          <w:rFonts w:hint="eastAsia"/>
          <w:lang w:val="en-CA" w:eastAsia="zh-CN"/>
        </w:rPr>
        <w:t>3</w:t>
      </w:r>
      <w:r w:rsidR="00FA1693" w:rsidRPr="00CF024D">
        <w:rPr>
          <w:rFonts w:hint="eastAsia"/>
          <w:lang w:val="en-CA" w:eastAsia="zh-CN"/>
        </w:rPr>
        <w:t>月）审议该项目提案</w:t>
      </w:r>
      <w:r w:rsidR="00A91F87" w:rsidRPr="00CF024D">
        <w:rPr>
          <w:rStyle w:val="FootnoteReference"/>
          <w:lang w:val="en-CA"/>
        </w:rPr>
        <w:footnoteReference w:id="5"/>
      </w:r>
      <w:r w:rsidR="00FA1693" w:rsidRPr="00CF024D">
        <w:rPr>
          <w:rFonts w:hint="eastAsia"/>
          <w:lang w:val="en-CA" w:eastAsia="zh-CN"/>
        </w:rPr>
        <w:t>。</w:t>
      </w:r>
      <w:r w:rsidR="00A91F87" w:rsidRPr="00CF024D">
        <w:rPr>
          <w:sz w:val="24"/>
          <w:szCs w:val="24"/>
          <w:lang w:val="en-CA" w:eastAsia="en-CA"/>
        </w:rPr>
        <w:t xml:space="preserve"> </w:t>
      </w:r>
    </w:p>
    <w:p w14:paraId="140F0871" w14:textId="4AADEFA7" w:rsidR="00FE4DE9" w:rsidRPr="00CF024D" w:rsidRDefault="006C6E7F" w:rsidP="00FE4DE9">
      <w:pPr>
        <w:pStyle w:val="Heading1"/>
        <w:rPr>
          <w:lang w:val="en-CA" w:eastAsia="en-CA"/>
        </w:rPr>
      </w:pPr>
      <w:r w:rsidRPr="00CF024D">
        <w:rPr>
          <w:rFonts w:hint="eastAsia"/>
          <w:lang w:val="en-CA" w:eastAsia="zh-CN"/>
        </w:rPr>
        <w:t>为便于参照，秘书处</w:t>
      </w:r>
      <w:r w:rsidR="003F35EF" w:rsidRPr="00CF024D">
        <w:rPr>
          <w:rFonts w:hint="eastAsia"/>
          <w:lang w:val="en-CA" w:eastAsia="zh-CN"/>
        </w:rPr>
        <w:t>在本</w:t>
      </w:r>
      <w:r w:rsidRPr="00CF024D">
        <w:rPr>
          <w:rFonts w:hint="eastAsia"/>
          <w:lang w:val="en-CA" w:eastAsia="zh-CN"/>
        </w:rPr>
        <w:t>文件后增补了向第八十三次、第八十四次及第八十五次会议提交的项目文件。</w:t>
      </w:r>
    </w:p>
    <w:p w14:paraId="3D005C76" w14:textId="231B2DA3" w:rsidR="00833AB2" w:rsidRPr="00CF024D" w:rsidRDefault="006C6E7F" w:rsidP="00BF0714">
      <w:pPr>
        <w:keepNext/>
        <w:keepLines/>
        <w:rPr>
          <w:b/>
          <w:lang w:val="en-CA"/>
        </w:rPr>
      </w:pPr>
      <w:r w:rsidRPr="00CF024D">
        <w:rPr>
          <w:rFonts w:hint="eastAsia"/>
          <w:b/>
          <w:lang w:val="en-CA" w:eastAsia="zh-CN"/>
        </w:rPr>
        <w:t>向第八十六次会议提交的</w:t>
      </w:r>
      <w:r w:rsidR="00006948" w:rsidRPr="00CF024D">
        <w:rPr>
          <w:rFonts w:hint="eastAsia"/>
          <w:b/>
          <w:lang w:val="en-CA" w:eastAsia="zh-CN"/>
        </w:rPr>
        <w:t>补充</w:t>
      </w:r>
      <w:r w:rsidRPr="00CF024D">
        <w:rPr>
          <w:rFonts w:hint="eastAsia"/>
          <w:b/>
          <w:lang w:val="en-CA" w:eastAsia="zh-CN"/>
        </w:rPr>
        <w:t>信息</w:t>
      </w:r>
    </w:p>
    <w:p w14:paraId="27C728C8" w14:textId="77777777" w:rsidR="00833AB2" w:rsidRPr="00CF024D" w:rsidRDefault="00833AB2" w:rsidP="00BF0714">
      <w:pPr>
        <w:keepNext/>
        <w:keepLines/>
        <w:rPr>
          <w:b/>
          <w:lang w:val="en-CA"/>
        </w:rPr>
      </w:pPr>
    </w:p>
    <w:p w14:paraId="21AA2904" w14:textId="7156692E" w:rsidR="00833AB2" w:rsidRPr="00CF024D" w:rsidRDefault="008D569B" w:rsidP="00833AB2">
      <w:pPr>
        <w:pStyle w:val="Heading1"/>
        <w:rPr>
          <w:lang w:val="en-CA"/>
        </w:rPr>
      </w:pPr>
      <w:r w:rsidRPr="00CF024D">
        <w:rPr>
          <w:rFonts w:hint="eastAsia"/>
          <w:lang w:val="en-CA" w:eastAsia="zh-CN"/>
        </w:rPr>
        <w:t>注意到执行委员会未能在</w:t>
      </w:r>
      <w:r w:rsidRPr="00CF024D">
        <w:rPr>
          <w:rFonts w:hint="eastAsia"/>
          <w:lang w:val="en-CA" w:eastAsia="zh-CN"/>
        </w:rPr>
        <w:t>2020</w:t>
      </w:r>
      <w:r w:rsidRPr="00CF024D">
        <w:rPr>
          <w:rFonts w:hint="eastAsia"/>
          <w:lang w:val="en-CA" w:eastAsia="zh-CN"/>
        </w:rPr>
        <w:t>年审议阿根廷政府提交的项目提案，秘书处要求工发组织提供</w:t>
      </w:r>
      <w:r w:rsidR="006B478E" w:rsidRPr="00CF024D">
        <w:rPr>
          <w:lang w:val="en-CA" w:eastAsia="zh-CN"/>
        </w:rPr>
        <w:t>FIASA</w:t>
      </w:r>
      <w:r w:rsidR="006B478E" w:rsidRPr="00CF024D">
        <w:rPr>
          <w:lang w:val="en-CA" w:eastAsia="zh-CN"/>
        </w:rPr>
        <w:t>工厂</w:t>
      </w:r>
      <w:r w:rsidRPr="00CF024D">
        <w:rPr>
          <w:rFonts w:hint="eastAsia"/>
          <w:lang w:val="en-CA" w:eastAsia="zh-CN"/>
        </w:rPr>
        <w:t>2020</w:t>
      </w:r>
      <w:r w:rsidRPr="00CF024D">
        <w:rPr>
          <w:rFonts w:hint="eastAsia"/>
          <w:lang w:val="en-CA" w:eastAsia="zh-CN"/>
        </w:rPr>
        <w:t>年</w:t>
      </w:r>
      <w:r w:rsidRPr="00CF024D">
        <w:rPr>
          <w:rFonts w:hint="eastAsia"/>
          <w:lang w:val="en-CA" w:eastAsia="zh-CN"/>
        </w:rPr>
        <w:t>HCFC-22</w:t>
      </w:r>
      <w:r w:rsidRPr="00CF024D">
        <w:rPr>
          <w:rFonts w:hint="eastAsia"/>
          <w:lang w:val="en-CA" w:eastAsia="zh-CN"/>
        </w:rPr>
        <w:t>生产以及</w:t>
      </w:r>
      <w:r w:rsidR="00B67028" w:rsidRPr="00CF024D">
        <w:rPr>
          <w:rFonts w:hint="eastAsia"/>
          <w:lang w:val="en-CA" w:eastAsia="zh-CN"/>
        </w:rPr>
        <w:t>副产品</w:t>
      </w:r>
      <w:r w:rsidRPr="00CF024D">
        <w:rPr>
          <w:rFonts w:hint="eastAsia"/>
          <w:lang w:val="en-CA" w:eastAsia="zh-CN"/>
        </w:rPr>
        <w:t>HFC-23</w:t>
      </w:r>
      <w:r w:rsidRPr="00CF024D">
        <w:rPr>
          <w:rFonts w:hint="eastAsia"/>
          <w:lang w:val="en-CA" w:eastAsia="zh-CN"/>
        </w:rPr>
        <w:t>管理相关的</w:t>
      </w:r>
      <w:r w:rsidR="00006948" w:rsidRPr="00CF024D">
        <w:rPr>
          <w:rFonts w:hint="eastAsia"/>
          <w:lang w:val="en-CA" w:eastAsia="zh-CN"/>
        </w:rPr>
        <w:t>补充</w:t>
      </w:r>
      <w:r w:rsidRPr="00CF024D">
        <w:rPr>
          <w:rFonts w:hint="eastAsia"/>
          <w:lang w:val="en-CA" w:eastAsia="zh-CN"/>
        </w:rPr>
        <w:t>信息。</w:t>
      </w:r>
    </w:p>
    <w:p w14:paraId="598998A2" w14:textId="73182F02" w:rsidR="00833AB2" w:rsidRPr="00CF024D" w:rsidRDefault="00006948" w:rsidP="00A45C15">
      <w:pPr>
        <w:pStyle w:val="Heading1"/>
        <w:rPr>
          <w:color w:val="000000" w:themeColor="text1"/>
          <w:lang w:val="en-CA" w:eastAsia="zh-CN"/>
        </w:rPr>
      </w:pPr>
      <w:r w:rsidRPr="00CF024D">
        <w:rPr>
          <w:rFonts w:hint="eastAsia"/>
          <w:lang w:val="en-CA" w:eastAsia="zh-CN"/>
        </w:rPr>
        <w:t>基于工发组织提供的补充信息，</w:t>
      </w:r>
      <w:r w:rsidR="003F35EF" w:rsidRPr="00CF024D">
        <w:rPr>
          <w:rFonts w:hint="eastAsia"/>
          <w:lang w:val="en-CA" w:eastAsia="zh-CN"/>
        </w:rPr>
        <w:t>本</w:t>
      </w:r>
      <w:r w:rsidRPr="00CF024D">
        <w:rPr>
          <w:rFonts w:hint="eastAsia"/>
          <w:lang w:val="en-CA" w:eastAsia="zh-CN"/>
        </w:rPr>
        <w:t>文件</w:t>
      </w:r>
      <w:r w:rsidR="003F35EF" w:rsidRPr="00CF024D">
        <w:rPr>
          <w:rFonts w:hint="eastAsia"/>
          <w:lang w:val="en-CA" w:eastAsia="zh-CN"/>
        </w:rPr>
        <w:t>介绍了政府提交遵从</w:t>
      </w:r>
      <w:r w:rsidR="00C83C94" w:rsidRPr="00CF024D">
        <w:rPr>
          <w:rFonts w:hint="eastAsia"/>
          <w:lang w:val="en-CA" w:eastAsia="zh-CN"/>
        </w:rPr>
        <w:t>副产品</w:t>
      </w:r>
      <w:r w:rsidR="003F35EF" w:rsidRPr="00CF024D">
        <w:rPr>
          <w:rFonts w:hint="eastAsia"/>
          <w:lang w:val="en-CA" w:eastAsia="zh-CN"/>
        </w:rPr>
        <w:t>HFC-23</w:t>
      </w:r>
      <w:r w:rsidR="003F35EF" w:rsidRPr="00CF024D">
        <w:rPr>
          <w:rFonts w:hint="eastAsia"/>
          <w:lang w:val="en-CA" w:eastAsia="zh-CN"/>
        </w:rPr>
        <w:t>排放控制的两种</w:t>
      </w:r>
      <w:r w:rsidR="006B478E" w:rsidRPr="00CF024D">
        <w:rPr>
          <w:lang w:val="en-CA" w:eastAsia="zh-CN"/>
        </w:rPr>
        <w:t>备选方案</w:t>
      </w:r>
      <w:r w:rsidR="003F35EF" w:rsidRPr="00CF024D">
        <w:rPr>
          <w:rFonts w:hint="eastAsia"/>
          <w:lang w:val="en-CA" w:eastAsia="zh-CN"/>
        </w:rPr>
        <w:t>的最新费用评估</w:t>
      </w:r>
      <w:r w:rsidR="001D3CC0" w:rsidRPr="00CF024D">
        <w:rPr>
          <w:rFonts w:hint="eastAsia"/>
          <w:lang w:val="en-CA" w:eastAsia="zh-CN"/>
        </w:rPr>
        <w:t>，即关闭</w:t>
      </w:r>
      <w:r w:rsidR="001D3CC0" w:rsidRPr="00CF024D">
        <w:rPr>
          <w:rFonts w:hint="eastAsia"/>
          <w:lang w:val="en-CA" w:eastAsia="zh-CN"/>
        </w:rPr>
        <w:t>HCFC-22</w:t>
      </w:r>
      <w:r w:rsidR="001D3CC0" w:rsidRPr="00CF024D">
        <w:rPr>
          <w:rFonts w:hint="eastAsia"/>
          <w:lang w:val="en-CA" w:eastAsia="zh-CN"/>
        </w:rPr>
        <w:t>生产设施（</w:t>
      </w:r>
      <w:r w:rsidR="006B478E" w:rsidRPr="00CF024D">
        <w:rPr>
          <w:lang w:val="en-CA" w:eastAsia="zh-CN"/>
        </w:rPr>
        <w:t>备选方案</w:t>
      </w:r>
      <w:r w:rsidR="001D3CC0" w:rsidRPr="00CF024D">
        <w:rPr>
          <w:rFonts w:hint="eastAsia"/>
          <w:lang w:val="en-CA" w:eastAsia="zh-CN"/>
        </w:rPr>
        <w:t>1</w:t>
      </w:r>
      <w:r w:rsidR="001D3CC0" w:rsidRPr="00CF024D">
        <w:rPr>
          <w:rFonts w:hint="eastAsia"/>
          <w:lang w:val="en-CA" w:eastAsia="zh-CN"/>
        </w:rPr>
        <w:t>），以及重启</w:t>
      </w:r>
      <w:r w:rsidR="00704937" w:rsidRPr="00CF024D">
        <w:rPr>
          <w:rFonts w:hint="eastAsia"/>
          <w:lang w:val="en-CA" w:eastAsia="zh-CN"/>
        </w:rPr>
        <w:t>继续生产</w:t>
      </w:r>
      <w:r w:rsidR="001D3CC0" w:rsidRPr="00CF024D">
        <w:rPr>
          <w:rFonts w:hint="eastAsia"/>
          <w:lang w:val="en-CA" w:eastAsia="zh-CN"/>
        </w:rPr>
        <w:t>HCFC-22</w:t>
      </w:r>
      <w:r w:rsidR="001D3CC0" w:rsidRPr="00CF024D">
        <w:rPr>
          <w:rFonts w:hint="eastAsia"/>
          <w:lang w:val="en-CA" w:eastAsia="zh-CN"/>
        </w:rPr>
        <w:t>的焚化炉（</w:t>
      </w:r>
      <w:r w:rsidR="006B478E" w:rsidRPr="00CF024D">
        <w:rPr>
          <w:lang w:val="en-CA" w:eastAsia="zh-CN"/>
        </w:rPr>
        <w:t>备选方案</w:t>
      </w:r>
      <w:r w:rsidR="001D3CC0" w:rsidRPr="00CF024D">
        <w:rPr>
          <w:rFonts w:hint="eastAsia"/>
          <w:lang w:val="en-CA" w:eastAsia="zh-CN"/>
        </w:rPr>
        <w:t>2</w:t>
      </w:r>
      <w:r w:rsidR="001D3CC0" w:rsidRPr="00CF024D">
        <w:rPr>
          <w:rFonts w:hint="eastAsia"/>
          <w:lang w:val="en-CA" w:eastAsia="zh-CN"/>
        </w:rPr>
        <w:t>）；文件还提供了阿根廷政府的意见，并提出了结论和建议。与项目相关的政策问题在</w:t>
      </w:r>
      <w:r w:rsidR="001D3CC0" w:rsidRPr="00CF024D">
        <w:rPr>
          <w:lang w:val="en-CA" w:eastAsia="zh-CN"/>
        </w:rPr>
        <w:t>UNEP/</w:t>
      </w:r>
      <w:proofErr w:type="spellStart"/>
      <w:r w:rsidR="001D3CC0" w:rsidRPr="00CF024D">
        <w:rPr>
          <w:lang w:val="en-CA" w:eastAsia="zh-CN"/>
        </w:rPr>
        <w:t>OzL.Pro</w:t>
      </w:r>
      <w:proofErr w:type="spellEnd"/>
      <w:r w:rsidR="001D3CC0" w:rsidRPr="00CF024D">
        <w:rPr>
          <w:lang w:val="en-CA" w:eastAsia="zh-CN"/>
        </w:rPr>
        <w:t>/</w:t>
      </w:r>
      <w:proofErr w:type="spellStart"/>
      <w:r w:rsidR="001D3CC0" w:rsidRPr="00CF024D">
        <w:rPr>
          <w:lang w:val="en-CA" w:eastAsia="zh-CN"/>
        </w:rPr>
        <w:t>ExCom</w:t>
      </w:r>
      <w:proofErr w:type="spellEnd"/>
      <w:r w:rsidR="001D3CC0" w:rsidRPr="00CF024D">
        <w:rPr>
          <w:lang w:val="en-CA" w:eastAsia="zh-CN"/>
        </w:rPr>
        <w:t>/86/94</w:t>
      </w:r>
      <w:r w:rsidR="001D3CC0" w:rsidRPr="00CF024D">
        <w:rPr>
          <w:rFonts w:hint="eastAsia"/>
          <w:lang w:val="en-CA" w:eastAsia="zh-CN"/>
        </w:rPr>
        <w:t>号文件中进行了讨论，</w:t>
      </w:r>
      <w:r w:rsidR="00603C19" w:rsidRPr="00CF024D">
        <w:rPr>
          <w:rFonts w:hint="eastAsia"/>
          <w:lang w:val="en-CA" w:eastAsia="zh-CN"/>
        </w:rPr>
        <w:t>与</w:t>
      </w:r>
      <w:r w:rsidR="00C83C94" w:rsidRPr="00CF024D">
        <w:rPr>
          <w:rFonts w:hint="eastAsia"/>
          <w:lang w:val="en-CA" w:eastAsia="zh-CN"/>
        </w:rPr>
        <w:t>副产品</w:t>
      </w:r>
      <w:r w:rsidR="00603C19" w:rsidRPr="00CF024D">
        <w:rPr>
          <w:rFonts w:hint="eastAsia"/>
          <w:lang w:val="en-CA" w:eastAsia="zh-CN"/>
        </w:rPr>
        <w:t>HFC-23</w:t>
      </w:r>
      <w:r w:rsidR="00603C19" w:rsidRPr="00CF024D">
        <w:rPr>
          <w:rFonts w:hint="eastAsia"/>
          <w:lang w:val="en-CA" w:eastAsia="zh-CN"/>
        </w:rPr>
        <w:t>控制技术相关的关键</w:t>
      </w:r>
      <w:r w:rsidR="006B478E" w:rsidRPr="00CF024D">
        <w:rPr>
          <w:color w:val="000000" w:themeColor="text1"/>
          <w:lang w:val="en-CA" w:eastAsia="zh-CN"/>
        </w:rPr>
        <w:t>问题</w:t>
      </w:r>
      <w:r w:rsidR="00603C19" w:rsidRPr="00CF024D">
        <w:rPr>
          <w:rFonts w:hint="eastAsia"/>
          <w:color w:val="000000" w:themeColor="text1"/>
          <w:lang w:val="en-CA" w:eastAsia="zh-CN"/>
        </w:rPr>
        <w:t>（第</w:t>
      </w:r>
      <w:r w:rsidR="00A45C15" w:rsidRPr="00CF024D">
        <w:rPr>
          <w:color w:val="000000" w:themeColor="text1"/>
          <w:lang w:val="en-CA" w:eastAsia="zh-CN"/>
        </w:rPr>
        <w:t>84/90</w:t>
      </w:r>
      <w:r w:rsidR="00603C19" w:rsidRPr="00CF024D">
        <w:rPr>
          <w:rFonts w:hint="eastAsia"/>
          <w:color w:val="000000" w:themeColor="text1"/>
          <w:lang w:val="en-CA" w:eastAsia="zh-CN"/>
        </w:rPr>
        <w:t>号决定和第</w:t>
      </w:r>
      <w:r w:rsidR="00A45C15" w:rsidRPr="00CF024D">
        <w:rPr>
          <w:color w:val="000000" w:themeColor="text1"/>
          <w:lang w:val="en-CA" w:eastAsia="zh-CN"/>
        </w:rPr>
        <w:t>84/91</w:t>
      </w:r>
      <w:r w:rsidR="00603C19" w:rsidRPr="00CF024D">
        <w:rPr>
          <w:rFonts w:hint="eastAsia"/>
          <w:color w:val="000000" w:themeColor="text1"/>
          <w:lang w:val="en-CA" w:eastAsia="zh-CN"/>
        </w:rPr>
        <w:t>号决定）。</w:t>
      </w:r>
    </w:p>
    <w:p w14:paraId="2E2B0439" w14:textId="7573B490" w:rsidR="00FF20E7" w:rsidRPr="00CF024D" w:rsidRDefault="006B478E" w:rsidP="003B6AEA">
      <w:pPr>
        <w:rPr>
          <w:u w:val="single"/>
          <w:lang w:val="en-CA" w:eastAsia="zh-CN"/>
        </w:rPr>
      </w:pPr>
      <w:r w:rsidRPr="00CF024D">
        <w:rPr>
          <w:u w:val="single"/>
          <w:lang w:val="en-CA"/>
        </w:rPr>
        <w:t>FIASA</w:t>
      </w:r>
      <w:proofErr w:type="spellStart"/>
      <w:r w:rsidRPr="00CF024D">
        <w:rPr>
          <w:u w:val="single"/>
          <w:lang w:val="en-CA"/>
        </w:rPr>
        <w:t>工厂</w:t>
      </w:r>
      <w:proofErr w:type="spellEnd"/>
      <w:r w:rsidR="00113E3F" w:rsidRPr="00CF024D">
        <w:rPr>
          <w:rFonts w:hint="eastAsia"/>
          <w:u w:val="single"/>
          <w:lang w:val="en-CA" w:eastAsia="zh-CN"/>
        </w:rPr>
        <w:t>HCFC-22</w:t>
      </w:r>
      <w:r w:rsidR="00113E3F" w:rsidRPr="00CF024D">
        <w:rPr>
          <w:rFonts w:hint="eastAsia"/>
          <w:u w:val="single"/>
          <w:lang w:val="en-CA" w:eastAsia="zh-CN"/>
        </w:rPr>
        <w:t>生产和</w:t>
      </w:r>
      <w:r w:rsidR="00C83C94" w:rsidRPr="00CF024D">
        <w:rPr>
          <w:rFonts w:hint="eastAsia"/>
          <w:u w:val="single"/>
          <w:lang w:val="en-CA" w:eastAsia="zh-CN"/>
        </w:rPr>
        <w:t>副产品</w:t>
      </w:r>
      <w:r w:rsidR="00113E3F" w:rsidRPr="00CF024D">
        <w:rPr>
          <w:rFonts w:hint="eastAsia"/>
          <w:u w:val="single"/>
          <w:lang w:val="en-CA" w:eastAsia="zh-CN"/>
        </w:rPr>
        <w:t>HFC-23</w:t>
      </w:r>
      <w:r w:rsidR="00113E3F" w:rsidRPr="00CF024D">
        <w:rPr>
          <w:rFonts w:hint="eastAsia"/>
          <w:u w:val="single"/>
          <w:lang w:val="en-CA" w:eastAsia="zh-CN"/>
        </w:rPr>
        <w:t>控制情况的最新信息</w:t>
      </w:r>
    </w:p>
    <w:p w14:paraId="434DD925" w14:textId="77777777" w:rsidR="00FF20E7" w:rsidRPr="00CF024D" w:rsidRDefault="00FF20E7" w:rsidP="003B6AEA">
      <w:pPr>
        <w:rPr>
          <w:lang w:val="en-CA"/>
        </w:rPr>
      </w:pPr>
    </w:p>
    <w:p w14:paraId="657A3DEB" w14:textId="167228B0" w:rsidR="00FF20E7" w:rsidRPr="00CF024D" w:rsidRDefault="00176C49" w:rsidP="003B6AEA">
      <w:pPr>
        <w:pStyle w:val="Heading1"/>
        <w:tabs>
          <w:tab w:val="clear" w:pos="0"/>
          <w:tab w:val="num" w:pos="-2340"/>
        </w:tabs>
        <w:rPr>
          <w:lang w:val="en-CA" w:eastAsia="zh-CN"/>
        </w:rPr>
      </w:pPr>
      <w:r w:rsidRPr="00CF024D">
        <w:rPr>
          <w:rFonts w:hint="eastAsia"/>
          <w:lang w:val="en-CA" w:eastAsia="zh-CN"/>
        </w:rPr>
        <w:t>工发组织确认在</w:t>
      </w:r>
      <w:r w:rsidRPr="00CF024D">
        <w:rPr>
          <w:rFonts w:hint="eastAsia"/>
          <w:lang w:val="en-CA" w:eastAsia="zh-CN"/>
        </w:rPr>
        <w:t>2020</w:t>
      </w:r>
      <w:r w:rsidRPr="00CF024D">
        <w:rPr>
          <w:rFonts w:hint="eastAsia"/>
          <w:lang w:val="en-CA" w:eastAsia="zh-CN"/>
        </w:rPr>
        <w:t>年</w:t>
      </w:r>
      <w:r w:rsidR="00094C00" w:rsidRPr="00CF024D">
        <w:rPr>
          <w:rFonts w:hint="eastAsia"/>
          <w:lang w:val="en-CA" w:eastAsia="zh-CN"/>
        </w:rPr>
        <w:t>：</w:t>
      </w:r>
      <w:r w:rsidR="006B478E" w:rsidRPr="00CF024D">
        <w:rPr>
          <w:lang w:val="en-CA"/>
        </w:rPr>
        <w:t>FIASA</w:t>
      </w:r>
      <w:proofErr w:type="spellStart"/>
      <w:r w:rsidR="006B478E" w:rsidRPr="00CF024D">
        <w:rPr>
          <w:lang w:val="en-CA"/>
        </w:rPr>
        <w:t>工厂</w:t>
      </w:r>
      <w:proofErr w:type="spellEnd"/>
      <w:r w:rsidR="00094C00" w:rsidRPr="00CF024D">
        <w:rPr>
          <w:rFonts w:hint="eastAsia"/>
          <w:lang w:val="en-CA" w:eastAsia="zh-CN"/>
        </w:rPr>
        <w:t>继续生产</w:t>
      </w:r>
      <w:r w:rsidR="00D959D7" w:rsidRPr="00CF024D">
        <w:rPr>
          <w:lang w:val="en-CA"/>
        </w:rPr>
        <w:t>HCFC-22</w:t>
      </w:r>
      <w:r w:rsidR="00094C00" w:rsidRPr="00CF024D">
        <w:rPr>
          <w:rFonts w:hint="eastAsia"/>
          <w:lang w:val="en-CA" w:eastAsia="zh-CN"/>
        </w:rPr>
        <w:t>，就业方面无变化，企业继续向大气中排放</w:t>
      </w:r>
      <w:r w:rsidR="00094C00" w:rsidRPr="00CF024D">
        <w:rPr>
          <w:rFonts w:hint="eastAsia"/>
          <w:lang w:val="en-CA" w:eastAsia="zh-CN"/>
        </w:rPr>
        <w:t>HCFC-22</w:t>
      </w:r>
      <w:r w:rsidR="00094C00" w:rsidRPr="00CF024D">
        <w:rPr>
          <w:rFonts w:hint="eastAsia"/>
          <w:lang w:val="en-CA" w:eastAsia="zh-CN"/>
        </w:rPr>
        <w:t>生产过程中生成的所有</w:t>
      </w:r>
      <w:r w:rsidR="00C83C94" w:rsidRPr="00CF024D">
        <w:rPr>
          <w:rFonts w:hint="eastAsia"/>
          <w:lang w:val="en-CA" w:eastAsia="zh-CN"/>
        </w:rPr>
        <w:t>副产品</w:t>
      </w:r>
      <w:r w:rsidR="00094C00" w:rsidRPr="00CF024D">
        <w:rPr>
          <w:rFonts w:hint="eastAsia"/>
          <w:lang w:val="en-CA" w:eastAsia="zh-CN"/>
        </w:rPr>
        <w:t>HFC-23</w:t>
      </w:r>
      <w:r w:rsidR="00094C00" w:rsidRPr="00CF024D">
        <w:rPr>
          <w:rFonts w:hint="eastAsia"/>
          <w:lang w:val="en-CA" w:eastAsia="zh-CN"/>
        </w:rPr>
        <w:t>。未提供关于</w:t>
      </w:r>
      <w:r w:rsidR="00094C00" w:rsidRPr="00CF024D">
        <w:rPr>
          <w:rFonts w:hint="eastAsia"/>
          <w:lang w:val="en-CA" w:eastAsia="zh-CN"/>
        </w:rPr>
        <w:t>HCFC-22</w:t>
      </w:r>
      <w:r w:rsidR="00094C00" w:rsidRPr="00CF024D">
        <w:rPr>
          <w:rFonts w:hint="eastAsia"/>
          <w:lang w:val="en-CA" w:eastAsia="zh-CN"/>
        </w:rPr>
        <w:t>生产或销售数量</w:t>
      </w:r>
      <w:r w:rsidR="00D959D7" w:rsidRPr="00CF024D">
        <w:rPr>
          <w:lang w:val="en-CA" w:eastAsia="zh-CN"/>
        </w:rPr>
        <w:t xml:space="preserve"> </w:t>
      </w:r>
      <w:r w:rsidR="00094C00" w:rsidRPr="00CF024D">
        <w:rPr>
          <w:rFonts w:hint="eastAsia"/>
          <w:lang w:val="en-CA" w:eastAsia="zh-CN"/>
        </w:rPr>
        <w:t>、</w:t>
      </w:r>
      <w:r w:rsidR="006B478E" w:rsidRPr="00CF024D">
        <w:rPr>
          <w:lang w:val="en-CA" w:eastAsia="zh-CN"/>
        </w:rPr>
        <w:t>FIASA</w:t>
      </w:r>
      <w:r w:rsidR="006B478E" w:rsidRPr="00CF024D">
        <w:rPr>
          <w:lang w:val="en-CA" w:eastAsia="zh-CN"/>
        </w:rPr>
        <w:t>工厂</w:t>
      </w:r>
      <w:r w:rsidR="00094C00" w:rsidRPr="00CF024D">
        <w:rPr>
          <w:rFonts w:hint="eastAsia"/>
          <w:lang w:val="en-CA" w:eastAsia="zh-CN"/>
        </w:rPr>
        <w:t>HCFC-22</w:t>
      </w:r>
      <w:r w:rsidR="00094C00" w:rsidRPr="00CF024D">
        <w:rPr>
          <w:rFonts w:hint="eastAsia"/>
          <w:lang w:val="en-CA" w:eastAsia="zh-CN"/>
        </w:rPr>
        <w:t>价格或</w:t>
      </w:r>
      <w:r w:rsidR="00094C00" w:rsidRPr="00CF024D">
        <w:rPr>
          <w:lang w:val="en-CA" w:eastAsia="zh-CN"/>
        </w:rPr>
        <w:t>HCFC-22</w:t>
      </w:r>
      <w:r w:rsidR="00094C00" w:rsidRPr="00CF024D">
        <w:rPr>
          <w:rFonts w:hint="eastAsia"/>
          <w:lang w:val="en-CA" w:eastAsia="zh-CN"/>
        </w:rPr>
        <w:t>生产线运行天数的信息。</w:t>
      </w:r>
      <w:r w:rsidR="002E2DC8" w:rsidRPr="00CF024D">
        <w:rPr>
          <w:lang w:val="en-CA" w:eastAsia="zh-CN"/>
        </w:rPr>
        <w:t xml:space="preserve"> </w:t>
      </w:r>
    </w:p>
    <w:p w14:paraId="6BC53911" w14:textId="1BB1936C" w:rsidR="00205A31" w:rsidRPr="00CF024D" w:rsidRDefault="00946563" w:rsidP="003B6AEA">
      <w:pPr>
        <w:rPr>
          <w:u w:val="single"/>
          <w:lang w:val="en-CA"/>
        </w:rPr>
      </w:pPr>
      <w:r w:rsidRPr="00CF024D">
        <w:rPr>
          <w:rFonts w:hint="eastAsia"/>
          <w:u w:val="single"/>
          <w:lang w:val="en-CA" w:eastAsia="zh-CN"/>
        </w:rPr>
        <w:t>阿根廷经济形势的最新信息</w:t>
      </w:r>
    </w:p>
    <w:p w14:paraId="3E922691" w14:textId="03FDC6F3" w:rsidR="00205A31" w:rsidRPr="00CF024D" w:rsidRDefault="00205A31" w:rsidP="003B6AEA">
      <w:pPr>
        <w:rPr>
          <w:u w:val="single"/>
          <w:lang w:val="en-CA"/>
        </w:rPr>
      </w:pPr>
    </w:p>
    <w:p w14:paraId="39C5FF51" w14:textId="1C651C3C" w:rsidR="001E7A8F" w:rsidRPr="00CF024D" w:rsidRDefault="003A5698" w:rsidP="001E7A8F">
      <w:pPr>
        <w:pStyle w:val="Heading1"/>
        <w:rPr>
          <w:lang w:val="en-CA" w:eastAsia="zh-CN"/>
        </w:rPr>
      </w:pPr>
      <w:r w:rsidRPr="00CF024D">
        <w:rPr>
          <w:rFonts w:hint="eastAsia"/>
          <w:lang w:val="en-CA" w:eastAsia="zh-CN"/>
        </w:rPr>
        <w:t>根据世界银行预测，阿根廷国内生产总值预计在</w:t>
      </w:r>
      <w:r w:rsidRPr="00CF024D">
        <w:rPr>
          <w:rFonts w:hint="eastAsia"/>
          <w:lang w:val="en-CA" w:eastAsia="zh-CN"/>
        </w:rPr>
        <w:t>2020</w:t>
      </w:r>
      <w:r w:rsidRPr="00CF024D">
        <w:rPr>
          <w:rFonts w:hint="eastAsia"/>
          <w:lang w:val="en-CA" w:eastAsia="zh-CN"/>
        </w:rPr>
        <w:t>年缩减</w:t>
      </w:r>
      <w:r w:rsidRPr="00CF024D">
        <w:rPr>
          <w:rFonts w:hint="eastAsia"/>
          <w:lang w:val="en-CA" w:eastAsia="zh-CN"/>
        </w:rPr>
        <w:t>10.6%</w:t>
      </w:r>
      <w:r w:rsidRPr="00CF024D">
        <w:rPr>
          <w:rStyle w:val="FootnoteReference"/>
          <w:lang w:val="en-CA"/>
        </w:rPr>
        <w:footnoteReference w:id="6"/>
      </w:r>
      <w:r w:rsidRPr="00CF024D">
        <w:rPr>
          <w:rFonts w:hint="eastAsia"/>
          <w:lang w:val="en-CA" w:eastAsia="zh-CN"/>
        </w:rPr>
        <w:t>。鉴于新冠疫情造成的特殊经济形势，以及</w:t>
      </w:r>
      <w:r w:rsidR="00534C42" w:rsidRPr="00CF024D">
        <w:rPr>
          <w:rFonts w:hint="eastAsia"/>
          <w:lang w:val="en-CA" w:eastAsia="zh-CN"/>
        </w:rPr>
        <w:t>该</w:t>
      </w:r>
      <w:r w:rsidRPr="00CF024D">
        <w:rPr>
          <w:rFonts w:hint="eastAsia"/>
          <w:lang w:val="en-CA" w:eastAsia="zh-CN"/>
        </w:rPr>
        <w:t>企业</w:t>
      </w:r>
      <w:r w:rsidRPr="00CF024D">
        <w:rPr>
          <w:rFonts w:hint="eastAsia"/>
          <w:lang w:val="en-CA" w:eastAsia="zh-CN"/>
        </w:rPr>
        <w:t>2020</w:t>
      </w:r>
      <w:r w:rsidRPr="00CF024D">
        <w:rPr>
          <w:rFonts w:hint="eastAsia"/>
          <w:lang w:val="en-CA" w:eastAsia="zh-CN"/>
        </w:rPr>
        <w:t>年</w:t>
      </w:r>
      <w:r w:rsidRPr="00CF024D">
        <w:rPr>
          <w:rFonts w:hint="eastAsia"/>
          <w:lang w:val="en-CA" w:eastAsia="zh-CN"/>
        </w:rPr>
        <w:t>HCFC-22</w:t>
      </w:r>
      <w:r w:rsidR="00534C42" w:rsidRPr="00CF024D">
        <w:rPr>
          <w:rFonts w:hint="eastAsia"/>
          <w:lang w:val="en-CA" w:eastAsia="zh-CN"/>
        </w:rPr>
        <w:t>生产、销售和价格水平无进一步可用信息，秘书处没有对提交第八十五次会议项目文件所载</w:t>
      </w:r>
      <w:r w:rsidR="006B478E" w:rsidRPr="00CF024D">
        <w:rPr>
          <w:lang w:val="en-CA" w:eastAsia="zh-CN"/>
        </w:rPr>
        <w:t>FIASA</w:t>
      </w:r>
      <w:r w:rsidR="006B478E" w:rsidRPr="00CF024D">
        <w:rPr>
          <w:lang w:val="en-CA" w:eastAsia="zh-CN"/>
        </w:rPr>
        <w:t>工厂</w:t>
      </w:r>
      <w:r w:rsidR="00534C42" w:rsidRPr="00CF024D">
        <w:rPr>
          <w:rFonts w:hint="eastAsia"/>
          <w:lang w:val="en-CA" w:eastAsia="zh-CN"/>
        </w:rPr>
        <w:t>HCFC-22</w:t>
      </w:r>
      <w:r w:rsidR="00534C42" w:rsidRPr="00CF024D">
        <w:rPr>
          <w:rFonts w:hint="eastAsia"/>
          <w:lang w:val="en-CA" w:eastAsia="zh-CN"/>
        </w:rPr>
        <w:t>生产的财务可行性做出更新的评估。</w:t>
      </w:r>
      <w:r w:rsidR="003A10F0" w:rsidRPr="00CF024D">
        <w:rPr>
          <w:rFonts w:hint="eastAsia"/>
          <w:lang w:val="en-CA" w:eastAsia="zh-CN"/>
        </w:rPr>
        <w:t>然而，秘书处注意到自项目提案首次提交第八十三次会议以来阿根廷比索（</w:t>
      </w:r>
      <w:r w:rsidR="003A10F0" w:rsidRPr="00CF024D">
        <w:rPr>
          <w:rFonts w:hint="eastAsia"/>
          <w:lang w:val="en-CA" w:eastAsia="zh-CN"/>
        </w:rPr>
        <w:t>ARS</w:t>
      </w:r>
      <w:r w:rsidR="003A10F0" w:rsidRPr="00CF024D">
        <w:rPr>
          <w:rFonts w:hint="eastAsia"/>
          <w:lang w:val="en-CA" w:eastAsia="zh-CN"/>
        </w:rPr>
        <w:t>）的持续贬值趋势</w:t>
      </w:r>
      <w:r w:rsidR="003A10F0" w:rsidRPr="00CF024D">
        <w:rPr>
          <w:rStyle w:val="FootnoteReference"/>
          <w:lang w:val="en-CA"/>
        </w:rPr>
        <w:footnoteReference w:id="7"/>
      </w:r>
      <w:r w:rsidR="003A10F0" w:rsidRPr="00CF024D">
        <w:rPr>
          <w:rFonts w:hint="eastAsia"/>
          <w:lang w:val="en-CA" w:eastAsia="zh-CN"/>
        </w:rPr>
        <w:t>将会进一步加剧</w:t>
      </w:r>
      <w:r w:rsidR="006B478E" w:rsidRPr="00CF024D">
        <w:rPr>
          <w:lang w:val="en-CA" w:eastAsia="zh-CN"/>
        </w:rPr>
        <w:t>FIASA</w:t>
      </w:r>
      <w:r w:rsidR="006B478E" w:rsidRPr="00CF024D">
        <w:rPr>
          <w:lang w:val="en-CA" w:eastAsia="zh-CN"/>
        </w:rPr>
        <w:t>工厂</w:t>
      </w:r>
      <w:r w:rsidR="003A10F0" w:rsidRPr="00CF024D">
        <w:rPr>
          <w:rFonts w:hint="eastAsia"/>
          <w:lang w:val="en-CA" w:eastAsia="zh-CN"/>
        </w:rPr>
        <w:t>的财务困难，因为其收入完全基于</w:t>
      </w:r>
      <w:r w:rsidR="0039293A" w:rsidRPr="00CF024D">
        <w:rPr>
          <w:rFonts w:hint="eastAsia"/>
          <w:lang w:val="en-CA" w:eastAsia="zh-CN"/>
        </w:rPr>
        <w:t>当地货币</w:t>
      </w:r>
      <w:r w:rsidR="003A10F0" w:rsidRPr="00CF024D">
        <w:rPr>
          <w:rFonts w:hint="eastAsia"/>
          <w:lang w:val="en-CA" w:eastAsia="zh-CN"/>
        </w:rPr>
        <w:t>销售</w:t>
      </w:r>
      <w:r w:rsidR="007849D4" w:rsidRPr="00CF024D">
        <w:rPr>
          <w:rFonts w:hint="eastAsia"/>
          <w:lang w:val="en-CA" w:eastAsia="zh-CN"/>
        </w:rPr>
        <w:t>而原材料则是从国际市场采购；此外，经济收缩预计会导致</w:t>
      </w:r>
      <w:r w:rsidR="006B478E" w:rsidRPr="00CF024D">
        <w:rPr>
          <w:lang w:val="en-CA" w:eastAsia="zh-CN"/>
        </w:rPr>
        <w:t>FIASA</w:t>
      </w:r>
      <w:r w:rsidR="006B478E" w:rsidRPr="00CF024D">
        <w:rPr>
          <w:lang w:val="en-CA" w:eastAsia="zh-CN"/>
        </w:rPr>
        <w:t>工厂</w:t>
      </w:r>
      <w:r w:rsidR="007849D4" w:rsidRPr="00CF024D">
        <w:rPr>
          <w:lang w:val="en-CA" w:eastAsia="zh-CN"/>
        </w:rPr>
        <w:t>HCFC-22</w:t>
      </w:r>
      <w:r w:rsidR="007849D4" w:rsidRPr="00CF024D">
        <w:rPr>
          <w:rFonts w:hint="eastAsia"/>
          <w:lang w:val="en-CA" w:eastAsia="zh-CN"/>
        </w:rPr>
        <w:t>销售进一步下滑。</w:t>
      </w:r>
    </w:p>
    <w:p w14:paraId="556618A3" w14:textId="13311D3F" w:rsidR="001E7A8F" w:rsidRPr="00CF024D" w:rsidRDefault="00B8716F" w:rsidP="00CF024D">
      <w:pPr>
        <w:pStyle w:val="Heading1"/>
        <w:rPr>
          <w:u w:val="single"/>
          <w:lang w:val="en-CA"/>
        </w:rPr>
      </w:pPr>
      <w:r w:rsidRPr="00CF024D">
        <w:rPr>
          <w:rFonts w:hint="eastAsia"/>
          <w:lang w:val="en-CA" w:eastAsia="zh-CN"/>
        </w:rPr>
        <w:t>尽管秘书处</w:t>
      </w:r>
      <w:r w:rsidR="009F766E" w:rsidRPr="00CF024D">
        <w:rPr>
          <w:rFonts w:hint="eastAsia"/>
          <w:lang w:val="en-CA" w:eastAsia="zh-CN"/>
        </w:rPr>
        <w:t>未对该企业</w:t>
      </w:r>
      <w:r w:rsidR="009F766E" w:rsidRPr="00CF024D">
        <w:rPr>
          <w:rFonts w:hint="eastAsia"/>
          <w:lang w:val="en-CA" w:eastAsia="zh-CN"/>
        </w:rPr>
        <w:t>HCFC-22</w:t>
      </w:r>
      <w:r w:rsidR="009F766E" w:rsidRPr="00CF024D">
        <w:rPr>
          <w:rFonts w:hint="eastAsia"/>
          <w:lang w:val="en-CA" w:eastAsia="zh-CN"/>
        </w:rPr>
        <w:t>生产的财务可行性做出更新评估，</w:t>
      </w:r>
      <w:r w:rsidR="0082748C" w:rsidRPr="00CF024D">
        <w:rPr>
          <w:rFonts w:hint="eastAsia"/>
          <w:lang w:val="en-CA" w:eastAsia="zh-CN"/>
        </w:rPr>
        <w:t>秘书处基于修改后的关闭时间表</w:t>
      </w:r>
      <w:r w:rsidR="0039293A" w:rsidRPr="00CF024D">
        <w:rPr>
          <w:rFonts w:hint="eastAsia"/>
          <w:lang w:val="en-CA" w:eastAsia="zh-CN"/>
        </w:rPr>
        <w:t>（可能增加以当地货币支付的工人遣散费）</w:t>
      </w:r>
      <w:r w:rsidR="005F5E8A" w:rsidRPr="00CF024D">
        <w:rPr>
          <w:rFonts w:hint="eastAsia"/>
          <w:lang w:val="en-CA" w:eastAsia="zh-CN"/>
        </w:rPr>
        <w:t>、阿根廷比索的持续贬值、通胀以及</w:t>
      </w:r>
      <w:r w:rsidR="00E34B59" w:rsidRPr="00CF024D">
        <w:rPr>
          <w:rFonts w:hint="eastAsia"/>
          <w:lang w:val="en-CA" w:eastAsia="zh-CN"/>
        </w:rPr>
        <w:t>延迟开始销毁</w:t>
      </w:r>
      <w:r w:rsidR="00E34B59" w:rsidRPr="00CF024D">
        <w:rPr>
          <w:rFonts w:hint="eastAsia"/>
          <w:lang w:val="en-CA" w:eastAsia="zh-CN"/>
        </w:rPr>
        <w:t>HFC-23</w:t>
      </w:r>
      <w:r w:rsidR="00E34B59" w:rsidRPr="00CF024D">
        <w:rPr>
          <w:rFonts w:hint="eastAsia"/>
          <w:lang w:val="en-CA" w:eastAsia="zh-CN"/>
        </w:rPr>
        <w:t>，</w:t>
      </w:r>
      <w:r w:rsidR="0082748C" w:rsidRPr="00CF024D">
        <w:rPr>
          <w:rFonts w:hint="eastAsia"/>
          <w:lang w:val="en-CA" w:eastAsia="zh-CN"/>
        </w:rPr>
        <w:t>对关闭</w:t>
      </w:r>
      <w:r w:rsidR="00B650A8" w:rsidRPr="00CF024D">
        <w:rPr>
          <w:rFonts w:hint="eastAsia"/>
          <w:lang w:val="en-CA" w:eastAsia="zh-CN"/>
        </w:rPr>
        <w:t>设施</w:t>
      </w:r>
      <w:r w:rsidR="0082748C" w:rsidRPr="00CF024D">
        <w:rPr>
          <w:rFonts w:hint="eastAsia"/>
          <w:lang w:val="en-CA" w:eastAsia="zh-CN"/>
        </w:rPr>
        <w:t>和重启持续生产</w:t>
      </w:r>
      <w:r w:rsidR="0082748C" w:rsidRPr="00CF024D">
        <w:rPr>
          <w:rFonts w:hint="eastAsia"/>
          <w:lang w:val="en-CA" w:eastAsia="zh-CN"/>
        </w:rPr>
        <w:t>HCFC-22</w:t>
      </w:r>
      <w:r w:rsidR="0082748C" w:rsidRPr="00CF024D">
        <w:rPr>
          <w:rFonts w:hint="eastAsia"/>
          <w:lang w:val="en-CA" w:eastAsia="zh-CN"/>
        </w:rPr>
        <w:t>的焚化炉成本做出了更新评估</w:t>
      </w:r>
      <w:r w:rsidR="00EF7154" w:rsidRPr="00CF024D">
        <w:rPr>
          <w:rFonts w:hint="eastAsia"/>
          <w:lang w:val="en-CA" w:eastAsia="zh-CN"/>
        </w:rPr>
        <w:t>。</w:t>
      </w:r>
    </w:p>
    <w:p w14:paraId="370657C3" w14:textId="11E87455" w:rsidR="00620715" w:rsidRPr="00CF024D" w:rsidRDefault="006B478E" w:rsidP="00CF024D">
      <w:pPr>
        <w:keepNext/>
        <w:keepLines/>
        <w:spacing w:after="240"/>
        <w:rPr>
          <w:u w:val="single"/>
          <w:lang w:val="en-CA" w:eastAsia="zh-CN"/>
        </w:rPr>
      </w:pPr>
      <w:r w:rsidRPr="00CF024D">
        <w:rPr>
          <w:u w:val="single"/>
          <w:lang w:val="en-CA" w:eastAsia="zh-CN"/>
        </w:rPr>
        <w:lastRenderedPageBreak/>
        <w:t>备选方案</w:t>
      </w:r>
      <w:r w:rsidR="0039293A" w:rsidRPr="00CF024D">
        <w:rPr>
          <w:rFonts w:hint="eastAsia"/>
          <w:u w:val="single"/>
          <w:lang w:val="en-CA" w:eastAsia="zh-CN"/>
        </w:rPr>
        <w:t>1</w:t>
      </w:r>
      <w:r w:rsidR="0039293A" w:rsidRPr="00CF024D">
        <w:rPr>
          <w:rFonts w:hint="eastAsia"/>
          <w:u w:val="single"/>
          <w:lang w:val="en-CA" w:eastAsia="zh-CN"/>
        </w:rPr>
        <w:t>的进一步分析：关闭</w:t>
      </w:r>
      <w:r w:rsidRPr="00CF024D">
        <w:rPr>
          <w:u w:val="single"/>
          <w:lang w:val="en-CA" w:eastAsia="zh-CN"/>
        </w:rPr>
        <w:t>FIASA</w:t>
      </w:r>
      <w:r w:rsidRPr="00CF024D">
        <w:rPr>
          <w:u w:val="single"/>
          <w:lang w:val="en-CA" w:eastAsia="zh-CN"/>
        </w:rPr>
        <w:t>工厂</w:t>
      </w:r>
      <w:r w:rsidR="0039293A" w:rsidRPr="00CF024D">
        <w:rPr>
          <w:rFonts w:hint="eastAsia"/>
          <w:u w:val="single"/>
          <w:lang w:val="en-CA" w:eastAsia="zh-CN"/>
        </w:rPr>
        <w:t>的</w:t>
      </w:r>
      <w:r w:rsidR="00FF5575" w:rsidRPr="00CF024D">
        <w:rPr>
          <w:u w:val="single"/>
          <w:lang w:val="en-CA"/>
        </w:rPr>
        <w:t>HCFC-22</w:t>
      </w:r>
      <w:r w:rsidR="0039293A" w:rsidRPr="00CF024D">
        <w:rPr>
          <w:rFonts w:hint="eastAsia"/>
          <w:u w:val="single"/>
          <w:lang w:val="en-CA" w:eastAsia="zh-CN"/>
        </w:rPr>
        <w:t>生产</w:t>
      </w:r>
    </w:p>
    <w:p w14:paraId="79A3C9C8" w14:textId="47F0204F" w:rsidR="00241ED7" w:rsidRPr="00CF024D" w:rsidRDefault="00866397" w:rsidP="000D6411">
      <w:pPr>
        <w:pStyle w:val="Heading1"/>
        <w:rPr>
          <w:lang w:val="en-CA" w:eastAsia="zh-CN"/>
        </w:rPr>
      </w:pPr>
      <w:r w:rsidRPr="00CF024D">
        <w:rPr>
          <w:rFonts w:hint="eastAsia"/>
          <w:lang w:val="en-CA" w:eastAsia="zh-CN"/>
        </w:rPr>
        <w:t>在提交第八十五次会议的项目文件中，秘书处</w:t>
      </w:r>
      <w:r w:rsidR="003262FD" w:rsidRPr="00CF024D">
        <w:rPr>
          <w:rFonts w:hint="eastAsia"/>
          <w:lang w:val="en-CA" w:eastAsia="zh-CN"/>
        </w:rPr>
        <w:t>依据</w:t>
      </w:r>
      <w:r w:rsidR="003C411E" w:rsidRPr="00CF024D">
        <w:rPr>
          <w:rFonts w:hint="eastAsia"/>
          <w:lang w:val="en-CA" w:eastAsia="zh-CN"/>
        </w:rPr>
        <w:t>第八十四次会议上审议项目中工发组织确定的</w:t>
      </w:r>
      <w:r w:rsidR="003C411E" w:rsidRPr="00CF024D">
        <w:rPr>
          <w:rFonts w:hint="eastAsia"/>
          <w:lang w:val="en-CA" w:eastAsia="zh-CN"/>
        </w:rPr>
        <w:t>48</w:t>
      </w:r>
      <w:r w:rsidR="003C411E" w:rsidRPr="00CF024D">
        <w:rPr>
          <w:rFonts w:hint="eastAsia"/>
          <w:lang w:val="en-CA" w:eastAsia="zh-CN"/>
        </w:rPr>
        <w:t>位主要从事</w:t>
      </w:r>
      <w:r w:rsidR="003C411E" w:rsidRPr="00CF024D">
        <w:rPr>
          <w:rFonts w:hint="eastAsia"/>
          <w:lang w:val="en-CA" w:eastAsia="zh-CN"/>
        </w:rPr>
        <w:t>HCFC-22</w:t>
      </w:r>
      <w:r w:rsidR="003C411E" w:rsidRPr="00CF024D">
        <w:rPr>
          <w:rFonts w:hint="eastAsia"/>
          <w:lang w:val="en-CA" w:eastAsia="zh-CN"/>
        </w:rPr>
        <w:t>生产的工人确定</w:t>
      </w:r>
      <w:r w:rsidR="007E4535" w:rsidRPr="00CF024D">
        <w:rPr>
          <w:rFonts w:hint="eastAsia"/>
          <w:lang w:val="en-CA" w:eastAsia="zh-CN"/>
        </w:rPr>
        <w:t>了</w:t>
      </w:r>
      <w:r w:rsidR="003C411E" w:rsidRPr="00CF024D">
        <w:rPr>
          <w:rFonts w:hint="eastAsia"/>
          <w:lang w:val="en-CA" w:eastAsia="zh-CN"/>
        </w:rPr>
        <w:t>遣散费</w:t>
      </w:r>
      <w:r w:rsidR="003C411E" w:rsidRPr="00CF024D">
        <w:rPr>
          <w:rStyle w:val="FootnoteReference"/>
          <w:lang w:val="en-CA"/>
        </w:rPr>
        <w:footnoteReference w:id="8"/>
      </w:r>
      <w:r w:rsidR="003C411E" w:rsidRPr="00CF024D">
        <w:rPr>
          <w:rFonts w:hint="eastAsia"/>
          <w:lang w:val="en-CA" w:eastAsia="zh-CN"/>
        </w:rPr>
        <w:t>。需</w:t>
      </w:r>
      <w:r w:rsidR="00684FC2" w:rsidRPr="00CF024D">
        <w:rPr>
          <w:rFonts w:hint="eastAsia"/>
          <w:lang w:val="en-CA" w:eastAsia="zh-CN"/>
        </w:rPr>
        <w:t>要</w:t>
      </w:r>
      <w:r w:rsidR="003C411E" w:rsidRPr="00CF024D">
        <w:rPr>
          <w:rFonts w:hint="eastAsia"/>
          <w:lang w:val="en-CA" w:eastAsia="zh-CN"/>
        </w:rPr>
        <w:t>向所有</w:t>
      </w:r>
      <w:r w:rsidR="00684FC2" w:rsidRPr="00CF024D">
        <w:rPr>
          <w:rFonts w:hint="eastAsia"/>
          <w:lang w:val="en-CA" w:eastAsia="zh-CN"/>
        </w:rPr>
        <w:t>无正当理由被解雇的员工提供遣散费。虽然确定主要从事</w:t>
      </w:r>
      <w:r w:rsidR="00684FC2" w:rsidRPr="00CF024D">
        <w:rPr>
          <w:rFonts w:hint="eastAsia"/>
          <w:lang w:val="en-CA" w:eastAsia="zh-CN"/>
        </w:rPr>
        <w:t>HCFC-22</w:t>
      </w:r>
      <w:r w:rsidR="00684FC2" w:rsidRPr="00CF024D">
        <w:rPr>
          <w:rFonts w:hint="eastAsia"/>
          <w:lang w:val="en-CA" w:eastAsia="zh-CN"/>
        </w:rPr>
        <w:t>生产的</w:t>
      </w:r>
      <w:r w:rsidR="00684FC2" w:rsidRPr="00CF024D">
        <w:rPr>
          <w:rFonts w:hint="eastAsia"/>
          <w:lang w:val="en-CA" w:eastAsia="zh-CN"/>
        </w:rPr>
        <w:t>48</w:t>
      </w:r>
      <w:r w:rsidR="00684FC2" w:rsidRPr="00CF024D">
        <w:rPr>
          <w:rFonts w:hint="eastAsia"/>
          <w:lang w:val="en-CA" w:eastAsia="zh-CN"/>
        </w:rPr>
        <w:t>位员工</w:t>
      </w:r>
      <w:r w:rsidR="00810DBB" w:rsidRPr="00CF024D">
        <w:rPr>
          <w:rFonts w:hint="eastAsia"/>
          <w:lang w:val="en-CA" w:eastAsia="zh-CN"/>
        </w:rPr>
        <w:t>中有一部分可继续被</w:t>
      </w:r>
      <w:r w:rsidR="006B478E" w:rsidRPr="00CF024D">
        <w:rPr>
          <w:lang w:val="en-CA" w:eastAsia="zh-CN"/>
        </w:rPr>
        <w:t>FIASA</w:t>
      </w:r>
      <w:r w:rsidR="006B478E" w:rsidRPr="00CF024D">
        <w:rPr>
          <w:lang w:val="en-CA" w:eastAsia="zh-CN"/>
        </w:rPr>
        <w:t>工厂</w:t>
      </w:r>
      <w:r w:rsidR="00810DBB" w:rsidRPr="00CF024D">
        <w:rPr>
          <w:rFonts w:hint="eastAsia"/>
          <w:lang w:val="en-CA" w:eastAsia="zh-CN"/>
        </w:rPr>
        <w:t>聘用在其它业务岗位，秘书处并无立场评估</w:t>
      </w:r>
      <w:r w:rsidR="00810DBB" w:rsidRPr="00CF024D">
        <w:rPr>
          <w:rFonts w:hint="eastAsia"/>
          <w:lang w:val="en-CA" w:eastAsia="zh-CN"/>
        </w:rPr>
        <w:t>48</w:t>
      </w:r>
      <w:r w:rsidR="00810DBB" w:rsidRPr="00CF024D">
        <w:rPr>
          <w:rFonts w:hint="eastAsia"/>
          <w:lang w:val="en-CA" w:eastAsia="zh-CN"/>
        </w:rPr>
        <w:t>位员工中哪些或多少人会在</w:t>
      </w:r>
      <w:r w:rsidR="00810DBB" w:rsidRPr="00CF024D">
        <w:rPr>
          <w:rFonts w:hint="eastAsia"/>
          <w:lang w:val="en-CA" w:eastAsia="zh-CN"/>
        </w:rPr>
        <w:t>HCFC-22</w:t>
      </w:r>
      <w:r w:rsidR="00810DBB" w:rsidRPr="00CF024D">
        <w:rPr>
          <w:rFonts w:hint="eastAsia"/>
          <w:lang w:val="en-CA" w:eastAsia="zh-CN"/>
        </w:rPr>
        <w:t>生产线关闭后继续被</w:t>
      </w:r>
      <w:r w:rsidR="006B478E" w:rsidRPr="00CF024D">
        <w:rPr>
          <w:lang w:val="en-CA" w:eastAsia="zh-CN"/>
        </w:rPr>
        <w:t>FIASA</w:t>
      </w:r>
      <w:r w:rsidR="006B478E" w:rsidRPr="00CF024D">
        <w:rPr>
          <w:lang w:val="en-CA" w:eastAsia="zh-CN"/>
        </w:rPr>
        <w:t>工厂</w:t>
      </w:r>
      <w:r w:rsidR="00810DBB" w:rsidRPr="00CF024D">
        <w:rPr>
          <w:rFonts w:hint="eastAsia"/>
          <w:lang w:val="en-CA" w:eastAsia="zh-CN"/>
        </w:rPr>
        <w:t>聘用。</w:t>
      </w:r>
    </w:p>
    <w:p w14:paraId="5EFE7753" w14:textId="5BA94D54" w:rsidR="005C54C5" w:rsidRPr="00CF024D" w:rsidRDefault="007E4535" w:rsidP="00327329">
      <w:pPr>
        <w:pStyle w:val="Heading1"/>
        <w:rPr>
          <w:kern w:val="36"/>
          <w:lang w:val="en-CA"/>
        </w:rPr>
      </w:pPr>
      <w:r w:rsidRPr="00CF024D">
        <w:rPr>
          <w:rFonts w:hint="eastAsia"/>
          <w:lang w:val="en-CA" w:eastAsia="zh-CN"/>
        </w:rPr>
        <w:t>提交第八十五次会议项目的遣散费是基于</w:t>
      </w:r>
      <w:r w:rsidRPr="00CF024D">
        <w:rPr>
          <w:rFonts w:hint="eastAsia"/>
          <w:lang w:val="en-CA" w:eastAsia="zh-CN"/>
        </w:rPr>
        <w:t>2020</w:t>
      </w:r>
      <w:r w:rsidRPr="00CF024D">
        <w:rPr>
          <w:rFonts w:hint="eastAsia"/>
          <w:lang w:val="en-CA" w:eastAsia="zh-CN"/>
        </w:rPr>
        <w:t>年</w:t>
      </w:r>
      <w:r w:rsidRPr="00CF024D">
        <w:rPr>
          <w:rFonts w:hint="eastAsia"/>
          <w:lang w:val="en-CA" w:eastAsia="zh-CN"/>
        </w:rPr>
        <w:t>2</w:t>
      </w:r>
      <w:r w:rsidRPr="00CF024D">
        <w:rPr>
          <w:rFonts w:hint="eastAsia"/>
          <w:lang w:val="en-CA" w:eastAsia="zh-CN"/>
        </w:rPr>
        <w:t>月</w:t>
      </w:r>
      <w:r w:rsidRPr="00CF024D">
        <w:rPr>
          <w:rFonts w:hint="eastAsia"/>
          <w:lang w:val="en-CA" w:eastAsia="zh-CN"/>
        </w:rPr>
        <w:t>29</w:t>
      </w:r>
      <w:r w:rsidRPr="00CF024D">
        <w:rPr>
          <w:rFonts w:hint="eastAsia"/>
          <w:lang w:val="en-CA" w:eastAsia="zh-CN"/>
        </w:rPr>
        <w:t>日</w:t>
      </w:r>
      <w:r w:rsidR="004F5334" w:rsidRPr="00CF024D">
        <w:rPr>
          <w:rFonts w:hint="eastAsia"/>
          <w:lang w:val="en-CA" w:eastAsia="zh-CN"/>
        </w:rPr>
        <w:t>解雇的</w:t>
      </w:r>
      <w:r w:rsidR="004F5334" w:rsidRPr="00CF024D">
        <w:rPr>
          <w:rFonts w:hint="eastAsia"/>
          <w:lang w:val="en-CA" w:eastAsia="zh-CN"/>
        </w:rPr>
        <w:t>48</w:t>
      </w:r>
      <w:r w:rsidR="004F5334" w:rsidRPr="00CF024D">
        <w:rPr>
          <w:rFonts w:hint="eastAsia"/>
          <w:lang w:val="en-CA" w:eastAsia="zh-CN"/>
        </w:rPr>
        <w:t>名工人</w:t>
      </w:r>
      <w:r w:rsidR="002140D1" w:rsidRPr="00CF024D">
        <w:rPr>
          <w:rFonts w:hint="eastAsia"/>
          <w:lang w:val="en-CA" w:eastAsia="zh-CN"/>
        </w:rPr>
        <w:t>；</w:t>
      </w:r>
      <w:r w:rsidR="00224E6B" w:rsidRPr="00CF024D">
        <w:rPr>
          <w:rFonts w:hint="eastAsia"/>
          <w:lang w:val="en-CA" w:eastAsia="zh-CN"/>
        </w:rPr>
        <w:t>2020</w:t>
      </w:r>
      <w:r w:rsidR="00224E6B" w:rsidRPr="00CF024D">
        <w:rPr>
          <w:rFonts w:hint="eastAsia"/>
          <w:lang w:val="en-CA" w:eastAsia="zh-CN"/>
        </w:rPr>
        <w:t>年</w:t>
      </w:r>
      <w:r w:rsidR="00224E6B" w:rsidRPr="00CF024D">
        <w:rPr>
          <w:rFonts w:hint="eastAsia"/>
          <w:lang w:val="en-CA" w:eastAsia="zh-CN"/>
        </w:rPr>
        <w:t>6</w:t>
      </w:r>
      <w:r w:rsidR="00224E6B" w:rsidRPr="00CF024D">
        <w:rPr>
          <w:rFonts w:hint="eastAsia"/>
          <w:lang w:val="en-CA" w:eastAsia="zh-CN"/>
        </w:rPr>
        <w:t>月</w:t>
      </w:r>
      <w:r w:rsidR="00224E6B" w:rsidRPr="00CF024D">
        <w:rPr>
          <w:rFonts w:hint="eastAsia"/>
          <w:lang w:val="en-CA" w:eastAsia="zh-CN"/>
        </w:rPr>
        <w:t>26</w:t>
      </w:r>
      <w:r w:rsidR="00224E6B" w:rsidRPr="00CF024D">
        <w:rPr>
          <w:rFonts w:hint="eastAsia"/>
          <w:lang w:val="en-CA" w:eastAsia="zh-CN"/>
        </w:rPr>
        <w:t>日的有效汇率；以及司法和人权部的指令，</w:t>
      </w:r>
      <w:r w:rsidR="00CE6CBE" w:rsidRPr="00CF024D">
        <w:rPr>
          <w:rFonts w:hint="eastAsia"/>
          <w:lang w:val="en-CA" w:eastAsia="zh-CN"/>
        </w:rPr>
        <w:t>向</w:t>
      </w:r>
      <w:r w:rsidR="00224E6B" w:rsidRPr="00CF024D">
        <w:rPr>
          <w:rFonts w:hint="eastAsia"/>
          <w:lang w:val="en-CA" w:eastAsia="zh-CN"/>
        </w:rPr>
        <w:t>无正当理由被解雇</w:t>
      </w:r>
      <w:r w:rsidR="00FE1236" w:rsidRPr="00CF024D">
        <w:rPr>
          <w:rFonts w:hint="eastAsia"/>
          <w:lang w:val="en-CA" w:eastAsia="zh-CN"/>
        </w:rPr>
        <w:t>的</w:t>
      </w:r>
      <w:r w:rsidR="00224E6B" w:rsidRPr="00CF024D">
        <w:rPr>
          <w:rFonts w:hint="eastAsia"/>
          <w:lang w:val="en-CA" w:eastAsia="zh-CN"/>
        </w:rPr>
        <w:t>工人</w:t>
      </w:r>
      <w:r w:rsidR="00FE1236" w:rsidRPr="00CF024D">
        <w:rPr>
          <w:rFonts w:hint="eastAsia"/>
          <w:lang w:val="en-CA" w:eastAsia="zh-CN"/>
        </w:rPr>
        <w:t>提供双倍</w:t>
      </w:r>
      <w:r w:rsidR="00224E6B" w:rsidRPr="00CF024D">
        <w:rPr>
          <w:rFonts w:hint="eastAsia"/>
          <w:lang w:val="en-CA" w:eastAsia="zh-CN"/>
        </w:rPr>
        <w:t>赔偿金。</w:t>
      </w:r>
      <w:r w:rsidR="000F2F5A" w:rsidRPr="00CF024D">
        <w:rPr>
          <w:rFonts w:hint="eastAsia"/>
          <w:lang w:val="en-CA" w:eastAsia="zh-CN"/>
        </w:rPr>
        <w:t>根据阿根廷法律，遣散费是工人在企业任职时间的函数；因此，提交第八十五次会议项目提案中估计的</w:t>
      </w:r>
      <w:r w:rsidR="000F2F5A" w:rsidRPr="00CF024D">
        <w:rPr>
          <w:rFonts w:hint="eastAsia"/>
          <w:lang w:val="en-CA" w:eastAsia="zh-CN"/>
        </w:rPr>
        <w:t>48</w:t>
      </w:r>
      <w:r w:rsidR="000F2F5A" w:rsidRPr="00CF024D">
        <w:rPr>
          <w:rFonts w:hint="eastAsia"/>
          <w:lang w:val="en-CA" w:eastAsia="zh-CN"/>
        </w:rPr>
        <w:t>名员工</w:t>
      </w:r>
      <w:r w:rsidR="008C0313" w:rsidRPr="00CF024D">
        <w:rPr>
          <w:lang w:eastAsia="zh-CN"/>
        </w:rPr>
        <w:t>2,017,835</w:t>
      </w:r>
      <w:r w:rsidR="008C0313" w:rsidRPr="00CF024D">
        <w:rPr>
          <w:rFonts w:hint="eastAsia"/>
          <w:lang w:eastAsia="zh-CN"/>
        </w:rPr>
        <w:t>美元的</w:t>
      </w:r>
      <w:r w:rsidR="008C0313" w:rsidRPr="00CF024D">
        <w:rPr>
          <w:rFonts w:hint="eastAsia"/>
          <w:lang w:val="en-CA" w:eastAsia="zh-CN"/>
        </w:rPr>
        <w:t>遣散费会继续以比索增加，直至</w:t>
      </w:r>
      <w:r w:rsidR="001079B5" w:rsidRPr="00CF024D">
        <w:rPr>
          <w:rFonts w:hint="eastAsia"/>
          <w:lang w:val="en-CA" w:eastAsia="zh-CN"/>
        </w:rPr>
        <w:t>HCFC-22</w:t>
      </w:r>
      <w:r w:rsidR="001079B5" w:rsidRPr="00CF024D">
        <w:rPr>
          <w:rFonts w:hint="eastAsia"/>
          <w:lang w:val="en-CA" w:eastAsia="zh-CN"/>
        </w:rPr>
        <w:t>生产线关闭工人解雇</w:t>
      </w:r>
      <w:r w:rsidR="00493833" w:rsidRPr="00CF024D">
        <w:rPr>
          <w:rStyle w:val="FootnoteReference"/>
          <w:lang w:val="en-CA"/>
        </w:rPr>
        <w:footnoteReference w:id="9"/>
      </w:r>
      <w:r w:rsidR="001079B5" w:rsidRPr="00CF024D">
        <w:rPr>
          <w:rFonts w:hint="eastAsia"/>
          <w:lang w:val="en-CA" w:eastAsia="zh-CN"/>
        </w:rPr>
        <w:t>。然而在本文件定稿之时，以比索计算的遣散费增加水平还未可知。秘书处会根据工发组织后续提供的信息和届时的汇率对本文件</w:t>
      </w:r>
      <w:r w:rsidR="00532E6F" w:rsidRPr="00CF024D">
        <w:rPr>
          <w:rFonts w:hint="eastAsia"/>
          <w:lang w:val="en-CA" w:eastAsia="zh-CN"/>
        </w:rPr>
        <w:t>发布增编</w:t>
      </w:r>
      <w:r w:rsidR="001079B5" w:rsidRPr="00CF024D">
        <w:rPr>
          <w:rFonts w:hint="eastAsia"/>
          <w:lang w:val="en-CA" w:eastAsia="zh-CN"/>
        </w:rPr>
        <w:t>；</w:t>
      </w:r>
      <w:r w:rsidR="00532E6F" w:rsidRPr="00CF024D">
        <w:rPr>
          <w:rFonts w:hint="eastAsia"/>
          <w:lang w:val="en-CA" w:eastAsia="zh-CN"/>
        </w:rPr>
        <w:t>工发组织也将确认提供双倍赔偿金的指令是否在</w:t>
      </w:r>
      <w:r w:rsidR="00532E6F" w:rsidRPr="00CF024D">
        <w:rPr>
          <w:rFonts w:hint="eastAsia"/>
          <w:lang w:val="en-CA" w:eastAsia="zh-CN"/>
        </w:rPr>
        <w:t>2021</w:t>
      </w:r>
      <w:r w:rsidR="00532E6F" w:rsidRPr="00CF024D">
        <w:rPr>
          <w:rFonts w:hint="eastAsia"/>
          <w:lang w:val="en-CA" w:eastAsia="zh-CN"/>
        </w:rPr>
        <w:t>年得到延续。</w:t>
      </w:r>
      <w:r w:rsidR="00F56C7A" w:rsidRPr="00CF024D">
        <w:rPr>
          <w:kern w:val="36"/>
          <w:lang w:val="en-CA"/>
        </w:rPr>
        <w:t xml:space="preserve"> </w:t>
      </w:r>
    </w:p>
    <w:p w14:paraId="3E67CD06" w14:textId="68D8BA9B" w:rsidR="00386755" w:rsidRPr="00CF024D" w:rsidRDefault="00C8468C" w:rsidP="00833AB2">
      <w:pPr>
        <w:pStyle w:val="Heading1"/>
        <w:rPr>
          <w:lang w:val="en-CA"/>
        </w:rPr>
      </w:pPr>
      <w:r w:rsidRPr="00CF024D">
        <w:rPr>
          <w:rFonts w:hint="eastAsia"/>
          <w:lang w:val="en-CA" w:eastAsia="zh-CN"/>
        </w:rPr>
        <w:t>根据秘书处和独立顾问评估，关闭的损失利润将为零，因此</w:t>
      </w:r>
      <w:r w:rsidR="008F4C8C" w:rsidRPr="00CF024D">
        <w:rPr>
          <w:rFonts w:hint="eastAsia"/>
          <w:lang w:val="en-CA" w:eastAsia="zh-CN"/>
        </w:rPr>
        <w:t>秘书处</w:t>
      </w:r>
      <w:r w:rsidRPr="00CF024D">
        <w:rPr>
          <w:rFonts w:hint="eastAsia"/>
          <w:lang w:val="en-CA" w:eastAsia="zh-CN"/>
        </w:rPr>
        <w:t>认为关闭成本将完全由提供给</w:t>
      </w:r>
      <w:r w:rsidRPr="00CF024D">
        <w:rPr>
          <w:rFonts w:hint="eastAsia"/>
          <w:lang w:val="en-CA" w:eastAsia="zh-CN"/>
        </w:rPr>
        <w:t>48</w:t>
      </w:r>
      <w:r w:rsidRPr="00CF024D">
        <w:rPr>
          <w:rFonts w:hint="eastAsia"/>
          <w:lang w:val="en-CA" w:eastAsia="zh-CN"/>
        </w:rPr>
        <w:t>名工人的遣散费决定。</w:t>
      </w:r>
      <w:r w:rsidR="00540248" w:rsidRPr="00CF024D">
        <w:rPr>
          <w:lang w:val="en-CA"/>
        </w:rPr>
        <w:t xml:space="preserve"> </w:t>
      </w:r>
    </w:p>
    <w:p w14:paraId="33452931" w14:textId="20CD7BBB" w:rsidR="00E53635" w:rsidRPr="00CF024D" w:rsidRDefault="006B478E" w:rsidP="00E53635">
      <w:pPr>
        <w:rPr>
          <w:u w:val="single"/>
          <w:lang w:val="en-CA"/>
        </w:rPr>
      </w:pPr>
      <w:r w:rsidRPr="00CF024D">
        <w:rPr>
          <w:u w:val="single"/>
          <w:lang w:val="en-CA" w:eastAsia="zh-CN"/>
        </w:rPr>
        <w:t>备选方案</w:t>
      </w:r>
      <w:r w:rsidR="00C8468C" w:rsidRPr="00CF024D">
        <w:rPr>
          <w:rFonts w:hint="eastAsia"/>
          <w:u w:val="single"/>
          <w:lang w:val="en-CA" w:eastAsia="zh-CN"/>
        </w:rPr>
        <w:t>2</w:t>
      </w:r>
      <w:r w:rsidR="00C8468C" w:rsidRPr="00CF024D">
        <w:rPr>
          <w:rFonts w:hint="eastAsia"/>
          <w:u w:val="single"/>
          <w:lang w:val="en-CA" w:eastAsia="zh-CN"/>
        </w:rPr>
        <w:t>的进一步分析：重启焚化炉并继续</w:t>
      </w:r>
      <w:r w:rsidR="00C8468C" w:rsidRPr="00CF024D">
        <w:rPr>
          <w:rFonts w:hint="eastAsia"/>
          <w:u w:val="single"/>
          <w:lang w:val="en-CA" w:eastAsia="zh-CN"/>
        </w:rPr>
        <w:t>HCFC-22</w:t>
      </w:r>
      <w:r w:rsidR="00C8468C" w:rsidRPr="00CF024D">
        <w:rPr>
          <w:rFonts w:hint="eastAsia"/>
          <w:u w:val="single"/>
          <w:lang w:val="en-CA" w:eastAsia="zh-CN"/>
        </w:rPr>
        <w:t>生产</w:t>
      </w:r>
    </w:p>
    <w:p w14:paraId="0F518EC1" w14:textId="0FDF183E" w:rsidR="00E9270B" w:rsidRPr="00CF024D" w:rsidRDefault="00E9270B" w:rsidP="003B6AEA">
      <w:pPr>
        <w:rPr>
          <w:lang w:val="en-CA"/>
        </w:rPr>
      </w:pPr>
    </w:p>
    <w:p w14:paraId="1E6212D2" w14:textId="6C6B9A8D" w:rsidR="00FF5575" w:rsidRPr="00CF024D" w:rsidRDefault="00142A71" w:rsidP="00FF5575">
      <w:pPr>
        <w:rPr>
          <w:i/>
          <w:lang w:val="en-CA"/>
        </w:rPr>
      </w:pPr>
      <w:r w:rsidRPr="00CF024D">
        <w:rPr>
          <w:rFonts w:hint="eastAsia"/>
          <w:i/>
          <w:lang w:val="en-CA" w:eastAsia="zh-CN"/>
        </w:rPr>
        <w:t>增量资本成本</w:t>
      </w:r>
    </w:p>
    <w:p w14:paraId="7CB1B117" w14:textId="75582E33" w:rsidR="00FF5575" w:rsidRPr="00CF024D" w:rsidRDefault="00FF5575" w:rsidP="003B6AEA">
      <w:pPr>
        <w:rPr>
          <w:lang w:val="en-CA"/>
        </w:rPr>
      </w:pPr>
    </w:p>
    <w:p w14:paraId="69A93977" w14:textId="42E83B61" w:rsidR="000B4EAD" w:rsidRPr="00CF024D" w:rsidRDefault="00594136" w:rsidP="00972FE0">
      <w:pPr>
        <w:pStyle w:val="Heading1"/>
        <w:rPr>
          <w:lang w:val="en-CA"/>
        </w:rPr>
      </w:pPr>
      <w:r w:rsidRPr="00CF024D">
        <w:rPr>
          <w:rFonts w:hint="eastAsia"/>
          <w:lang w:val="en-CA" w:eastAsia="zh-CN"/>
        </w:rPr>
        <w:t>注意到自项目提交第八十三次会议后流逝的时间，</w:t>
      </w:r>
      <w:r w:rsidR="003C5909" w:rsidRPr="00CF024D">
        <w:rPr>
          <w:rFonts w:hint="eastAsia"/>
          <w:lang w:val="en-CA" w:eastAsia="zh-CN"/>
        </w:rPr>
        <w:t>针对秘书处在第八十三次会议上提出的翻新焚化炉的成本，工发组织提交的用于制氧机的沸石成本，</w:t>
      </w:r>
      <w:r w:rsidR="00AD087E" w:rsidRPr="00CF024D">
        <w:rPr>
          <w:rFonts w:hint="eastAsia"/>
          <w:lang w:val="en-CA" w:eastAsia="zh-CN"/>
        </w:rPr>
        <w:t>最终</w:t>
      </w:r>
      <w:r w:rsidR="007075E2" w:rsidRPr="00CF024D">
        <w:rPr>
          <w:rFonts w:hint="eastAsia"/>
          <w:lang w:val="en-CA" w:eastAsia="zh-CN"/>
        </w:rPr>
        <w:t>废气洗涤器和容纳低温焚化炉的建筑物成本</w:t>
      </w:r>
      <w:r w:rsidR="00FB6B12" w:rsidRPr="00CF024D">
        <w:rPr>
          <w:rFonts w:hint="eastAsia"/>
          <w:lang w:val="en-CA" w:eastAsia="zh-CN"/>
        </w:rPr>
        <w:t>分别降低</w:t>
      </w:r>
      <w:r w:rsidR="00FB6B12" w:rsidRPr="00CF024D">
        <w:rPr>
          <w:rFonts w:hint="eastAsia"/>
          <w:lang w:val="en-CA" w:eastAsia="zh-CN"/>
        </w:rPr>
        <w:t>50%</w:t>
      </w:r>
      <w:r w:rsidR="00FB6B12" w:rsidRPr="00CF024D">
        <w:rPr>
          <w:rFonts w:hint="eastAsia"/>
          <w:lang w:val="en-CA" w:eastAsia="zh-CN"/>
        </w:rPr>
        <w:t>和</w:t>
      </w:r>
      <w:r w:rsidR="00FB6B12" w:rsidRPr="00CF024D">
        <w:rPr>
          <w:rFonts w:hint="eastAsia"/>
          <w:lang w:val="en-CA" w:eastAsia="zh-CN"/>
        </w:rPr>
        <w:t>20%</w:t>
      </w:r>
      <w:r w:rsidR="00FB6B12" w:rsidRPr="00CF024D">
        <w:rPr>
          <w:rFonts w:hint="eastAsia"/>
          <w:lang w:val="en-CA" w:eastAsia="zh-CN"/>
        </w:rPr>
        <w:t>后；以及对交付、安装和调试成本进行细微调整后，工发组织基于通胀带来的</w:t>
      </w:r>
      <w:r w:rsidR="00FB6B12" w:rsidRPr="00CF024D">
        <w:rPr>
          <w:rFonts w:hint="eastAsia"/>
          <w:lang w:val="en-CA" w:eastAsia="zh-CN"/>
        </w:rPr>
        <w:t>5%</w:t>
      </w:r>
      <w:r w:rsidR="00FB6B12" w:rsidRPr="00CF024D">
        <w:rPr>
          <w:rFonts w:hint="eastAsia"/>
          <w:lang w:val="en-CA" w:eastAsia="zh-CN"/>
        </w:rPr>
        <w:t>增长，提出增量资本成本为</w:t>
      </w:r>
      <w:r w:rsidR="00972FE0" w:rsidRPr="00CF024D">
        <w:rPr>
          <w:lang w:val="en-CA"/>
        </w:rPr>
        <w:t>1,369,863</w:t>
      </w:r>
      <w:r w:rsidR="00FB6B12" w:rsidRPr="00CF024D">
        <w:rPr>
          <w:rFonts w:hint="eastAsia"/>
          <w:lang w:val="en-CA" w:eastAsia="zh-CN"/>
        </w:rPr>
        <w:t>美元（表</w:t>
      </w:r>
      <w:r w:rsidR="00FB6B12" w:rsidRPr="00CF024D">
        <w:rPr>
          <w:rFonts w:hint="eastAsia"/>
          <w:lang w:val="en-CA" w:eastAsia="zh-CN"/>
        </w:rPr>
        <w:t>1</w:t>
      </w:r>
      <w:r w:rsidR="00FB6B12" w:rsidRPr="00CF024D">
        <w:rPr>
          <w:rFonts w:hint="eastAsia"/>
          <w:lang w:val="en-CA" w:eastAsia="zh-CN"/>
        </w:rPr>
        <w:t>）。</w:t>
      </w:r>
      <w:r w:rsidR="00972FE0" w:rsidRPr="00CF024D">
        <w:rPr>
          <w:lang w:val="en-CA"/>
        </w:rPr>
        <w:t xml:space="preserve"> </w:t>
      </w:r>
    </w:p>
    <w:p w14:paraId="66465576" w14:textId="2DB2C93F" w:rsidR="00F73769" w:rsidRPr="00CF024D" w:rsidRDefault="008F7FCD" w:rsidP="00E13C14">
      <w:pPr>
        <w:pStyle w:val="Heading1"/>
        <w:rPr>
          <w:lang w:val="en-CA" w:eastAsia="es-AR"/>
        </w:rPr>
      </w:pPr>
      <w:r w:rsidRPr="00CF024D">
        <w:rPr>
          <w:rFonts w:hint="eastAsia"/>
          <w:lang w:val="en-CA" w:eastAsia="zh-CN"/>
        </w:rPr>
        <w:t>秘书处要求工发组织</w:t>
      </w:r>
      <w:r w:rsidR="00084E7B" w:rsidRPr="00CF024D">
        <w:rPr>
          <w:rFonts w:hint="eastAsia"/>
          <w:lang w:val="en-CA" w:eastAsia="zh-CN"/>
        </w:rPr>
        <w:t>获取了技术供应商翻新焚化炉的更新报价。基于更新的报价，</w:t>
      </w:r>
      <w:r w:rsidR="00317D6E" w:rsidRPr="00CF024D">
        <w:rPr>
          <w:rFonts w:hint="eastAsia"/>
          <w:lang w:val="en-CA" w:eastAsia="zh-CN"/>
        </w:rPr>
        <w:t>秘书处重新评估了第八十三次会议</w:t>
      </w:r>
      <w:r w:rsidR="0091457F" w:rsidRPr="00CF024D">
        <w:rPr>
          <w:rFonts w:hint="eastAsia"/>
          <w:lang w:val="en-CA" w:eastAsia="zh-CN"/>
        </w:rPr>
        <w:t>上针对</w:t>
      </w:r>
      <w:r w:rsidR="00317D6E" w:rsidRPr="00CF024D">
        <w:rPr>
          <w:rFonts w:hint="eastAsia"/>
          <w:lang w:val="en-CA" w:eastAsia="zh-CN"/>
        </w:rPr>
        <w:t>翻新焚化炉的增量资本成本</w:t>
      </w:r>
      <w:r w:rsidR="0091457F" w:rsidRPr="00CF024D">
        <w:rPr>
          <w:rFonts w:hint="eastAsia"/>
          <w:lang w:val="en-CA" w:eastAsia="zh-CN"/>
        </w:rPr>
        <w:t>，得出增量资本成本为</w:t>
      </w:r>
      <w:r w:rsidR="00B23ADD" w:rsidRPr="00CF024D">
        <w:rPr>
          <w:lang w:val="en-CA" w:eastAsia="es-AR"/>
        </w:rPr>
        <w:t>1,26</w:t>
      </w:r>
      <w:r w:rsidR="00FB34AC" w:rsidRPr="00CF024D">
        <w:rPr>
          <w:lang w:val="en-CA" w:eastAsia="es-AR"/>
        </w:rPr>
        <w:t>5,128</w:t>
      </w:r>
      <w:r w:rsidR="0091457F" w:rsidRPr="00CF024D">
        <w:rPr>
          <w:rFonts w:hint="eastAsia"/>
          <w:lang w:val="en-CA" w:eastAsia="zh-CN"/>
        </w:rPr>
        <w:t>美元，如下（表</w:t>
      </w:r>
      <w:r w:rsidR="0091457F" w:rsidRPr="00CF024D">
        <w:rPr>
          <w:rFonts w:hint="eastAsia"/>
          <w:lang w:val="en-CA" w:eastAsia="zh-CN"/>
        </w:rPr>
        <w:t>1</w:t>
      </w:r>
      <w:r w:rsidR="0091457F" w:rsidRPr="00CF024D">
        <w:rPr>
          <w:rFonts w:hint="eastAsia"/>
          <w:lang w:val="en-CA" w:eastAsia="zh-CN"/>
        </w:rPr>
        <w:t>）：</w:t>
      </w:r>
    </w:p>
    <w:p w14:paraId="5AFCC52E" w14:textId="5BFF5B2C" w:rsidR="00695AF4" w:rsidRPr="00CF024D" w:rsidRDefault="00451598" w:rsidP="00E13C14">
      <w:pPr>
        <w:pStyle w:val="Heading2"/>
        <w:tabs>
          <w:tab w:val="clear" w:pos="3060"/>
          <w:tab w:val="num" w:pos="-2160"/>
        </w:tabs>
        <w:ind w:left="1440"/>
        <w:rPr>
          <w:lang w:val="en-CA"/>
        </w:rPr>
      </w:pPr>
      <w:r w:rsidRPr="00CF024D">
        <w:rPr>
          <w:rFonts w:hint="eastAsia"/>
          <w:lang w:val="en-CA" w:eastAsia="zh-CN"/>
        </w:rPr>
        <w:t>反映在技术供应商以欧元计价的更新报价中焚化炉翻新成本提高的</w:t>
      </w:r>
      <w:r w:rsidRPr="00CF024D">
        <w:rPr>
          <w:rFonts w:hint="eastAsia"/>
          <w:lang w:val="en-CA" w:eastAsia="zh-CN"/>
        </w:rPr>
        <w:t>5%</w:t>
      </w:r>
      <w:r w:rsidR="001A7B2E" w:rsidRPr="00CF024D">
        <w:rPr>
          <w:rFonts w:hint="eastAsia"/>
          <w:lang w:val="en-CA" w:eastAsia="zh-CN"/>
        </w:rPr>
        <w:t>；</w:t>
      </w:r>
      <w:r w:rsidR="00391641" w:rsidRPr="00CF024D">
        <w:rPr>
          <w:rFonts w:hint="eastAsia"/>
          <w:lang w:val="en-CA" w:eastAsia="zh-CN"/>
        </w:rPr>
        <w:t>自第八十三次会议以来欧元</w:t>
      </w:r>
      <w:r w:rsidR="00752C15" w:rsidRPr="00CF024D">
        <w:rPr>
          <w:rFonts w:hint="eastAsia"/>
          <w:lang w:val="en-CA" w:eastAsia="zh-CN"/>
        </w:rPr>
        <w:t>相对于</w:t>
      </w:r>
      <w:r w:rsidR="00391641" w:rsidRPr="00CF024D">
        <w:rPr>
          <w:rFonts w:hint="eastAsia"/>
          <w:lang w:val="en-CA" w:eastAsia="zh-CN"/>
        </w:rPr>
        <w:t>美元走强；以及依据第八十三次会议的方法，</w:t>
      </w:r>
      <w:r w:rsidR="00393474" w:rsidRPr="00CF024D">
        <w:rPr>
          <w:rFonts w:hint="eastAsia"/>
          <w:lang w:val="en-CA" w:eastAsia="zh-CN"/>
        </w:rPr>
        <w:t>提交的更新报价的</w:t>
      </w:r>
      <w:r w:rsidR="00393474" w:rsidRPr="00CF024D">
        <w:rPr>
          <w:rFonts w:hint="eastAsia"/>
          <w:lang w:val="en-CA" w:eastAsia="zh-CN"/>
        </w:rPr>
        <w:t>95%</w:t>
      </w:r>
      <w:r w:rsidR="00393474" w:rsidRPr="00CF024D">
        <w:rPr>
          <w:rFonts w:hint="eastAsia"/>
          <w:lang w:val="en-CA" w:eastAsia="zh-CN"/>
        </w:rPr>
        <w:t>，</w:t>
      </w:r>
      <w:r w:rsidR="006A12DA" w:rsidRPr="00CF024D">
        <w:rPr>
          <w:rFonts w:hint="eastAsia"/>
          <w:lang w:val="en-CA" w:eastAsia="zh-CN"/>
        </w:rPr>
        <w:t>鉴于部分设备（即氢氟酸循环泵、液体循环泵、手动阀和配件、以及管道维修和翻新材料）可能以更低的成本在本地采购，导致焚化炉翻新成本为</w:t>
      </w:r>
      <w:r w:rsidR="00695AF4" w:rsidRPr="00CF024D">
        <w:rPr>
          <w:lang w:val="en-CA"/>
        </w:rPr>
        <w:t>979,776</w:t>
      </w:r>
      <w:r w:rsidR="006A12DA" w:rsidRPr="00CF024D">
        <w:rPr>
          <w:rFonts w:hint="eastAsia"/>
          <w:lang w:val="en-CA" w:eastAsia="zh-CN"/>
        </w:rPr>
        <w:t>美元；</w:t>
      </w:r>
    </w:p>
    <w:p w14:paraId="34625615" w14:textId="53780FA8" w:rsidR="00AC4387" w:rsidRPr="00CF024D" w:rsidRDefault="009813BF" w:rsidP="00F73769">
      <w:pPr>
        <w:pStyle w:val="Heading2"/>
        <w:tabs>
          <w:tab w:val="clear" w:pos="3060"/>
          <w:tab w:val="num" w:pos="-2160"/>
        </w:tabs>
        <w:ind w:left="1440"/>
        <w:rPr>
          <w:lang w:val="en-CA"/>
        </w:rPr>
      </w:pPr>
      <w:r w:rsidRPr="00CF024D">
        <w:rPr>
          <w:rFonts w:hint="eastAsia"/>
          <w:lang w:val="en-CA" w:eastAsia="zh-CN"/>
        </w:rPr>
        <w:t>由于</w:t>
      </w:r>
      <w:r w:rsidR="00750E49" w:rsidRPr="00CF024D">
        <w:rPr>
          <w:rFonts w:hint="eastAsia"/>
          <w:lang w:val="en-CA" w:eastAsia="zh-CN"/>
        </w:rPr>
        <w:t>更新报价</w:t>
      </w:r>
      <w:r w:rsidR="00684451" w:rsidRPr="00CF024D">
        <w:rPr>
          <w:rFonts w:hint="eastAsia"/>
          <w:lang w:val="en-CA" w:eastAsia="zh-CN"/>
        </w:rPr>
        <w:t>的劳动力成本与</w:t>
      </w:r>
      <w:r w:rsidR="00750E49" w:rsidRPr="00CF024D">
        <w:rPr>
          <w:rFonts w:hint="eastAsia"/>
          <w:lang w:val="en-CA" w:eastAsia="zh-CN"/>
        </w:rPr>
        <w:t>提交第八十三次会议</w:t>
      </w:r>
      <w:r w:rsidR="00684451" w:rsidRPr="00CF024D">
        <w:rPr>
          <w:rFonts w:hint="eastAsia"/>
          <w:lang w:val="en-CA" w:eastAsia="zh-CN"/>
        </w:rPr>
        <w:t>的一致</w:t>
      </w:r>
      <w:r w:rsidR="00750E49" w:rsidRPr="00CF024D">
        <w:rPr>
          <w:rFonts w:hint="eastAsia"/>
          <w:lang w:val="en-CA" w:eastAsia="zh-CN"/>
        </w:rPr>
        <w:t>，</w:t>
      </w:r>
      <w:r w:rsidR="00684451" w:rsidRPr="00CF024D">
        <w:rPr>
          <w:rFonts w:hint="eastAsia"/>
          <w:lang w:val="en-CA" w:eastAsia="zh-CN"/>
        </w:rPr>
        <w:t>因此</w:t>
      </w:r>
      <w:r w:rsidR="00750E49" w:rsidRPr="00CF024D">
        <w:rPr>
          <w:rFonts w:hint="eastAsia"/>
          <w:lang w:val="en-CA" w:eastAsia="zh-CN"/>
        </w:rPr>
        <w:t>安装和调试成本</w:t>
      </w:r>
      <w:r w:rsidR="003125A7" w:rsidRPr="00CF024D">
        <w:rPr>
          <w:rFonts w:hint="eastAsia"/>
          <w:lang w:val="en-CA" w:eastAsia="zh-CN"/>
        </w:rPr>
        <w:t>与第八十三次会议保持一致；</w:t>
      </w:r>
    </w:p>
    <w:p w14:paraId="7A1E3036" w14:textId="41232724" w:rsidR="00AC4387" w:rsidRPr="00CF024D" w:rsidRDefault="00684451" w:rsidP="00AC4387">
      <w:pPr>
        <w:pStyle w:val="Heading2"/>
        <w:tabs>
          <w:tab w:val="clear" w:pos="3060"/>
          <w:tab w:val="num" w:pos="-2160"/>
        </w:tabs>
        <w:ind w:left="1440"/>
        <w:rPr>
          <w:lang w:val="en-CA" w:eastAsia="es-AR"/>
        </w:rPr>
      </w:pPr>
      <w:r w:rsidRPr="00CF024D">
        <w:rPr>
          <w:rFonts w:hint="eastAsia"/>
          <w:lang w:val="en-CA" w:eastAsia="zh-CN"/>
        </w:rPr>
        <w:t>因通胀和阿根廷比索的贬值而调整本地成本（即</w:t>
      </w:r>
      <w:r w:rsidR="006B478E" w:rsidRPr="00CF024D">
        <w:rPr>
          <w:lang w:val="en-CA" w:eastAsia="zh-CN"/>
        </w:rPr>
        <w:t>FIASA</w:t>
      </w:r>
      <w:r w:rsidR="006B478E" w:rsidRPr="00CF024D">
        <w:rPr>
          <w:lang w:val="en-CA" w:eastAsia="zh-CN"/>
        </w:rPr>
        <w:t>工厂</w:t>
      </w:r>
      <w:r w:rsidRPr="00CF024D">
        <w:rPr>
          <w:rFonts w:hint="eastAsia"/>
          <w:lang w:val="en-CA" w:eastAsia="zh-CN"/>
        </w:rPr>
        <w:t>额外的建设成本、容纳低温罐的建筑物成本和一次性注册成本）；以及</w:t>
      </w:r>
    </w:p>
    <w:p w14:paraId="7EDEB0E4" w14:textId="01ECEED0" w:rsidR="009D5E23" w:rsidRPr="00CF024D" w:rsidRDefault="004A1AD6" w:rsidP="00833AB2">
      <w:pPr>
        <w:pStyle w:val="Heading2"/>
        <w:tabs>
          <w:tab w:val="clear" w:pos="3060"/>
          <w:tab w:val="num" w:pos="-2160"/>
        </w:tabs>
        <w:ind w:left="1440"/>
        <w:rPr>
          <w:lang w:val="en-CA"/>
        </w:rPr>
      </w:pPr>
      <w:r w:rsidRPr="00CF024D">
        <w:rPr>
          <w:rFonts w:hint="eastAsia"/>
          <w:lang w:val="en-CA" w:eastAsia="zh-CN"/>
        </w:rPr>
        <w:lastRenderedPageBreak/>
        <w:t>第八十三次会议注意到，</w:t>
      </w:r>
      <w:r w:rsidR="00AD087E" w:rsidRPr="00CF024D">
        <w:rPr>
          <w:rFonts w:hint="eastAsia"/>
          <w:lang w:val="en-CA" w:eastAsia="zh-CN"/>
        </w:rPr>
        <w:t>可选的（聚四氟乙烯衬里的）最终废气洗涤器和变压吸收式制氧机的沸石都不是增量式的。</w:t>
      </w:r>
    </w:p>
    <w:p w14:paraId="79493623" w14:textId="0461A746" w:rsidR="00AC4438" w:rsidRPr="00CF024D" w:rsidRDefault="00AD087E" w:rsidP="00AC4438">
      <w:pPr>
        <w:rPr>
          <w:lang w:val="en-CA"/>
        </w:rPr>
      </w:pPr>
      <w:r w:rsidRPr="00CF024D">
        <w:rPr>
          <w:rFonts w:hint="eastAsia"/>
          <w:b/>
          <w:lang w:val="en-CA" w:eastAsia="zh-CN"/>
        </w:rPr>
        <w:t>表</w:t>
      </w:r>
      <w:r w:rsidR="00AC4387" w:rsidRPr="00CF024D">
        <w:rPr>
          <w:b/>
          <w:lang w:val="en-CA"/>
        </w:rPr>
        <w:t>1</w:t>
      </w:r>
      <w:r w:rsidR="00AC4438" w:rsidRPr="00CF024D">
        <w:rPr>
          <w:b/>
          <w:lang w:val="en-CA"/>
        </w:rPr>
        <w:t xml:space="preserve">. </w:t>
      </w:r>
      <w:r w:rsidRPr="00CF024D">
        <w:rPr>
          <w:rFonts w:hint="eastAsia"/>
          <w:b/>
          <w:lang w:val="en-CA" w:eastAsia="zh-CN"/>
        </w:rPr>
        <w:t>焚化炉翻新的增量资本成本（美元）</w:t>
      </w:r>
    </w:p>
    <w:tbl>
      <w:tblPr>
        <w:tblW w:w="5000" w:type="pct"/>
        <w:tblLayout w:type="fixed"/>
        <w:tblLook w:val="04A0" w:firstRow="1" w:lastRow="0" w:firstColumn="1" w:lastColumn="0" w:noHBand="0" w:noVBand="1"/>
      </w:tblPr>
      <w:tblGrid>
        <w:gridCol w:w="3331"/>
        <w:gridCol w:w="1505"/>
        <w:gridCol w:w="1507"/>
        <w:gridCol w:w="1505"/>
        <w:gridCol w:w="1502"/>
      </w:tblGrid>
      <w:tr w:rsidR="00BD7F59" w:rsidRPr="00CF024D" w14:paraId="35C7C85E" w14:textId="77777777" w:rsidTr="00A20B0E">
        <w:trPr>
          <w:trHeight w:val="71"/>
          <w:tblHeader/>
        </w:trPr>
        <w:tc>
          <w:tcPr>
            <w:tcW w:w="1781" w:type="pct"/>
            <w:vMerge w:val="restart"/>
            <w:tcBorders>
              <w:top w:val="single" w:sz="4" w:space="0" w:color="auto"/>
              <w:left w:val="single" w:sz="4" w:space="0" w:color="auto"/>
              <w:right w:val="nil"/>
            </w:tcBorders>
            <w:shd w:val="clear" w:color="auto" w:fill="auto"/>
            <w:noWrap/>
            <w:vAlign w:val="center"/>
            <w:hideMark/>
          </w:tcPr>
          <w:p w14:paraId="0D7C8BD9" w14:textId="5ABFBA8E" w:rsidR="00BD7F59" w:rsidRPr="00CF024D" w:rsidRDefault="00274DB2" w:rsidP="00BD7F59">
            <w:pPr>
              <w:jc w:val="left"/>
              <w:rPr>
                <w:sz w:val="20"/>
                <w:szCs w:val="20"/>
                <w:lang w:val="en-CA" w:eastAsia="en-CA"/>
              </w:rPr>
            </w:pPr>
            <w:proofErr w:type="spellStart"/>
            <w:r w:rsidRPr="00CF024D">
              <w:rPr>
                <w:rFonts w:hint="eastAsia"/>
                <w:sz w:val="20"/>
                <w:szCs w:val="20"/>
                <w:lang w:val="en-CA" w:eastAsia="en-CA"/>
              </w:rPr>
              <w:t>说明</w:t>
            </w:r>
            <w:proofErr w:type="spellEnd"/>
          </w:p>
        </w:tc>
        <w:tc>
          <w:tcPr>
            <w:tcW w:w="1611" w:type="pct"/>
            <w:gridSpan w:val="2"/>
            <w:tcBorders>
              <w:top w:val="single" w:sz="4" w:space="0" w:color="auto"/>
              <w:left w:val="single" w:sz="4" w:space="0" w:color="auto"/>
              <w:bottom w:val="single" w:sz="4" w:space="0" w:color="auto"/>
              <w:right w:val="single" w:sz="4" w:space="0" w:color="auto"/>
            </w:tcBorders>
            <w:shd w:val="clear" w:color="auto" w:fill="auto"/>
            <w:hideMark/>
          </w:tcPr>
          <w:p w14:paraId="7E0DBFFF" w14:textId="591B6E06" w:rsidR="00BD7F59" w:rsidRPr="00CF024D" w:rsidRDefault="00AD087E" w:rsidP="000A2650">
            <w:pPr>
              <w:jc w:val="center"/>
              <w:rPr>
                <w:b/>
                <w:bCs/>
                <w:color w:val="000000"/>
                <w:sz w:val="20"/>
                <w:szCs w:val="20"/>
                <w:lang w:val="en-CA" w:eastAsia="en-CA"/>
              </w:rPr>
            </w:pPr>
            <w:proofErr w:type="spellStart"/>
            <w:r w:rsidRPr="00CF024D">
              <w:rPr>
                <w:rFonts w:hint="eastAsia"/>
                <w:b/>
                <w:bCs/>
                <w:color w:val="000000"/>
                <w:sz w:val="20"/>
                <w:szCs w:val="20"/>
                <w:lang w:val="en-CA" w:eastAsia="en-CA"/>
              </w:rPr>
              <w:t>第八十三次会议</w:t>
            </w:r>
            <w:proofErr w:type="spellEnd"/>
          </w:p>
        </w:tc>
        <w:tc>
          <w:tcPr>
            <w:tcW w:w="1609" w:type="pct"/>
            <w:gridSpan w:val="2"/>
            <w:tcBorders>
              <w:top w:val="single" w:sz="4" w:space="0" w:color="auto"/>
              <w:left w:val="nil"/>
              <w:bottom w:val="single" w:sz="4" w:space="0" w:color="auto"/>
              <w:right w:val="single" w:sz="4" w:space="0" w:color="auto"/>
            </w:tcBorders>
            <w:shd w:val="clear" w:color="auto" w:fill="auto"/>
            <w:hideMark/>
          </w:tcPr>
          <w:p w14:paraId="708B945E" w14:textId="453CCD9B" w:rsidR="00BD7F59" w:rsidRPr="00CF024D" w:rsidRDefault="00AD087E" w:rsidP="000A2650">
            <w:pPr>
              <w:jc w:val="center"/>
              <w:rPr>
                <w:b/>
                <w:bCs/>
                <w:color w:val="000000"/>
                <w:sz w:val="20"/>
                <w:szCs w:val="20"/>
                <w:lang w:val="en-CA" w:eastAsia="en-CA"/>
              </w:rPr>
            </w:pPr>
            <w:proofErr w:type="spellStart"/>
            <w:r w:rsidRPr="00CF024D">
              <w:rPr>
                <w:rFonts w:hint="eastAsia"/>
                <w:b/>
                <w:bCs/>
                <w:color w:val="000000"/>
                <w:sz w:val="20"/>
                <w:szCs w:val="20"/>
                <w:lang w:val="en-CA" w:eastAsia="en-CA"/>
              </w:rPr>
              <w:t>第八十六次会议</w:t>
            </w:r>
            <w:proofErr w:type="spellEnd"/>
          </w:p>
        </w:tc>
      </w:tr>
      <w:tr w:rsidR="00A20B0E" w:rsidRPr="00CF024D" w14:paraId="5B7498DF" w14:textId="77777777" w:rsidTr="00A20B0E">
        <w:trPr>
          <w:trHeight w:val="215"/>
          <w:tblHeader/>
        </w:trPr>
        <w:tc>
          <w:tcPr>
            <w:tcW w:w="1781" w:type="pct"/>
            <w:vMerge/>
            <w:tcBorders>
              <w:left w:val="single" w:sz="4" w:space="0" w:color="auto"/>
              <w:bottom w:val="single" w:sz="4" w:space="0" w:color="auto"/>
              <w:right w:val="single" w:sz="4" w:space="0" w:color="auto"/>
            </w:tcBorders>
            <w:shd w:val="clear" w:color="auto" w:fill="auto"/>
            <w:noWrap/>
            <w:hideMark/>
          </w:tcPr>
          <w:p w14:paraId="4C5E9F7B" w14:textId="361D049E" w:rsidR="00A20B0E" w:rsidRPr="00CF024D" w:rsidRDefault="00A20B0E" w:rsidP="000A2650">
            <w:pPr>
              <w:jc w:val="center"/>
              <w:rPr>
                <w:b/>
                <w:bCs/>
                <w:color w:val="000000"/>
                <w:sz w:val="20"/>
                <w:szCs w:val="20"/>
                <w:lang w:val="en-CA" w:eastAsia="en-CA"/>
              </w:rPr>
            </w:pPr>
          </w:p>
        </w:tc>
        <w:tc>
          <w:tcPr>
            <w:tcW w:w="805" w:type="pct"/>
            <w:tcBorders>
              <w:top w:val="nil"/>
              <w:left w:val="nil"/>
              <w:bottom w:val="single" w:sz="4" w:space="0" w:color="auto"/>
              <w:right w:val="single" w:sz="4" w:space="0" w:color="auto"/>
            </w:tcBorders>
            <w:shd w:val="clear" w:color="auto" w:fill="auto"/>
            <w:vAlign w:val="center"/>
            <w:hideMark/>
          </w:tcPr>
          <w:p w14:paraId="651909A6" w14:textId="0455C6D4" w:rsidR="00A20B0E" w:rsidRPr="00CF024D" w:rsidRDefault="00A20B0E" w:rsidP="00C93150">
            <w:pPr>
              <w:jc w:val="center"/>
              <w:rPr>
                <w:b/>
                <w:bCs/>
                <w:color w:val="000000"/>
                <w:sz w:val="20"/>
                <w:szCs w:val="20"/>
                <w:lang w:val="en-CA" w:eastAsia="en-CA"/>
              </w:rPr>
            </w:pPr>
            <w:proofErr w:type="spellStart"/>
            <w:r w:rsidRPr="00CF024D">
              <w:rPr>
                <w:rFonts w:hint="eastAsia"/>
                <w:b/>
                <w:bCs/>
                <w:color w:val="000000"/>
                <w:sz w:val="20"/>
                <w:szCs w:val="20"/>
                <w:lang w:val="en-CA" w:eastAsia="en-CA"/>
              </w:rPr>
              <w:t>工发组织</w:t>
            </w:r>
            <w:proofErr w:type="spellEnd"/>
          </w:p>
        </w:tc>
        <w:tc>
          <w:tcPr>
            <w:tcW w:w="806" w:type="pct"/>
            <w:tcBorders>
              <w:top w:val="nil"/>
              <w:left w:val="nil"/>
              <w:bottom w:val="single" w:sz="4" w:space="0" w:color="auto"/>
              <w:right w:val="single" w:sz="4" w:space="0" w:color="auto"/>
            </w:tcBorders>
            <w:shd w:val="clear" w:color="auto" w:fill="auto"/>
            <w:vAlign w:val="center"/>
            <w:hideMark/>
          </w:tcPr>
          <w:p w14:paraId="0C940897" w14:textId="06369D20" w:rsidR="00A20B0E" w:rsidRPr="00CF024D" w:rsidRDefault="00A20B0E" w:rsidP="00C93150">
            <w:pPr>
              <w:jc w:val="center"/>
              <w:rPr>
                <w:b/>
                <w:bCs/>
                <w:color w:val="000000"/>
                <w:sz w:val="20"/>
                <w:szCs w:val="20"/>
                <w:lang w:val="en-CA" w:eastAsia="en-CA"/>
              </w:rPr>
            </w:pPr>
            <w:proofErr w:type="spellStart"/>
            <w:r w:rsidRPr="00CF024D">
              <w:rPr>
                <w:rFonts w:hint="eastAsia"/>
                <w:b/>
                <w:bCs/>
                <w:color w:val="000000"/>
                <w:sz w:val="20"/>
                <w:szCs w:val="20"/>
                <w:lang w:val="en-CA" w:eastAsia="en-CA"/>
              </w:rPr>
              <w:t>秘书处</w:t>
            </w:r>
            <w:proofErr w:type="spellEnd"/>
          </w:p>
        </w:tc>
        <w:tc>
          <w:tcPr>
            <w:tcW w:w="805" w:type="pct"/>
            <w:tcBorders>
              <w:top w:val="nil"/>
              <w:left w:val="nil"/>
              <w:bottom w:val="single" w:sz="4" w:space="0" w:color="auto"/>
              <w:right w:val="single" w:sz="4" w:space="0" w:color="auto"/>
            </w:tcBorders>
            <w:shd w:val="clear" w:color="auto" w:fill="auto"/>
            <w:vAlign w:val="center"/>
            <w:hideMark/>
          </w:tcPr>
          <w:p w14:paraId="261A2FD2" w14:textId="1015FC83" w:rsidR="00A20B0E" w:rsidRPr="00CF024D" w:rsidRDefault="00A20B0E" w:rsidP="00595E7E">
            <w:pPr>
              <w:jc w:val="center"/>
              <w:rPr>
                <w:b/>
                <w:bCs/>
                <w:color w:val="000000"/>
                <w:sz w:val="20"/>
                <w:szCs w:val="20"/>
                <w:lang w:val="en-CA" w:eastAsia="en-CA"/>
              </w:rPr>
            </w:pPr>
            <w:proofErr w:type="spellStart"/>
            <w:r w:rsidRPr="00CF024D">
              <w:rPr>
                <w:rFonts w:hint="eastAsia"/>
                <w:b/>
                <w:bCs/>
                <w:color w:val="000000"/>
                <w:sz w:val="20"/>
                <w:szCs w:val="20"/>
                <w:lang w:val="en-CA" w:eastAsia="en-CA"/>
              </w:rPr>
              <w:t>工发组织</w:t>
            </w:r>
            <w:proofErr w:type="spellEnd"/>
          </w:p>
        </w:tc>
        <w:tc>
          <w:tcPr>
            <w:tcW w:w="804" w:type="pct"/>
            <w:tcBorders>
              <w:top w:val="nil"/>
              <w:left w:val="nil"/>
              <w:bottom w:val="single" w:sz="4" w:space="0" w:color="auto"/>
              <w:right w:val="single" w:sz="4" w:space="0" w:color="auto"/>
            </w:tcBorders>
            <w:shd w:val="clear" w:color="auto" w:fill="auto"/>
            <w:vAlign w:val="center"/>
            <w:hideMark/>
          </w:tcPr>
          <w:p w14:paraId="55A95026" w14:textId="265B9114" w:rsidR="00A20B0E" w:rsidRPr="00CF024D" w:rsidRDefault="00A20B0E" w:rsidP="00595E7E">
            <w:pPr>
              <w:jc w:val="center"/>
              <w:rPr>
                <w:b/>
                <w:bCs/>
                <w:color w:val="000000"/>
                <w:sz w:val="20"/>
                <w:szCs w:val="20"/>
                <w:lang w:val="en-CA" w:eastAsia="en-CA"/>
              </w:rPr>
            </w:pPr>
            <w:proofErr w:type="spellStart"/>
            <w:r w:rsidRPr="00CF024D">
              <w:rPr>
                <w:rFonts w:hint="eastAsia"/>
                <w:b/>
                <w:bCs/>
                <w:color w:val="000000"/>
                <w:sz w:val="20"/>
                <w:szCs w:val="20"/>
                <w:lang w:val="en-CA" w:eastAsia="en-CA"/>
              </w:rPr>
              <w:t>秘书处</w:t>
            </w:r>
            <w:proofErr w:type="spellEnd"/>
          </w:p>
        </w:tc>
      </w:tr>
      <w:tr w:rsidR="000A2650" w:rsidRPr="00CF024D" w14:paraId="676585B7" w14:textId="77777777" w:rsidTr="00A20B0E">
        <w:trPr>
          <w:trHeight w:val="161"/>
        </w:trPr>
        <w:tc>
          <w:tcPr>
            <w:tcW w:w="1781" w:type="pct"/>
            <w:tcBorders>
              <w:top w:val="nil"/>
              <w:left w:val="single" w:sz="4" w:space="0" w:color="auto"/>
              <w:bottom w:val="single" w:sz="4" w:space="0" w:color="auto"/>
              <w:right w:val="single" w:sz="4" w:space="0" w:color="auto"/>
            </w:tcBorders>
            <w:shd w:val="clear" w:color="auto" w:fill="auto"/>
            <w:noWrap/>
            <w:hideMark/>
          </w:tcPr>
          <w:p w14:paraId="23197F67" w14:textId="34E0102C" w:rsidR="000A2650" w:rsidRPr="00CF024D" w:rsidRDefault="000A2650" w:rsidP="000A2650">
            <w:pPr>
              <w:jc w:val="left"/>
              <w:rPr>
                <w:color w:val="000000"/>
                <w:sz w:val="20"/>
                <w:szCs w:val="20"/>
                <w:lang w:val="en-CA" w:eastAsia="zh-CN"/>
              </w:rPr>
            </w:pPr>
            <w:r w:rsidRPr="00CF024D">
              <w:rPr>
                <w:color w:val="000000"/>
                <w:sz w:val="20"/>
                <w:szCs w:val="20"/>
                <w:lang w:val="en-CA" w:eastAsia="en-CA"/>
              </w:rPr>
              <w:t>SGL</w:t>
            </w:r>
            <w:r w:rsidR="00B20D14" w:rsidRPr="00CF024D">
              <w:rPr>
                <w:color w:val="000000"/>
                <w:sz w:val="20"/>
                <w:szCs w:val="20"/>
                <w:vertAlign w:val="superscript"/>
                <w:lang w:val="en-CA" w:eastAsia="en-CA"/>
              </w:rPr>
              <w:t>*</w:t>
            </w:r>
            <w:r w:rsidR="008B0CD6" w:rsidRPr="00CF024D">
              <w:rPr>
                <w:rFonts w:hint="eastAsia"/>
                <w:color w:val="000000"/>
                <w:sz w:val="20"/>
                <w:szCs w:val="20"/>
                <w:lang w:val="en-CA" w:eastAsia="zh-CN"/>
              </w:rPr>
              <w:t>焚化炉翻新</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24394479"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916,959</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44049652"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871,111</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7F07A2C0" w14:textId="47B98F2D" w:rsidR="000A2650" w:rsidRPr="00CF024D" w:rsidRDefault="000A2650" w:rsidP="00595E7E">
            <w:pPr>
              <w:jc w:val="right"/>
              <w:rPr>
                <w:color w:val="000000"/>
                <w:sz w:val="20"/>
                <w:szCs w:val="20"/>
                <w:lang w:val="en-CA" w:eastAsia="en-CA"/>
              </w:rPr>
            </w:pPr>
            <w:r w:rsidRPr="00CF024D">
              <w:rPr>
                <w:color w:val="000000"/>
                <w:sz w:val="20"/>
                <w:szCs w:val="20"/>
                <w:lang w:val="en-CA" w:eastAsia="en-CA"/>
              </w:rPr>
              <w:t>914,667</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62FB8D38" w14:textId="47DB9E02" w:rsidR="000A2650" w:rsidRPr="00CF024D" w:rsidRDefault="000A2650" w:rsidP="00595E7E">
            <w:pPr>
              <w:jc w:val="right"/>
              <w:rPr>
                <w:color w:val="000000"/>
                <w:sz w:val="20"/>
                <w:szCs w:val="20"/>
                <w:lang w:val="en-CA" w:eastAsia="en-CA"/>
              </w:rPr>
            </w:pPr>
            <w:r w:rsidRPr="00CF024D">
              <w:rPr>
                <w:color w:val="000000"/>
                <w:sz w:val="20"/>
                <w:szCs w:val="20"/>
                <w:lang w:val="en-CA" w:eastAsia="en-CA"/>
              </w:rPr>
              <w:t>979,776</w:t>
            </w:r>
            <w:r w:rsidR="00AC4387" w:rsidRPr="00CF024D">
              <w:rPr>
                <w:color w:val="000000"/>
                <w:sz w:val="20"/>
                <w:szCs w:val="20"/>
                <w:vertAlign w:val="superscript"/>
                <w:lang w:val="en-CA" w:eastAsia="en-CA"/>
              </w:rPr>
              <w:t>*</w:t>
            </w:r>
            <w:r w:rsidR="00B20D14" w:rsidRPr="00CF024D">
              <w:rPr>
                <w:color w:val="000000"/>
                <w:sz w:val="20"/>
                <w:szCs w:val="20"/>
                <w:vertAlign w:val="superscript"/>
                <w:lang w:val="en-CA" w:eastAsia="en-CA"/>
              </w:rPr>
              <w:t>*</w:t>
            </w:r>
          </w:p>
        </w:tc>
      </w:tr>
      <w:tr w:rsidR="000A2650" w:rsidRPr="00CF024D" w14:paraId="5AB679CC" w14:textId="77777777" w:rsidTr="00A20B0E">
        <w:trPr>
          <w:trHeight w:val="206"/>
        </w:trPr>
        <w:tc>
          <w:tcPr>
            <w:tcW w:w="1781" w:type="pct"/>
            <w:tcBorders>
              <w:top w:val="nil"/>
              <w:left w:val="single" w:sz="4" w:space="0" w:color="auto"/>
              <w:bottom w:val="single" w:sz="4" w:space="0" w:color="auto"/>
              <w:right w:val="single" w:sz="4" w:space="0" w:color="auto"/>
            </w:tcBorders>
            <w:shd w:val="clear" w:color="auto" w:fill="auto"/>
            <w:noWrap/>
            <w:hideMark/>
          </w:tcPr>
          <w:p w14:paraId="3CC7BEA8" w14:textId="6E8A4850" w:rsidR="000A2650" w:rsidRPr="00CF024D" w:rsidRDefault="008B0CD6" w:rsidP="008B0CD6">
            <w:pPr>
              <w:jc w:val="left"/>
              <w:rPr>
                <w:color w:val="000000"/>
                <w:sz w:val="20"/>
                <w:szCs w:val="20"/>
                <w:lang w:val="en-CA" w:eastAsia="en-CA"/>
              </w:rPr>
            </w:pPr>
            <w:r w:rsidRPr="00CF024D">
              <w:rPr>
                <w:rFonts w:hint="eastAsia"/>
                <w:color w:val="000000"/>
                <w:sz w:val="20"/>
                <w:szCs w:val="20"/>
                <w:lang w:val="en-CA" w:eastAsia="zh-CN"/>
              </w:rPr>
              <w:t>最终废气洗涤器附加</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55EA1290"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18,810</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0FD70EDC"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0</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4861BAA7" w14:textId="6BD61BA1" w:rsidR="000A2650" w:rsidRPr="00CF024D" w:rsidRDefault="000A2650" w:rsidP="00595E7E">
            <w:pPr>
              <w:jc w:val="right"/>
              <w:rPr>
                <w:color w:val="000000"/>
                <w:sz w:val="20"/>
                <w:szCs w:val="20"/>
                <w:lang w:val="en-CA" w:eastAsia="en-CA"/>
              </w:rPr>
            </w:pPr>
            <w:r w:rsidRPr="00CF024D">
              <w:rPr>
                <w:color w:val="000000"/>
                <w:sz w:val="20"/>
                <w:szCs w:val="20"/>
                <w:lang w:val="en-CA" w:eastAsia="en-CA"/>
              </w:rPr>
              <w:t>9,875</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6842835D"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0</w:t>
            </w:r>
          </w:p>
        </w:tc>
      </w:tr>
      <w:tr w:rsidR="000A2650" w:rsidRPr="00CF024D" w14:paraId="7480ABC4" w14:textId="77777777" w:rsidTr="00A20B0E">
        <w:trPr>
          <w:trHeight w:val="315"/>
        </w:trPr>
        <w:tc>
          <w:tcPr>
            <w:tcW w:w="1781" w:type="pct"/>
            <w:tcBorders>
              <w:top w:val="nil"/>
              <w:left w:val="single" w:sz="4" w:space="0" w:color="auto"/>
              <w:bottom w:val="single" w:sz="4" w:space="0" w:color="auto"/>
              <w:right w:val="single" w:sz="4" w:space="0" w:color="auto"/>
            </w:tcBorders>
            <w:shd w:val="clear" w:color="auto" w:fill="auto"/>
            <w:noWrap/>
            <w:hideMark/>
          </w:tcPr>
          <w:p w14:paraId="256B8058" w14:textId="56359BE1" w:rsidR="000A2650" w:rsidRPr="00CF024D" w:rsidRDefault="008B0CD6" w:rsidP="008B0CD6">
            <w:pPr>
              <w:jc w:val="left"/>
              <w:rPr>
                <w:color w:val="000000"/>
                <w:sz w:val="20"/>
                <w:szCs w:val="20"/>
                <w:lang w:val="en-CA" w:eastAsia="en-CA"/>
              </w:rPr>
            </w:pPr>
            <w:r w:rsidRPr="00CF024D">
              <w:rPr>
                <w:rFonts w:hint="eastAsia"/>
                <w:color w:val="000000"/>
                <w:sz w:val="20"/>
                <w:szCs w:val="20"/>
                <w:lang w:val="en-CA" w:eastAsia="zh-CN"/>
              </w:rPr>
              <w:t>向布宜诺斯艾利斯港和</w:t>
            </w:r>
            <w:r w:rsidR="006B478E" w:rsidRPr="00CF024D">
              <w:rPr>
                <w:color w:val="000000"/>
                <w:sz w:val="20"/>
                <w:szCs w:val="20"/>
                <w:lang w:val="en-CA" w:eastAsia="zh-CN"/>
              </w:rPr>
              <w:t>FIASA</w:t>
            </w:r>
            <w:r w:rsidR="006B478E" w:rsidRPr="00CF024D">
              <w:rPr>
                <w:color w:val="000000"/>
                <w:sz w:val="20"/>
                <w:szCs w:val="20"/>
                <w:lang w:val="en-CA" w:eastAsia="zh-CN"/>
              </w:rPr>
              <w:t>工厂</w:t>
            </w:r>
            <w:r w:rsidRPr="00CF024D">
              <w:rPr>
                <w:rFonts w:hint="eastAsia"/>
                <w:color w:val="000000"/>
                <w:sz w:val="20"/>
                <w:szCs w:val="20"/>
                <w:lang w:val="en-CA" w:eastAsia="zh-CN"/>
              </w:rPr>
              <w:t>的运送</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282785C3"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30,000</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0F4362DC"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30,000</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27343D4F" w14:textId="58663966" w:rsidR="000A2650" w:rsidRPr="00CF024D" w:rsidRDefault="000A2650" w:rsidP="00595E7E">
            <w:pPr>
              <w:jc w:val="right"/>
              <w:rPr>
                <w:color w:val="000000"/>
                <w:sz w:val="20"/>
                <w:szCs w:val="20"/>
                <w:lang w:val="en-CA" w:eastAsia="en-CA"/>
              </w:rPr>
            </w:pPr>
            <w:r w:rsidRPr="00CF024D">
              <w:rPr>
                <w:color w:val="000000"/>
                <w:sz w:val="20"/>
                <w:szCs w:val="20"/>
                <w:lang w:val="en-CA" w:eastAsia="en-CA"/>
              </w:rPr>
              <w:t>29,925</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1A20B9B2"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30,000</w:t>
            </w:r>
          </w:p>
        </w:tc>
      </w:tr>
      <w:tr w:rsidR="000A2650" w:rsidRPr="00CF024D" w14:paraId="63BD8768" w14:textId="77777777" w:rsidTr="00A20B0E">
        <w:trPr>
          <w:trHeight w:val="315"/>
        </w:trPr>
        <w:tc>
          <w:tcPr>
            <w:tcW w:w="1781" w:type="pct"/>
            <w:tcBorders>
              <w:top w:val="nil"/>
              <w:left w:val="single" w:sz="4" w:space="0" w:color="auto"/>
              <w:bottom w:val="single" w:sz="4" w:space="0" w:color="auto"/>
              <w:right w:val="single" w:sz="4" w:space="0" w:color="auto"/>
            </w:tcBorders>
            <w:shd w:val="clear" w:color="auto" w:fill="auto"/>
            <w:noWrap/>
            <w:hideMark/>
          </w:tcPr>
          <w:p w14:paraId="074A70B3" w14:textId="4AD1F082" w:rsidR="000A2650" w:rsidRPr="00CF024D" w:rsidRDefault="000A2650" w:rsidP="008B0CD6">
            <w:pPr>
              <w:jc w:val="left"/>
              <w:rPr>
                <w:color w:val="000000"/>
                <w:sz w:val="20"/>
                <w:szCs w:val="20"/>
                <w:lang w:val="en-CA" w:eastAsia="en-CA"/>
              </w:rPr>
            </w:pPr>
            <w:r w:rsidRPr="00CF024D">
              <w:rPr>
                <w:color w:val="000000"/>
                <w:sz w:val="20"/>
                <w:szCs w:val="20"/>
                <w:lang w:val="en-CA" w:eastAsia="en-CA"/>
              </w:rPr>
              <w:t>SGL</w:t>
            </w:r>
            <w:r w:rsidR="008B0CD6" w:rsidRPr="00CF024D">
              <w:rPr>
                <w:rFonts w:hint="eastAsia"/>
                <w:color w:val="000000"/>
                <w:sz w:val="20"/>
                <w:szCs w:val="20"/>
                <w:lang w:val="en-CA" w:eastAsia="zh-CN"/>
              </w:rPr>
              <w:t>安装</w:t>
            </w:r>
            <w:r w:rsidR="008B0CD6" w:rsidRPr="00CF024D">
              <w:rPr>
                <w:rFonts w:hint="eastAsia"/>
                <w:color w:val="000000"/>
                <w:sz w:val="20"/>
                <w:szCs w:val="20"/>
                <w:lang w:val="en-CA" w:eastAsia="zh-CN"/>
              </w:rPr>
              <w:t>/</w:t>
            </w:r>
            <w:r w:rsidR="008B0CD6" w:rsidRPr="00CF024D">
              <w:rPr>
                <w:rFonts w:hint="eastAsia"/>
                <w:color w:val="000000"/>
                <w:sz w:val="20"/>
                <w:szCs w:val="20"/>
                <w:lang w:val="en-CA" w:eastAsia="zh-CN"/>
              </w:rPr>
              <w:t>调试监督</w:t>
            </w:r>
            <w:r w:rsidRPr="00CF024D">
              <w:rPr>
                <w:color w:val="000000"/>
                <w:sz w:val="20"/>
                <w:szCs w:val="20"/>
                <w:lang w:val="en-CA" w:eastAsia="en-CA"/>
              </w:rPr>
              <w:t xml:space="preserve"> </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4DD2251F"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75,240</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11E6E28B"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64,467</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618D9E86" w14:textId="0BF8B944" w:rsidR="000A2650" w:rsidRPr="00CF024D" w:rsidRDefault="000A2650" w:rsidP="00595E7E">
            <w:pPr>
              <w:jc w:val="right"/>
              <w:rPr>
                <w:color w:val="000000"/>
                <w:sz w:val="20"/>
                <w:szCs w:val="20"/>
                <w:lang w:val="en-CA" w:eastAsia="en-CA"/>
              </w:rPr>
            </w:pPr>
            <w:r w:rsidRPr="00CF024D">
              <w:rPr>
                <w:color w:val="000000"/>
                <w:sz w:val="20"/>
                <w:szCs w:val="20"/>
                <w:lang w:val="en-CA" w:eastAsia="en-CA"/>
              </w:rPr>
              <w:t>75,052</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11076515"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64,467</w:t>
            </w:r>
          </w:p>
        </w:tc>
      </w:tr>
      <w:tr w:rsidR="000A2650" w:rsidRPr="00CF024D" w14:paraId="61F3BF86" w14:textId="77777777" w:rsidTr="00A20B0E">
        <w:trPr>
          <w:trHeight w:val="161"/>
        </w:trPr>
        <w:tc>
          <w:tcPr>
            <w:tcW w:w="1781" w:type="pct"/>
            <w:tcBorders>
              <w:top w:val="nil"/>
              <w:left w:val="single" w:sz="4" w:space="0" w:color="auto"/>
              <w:bottom w:val="single" w:sz="4" w:space="0" w:color="auto"/>
              <w:right w:val="single" w:sz="4" w:space="0" w:color="auto"/>
            </w:tcBorders>
            <w:shd w:val="clear" w:color="auto" w:fill="auto"/>
            <w:noWrap/>
            <w:hideMark/>
          </w:tcPr>
          <w:p w14:paraId="79008422" w14:textId="4FE23F5D" w:rsidR="000A2650" w:rsidRPr="00CF024D" w:rsidRDefault="006B478E" w:rsidP="000A2650">
            <w:pPr>
              <w:jc w:val="left"/>
              <w:rPr>
                <w:color w:val="000000"/>
                <w:sz w:val="20"/>
                <w:szCs w:val="20"/>
                <w:lang w:val="en-CA" w:eastAsia="zh-CN"/>
              </w:rPr>
            </w:pPr>
            <w:proofErr w:type="spellStart"/>
            <w:r w:rsidRPr="00CF024D">
              <w:rPr>
                <w:color w:val="000000"/>
                <w:sz w:val="20"/>
                <w:szCs w:val="20"/>
                <w:lang w:val="en-CA" w:eastAsia="en-CA"/>
              </w:rPr>
              <w:t>FIASA</w:t>
            </w:r>
            <w:r w:rsidRPr="00CF024D">
              <w:rPr>
                <w:color w:val="000000"/>
                <w:sz w:val="20"/>
                <w:szCs w:val="20"/>
                <w:lang w:val="en-CA" w:eastAsia="en-CA"/>
              </w:rPr>
              <w:t>工厂</w:t>
            </w:r>
            <w:proofErr w:type="spellEnd"/>
            <w:r w:rsidR="008B0CD6" w:rsidRPr="00CF024D">
              <w:rPr>
                <w:rFonts w:hint="eastAsia"/>
                <w:color w:val="000000"/>
                <w:sz w:val="20"/>
                <w:szCs w:val="20"/>
                <w:lang w:val="en-CA" w:eastAsia="zh-CN"/>
              </w:rPr>
              <w:t>建设</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23DA0703"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102,600</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7E4BBEE6"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51,300</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3AE78254" w14:textId="697C0474" w:rsidR="000A2650" w:rsidRPr="00CF024D" w:rsidRDefault="000A2650" w:rsidP="00595E7E">
            <w:pPr>
              <w:jc w:val="right"/>
              <w:rPr>
                <w:color w:val="000000"/>
                <w:sz w:val="20"/>
                <w:szCs w:val="20"/>
                <w:lang w:val="en-CA" w:eastAsia="en-CA"/>
              </w:rPr>
            </w:pPr>
            <w:r w:rsidRPr="00CF024D">
              <w:rPr>
                <w:color w:val="000000"/>
                <w:sz w:val="20"/>
                <w:szCs w:val="20"/>
                <w:lang w:val="en-CA" w:eastAsia="en-CA"/>
              </w:rPr>
              <w:t>86,184</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5E7FA542" w14:textId="019434E2" w:rsidR="000A2650" w:rsidRPr="00CF024D" w:rsidRDefault="0007676B" w:rsidP="00595E7E">
            <w:pPr>
              <w:jc w:val="right"/>
              <w:rPr>
                <w:color w:val="000000"/>
                <w:sz w:val="20"/>
                <w:szCs w:val="20"/>
                <w:lang w:val="en-CA" w:eastAsia="en-CA"/>
              </w:rPr>
            </w:pPr>
            <w:r w:rsidRPr="00CF024D">
              <w:rPr>
                <w:color w:val="000000"/>
                <w:sz w:val="20"/>
                <w:szCs w:val="20"/>
                <w:lang w:val="en-CA" w:eastAsia="en-CA"/>
              </w:rPr>
              <w:t>40,140</w:t>
            </w:r>
          </w:p>
        </w:tc>
      </w:tr>
      <w:tr w:rsidR="000A2650" w:rsidRPr="00CF024D" w14:paraId="50514D19" w14:textId="77777777" w:rsidTr="00A20B0E">
        <w:trPr>
          <w:trHeight w:val="197"/>
        </w:trPr>
        <w:tc>
          <w:tcPr>
            <w:tcW w:w="1781" w:type="pct"/>
            <w:tcBorders>
              <w:top w:val="nil"/>
              <w:left w:val="single" w:sz="4" w:space="0" w:color="auto"/>
              <w:bottom w:val="single" w:sz="4" w:space="0" w:color="auto"/>
              <w:right w:val="single" w:sz="4" w:space="0" w:color="auto"/>
            </w:tcBorders>
            <w:shd w:val="clear" w:color="auto" w:fill="auto"/>
            <w:noWrap/>
            <w:hideMark/>
          </w:tcPr>
          <w:p w14:paraId="5F075CC2" w14:textId="44D8AA52" w:rsidR="000A2650" w:rsidRPr="00CF024D" w:rsidRDefault="008B0CD6" w:rsidP="000A2650">
            <w:pPr>
              <w:jc w:val="left"/>
              <w:rPr>
                <w:color w:val="000000"/>
                <w:sz w:val="20"/>
                <w:szCs w:val="20"/>
                <w:lang w:val="en-CA" w:eastAsia="zh-CN"/>
              </w:rPr>
            </w:pPr>
            <w:r w:rsidRPr="00CF024D">
              <w:rPr>
                <w:rFonts w:hint="eastAsia"/>
                <w:color w:val="000000"/>
                <w:sz w:val="20"/>
                <w:szCs w:val="20"/>
                <w:lang w:val="en-CA" w:eastAsia="zh-CN"/>
              </w:rPr>
              <w:t>应急（</w:t>
            </w:r>
            <w:r w:rsidRPr="00CF024D">
              <w:rPr>
                <w:color w:val="000000"/>
                <w:sz w:val="20"/>
                <w:szCs w:val="20"/>
                <w:lang w:val="en-CA" w:eastAsia="en-CA"/>
              </w:rPr>
              <w:t>10%</w:t>
            </w:r>
            <w:r w:rsidRPr="00CF024D">
              <w:rPr>
                <w:color w:val="000000"/>
                <w:sz w:val="20"/>
                <w:szCs w:val="20"/>
                <w:lang w:val="en-CA" w:eastAsia="en-CA"/>
              </w:rPr>
              <w:t>）</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387E5997"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114,361</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623FCAE6"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101,688</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4457B99D" w14:textId="0539B76F" w:rsidR="000A2650" w:rsidRPr="00CF024D" w:rsidRDefault="000A2650" w:rsidP="00595E7E">
            <w:pPr>
              <w:jc w:val="right"/>
              <w:rPr>
                <w:color w:val="000000"/>
                <w:sz w:val="20"/>
                <w:szCs w:val="20"/>
                <w:lang w:val="en-CA" w:eastAsia="en-CA"/>
              </w:rPr>
            </w:pPr>
            <w:r w:rsidRPr="00CF024D">
              <w:rPr>
                <w:color w:val="000000"/>
                <w:sz w:val="20"/>
                <w:szCs w:val="20"/>
                <w:lang w:val="en-CA" w:eastAsia="en-CA"/>
              </w:rPr>
              <w:t>111,570</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747890A0" w14:textId="04E951A9" w:rsidR="000A2650" w:rsidRPr="00CF024D" w:rsidRDefault="000A2650" w:rsidP="0007676B">
            <w:pPr>
              <w:jc w:val="right"/>
              <w:rPr>
                <w:color w:val="000000"/>
                <w:sz w:val="20"/>
                <w:szCs w:val="20"/>
                <w:lang w:val="en-CA" w:eastAsia="en-CA"/>
              </w:rPr>
            </w:pPr>
            <w:r w:rsidRPr="00CF024D">
              <w:rPr>
                <w:color w:val="000000"/>
                <w:sz w:val="20"/>
                <w:szCs w:val="20"/>
                <w:lang w:val="en-CA" w:eastAsia="en-CA"/>
              </w:rPr>
              <w:t>111,</w:t>
            </w:r>
            <w:r w:rsidR="0007676B" w:rsidRPr="00CF024D">
              <w:rPr>
                <w:color w:val="000000"/>
                <w:sz w:val="20"/>
                <w:szCs w:val="20"/>
                <w:lang w:val="en-CA" w:eastAsia="en-CA"/>
              </w:rPr>
              <w:t>438</w:t>
            </w:r>
          </w:p>
        </w:tc>
      </w:tr>
      <w:tr w:rsidR="000A2650" w:rsidRPr="00CF024D" w14:paraId="5611BA0E" w14:textId="77777777" w:rsidTr="00A20B0E">
        <w:trPr>
          <w:trHeight w:val="152"/>
        </w:trPr>
        <w:tc>
          <w:tcPr>
            <w:tcW w:w="1781" w:type="pct"/>
            <w:tcBorders>
              <w:top w:val="nil"/>
              <w:left w:val="single" w:sz="4" w:space="0" w:color="auto"/>
              <w:bottom w:val="single" w:sz="4" w:space="0" w:color="auto"/>
              <w:right w:val="single" w:sz="4" w:space="0" w:color="auto"/>
            </w:tcBorders>
            <w:shd w:val="clear" w:color="auto" w:fill="auto"/>
            <w:noWrap/>
            <w:hideMark/>
          </w:tcPr>
          <w:p w14:paraId="5A07A567" w14:textId="0A085018" w:rsidR="000A2650" w:rsidRPr="00CF024D" w:rsidRDefault="00B87F48" w:rsidP="00B87F48">
            <w:pPr>
              <w:jc w:val="left"/>
              <w:rPr>
                <w:color w:val="000000"/>
                <w:sz w:val="20"/>
                <w:szCs w:val="20"/>
                <w:lang w:val="en-CA" w:eastAsia="en-CA"/>
              </w:rPr>
            </w:pPr>
            <w:r w:rsidRPr="00CF024D">
              <w:rPr>
                <w:rFonts w:hint="eastAsia"/>
                <w:color w:val="000000"/>
                <w:sz w:val="20"/>
                <w:szCs w:val="20"/>
                <w:lang w:val="en-CA" w:eastAsia="zh-CN"/>
              </w:rPr>
              <w:t>制氧机沸石</w:t>
            </w:r>
            <w:r w:rsidR="000C00D9" w:rsidRPr="00CF024D">
              <w:rPr>
                <w:color w:val="000000"/>
                <w:sz w:val="20"/>
                <w:szCs w:val="20"/>
                <w:lang w:val="en-CA" w:eastAsia="en-CA"/>
              </w:rPr>
              <w:t xml:space="preserve"> </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72613AC7"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55,800</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1718E6BF"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0</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3158EA01" w14:textId="304F5B3D" w:rsidR="000A2650" w:rsidRPr="00CF024D" w:rsidRDefault="000A2650" w:rsidP="00595E7E">
            <w:pPr>
              <w:jc w:val="right"/>
              <w:rPr>
                <w:color w:val="000000"/>
                <w:sz w:val="20"/>
                <w:szCs w:val="20"/>
                <w:lang w:val="en-CA" w:eastAsia="en-CA"/>
              </w:rPr>
            </w:pPr>
            <w:r w:rsidRPr="00CF024D">
              <w:rPr>
                <w:color w:val="000000"/>
                <w:sz w:val="20"/>
                <w:szCs w:val="20"/>
                <w:lang w:val="en-CA" w:eastAsia="en-CA"/>
              </w:rPr>
              <w:t>58,590</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3B16002E"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0</w:t>
            </w:r>
          </w:p>
        </w:tc>
      </w:tr>
      <w:tr w:rsidR="000A2650" w:rsidRPr="00CF024D" w14:paraId="1FFF18E7" w14:textId="77777777" w:rsidTr="00A20B0E">
        <w:trPr>
          <w:trHeight w:val="188"/>
        </w:trPr>
        <w:tc>
          <w:tcPr>
            <w:tcW w:w="1781" w:type="pct"/>
            <w:tcBorders>
              <w:top w:val="nil"/>
              <w:left w:val="single" w:sz="4" w:space="0" w:color="auto"/>
              <w:bottom w:val="single" w:sz="4" w:space="0" w:color="auto"/>
              <w:right w:val="single" w:sz="4" w:space="0" w:color="auto"/>
            </w:tcBorders>
            <w:shd w:val="clear" w:color="auto" w:fill="auto"/>
            <w:noWrap/>
            <w:hideMark/>
          </w:tcPr>
          <w:p w14:paraId="011B80A9" w14:textId="70094AD3" w:rsidR="000A2650" w:rsidRPr="00CF024D" w:rsidRDefault="00B87F48" w:rsidP="00B87F48">
            <w:pPr>
              <w:jc w:val="left"/>
              <w:rPr>
                <w:color w:val="000000"/>
                <w:sz w:val="20"/>
                <w:szCs w:val="20"/>
                <w:lang w:val="en-CA" w:eastAsia="en-CA"/>
              </w:rPr>
            </w:pPr>
            <w:r w:rsidRPr="00CF024D">
              <w:rPr>
                <w:rFonts w:hint="eastAsia"/>
                <w:color w:val="000000"/>
                <w:sz w:val="20"/>
                <w:szCs w:val="20"/>
                <w:lang w:val="en-CA" w:eastAsia="zh-CN"/>
              </w:rPr>
              <w:t>容纳低温罐的建筑物</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17237125"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100,000</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45B85030" w14:textId="77777777" w:rsidR="000A2650" w:rsidRPr="00CF024D" w:rsidRDefault="000A2650" w:rsidP="00595E7E">
            <w:pPr>
              <w:jc w:val="right"/>
              <w:rPr>
                <w:color w:val="000000"/>
                <w:sz w:val="20"/>
                <w:szCs w:val="20"/>
                <w:lang w:val="en-CA" w:eastAsia="en-CA"/>
              </w:rPr>
            </w:pPr>
            <w:r w:rsidRPr="00CF024D">
              <w:rPr>
                <w:color w:val="000000"/>
                <w:sz w:val="20"/>
                <w:szCs w:val="20"/>
                <w:lang w:val="en-CA" w:eastAsia="en-CA"/>
              </w:rPr>
              <w:t>50,000</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4AE92C2C" w14:textId="1AD1DD80" w:rsidR="000A2650" w:rsidRPr="00CF024D" w:rsidRDefault="000A2650" w:rsidP="00595E7E">
            <w:pPr>
              <w:jc w:val="right"/>
              <w:rPr>
                <w:color w:val="000000"/>
                <w:sz w:val="20"/>
                <w:szCs w:val="20"/>
                <w:lang w:val="en-CA" w:eastAsia="en-CA"/>
              </w:rPr>
            </w:pPr>
            <w:r w:rsidRPr="00CF024D">
              <w:rPr>
                <w:color w:val="000000"/>
                <w:sz w:val="20"/>
                <w:szCs w:val="20"/>
                <w:lang w:val="en-CA" w:eastAsia="en-CA"/>
              </w:rPr>
              <w:t>84,000</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6E507756" w14:textId="4364E130" w:rsidR="000A2650" w:rsidRPr="00CF024D" w:rsidRDefault="0007676B" w:rsidP="00595E7E">
            <w:pPr>
              <w:jc w:val="right"/>
              <w:rPr>
                <w:color w:val="000000"/>
                <w:sz w:val="20"/>
                <w:szCs w:val="20"/>
                <w:lang w:val="en-CA" w:eastAsia="en-CA"/>
              </w:rPr>
            </w:pPr>
            <w:r w:rsidRPr="00CF024D">
              <w:rPr>
                <w:color w:val="000000"/>
                <w:sz w:val="20"/>
                <w:szCs w:val="20"/>
                <w:lang w:val="en-CA" w:eastAsia="en-CA"/>
              </w:rPr>
              <w:t>39,123</w:t>
            </w:r>
          </w:p>
        </w:tc>
      </w:tr>
      <w:tr w:rsidR="00695AF4" w:rsidRPr="00CF024D" w14:paraId="3036E3E8" w14:textId="77777777" w:rsidTr="00B87F48">
        <w:trPr>
          <w:trHeight w:val="234"/>
        </w:trPr>
        <w:tc>
          <w:tcPr>
            <w:tcW w:w="1781" w:type="pct"/>
            <w:tcBorders>
              <w:top w:val="nil"/>
              <w:left w:val="single" w:sz="4" w:space="0" w:color="auto"/>
              <w:bottom w:val="single" w:sz="4" w:space="0" w:color="auto"/>
              <w:right w:val="single" w:sz="4" w:space="0" w:color="auto"/>
            </w:tcBorders>
            <w:shd w:val="clear" w:color="auto" w:fill="auto"/>
            <w:noWrap/>
          </w:tcPr>
          <w:p w14:paraId="436D98FA" w14:textId="5ED5FC79" w:rsidR="00695AF4" w:rsidRPr="00CF024D" w:rsidRDefault="00B87F48" w:rsidP="00B87F48">
            <w:pPr>
              <w:jc w:val="left"/>
              <w:rPr>
                <w:color w:val="000000"/>
                <w:sz w:val="20"/>
                <w:szCs w:val="20"/>
                <w:lang w:val="en-CA" w:eastAsia="en-CA"/>
              </w:rPr>
            </w:pPr>
            <w:r w:rsidRPr="00CF024D">
              <w:rPr>
                <w:rFonts w:hint="eastAsia"/>
                <w:color w:val="000000"/>
                <w:sz w:val="20"/>
                <w:szCs w:val="20"/>
                <w:lang w:val="en-CA" w:eastAsia="zh-CN"/>
              </w:rPr>
              <w:t>注册为危险废物生产者和操作者</w:t>
            </w:r>
          </w:p>
        </w:tc>
        <w:tc>
          <w:tcPr>
            <w:tcW w:w="805" w:type="pct"/>
            <w:tcBorders>
              <w:top w:val="nil"/>
              <w:left w:val="nil"/>
              <w:bottom w:val="single" w:sz="4" w:space="0" w:color="auto"/>
              <w:right w:val="single" w:sz="4" w:space="0" w:color="auto"/>
            </w:tcBorders>
            <w:shd w:val="clear" w:color="auto" w:fill="auto"/>
            <w:tcMar>
              <w:left w:w="115" w:type="dxa"/>
              <w:right w:w="202" w:type="dxa"/>
            </w:tcMar>
          </w:tcPr>
          <w:p w14:paraId="5E928BF4" w14:textId="3E7B6F9C" w:rsidR="00695AF4" w:rsidRPr="00CF024D" w:rsidRDefault="00695AF4" w:rsidP="00595E7E">
            <w:pPr>
              <w:jc w:val="right"/>
              <w:rPr>
                <w:color w:val="000000"/>
                <w:sz w:val="20"/>
                <w:szCs w:val="20"/>
                <w:lang w:val="en-CA" w:eastAsia="en-CA"/>
              </w:rPr>
            </w:pPr>
            <w:r w:rsidRPr="00CF024D">
              <w:rPr>
                <w:color w:val="000000"/>
                <w:sz w:val="20"/>
                <w:szCs w:val="20"/>
                <w:lang w:val="en-CA" w:eastAsia="en-CA"/>
              </w:rPr>
              <w:t>0</w:t>
            </w:r>
          </w:p>
        </w:tc>
        <w:tc>
          <w:tcPr>
            <w:tcW w:w="806" w:type="pct"/>
            <w:tcBorders>
              <w:top w:val="nil"/>
              <w:left w:val="nil"/>
              <w:bottom w:val="single" w:sz="4" w:space="0" w:color="auto"/>
              <w:right w:val="single" w:sz="4" w:space="0" w:color="auto"/>
            </w:tcBorders>
            <w:shd w:val="clear" w:color="auto" w:fill="auto"/>
            <w:tcMar>
              <w:left w:w="115" w:type="dxa"/>
              <w:right w:w="202" w:type="dxa"/>
            </w:tcMar>
          </w:tcPr>
          <w:p w14:paraId="37100760" w14:textId="20F75A17" w:rsidR="00695AF4" w:rsidRPr="00CF024D" w:rsidRDefault="00695AF4" w:rsidP="00595E7E">
            <w:pPr>
              <w:jc w:val="right"/>
              <w:rPr>
                <w:color w:val="000000"/>
                <w:sz w:val="20"/>
                <w:szCs w:val="20"/>
                <w:lang w:val="en-CA" w:eastAsia="en-CA"/>
              </w:rPr>
            </w:pPr>
            <w:r w:rsidRPr="00CF024D">
              <w:rPr>
                <w:color w:val="000000"/>
                <w:sz w:val="20"/>
                <w:szCs w:val="20"/>
                <w:lang w:val="en-CA" w:eastAsia="en-CA"/>
              </w:rPr>
              <w:t>235</w:t>
            </w:r>
          </w:p>
        </w:tc>
        <w:tc>
          <w:tcPr>
            <w:tcW w:w="805" w:type="pct"/>
            <w:tcBorders>
              <w:top w:val="nil"/>
              <w:left w:val="nil"/>
              <w:bottom w:val="single" w:sz="4" w:space="0" w:color="auto"/>
              <w:right w:val="single" w:sz="4" w:space="0" w:color="auto"/>
            </w:tcBorders>
            <w:shd w:val="clear" w:color="auto" w:fill="auto"/>
            <w:tcMar>
              <w:left w:w="115" w:type="dxa"/>
              <w:right w:w="202" w:type="dxa"/>
            </w:tcMar>
          </w:tcPr>
          <w:p w14:paraId="7CF7D1C0" w14:textId="566533FC" w:rsidR="00695AF4" w:rsidRPr="00CF024D" w:rsidRDefault="001975CD" w:rsidP="00595E7E">
            <w:pPr>
              <w:jc w:val="right"/>
              <w:rPr>
                <w:color w:val="000000"/>
                <w:sz w:val="20"/>
                <w:szCs w:val="20"/>
                <w:lang w:val="en-CA" w:eastAsia="en-CA"/>
              </w:rPr>
            </w:pPr>
            <w:r w:rsidRPr="00CF024D">
              <w:rPr>
                <w:color w:val="000000"/>
                <w:sz w:val="20"/>
                <w:szCs w:val="20"/>
                <w:lang w:val="en-CA" w:eastAsia="en-CA"/>
              </w:rPr>
              <w:t>0</w:t>
            </w:r>
          </w:p>
        </w:tc>
        <w:tc>
          <w:tcPr>
            <w:tcW w:w="804" w:type="pct"/>
            <w:tcBorders>
              <w:top w:val="nil"/>
              <w:left w:val="nil"/>
              <w:bottom w:val="single" w:sz="4" w:space="0" w:color="auto"/>
              <w:right w:val="single" w:sz="4" w:space="0" w:color="auto"/>
            </w:tcBorders>
            <w:shd w:val="clear" w:color="auto" w:fill="auto"/>
            <w:tcMar>
              <w:left w:w="115" w:type="dxa"/>
              <w:right w:w="202" w:type="dxa"/>
            </w:tcMar>
          </w:tcPr>
          <w:p w14:paraId="4A36B7D3" w14:textId="5455DE15" w:rsidR="00695AF4" w:rsidRPr="00CF024D" w:rsidRDefault="0007676B" w:rsidP="00595E7E">
            <w:pPr>
              <w:jc w:val="right"/>
              <w:rPr>
                <w:color w:val="000000"/>
                <w:sz w:val="20"/>
                <w:szCs w:val="20"/>
                <w:lang w:val="en-CA" w:eastAsia="en-CA"/>
              </w:rPr>
            </w:pPr>
            <w:r w:rsidRPr="00CF024D">
              <w:rPr>
                <w:color w:val="000000"/>
                <w:sz w:val="20"/>
                <w:szCs w:val="20"/>
                <w:lang w:val="en-CA" w:eastAsia="en-CA"/>
              </w:rPr>
              <w:t>184</w:t>
            </w:r>
          </w:p>
        </w:tc>
      </w:tr>
      <w:tr w:rsidR="000A2650" w:rsidRPr="00CF024D" w14:paraId="721A58DA" w14:textId="77777777" w:rsidTr="00A20B0E">
        <w:trPr>
          <w:trHeight w:val="43"/>
        </w:trPr>
        <w:tc>
          <w:tcPr>
            <w:tcW w:w="1781" w:type="pct"/>
            <w:tcBorders>
              <w:top w:val="nil"/>
              <w:left w:val="single" w:sz="4" w:space="0" w:color="auto"/>
              <w:bottom w:val="single" w:sz="4" w:space="0" w:color="auto"/>
              <w:right w:val="single" w:sz="4" w:space="0" w:color="auto"/>
            </w:tcBorders>
            <w:shd w:val="clear" w:color="auto" w:fill="auto"/>
            <w:noWrap/>
            <w:hideMark/>
          </w:tcPr>
          <w:p w14:paraId="186B16BC" w14:textId="16BA37AF" w:rsidR="000A2650" w:rsidRPr="00CF024D" w:rsidRDefault="00B87F48" w:rsidP="00B87F48">
            <w:pPr>
              <w:jc w:val="left"/>
              <w:rPr>
                <w:b/>
                <w:bCs/>
                <w:color w:val="000000"/>
                <w:sz w:val="20"/>
                <w:szCs w:val="20"/>
                <w:lang w:val="en-CA" w:eastAsia="en-CA"/>
              </w:rPr>
            </w:pPr>
            <w:r w:rsidRPr="00CF024D">
              <w:rPr>
                <w:rFonts w:hint="eastAsia"/>
                <w:b/>
                <w:bCs/>
                <w:color w:val="000000"/>
                <w:sz w:val="20"/>
                <w:szCs w:val="20"/>
                <w:lang w:val="en-CA" w:eastAsia="zh-CN"/>
              </w:rPr>
              <w:t>总资本成本</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5F53E257" w14:textId="695648B9" w:rsidR="000A2650" w:rsidRPr="00CF024D" w:rsidRDefault="000A2650" w:rsidP="00595E7E">
            <w:pPr>
              <w:jc w:val="right"/>
              <w:rPr>
                <w:b/>
                <w:bCs/>
                <w:color w:val="000000"/>
                <w:sz w:val="20"/>
                <w:szCs w:val="20"/>
                <w:lang w:val="en-CA" w:eastAsia="en-CA"/>
              </w:rPr>
            </w:pPr>
            <w:r w:rsidRPr="00CF024D">
              <w:rPr>
                <w:b/>
                <w:bCs/>
                <w:color w:val="000000"/>
                <w:sz w:val="20"/>
                <w:szCs w:val="20"/>
                <w:lang w:val="en-CA" w:eastAsia="en-CA"/>
              </w:rPr>
              <w:t>1,413,770</w:t>
            </w:r>
          </w:p>
        </w:tc>
        <w:tc>
          <w:tcPr>
            <w:tcW w:w="806" w:type="pct"/>
            <w:tcBorders>
              <w:top w:val="nil"/>
              <w:left w:val="nil"/>
              <w:bottom w:val="single" w:sz="4" w:space="0" w:color="auto"/>
              <w:right w:val="single" w:sz="4" w:space="0" w:color="auto"/>
            </w:tcBorders>
            <w:shd w:val="clear" w:color="auto" w:fill="auto"/>
            <w:tcMar>
              <w:left w:w="115" w:type="dxa"/>
              <w:right w:w="202" w:type="dxa"/>
            </w:tcMar>
            <w:hideMark/>
          </w:tcPr>
          <w:p w14:paraId="301F1EB7" w14:textId="5643707E" w:rsidR="000A2650" w:rsidRPr="00CF024D" w:rsidRDefault="000A2650" w:rsidP="00595E7E">
            <w:pPr>
              <w:jc w:val="right"/>
              <w:rPr>
                <w:b/>
                <w:bCs/>
                <w:color w:val="000000"/>
                <w:sz w:val="20"/>
                <w:szCs w:val="20"/>
                <w:lang w:val="en-CA" w:eastAsia="en-CA"/>
              </w:rPr>
            </w:pPr>
            <w:r w:rsidRPr="00CF024D">
              <w:rPr>
                <w:b/>
                <w:bCs/>
                <w:color w:val="000000"/>
                <w:sz w:val="20"/>
                <w:szCs w:val="20"/>
                <w:lang w:val="en-CA" w:eastAsia="en-CA"/>
              </w:rPr>
              <w:t>1,168,</w:t>
            </w:r>
            <w:r w:rsidR="001975CD" w:rsidRPr="00CF024D">
              <w:rPr>
                <w:b/>
                <w:bCs/>
                <w:color w:val="000000"/>
                <w:sz w:val="20"/>
                <w:szCs w:val="20"/>
                <w:lang w:val="en-CA" w:eastAsia="en-CA"/>
              </w:rPr>
              <w:t>801</w:t>
            </w:r>
          </w:p>
        </w:tc>
        <w:tc>
          <w:tcPr>
            <w:tcW w:w="805" w:type="pct"/>
            <w:tcBorders>
              <w:top w:val="nil"/>
              <w:left w:val="nil"/>
              <w:bottom w:val="single" w:sz="4" w:space="0" w:color="auto"/>
              <w:right w:val="single" w:sz="4" w:space="0" w:color="auto"/>
            </w:tcBorders>
            <w:shd w:val="clear" w:color="auto" w:fill="auto"/>
            <w:tcMar>
              <w:left w:w="115" w:type="dxa"/>
              <w:right w:w="202" w:type="dxa"/>
            </w:tcMar>
            <w:hideMark/>
          </w:tcPr>
          <w:p w14:paraId="34EA16AB" w14:textId="72F67D61" w:rsidR="000A2650" w:rsidRPr="00CF024D" w:rsidRDefault="000A2650" w:rsidP="00595E7E">
            <w:pPr>
              <w:jc w:val="right"/>
              <w:rPr>
                <w:b/>
                <w:bCs/>
                <w:color w:val="000000"/>
                <w:sz w:val="20"/>
                <w:szCs w:val="20"/>
                <w:lang w:val="en-CA" w:eastAsia="en-CA"/>
              </w:rPr>
            </w:pPr>
            <w:r w:rsidRPr="00CF024D">
              <w:rPr>
                <w:b/>
                <w:bCs/>
                <w:color w:val="000000"/>
                <w:sz w:val="20"/>
                <w:szCs w:val="20"/>
                <w:lang w:val="en-CA" w:eastAsia="en-CA"/>
              </w:rPr>
              <w:t>1,369,863</w:t>
            </w:r>
          </w:p>
        </w:tc>
        <w:tc>
          <w:tcPr>
            <w:tcW w:w="804" w:type="pct"/>
            <w:tcBorders>
              <w:top w:val="nil"/>
              <w:left w:val="nil"/>
              <w:bottom w:val="single" w:sz="4" w:space="0" w:color="auto"/>
              <w:right w:val="single" w:sz="4" w:space="0" w:color="auto"/>
            </w:tcBorders>
            <w:shd w:val="clear" w:color="auto" w:fill="auto"/>
            <w:tcMar>
              <w:left w:w="115" w:type="dxa"/>
              <w:right w:w="202" w:type="dxa"/>
            </w:tcMar>
            <w:hideMark/>
          </w:tcPr>
          <w:p w14:paraId="13745CD7" w14:textId="73CDC8C7" w:rsidR="000A2650" w:rsidRPr="00CF024D" w:rsidRDefault="000A2650" w:rsidP="0007676B">
            <w:pPr>
              <w:jc w:val="right"/>
              <w:rPr>
                <w:b/>
                <w:bCs/>
                <w:color w:val="000000"/>
                <w:sz w:val="20"/>
                <w:szCs w:val="20"/>
                <w:lang w:val="en-CA" w:eastAsia="en-CA"/>
              </w:rPr>
            </w:pPr>
            <w:r w:rsidRPr="00CF024D">
              <w:rPr>
                <w:b/>
                <w:bCs/>
                <w:color w:val="000000"/>
                <w:sz w:val="20"/>
                <w:szCs w:val="20"/>
                <w:lang w:val="en-CA" w:eastAsia="en-CA"/>
              </w:rPr>
              <w:t>1,26</w:t>
            </w:r>
            <w:r w:rsidR="0007676B" w:rsidRPr="00CF024D">
              <w:rPr>
                <w:b/>
                <w:bCs/>
                <w:color w:val="000000"/>
                <w:sz w:val="20"/>
                <w:szCs w:val="20"/>
                <w:lang w:val="en-CA" w:eastAsia="en-CA"/>
              </w:rPr>
              <w:t>5,128</w:t>
            </w:r>
          </w:p>
        </w:tc>
      </w:tr>
    </w:tbl>
    <w:p w14:paraId="578D5A8C" w14:textId="28969769" w:rsidR="00B20D14" w:rsidRPr="00CF024D" w:rsidRDefault="00AC4387" w:rsidP="008B0CD6">
      <w:pPr>
        <w:rPr>
          <w:sz w:val="19"/>
          <w:szCs w:val="19"/>
          <w:lang w:val="en-US"/>
        </w:rPr>
      </w:pPr>
      <w:r w:rsidRPr="00CF024D">
        <w:rPr>
          <w:color w:val="000000"/>
          <w:sz w:val="19"/>
          <w:szCs w:val="19"/>
          <w:vertAlign w:val="superscript"/>
          <w:lang w:val="en-CA" w:eastAsia="en-CA"/>
        </w:rPr>
        <w:t>*</w:t>
      </w:r>
      <w:proofErr w:type="spellStart"/>
      <w:r w:rsidR="008B0CD6" w:rsidRPr="00CF024D">
        <w:rPr>
          <w:sz w:val="19"/>
          <w:szCs w:val="19"/>
          <w:lang w:val="en-US"/>
        </w:rPr>
        <w:t>德国梅亭根西格里碳素集团</w:t>
      </w:r>
      <w:proofErr w:type="spellEnd"/>
    </w:p>
    <w:p w14:paraId="671F450F" w14:textId="4D03DDC0" w:rsidR="009D5E23" w:rsidRPr="00CF024D" w:rsidRDefault="00B20D14" w:rsidP="003B6AEA">
      <w:pPr>
        <w:rPr>
          <w:sz w:val="19"/>
          <w:szCs w:val="19"/>
          <w:lang w:val="en-CA" w:eastAsia="zh-CN"/>
        </w:rPr>
      </w:pPr>
      <w:r w:rsidRPr="00CF024D">
        <w:rPr>
          <w:color w:val="000000"/>
          <w:sz w:val="19"/>
          <w:szCs w:val="19"/>
          <w:vertAlign w:val="superscript"/>
          <w:lang w:val="en-CA" w:eastAsia="en-CA"/>
        </w:rPr>
        <w:t>**</w:t>
      </w:r>
      <w:r w:rsidR="00752C15" w:rsidRPr="00CF024D">
        <w:rPr>
          <w:rFonts w:hint="eastAsia"/>
          <w:color w:val="000000"/>
          <w:sz w:val="19"/>
          <w:szCs w:val="19"/>
          <w:lang w:val="en-CA" w:eastAsia="zh-CN"/>
        </w:rPr>
        <w:t>数值高于申请值反映出自第八十三次会议以来欧元相对于美元走强。</w:t>
      </w:r>
    </w:p>
    <w:p w14:paraId="1AAAFD85" w14:textId="2089E06B" w:rsidR="009D5E23" w:rsidRPr="00CF024D" w:rsidRDefault="009D5E23" w:rsidP="003B6AEA">
      <w:pPr>
        <w:rPr>
          <w:lang w:val="en-CA"/>
        </w:rPr>
      </w:pPr>
    </w:p>
    <w:p w14:paraId="64732BA1" w14:textId="48D85B01" w:rsidR="009B1A94" w:rsidRPr="00CF024D" w:rsidRDefault="00525A0E" w:rsidP="00F37D55">
      <w:pPr>
        <w:keepNext/>
        <w:keepLines/>
        <w:rPr>
          <w:i/>
          <w:lang w:val="en-CA" w:eastAsia="zh-CN"/>
        </w:rPr>
      </w:pPr>
      <w:r w:rsidRPr="00CF024D">
        <w:rPr>
          <w:rFonts w:hint="eastAsia"/>
          <w:i/>
          <w:lang w:val="en-CA" w:eastAsia="zh-CN"/>
        </w:rPr>
        <w:t>增量运营成本</w:t>
      </w:r>
    </w:p>
    <w:p w14:paraId="1B1DC47A" w14:textId="77777777" w:rsidR="00D6695B" w:rsidRPr="00CF024D" w:rsidRDefault="00D6695B" w:rsidP="00F37D55">
      <w:pPr>
        <w:keepNext/>
        <w:keepLines/>
        <w:rPr>
          <w:lang w:val="en-CA"/>
        </w:rPr>
      </w:pPr>
    </w:p>
    <w:p w14:paraId="6208B084" w14:textId="463A7377" w:rsidR="00E72D58" w:rsidRPr="00CF024D" w:rsidRDefault="00BA3AB7" w:rsidP="00F37D55">
      <w:pPr>
        <w:pStyle w:val="Heading1"/>
        <w:keepNext/>
        <w:keepLines/>
        <w:rPr>
          <w:lang w:val="en-CA"/>
        </w:rPr>
      </w:pPr>
      <w:r w:rsidRPr="00CF024D">
        <w:rPr>
          <w:rFonts w:hint="eastAsia"/>
          <w:lang w:val="en-CA" w:eastAsia="zh-CN"/>
        </w:rPr>
        <w:t>要确定增量运营成本，</w:t>
      </w:r>
      <w:r w:rsidR="005132EB" w:rsidRPr="00CF024D">
        <w:rPr>
          <w:rFonts w:hint="eastAsia"/>
          <w:lang w:val="en-CA" w:eastAsia="zh-CN"/>
        </w:rPr>
        <w:t>商定在</w:t>
      </w:r>
      <w:r w:rsidRPr="00CF024D">
        <w:rPr>
          <w:rFonts w:hint="eastAsia"/>
          <w:lang w:val="en-CA" w:eastAsia="zh-CN"/>
        </w:rPr>
        <w:t>2021</w:t>
      </w:r>
      <w:r w:rsidRPr="00CF024D">
        <w:rPr>
          <w:rFonts w:hint="eastAsia"/>
          <w:lang w:val="en-CA" w:eastAsia="zh-CN"/>
        </w:rPr>
        <w:t>年至</w:t>
      </w:r>
      <w:r w:rsidRPr="00CF024D">
        <w:rPr>
          <w:rFonts w:hint="eastAsia"/>
          <w:lang w:val="en-CA" w:eastAsia="zh-CN"/>
        </w:rPr>
        <w:t>2024</w:t>
      </w:r>
      <w:r w:rsidRPr="00CF024D">
        <w:rPr>
          <w:rFonts w:hint="eastAsia"/>
          <w:lang w:val="en-CA" w:eastAsia="zh-CN"/>
        </w:rPr>
        <w:t>年</w:t>
      </w:r>
      <w:r w:rsidR="005132EB" w:rsidRPr="00CF024D">
        <w:rPr>
          <w:rFonts w:hint="eastAsia"/>
          <w:lang w:val="en-CA" w:eastAsia="zh-CN"/>
        </w:rPr>
        <w:t>间使用</w:t>
      </w:r>
      <w:r w:rsidR="005132EB" w:rsidRPr="00CF024D">
        <w:rPr>
          <w:rFonts w:hint="eastAsia"/>
          <w:lang w:val="en-CA" w:eastAsia="zh-CN"/>
        </w:rPr>
        <w:t>1,540</w:t>
      </w:r>
      <w:r w:rsidR="005132EB" w:rsidRPr="00CF024D">
        <w:rPr>
          <w:rFonts w:hint="eastAsia"/>
          <w:lang w:val="en-CA" w:eastAsia="zh-CN"/>
        </w:rPr>
        <w:t>公吨</w:t>
      </w:r>
      <w:r w:rsidR="005132EB" w:rsidRPr="00CF024D">
        <w:rPr>
          <w:rFonts w:hint="eastAsia"/>
          <w:lang w:val="en-CA" w:eastAsia="zh-CN"/>
        </w:rPr>
        <w:t>/</w:t>
      </w:r>
      <w:r w:rsidR="005132EB" w:rsidRPr="00CF024D">
        <w:rPr>
          <w:rFonts w:hint="eastAsia"/>
          <w:lang w:val="en-CA" w:eastAsia="zh-CN"/>
        </w:rPr>
        <w:t>年（即</w:t>
      </w:r>
      <w:r w:rsidR="005132EB" w:rsidRPr="00CF024D">
        <w:rPr>
          <w:rFonts w:hint="eastAsia"/>
          <w:lang w:val="en-CA" w:eastAsia="zh-CN"/>
        </w:rPr>
        <w:t>2017</w:t>
      </w:r>
      <w:r w:rsidR="005132EB" w:rsidRPr="00CF024D">
        <w:rPr>
          <w:rFonts w:hint="eastAsia"/>
          <w:lang w:val="en-CA" w:eastAsia="zh-CN"/>
        </w:rPr>
        <w:t>年至</w:t>
      </w:r>
      <w:r w:rsidR="005132EB" w:rsidRPr="00CF024D">
        <w:rPr>
          <w:rFonts w:hint="eastAsia"/>
          <w:lang w:val="en-CA" w:eastAsia="zh-CN"/>
        </w:rPr>
        <w:t>2019</w:t>
      </w:r>
      <w:r w:rsidR="005132EB" w:rsidRPr="00CF024D">
        <w:rPr>
          <w:rFonts w:hint="eastAsia"/>
          <w:lang w:val="en-CA" w:eastAsia="zh-CN"/>
        </w:rPr>
        <w:t>年</w:t>
      </w:r>
      <w:r w:rsidR="000250D1" w:rsidRPr="00CF024D">
        <w:rPr>
          <w:rFonts w:hint="eastAsia"/>
          <w:lang w:val="en-CA" w:eastAsia="zh-CN"/>
        </w:rPr>
        <w:t>的</w:t>
      </w:r>
      <w:r w:rsidR="005132EB" w:rsidRPr="00CF024D">
        <w:rPr>
          <w:rFonts w:hint="eastAsia"/>
          <w:lang w:val="en-CA" w:eastAsia="zh-CN"/>
        </w:rPr>
        <w:t>平均产量）</w:t>
      </w:r>
      <w:r w:rsidR="000250D1" w:rsidRPr="00CF024D">
        <w:rPr>
          <w:rFonts w:hint="eastAsia"/>
          <w:lang w:val="en-CA" w:eastAsia="zh-CN"/>
        </w:rPr>
        <w:t>作为</w:t>
      </w:r>
      <w:r w:rsidR="000250D1" w:rsidRPr="00CF024D">
        <w:rPr>
          <w:rFonts w:hint="eastAsia"/>
          <w:lang w:val="en-CA" w:eastAsia="zh-CN"/>
        </w:rPr>
        <w:t>HCFC-22</w:t>
      </w:r>
      <w:r w:rsidR="000250D1" w:rsidRPr="00CF024D">
        <w:rPr>
          <w:rFonts w:hint="eastAsia"/>
          <w:lang w:val="en-CA" w:eastAsia="zh-CN"/>
        </w:rPr>
        <w:t>的平均产量</w:t>
      </w:r>
      <w:r w:rsidR="005132EB" w:rsidRPr="00CF024D">
        <w:rPr>
          <w:rFonts w:hint="eastAsia"/>
          <w:lang w:val="en-CA" w:eastAsia="zh-CN"/>
        </w:rPr>
        <w:t>，</w:t>
      </w:r>
      <w:r w:rsidR="000250D1" w:rsidRPr="00CF024D">
        <w:rPr>
          <w:rFonts w:hint="eastAsia"/>
          <w:lang w:val="en-CA" w:eastAsia="zh-CN"/>
        </w:rPr>
        <w:t>在</w:t>
      </w:r>
      <w:r w:rsidR="000250D1" w:rsidRPr="00CF024D">
        <w:rPr>
          <w:rFonts w:hint="eastAsia"/>
          <w:lang w:val="en-CA" w:eastAsia="zh-CN"/>
        </w:rPr>
        <w:t>2025</w:t>
      </w:r>
      <w:r w:rsidR="000250D1" w:rsidRPr="00CF024D">
        <w:rPr>
          <w:rFonts w:hint="eastAsia"/>
          <w:lang w:val="en-CA" w:eastAsia="zh-CN"/>
        </w:rPr>
        <w:t>年至</w:t>
      </w:r>
      <w:r w:rsidR="000250D1" w:rsidRPr="00CF024D">
        <w:rPr>
          <w:rFonts w:hint="eastAsia"/>
          <w:lang w:val="en-CA" w:eastAsia="zh-CN"/>
        </w:rPr>
        <w:t>2029</w:t>
      </w:r>
      <w:r w:rsidR="000250D1" w:rsidRPr="00CF024D">
        <w:rPr>
          <w:rFonts w:hint="eastAsia"/>
          <w:lang w:val="en-CA" w:eastAsia="zh-CN"/>
        </w:rPr>
        <w:t>年间使用</w:t>
      </w:r>
      <w:r w:rsidR="000250D1" w:rsidRPr="00CF024D">
        <w:rPr>
          <w:rFonts w:hint="eastAsia"/>
          <w:lang w:val="en-CA" w:eastAsia="zh-CN"/>
        </w:rPr>
        <w:t>1,300</w:t>
      </w:r>
      <w:r w:rsidR="000250D1" w:rsidRPr="00CF024D">
        <w:rPr>
          <w:rFonts w:hint="eastAsia"/>
          <w:lang w:val="en-CA" w:eastAsia="zh-CN"/>
        </w:rPr>
        <w:t>公吨</w:t>
      </w:r>
      <w:r w:rsidR="000250D1" w:rsidRPr="00CF024D">
        <w:rPr>
          <w:rFonts w:hint="eastAsia"/>
          <w:lang w:val="en-CA" w:eastAsia="zh-CN"/>
        </w:rPr>
        <w:t>/</w:t>
      </w:r>
      <w:r w:rsidR="000250D1" w:rsidRPr="00CF024D">
        <w:rPr>
          <w:rFonts w:hint="eastAsia"/>
          <w:lang w:val="en-CA" w:eastAsia="zh-CN"/>
        </w:rPr>
        <w:t>年；鉴于翻新焚化炉所需的六个月，销毁预计在</w:t>
      </w:r>
      <w:r w:rsidR="000250D1" w:rsidRPr="00CF024D">
        <w:rPr>
          <w:rFonts w:hint="eastAsia"/>
          <w:lang w:val="en-CA" w:eastAsia="zh-CN"/>
        </w:rPr>
        <w:t>2021</w:t>
      </w:r>
      <w:r w:rsidR="000250D1" w:rsidRPr="00CF024D">
        <w:rPr>
          <w:rFonts w:hint="eastAsia"/>
          <w:lang w:val="en-CA" w:eastAsia="zh-CN"/>
        </w:rPr>
        <w:t>年</w:t>
      </w:r>
      <w:r w:rsidR="000250D1" w:rsidRPr="00CF024D">
        <w:rPr>
          <w:rFonts w:hint="eastAsia"/>
          <w:lang w:val="en-CA" w:eastAsia="zh-CN"/>
        </w:rPr>
        <w:t>10</w:t>
      </w:r>
      <w:r w:rsidR="000250D1" w:rsidRPr="00CF024D">
        <w:rPr>
          <w:rFonts w:hint="eastAsia"/>
          <w:lang w:val="en-CA" w:eastAsia="zh-CN"/>
        </w:rPr>
        <w:t>月</w:t>
      </w:r>
      <w:r w:rsidR="000250D1" w:rsidRPr="00CF024D">
        <w:rPr>
          <w:rFonts w:hint="eastAsia"/>
          <w:lang w:val="en-CA" w:eastAsia="zh-CN"/>
        </w:rPr>
        <w:t>1</w:t>
      </w:r>
      <w:r w:rsidR="000250D1" w:rsidRPr="00CF024D">
        <w:rPr>
          <w:rFonts w:hint="eastAsia"/>
          <w:lang w:val="en-CA" w:eastAsia="zh-CN"/>
        </w:rPr>
        <w:t>日开始</w:t>
      </w:r>
      <w:r w:rsidR="00EC3BF4" w:rsidRPr="00CF024D">
        <w:rPr>
          <w:rStyle w:val="FootnoteReference"/>
          <w:lang w:val="en-CA"/>
        </w:rPr>
        <w:footnoteReference w:id="10"/>
      </w:r>
      <w:r w:rsidR="000250D1" w:rsidRPr="00CF024D">
        <w:rPr>
          <w:rFonts w:hint="eastAsia"/>
          <w:lang w:val="en-CA" w:eastAsia="zh-CN"/>
        </w:rPr>
        <w:t>；以及副产品历史平均生成率为</w:t>
      </w:r>
      <w:r w:rsidR="00EC3BF4" w:rsidRPr="00CF024D">
        <w:rPr>
          <w:rFonts w:hint="eastAsia"/>
          <w:lang w:val="en-CA" w:eastAsia="zh-CN"/>
        </w:rPr>
        <w:t>3.24%</w:t>
      </w:r>
      <w:r w:rsidR="00EC3BF4" w:rsidRPr="00CF024D">
        <w:rPr>
          <w:rFonts w:hint="eastAsia"/>
          <w:lang w:val="en-CA" w:eastAsia="zh-CN"/>
        </w:rPr>
        <w:t>。</w:t>
      </w:r>
      <w:r w:rsidR="00BE179B" w:rsidRPr="00CF024D">
        <w:rPr>
          <w:lang w:val="en-CA"/>
        </w:rPr>
        <w:t xml:space="preserve"> </w:t>
      </w:r>
    </w:p>
    <w:p w14:paraId="2816238E" w14:textId="64365ED1" w:rsidR="00A43540" w:rsidRPr="00CF024D" w:rsidRDefault="00B650A8" w:rsidP="00AB202A">
      <w:pPr>
        <w:pStyle w:val="Heading1"/>
        <w:rPr>
          <w:lang w:val="en-CA" w:eastAsia="zh-CN"/>
        </w:rPr>
      </w:pPr>
      <w:r w:rsidRPr="00CF024D">
        <w:rPr>
          <w:rFonts w:hint="eastAsia"/>
          <w:lang w:val="en-CA" w:eastAsia="zh-CN"/>
        </w:rPr>
        <w:t>在第八十四次会议上，工发组织注意到</w:t>
      </w:r>
      <w:r w:rsidR="00C42755" w:rsidRPr="00CF024D">
        <w:rPr>
          <w:rFonts w:hint="eastAsia"/>
          <w:lang w:val="en-CA" w:eastAsia="zh-CN"/>
        </w:rPr>
        <w:t>翻新焚化炉的选择包括</w:t>
      </w:r>
      <w:r w:rsidR="00263B0F" w:rsidRPr="00CF024D">
        <w:rPr>
          <w:rFonts w:hint="eastAsia"/>
          <w:lang w:val="en-CA" w:eastAsia="zh-CN"/>
        </w:rPr>
        <w:t>用较小尺寸的异金属燃烧器代替原燃烧器，</w:t>
      </w:r>
      <w:r w:rsidR="00E92B3E" w:rsidRPr="00CF024D">
        <w:rPr>
          <w:rFonts w:hint="eastAsia"/>
          <w:lang w:val="en-CA" w:eastAsia="zh-CN"/>
        </w:rPr>
        <w:t>以</w:t>
      </w:r>
      <w:r w:rsidR="00BB6622" w:rsidRPr="00CF024D">
        <w:rPr>
          <w:rFonts w:hint="eastAsia"/>
          <w:lang w:val="en-CA" w:eastAsia="zh-CN"/>
        </w:rPr>
        <w:t>便</w:t>
      </w:r>
      <w:r w:rsidR="006E437C" w:rsidRPr="00CF024D">
        <w:rPr>
          <w:rFonts w:hint="eastAsia"/>
          <w:lang w:val="en-CA" w:eastAsia="zh-CN"/>
        </w:rPr>
        <w:t>用更高的效率和更低的设计容量焚化更低质量比率的</w:t>
      </w:r>
      <w:r w:rsidR="006E437C" w:rsidRPr="00CF024D">
        <w:rPr>
          <w:rFonts w:hint="eastAsia"/>
          <w:lang w:val="en-CA" w:eastAsia="zh-CN"/>
        </w:rPr>
        <w:t>HFC-23</w:t>
      </w:r>
      <w:r w:rsidR="006E437C" w:rsidRPr="00CF024D">
        <w:rPr>
          <w:rFonts w:hint="eastAsia"/>
          <w:lang w:val="en-CA" w:eastAsia="zh-CN"/>
        </w:rPr>
        <w:t>，</w:t>
      </w:r>
      <w:r w:rsidR="00BB6622" w:rsidRPr="00CF024D">
        <w:rPr>
          <w:rFonts w:hint="eastAsia"/>
          <w:lang w:val="en-CA" w:eastAsia="zh-CN"/>
        </w:rPr>
        <w:t>使得</w:t>
      </w:r>
      <w:r w:rsidR="00BB6622" w:rsidRPr="00CF024D">
        <w:rPr>
          <w:lang w:val="en-CA"/>
        </w:rPr>
        <w:t>HCFC-22</w:t>
      </w:r>
      <w:r w:rsidR="00BB6622" w:rsidRPr="00CF024D">
        <w:rPr>
          <w:rFonts w:hint="eastAsia"/>
          <w:lang w:val="en-CA" w:eastAsia="zh-CN"/>
        </w:rPr>
        <w:t>生产线运行时焚化炉可持续运行。</w:t>
      </w:r>
      <w:r w:rsidR="00BA07CF" w:rsidRPr="00CF024D">
        <w:rPr>
          <w:rFonts w:hint="eastAsia"/>
          <w:lang w:val="en-CA" w:eastAsia="zh-CN"/>
        </w:rPr>
        <w:t>如果焚化炉不能连续运行，</w:t>
      </w:r>
      <w:r w:rsidR="006B478E" w:rsidRPr="00CF024D">
        <w:rPr>
          <w:lang w:val="en-CA" w:eastAsia="zh-CN"/>
        </w:rPr>
        <w:t>FIASA</w:t>
      </w:r>
      <w:r w:rsidR="006B478E" w:rsidRPr="00CF024D">
        <w:rPr>
          <w:lang w:val="en-CA" w:eastAsia="zh-CN"/>
        </w:rPr>
        <w:t>工厂</w:t>
      </w:r>
      <w:r w:rsidR="00BA07CF" w:rsidRPr="00CF024D">
        <w:rPr>
          <w:rFonts w:hint="eastAsia"/>
          <w:lang w:val="en-CA" w:eastAsia="zh-CN"/>
        </w:rPr>
        <w:t>需要将</w:t>
      </w:r>
      <w:r w:rsidR="00BA07CF" w:rsidRPr="00CF024D">
        <w:rPr>
          <w:rFonts w:hint="eastAsia"/>
          <w:lang w:val="en-CA" w:eastAsia="zh-CN"/>
        </w:rPr>
        <w:t>HFC-23</w:t>
      </w:r>
      <w:r w:rsidR="00BA07CF" w:rsidRPr="00CF024D">
        <w:rPr>
          <w:rFonts w:hint="eastAsia"/>
          <w:lang w:val="en-CA" w:eastAsia="zh-CN"/>
        </w:rPr>
        <w:t>暂时存放在</w:t>
      </w:r>
      <w:r w:rsidR="00DA54A7" w:rsidRPr="00CF024D">
        <w:rPr>
          <w:rFonts w:hint="eastAsia"/>
          <w:lang w:val="en-CA" w:eastAsia="zh-CN"/>
        </w:rPr>
        <w:t>其</w:t>
      </w:r>
      <w:r w:rsidR="00BA07CF" w:rsidRPr="00CF024D">
        <w:rPr>
          <w:rFonts w:hint="eastAsia"/>
          <w:lang w:val="en-CA" w:eastAsia="zh-CN"/>
        </w:rPr>
        <w:t>低温罐中，</w:t>
      </w:r>
      <w:r w:rsidR="00DA54A7" w:rsidRPr="00CF024D">
        <w:rPr>
          <w:rFonts w:hint="eastAsia"/>
          <w:lang w:val="en-CA" w:eastAsia="zh-CN"/>
        </w:rPr>
        <w:t>导致企业</w:t>
      </w:r>
      <w:r w:rsidR="00940C14" w:rsidRPr="00CF024D">
        <w:rPr>
          <w:rFonts w:hint="eastAsia"/>
          <w:lang w:val="en-CA" w:eastAsia="zh-CN"/>
        </w:rPr>
        <w:t>按要求应注册为危险废物生产者及危险废物处理设施，而政府不能强制企业注册。</w:t>
      </w:r>
      <w:r w:rsidR="0067111E" w:rsidRPr="00CF024D">
        <w:rPr>
          <w:rFonts w:hint="eastAsia"/>
          <w:lang w:val="en-CA" w:eastAsia="zh-CN"/>
        </w:rPr>
        <w:t>相反，政府认为任何时候只要</w:t>
      </w:r>
      <w:r w:rsidR="0067111E" w:rsidRPr="00CF024D">
        <w:rPr>
          <w:rFonts w:hint="eastAsia"/>
          <w:lang w:val="en-CA" w:eastAsia="zh-CN"/>
        </w:rPr>
        <w:t>HCFC-22</w:t>
      </w:r>
      <w:r w:rsidR="0067111E" w:rsidRPr="00CF024D">
        <w:rPr>
          <w:rFonts w:hint="eastAsia"/>
          <w:lang w:val="en-CA" w:eastAsia="zh-CN"/>
        </w:rPr>
        <w:t>生产线运行，企业就将运行焚化炉，从而无需使用低温罐，也无需注册为危险废物生产者及危险废物处理设施。在此基础上，以及商定的</w:t>
      </w:r>
      <w:r w:rsidR="0067111E" w:rsidRPr="00CF024D">
        <w:rPr>
          <w:rFonts w:hint="eastAsia"/>
          <w:lang w:val="en-CA" w:eastAsia="zh-CN"/>
        </w:rPr>
        <w:t>HCFC-22</w:t>
      </w:r>
      <w:r w:rsidR="0067111E" w:rsidRPr="00CF024D">
        <w:rPr>
          <w:rFonts w:hint="eastAsia"/>
          <w:lang w:val="en-CA" w:eastAsia="zh-CN"/>
        </w:rPr>
        <w:t>生产、副产品产生率以及开始日期，工发组织预计增量运营成本为</w:t>
      </w:r>
      <w:r w:rsidR="00E942A2" w:rsidRPr="00CF024D">
        <w:rPr>
          <w:lang w:val="en-CA" w:eastAsia="zh-CN"/>
        </w:rPr>
        <w:t>2,</w:t>
      </w:r>
      <w:r w:rsidR="00880CC6" w:rsidRPr="00CF024D">
        <w:rPr>
          <w:lang w:val="en-CA" w:eastAsia="zh-CN"/>
        </w:rPr>
        <w:t>628,561</w:t>
      </w:r>
      <w:r w:rsidR="00FF49C0" w:rsidRPr="00CF024D">
        <w:rPr>
          <w:rFonts w:hint="eastAsia"/>
          <w:lang w:val="en-CA" w:eastAsia="zh-CN"/>
        </w:rPr>
        <w:t>美元，包括原材料、公共事业费用、运行焚化炉的人力、维护和管理费用；</w:t>
      </w:r>
      <w:r w:rsidR="005163A2" w:rsidRPr="00CF024D">
        <w:rPr>
          <w:rFonts w:hint="eastAsia"/>
          <w:lang w:val="en-CA" w:eastAsia="zh-CN"/>
        </w:rPr>
        <w:t>作为危险废物生产者和处理设施的年注册费</w:t>
      </w:r>
      <w:r w:rsidR="005163A2" w:rsidRPr="00CF024D">
        <w:rPr>
          <w:lang w:val="en-CA" w:eastAsia="zh-CN"/>
        </w:rPr>
        <w:t>3,690</w:t>
      </w:r>
      <w:r w:rsidR="005163A2" w:rsidRPr="00CF024D">
        <w:rPr>
          <w:rFonts w:hint="eastAsia"/>
          <w:lang w:val="en-CA" w:eastAsia="zh-CN"/>
        </w:rPr>
        <w:t>美元；以及政府监测费用</w:t>
      </w:r>
      <w:r w:rsidR="005163A2" w:rsidRPr="00CF024D">
        <w:rPr>
          <w:rFonts w:hint="eastAsia"/>
          <w:lang w:val="en-CA" w:eastAsia="zh-CN"/>
        </w:rPr>
        <w:t>10,000</w:t>
      </w:r>
      <w:r w:rsidR="005163A2" w:rsidRPr="00CF024D">
        <w:rPr>
          <w:rFonts w:hint="eastAsia"/>
          <w:lang w:val="en-CA" w:eastAsia="zh-CN"/>
        </w:rPr>
        <w:t>美元</w:t>
      </w:r>
      <w:r w:rsidR="005163A2" w:rsidRPr="00CF024D">
        <w:rPr>
          <w:rFonts w:hint="eastAsia"/>
          <w:lang w:val="en-CA" w:eastAsia="zh-CN"/>
        </w:rPr>
        <w:t>/</w:t>
      </w:r>
      <w:r w:rsidR="005163A2" w:rsidRPr="00CF024D">
        <w:rPr>
          <w:rFonts w:hint="eastAsia"/>
          <w:lang w:val="en-CA" w:eastAsia="zh-CN"/>
        </w:rPr>
        <w:t>年，</w:t>
      </w:r>
      <w:r w:rsidR="001524AF" w:rsidRPr="00CF024D">
        <w:rPr>
          <w:rFonts w:hint="eastAsia"/>
          <w:lang w:val="en-CA" w:eastAsia="zh-CN"/>
        </w:rPr>
        <w:t>除了</w:t>
      </w:r>
      <w:r w:rsidR="001524AF" w:rsidRPr="00CF024D">
        <w:rPr>
          <w:rFonts w:hint="eastAsia"/>
          <w:lang w:val="en-CA" w:eastAsia="zh-CN"/>
        </w:rPr>
        <w:t>2021</w:t>
      </w:r>
      <w:r w:rsidR="001524AF" w:rsidRPr="00CF024D">
        <w:rPr>
          <w:rFonts w:hint="eastAsia"/>
          <w:lang w:val="en-CA" w:eastAsia="zh-CN"/>
        </w:rPr>
        <w:t>年和</w:t>
      </w:r>
      <w:r w:rsidR="001524AF" w:rsidRPr="00CF024D">
        <w:rPr>
          <w:rFonts w:hint="eastAsia"/>
          <w:lang w:val="en-CA" w:eastAsia="zh-CN"/>
        </w:rPr>
        <w:t>2022</w:t>
      </w:r>
      <w:r w:rsidR="001524AF" w:rsidRPr="00CF024D">
        <w:rPr>
          <w:rFonts w:hint="eastAsia"/>
          <w:lang w:val="en-CA" w:eastAsia="zh-CN"/>
        </w:rPr>
        <w:t>年，</w:t>
      </w:r>
      <w:r w:rsidR="00703573" w:rsidRPr="00CF024D">
        <w:rPr>
          <w:rFonts w:hint="eastAsia"/>
          <w:lang w:val="en-CA" w:eastAsia="zh-CN"/>
        </w:rPr>
        <w:t>基于氟氯烃淘汰管理计划第二阶段已核</w:t>
      </w:r>
      <w:r w:rsidR="00D666C7" w:rsidRPr="00CF024D">
        <w:rPr>
          <w:rFonts w:hint="eastAsia"/>
          <w:lang w:val="en-CA" w:eastAsia="zh-CN"/>
        </w:rPr>
        <w:t>准的政府监测</w:t>
      </w:r>
      <w:r w:rsidR="006B478E" w:rsidRPr="00CF024D">
        <w:rPr>
          <w:lang w:val="en-CA" w:eastAsia="zh-CN"/>
        </w:rPr>
        <w:t>FIASA</w:t>
      </w:r>
      <w:r w:rsidR="006B478E" w:rsidRPr="00CF024D">
        <w:rPr>
          <w:lang w:val="en-CA" w:eastAsia="zh-CN"/>
        </w:rPr>
        <w:t>工厂</w:t>
      </w:r>
      <w:r w:rsidR="00D666C7" w:rsidRPr="00CF024D">
        <w:rPr>
          <w:rFonts w:hint="eastAsia"/>
          <w:lang w:val="en-CA" w:eastAsia="zh-CN"/>
        </w:rPr>
        <w:t>氟氯烃生产的资金，仅</w:t>
      </w:r>
      <w:r w:rsidR="001524AF" w:rsidRPr="00CF024D">
        <w:rPr>
          <w:rFonts w:hint="eastAsia"/>
          <w:lang w:val="en-CA" w:eastAsia="zh-CN"/>
        </w:rPr>
        <w:t>需要</w:t>
      </w:r>
      <w:r w:rsidR="001524AF" w:rsidRPr="00CF024D">
        <w:rPr>
          <w:rFonts w:hint="eastAsia"/>
          <w:lang w:val="en-CA" w:eastAsia="zh-CN"/>
        </w:rPr>
        <w:t>5,000</w:t>
      </w:r>
      <w:r w:rsidR="001524AF" w:rsidRPr="00CF024D">
        <w:rPr>
          <w:rFonts w:hint="eastAsia"/>
          <w:lang w:val="en-CA" w:eastAsia="zh-CN"/>
        </w:rPr>
        <w:t>美元</w:t>
      </w:r>
      <w:r w:rsidR="001524AF" w:rsidRPr="00CF024D">
        <w:rPr>
          <w:rFonts w:hint="eastAsia"/>
          <w:lang w:val="en-CA" w:eastAsia="zh-CN"/>
        </w:rPr>
        <w:t>/</w:t>
      </w:r>
      <w:r w:rsidR="001524AF" w:rsidRPr="00CF024D">
        <w:rPr>
          <w:rFonts w:hint="eastAsia"/>
          <w:lang w:val="en-CA" w:eastAsia="zh-CN"/>
        </w:rPr>
        <w:t>年</w:t>
      </w:r>
      <w:r w:rsidR="00AE0672" w:rsidRPr="00CF024D">
        <w:rPr>
          <w:rFonts w:hint="eastAsia"/>
          <w:lang w:val="en-CA" w:eastAsia="zh-CN"/>
        </w:rPr>
        <w:t>（表</w:t>
      </w:r>
      <w:r w:rsidR="00AE0672" w:rsidRPr="00CF024D">
        <w:rPr>
          <w:rFonts w:hint="eastAsia"/>
          <w:lang w:val="en-CA" w:eastAsia="zh-CN"/>
        </w:rPr>
        <w:t>2</w:t>
      </w:r>
      <w:r w:rsidR="00AE0672" w:rsidRPr="00CF024D">
        <w:rPr>
          <w:rFonts w:hint="eastAsia"/>
          <w:lang w:val="en-CA" w:eastAsia="zh-CN"/>
        </w:rPr>
        <w:t>）</w:t>
      </w:r>
      <w:r w:rsidR="001524AF" w:rsidRPr="00CF024D">
        <w:rPr>
          <w:rFonts w:hint="eastAsia"/>
          <w:lang w:val="en-CA" w:eastAsia="zh-CN"/>
        </w:rPr>
        <w:t>。</w:t>
      </w:r>
    </w:p>
    <w:p w14:paraId="16F4B20F" w14:textId="1E7D3552" w:rsidR="005F40FA" w:rsidRPr="00CF024D" w:rsidRDefault="007F4661" w:rsidP="00F056E0">
      <w:pPr>
        <w:pStyle w:val="Heading1"/>
        <w:rPr>
          <w:lang w:val="en-CA"/>
        </w:rPr>
      </w:pPr>
      <w:r w:rsidRPr="00CF024D">
        <w:rPr>
          <w:rFonts w:hint="eastAsia"/>
          <w:lang w:val="en-CA" w:eastAsia="zh-CN"/>
        </w:rPr>
        <w:t>秘书处回顾</w:t>
      </w:r>
      <w:r w:rsidR="006B478E" w:rsidRPr="00CF024D">
        <w:rPr>
          <w:lang w:val="en-CA" w:eastAsia="zh-CN"/>
        </w:rPr>
        <w:t>FIASA</w:t>
      </w:r>
      <w:r w:rsidR="006B478E" w:rsidRPr="00CF024D">
        <w:rPr>
          <w:lang w:val="en-CA" w:eastAsia="zh-CN"/>
        </w:rPr>
        <w:t>工厂</w:t>
      </w:r>
      <w:r w:rsidRPr="00CF024D">
        <w:rPr>
          <w:rFonts w:hint="eastAsia"/>
          <w:lang w:val="en-CA" w:eastAsia="zh-CN"/>
        </w:rPr>
        <w:t>在</w:t>
      </w:r>
      <w:r w:rsidRPr="00CF024D">
        <w:rPr>
          <w:rFonts w:hint="eastAsia"/>
          <w:lang w:val="en-CA" w:eastAsia="zh-CN"/>
        </w:rPr>
        <w:t>2007</w:t>
      </w:r>
      <w:r w:rsidRPr="00CF024D">
        <w:rPr>
          <w:rFonts w:hint="eastAsia"/>
          <w:lang w:val="en-CA" w:eastAsia="zh-CN"/>
        </w:rPr>
        <w:t>年安装了低温罐，不仅用于</w:t>
      </w:r>
      <w:r w:rsidRPr="00CF024D">
        <w:rPr>
          <w:rFonts w:hint="eastAsia"/>
          <w:lang w:val="en-CA" w:eastAsia="zh-CN"/>
        </w:rPr>
        <w:t>HFC-23</w:t>
      </w:r>
      <w:r w:rsidRPr="00CF024D">
        <w:rPr>
          <w:rFonts w:hint="eastAsia"/>
          <w:lang w:val="en-CA" w:eastAsia="zh-CN"/>
        </w:rPr>
        <w:t>存放，也改善了焚化炉</w:t>
      </w:r>
      <w:r w:rsidRPr="00CF024D">
        <w:rPr>
          <w:rFonts w:hint="eastAsia"/>
          <w:lang w:val="en-CA" w:eastAsia="zh-CN"/>
        </w:rPr>
        <w:t>HFC-23</w:t>
      </w:r>
      <w:r w:rsidRPr="00CF024D">
        <w:rPr>
          <w:rFonts w:hint="eastAsia"/>
          <w:lang w:val="en-CA" w:eastAsia="zh-CN"/>
        </w:rPr>
        <w:t>进料的控制。特别是</w:t>
      </w:r>
      <w:r w:rsidR="008235B5" w:rsidRPr="00CF024D">
        <w:rPr>
          <w:rFonts w:hint="eastAsia"/>
          <w:lang w:val="en-CA" w:eastAsia="zh-CN"/>
        </w:rPr>
        <w:t>，</w:t>
      </w:r>
      <w:r w:rsidRPr="00CF024D">
        <w:rPr>
          <w:rFonts w:hint="eastAsia"/>
          <w:lang w:val="en-CA" w:eastAsia="zh-CN"/>
        </w:rPr>
        <w:t>企业</w:t>
      </w:r>
      <w:r w:rsidR="008235B5" w:rsidRPr="00CF024D">
        <w:rPr>
          <w:rFonts w:hint="eastAsia"/>
          <w:lang w:val="en-CA" w:eastAsia="zh-CN"/>
        </w:rPr>
        <w:t>在没有低温罐的情况下难以操作焚化炉，因为需要低温罐确保对</w:t>
      </w:r>
      <w:r w:rsidR="008235B5" w:rsidRPr="00CF024D">
        <w:rPr>
          <w:rFonts w:hint="eastAsia"/>
          <w:lang w:val="en-CA" w:eastAsia="zh-CN"/>
        </w:rPr>
        <w:t>HFC-23</w:t>
      </w:r>
      <w:r w:rsidR="008235B5" w:rsidRPr="00CF024D">
        <w:rPr>
          <w:rFonts w:hint="eastAsia"/>
          <w:lang w:val="en-CA" w:eastAsia="zh-CN"/>
        </w:rPr>
        <w:t>入口压力和进料速率的必要控制。相应地，低温罐很可能是焚化炉高效运行的技术要求，并确保</w:t>
      </w:r>
      <w:r w:rsidR="008235B5" w:rsidRPr="00CF024D">
        <w:rPr>
          <w:rFonts w:hint="eastAsia"/>
          <w:lang w:val="en-CA" w:eastAsia="zh-CN"/>
        </w:rPr>
        <w:t>HFC-23</w:t>
      </w:r>
      <w:r w:rsidR="008235B5" w:rsidRPr="00CF024D">
        <w:rPr>
          <w:rFonts w:hint="eastAsia"/>
          <w:lang w:val="en-CA" w:eastAsia="zh-CN"/>
        </w:rPr>
        <w:t>的销毁符合该技术的销毁和移除效率。</w:t>
      </w:r>
      <w:r w:rsidR="00106AC3" w:rsidRPr="00CF024D">
        <w:rPr>
          <w:rFonts w:hint="eastAsia"/>
          <w:lang w:val="en-CA" w:eastAsia="zh-CN"/>
        </w:rPr>
        <w:t>此外，</w:t>
      </w:r>
      <w:r w:rsidR="006B478E" w:rsidRPr="00CF024D">
        <w:rPr>
          <w:lang w:val="en-CA" w:eastAsia="zh-CN"/>
        </w:rPr>
        <w:t>FIASA</w:t>
      </w:r>
      <w:r w:rsidR="006B478E" w:rsidRPr="00CF024D">
        <w:rPr>
          <w:lang w:val="en-CA" w:eastAsia="zh-CN"/>
        </w:rPr>
        <w:t>工厂</w:t>
      </w:r>
      <w:r w:rsidR="00106AC3" w:rsidRPr="00CF024D">
        <w:rPr>
          <w:rFonts w:hint="eastAsia"/>
          <w:lang w:val="en-CA" w:eastAsia="zh-CN"/>
        </w:rPr>
        <w:t>是在其根据清洁发展机制产生</w:t>
      </w:r>
      <w:r w:rsidR="0001174A" w:rsidRPr="00CF024D">
        <w:rPr>
          <w:rFonts w:hint="eastAsia"/>
          <w:lang w:val="en-CA" w:eastAsia="zh-CN"/>
        </w:rPr>
        <w:t>减排额的项目</w:t>
      </w:r>
      <w:r w:rsidR="00106AC3" w:rsidRPr="00CF024D">
        <w:rPr>
          <w:rFonts w:hint="eastAsia"/>
          <w:lang w:val="en-CA" w:eastAsia="zh-CN"/>
        </w:rPr>
        <w:t>期间将副产品</w:t>
      </w:r>
      <w:r w:rsidR="00106AC3" w:rsidRPr="00CF024D">
        <w:rPr>
          <w:rFonts w:hint="eastAsia"/>
          <w:lang w:val="en-CA" w:eastAsia="zh-CN"/>
        </w:rPr>
        <w:t>HFC-23</w:t>
      </w:r>
      <w:r w:rsidR="00106AC3" w:rsidRPr="00CF024D">
        <w:rPr>
          <w:rFonts w:hint="eastAsia"/>
          <w:lang w:val="en-CA" w:eastAsia="zh-CN"/>
        </w:rPr>
        <w:t>存放在其低温贮罐中并运行焚化炉</w:t>
      </w:r>
      <w:r w:rsidR="0001174A" w:rsidRPr="00CF024D">
        <w:rPr>
          <w:rFonts w:hint="eastAsia"/>
          <w:lang w:val="en-CA" w:eastAsia="zh-CN"/>
        </w:rPr>
        <w:t>；在此期间，</w:t>
      </w:r>
      <w:r w:rsidR="006B478E" w:rsidRPr="00CF024D">
        <w:rPr>
          <w:lang w:val="en-CA" w:eastAsia="zh-CN"/>
        </w:rPr>
        <w:t>FIASA</w:t>
      </w:r>
      <w:r w:rsidR="006B478E" w:rsidRPr="00CF024D">
        <w:rPr>
          <w:lang w:val="en-CA" w:eastAsia="zh-CN"/>
        </w:rPr>
        <w:t>工厂</w:t>
      </w:r>
      <w:r w:rsidR="0001174A" w:rsidRPr="00CF024D">
        <w:rPr>
          <w:rFonts w:hint="eastAsia"/>
          <w:lang w:val="en-CA" w:eastAsia="zh-CN"/>
        </w:rPr>
        <w:t>受同样法规要求需注册为危险废物生产者和危险废物处理设施。最终工发组织将注册费用列入其项目提案。相应地，注意到</w:t>
      </w:r>
      <w:r w:rsidR="001A707A" w:rsidRPr="00CF024D">
        <w:rPr>
          <w:rFonts w:hint="eastAsia"/>
          <w:lang w:val="en-CA" w:eastAsia="zh-CN"/>
        </w:rPr>
        <w:t>在项目期间运行焚化炉更具成本效率，秘书处</w:t>
      </w:r>
      <w:r w:rsidR="004E7F5D" w:rsidRPr="00CF024D">
        <w:rPr>
          <w:rFonts w:hint="eastAsia"/>
          <w:lang w:val="en-CA" w:eastAsia="zh-CN"/>
        </w:rPr>
        <w:t>并不建议减少燃烧炉容量，而是用与原始设计相同的容量进行替换。</w:t>
      </w:r>
    </w:p>
    <w:p w14:paraId="17AE744D" w14:textId="58A2A625" w:rsidR="00FF5575" w:rsidRPr="00CF024D" w:rsidRDefault="000B713B" w:rsidP="00FF5575">
      <w:pPr>
        <w:pStyle w:val="Heading1"/>
        <w:rPr>
          <w:lang w:val="en-CA"/>
        </w:rPr>
      </w:pPr>
      <w:r w:rsidRPr="00CF024D">
        <w:rPr>
          <w:rFonts w:hint="eastAsia"/>
          <w:lang w:val="en-CA" w:eastAsia="zh-CN"/>
        </w:rPr>
        <w:lastRenderedPageBreak/>
        <w:t>相应地，依照商定的</w:t>
      </w:r>
      <w:r w:rsidRPr="00CF024D">
        <w:rPr>
          <w:rFonts w:hint="eastAsia"/>
          <w:lang w:val="en-CA" w:eastAsia="zh-CN"/>
        </w:rPr>
        <w:t>HCFC-22</w:t>
      </w:r>
      <w:r w:rsidRPr="00CF024D">
        <w:rPr>
          <w:rFonts w:hint="eastAsia"/>
          <w:lang w:val="en-CA" w:eastAsia="zh-CN"/>
        </w:rPr>
        <w:t>生产、副产品产生率和开始日期，以及第八十三次会议所采用的方法，秘书处基于如下各项计算出增量运营成本为</w:t>
      </w:r>
      <w:r w:rsidRPr="00CF024D">
        <w:rPr>
          <w:lang w:val="en-CA"/>
        </w:rPr>
        <w:t>520,211</w:t>
      </w:r>
      <w:r w:rsidRPr="00CF024D">
        <w:rPr>
          <w:rFonts w:hint="eastAsia"/>
          <w:lang w:val="en-CA" w:eastAsia="zh-CN"/>
        </w:rPr>
        <w:t>美元：</w:t>
      </w:r>
    </w:p>
    <w:p w14:paraId="2008C238" w14:textId="7B65FE62" w:rsidR="00D122A5" w:rsidRPr="00CF024D" w:rsidRDefault="008B543C" w:rsidP="00D122A5">
      <w:pPr>
        <w:pStyle w:val="Heading2"/>
        <w:tabs>
          <w:tab w:val="clear" w:pos="3060"/>
          <w:tab w:val="num" w:pos="-2160"/>
        </w:tabs>
        <w:ind w:left="1440"/>
        <w:rPr>
          <w:lang w:val="en-CA"/>
        </w:rPr>
      </w:pPr>
      <w:r w:rsidRPr="00CF024D">
        <w:rPr>
          <w:rFonts w:hint="eastAsia"/>
          <w:lang w:val="en-CA" w:eastAsia="zh-CN"/>
        </w:rPr>
        <w:t>焚化炉固定成本（即操作人力、氮气、维护和管理费用）</w:t>
      </w:r>
      <w:r w:rsidR="005738B0" w:rsidRPr="00CF024D">
        <w:rPr>
          <w:rFonts w:hint="eastAsia"/>
          <w:lang w:val="en-CA" w:eastAsia="zh-CN"/>
        </w:rPr>
        <w:t>预计为工发组织提案年度费用的两个月，因为基于每年副产品</w:t>
      </w:r>
      <w:r w:rsidR="005738B0" w:rsidRPr="00CF024D">
        <w:rPr>
          <w:rFonts w:hint="eastAsia"/>
          <w:lang w:val="en-CA" w:eastAsia="zh-CN"/>
        </w:rPr>
        <w:t>HFC-23</w:t>
      </w:r>
      <w:r w:rsidR="005738B0" w:rsidRPr="00CF024D">
        <w:rPr>
          <w:rFonts w:hint="eastAsia"/>
          <w:lang w:val="en-CA" w:eastAsia="zh-CN"/>
        </w:rPr>
        <w:t>的产生量和</w:t>
      </w:r>
      <w:r w:rsidR="00611E5F" w:rsidRPr="00CF024D">
        <w:rPr>
          <w:rFonts w:hint="eastAsia"/>
          <w:lang w:val="en-CA" w:eastAsia="zh-CN"/>
        </w:rPr>
        <w:t>焚化炉容量（</w:t>
      </w:r>
      <w:r w:rsidR="00611E5F" w:rsidRPr="00CF024D">
        <w:rPr>
          <w:rFonts w:hint="eastAsia"/>
          <w:lang w:val="en-CA" w:eastAsia="zh-CN"/>
        </w:rPr>
        <w:t>613</w:t>
      </w:r>
      <w:r w:rsidR="00611E5F" w:rsidRPr="00CF024D">
        <w:rPr>
          <w:rFonts w:hint="eastAsia"/>
          <w:lang w:val="en-CA" w:eastAsia="zh-CN"/>
        </w:rPr>
        <w:t>公吨</w:t>
      </w:r>
      <w:r w:rsidR="00611E5F" w:rsidRPr="00CF024D">
        <w:rPr>
          <w:rFonts w:hint="eastAsia"/>
          <w:lang w:val="en-CA" w:eastAsia="zh-CN"/>
        </w:rPr>
        <w:t>/</w:t>
      </w:r>
      <w:r w:rsidR="00611E5F" w:rsidRPr="00CF024D">
        <w:rPr>
          <w:rFonts w:hint="eastAsia"/>
          <w:lang w:val="en-CA" w:eastAsia="zh-CN"/>
        </w:rPr>
        <w:t>年），</w:t>
      </w:r>
      <w:r w:rsidR="005738B0" w:rsidRPr="00CF024D">
        <w:rPr>
          <w:rFonts w:hint="eastAsia"/>
          <w:lang w:val="en-CA" w:eastAsia="zh-CN"/>
        </w:rPr>
        <w:t>焚化炉每年需运行</w:t>
      </w:r>
      <w:r w:rsidR="005738B0" w:rsidRPr="00CF024D">
        <w:rPr>
          <w:rFonts w:hint="eastAsia"/>
          <w:lang w:val="en-CA" w:eastAsia="zh-CN"/>
        </w:rPr>
        <w:t>30</w:t>
      </w:r>
      <w:r w:rsidR="005738B0" w:rsidRPr="00CF024D">
        <w:rPr>
          <w:rFonts w:hint="eastAsia"/>
          <w:lang w:val="en-CA" w:eastAsia="zh-CN"/>
        </w:rPr>
        <w:t>天</w:t>
      </w:r>
      <w:r w:rsidR="00611E5F" w:rsidRPr="00CF024D">
        <w:rPr>
          <w:rFonts w:hint="eastAsia"/>
          <w:lang w:val="en-CA" w:eastAsia="zh-CN"/>
        </w:rPr>
        <w:t>；</w:t>
      </w:r>
      <w:r w:rsidR="00414CFA" w:rsidRPr="00CF024D">
        <w:rPr>
          <w:rStyle w:val="FootnoteReference"/>
          <w:lang w:val="en-CA"/>
        </w:rPr>
        <w:footnoteReference w:id="11"/>
      </w:r>
    </w:p>
    <w:p w14:paraId="6439A95B" w14:textId="61B5DADF" w:rsidR="00797ABF" w:rsidRPr="00CF024D" w:rsidRDefault="00B204C1" w:rsidP="00F37D55">
      <w:pPr>
        <w:pStyle w:val="Heading2"/>
        <w:keepNext/>
        <w:keepLines/>
        <w:tabs>
          <w:tab w:val="clear" w:pos="3060"/>
          <w:tab w:val="num" w:pos="-2160"/>
        </w:tabs>
        <w:ind w:left="1440"/>
        <w:rPr>
          <w:lang w:val="en-CA"/>
        </w:rPr>
      </w:pPr>
      <w:r w:rsidRPr="00CF024D">
        <w:rPr>
          <w:rFonts w:hint="eastAsia"/>
          <w:lang w:val="en-CA" w:eastAsia="zh-CN"/>
        </w:rPr>
        <w:t>针对通胀和阿根廷比索贬值对第八十三次会议上所用成本进行调整后的</w:t>
      </w:r>
      <w:r w:rsidR="009717EC" w:rsidRPr="00CF024D">
        <w:rPr>
          <w:rFonts w:hint="eastAsia"/>
          <w:lang w:val="en-CA" w:eastAsia="zh-CN"/>
        </w:rPr>
        <w:t>原材料</w:t>
      </w:r>
      <w:r w:rsidRPr="00CF024D">
        <w:rPr>
          <w:rFonts w:hint="eastAsia"/>
          <w:lang w:val="en-CA" w:eastAsia="zh-CN"/>
        </w:rPr>
        <w:t>成本</w:t>
      </w:r>
      <w:r w:rsidR="009717EC" w:rsidRPr="00CF024D">
        <w:rPr>
          <w:rFonts w:hint="eastAsia"/>
          <w:lang w:val="en-CA" w:eastAsia="zh-CN"/>
        </w:rPr>
        <w:t>、公共事业费用以及每年作为危险废物生产者和处理设施的注册费</w:t>
      </w:r>
      <w:r w:rsidRPr="00CF024D">
        <w:rPr>
          <w:rFonts w:hint="eastAsia"/>
          <w:lang w:val="en-CA" w:eastAsia="zh-CN"/>
        </w:rPr>
        <w:t>；以及</w:t>
      </w:r>
      <w:r w:rsidR="00797ABF" w:rsidRPr="00CF024D">
        <w:rPr>
          <w:lang w:val="en-CA"/>
        </w:rPr>
        <w:t xml:space="preserve"> </w:t>
      </w:r>
    </w:p>
    <w:p w14:paraId="1C560FDF" w14:textId="551ED1D4" w:rsidR="00D122A5" w:rsidRPr="00CF024D" w:rsidRDefault="00B204C1" w:rsidP="00144AD9">
      <w:pPr>
        <w:pStyle w:val="Heading2"/>
        <w:tabs>
          <w:tab w:val="clear" w:pos="3060"/>
          <w:tab w:val="num" w:pos="-2160"/>
        </w:tabs>
        <w:ind w:left="1440"/>
        <w:rPr>
          <w:lang w:val="en-CA"/>
        </w:rPr>
      </w:pPr>
      <w:r w:rsidRPr="00CF024D">
        <w:rPr>
          <w:rFonts w:hint="eastAsia"/>
          <w:lang w:val="en-CA" w:eastAsia="zh-CN"/>
        </w:rPr>
        <w:t>2021</w:t>
      </w:r>
      <w:r w:rsidRPr="00CF024D">
        <w:rPr>
          <w:rFonts w:hint="eastAsia"/>
          <w:lang w:val="en-CA" w:eastAsia="zh-CN"/>
        </w:rPr>
        <w:t>年与</w:t>
      </w:r>
      <w:r w:rsidRPr="00CF024D">
        <w:rPr>
          <w:rFonts w:hint="eastAsia"/>
          <w:lang w:val="en-CA" w:eastAsia="zh-CN"/>
        </w:rPr>
        <w:t>2022</w:t>
      </w:r>
      <w:r w:rsidRPr="00CF024D">
        <w:rPr>
          <w:rFonts w:hint="eastAsia"/>
          <w:lang w:val="en-CA" w:eastAsia="zh-CN"/>
        </w:rPr>
        <w:t>年与政府监测</w:t>
      </w:r>
      <w:r w:rsidRPr="00CF024D">
        <w:rPr>
          <w:rFonts w:hint="eastAsia"/>
          <w:lang w:val="en-CA" w:eastAsia="zh-CN"/>
        </w:rPr>
        <w:t>HFC-23</w:t>
      </w:r>
      <w:r w:rsidRPr="00CF024D">
        <w:rPr>
          <w:rFonts w:hint="eastAsia"/>
          <w:lang w:val="en-CA" w:eastAsia="zh-CN"/>
        </w:rPr>
        <w:t>销毁相关的</w:t>
      </w:r>
      <w:r w:rsidR="009A2888" w:rsidRPr="00CF024D">
        <w:rPr>
          <w:rFonts w:hint="eastAsia"/>
          <w:lang w:val="en-CA" w:eastAsia="zh-CN"/>
        </w:rPr>
        <w:t>费用</w:t>
      </w:r>
      <w:r w:rsidRPr="00CF024D">
        <w:rPr>
          <w:rFonts w:hint="eastAsia"/>
          <w:lang w:val="en-CA" w:eastAsia="zh-CN"/>
        </w:rPr>
        <w:t>为</w:t>
      </w:r>
      <w:r w:rsidR="00797ABF" w:rsidRPr="00CF024D">
        <w:rPr>
          <w:lang w:val="en-CA"/>
        </w:rPr>
        <w:t>4,167</w:t>
      </w:r>
      <w:r w:rsidRPr="00CF024D">
        <w:rPr>
          <w:rFonts w:hint="eastAsia"/>
          <w:lang w:val="en-CA" w:eastAsia="zh-CN"/>
        </w:rPr>
        <w:t>美元</w:t>
      </w:r>
      <w:r w:rsidR="00797ABF" w:rsidRPr="00CF024D">
        <w:rPr>
          <w:lang w:val="en-CA"/>
        </w:rPr>
        <w:t>/</w:t>
      </w:r>
      <w:r w:rsidRPr="00CF024D">
        <w:rPr>
          <w:rFonts w:hint="eastAsia"/>
          <w:lang w:val="en-CA" w:eastAsia="zh-CN"/>
        </w:rPr>
        <w:t>年</w:t>
      </w:r>
      <w:r w:rsidR="00F230A5" w:rsidRPr="00CF024D">
        <w:rPr>
          <w:rStyle w:val="FootnoteReference"/>
          <w:lang w:val="en-CA"/>
        </w:rPr>
        <w:footnoteReference w:id="12"/>
      </w:r>
      <w:r w:rsidRPr="00CF024D">
        <w:rPr>
          <w:rFonts w:hint="eastAsia"/>
          <w:lang w:val="en-CA" w:eastAsia="zh-CN"/>
        </w:rPr>
        <w:t>，届时氟氯烃淘汰管理计划第二阶段将完成，</w:t>
      </w:r>
      <w:r w:rsidRPr="00CF024D">
        <w:rPr>
          <w:rFonts w:hint="eastAsia"/>
          <w:lang w:val="en-CA" w:eastAsia="zh-CN"/>
        </w:rPr>
        <w:t>2023</w:t>
      </w:r>
      <w:r w:rsidRPr="00CF024D">
        <w:rPr>
          <w:rFonts w:hint="eastAsia"/>
          <w:lang w:val="en-CA" w:eastAsia="zh-CN"/>
        </w:rPr>
        <w:t>年至</w:t>
      </w:r>
      <w:r w:rsidRPr="00CF024D">
        <w:rPr>
          <w:rFonts w:hint="eastAsia"/>
          <w:lang w:val="en-CA" w:eastAsia="zh-CN"/>
        </w:rPr>
        <w:t>2029</w:t>
      </w:r>
      <w:r w:rsidRPr="00CF024D">
        <w:rPr>
          <w:rFonts w:hint="eastAsia"/>
          <w:lang w:val="en-CA" w:eastAsia="zh-CN"/>
        </w:rPr>
        <w:t>年政府监测费用为</w:t>
      </w:r>
      <w:r w:rsidR="00797ABF" w:rsidRPr="00CF024D">
        <w:rPr>
          <w:lang w:val="en-CA"/>
        </w:rPr>
        <w:t>10,000</w:t>
      </w:r>
      <w:r w:rsidR="009A2888" w:rsidRPr="00CF024D">
        <w:rPr>
          <w:rFonts w:hint="eastAsia"/>
          <w:lang w:val="en-CA" w:eastAsia="zh-CN"/>
        </w:rPr>
        <w:t>美元</w:t>
      </w:r>
      <w:r w:rsidR="00797ABF" w:rsidRPr="00CF024D">
        <w:rPr>
          <w:lang w:val="en-CA"/>
        </w:rPr>
        <w:t>/</w:t>
      </w:r>
      <w:r w:rsidR="009A2888" w:rsidRPr="00CF024D">
        <w:rPr>
          <w:rFonts w:hint="eastAsia"/>
          <w:lang w:val="en-CA" w:eastAsia="zh-CN"/>
        </w:rPr>
        <w:t>年。</w:t>
      </w:r>
    </w:p>
    <w:p w14:paraId="4B2D96E1" w14:textId="2390085A" w:rsidR="0054286D" w:rsidRPr="00CF024D" w:rsidRDefault="00274DB2" w:rsidP="0054286D">
      <w:pPr>
        <w:rPr>
          <w:lang w:val="en-CA"/>
        </w:rPr>
      </w:pPr>
      <w:r w:rsidRPr="00CF024D">
        <w:rPr>
          <w:rFonts w:hint="eastAsia"/>
          <w:b/>
          <w:lang w:val="en-CA" w:eastAsia="zh-CN"/>
        </w:rPr>
        <w:t>表</w:t>
      </w:r>
      <w:r w:rsidR="00485242" w:rsidRPr="00CF024D">
        <w:rPr>
          <w:b/>
          <w:lang w:val="en-CA"/>
        </w:rPr>
        <w:t>2. 2021</w:t>
      </w:r>
      <w:r w:rsidRPr="00CF024D">
        <w:rPr>
          <w:rFonts w:hint="eastAsia"/>
          <w:b/>
          <w:lang w:val="en-CA" w:eastAsia="zh-CN"/>
        </w:rPr>
        <w:t>年至</w:t>
      </w:r>
      <w:r w:rsidR="00485242" w:rsidRPr="00CF024D">
        <w:rPr>
          <w:b/>
          <w:lang w:val="en-CA"/>
        </w:rPr>
        <w:t>2029</w:t>
      </w:r>
      <w:r w:rsidRPr="00CF024D">
        <w:rPr>
          <w:rFonts w:hint="eastAsia"/>
          <w:b/>
          <w:lang w:val="en-CA" w:eastAsia="zh-CN"/>
        </w:rPr>
        <w:t>年增量运营成本（美元）</w:t>
      </w:r>
    </w:p>
    <w:tbl>
      <w:tblPr>
        <w:tblW w:w="9596" w:type="dxa"/>
        <w:tblLook w:val="04A0" w:firstRow="1" w:lastRow="0" w:firstColumn="1" w:lastColumn="0" w:noHBand="0" w:noVBand="1"/>
      </w:tblPr>
      <w:tblGrid>
        <w:gridCol w:w="1413"/>
        <w:gridCol w:w="832"/>
        <w:gridCol w:w="801"/>
        <w:gridCol w:w="801"/>
        <w:gridCol w:w="801"/>
        <w:gridCol w:w="801"/>
        <w:gridCol w:w="801"/>
        <w:gridCol w:w="801"/>
        <w:gridCol w:w="801"/>
        <w:gridCol w:w="801"/>
        <w:gridCol w:w="943"/>
      </w:tblGrid>
      <w:tr w:rsidR="00485242" w:rsidRPr="00CF024D" w14:paraId="50D560EA" w14:textId="77777777" w:rsidTr="00CF024D">
        <w:trPr>
          <w:trHeight w:val="89"/>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0B500224" w14:textId="68CF404D" w:rsidR="00485242" w:rsidRPr="00CF024D" w:rsidRDefault="00274DB2" w:rsidP="00C12CA0">
            <w:pPr>
              <w:jc w:val="left"/>
              <w:rPr>
                <w:b/>
                <w:color w:val="000000"/>
                <w:sz w:val="18"/>
                <w:szCs w:val="18"/>
                <w:lang w:val="en-CA" w:eastAsia="en-CA"/>
              </w:rPr>
            </w:pPr>
            <w:proofErr w:type="spellStart"/>
            <w:r w:rsidRPr="00CF024D">
              <w:rPr>
                <w:rFonts w:hint="eastAsia"/>
                <w:b/>
                <w:color w:val="000000"/>
                <w:sz w:val="18"/>
                <w:szCs w:val="18"/>
                <w:lang w:val="en-CA" w:eastAsia="en-CA"/>
              </w:rPr>
              <w:t>说明</w:t>
            </w:r>
            <w:proofErr w:type="spellEnd"/>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176EE477" w14:textId="0864B9F3" w:rsidR="00485242" w:rsidRPr="00CF024D" w:rsidRDefault="00485242" w:rsidP="00CF024D">
            <w:pPr>
              <w:jc w:val="center"/>
              <w:rPr>
                <w:b/>
                <w:color w:val="000000"/>
                <w:sz w:val="18"/>
                <w:szCs w:val="18"/>
                <w:lang w:val="en-CA" w:eastAsia="zh-CN"/>
              </w:rPr>
            </w:pPr>
            <w:r w:rsidRPr="00CF024D">
              <w:rPr>
                <w:b/>
                <w:color w:val="000000"/>
                <w:sz w:val="18"/>
                <w:szCs w:val="18"/>
                <w:lang w:val="en-CA" w:eastAsia="en-CA"/>
              </w:rPr>
              <w:t>2021</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143F645A" w14:textId="1B3E4305"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2022</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5EF9903C" w14:textId="3E9DE2F2"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2023</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271F28D6" w14:textId="4A18265F"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2024</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716E67D1" w14:textId="371F6B54"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2025</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3391A11B" w14:textId="4B654CA8"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2026</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74DE5D1A" w14:textId="083AAC64"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2027</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11A6958D" w14:textId="4DF42642"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2028</w:t>
            </w:r>
            <w:r w:rsidR="00274DB2" w:rsidRPr="00CF024D">
              <w:rPr>
                <w:rFonts w:hint="eastAsia"/>
                <w:b/>
                <w:color w:val="000000"/>
                <w:sz w:val="18"/>
                <w:szCs w:val="18"/>
                <w:lang w:val="en-CA" w:eastAsia="zh-CN"/>
              </w:rPr>
              <w:t>年</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3EC3F34D" w14:textId="2A6C9914" w:rsidR="00485242" w:rsidRPr="00CF024D" w:rsidRDefault="00485242" w:rsidP="00485242">
            <w:pPr>
              <w:jc w:val="center"/>
              <w:rPr>
                <w:b/>
                <w:color w:val="000000"/>
                <w:sz w:val="18"/>
                <w:szCs w:val="18"/>
                <w:lang w:val="en-CA" w:eastAsia="zh-CN"/>
              </w:rPr>
            </w:pPr>
            <w:r w:rsidRPr="00CF024D">
              <w:rPr>
                <w:b/>
                <w:color w:val="000000"/>
                <w:sz w:val="18"/>
                <w:szCs w:val="18"/>
                <w:lang w:val="en-CA" w:eastAsia="en-CA"/>
              </w:rPr>
              <w:t>2029</w:t>
            </w:r>
            <w:r w:rsidR="00274DB2" w:rsidRPr="00CF024D">
              <w:rPr>
                <w:rFonts w:hint="eastAsia"/>
                <w:b/>
                <w:color w:val="000000"/>
                <w:sz w:val="18"/>
                <w:szCs w:val="18"/>
                <w:lang w:val="en-CA" w:eastAsia="zh-CN"/>
              </w:rPr>
              <w:t>年</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7E59A9D6" w14:textId="6CE5D79E" w:rsidR="00485242" w:rsidRPr="00CF024D" w:rsidRDefault="00274DB2" w:rsidP="00CF024D">
            <w:pPr>
              <w:jc w:val="center"/>
              <w:rPr>
                <w:b/>
                <w:color w:val="000000"/>
                <w:sz w:val="18"/>
                <w:szCs w:val="18"/>
                <w:lang w:val="en-CA" w:eastAsia="en-CA"/>
              </w:rPr>
            </w:pPr>
            <w:proofErr w:type="spellStart"/>
            <w:r w:rsidRPr="00CF024D">
              <w:rPr>
                <w:rFonts w:hint="eastAsia"/>
                <w:b/>
                <w:color w:val="000000"/>
                <w:sz w:val="18"/>
                <w:szCs w:val="18"/>
                <w:lang w:val="en-CA" w:eastAsia="en-CA"/>
              </w:rPr>
              <w:t>共计</w:t>
            </w:r>
            <w:proofErr w:type="spellEnd"/>
          </w:p>
        </w:tc>
      </w:tr>
      <w:tr w:rsidR="00485242" w:rsidRPr="00CF024D" w14:paraId="39F2DEE6" w14:textId="77777777" w:rsidTr="00C93150">
        <w:trPr>
          <w:trHeight w:val="46"/>
        </w:trPr>
        <w:tc>
          <w:tcPr>
            <w:tcW w:w="9596"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14:paraId="24F3D9AF" w14:textId="7F0873B6" w:rsidR="00485242" w:rsidRPr="00CF024D" w:rsidRDefault="00274DB2" w:rsidP="00541CF5">
            <w:pPr>
              <w:jc w:val="center"/>
              <w:rPr>
                <w:b/>
                <w:color w:val="000000"/>
                <w:sz w:val="18"/>
                <w:szCs w:val="18"/>
                <w:lang w:val="en-CA" w:eastAsia="en-CA"/>
              </w:rPr>
            </w:pPr>
            <w:proofErr w:type="spellStart"/>
            <w:r w:rsidRPr="00CF024D">
              <w:rPr>
                <w:rFonts w:hint="eastAsia"/>
                <w:b/>
                <w:color w:val="000000"/>
                <w:sz w:val="18"/>
                <w:szCs w:val="18"/>
                <w:lang w:val="en-CA" w:eastAsia="en-CA"/>
              </w:rPr>
              <w:t>工发组织</w:t>
            </w:r>
            <w:proofErr w:type="spellEnd"/>
          </w:p>
        </w:tc>
      </w:tr>
      <w:tr w:rsidR="00485242" w:rsidRPr="00CF024D" w14:paraId="6DEAEC0F" w14:textId="77777777" w:rsidTr="00274DB2">
        <w:trPr>
          <w:trHeight w:val="197"/>
        </w:trPr>
        <w:tc>
          <w:tcPr>
            <w:tcW w:w="1413" w:type="dxa"/>
            <w:tcBorders>
              <w:top w:val="nil"/>
              <w:left w:val="single" w:sz="4" w:space="0" w:color="auto"/>
              <w:bottom w:val="single" w:sz="4" w:space="0" w:color="auto"/>
              <w:right w:val="single" w:sz="4" w:space="0" w:color="auto"/>
            </w:tcBorders>
            <w:shd w:val="clear" w:color="auto" w:fill="auto"/>
            <w:noWrap/>
            <w:hideMark/>
          </w:tcPr>
          <w:p w14:paraId="355DEC9B" w14:textId="393AC4E3" w:rsidR="00485242" w:rsidRPr="00CF024D" w:rsidRDefault="00274DB2" w:rsidP="00C12CA0">
            <w:pPr>
              <w:jc w:val="left"/>
              <w:rPr>
                <w:color w:val="000000"/>
                <w:sz w:val="18"/>
                <w:szCs w:val="18"/>
                <w:lang w:val="en-CA" w:eastAsia="en-CA"/>
              </w:rPr>
            </w:pPr>
            <w:proofErr w:type="spellStart"/>
            <w:r w:rsidRPr="00CF024D">
              <w:rPr>
                <w:rFonts w:hint="eastAsia"/>
                <w:color w:val="000000"/>
                <w:sz w:val="18"/>
                <w:szCs w:val="18"/>
                <w:lang w:val="en-CA" w:eastAsia="en-CA"/>
              </w:rPr>
              <w:t>销毁成本</w:t>
            </w:r>
            <w:proofErr w:type="spellEnd"/>
          </w:p>
        </w:tc>
        <w:tc>
          <w:tcPr>
            <w:tcW w:w="832" w:type="dxa"/>
            <w:tcBorders>
              <w:top w:val="nil"/>
              <w:left w:val="nil"/>
              <w:bottom w:val="single" w:sz="4" w:space="0" w:color="auto"/>
              <w:right w:val="single" w:sz="4" w:space="0" w:color="auto"/>
            </w:tcBorders>
            <w:shd w:val="clear" w:color="auto" w:fill="auto"/>
            <w:noWrap/>
            <w:hideMark/>
          </w:tcPr>
          <w:p w14:paraId="6F4AC1FC" w14:textId="6A51FB41" w:rsidR="00485242" w:rsidRPr="00CF024D" w:rsidRDefault="00485242" w:rsidP="00C93150">
            <w:pPr>
              <w:jc w:val="right"/>
              <w:rPr>
                <w:color w:val="000000"/>
                <w:sz w:val="18"/>
                <w:szCs w:val="18"/>
                <w:lang w:val="en-CA" w:eastAsia="en-CA"/>
              </w:rPr>
            </w:pPr>
            <w:r w:rsidRPr="00CF024D">
              <w:rPr>
                <w:color w:val="000000"/>
                <w:sz w:val="18"/>
                <w:szCs w:val="18"/>
                <w:lang w:val="en-CA" w:eastAsia="en-CA"/>
              </w:rPr>
              <w:t>77,149</w:t>
            </w:r>
          </w:p>
        </w:tc>
        <w:tc>
          <w:tcPr>
            <w:tcW w:w="801" w:type="dxa"/>
            <w:tcBorders>
              <w:top w:val="nil"/>
              <w:left w:val="nil"/>
              <w:bottom w:val="single" w:sz="4" w:space="0" w:color="auto"/>
              <w:right w:val="single" w:sz="4" w:space="0" w:color="auto"/>
            </w:tcBorders>
            <w:shd w:val="clear" w:color="auto" w:fill="auto"/>
            <w:noWrap/>
            <w:hideMark/>
          </w:tcPr>
          <w:p w14:paraId="2200CBEC" w14:textId="6620D343" w:rsidR="00485242" w:rsidRPr="00CF024D" w:rsidRDefault="003E4A83" w:rsidP="00C93150">
            <w:pPr>
              <w:jc w:val="right"/>
              <w:rPr>
                <w:color w:val="000000"/>
                <w:sz w:val="18"/>
                <w:szCs w:val="18"/>
                <w:lang w:val="en-CA" w:eastAsia="en-CA"/>
              </w:rPr>
            </w:pPr>
            <w:r w:rsidRPr="00CF024D">
              <w:rPr>
                <w:color w:val="000000"/>
                <w:sz w:val="18"/>
                <w:szCs w:val="18"/>
                <w:lang w:val="en-CA" w:eastAsia="en-CA"/>
              </w:rPr>
              <w:t>3</w:t>
            </w:r>
            <w:r w:rsidR="00485242" w:rsidRPr="00CF024D">
              <w:rPr>
                <w:color w:val="000000"/>
                <w:sz w:val="18"/>
                <w:szCs w:val="18"/>
                <w:lang w:val="en-CA" w:eastAsia="en-CA"/>
              </w:rPr>
              <w:t>08,596</w:t>
            </w:r>
          </w:p>
        </w:tc>
        <w:tc>
          <w:tcPr>
            <w:tcW w:w="801" w:type="dxa"/>
            <w:tcBorders>
              <w:top w:val="nil"/>
              <w:left w:val="nil"/>
              <w:bottom w:val="single" w:sz="4" w:space="0" w:color="auto"/>
              <w:right w:val="single" w:sz="4" w:space="0" w:color="auto"/>
            </w:tcBorders>
            <w:shd w:val="clear" w:color="auto" w:fill="auto"/>
            <w:noWrap/>
            <w:hideMark/>
          </w:tcPr>
          <w:p w14:paraId="139BDB74" w14:textId="1455ABB3" w:rsidR="00485242" w:rsidRPr="00CF024D" w:rsidRDefault="00485242" w:rsidP="00C93150">
            <w:pPr>
              <w:jc w:val="right"/>
              <w:rPr>
                <w:color w:val="000000"/>
                <w:sz w:val="18"/>
                <w:szCs w:val="18"/>
                <w:lang w:val="en-CA" w:eastAsia="en-CA"/>
              </w:rPr>
            </w:pPr>
            <w:r w:rsidRPr="00CF024D">
              <w:rPr>
                <w:color w:val="000000"/>
                <w:sz w:val="18"/>
                <w:szCs w:val="18"/>
                <w:lang w:val="en-CA" w:eastAsia="en-CA"/>
              </w:rPr>
              <w:t>308,596</w:t>
            </w:r>
          </w:p>
        </w:tc>
        <w:tc>
          <w:tcPr>
            <w:tcW w:w="801" w:type="dxa"/>
            <w:tcBorders>
              <w:top w:val="nil"/>
              <w:left w:val="nil"/>
              <w:bottom w:val="single" w:sz="4" w:space="0" w:color="auto"/>
              <w:right w:val="single" w:sz="4" w:space="0" w:color="auto"/>
            </w:tcBorders>
            <w:shd w:val="clear" w:color="auto" w:fill="auto"/>
            <w:noWrap/>
            <w:hideMark/>
          </w:tcPr>
          <w:p w14:paraId="5D3EA5E4" w14:textId="35A8BD42" w:rsidR="00485242" w:rsidRPr="00CF024D" w:rsidRDefault="00485242" w:rsidP="00C93150">
            <w:pPr>
              <w:jc w:val="right"/>
              <w:rPr>
                <w:color w:val="000000"/>
                <w:sz w:val="18"/>
                <w:szCs w:val="18"/>
                <w:lang w:val="en-CA" w:eastAsia="en-CA"/>
              </w:rPr>
            </w:pPr>
            <w:r w:rsidRPr="00CF024D">
              <w:rPr>
                <w:color w:val="000000"/>
                <w:sz w:val="18"/>
                <w:szCs w:val="18"/>
                <w:lang w:val="en-CA" w:eastAsia="en-CA"/>
              </w:rPr>
              <w:t>308,596</w:t>
            </w:r>
          </w:p>
        </w:tc>
        <w:tc>
          <w:tcPr>
            <w:tcW w:w="801" w:type="dxa"/>
            <w:tcBorders>
              <w:top w:val="nil"/>
              <w:left w:val="nil"/>
              <w:bottom w:val="single" w:sz="4" w:space="0" w:color="auto"/>
              <w:right w:val="single" w:sz="4" w:space="0" w:color="auto"/>
            </w:tcBorders>
            <w:shd w:val="clear" w:color="auto" w:fill="auto"/>
            <w:noWrap/>
            <w:hideMark/>
          </w:tcPr>
          <w:p w14:paraId="476EF0DF" w14:textId="25714E8A" w:rsidR="00485242" w:rsidRPr="00CF024D" w:rsidRDefault="00485242" w:rsidP="00C93150">
            <w:pPr>
              <w:jc w:val="right"/>
              <w:rPr>
                <w:color w:val="000000"/>
                <w:sz w:val="18"/>
                <w:szCs w:val="18"/>
                <w:lang w:val="en-CA" w:eastAsia="en-CA"/>
              </w:rPr>
            </w:pPr>
            <w:r w:rsidRPr="00CF024D">
              <w:rPr>
                <w:color w:val="000000"/>
                <w:sz w:val="18"/>
                <w:szCs w:val="18"/>
                <w:lang w:val="en-CA" w:eastAsia="en-CA"/>
              </w:rPr>
              <w:t>301,997</w:t>
            </w:r>
          </w:p>
        </w:tc>
        <w:tc>
          <w:tcPr>
            <w:tcW w:w="801" w:type="dxa"/>
            <w:tcBorders>
              <w:top w:val="nil"/>
              <w:left w:val="nil"/>
              <w:bottom w:val="single" w:sz="4" w:space="0" w:color="auto"/>
              <w:right w:val="single" w:sz="4" w:space="0" w:color="auto"/>
            </w:tcBorders>
            <w:shd w:val="clear" w:color="auto" w:fill="auto"/>
            <w:noWrap/>
            <w:hideMark/>
          </w:tcPr>
          <w:p w14:paraId="061B7B13" w14:textId="06DEDB81" w:rsidR="00485242" w:rsidRPr="00CF024D" w:rsidRDefault="00485242" w:rsidP="00C93150">
            <w:pPr>
              <w:jc w:val="right"/>
              <w:rPr>
                <w:color w:val="000000"/>
                <w:sz w:val="18"/>
                <w:szCs w:val="18"/>
                <w:lang w:val="en-CA" w:eastAsia="en-CA"/>
              </w:rPr>
            </w:pPr>
            <w:r w:rsidRPr="00CF024D">
              <w:rPr>
                <w:color w:val="000000"/>
                <w:sz w:val="18"/>
                <w:szCs w:val="18"/>
                <w:lang w:val="en-CA" w:eastAsia="en-CA"/>
              </w:rPr>
              <w:t>301,997</w:t>
            </w:r>
          </w:p>
        </w:tc>
        <w:tc>
          <w:tcPr>
            <w:tcW w:w="801" w:type="dxa"/>
            <w:tcBorders>
              <w:top w:val="nil"/>
              <w:left w:val="nil"/>
              <w:bottom w:val="single" w:sz="4" w:space="0" w:color="auto"/>
              <w:right w:val="single" w:sz="4" w:space="0" w:color="auto"/>
            </w:tcBorders>
            <w:shd w:val="clear" w:color="auto" w:fill="auto"/>
            <w:noWrap/>
            <w:hideMark/>
          </w:tcPr>
          <w:p w14:paraId="674D3622" w14:textId="2E978F66" w:rsidR="00485242" w:rsidRPr="00CF024D" w:rsidRDefault="00485242" w:rsidP="00C93150">
            <w:pPr>
              <w:jc w:val="right"/>
              <w:rPr>
                <w:color w:val="000000"/>
                <w:sz w:val="18"/>
                <w:szCs w:val="18"/>
                <w:lang w:val="en-CA" w:eastAsia="en-CA"/>
              </w:rPr>
            </w:pPr>
            <w:r w:rsidRPr="00CF024D">
              <w:rPr>
                <w:color w:val="000000"/>
                <w:sz w:val="18"/>
                <w:szCs w:val="18"/>
                <w:lang w:val="en-CA" w:eastAsia="en-CA"/>
              </w:rPr>
              <w:t>301,997</w:t>
            </w:r>
          </w:p>
        </w:tc>
        <w:tc>
          <w:tcPr>
            <w:tcW w:w="801" w:type="dxa"/>
            <w:tcBorders>
              <w:top w:val="nil"/>
              <w:left w:val="nil"/>
              <w:bottom w:val="single" w:sz="4" w:space="0" w:color="auto"/>
              <w:right w:val="single" w:sz="4" w:space="0" w:color="auto"/>
            </w:tcBorders>
            <w:shd w:val="clear" w:color="auto" w:fill="auto"/>
            <w:noWrap/>
            <w:hideMark/>
          </w:tcPr>
          <w:p w14:paraId="182292F7" w14:textId="076503FD" w:rsidR="00485242" w:rsidRPr="00CF024D" w:rsidRDefault="00485242" w:rsidP="00C93150">
            <w:pPr>
              <w:jc w:val="right"/>
              <w:rPr>
                <w:color w:val="000000"/>
                <w:sz w:val="18"/>
                <w:szCs w:val="18"/>
                <w:lang w:val="en-CA" w:eastAsia="en-CA"/>
              </w:rPr>
            </w:pPr>
            <w:r w:rsidRPr="00CF024D">
              <w:rPr>
                <w:color w:val="000000"/>
                <w:sz w:val="18"/>
                <w:szCs w:val="18"/>
                <w:lang w:val="en-CA" w:eastAsia="en-CA"/>
              </w:rPr>
              <w:t>301,997</w:t>
            </w:r>
          </w:p>
        </w:tc>
        <w:tc>
          <w:tcPr>
            <w:tcW w:w="801" w:type="dxa"/>
            <w:tcBorders>
              <w:top w:val="nil"/>
              <w:left w:val="nil"/>
              <w:bottom w:val="single" w:sz="4" w:space="0" w:color="auto"/>
              <w:right w:val="single" w:sz="4" w:space="0" w:color="auto"/>
            </w:tcBorders>
            <w:shd w:val="clear" w:color="auto" w:fill="auto"/>
            <w:noWrap/>
            <w:hideMark/>
          </w:tcPr>
          <w:p w14:paraId="016CD4B1" w14:textId="4956C2C6" w:rsidR="00485242" w:rsidRPr="00CF024D" w:rsidRDefault="00485242" w:rsidP="00C93150">
            <w:pPr>
              <w:jc w:val="right"/>
              <w:rPr>
                <w:color w:val="000000"/>
                <w:sz w:val="18"/>
                <w:szCs w:val="18"/>
                <w:lang w:val="en-CA" w:eastAsia="en-CA"/>
              </w:rPr>
            </w:pPr>
            <w:r w:rsidRPr="00CF024D">
              <w:rPr>
                <w:color w:val="000000"/>
                <w:sz w:val="18"/>
                <w:szCs w:val="18"/>
                <w:lang w:val="en-CA" w:eastAsia="en-CA"/>
              </w:rPr>
              <w:t>301,997</w:t>
            </w:r>
          </w:p>
        </w:tc>
        <w:tc>
          <w:tcPr>
            <w:tcW w:w="943" w:type="dxa"/>
            <w:tcBorders>
              <w:top w:val="nil"/>
              <w:left w:val="nil"/>
              <w:bottom w:val="single" w:sz="4" w:space="0" w:color="auto"/>
              <w:right w:val="single" w:sz="4" w:space="0" w:color="auto"/>
            </w:tcBorders>
            <w:shd w:val="clear" w:color="auto" w:fill="auto"/>
            <w:noWrap/>
            <w:hideMark/>
          </w:tcPr>
          <w:p w14:paraId="47283E4D" w14:textId="207AF2CF" w:rsidR="00485242" w:rsidRPr="00CF024D" w:rsidRDefault="00485242" w:rsidP="00C93150">
            <w:pPr>
              <w:jc w:val="right"/>
              <w:rPr>
                <w:color w:val="000000"/>
                <w:sz w:val="18"/>
                <w:szCs w:val="18"/>
                <w:lang w:val="en-CA" w:eastAsia="en-CA"/>
              </w:rPr>
            </w:pPr>
            <w:r w:rsidRPr="00CF024D">
              <w:rPr>
                <w:color w:val="000000"/>
                <w:sz w:val="18"/>
                <w:szCs w:val="18"/>
                <w:lang w:val="en-CA" w:eastAsia="en-CA"/>
              </w:rPr>
              <w:t>2,512,921</w:t>
            </w:r>
          </w:p>
        </w:tc>
      </w:tr>
      <w:tr w:rsidR="00485242" w:rsidRPr="00CF024D" w14:paraId="443166C8" w14:textId="77777777" w:rsidTr="00274DB2">
        <w:trPr>
          <w:trHeight w:val="152"/>
        </w:trPr>
        <w:tc>
          <w:tcPr>
            <w:tcW w:w="1413" w:type="dxa"/>
            <w:tcBorders>
              <w:top w:val="nil"/>
              <w:left w:val="single" w:sz="4" w:space="0" w:color="auto"/>
              <w:bottom w:val="single" w:sz="4" w:space="0" w:color="auto"/>
              <w:right w:val="single" w:sz="4" w:space="0" w:color="auto"/>
            </w:tcBorders>
            <w:shd w:val="clear" w:color="auto" w:fill="auto"/>
            <w:noWrap/>
            <w:hideMark/>
          </w:tcPr>
          <w:p w14:paraId="686EE9D1" w14:textId="7BCBDB73" w:rsidR="00485242" w:rsidRPr="00CF024D" w:rsidRDefault="00274DB2" w:rsidP="00C12CA0">
            <w:pPr>
              <w:jc w:val="left"/>
              <w:rPr>
                <w:color w:val="000000"/>
                <w:sz w:val="18"/>
                <w:szCs w:val="18"/>
                <w:lang w:val="en-CA" w:eastAsia="en-CA"/>
              </w:rPr>
            </w:pPr>
            <w:proofErr w:type="spellStart"/>
            <w:r w:rsidRPr="00CF024D">
              <w:rPr>
                <w:rFonts w:hint="eastAsia"/>
                <w:color w:val="000000"/>
                <w:sz w:val="18"/>
                <w:szCs w:val="18"/>
                <w:lang w:val="en-CA" w:eastAsia="en-CA"/>
              </w:rPr>
              <w:t>监测</w:t>
            </w:r>
            <w:proofErr w:type="spellEnd"/>
          </w:p>
        </w:tc>
        <w:tc>
          <w:tcPr>
            <w:tcW w:w="832" w:type="dxa"/>
            <w:tcBorders>
              <w:top w:val="nil"/>
              <w:left w:val="nil"/>
              <w:bottom w:val="single" w:sz="4" w:space="0" w:color="auto"/>
              <w:right w:val="single" w:sz="4" w:space="0" w:color="auto"/>
            </w:tcBorders>
            <w:shd w:val="clear" w:color="auto" w:fill="auto"/>
            <w:noWrap/>
            <w:hideMark/>
          </w:tcPr>
          <w:p w14:paraId="020CE633" w14:textId="27C1B09D" w:rsidR="00485242" w:rsidRPr="00CF024D" w:rsidRDefault="00485242" w:rsidP="00C93150">
            <w:pPr>
              <w:jc w:val="right"/>
              <w:rPr>
                <w:color w:val="000000"/>
                <w:sz w:val="18"/>
                <w:szCs w:val="18"/>
                <w:lang w:val="en-CA" w:eastAsia="en-CA"/>
              </w:rPr>
            </w:pPr>
            <w:r w:rsidRPr="00CF024D">
              <w:rPr>
                <w:color w:val="000000"/>
                <w:sz w:val="18"/>
                <w:szCs w:val="18"/>
                <w:lang w:val="en-CA" w:eastAsia="en-CA"/>
              </w:rPr>
              <w:t>5,000</w:t>
            </w:r>
          </w:p>
        </w:tc>
        <w:tc>
          <w:tcPr>
            <w:tcW w:w="801" w:type="dxa"/>
            <w:tcBorders>
              <w:top w:val="nil"/>
              <w:left w:val="nil"/>
              <w:bottom w:val="single" w:sz="4" w:space="0" w:color="auto"/>
              <w:right w:val="single" w:sz="4" w:space="0" w:color="auto"/>
            </w:tcBorders>
            <w:shd w:val="clear" w:color="auto" w:fill="auto"/>
            <w:noWrap/>
            <w:hideMark/>
          </w:tcPr>
          <w:p w14:paraId="43E7DBE3" w14:textId="4CA14077" w:rsidR="00485242" w:rsidRPr="00CF024D" w:rsidRDefault="00485242" w:rsidP="00C93150">
            <w:pPr>
              <w:jc w:val="right"/>
              <w:rPr>
                <w:color w:val="000000"/>
                <w:sz w:val="18"/>
                <w:szCs w:val="18"/>
                <w:lang w:val="en-CA" w:eastAsia="en-CA"/>
              </w:rPr>
            </w:pPr>
            <w:r w:rsidRPr="00CF024D">
              <w:rPr>
                <w:color w:val="000000"/>
                <w:sz w:val="18"/>
                <w:szCs w:val="18"/>
                <w:lang w:val="en-CA" w:eastAsia="en-CA"/>
              </w:rPr>
              <w:t>5,000</w:t>
            </w:r>
          </w:p>
        </w:tc>
        <w:tc>
          <w:tcPr>
            <w:tcW w:w="801" w:type="dxa"/>
            <w:tcBorders>
              <w:top w:val="nil"/>
              <w:left w:val="nil"/>
              <w:bottom w:val="single" w:sz="4" w:space="0" w:color="auto"/>
              <w:right w:val="single" w:sz="4" w:space="0" w:color="auto"/>
            </w:tcBorders>
            <w:shd w:val="clear" w:color="auto" w:fill="auto"/>
            <w:noWrap/>
            <w:hideMark/>
          </w:tcPr>
          <w:p w14:paraId="30EB777F" w14:textId="6132EF5E" w:rsidR="00485242" w:rsidRPr="00CF024D" w:rsidRDefault="0048524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5454206C" w14:textId="7A15D6B1" w:rsidR="00485242" w:rsidRPr="00CF024D" w:rsidRDefault="0048524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3A6CAE8B" w14:textId="32DA3392" w:rsidR="00485242" w:rsidRPr="00CF024D" w:rsidRDefault="0048524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7670E621" w14:textId="77F937D6" w:rsidR="00485242" w:rsidRPr="00CF024D" w:rsidRDefault="0048524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643985CF" w14:textId="2EDFF7BE" w:rsidR="00485242" w:rsidRPr="00CF024D" w:rsidRDefault="0048524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0DCF3FED" w14:textId="612FF62F" w:rsidR="00485242" w:rsidRPr="00CF024D" w:rsidRDefault="0048524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62D425E3" w14:textId="080451D4" w:rsidR="00485242" w:rsidRPr="00CF024D" w:rsidRDefault="00485242" w:rsidP="00C93150">
            <w:pPr>
              <w:jc w:val="right"/>
              <w:rPr>
                <w:color w:val="000000"/>
                <w:sz w:val="18"/>
                <w:szCs w:val="18"/>
                <w:lang w:val="en-CA" w:eastAsia="en-CA"/>
              </w:rPr>
            </w:pPr>
            <w:r w:rsidRPr="00CF024D">
              <w:rPr>
                <w:color w:val="000000"/>
                <w:sz w:val="18"/>
                <w:szCs w:val="18"/>
                <w:lang w:val="en-CA" w:eastAsia="en-CA"/>
              </w:rPr>
              <w:t>10,000</w:t>
            </w:r>
          </w:p>
        </w:tc>
        <w:tc>
          <w:tcPr>
            <w:tcW w:w="943" w:type="dxa"/>
            <w:tcBorders>
              <w:top w:val="nil"/>
              <w:left w:val="nil"/>
              <w:bottom w:val="single" w:sz="4" w:space="0" w:color="auto"/>
              <w:right w:val="single" w:sz="4" w:space="0" w:color="auto"/>
            </w:tcBorders>
            <w:shd w:val="clear" w:color="auto" w:fill="auto"/>
            <w:noWrap/>
            <w:hideMark/>
          </w:tcPr>
          <w:p w14:paraId="7FBE578B" w14:textId="7DE628D7" w:rsidR="00485242" w:rsidRPr="00CF024D" w:rsidRDefault="00485242" w:rsidP="00C93150">
            <w:pPr>
              <w:jc w:val="right"/>
              <w:rPr>
                <w:color w:val="000000"/>
                <w:sz w:val="18"/>
                <w:szCs w:val="18"/>
                <w:lang w:val="en-CA" w:eastAsia="en-CA"/>
              </w:rPr>
            </w:pPr>
            <w:r w:rsidRPr="00CF024D">
              <w:rPr>
                <w:color w:val="000000"/>
                <w:sz w:val="18"/>
                <w:szCs w:val="18"/>
                <w:lang w:val="en-CA" w:eastAsia="en-CA"/>
              </w:rPr>
              <w:t>80,000</w:t>
            </w:r>
          </w:p>
        </w:tc>
      </w:tr>
      <w:tr w:rsidR="00485242" w:rsidRPr="00CF024D" w14:paraId="50519C6C" w14:textId="77777777" w:rsidTr="00274DB2">
        <w:trPr>
          <w:trHeight w:val="296"/>
        </w:trPr>
        <w:tc>
          <w:tcPr>
            <w:tcW w:w="1413" w:type="dxa"/>
            <w:tcBorders>
              <w:top w:val="nil"/>
              <w:left w:val="single" w:sz="4" w:space="0" w:color="auto"/>
              <w:bottom w:val="single" w:sz="4" w:space="0" w:color="auto"/>
              <w:right w:val="single" w:sz="4" w:space="0" w:color="auto"/>
            </w:tcBorders>
            <w:shd w:val="clear" w:color="auto" w:fill="auto"/>
            <w:hideMark/>
          </w:tcPr>
          <w:p w14:paraId="3640E717" w14:textId="0AFE4D50" w:rsidR="00485242" w:rsidRPr="00CF024D" w:rsidRDefault="00274DB2" w:rsidP="00C12CA0">
            <w:pPr>
              <w:jc w:val="left"/>
              <w:rPr>
                <w:color w:val="000000"/>
                <w:sz w:val="18"/>
                <w:szCs w:val="18"/>
                <w:lang w:val="en-CA" w:eastAsia="en-CA"/>
              </w:rPr>
            </w:pPr>
            <w:proofErr w:type="spellStart"/>
            <w:r w:rsidRPr="00CF024D">
              <w:rPr>
                <w:rFonts w:hint="eastAsia"/>
                <w:color w:val="000000"/>
                <w:sz w:val="18"/>
                <w:szCs w:val="18"/>
                <w:lang w:val="en-CA" w:eastAsia="en-CA"/>
              </w:rPr>
              <w:t>年度注册费</w:t>
            </w:r>
            <w:proofErr w:type="spellEnd"/>
          </w:p>
        </w:tc>
        <w:tc>
          <w:tcPr>
            <w:tcW w:w="832" w:type="dxa"/>
            <w:tcBorders>
              <w:top w:val="nil"/>
              <w:left w:val="nil"/>
              <w:bottom w:val="single" w:sz="4" w:space="0" w:color="auto"/>
              <w:right w:val="single" w:sz="4" w:space="0" w:color="auto"/>
            </w:tcBorders>
            <w:shd w:val="clear" w:color="auto" w:fill="auto"/>
            <w:noWrap/>
            <w:hideMark/>
          </w:tcPr>
          <w:p w14:paraId="72EE2E6D" w14:textId="4C02803E"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3677F9F8" w14:textId="419590BA"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33BD6800" w14:textId="5FD0BF28"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044B97BA" w14:textId="19B81179"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6308783C" w14:textId="51E980FD"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56F98271" w14:textId="3CDD0655"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3D0E116D" w14:textId="2EE3AD36"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5FBF5D69" w14:textId="033EB2C1"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801" w:type="dxa"/>
            <w:tcBorders>
              <w:top w:val="nil"/>
              <w:left w:val="nil"/>
              <w:bottom w:val="single" w:sz="4" w:space="0" w:color="auto"/>
              <w:right w:val="single" w:sz="4" w:space="0" w:color="auto"/>
            </w:tcBorders>
            <w:shd w:val="clear" w:color="auto" w:fill="auto"/>
            <w:noWrap/>
            <w:hideMark/>
          </w:tcPr>
          <w:p w14:paraId="4B6F64AD" w14:textId="4C576252" w:rsidR="00485242" w:rsidRPr="00CF024D" w:rsidRDefault="00485242" w:rsidP="00C93150">
            <w:pPr>
              <w:jc w:val="right"/>
              <w:rPr>
                <w:color w:val="000000"/>
                <w:sz w:val="18"/>
                <w:szCs w:val="18"/>
                <w:lang w:val="en-CA" w:eastAsia="en-CA"/>
              </w:rPr>
            </w:pPr>
            <w:r w:rsidRPr="00CF024D">
              <w:rPr>
                <w:color w:val="000000"/>
                <w:sz w:val="18"/>
                <w:szCs w:val="18"/>
                <w:lang w:val="en-CA" w:eastAsia="en-CA"/>
              </w:rPr>
              <w:t>3,960</w:t>
            </w:r>
          </w:p>
        </w:tc>
        <w:tc>
          <w:tcPr>
            <w:tcW w:w="943" w:type="dxa"/>
            <w:tcBorders>
              <w:top w:val="nil"/>
              <w:left w:val="nil"/>
              <w:bottom w:val="single" w:sz="4" w:space="0" w:color="auto"/>
              <w:right w:val="single" w:sz="4" w:space="0" w:color="auto"/>
            </w:tcBorders>
            <w:shd w:val="clear" w:color="auto" w:fill="auto"/>
            <w:noWrap/>
            <w:hideMark/>
          </w:tcPr>
          <w:p w14:paraId="0B763165" w14:textId="40437D1A" w:rsidR="00485242" w:rsidRPr="00CF024D" w:rsidRDefault="00485242" w:rsidP="00C93150">
            <w:pPr>
              <w:jc w:val="right"/>
              <w:rPr>
                <w:color w:val="000000"/>
                <w:sz w:val="18"/>
                <w:szCs w:val="18"/>
                <w:lang w:val="en-CA" w:eastAsia="en-CA"/>
              </w:rPr>
            </w:pPr>
            <w:r w:rsidRPr="00CF024D">
              <w:rPr>
                <w:color w:val="000000"/>
                <w:sz w:val="18"/>
                <w:szCs w:val="18"/>
                <w:lang w:val="en-CA" w:eastAsia="en-CA"/>
              </w:rPr>
              <w:t>35,640</w:t>
            </w:r>
          </w:p>
        </w:tc>
      </w:tr>
      <w:tr w:rsidR="00485242" w:rsidRPr="00CF024D" w14:paraId="4332BC14" w14:textId="77777777" w:rsidTr="00274DB2">
        <w:trPr>
          <w:trHeight w:val="143"/>
        </w:trPr>
        <w:tc>
          <w:tcPr>
            <w:tcW w:w="1413" w:type="dxa"/>
            <w:tcBorders>
              <w:top w:val="nil"/>
              <w:left w:val="single" w:sz="4" w:space="0" w:color="auto"/>
              <w:bottom w:val="single" w:sz="4" w:space="0" w:color="auto"/>
              <w:right w:val="single" w:sz="4" w:space="0" w:color="auto"/>
            </w:tcBorders>
            <w:shd w:val="clear" w:color="auto" w:fill="auto"/>
            <w:noWrap/>
            <w:hideMark/>
          </w:tcPr>
          <w:p w14:paraId="65EAC5EE" w14:textId="71AB7A11" w:rsidR="00485242" w:rsidRPr="00CF024D" w:rsidRDefault="00274DB2" w:rsidP="00C12CA0">
            <w:pPr>
              <w:jc w:val="left"/>
              <w:rPr>
                <w:b/>
                <w:color w:val="000000"/>
                <w:sz w:val="18"/>
                <w:szCs w:val="18"/>
                <w:lang w:val="en-CA" w:eastAsia="en-CA"/>
              </w:rPr>
            </w:pPr>
            <w:proofErr w:type="spellStart"/>
            <w:r w:rsidRPr="00CF024D">
              <w:rPr>
                <w:rFonts w:hint="eastAsia"/>
                <w:b/>
                <w:color w:val="000000"/>
                <w:sz w:val="18"/>
                <w:szCs w:val="18"/>
                <w:lang w:val="en-CA" w:eastAsia="en-CA"/>
              </w:rPr>
              <w:t>共计</w:t>
            </w:r>
            <w:proofErr w:type="spellEnd"/>
          </w:p>
        </w:tc>
        <w:tc>
          <w:tcPr>
            <w:tcW w:w="832" w:type="dxa"/>
            <w:tcBorders>
              <w:top w:val="nil"/>
              <w:left w:val="nil"/>
              <w:bottom w:val="single" w:sz="4" w:space="0" w:color="auto"/>
              <w:right w:val="single" w:sz="4" w:space="0" w:color="auto"/>
            </w:tcBorders>
            <w:shd w:val="clear" w:color="auto" w:fill="auto"/>
            <w:noWrap/>
            <w:hideMark/>
          </w:tcPr>
          <w:p w14:paraId="7AB82E79" w14:textId="758004B3"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86,109</w:t>
            </w:r>
          </w:p>
        </w:tc>
        <w:tc>
          <w:tcPr>
            <w:tcW w:w="801" w:type="dxa"/>
            <w:tcBorders>
              <w:top w:val="nil"/>
              <w:left w:val="nil"/>
              <w:bottom w:val="single" w:sz="4" w:space="0" w:color="auto"/>
              <w:right w:val="single" w:sz="4" w:space="0" w:color="auto"/>
            </w:tcBorders>
            <w:shd w:val="clear" w:color="auto" w:fill="auto"/>
            <w:noWrap/>
            <w:hideMark/>
          </w:tcPr>
          <w:p w14:paraId="06DBD132" w14:textId="4B4147AE"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317,556</w:t>
            </w:r>
          </w:p>
        </w:tc>
        <w:tc>
          <w:tcPr>
            <w:tcW w:w="801" w:type="dxa"/>
            <w:tcBorders>
              <w:top w:val="nil"/>
              <w:left w:val="nil"/>
              <w:bottom w:val="single" w:sz="4" w:space="0" w:color="auto"/>
              <w:right w:val="single" w:sz="4" w:space="0" w:color="auto"/>
            </w:tcBorders>
            <w:shd w:val="clear" w:color="auto" w:fill="auto"/>
            <w:noWrap/>
            <w:hideMark/>
          </w:tcPr>
          <w:p w14:paraId="39F51ABF" w14:textId="2267B368"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322,556</w:t>
            </w:r>
          </w:p>
        </w:tc>
        <w:tc>
          <w:tcPr>
            <w:tcW w:w="801" w:type="dxa"/>
            <w:tcBorders>
              <w:top w:val="nil"/>
              <w:left w:val="nil"/>
              <w:bottom w:val="single" w:sz="4" w:space="0" w:color="auto"/>
              <w:right w:val="single" w:sz="4" w:space="0" w:color="auto"/>
            </w:tcBorders>
            <w:shd w:val="clear" w:color="auto" w:fill="auto"/>
            <w:noWrap/>
            <w:hideMark/>
          </w:tcPr>
          <w:p w14:paraId="0B0FD1FA" w14:textId="7F5A6469"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322,556</w:t>
            </w:r>
          </w:p>
        </w:tc>
        <w:tc>
          <w:tcPr>
            <w:tcW w:w="801" w:type="dxa"/>
            <w:tcBorders>
              <w:top w:val="nil"/>
              <w:left w:val="nil"/>
              <w:bottom w:val="single" w:sz="4" w:space="0" w:color="auto"/>
              <w:right w:val="single" w:sz="4" w:space="0" w:color="auto"/>
            </w:tcBorders>
            <w:shd w:val="clear" w:color="auto" w:fill="auto"/>
            <w:noWrap/>
            <w:hideMark/>
          </w:tcPr>
          <w:p w14:paraId="78F72D52" w14:textId="49CB02DC"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315,957</w:t>
            </w:r>
          </w:p>
        </w:tc>
        <w:tc>
          <w:tcPr>
            <w:tcW w:w="801" w:type="dxa"/>
            <w:tcBorders>
              <w:top w:val="nil"/>
              <w:left w:val="nil"/>
              <w:bottom w:val="single" w:sz="4" w:space="0" w:color="auto"/>
              <w:right w:val="single" w:sz="4" w:space="0" w:color="auto"/>
            </w:tcBorders>
            <w:shd w:val="clear" w:color="auto" w:fill="auto"/>
            <w:noWrap/>
            <w:hideMark/>
          </w:tcPr>
          <w:p w14:paraId="3D92AA43" w14:textId="0C398F5C"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315,957</w:t>
            </w:r>
          </w:p>
        </w:tc>
        <w:tc>
          <w:tcPr>
            <w:tcW w:w="801" w:type="dxa"/>
            <w:tcBorders>
              <w:top w:val="nil"/>
              <w:left w:val="nil"/>
              <w:bottom w:val="single" w:sz="4" w:space="0" w:color="auto"/>
              <w:right w:val="single" w:sz="4" w:space="0" w:color="auto"/>
            </w:tcBorders>
            <w:shd w:val="clear" w:color="auto" w:fill="auto"/>
            <w:noWrap/>
            <w:hideMark/>
          </w:tcPr>
          <w:p w14:paraId="3E9A8F67" w14:textId="173D834F"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315,957</w:t>
            </w:r>
          </w:p>
        </w:tc>
        <w:tc>
          <w:tcPr>
            <w:tcW w:w="801" w:type="dxa"/>
            <w:tcBorders>
              <w:top w:val="nil"/>
              <w:left w:val="nil"/>
              <w:bottom w:val="single" w:sz="4" w:space="0" w:color="auto"/>
              <w:right w:val="single" w:sz="4" w:space="0" w:color="auto"/>
            </w:tcBorders>
            <w:shd w:val="clear" w:color="auto" w:fill="auto"/>
            <w:noWrap/>
            <w:hideMark/>
          </w:tcPr>
          <w:p w14:paraId="4A7C2BB3" w14:textId="2DE31ABC"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315,957</w:t>
            </w:r>
          </w:p>
        </w:tc>
        <w:tc>
          <w:tcPr>
            <w:tcW w:w="801" w:type="dxa"/>
            <w:tcBorders>
              <w:top w:val="nil"/>
              <w:left w:val="nil"/>
              <w:bottom w:val="single" w:sz="4" w:space="0" w:color="auto"/>
              <w:right w:val="single" w:sz="4" w:space="0" w:color="auto"/>
            </w:tcBorders>
            <w:shd w:val="clear" w:color="auto" w:fill="auto"/>
            <w:noWrap/>
            <w:hideMark/>
          </w:tcPr>
          <w:p w14:paraId="18A53E3B" w14:textId="7C855823"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315,957</w:t>
            </w:r>
          </w:p>
        </w:tc>
        <w:tc>
          <w:tcPr>
            <w:tcW w:w="943" w:type="dxa"/>
            <w:tcBorders>
              <w:top w:val="nil"/>
              <w:left w:val="nil"/>
              <w:bottom w:val="single" w:sz="4" w:space="0" w:color="auto"/>
              <w:right w:val="single" w:sz="4" w:space="0" w:color="auto"/>
            </w:tcBorders>
            <w:shd w:val="clear" w:color="auto" w:fill="auto"/>
            <w:noWrap/>
            <w:hideMark/>
          </w:tcPr>
          <w:p w14:paraId="16512CDC" w14:textId="22933F9C" w:rsidR="00485242" w:rsidRPr="00CF024D" w:rsidRDefault="00485242" w:rsidP="00C93150">
            <w:pPr>
              <w:jc w:val="right"/>
              <w:rPr>
                <w:b/>
                <w:color w:val="000000"/>
                <w:sz w:val="18"/>
                <w:szCs w:val="18"/>
                <w:lang w:val="en-CA" w:eastAsia="en-CA"/>
              </w:rPr>
            </w:pPr>
            <w:r w:rsidRPr="00CF024D">
              <w:rPr>
                <w:b/>
                <w:color w:val="000000"/>
                <w:sz w:val="18"/>
                <w:szCs w:val="18"/>
                <w:lang w:val="en-CA" w:eastAsia="en-CA"/>
              </w:rPr>
              <w:t>2,628,561</w:t>
            </w:r>
          </w:p>
        </w:tc>
      </w:tr>
      <w:tr w:rsidR="00485242" w:rsidRPr="00CF024D" w14:paraId="453473C8" w14:textId="77777777" w:rsidTr="00C93150">
        <w:trPr>
          <w:trHeight w:val="53"/>
        </w:trPr>
        <w:tc>
          <w:tcPr>
            <w:tcW w:w="9596"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14:paraId="0C662209" w14:textId="5EE311FD" w:rsidR="00485242" w:rsidRPr="00CF024D" w:rsidRDefault="00274DB2" w:rsidP="00274DB2">
            <w:pPr>
              <w:jc w:val="center"/>
              <w:rPr>
                <w:b/>
                <w:color w:val="000000"/>
                <w:sz w:val="18"/>
                <w:szCs w:val="18"/>
                <w:lang w:val="en-CA" w:eastAsia="zh-CN"/>
              </w:rPr>
            </w:pPr>
            <w:r w:rsidRPr="00CF024D">
              <w:rPr>
                <w:rFonts w:hint="eastAsia"/>
                <w:b/>
                <w:color w:val="000000"/>
                <w:sz w:val="18"/>
                <w:szCs w:val="18"/>
                <w:lang w:val="en-CA" w:eastAsia="zh-CN"/>
              </w:rPr>
              <w:t>秘书处</w:t>
            </w:r>
          </w:p>
        </w:tc>
      </w:tr>
      <w:tr w:rsidR="00274DB2" w:rsidRPr="00CF024D" w14:paraId="7B038DB4" w14:textId="77777777" w:rsidTr="00274DB2">
        <w:trPr>
          <w:trHeight w:val="161"/>
        </w:trPr>
        <w:tc>
          <w:tcPr>
            <w:tcW w:w="1413" w:type="dxa"/>
            <w:tcBorders>
              <w:top w:val="nil"/>
              <w:left w:val="single" w:sz="4" w:space="0" w:color="auto"/>
              <w:bottom w:val="single" w:sz="4" w:space="0" w:color="auto"/>
              <w:right w:val="single" w:sz="4" w:space="0" w:color="auto"/>
            </w:tcBorders>
            <w:shd w:val="clear" w:color="auto" w:fill="auto"/>
            <w:noWrap/>
            <w:hideMark/>
          </w:tcPr>
          <w:p w14:paraId="084AA88F" w14:textId="1F47CADD" w:rsidR="00274DB2" w:rsidRPr="00CF024D" w:rsidRDefault="00274DB2" w:rsidP="00C12CA0">
            <w:pPr>
              <w:jc w:val="left"/>
              <w:rPr>
                <w:color w:val="000000"/>
                <w:sz w:val="18"/>
                <w:szCs w:val="18"/>
                <w:lang w:val="en-CA" w:eastAsia="en-CA"/>
              </w:rPr>
            </w:pPr>
            <w:proofErr w:type="spellStart"/>
            <w:r w:rsidRPr="00CF024D">
              <w:rPr>
                <w:rFonts w:hint="eastAsia"/>
                <w:color w:val="000000"/>
                <w:sz w:val="18"/>
                <w:szCs w:val="18"/>
                <w:lang w:val="en-CA" w:eastAsia="en-CA"/>
              </w:rPr>
              <w:t>销毁成本</w:t>
            </w:r>
            <w:proofErr w:type="spellEnd"/>
          </w:p>
        </w:tc>
        <w:tc>
          <w:tcPr>
            <w:tcW w:w="832" w:type="dxa"/>
            <w:tcBorders>
              <w:top w:val="nil"/>
              <w:left w:val="nil"/>
              <w:bottom w:val="single" w:sz="4" w:space="0" w:color="auto"/>
              <w:right w:val="single" w:sz="4" w:space="0" w:color="auto"/>
            </w:tcBorders>
            <w:shd w:val="clear" w:color="auto" w:fill="auto"/>
            <w:noWrap/>
            <w:hideMark/>
          </w:tcPr>
          <w:p w14:paraId="333134D1" w14:textId="4D829BED" w:rsidR="00274DB2" w:rsidRPr="00CF024D" w:rsidRDefault="00274DB2" w:rsidP="00C93150">
            <w:pPr>
              <w:jc w:val="right"/>
              <w:rPr>
                <w:color w:val="000000"/>
                <w:sz w:val="18"/>
                <w:szCs w:val="18"/>
                <w:lang w:val="en-CA" w:eastAsia="en-CA"/>
              </w:rPr>
            </w:pPr>
            <w:r w:rsidRPr="00CF024D">
              <w:rPr>
                <w:color w:val="000000"/>
                <w:sz w:val="18"/>
                <w:szCs w:val="18"/>
                <w:lang w:val="en-CA" w:eastAsia="en-CA"/>
              </w:rPr>
              <w:t>12,949</w:t>
            </w:r>
          </w:p>
        </w:tc>
        <w:tc>
          <w:tcPr>
            <w:tcW w:w="801" w:type="dxa"/>
            <w:tcBorders>
              <w:top w:val="nil"/>
              <w:left w:val="nil"/>
              <w:bottom w:val="single" w:sz="4" w:space="0" w:color="auto"/>
              <w:right w:val="single" w:sz="4" w:space="0" w:color="auto"/>
            </w:tcBorders>
            <w:shd w:val="clear" w:color="auto" w:fill="auto"/>
            <w:noWrap/>
            <w:hideMark/>
          </w:tcPr>
          <w:p w14:paraId="01C3F89E" w14:textId="26A4C358" w:rsidR="00274DB2" w:rsidRPr="00CF024D" w:rsidRDefault="00274DB2" w:rsidP="00C93150">
            <w:pPr>
              <w:jc w:val="right"/>
              <w:rPr>
                <w:color w:val="000000"/>
                <w:sz w:val="18"/>
                <w:szCs w:val="18"/>
                <w:lang w:val="en-CA" w:eastAsia="en-CA"/>
              </w:rPr>
            </w:pPr>
            <w:r w:rsidRPr="00CF024D">
              <w:rPr>
                <w:color w:val="000000"/>
                <w:sz w:val="18"/>
                <w:szCs w:val="18"/>
                <w:lang w:val="en-CA" w:eastAsia="en-CA"/>
              </w:rPr>
              <w:t>51,795</w:t>
            </w:r>
          </w:p>
        </w:tc>
        <w:tc>
          <w:tcPr>
            <w:tcW w:w="801" w:type="dxa"/>
            <w:tcBorders>
              <w:top w:val="nil"/>
              <w:left w:val="nil"/>
              <w:bottom w:val="single" w:sz="4" w:space="0" w:color="auto"/>
              <w:right w:val="single" w:sz="4" w:space="0" w:color="auto"/>
            </w:tcBorders>
            <w:shd w:val="clear" w:color="auto" w:fill="auto"/>
            <w:noWrap/>
            <w:hideMark/>
          </w:tcPr>
          <w:p w14:paraId="56256BD6" w14:textId="19E6BE32" w:rsidR="00274DB2" w:rsidRPr="00CF024D" w:rsidRDefault="00274DB2" w:rsidP="00C93150">
            <w:pPr>
              <w:jc w:val="right"/>
              <w:rPr>
                <w:color w:val="000000"/>
                <w:sz w:val="18"/>
                <w:szCs w:val="18"/>
                <w:lang w:val="en-CA" w:eastAsia="en-CA"/>
              </w:rPr>
            </w:pPr>
            <w:r w:rsidRPr="00CF024D">
              <w:rPr>
                <w:color w:val="000000"/>
                <w:sz w:val="18"/>
                <w:szCs w:val="18"/>
                <w:lang w:val="en-CA" w:eastAsia="en-CA"/>
              </w:rPr>
              <w:t>51,795</w:t>
            </w:r>
          </w:p>
        </w:tc>
        <w:tc>
          <w:tcPr>
            <w:tcW w:w="801" w:type="dxa"/>
            <w:tcBorders>
              <w:top w:val="nil"/>
              <w:left w:val="nil"/>
              <w:bottom w:val="single" w:sz="4" w:space="0" w:color="auto"/>
              <w:right w:val="single" w:sz="4" w:space="0" w:color="auto"/>
            </w:tcBorders>
            <w:shd w:val="clear" w:color="auto" w:fill="auto"/>
            <w:noWrap/>
            <w:hideMark/>
          </w:tcPr>
          <w:p w14:paraId="74A6D18D" w14:textId="441B329F" w:rsidR="00274DB2" w:rsidRPr="00CF024D" w:rsidRDefault="00274DB2" w:rsidP="00C93150">
            <w:pPr>
              <w:jc w:val="right"/>
              <w:rPr>
                <w:color w:val="000000"/>
                <w:sz w:val="18"/>
                <w:szCs w:val="18"/>
                <w:lang w:val="en-CA" w:eastAsia="en-CA"/>
              </w:rPr>
            </w:pPr>
            <w:r w:rsidRPr="00CF024D">
              <w:rPr>
                <w:color w:val="000000"/>
                <w:sz w:val="18"/>
                <w:szCs w:val="18"/>
                <w:lang w:val="en-CA" w:eastAsia="en-CA"/>
              </w:rPr>
              <w:t>51,795</w:t>
            </w:r>
          </w:p>
        </w:tc>
        <w:tc>
          <w:tcPr>
            <w:tcW w:w="801" w:type="dxa"/>
            <w:tcBorders>
              <w:top w:val="nil"/>
              <w:left w:val="nil"/>
              <w:bottom w:val="single" w:sz="4" w:space="0" w:color="auto"/>
              <w:right w:val="single" w:sz="4" w:space="0" w:color="auto"/>
            </w:tcBorders>
            <w:shd w:val="clear" w:color="auto" w:fill="auto"/>
            <w:noWrap/>
            <w:hideMark/>
          </w:tcPr>
          <w:p w14:paraId="3EC1F2C7" w14:textId="6271C8EA" w:rsidR="00274DB2" w:rsidRPr="00CF024D" w:rsidRDefault="00274DB2" w:rsidP="00C93150">
            <w:pPr>
              <w:jc w:val="right"/>
              <w:rPr>
                <w:color w:val="000000"/>
                <w:sz w:val="18"/>
                <w:szCs w:val="18"/>
                <w:lang w:val="en-CA" w:eastAsia="en-CA"/>
              </w:rPr>
            </w:pPr>
            <w:r w:rsidRPr="00CF024D">
              <w:rPr>
                <w:color w:val="000000"/>
                <w:sz w:val="18"/>
                <w:szCs w:val="18"/>
                <w:lang w:val="en-CA" w:eastAsia="en-CA"/>
              </w:rPr>
              <w:t>49,131</w:t>
            </w:r>
          </w:p>
        </w:tc>
        <w:tc>
          <w:tcPr>
            <w:tcW w:w="801" w:type="dxa"/>
            <w:tcBorders>
              <w:top w:val="nil"/>
              <w:left w:val="nil"/>
              <w:bottom w:val="single" w:sz="4" w:space="0" w:color="auto"/>
              <w:right w:val="single" w:sz="4" w:space="0" w:color="auto"/>
            </w:tcBorders>
            <w:shd w:val="clear" w:color="auto" w:fill="auto"/>
            <w:noWrap/>
            <w:hideMark/>
          </w:tcPr>
          <w:p w14:paraId="318B8D24" w14:textId="423599F7" w:rsidR="00274DB2" w:rsidRPr="00CF024D" w:rsidRDefault="00274DB2" w:rsidP="00C93150">
            <w:pPr>
              <w:jc w:val="right"/>
              <w:rPr>
                <w:color w:val="000000"/>
                <w:sz w:val="18"/>
                <w:szCs w:val="18"/>
                <w:lang w:val="en-CA" w:eastAsia="en-CA"/>
              </w:rPr>
            </w:pPr>
            <w:r w:rsidRPr="00CF024D">
              <w:rPr>
                <w:color w:val="000000"/>
                <w:sz w:val="18"/>
                <w:szCs w:val="18"/>
                <w:lang w:val="en-CA" w:eastAsia="en-CA"/>
              </w:rPr>
              <w:t>49,131</w:t>
            </w:r>
          </w:p>
        </w:tc>
        <w:tc>
          <w:tcPr>
            <w:tcW w:w="801" w:type="dxa"/>
            <w:tcBorders>
              <w:top w:val="nil"/>
              <w:left w:val="nil"/>
              <w:bottom w:val="single" w:sz="4" w:space="0" w:color="auto"/>
              <w:right w:val="single" w:sz="4" w:space="0" w:color="auto"/>
            </w:tcBorders>
            <w:shd w:val="clear" w:color="auto" w:fill="auto"/>
            <w:noWrap/>
            <w:hideMark/>
          </w:tcPr>
          <w:p w14:paraId="51B2778B" w14:textId="1D607438" w:rsidR="00274DB2" w:rsidRPr="00CF024D" w:rsidRDefault="00274DB2" w:rsidP="00C93150">
            <w:pPr>
              <w:jc w:val="right"/>
              <w:rPr>
                <w:color w:val="000000"/>
                <w:sz w:val="18"/>
                <w:szCs w:val="18"/>
                <w:lang w:val="en-CA" w:eastAsia="en-CA"/>
              </w:rPr>
            </w:pPr>
            <w:r w:rsidRPr="00CF024D">
              <w:rPr>
                <w:color w:val="000000"/>
                <w:sz w:val="18"/>
                <w:szCs w:val="18"/>
                <w:lang w:val="en-CA" w:eastAsia="en-CA"/>
              </w:rPr>
              <w:t>49,131</w:t>
            </w:r>
          </w:p>
        </w:tc>
        <w:tc>
          <w:tcPr>
            <w:tcW w:w="801" w:type="dxa"/>
            <w:tcBorders>
              <w:top w:val="nil"/>
              <w:left w:val="nil"/>
              <w:bottom w:val="single" w:sz="4" w:space="0" w:color="auto"/>
              <w:right w:val="single" w:sz="4" w:space="0" w:color="auto"/>
            </w:tcBorders>
            <w:shd w:val="clear" w:color="auto" w:fill="auto"/>
            <w:noWrap/>
            <w:hideMark/>
          </w:tcPr>
          <w:p w14:paraId="46A0E4B1" w14:textId="185759DE" w:rsidR="00274DB2" w:rsidRPr="00CF024D" w:rsidRDefault="00274DB2" w:rsidP="00C93150">
            <w:pPr>
              <w:jc w:val="right"/>
              <w:rPr>
                <w:color w:val="000000"/>
                <w:sz w:val="18"/>
                <w:szCs w:val="18"/>
                <w:lang w:val="en-CA" w:eastAsia="en-CA"/>
              </w:rPr>
            </w:pPr>
            <w:r w:rsidRPr="00CF024D">
              <w:rPr>
                <w:color w:val="000000"/>
                <w:sz w:val="18"/>
                <w:szCs w:val="18"/>
                <w:lang w:val="en-CA" w:eastAsia="en-CA"/>
              </w:rPr>
              <w:t>49,131</w:t>
            </w:r>
          </w:p>
        </w:tc>
        <w:tc>
          <w:tcPr>
            <w:tcW w:w="801" w:type="dxa"/>
            <w:tcBorders>
              <w:top w:val="nil"/>
              <w:left w:val="nil"/>
              <w:bottom w:val="single" w:sz="4" w:space="0" w:color="auto"/>
              <w:right w:val="single" w:sz="4" w:space="0" w:color="auto"/>
            </w:tcBorders>
            <w:shd w:val="clear" w:color="auto" w:fill="auto"/>
            <w:noWrap/>
            <w:hideMark/>
          </w:tcPr>
          <w:p w14:paraId="257221EF" w14:textId="6A1F6519" w:rsidR="00274DB2" w:rsidRPr="00CF024D" w:rsidRDefault="00274DB2" w:rsidP="00C93150">
            <w:pPr>
              <w:jc w:val="right"/>
              <w:rPr>
                <w:color w:val="000000"/>
                <w:sz w:val="18"/>
                <w:szCs w:val="18"/>
                <w:lang w:val="en-CA" w:eastAsia="en-CA"/>
              </w:rPr>
            </w:pPr>
            <w:r w:rsidRPr="00CF024D">
              <w:rPr>
                <w:color w:val="000000"/>
                <w:sz w:val="18"/>
                <w:szCs w:val="18"/>
                <w:lang w:val="en-CA" w:eastAsia="en-CA"/>
              </w:rPr>
              <w:t>49,131</w:t>
            </w:r>
          </w:p>
        </w:tc>
        <w:tc>
          <w:tcPr>
            <w:tcW w:w="943" w:type="dxa"/>
            <w:tcBorders>
              <w:top w:val="nil"/>
              <w:left w:val="nil"/>
              <w:bottom w:val="single" w:sz="4" w:space="0" w:color="auto"/>
              <w:right w:val="single" w:sz="4" w:space="0" w:color="auto"/>
            </w:tcBorders>
            <w:shd w:val="clear" w:color="auto" w:fill="auto"/>
            <w:noWrap/>
            <w:hideMark/>
          </w:tcPr>
          <w:p w14:paraId="268C9A2E" w14:textId="473D1803" w:rsidR="00274DB2" w:rsidRPr="00CF024D" w:rsidRDefault="00274DB2" w:rsidP="00C93150">
            <w:pPr>
              <w:jc w:val="right"/>
              <w:rPr>
                <w:color w:val="000000"/>
                <w:sz w:val="18"/>
                <w:szCs w:val="18"/>
                <w:lang w:val="en-CA" w:eastAsia="en-CA"/>
              </w:rPr>
            </w:pPr>
            <w:r w:rsidRPr="00CF024D">
              <w:rPr>
                <w:color w:val="000000"/>
                <w:sz w:val="18"/>
                <w:szCs w:val="18"/>
                <w:lang w:val="en-CA" w:eastAsia="en-CA"/>
              </w:rPr>
              <w:t>413,991</w:t>
            </w:r>
          </w:p>
        </w:tc>
      </w:tr>
      <w:tr w:rsidR="00274DB2" w:rsidRPr="00CF024D" w14:paraId="1AB2FF4E" w14:textId="77777777" w:rsidTr="00274DB2">
        <w:trPr>
          <w:trHeight w:val="215"/>
        </w:trPr>
        <w:tc>
          <w:tcPr>
            <w:tcW w:w="1413" w:type="dxa"/>
            <w:tcBorders>
              <w:top w:val="nil"/>
              <w:left w:val="single" w:sz="4" w:space="0" w:color="auto"/>
              <w:bottom w:val="single" w:sz="4" w:space="0" w:color="auto"/>
              <w:right w:val="single" w:sz="4" w:space="0" w:color="auto"/>
            </w:tcBorders>
            <w:shd w:val="clear" w:color="auto" w:fill="auto"/>
            <w:noWrap/>
            <w:hideMark/>
          </w:tcPr>
          <w:p w14:paraId="52603F08" w14:textId="10BE6A33" w:rsidR="00274DB2" w:rsidRPr="00CF024D" w:rsidRDefault="00274DB2" w:rsidP="00C12CA0">
            <w:pPr>
              <w:jc w:val="left"/>
              <w:rPr>
                <w:color w:val="000000"/>
                <w:sz w:val="18"/>
                <w:szCs w:val="18"/>
                <w:lang w:val="en-CA" w:eastAsia="en-CA"/>
              </w:rPr>
            </w:pPr>
            <w:proofErr w:type="spellStart"/>
            <w:r w:rsidRPr="00CF024D">
              <w:rPr>
                <w:rFonts w:hint="eastAsia"/>
                <w:color w:val="000000"/>
                <w:sz w:val="18"/>
                <w:szCs w:val="18"/>
                <w:lang w:val="en-CA" w:eastAsia="en-CA"/>
              </w:rPr>
              <w:t>监测</w:t>
            </w:r>
            <w:proofErr w:type="spellEnd"/>
          </w:p>
        </w:tc>
        <w:tc>
          <w:tcPr>
            <w:tcW w:w="832" w:type="dxa"/>
            <w:tcBorders>
              <w:top w:val="nil"/>
              <w:left w:val="nil"/>
              <w:bottom w:val="single" w:sz="4" w:space="0" w:color="auto"/>
              <w:right w:val="single" w:sz="4" w:space="0" w:color="auto"/>
            </w:tcBorders>
            <w:shd w:val="clear" w:color="auto" w:fill="auto"/>
            <w:noWrap/>
            <w:hideMark/>
          </w:tcPr>
          <w:p w14:paraId="515EED7F" w14:textId="58F75BE6" w:rsidR="00274DB2" w:rsidRPr="00CF024D" w:rsidRDefault="00274DB2" w:rsidP="00C93150">
            <w:pPr>
              <w:jc w:val="right"/>
              <w:rPr>
                <w:color w:val="000000"/>
                <w:sz w:val="18"/>
                <w:szCs w:val="18"/>
                <w:lang w:val="en-CA" w:eastAsia="en-CA"/>
              </w:rPr>
            </w:pPr>
            <w:r w:rsidRPr="00CF024D">
              <w:rPr>
                <w:color w:val="000000"/>
                <w:sz w:val="18"/>
                <w:szCs w:val="18"/>
                <w:lang w:val="en-CA" w:eastAsia="en-CA"/>
              </w:rPr>
              <w:t>4,167</w:t>
            </w:r>
          </w:p>
        </w:tc>
        <w:tc>
          <w:tcPr>
            <w:tcW w:w="801" w:type="dxa"/>
            <w:tcBorders>
              <w:top w:val="nil"/>
              <w:left w:val="nil"/>
              <w:bottom w:val="single" w:sz="4" w:space="0" w:color="auto"/>
              <w:right w:val="single" w:sz="4" w:space="0" w:color="auto"/>
            </w:tcBorders>
            <w:shd w:val="clear" w:color="auto" w:fill="auto"/>
            <w:noWrap/>
            <w:hideMark/>
          </w:tcPr>
          <w:p w14:paraId="41CA07F0" w14:textId="631BC1CC" w:rsidR="00274DB2" w:rsidRPr="00CF024D" w:rsidRDefault="00274DB2" w:rsidP="00C93150">
            <w:pPr>
              <w:jc w:val="right"/>
              <w:rPr>
                <w:color w:val="000000"/>
                <w:sz w:val="18"/>
                <w:szCs w:val="18"/>
                <w:lang w:val="en-CA" w:eastAsia="en-CA"/>
              </w:rPr>
            </w:pPr>
            <w:r w:rsidRPr="00CF024D">
              <w:rPr>
                <w:color w:val="000000"/>
                <w:sz w:val="18"/>
                <w:szCs w:val="18"/>
                <w:lang w:val="en-CA" w:eastAsia="en-CA"/>
              </w:rPr>
              <w:t>4,167</w:t>
            </w:r>
          </w:p>
        </w:tc>
        <w:tc>
          <w:tcPr>
            <w:tcW w:w="801" w:type="dxa"/>
            <w:tcBorders>
              <w:top w:val="nil"/>
              <w:left w:val="nil"/>
              <w:bottom w:val="single" w:sz="4" w:space="0" w:color="auto"/>
              <w:right w:val="single" w:sz="4" w:space="0" w:color="auto"/>
            </w:tcBorders>
            <w:shd w:val="clear" w:color="auto" w:fill="auto"/>
            <w:noWrap/>
            <w:hideMark/>
          </w:tcPr>
          <w:p w14:paraId="7E9F641E" w14:textId="3AE6886D" w:rsidR="00274DB2" w:rsidRPr="00CF024D" w:rsidRDefault="00274DB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43D0BC3F" w14:textId="390C84DB" w:rsidR="00274DB2" w:rsidRPr="00CF024D" w:rsidRDefault="00274DB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39D2A5B6" w14:textId="3051956F" w:rsidR="00274DB2" w:rsidRPr="00CF024D" w:rsidRDefault="00274DB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612C1560" w14:textId="44DE8EED" w:rsidR="00274DB2" w:rsidRPr="00CF024D" w:rsidRDefault="00274DB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733CF10B" w14:textId="291DFE81" w:rsidR="00274DB2" w:rsidRPr="00CF024D" w:rsidRDefault="00274DB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03F825CA" w14:textId="7EB95D9F" w:rsidR="00274DB2" w:rsidRPr="00CF024D" w:rsidRDefault="00274DB2" w:rsidP="00C93150">
            <w:pPr>
              <w:jc w:val="right"/>
              <w:rPr>
                <w:color w:val="000000"/>
                <w:sz w:val="18"/>
                <w:szCs w:val="18"/>
                <w:lang w:val="en-CA" w:eastAsia="en-CA"/>
              </w:rPr>
            </w:pPr>
            <w:r w:rsidRPr="00CF024D">
              <w:rPr>
                <w:color w:val="000000"/>
                <w:sz w:val="18"/>
                <w:szCs w:val="18"/>
                <w:lang w:val="en-CA" w:eastAsia="en-CA"/>
              </w:rPr>
              <w:t>10,000</w:t>
            </w:r>
          </w:p>
        </w:tc>
        <w:tc>
          <w:tcPr>
            <w:tcW w:w="801" w:type="dxa"/>
            <w:tcBorders>
              <w:top w:val="nil"/>
              <w:left w:val="nil"/>
              <w:bottom w:val="single" w:sz="4" w:space="0" w:color="auto"/>
              <w:right w:val="single" w:sz="4" w:space="0" w:color="auto"/>
            </w:tcBorders>
            <w:shd w:val="clear" w:color="auto" w:fill="auto"/>
            <w:noWrap/>
            <w:hideMark/>
          </w:tcPr>
          <w:p w14:paraId="61CE7459" w14:textId="284996E6" w:rsidR="00274DB2" w:rsidRPr="00CF024D" w:rsidRDefault="00274DB2" w:rsidP="00C93150">
            <w:pPr>
              <w:jc w:val="right"/>
              <w:rPr>
                <w:color w:val="000000"/>
                <w:sz w:val="18"/>
                <w:szCs w:val="18"/>
                <w:lang w:val="en-CA" w:eastAsia="en-CA"/>
              </w:rPr>
            </w:pPr>
            <w:r w:rsidRPr="00CF024D">
              <w:rPr>
                <w:color w:val="000000"/>
                <w:sz w:val="18"/>
                <w:szCs w:val="18"/>
                <w:lang w:val="en-CA" w:eastAsia="en-CA"/>
              </w:rPr>
              <w:t>10,000</w:t>
            </w:r>
          </w:p>
        </w:tc>
        <w:tc>
          <w:tcPr>
            <w:tcW w:w="943" w:type="dxa"/>
            <w:tcBorders>
              <w:top w:val="nil"/>
              <w:left w:val="nil"/>
              <w:bottom w:val="single" w:sz="4" w:space="0" w:color="auto"/>
              <w:right w:val="single" w:sz="4" w:space="0" w:color="auto"/>
            </w:tcBorders>
            <w:shd w:val="clear" w:color="auto" w:fill="auto"/>
            <w:noWrap/>
            <w:hideMark/>
          </w:tcPr>
          <w:p w14:paraId="48525C7D" w14:textId="5B8A6467" w:rsidR="00274DB2" w:rsidRPr="00CF024D" w:rsidRDefault="00274DB2" w:rsidP="00C93150">
            <w:pPr>
              <w:jc w:val="right"/>
              <w:rPr>
                <w:color w:val="000000"/>
                <w:sz w:val="18"/>
                <w:szCs w:val="18"/>
                <w:lang w:val="en-CA" w:eastAsia="en-CA"/>
              </w:rPr>
            </w:pPr>
            <w:r w:rsidRPr="00CF024D">
              <w:rPr>
                <w:color w:val="000000"/>
                <w:sz w:val="18"/>
                <w:szCs w:val="18"/>
                <w:lang w:val="en-CA" w:eastAsia="en-CA"/>
              </w:rPr>
              <w:t>78,333</w:t>
            </w:r>
          </w:p>
        </w:tc>
      </w:tr>
      <w:tr w:rsidR="00274DB2" w:rsidRPr="00CF024D" w14:paraId="0F76C67B" w14:textId="77777777" w:rsidTr="00274DB2">
        <w:trPr>
          <w:trHeight w:val="341"/>
        </w:trPr>
        <w:tc>
          <w:tcPr>
            <w:tcW w:w="1413" w:type="dxa"/>
            <w:tcBorders>
              <w:top w:val="nil"/>
              <w:left w:val="single" w:sz="4" w:space="0" w:color="auto"/>
              <w:bottom w:val="single" w:sz="4" w:space="0" w:color="auto"/>
              <w:right w:val="single" w:sz="4" w:space="0" w:color="auto"/>
            </w:tcBorders>
            <w:shd w:val="clear" w:color="auto" w:fill="auto"/>
            <w:hideMark/>
          </w:tcPr>
          <w:p w14:paraId="5FF90948" w14:textId="482CD40D" w:rsidR="00274DB2" w:rsidRPr="00CF024D" w:rsidRDefault="00274DB2" w:rsidP="00C12CA0">
            <w:pPr>
              <w:jc w:val="left"/>
              <w:rPr>
                <w:color w:val="000000"/>
                <w:sz w:val="18"/>
                <w:szCs w:val="18"/>
                <w:lang w:val="en-CA" w:eastAsia="en-CA"/>
              </w:rPr>
            </w:pPr>
            <w:proofErr w:type="spellStart"/>
            <w:r w:rsidRPr="00CF024D">
              <w:rPr>
                <w:rFonts w:hint="eastAsia"/>
                <w:color w:val="000000"/>
                <w:sz w:val="18"/>
                <w:szCs w:val="18"/>
                <w:lang w:val="en-CA" w:eastAsia="en-CA"/>
              </w:rPr>
              <w:t>年度注册费</w:t>
            </w:r>
            <w:proofErr w:type="spellEnd"/>
          </w:p>
        </w:tc>
        <w:tc>
          <w:tcPr>
            <w:tcW w:w="832" w:type="dxa"/>
            <w:tcBorders>
              <w:top w:val="nil"/>
              <w:left w:val="nil"/>
              <w:bottom w:val="single" w:sz="4" w:space="0" w:color="auto"/>
              <w:right w:val="single" w:sz="4" w:space="0" w:color="auto"/>
            </w:tcBorders>
            <w:shd w:val="clear" w:color="auto" w:fill="auto"/>
            <w:noWrap/>
            <w:hideMark/>
          </w:tcPr>
          <w:p w14:paraId="6FE606F7" w14:textId="52A950DE"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66A61C94" w14:textId="6A1AC5AB"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0DA33482" w14:textId="3C6087FD"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4922116E" w14:textId="66F39099"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3B037743" w14:textId="5E630E32"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0F031810" w14:textId="29124634"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04BEE5AC" w14:textId="7877A812"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2A7DB261" w14:textId="05950731"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801" w:type="dxa"/>
            <w:tcBorders>
              <w:top w:val="nil"/>
              <w:left w:val="nil"/>
              <w:bottom w:val="single" w:sz="4" w:space="0" w:color="auto"/>
              <w:right w:val="single" w:sz="4" w:space="0" w:color="auto"/>
            </w:tcBorders>
            <w:shd w:val="clear" w:color="auto" w:fill="auto"/>
            <w:noWrap/>
            <w:hideMark/>
          </w:tcPr>
          <w:p w14:paraId="3331043D" w14:textId="0E81F8B3" w:rsidR="00274DB2" w:rsidRPr="00CF024D" w:rsidRDefault="00274DB2" w:rsidP="00C93150">
            <w:pPr>
              <w:jc w:val="right"/>
              <w:rPr>
                <w:color w:val="000000"/>
                <w:sz w:val="18"/>
                <w:szCs w:val="18"/>
                <w:lang w:val="en-CA" w:eastAsia="en-CA"/>
              </w:rPr>
            </w:pPr>
            <w:r w:rsidRPr="00CF024D">
              <w:rPr>
                <w:color w:val="000000"/>
                <w:sz w:val="18"/>
                <w:szCs w:val="18"/>
                <w:lang w:val="en-CA" w:eastAsia="en-CA"/>
              </w:rPr>
              <w:t>3,099</w:t>
            </w:r>
          </w:p>
        </w:tc>
        <w:tc>
          <w:tcPr>
            <w:tcW w:w="943" w:type="dxa"/>
            <w:tcBorders>
              <w:top w:val="nil"/>
              <w:left w:val="nil"/>
              <w:bottom w:val="single" w:sz="4" w:space="0" w:color="auto"/>
              <w:right w:val="single" w:sz="4" w:space="0" w:color="auto"/>
            </w:tcBorders>
            <w:shd w:val="clear" w:color="auto" w:fill="auto"/>
            <w:noWrap/>
            <w:hideMark/>
          </w:tcPr>
          <w:p w14:paraId="7A7C5932" w14:textId="35167CF6" w:rsidR="00274DB2" w:rsidRPr="00CF024D" w:rsidRDefault="00274DB2" w:rsidP="00C93150">
            <w:pPr>
              <w:jc w:val="right"/>
              <w:rPr>
                <w:color w:val="000000"/>
                <w:sz w:val="18"/>
                <w:szCs w:val="18"/>
                <w:lang w:val="en-CA" w:eastAsia="en-CA"/>
              </w:rPr>
            </w:pPr>
            <w:r w:rsidRPr="00CF024D">
              <w:rPr>
                <w:color w:val="000000"/>
                <w:sz w:val="18"/>
                <w:szCs w:val="18"/>
                <w:lang w:val="en-CA" w:eastAsia="en-CA"/>
              </w:rPr>
              <w:t>27,887</w:t>
            </w:r>
          </w:p>
        </w:tc>
      </w:tr>
      <w:tr w:rsidR="00274DB2" w:rsidRPr="00CF024D" w14:paraId="39F39530" w14:textId="77777777" w:rsidTr="00274DB2">
        <w:trPr>
          <w:trHeight w:val="188"/>
        </w:trPr>
        <w:tc>
          <w:tcPr>
            <w:tcW w:w="1413" w:type="dxa"/>
            <w:tcBorders>
              <w:top w:val="nil"/>
              <w:left w:val="single" w:sz="4" w:space="0" w:color="auto"/>
              <w:bottom w:val="single" w:sz="4" w:space="0" w:color="auto"/>
              <w:right w:val="single" w:sz="4" w:space="0" w:color="auto"/>
            </w:tcBorders>
            <w:shd w:val="clear" w:color="auto" w:fill="auto"/>
            <w:noWrap/>
            <w:hideMark/>
          </w:tcPr>
          <w:p w14:paraId="5AA92523" w14:textId="0FEE8818" w:rsidR="00274DB2" w:rsidRPr="00CF024D" w:rsidRDefault="00274DB2" w:rsidP="00C12CA0">
            <w:pPr>
              <w:jc w:val="left"/>
              <w:rPr>
                <w:b/>
                <w:color w:val="000000"/>
                <w:sz w:val="18"/>
                <w:szCs w:val="18"/>
                <w:lang w:val="en-CA" w:eastAsia="en-CA"/>
              </w:rPr>
            </w:pPr>
            <w:proofErr w:type="spellStart"/>
            <w:r w:rsidRPr="00CF024D">
              <w:rPr>
                <w:rFonts w:hint="eastAsia"/>
                <w:b/>
                <w:color w:val="000000"/>
                <w:sz w:val="18"/>
                <w:szCs w:val="18"/>
                <w:lang w:val="en-CA" w:eastAsia="en-CA"/>
              </w:rPr>
              <w:t>共计</w:t>
            </w:r>
            <w:proofErr w:type="spellEnd"/>
          </w:p>
        </w:tc>
        <w:tc>
          <w:tcPr>
            <w:tcW w:w="832" w:type="dxa"/>
            <w:tcBorders>
              <w:top w:val="nil"/>
              <w:left w:val="nil"/>
              <w:bottom w:val="single" w:sz="4" w:space="0" w:color="auto"/>
              <w:right w:val="single" w:sz="4" w:space="0" w:color="auto"/>
            </w:tcBorders>
            <w:shd w:val="clear" w:color="auto" w:fill="auto"/>
            <w:noWrap/>
            <w:hideMark/>
          </w:tcPr>
          <w:p w14:paraId="2602A25B" w14:textId="2762525F"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20,214</w:t>
            </w:r>
          </w:p>
        </w:tc>
        <w:tc>
          <w:tcPr>
            <w:tcW w:w="801" w:type="dxa"/>
            <w:tcBorders>
              <w:top w:val="nil"/>
              <w:left w:val="nil"/>
              <w:bottom w:val="single" w:sz="4" w:space="0" w:color="auto"/>
              <w:right w:val="single" w:sz="4" w:space="0" w:color="auto"/>
            </w:tcBorders>
            <w:shd w:val="clear" w:color="auto" w:fill="auto"/>
            <w:noWrap/>
            <w:hideMark/>
          </w:tcPr>
          <w:p w14:paraId="4E1B5373" w14:textId="01FEC528"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59,060</w:t>
            </w:r>
          </w:p>
        </w:tc>
        <w:tc>
          <w:tcPr>
            <w:tcW w:w="801" w:type="dxa"/>
            <w:tcBorders>
              <w:top w:val="nil"/>
              <w:left w:val="nil"/>
              <w:bottom w:val="single" w:sz="4" w:space="0" w:color="auto"/>
              <w:right w:val="single" w:sz="4" w:space="0" w:color="auto"/>
            </w:tcBorders>
            <w:shd w:val="clear" w:color="auto" w:fill="auto"/>
            <w:noWrap/>
            <w:hideMark/>
          </w:tcPr>
          <w:p w14:paraId="095D4D2E" w14:textId="25DE3D50"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64,894</w:t>
            </w:r>
          </w:p>
        </w:tc>
        <w:tc>
          <w:tcPr>
            <w:tcW w:w="801" w:type="dxa"/>
            <w:tcBorders>
              <w:top w:val="nil"/>
              <w:left w:val="nil"/>
              <w:bottom w:val="single" w:sz="4" w:space="0" w:color="auto"/>
              <w:right w:val="single" w:sz="4" w:space="0" w:color="auto"/>
            </w:tcBorders>
            <w:shd w:val="clear" w:color="auto" w:fill="auto"/>
            <w:noWrap/>
            <w:hideMark/>
          </w:tcPr>
          <w:p w14:paraId="5B668E7D" w14:textId="59E2FF3A"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64,894</w:t>
            </w:r>
          </w:p>
        </w:tc>
        <w:tc>
          <w:tcPr>
            <w:tcW w:w="801" w:type="dxa"/>
            <w:tcBorders>
              <w:top w:val="nil"/>
              <w:left w:val="nil"/>
              <w:bottom w:val="single" w:sz="4" w:space="0" w:color="auto"/>
              <w:right w:val="single" w:sz="4" w:space="0" w:color="auto"/>
            </w:tcBorders>
            <w:shd w:val="clear" w:color="auto" w:fill="auto"/>
            <w:noWrap/>
            <w:hideMark/>
          </w:tcPr>
          <w:p w14:paraId="087534C5" w14:textId="74664AC1"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62,230</w:t>
            </w:r>
          </w:p>
        </w:tc>
        <w:tc>
          <w:tcPr>
            <w:tcW w:w="801" w:type="dxa"/>
            <w:tcBorders>
              <w:top w:val="nil"/>
              <w:left w:val="nil"/>
              <w:bottom w:val="single" w:sz="4" w:space="0" w:color="auto"/>
              <w:right w:val="single" w:sz="4" w:space="0" w:color="auto"/>
            </w:tcBorders>
            <w:shd w:val="clear" w:color="auto" w:fill="auto"/>
            <w:noWrap/>
            <w:hideMark/>
          </w:tcPr>
          <w:p w14:paraId="13761780" w14:textId="134EC387"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62,230</w:t>
            </w:r>
          </w:p>
        </w:tc>
        <w:tc>
          <w:tcPr>
            <w:tcW w:w="801" w:type="dxa"/>
            <w:tcBorders>
              <w:top w:val="nil"/>
              <w:left w:val="nil"/>
              <w:bottom w:val="single" w:sz="4" w:space="0" w:color="auto"/>
              <w:right w:val="single" w:sz="4" w:space="0" w:color="auto"/>
            </w:tcBorders>
            <w:shd w:val="clear" w:color="auto" w:fill="auto"/>
            <w:noWrap/>
            <w:hideMark/>
          </w:tcPr>
          <w:p w14:paraId="34704A3D" w14:textId="4FAFDDCB"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62,230</w:t>
            </w:r>
          </w:p>
        </w:tc>
        <w:tc>
          <w:tcPr>
            <w:tcW w:w="801" w:type="dxa"/>
            <w:tcBorders>
              <w:top w:val="nil"/>
              <w:left w:val="nil"/>
              <w:bottom w:val="single" w:sz="4" w:space="0" w:color="auto"/>
              <w:right w:val="single" w:sz="4" w:space="0" w:color="auto"/>
            </w:tcBorders>
            <w:shd w:val="clear" w:color="auto" w:fill="auto"/>
            <w:noWrap/>
            <w:hideMark/>
          </w:tcPr>
          <w:p w14:paraId="52DCDD9A" w14:textId="28DCA717"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62,230</w:t>
            </w:r>
          </w:p>
        </w:tc>
        <w:tc>
          <w:tcPr>
            <w:tcW w:w="801" w:type="dxa"/>
            <w:tcBorders>
              <w:top w:val="nil"/>
              <w:left w:val="nil"/>
              <w:bottom w:val="single" w:sz="4" w:space="0" w:color="auto"/>
              <w:right w:val="single" w:sz="4" w:space="0" w:color="auto"/>
            </w:tcBorders>
            <w:shd w:val="clear" w:color="auto" w:fill="auto"/>
            <w:noWrap/>
            <w:hideMark/>
          </w:tcPr>
          <w:p w14:paraId="7E2E35CF" w14:textId="3402D7E0"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62,230</w:t>
            </w:r>
          </w:p>
        </w:tc>
        <w:tc>
          <w:tcPr>
            <w:tcW w:w="943" w:type="dxa"/>
            <w:tcBorders>
              <w:top w:val="nil"/>
              <w:left w:val="nil"/>
              <w:bottom w:val="single" w:sz="4" w:space="0" w:color="auto"/>
              <w:right w:val="single" w:sz="4" w:space="0" w:color="auto"/>
            </w:tcBorders>
            <w:shd w:val="clear" w:color="auto" w:fill="auto"/>
            <w:noWrap/>
            <w:hideMark/>
          </w:tcPr>
          <w:p w14:paraId="4DD3305F" w14:textId="35FDA6D6" w:rsidR="00274DB2" w:rsidRPr="00CF024D" w:rsidRDefault="00274DB2" w:rsidP="00C93150">
            <w:pPr>
              <w:jc w:val="right"/>
              <w:rPr>
                <w:b/>
                <w:color w:val="000000"/>
                <w:sz w:val="18"/>
                <w:szCs w:val="18"/>
                <w:lang w:val="en-CA" w:eastAsia="en-CA"/>
              </w:rPr>
            </w:pPr>
            <w:r w:rsidRPr="00CF024D">
              <w:rPr>
                <w:b/>
                <w:color w:val="000000"/>
                <w:sz w:val="18"/>
                <w:szCs w:val="18"/>
                <w:lang w:val="en-CA" w:eastAsia="en-CA"/>
              </w:rPr>
              <w:t>520,211</w:t>
            </w:r>
          </w:p>
        </w:tc>
      </w:tr>
    </w:tbl>
    <w:p w14:paraId="2CA5E5A6" w14:textId="2C941B87" w:rsidR="0054286D" w:rsidRPr="00CF024D" w:rsidRDefault="0054286D" w:rsidP="0054286D">
      <w:pPr>
        <w:rPr>
          <w:lang w:val="en-CA"/>
        </w:rPr>
      </w:pPr>
    </w:p>
    <w:p w14:paraId="405529B8" w14:textId="710E6F73" w:rsidR="00AB7196" w:rsidRPr="00CF024D" w:rsidRDefault="00274DB2" w:rsidP="00AB7196">
      <w:pPr>
        <w:rPr>
          <w:i/>
          <w:lang w:val="en-CA"/>
        </w:rPr>
      </w:pPr>
      <w:r w:rsidRPr="00CF024D">
        <w:rPr>
          <w:rFonts w:hint="eastAsia"/>
          <w:i/>
          <w:lang w:val="en-CA" w:eastAsia="zh-CN"/>
        </w:rPr>
        <w:t>总成本</w:t>
      </w:r>
      <w:r w:rsidR="00330B96" w:rsidRPr="00CF024D">
        <w:rPr>
          <w:i/>
          <w:lang w:val="en-CA"/>
        </w:rPr>
        <w:t xml:space="preserve"> </w:t>
      </w:r>
    </w:p>
    <w:p w14:paraId="00ED1846" w14:textId="77777777" w:rsidR="00D122A5" w:rsidRPr="00CF024D" w:rsidRDefault="00D122A5" w:rsidP="00D122A5">
      <w:pPr>
        <w:rPr>
          <w:lang w:val="en-CA"/>
        </w:rPr>
      </w:pPr>
    </w:p>
    <w:p w14:paraId="234B3E05" w14:textId="5B2D2257" w:rsidR="00D122A5" w:rsidRPr="00CF024D" w:rsidRDefault="000C2245" w:rsidP="00B6552A">
      <w:pPr>
        <w:pStyle w:val="Heading1"/>
        <w:rPr>
          <w:lang w:val="en-CA" w:eastAsia="zh-CN"/>
        </w:rPr>
      </w:pPr>
      <w:r w:rsidRPr="00CF024D">
        <w:rPr>
          <w:rFonts w:hint="eastAsia"/>
          <w:lang w:val="en-CA" w:eastAsia="zh-CN"/>
        </w:rPr>
        <w:t>除了</w:t>
      </w:r>
      <w:r w:rsidR="0054286D" w:rsidRPr="00CF024D">
        <w:rPr>
          <w:lang w:val="en-CA"/>
        </w:rPr>
        <w:t>1,369,863</w:t>
      </w:r>
      <w:r w:rsidR="00AD23F2" w:rsidRPr="00CF024D">
        <w:rPr>
          <w:rFonts w:hint="eastAsia"/>
          <w:lang w:val="en-CA" w:eastAsia="zh-CN"/>
        </w:rPr>
        <w:t>美元的增量资本成本和</w:t>
      </w:r>
      <w:r w:rsidR="00E30C1D" w:rsidRPr="00CF024D">
        <w:rPr>
          <w:lang w:val="en-CA"/>
        </w:rPr>
        <w:t>2,628,561</w:t>
      </w:r>
      <w:r w:rsidR="00AD23F2" w:rsidRPr="00CF024D">
        <w:rPr>
          <w:rFonts w:hint="eastAsia"/>
          <w:lang w:val="en-CA" w:eastAsia="zh-CN"/>
        </w:rPr>
        <w:t>美元的增量运营成本，工发组织提出项目监测机构费用</w:t>
      </w:r>
      <w:r w:rsidR="00E30C1D" w:rsidRPr="00CF024D">
        <w:rPr>
          <w:lang w:val="en-CA"/>
        </w:rPr>
        <w:t>20,000</w:t>
      </w:r>
      <w:r w:rsidR="00AD23F2" w:rsidRPr="00CF024D">
        <w:rPr>
          <w:rFonts w:hint="eastAsia"/>
          <w:lang w:val="en-CA" w:eastAsia="zh-CN"/>
        </w:rPr>
        <w:t>美元</w:t>
      </w:r>
      <w:r w:rsidR="00AD23F2" w:rsidRPr="00CF024D">
        <w:rPr>
          <w:lang w:val="en-CA"/>
        </w:rPr>
        <w:t>/</w:t>
      </w:r>
      <w:r w:rsidR="00AD23F2" w:rsidRPr="00CF024D">
        <w:rPr>
          <w:rFonts w:hint="eastAsia"/>
          <w:lang w:val="en-CA" w:eastAsia="zh-CN"/>
        </w:rPr>
        <w:t>年以及</w:t>
      </w:r>
      <w:r w:rsidR="00AD23F2" w:rsidRPr="00CF024D">
        <w:rPr>
          <w:rFonts w:hint="eastAsia"/>
          <w:lang w:val="en-CA" w:eastAsia="zh-CN"/>
        </w:rPr>
        <w:t>2022</w:t>
      </w:r>
      <w:r w:rsidR="00AD23F2" w:rsidRPr="00CF024D">
        <w:rPr>
          <w:rFonts w:hint="eastAsia"/>
          <w:lang w:val="en-CA" w:eastAsia="zh-CN"/>
        </w:rPr>
        <w:t>年开始</w:t>
      </w:r>
      <w:r w:rsidR="00AD23F2" w:rsidRPr="00CF024D">
        <w:rPr>
          <w:rFonts w:hint="eastAsia"/>
          <w:lang w:val="en-CA" w:eastAsia="zh-CN"/>
        </w:rPr>
        <w:t>HFC-23</w:t>
      </w:r>
      <w:r w:rsidR="00AD23F2" w:rsidRPr="00CF024D">
        <w:rPr>
          <w:rFonts w:hint="eastAsia"/>
          <w:lang w:val="en-CA" w:eastAsia="zh-CN"/>
        </w:rPr>
        <w:t>销毁的每年独立核查费用</w:t>
      </w:r>
      <w:r w:rsidR="00E30C1D" w:rsidRPr="00CF024D">
        <w:rPr>
          <w:lang w:val="en-CA"/>
        </w:rPr>
        <w:t>20,000</w:t>
      </w:r>
      <w:r w:rsidR="00AD23F2" w:rsidRPr="00CF024D">
        <w:rPr>
          <w:rFonts w:hint="eastAsia"/>
          <w:lang w:val="en-CA" w:eastAsia="zh-CN"/>
        </w:rPr>
        <w:t>美元，使得</w:t>
      </w:r>
      <w:r w:rsidR="00C31ECB" w:rsidRPr="00CF024D">
        <w:rPr>
          <w:lang w:val="en-CA" w:eastAsia="zh-CN"/>
        </w:rPr>
        <w:t>备选方案</w:t>
      </w:r>
      <w:r w:rsidR="00AD23F2" w:rsidRPr="00CF024D">
        <w:rPr>
          <w:rFonts w:hint="eastAsia"/>
          <w:lang w:val="en-CA" w:eastAsia="zh-CN"/>
        </w:rPr>
        <w:t>2</w:t>
      </w:r>
      <w:r w:rsidR="00AD23F2" w:rsidRPr="00CF024D">
        <w:rPr>
          <w:rFonts w:hint="eastAsia"/>
          <w:lang w:val="en-CA" w:eastAsia="zh-CN"/>
        </w:rPr>
        <w:t>的成本达到</w:t>
      </w:r>
      <w:r w:rsidR="00144AD9" w:rsidRPr="00CF024D">
        <w:rPr>
          <w:lang w:val="en-CA"/>
        </w:rPr>
        <w:t>4,338,424</w:t>
      </w:r>
      <w:r w:rsidR="00AD23F2" w:rsidRPr="00CF024D">
        <w:rPr>
          <w:rFonts w:hint="eastAsia"/>
          <w:lang w:val="en-CA" w:eastAsia="zh-CN"/>
        </w:rPr>
        <w:t>美元。</w:t>
      </w:r>
      <w:r w:rsidR="0044457A" w:rsidRPr="00CF024D">
        <w:rPr>
          <w:rFonts w:hint="eastAsia"/>
          <w:lang w:val="en-CA" w:eastAsia="zh-CN"/>
        </w:rPr>
        <w:t>此外，工发组织认为重启焚化炉的成本也应包含</w:t>
      </w:r>
      <w:r w:rsidR="0044457A" w:rsidRPr="00CF024D">
        <w:rPr>
          <w:rFonts w:hint="eastAsia"/>
          <w:lang w:val="en-CA" w:eastAsia="zh-CN"/>
        </w:rPr>
        <w:t>2025</w:t>
      </w:r>
      <w:r w:rsidR="0044457A" w:rsidRPr="00CF024D">
        <w:rPr>
          <w:rFonts w:hint="eastAsia"/>
          <w:lang w:val="en-CA" w:eastAsia="zh-CN"/>
        </w:rPr>
        <w:t>年至</w:t>
      </w:r>
      <w:r w:rsidR="0044457A" w:rsidRPr="00CF024D">
        <w:rPr>
          <w:rFonts w:hint="eastAsia"/>
          <w:lang w:val="en-CA" w:eastAsia="zh-CN"/>
        </w:rPr>
        <w:t>2029</w:t>
      </w:r>
      <w:r w:rsidR="0044457A" w:rsidRPr="00CF024D">
        <w:rPr>
          <w:rFonts w:hint="eastAsia"/>
          <w:lang w:val="en-CA" w:eastAsia="zh-CN"/>
        </w:rPr>
        <w:t>年《蒙特利尔议定书》项下要求减产带来的利润损失；这些利润损失未做具体说明。</w:t>
      </w:r>
      <w:r w:rsidR="00E30C1D" w:rsidRPr="00CF024D">
        <w:rPr>
          <w:lang w:val="en-CA" w:eastAsia="zh-CN"/>
        </w:rPr>
        <w:t xml:space="preserve"> </w:t>
      </w:r>
    </w:p>
    <w:p w14:paraId="034EA463" w14:textId="12FD41DD" w:rsidR="0008667E" w:rsidRPr="00CF024D" w:rsidRDefault="003E7333" w:rsidP="00452D3F">
      <w:pPr>
        <w:pStyle w:val="Heading1"/>
        <w:rPr>
          <w:lang w:val="en-CA"/>
        </w:rPr>
      </w:pPr>
      <w:r w:rsidRPr="00CF024D">
        <w:rPr>
          <w:rFonts w:hint="eastAsia"/>
          <w:lang w:val="en-CA" w:eastAsia="zh-CN"/>
        </w:rPr>
        <w:t>秘书处评估</w:t>
      </w:r>
      <w:r w:rsidR="00C31ECB" w:rsidRPr="00CF024D">
        <w:rPr>
          <w:lang w:val="en-CA" w:eastAsia="zh-CN"/>
        </w:rPr>
        <w:t>备选方案</w:t>
      </w:r>
      <w:r w:rsidRPr="00CF024D">
        <w:rPr>
          <w:rFonts w:hint="eastAsia"/>
          <w:lang w:val="en-CA" w:eastAsia="zh-CN"/>
        </w:rPr>
        <w:t>2</w:t>
      </w:r>
      <w:r w:rsidRPr="00CF024D">
        <w:rPr>
          <w:rFonts w:hint="eastAsia"/>
          <w:lang w:val="en-CA" w:eastAsia="zh-CN"/>
        </w:rPr>
        <w:t>的总成本为</w:t>
      </w:r>
      <w:r w:rsidR="0008667E" w:rsidRPr="00CF024D">
        <w:rPr>
          <w:lang w:val="en-CA" w:eastAsia="es-AR"/>
        </w:rPr>
        <w:t>1,265,128</w:t>
      </w:r>
      <w:r w:rsidRPr="00CF024D">
        <w:rPr>
          <w:rFonts w:hint="eastAsia"/>
          <w:lang w:val="en-CA" w:eastAsia="zh-CN"/>
        </w:rPr>
        <w:t>美元的增量资本成本和</w:t>
      </w:r>
      <w:r w:rsidR="0008667E" w:rsidRPr="00CF024D">
        <w:rPr>
          <w:lang w:val="en-CA"/>
        </w:rPr>
        <w:t xml:space="preserve"> 520,211</w:t>
      </w:r>
      <w:r w:rsidRPr="00CF024D">
        <w:rPr>
          <w:rFonts w:hint="eastAsia"/>
          <w:lang w:val="en-CA" w:eastAsia="zh-CN"/>
        </w:rPr>
        <w:t>美元的增量运营成本；</w:t>
      </w:r>
      <w:r w:rsidR="00AC4326" w:rsidRPr="00CF024D">
        <w:rPr>
          <w:rFonts w:hint="eastAsia"/>
          <w:lang w:val="en-CA" w:eastAsia="zh-CN"/>
        </w:rPr>
        <w:t>加上</w:t>
      </w:r>
      <w:r w:rsidR="00AC4326" w:rsidRPr="00CF024D">
        <w:rPr>
          <w:rFonts w:hint="eastAsia"/>
          <w:lang w:val="en-CA" w:eastAsia="zh-CN"/>
        </w:rPr>
        <w:t>2022</w:t>
      </w:r>
      <w:r w:rsidR="00AC4326" w:rsidRPr="00CF024D">
        <w:rPr>
          <w:rFonts w:hint="eastAsia"/>
          <w:lang w:val="en-CA" w:eastAsia="zh-CN"/>
        </w:rPr>
        <w:t>年开始的</w:t>
      </w:r>
      <w:r w:rsidR="0008667E" w:rsidRPr="00CF024D">
        <w:rPr>
          <w:lang w:val="en-CA"/>
        </w:rPr>
        <w:t>20,000</w:t>
      </w:r>
      <w:r w:rsidR="00AC4326" w:rsidRPr="00CF024D">
        <w:rPr>
          <w:rFonts w:hint="eastAsia"/>
          <w:lang w:val="en-CA" w:eastAsia="zh-CN"/>
        </w:rPr>
        <w:t>美元</w:t>
      </w:r>
      <w:r w:rsidR="0008667E" w:rsidRPr="00CF024D">
        <w:rPr>
          <w:lang w:val="en-CA"/>
        </w:rPr>
        <w:t>/</w:t>
      </w:r>
      <w:r w:rsidR="00AC4326" w:rsidRPr="00CF024D">
        <w:rPr>
          <w:rFonts w:hint="eastAsia"/>
          <w:lang w:val="en-CA" w:eastAsia="zh-CN"/>
        </w:rPr>
        <w:t>年的独立核查费用，总成本将达</w:t>
      </w:r>
      <w:r w:rsidR="0008667E" w:rsidRPr="00CF024D">
        <w:rPr>
          <w:lang w:val="en-CA"/>
        </w:rPr>
        <w:t>1,945,339</w:t>
      </w:r>
      <w:r w:rsidR="00AC4326" w:rsidRPr="00CF024D">
        <w:rPr>
          <w:rFonts w:hint="eastAsia"/>
          <w:lang w:val="en-CA" w:eastAsia="zh-CN"/>
        </w:rPr>
        <w:t>美元，注意到关于产生和销毁的副产品</w:t>
      </w:r>
      <w:r w:rsidR="00AC4326" w:rsidRPr="00CF024D">
        <w:rPr>
          <w:rFonts w:hint="eastAsia"/>
          <w:lang w:val="en-CA" w:eastAsia="zh-CN"/>
        </w:rPr>
        <w:t>HFC-23</w:t>
      </w:r>
      <w:r w:rsidR="00AC4326" w:rsidRPr="00CF024D">
        <w:rPr>
          <w:rFonts w:hint="eastAsia"/>
          <w:lang w:val="en-CA" w:eastAsia="zh-CN"/>
        </w:rPr>
        <w:t>的年度独立核查费用是应当包含在机构支助费用中还是列入项目成本，秘书处已向执行委员会寻求指导。</w:t>
      </w:r>
      <w:r w:rsidR="00236DCF" w:rsidRPr="00CF024D">
        <w:rPr>
          <w:rFonts w:hint="eastAsia"/>
          <w:lang w:val="en-CA" w:eastAsia="zh-CN"/>
        </w:rPr>
        <w:t>此外，谨建议执行委员会</w:t>
      </w:r>
      <w:r w:rsidR="003A1E15" w:rsidRPr="00CF024D">
        <w:rPr>
          <w:rFonts w:hint="eastAsia"/>
          <w:lang w:val="en-CA" w:eastAsia="zh-CN"/>
        </w:rPr>
        <w:t>就该项目的项目监测机构资格给予指导，注意到墨西哥控制副产品</w:t>
      </w:r>
      <w:r w:rsidR="003A1E15" w:rsidRPr="00CF024D">
        <w:rPr>
          <w:rFonts w:hint="eastAsia"/>
          <w:lang w:val="en-CA" w:eastAsia="zh-CN"/>
        </w:rPr>
        <w:t>HFC-23</w:t>
      </w:r>
      <w:r w:rsidR="003A1E15" w:rsidRPr="00CF024D">
        <w:rPr>
          <w:rFonts w:hint="eastAsia"/>
          <w:lang w:val="en-CA" w:eastAsia="zh-CN"/>
        </w:rPr>
        <w:t>的项目并未要求有项目监测机构</w:t>
      </w:r>
      <w:r w:rsidR="003A1E15" w:rsidRPr="00CF024D">
        <w:rPr>
          <w:rStyle w:val="FootnoteReference"/>
          <w:lang w:val="en-CA"/>
        </w:rPr>
        <w:footnoteReference w:id="13"/>
      </w:r>
      <w:r w:rsidR="003A1E15" w:rsidRPr="00CF024D">
        <w:rPr>
          <w:rFonts w:hint="eastAsia"/>
          <w:lang w:val="en-CA" w:eastAsia="zh-CN"/>
        </w:rPr>
        <w:t>。</w:t>
      </w:r>
      <w:r w:rsidR="00F424B3" w:rsidRPr="00CF024D">
        <w:rPr>
          <w:rFonts w:hint="eastAsia"/>
          <w:lang w:val="en-CA" w:eastAsia="zh-CN"/>
        </w:rPr>
        <w:t>如上所述，秘书处认为企业的利润损失为零。此外，</w:t>
      </w:r>
      <w:r w:rsidR="00FE054E" w:rsidRPr="00CF024D">
        <w:rPr>
          <w:rFonts w:hint="eastAsia"/>
          <w:lang w:val="en-CA" w:eastAsia="zh-CN"/>
        </w:rPr>
        <w:t>尽管执行委员会决定</w:t>
      </w:r>
      <w:r w:rsidR="00464DAA" w:rsidRPr="00CF024D">
        <w:rPr>
          <w:rFonts w:hint="eastAsia"/>
          <w:lang w:val="en-CA" w:eastAsia="zh-CN"/>
        </w:rPr>
        <w:t>考虑可能的具成本效益的选项补偿</w:t>
      </w:r>
      <w:r w:rsidR="00464DAA" w:rsidRPr="00CF024D">
        <w:rPr>
          <w:rFonts w:hint="eastAsia"/>
          <w:lang w:val="en-CA" w:eastAsia="zh-CN"/>
        </w:rPr>
        <w:t>HCFC-22</w:t>
      </w:r>
      <w:r w:rsidR="00464DAA" w:rsidRPr="00CF024D">
        <w:rPr>
          <w:rFonts w:hint="eastAsia"/>
          <w:lang w:val="en-CA" w:eastAsia="zh-CN"/>
        </w:rPr>
        <w:t>周期生产工厂，</w:t>
      </w:r>
      <w:r w:rsidR="007D2451" w:rsidRPr="00CF024D">
        <w:rPr>
          <w:rFonts w:hint="eastAsia"/>
          <w:lang w:val="en-CA" w:eastAsia="zh-CN"/>
        </w:rPr>
        <w:t>使其能够履行</w:t>
      </w:r>
      <w:r w:rsidR="00464DAA" w:rsidRPr="00CF024D">
        <w:rPr>
          <w:rFonts w:hint="eastAsia"/>
          <w:lang w:val="en-CA" w:eastAsia="zh-CN"/>
        </w:rPr>
        <w:t>《基加利修正案》</w:t>
      </w:r>
      <w:r w:rsidR="007D2451" w:rsidRPr="00CF024D">
        <w:rPr>
          <w:rFonts w:hint="eastAsia"/>
          <w:lang w:val="en-CA" w:eastAsia="zh-CN"/>
        </w:rPr>
        <w:t>中副产品</w:t>
      </w:r>
      <w:r w:rsidR="007D2451" w:rsidRPr="00CF024D">
        <w:rPr>
          <w:rFonts w:hint="eastAsia"/>
          <w:lang w:val="en-CA" w:eastAsia="zh-CN"/>
        </w:rPr>
        <w:t>HFC-23</w:t>
      </w:r>
      <w:r w:rsidR="007D2451" w:rsidRPr="00CF024D">
        <w:rPr>
          <w:rFonts w:hint="eastAsia"/>
          <w:lang w:val="en-CA" w:eastAsia="zh-CN"/>
        </w:rPr>
        <w:t>的控制义务（第</w:t>
      </w:r>
      <w:r w:rsidR="007D2451" w:rsidRPr="00CF024D">
        <w:rPr>
          <w:lang w:val="en-CA" w:eastAsia="zh-CN"/>
        </w:rPr>
        <w:t>79/47(c)</w:t>
      </w:r>
      <w:r w:rsidR="007D2451" w:rsidRPr="00CF024D">
        <w:rPr>
          <w:rFonts w:hint="eastAsia"/>
          <w:lang w:val="en-CA" w:eastAsia="zh-CN"/>
        </w:rPr>
        <w:t>号决定），委员会并未决定周期生产工厂在氟氯烃生产淘汰中具有接受资助的资格。</w:t>
      </w:r>
      <w:r w:rsidR="004A6BD1" w:rsidRPr="00CF024D">
        <w:rPr>
          <w:rFonts w:hint="eastAsia"/>
          <w:lang w:val="en-CA" w:eastAsia="zh-CN"/>
        </w:rPr>
        <w:t>相应</w:t>
      </w:r>
      <w:r w:rsidR="004A6BD1" w:rsidRPr="00CF024D">
        <w:rPr>
          <w:rFonts w:hint="eastAsia"/>
          <w:lang w:val="en-CA" w:eastAsia="zh-CN"/>
        </w:rPr>
        <w:lastRenderedPageBreak/>
        <w:t>地，秘书处并未将</w:t>
      </w:r>
      <w:r w:rsidR="004A6BD1" w:rsidRPr="00CF024D">
        <w:rPr>
          <w:rFonts w:hint="eastAsia"/>
          <w:lang w:val="en-CA" w:eastAsia="zh-CN"/>
        </w:rPr>
        <w:t>2025</w:t>
      </w:r>
      <w:r w:rsidR="004A6BD1" w:rsidRPr="00CF024D">
        <w:rPr>
          <w:rFonts w:hint="eastAsia"/>
          <w:lang w:val="en-CA" w:eastAsia="zh-CN"/>
        </w:rPr>
        <w:t>年至</w:t>
      </w:r>
      <w:r w:rsidR="004A6BD1" w:rsidRPr="00CF024D">
        <w:rPr>
          <w:rFonts w:hint="eastAsia"/>
          <w:lang w:val="en-CA" w:eastAsia="zh-CN"/>
        </w:rPr>
        <w:t>2029</w:t>
      </w:r>
      <w:r w:rsidR="004A6BD1" w:rsidRPr="00CF024D">
        <w:rPr>
          <w:rFonts w:hint="eastAsia"/>
          <w:lang w:val="en-CA" w:eastAsia="zh-CN"/>
        </w:rPr>
        <w:t>年《蒙特利尔议定书》项下要求减产带来的任何利润损失包括在内。</w:t>
      </w:r>
    </w:p>
    <w:p w14:paraId="615104EF" w14:textId="11958C10" w:rsidR="004B7807" w:rsidRPr="00CF024D" w:rsidRDefault="008F63AE" w:rsidP="00F37D55">
      <w:pPr>
        <w:pStyle w:val="Heading1"/>
        <w:keepNext/>
        <w:keepLines/>
        <w:numPr>
          <w:ilvl w:val="0"/>
          <w:numId w:val="0"/>
        </w:numPr>
        <w:rPr>
          <w:b/>
          <w:lang w:val="en-CA"/>
        </w:rPr>
      </w:pPr>
      <w:r w:rsidRPr="00CF024D">
        <w:rPr>
          <w:rFonts w:hint="eastAsia"/>
          <w:b/>
          <w:lang w:val="en-CA" w:eastAsia="zh-CN"/>
        </w:rPr>
        <w:t>阿根廷政府的</w:t>
      </w:r>
      <w:r w:rsidR="009867BC" w:rsidRPr="00CF024D">
        <w:rPr>
          <w:rFonts w:hint="eastAsia"/>
          <w:b/>
          <w:lang w:val="en-CA" w:eastAsia="zh-CN"/>
        </w:rPr>
        <w:t>观点</w:t>
      </w:r>
    </w:p>
    <w:p w14:paraId="79AC74D7" w14:textId="29A6F522" w:rsidR="006A7BA7" w:rsidRPr="00CF024D" w:rsidRDefault="00C31ECB" w:rsidP="00F37D55">
      <w:pPr>
        <w:keepNext/>
        <w:keepLines/>
        <w:rPr>
          <w:u w:val="single"/>
          <w:lang w:val="en-CA" w:eastAsia="zh-CN"/>
        </w:rPr>
      </w:pPr>
      <w:r w:rsidRPr="00CF024D">
        <w:rPr>
          <w:u w:val="single"/>
          <w:lang w:val="en-CA" w:eastAsia="zh-CN"/>
        </w:rPr>
        <w:t>备选方案</w:t>
      </w:r>
      <w:r w:rsidR="006A7BA7" w:rsidRPr="00CF024D">
        <w:rPr>
          <w:u w:val="single"/>
          <w:lang w:val="en-CA"/>
        </w:rPr>
        <w:t>1</w:t>
      </w:r>
      <w:r w:rsidR="00A135E7" w:rsidRPr="00CF024D">
        <w:rPr>
          <w:rFonts w:hint="eastAsia"/>
          <w:u w:val="single"/>
          <w:lang w:val="en-CA" w:eastAsia="zh-CN"/>
        </w:rPr>
        <w:t>：关闭</w:t>
      </w:r>
      <w:r w:rsidR="006B478E" w:rsidRPr="00CF024D">
        <w:rPr>
          <w:u w:val="single"/>
          <w:lang w:val="en-CA"/>
        </w:rPr>
        <w:t>FIASA</w:t>
      </w:r>
      <w:proofErr w:type="spellStart"/>
      <w:r w:rsidR="006B478E" w:rsidRPr="00CF024D">
        <w:rPr>
          <w:u w:val="single"/>
          <w:lang w:val="en-CA"/>
        </w:rPr>
        <w:t>工厂</w:t>
      </w:r>
      <w:proofErr w:type="spellEnd"/>
      <w:r w:rsidR="00A135E7" w:rsidRPr="00CF024D">
        <w:rPr>
          <w:rFonts w:hint="eastAsia"/>
          <w:u w:val="single"/>
          <w:lang w:val="en-CA" w:eastAsia="zh-CN"/>
        </w:rPr>
        <w:t>的</w:t>
      </w:r>
      <w:r w:rsidR="00A135E7" w:rsidRPr="00CF024D">
        <w:rPr>
          <w:rFonts w:hint="eastAsia"/>
          <w:u w:val="single"/>
          <w:lang w:val="en-CA" w:eastAsia="zh-CN"/>
        </w:rPr>
        <w:t>HCFC-22</w:t>
      </w:r>
      <w:r w:rsidR="00A135E7" w:rsidRPr="00CF024D">
        <w:rPr>
          <w:rFonts w:hint="eastAsia"/>
          <w:u w:val="single"/>
          <w:lang w:val="en-CA" w:eastAsia="zh-CN"/>
        </w:rPr>
        <w:t>生产</w:t>
      </w:r>
    </w:p>
    <w:p w14:paraId="52711D47" w14:textId="3A62D2ED" w:rsidR="006A7BA7" w:rsidRPr="00CF024D" w:rsidRDefault="006A7BA7" w:rsidP="00F37D55">
      <w:pPr>
        <w:keepNext/>
        <w:keepLines/>
        <w:rPr>
          <w:lang w:val="en-CA"/>
        </w:rPr>
      </w:pPr>
    </w:p>
    <w:p w14:paraId="1308D19B" w14:textId="7D015F17" w:rsidR="00BD7F59" w:rsidRPr="00CF024D" w:rsidRDefault="00065DC3" w:rsidP="00F37D55">
      <w:pPr>
        <w:pStyle w:val="Heading1"/>
        <w:keepNext/>
        <w:keepLines/>
        <w:widowControl w:val="0"/>
        <w:rPr>
          <w:lang w:val="en-CA" w:eastAsia="zh-CN"/>
        </w:rPr>
      </w:pPr>
      <w:r w:rsidRPr="00CF024D">
        <w:rPr>
          <w:rFonts w:hint="eastAsia"/>
          <w:lang w:val="en-CA" w:eastAsia="zh-CN"/>
        </w:rPr>
        <w:t>阿根廷政府不同意秘书处和独立顾问的评估（表</w:t>
      </w:r>
      <w:r w:rsidRPr="00CF024D">
        <w:rPr>
          <w:rFonts w:hint="eastAsia"/>
          <w:lang w:val="en-CA" w:eastAsia="zh-CN"/>
        </w:rPr>
        <w:t>3</w:t>
      </w:r>
      <w:r w:rsidRPr="00CF024D">
        <w:rPr>
          <w:rFonts w:hint="eastAsia"/>
          <w:lang w:val="en-CA" w:eastAsia="zh-CN"/>
        </w:rPr>
        <w:t>）；</w:t>
      </w:r>
      <w:r w:rsidR="001C2CBE" w:rsidRPr="00CF024D">
        <w:rPr>
          <w:rFonts w:hint="eastAsia"/>
          <w:lang w:val="en-CA" w:eastAsia="zh-CN"/>
        </w:rPr>
        <w:t>认为</w:t>
      </w:r>
      <w:r w:rsidR="006B478E" w:rsidRPr="00CF024D">
        <w:rPr>
          <w:lang w:val="en-CA" w:eastAsia="zh-CN"/>
        </w:rPr>
        <w:t>FIASA</w:t>
      </w:r>
      <w:r w:rsidR="006B478E" w:rsidRPr="00CF024D">
        <w:rPr>
          <w:lang w:val="en-CA" w:eastAsia="zh-CN"/>
        </w:rPr>
        <w:t>工厂</w:t>
      </w:r>
      <w:r w:rsidR="001C2CBE" w:rsidRPr="00CF024D">
        <w:rPr>
          <w:rFonts w:hint="eastAsia"/>
          <w:lang w:val="en-CA" w:eastAsia="zh-CN"/>
        </w:rPr>
        <w:t>的</w:t>
      </w:r>
      <w:r w:rsidR="001C2CBE" w:rsidRPr="00CF024D">
        <w:rPr>
          <w:rFonts w:hint="eastAsia"/>
          <w:lang w:val="en-CA" w:eastAsia="zh-CN"/>
        </w:rPr>
        <w:t>HCFC-22</w:t>
      </w:r>
      <w:r w:rsidR="001C2CBE" w:rsidRPr="00CF024D">
        <w:rPr>
          <w:rFonts w:hint="eastAsia"/>
          <w:lang w:val="en-CA" w:eastAsia="zh-CN"/>
        </w:rPr>
        <w:t>生产是盈利的并将继续盈利，因此对生产关闭的补偿最少应为</w:t>
      </w:r>
      <w:r w:rsidR="001C2CBE" w:rsidRPr="00CF024D">
        <w:rPr>
          <w:rFonts w:hint="eastAsia"/>
          <w:lang w:val="en-CA" w:eastAsia="zh-CN"/>
        </w:rPr>
        <w:t>600</w:t>
      </w:r>
      <w:r w:rsidR="001C2CBE" w:rsidRPr="00CF024D">
        <w:rPr>
          <w:rFonts w:hint="eastAsia"/>
          <w:lang w:val="en-CA" w:eastAsia="zh-CN"/>
        </w:rPr>
        <w:t>万美元。如果无法就关闭</w:t>
      </w:r>
      <w:r w:rsidR="001C2CBE" w:rsidRPr="00CF024D">
        <w:rPr>
          <w:rFonts w:hint="eastAsia"/>
          <w:lang w:val="en-CA" w:eastAsia="zh-CN"/>
        </w:rPr>
        <w:t>FIASA</w:t>
      </w:r>
      <w:r w:rsidR="001C2CBE" w:rsidRPr="00CF024D">
        <w:rPr>
          <w:rFonts w:hint="eastAsia"/>
          <w:lang w:val="en-CA" w:eastAsia="zh-CN"/>
        </w:rPr>
        <w:t>取得共识，</w:t>
      </w:r>
      <w:r w:rsidR="001C2CBE" w:rsidRPr="00CF024D">
        <w:rPr>
          <w:rFonts w:hint="eastAsia"/>
          <w:lang w:val="en-CA" w:eastAsia="zh-CN"/>
        </w:rPr>
        <w:t>FIASA</w:t>
      </w:r>
      <w:r w:rsidR="001C2CBE" w:rsidRPr="00CF024D">
        <w:rPr>
          <w:rFonts w:hint="eastAsia"/>
          <w:lang w:val="en-CA" w:eastAsia="zh-CN"/>
        </w:rPr>
        <w:t>将继续生产</w:t>
      </w:r>
      <w:r w:rsidR="001C2CBE" w:rsidRPr="00CF024D">
        <w:rPr>
          <w:rFonts w:hint="eastAsia"/>
          <w:lang w:val="en-CA" w:eastAsia="zh-CN"/>
        </w:rPr>
        <w:t>HCFC-22</w:t>
      </w:r>
      <w:r w:rsidR="001C2CBE" w:rsidRPr="00CF024D">
        <w:rPr>
          <w:rFonts w:hint="eastAsia"/>
          <w:lang w:val="en-CA" w:eastAsia="zh-CN"/>
        </w:rPr>
        <w:t>，并且只有在控制副产品排放的项目得到多边基金资助的情况下才会开始</w:t>
      </w:r>
      <w:r w:rsidR="00BE2759" w:rsidRPr="00CF024D">
        <w:rPr>
          <w:rFonts w:hint="eastAsia"/>
          <w:lang w:val="en-CA" w:eastAsia="zh-CN"/>
        </w:rPr>
        <w:t>控制</w:t>
      </w:r>
      <w:r w:rsidR="001C2CBE" w:rsidRPr="00CF024D">
        <w:rPr>
          <w:rFonts w:hint="eastAsia"/>
          <w:lang w:val="en-CA" w:eastAsia="zh-CN"/>
        </w:rPr>
        <w:t>副产品</w:t>
      </w:r>
      <w:r w:rsidR="001C2CBE" w:rsidRPr="00CF024D">
        <w:rPr>
          <w:rFonts w:hint="eastAsia"/>
          <w:lang w:val="en-CA" w:eastAsia="zh-CN"/>
        </w:rPr>
        <w:t>HFC-23</w:t>
      </w:r>
      <w:r w:rsidR="00BE2759" w:rsidRPr="00CF024D">
        <w:rPr>
          <w:rFonts w:hint="eastAsia"/>
          <w:lang w:val="en-CA" w:eastAsia="zh-CN"/>
        </w:rPr>
        <w:t>的</w:t>
      </w:r>
      <w:r w:rsidR="001C2CBE" w:rsidRPr="00CF024D">
        <w:rPr>
          <w:rFonts w:hint="eastAsia"/>
          <w:lang w:val="en-CA" w:eastAsia="zh-CN"/>
        </w:rPr>
        <w:t>排放。</w:t>
      </w:r>
    </w:p>
    <w:p w14:paraId="2A39E831" w14:textId="63E1404B" w:rsidR="00BD7F59" w:rsidRPr="00CF024D" w:rsidRDefault="00444AEC" w:rsidP="00BD7F59">
      <w:pPr>
        <w:rPr>
          <w:b/>
          <w:lang w:val="en-CA"/>
        </w:rPr>
      </w:pPr>
      <w:r w:rsidRPr="00CF024D">
        <w:rPr>
          <w:rFonts w:hint="eastAsia"/>
          <w:b/>
          <w:lang w:val="en-CA" w:eastAsia="zh-CN"/>
        </w:rPr>
        <w:t>表</w:t>
      </w:r>
      <w:r w:rsidR="00BD7F59" w:rsidRPr="00CF024D">
        <w:rPr>
          <w:b/>
          <w:lang w:val="en-CA"/>
        </w:rPr>
        <w:t xml:space="preserve">3. </w:t>
      </w:r>
      <w:r w:rsidRPr="00CF024D">
        <w:rPr>
          <w:rFonts w:hint="eastAsia"/>
          <w:b/>
          <w:lang w:val="en-CA" w:eastAsia="zh-CN"/>
        </w:rPr>
        <w:t>阿根廷政府的观点以及秘书处的意见</w:t>
      </w:r>
      <w:r w:rsidR="008A4CE3" w:rsidRPr="00CF024D">
        <w:rPr>
          <w:rStyle w:val="FootnoteReference"/>
          <w:b/>
          <w:lang w:val="en-CA"/>
        </w:rPr>
        <w:footnoteReference w:id="14"/>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675"/>
        <w:gridCol w:w="4675"/>
      </w:tblGrid>
      <w:tr w:rsidR="00D6695B" w:rsidRPr="00CF024D" w14:paraId="1A7A01E0" w14:textId="77777777" w:rsidTr="00DF7628">
        <w:trPr>
          <w:trHeight w:val="197"/>
          <w:tblHeader/>
        </w:trPr>
        <w:tc>
          <w:tcPr>
            <w:tcW w:w="4675" w:type="dxa"/>
            <w:vAlign w:val="center"/>
          </w:tcPr>
          <w:p w14:paraId="29748C63" w14:textId="00B43D61" w:rsidR="00D6695B" w:rsidRPr="00CF024D" w:rsidRDefault="00444AEC" w:rsidP="00D6695B">
            <w:pPr>
              <w:jc w:val="center"/>
              <w:rPr>
                <w:b/>
                <w:sz w:val="19"/>
                <w:szCs w:val="19"/>
                <w:lang w:val="en-CA"/>
              </w:rPr>
            </w:pPr>
            <w:proofErr w:type="spellStart"/>
            <w:r w:rsidRPr="00CF024D">
              <w:rPr>
                <w:rFonts w:hint="eastAsia"/>
                <w:b/>
                <w:sz w:val="19"/>
                <w:szCs w:val="19"/>
                <w:lang w:val="en-CA"/>
              </w:rPr>
              <w:t>阿根廷政府</w:t>
            </w:r>
            <w:proofErr w:type="spellEnd"/>
          </w:p>
        </w:tc>
        <w:tc>
          <w:tcPr>
            <w:tcW w:w="4675" w:type="dxa"/>
            <w:vAlign w:val="center"/>
          </w:tcPr>
          <w:p w14:paraId="773A8129" w14:textId="225C39D1" w:rsidR="00D6695B" w:rsidRPr="00CF024D" w:rsidRDefault="00444AEC" w:rsidP="00D6695B">
            <w:pPr>
              <w:jc w:val="center"/>
              <w:rPr>
                <w:b/>
                <w:sz w:val="19"/>
                <w:szCs w:val="19"/>
                <w:lang w:val="en-CA"/>
              </w:rPr>
            </w:pPr>
            <w:proofErr w:type="spellStart"/>
            <w:r w:rsidRPr="00CF024D">
              <w:rPr>
                <w:rFonts w:hint="eastAsia"/>
                <w:b/>
                <w:sz w:val="19"/>
                <w:szCs w:val="19"/>
                <w:lang w:val="en-CA"/>
              </w:rPr>
              <w:t>秘书处</w:t>
            </w:r>
            <w:proofErr w:type="spellEnd"/>
          </w:p>
        </w:tc>
      </w:tr>
      <w:tr w:rsidR="00D6695B" w:rsidRPr="00CF024D" w14:paraId="08E8DD7C" w14:textId="77777777" w:rsidTr="00DF7628">
        <w:tc>
          <w:tcPr>
            <w:tcW w:w="4675" w:type="dxa"/>
          </w:tcPr>
          <w:p w14:paraId="55A6AB24" w14:textId="279E7457" w:rsidR="00D6695B" w:rsidRPr="00CF024D" w:rsidRDefault="0006322E" w:rsidP="00B07F0D">
            <w:pPr>
              <w:rPr>
                <w:sz w:val="19"/>
                <w:szCs w:val="19"/>
                <w:lang w:val="en-CA" w:eastAsia="zh-CN"/>
              </w:rPr>
            </w:pPr>
            <w:r w:rsidRPr="00CF024D">
              <w:rPr>
                <w:rFonts w:hint="eastAsia"/>
                <w:sz w:val="19"/>
                <w:szCs w:val="19"/>
                <w:lang w:val="en-CA" w:eastAsia="zh-CN"/>
              </w:rPr>
              <w:t>独立顾问对</w:t>
            </w:r>
            <w:r w:rsidRPr="00CF024D">
              <w:rPr>
                <w:rFonts w:hint="eastAsia"/>
                <w:sz w:val="19"/>
                <w:szCs w:val="19"/>
                <w:lang w:val="en-CA" w:eastAsia="zh-CN"/>
              </w:rPr>
              <w:t>FIASA</w:t>
            </w:r>
            <w:r w:rsidRPr="00CF024D">
              <w:rPr>
                <w:rFonts w:hint="eastAsia"/>
                <w:sz w:val="19"/>
                <w:szCs w:val="19"/>
                <w:lang w:val="en-CA" w:eastAsia="zh-CN"/>
              </w:rPr>
              <w:t>开展的更新技术审计是基于</w:t>
            </w:r>
            <w:r w:rsidRPr="00CF024D">
              <w:rPr>
                <w:rFonts w:hint="eastAsia"/>
                <w:sz w:val="19"/>
                <w:szCs w:val="19"/>
                <w:lang w:val="en-CA" w:eastAsia="zh-CN"/>
              </w:rPr>
              <w:t>HCFC-22</w:t>
            </w:r>
            <w:r w:rsidRPr="00CF024D">
              <w:rPr>
                <w:rFonts w:hint="eastAsia"/>
                <w:sz w:val="19"/>
                <w:szCs w:val="19"/>
                <w:lang w:val="en-CA" w:eastAsia="zh-CN"/>
              </w:rPr>
              <w:t>的未来销售预测。尤其是只用了过去</w:t>
            </w:r>
            <w:r w:rsidRPr="00CF024D">
              <w:rPr>
                <w:rFonts w:hint="eastAsia"/>
                <w:sz w:val="19"/>
                <w:szCs w:val="19"/>
                <w:lang w:val="en-CA" w:eastAsia="zh-CN"/>
              </w:rPr>
              <w:t>6</w:t>
            </w:r>
            <w:r w:rsidRPr="00CF024D">
              <w:rPr>
                <w:rFonts w:hint="eastAsia"/>
                <w:sz w:val="19"/>
                <w:szCs w:val="19"/>
                <w:lang w:val="en-CA" w:eastAsia="zh-CN"/>
              </w:rPr>
              <w:t>年的数据来预测销售的下滑；然而，如果采用更长时期的数据（即</w:t>
            </w:r>
            <w:r w:rsidRPr="00CF024D">
              <w:rPr>
                <w:rFonts w:hint="eastAsia"/>
                <w:sz w:val="19"/>
                <w:szCs w:val="19"/>
                <w:lang w:val="en-CA" w:eastAsia="zh-CN"/>
              </w:rPr>
              <w:t>16</w:t>
            </w:r>
            <w:r w:rsidRPr="00CF024D">
              <w:rPr>
                <w:rFonts w:hint="eastAsia"/>
                <w:sz w:val="19"/>
                <w:szCs w:val="19"/>
                <w:lang w:val="en-CA" w:eastAsia="zh-CN"/>
              </w:rPr>
              <w:t>年），</w:t>
            </w:r>
            <w:r w:rsidR="00B07F0D" w:rsidRPr="00CF024D">
              <w:rPr>
                <w:rFonts w:hint="eastAsia"/>
                <w:sz w:val="19"/>
                <w:szCs w:val="19"/>
                <w:lang w:val="en-CA" w:eastAsia="zh-CN"/>
              </w:rPr>
              <w:t>将于测出销售的上升，如下图</w:t>
            </w:r>
            <w:r w:rsidR="00B07F0D" w:rsidRPr="00CF024D">
              <w:rPr>
                <w:rFonts w:hint="eastAsia"/>
                <w:sz w:val="19"/>
                <w:szCs w:val="19"/>
                <w:lang w:val="en-CA" w:eastAsia="zh-CN"/>
              </w:rPr>
              <w:t>1</w:t>
            </w:r>
            <w:r w:rsidR="00B07F0D" w:rsidRPr="00CF024D">
              <w:rPr>
                <w:rFonts w:hint="eastAsia"/>
                <w:sz w:val="19"/>
                <w:szCs w:val="19"/>
                <w:lang w:val="en-CA" w:eastAsia="zh-CN"/>
              </w:rPr>
              <w:t>所示</w:t>
            </w:r>
          </w:p>
        </w:tc>
        <w:tc>
          <w:tcPr>
            <w:tcW w:w="4675" w:type="dxa"/>
          </w:tcPr>
          <w:p w14:paraId="60CC1E76" w14:textId="5684C598" w:rsidR="00D92610" w:rsidRPr="00CF024D" w:rsidRDefault="00683C81" w:rsidP="00DF7628">
            <w:pPr>
              <w:rPr>
                <w:sz w:val="19"/>
                <w:szCs w:val="19"/>
                <w:lang w:val="en-CA" w:eastAsia="zh-CN"/>
              </w:rPr>
            </w:pPr>
            <w:r w:rsidRPr="00CF024D">
              <w:rPr>
                <w:rFonts w:hint="eastAsia"/>
                <w:sz w:val="19"/>
                <w:szCs w:val="19"/>
                <w:lang w:val="en-CA" w:eastAsia="zh-CN"/>
              </w:rPr>
              <w:t>2010</w:t>
            </w:r>
            <w:r w:rsidRPr="00CF024D">
              <w:rPr>
                <w:rFonts w:hint="eastAsia"/>
                <w:sz w:val="19"/>
                <w:szCs w:val="19"/>
                <w:lang w:val="en-CA" w:eastAsia="zh-CN"/>
              </w:rPr>
              <w:t>年之前的</w:t>
            </w:r>
            <w:r w:rsidRPr="00CF024D">
              <w:rPr>
                <w:rFonts w:hint="eastAsia"/>
                <w:sz w:val="19"/>
                <w:szCs w:val="19"/>
                <w:lang w:val="en-CA" w:eastAsia="zh-CN"/>
              </w:rPr>
              <w:t>HCFC-22</w:t>
            </w:r>
            <w:r w:rsidRPr="00CF024D">
              <w:rPr>
                <w:rFonts w:hint="eastAsia"/>
                <w:sz w:val="19"/>
                <w:szCs w:val="19"/>
                <w:lang w:val="en-CA" w:eastAsia="zh-CN"/>
              </w:rPr>
              <w:t>生产受进行中的氟氯化碳淘汰影响，而</w:t>
            </w:r>
            <w:r w:rsidRPr="00CF024D">
              <w:rPr>
                <w:rFonts w:hint="eastAsia"/>
                <w:sz w:val="19"/>
                <w:szCs w:val="19"/>
                <w:lang w:val="en-CA" w:eastAsia="zh-CN"/>
              </w:rPr>
              <w:t>2008</w:t>
            </w:r>
            <w:r w:rsidRPr="00CF024D">
              <w:rPr>
                <w:rFonts w:hint="eastAsia"/>
                <w:sz w:val="19"/>
                <w:szCs w:val="19"/>
                <w:lang w:val="en-CA" w:eastAsia="zh-CN"/>
              </w:rPr>
              <w:t>年至</w:t>
            </w:r>
            <w:r w:rsidRPr="00CF024D">
              <w:rPr>
                <w:rFonts w:hint="eastAsia"/>
                <w:sz w:val="19"/>
                <w:szCs w:val="19"/>
                <w:lang w:val="en-CA" w:eastAsia="zh-CN"/>
              </w:rPr>
              <w:t>2013</w:t>
            </w:r>
            <w:r w:rsidRPr="00CF024D">
              <w:rPr>
                <w:rFonts w:hint="eastAsia"/>
                <w:sz w:val="19"/>
                <w:szCs w:val="19"/>
                <w:lang w:val="en-CA" w:eastAsia="zh-CN"/>
              </w:rPr>
              <w:t>年的</w:t>
            </w:r>
            <w:r w:rsidRPr="00CF024D">
              <w:rPr>
                <w:rFonts w:hint="eastAsia"/>
                <w:sz w:val="19"/>
                <w:szCs w:val="19"/>
                <w:lang w:val="en-CA" w:eastAsia="zh-CN"/>
              </w:rPr>
              <w:t>HCFC-22</w:t>
            </w:r>
            <w:r w:rsidRPr="00CF024D">
              <w:rPr>
                <w:rFonts w:hint="eastAsia"/>
                <w:sz w:val="19"/>
                <w:szCs w:val="19"/>
                <w:lang w:val="en-CA" w:eastAsia="zh-CN"/>
              </w:rPr>
              <w:t>生产和销售可能受到</w:t>
            </w:r>
            <w:r w:rsidR="004F6CC8" w:rsidRPr="00CF024D">
              <w:rPr>
                <w:rFonts w:hint="eastAsia"/>
                <w:sz w:val="19"/>
                <w:szCs w:val="19"/>
                <w:lang w:val="en-CA" w:eastAsia="zh-CN"/>
              </w:rPr>
              <w:t>清洁发展机制项下</w:t>
            </w:r>
            <w:r w:rsidR="007F5E22" w:rsidRPr="00CF024D">
              <w:rPr>
                <w:rFonts w:hint="eastAsia"/>
                <w:sz w:val="19"/>
                <w:szCs w:val="19"/>
                <w:lang w:val="en-CA" w:eastAsia="zh-CN"/>
              </w:rPr>
              <w:t>获取</w:t>
            </w:r>
            <w:r w:rsidR="004F6CC8" w:rsidRPr="00CF024D">
              <w:rPr>
                <w:rFonts w:hint="eastAsia"/>
                <w:sz w:val="19"/>
                <w:szCs w:val="19"/>
                <w:lang w:val="en-CA" w:eastAsia="zh-CN"/>
              </w:rPr>
              <w:t>销毁</w:t>
            </w:r>
            <w:r w:rsidR="004F6CC8" w:rsidRPr="00CF024D">
              <w:rPr>
                <w:rFonts w:hint="eastAsia"/>
                <w:sz w:val="19"/>
                <w:szCs w:val="19"/>
                <w:lang w:val="en-CA" w:eastAsia="zh-CN"/>
              </w:rPr>
              <w:t>HFC-23</w:t>
            </w:r>
            <w:r w:rsidR="004F6CC8" w:rsidRPr="00CF024D">
              <w:rPr>
                <w:rFonts w:hint="eastAsia"/>
                <w:sz w:val="19"/>
                <w:szCs w:val="19"/>
                <w:lang w:val="en-CA" w:eastAsia="zh-CN"/>
              </w:rPr>
              <w:t>资金的</w:t>
            </w:r>
            <w:r w:rsidRPr="00CF024D">
              <w:rPr>
                <w:rFonts w:hint="eastAsia"/>
                <w:sz w:val="19"/>
                <w:szCs w:val="19"/>
                <w:lang w:val="en-CA" w:eastAsia="zh-CN"/>
              </w:rPr>
              <w:t>严重影响。</w:t>
            </w:r>
            <w:r w:rsidR="007F5E22" w:rsidRPr="00CF024D">
              <w:rPr>
                <w:rFonts w:hint="eastAsia"/>
                <w:sz w:val="19"/>
                <w:szCs w:val="19"/>
                <w:lang w:val="en-CA" w:eastAsia="zh-CN"/>
              </w:rPr>
              <w:t>相应地，从统计角度使用</w:t>
            </w:r>
            <w:r w:rsidR="007F5E22" w:rsidRPr="00CF024D">
              <w:rPr>
                <w:rFonts w:hint="eastAsia"/>
                <w:sz w:val="19"/>
                <w:szCs w:val="19"/>
                <w:lang w:val="en-CA" w:eastAsia="zh-CN"/>
              </w:rPr>
              <w:t>2013</w:t>
            </w:r>
            <w:r w:rsidR="007F5E22" w:rsidRPr="00CF024D">
              <w:rPr>
                <w:rFonts w:hint="eastAsia"/>
                <w:sz w:val="19"/>
                <w:szCs w:val="19"/>
                <w:lang w:val="en-CA" w:eastAsia="zh-CN"/>
              </w:rPr>
              <w:t>年及之前的数据来</w:t>
            </w:r>
            <w:r w:rsidR="00D709B2" w:rsidRPr="00CF024D">
              <w:rPr>
                <w:rFonts w:hint="eastAsia"/>
                <w:sz w:val="19"/>
                <w:szCs w:val="19"/>
                <w:lang w:val="en-CA" w:eastAsia="zh-CN"/>
              </w:rPr>
              <w:t>建立</w:t>
            </w:r>
            <w:r w:rsidR="007F5E22" w:rsidRPr="00CF024D">
              <w:rPr>
                <w:rFonts w:hint="eastAsia"/>
                <w:sz w:val="19"/>
                <w:szCs w:val="19"/>
                <w:lang w:val="en-CA" w:eastAsia="zh-CN"/>
              </w:rPr>
              <w:t>2014</w:t>
            </w:r>
            <w:r w:rsidR="007F5E22" w:rsidRPr="00CF024D">
              <w:rPr>
                <w:rFonts w:hint="eastAsia"/>
                <w:sz w:val="19"/>
                <w:szCs w:val="19"/>
                <w:lang w:val="en-CA" w:eastAsia="zh-CN"/>
              </w:rPr>
              <w:t>年及之后</w:t>
            </w:r>
            <w:r w:rsidR="007F5E22" w:rsidRPr="00CF024D">
              <w:rPr>
                <w:rFonts w:hint="eastAsia"/>
                <w:sz w:val="19"/>
                <w:szCs w:val="19"/>
                <w:lang w:val="en-CA" w:eastAsia="zh-CN"/>
              </w:rPr>
              <w:t>HCFC-22</w:t>
            </w:r>
            <w:r w:rsidR="007F5E22" w:rsidRPr="00CF024D">
              <w:rPr>
                <w:rFonts w:hint="eastAsia"/>
                <w:sz w:val="19"/>
                <w:szCs w:val="19"/>
                <w:lang w:val="en-CA" w:eastAsia="zh-CN"/>
              </w:rPr>
              <w:t>销售的线性模型并不合适。</w:t>
            </w:r>
            <w:r w:rsidR="00D6695B" w:rsidRPr="00CF024D">
              <w:rPr>
                <w:sz w:val="19"/>
                <w:szCs w:val="19"/>
                <w:lang w:val="en-CA" w:eastAsia="zh-CN"/>
              </w:rPr>
              <w:t xml:space="preserve"> </w:t>
            </w:r>
          </w:p>
          <w:p w14:paraId="46384ADD" w14:textId="7045C95B" w:rsidR="00D92610" w:rsidRPr="00CF024D" w:rsidRDefault="00D709B2" w:rsidP="00D709B2">
            <w:pPr>
              <w:rPr>
                <w:sz w:val="19"/>
                <w:szCs w:val="19"/>
                <w:lang w:val="en-CA" w:eastAsia="zh-CN"/>
              </w:rPr>
            </w:pPr>
            <w:r w:rsidRPr="00CF024D">
              <w:rPr>
                <w:rFonts w:hint="eastAsia"/>
                <w:sz w:val="19"/>
                <w:szCs w:val="19"/>
                <w:lang w:val="en-CA" w:eastAsia="zh-CN"/>
              </w:rPr>
              <w:t>虽然使用</w:t>
            </w:r>
            <w:r w:rsidRPr="00CF024D">
              <w:rPr>
                <w:rFonts w:hint="eastAsia"/>
                <w:sz w:val="19"/>
                <w:szCs w:val="19"/>
                <w:lang w:val="en-CA" w:eastAsia="zh-CN"/>
              </w:rPr>
              <w:t>2004</w:t>
            </w:r>
            <w:r w:rsidRPr="00CF024D">
              <w:rPr>
                <w:rFonts w:hint="eastAsia"/>
                <w:sz w:val="19"/>
                <w:szCs w:val="19"/>
                <w:lang w:val="en-CA" w:eastAsia="zh-CN"/>
              </w:rPr>
              <w:t>年或</w:t>
            </w:r>
            <w:r w:rsidRPr="00CF024D">
              <w:rPr>
                <w:rFonts w:hint="eastAsia"/>
                <w:sz w:val="19"/>
                <w:szCs w:val="19"/>
                <w:lang w:val="en-CA" w:eastAsia="zh-CN"/>
              </w:rPr>
              <w:t>2005</w:t>
            </w:r>
            <w:r w:rsidRPr="00CF024D">
              <w:rPr>
                <w:rFonts w:hint="eastAsia"/>
                <w:sz w:val="19"/>
                <w:szCs w:val="19"/>
                <w:lang w:val="en-CA" w:eastAsia="zh-CN"/>
              </w:rPr>
              <w:t>年的数据来建立</w:t>
            </w:r>
            <w:r w:rsidRPr="00CF024D">
              <w:rPr>
                <w:rFonts w:hint="eastAsia"/>
                <w:sz w:val="19"/>
                <w:szCs w:val="19"/>
                <w:lang w:val="en-CA" w:eastAsia="zh-CN"/>
              </w:rPr>
              <w:t>HCFC-22</w:t>
            </w:r>
            <w:r w:rsidRPr="00CF024D">
              <w:rPr>
                <w:rFonts w:hint="eastAsia"/>
                <w:sz w:val="19"/>
                <w:szCs w:val="19"/>
                <w:lang w:val="en-CA" w:eastAsia="zh-CN"/>
              </w:rPr>
              <w:t>生产的线性模型可能预计出</w:t>
            </w:r>
            <w:r w:rsidRPr="00CF024D">
              <w:rPr>
                <w:rFonts w:hint="eastAsia"/>
                <w:sz w:val="19"/>
                <w:szCs w:val="19"/>
                <w:lang w:val="en-CA" w:eastAsia="zh-CN"/>
              </w:rPr>
              <w:t>HCFC-22</w:t>
            </w:r>
            <w:r w:rsidRPr="00CF024D">
              <w:rPr>
                <w:rFonts w:hint="eastAsia"/>
                <w:sz w:val="19"/>
                <w:szCs w:val="19"/>
                <w:lang w:val="en-CA" w:eastAsia="zh-CN"/>
              </w:rPr>
              <w:t>生产的上升，然而用</w:t>
            </w:r>
            <w:r w:rsidRPr="00CF024D">
              <w:rPr>
                <w:rFonts w:hint="eastAsia"/>
                <w:sz w:val="19"/>
                <w:szCs w:val="19"/>
                <w:lang w:val="en-CA" w:eastAsia="zh-CN"/>
              </w:rPr>
              <w:t>2006</w:t>
            </w:r>
            <w:r w:rsidRPr="00CF024D">
              <w:rPr>
                <w:rFonts w:hint="eastAsia"/>
                <w:sz w:val="19"/>
                <w:szCs w:val="19"/>
                <w:lang w:val="en-CA" w:eastAsia="zh-CN"/>
              </w:rPr>
              <w:t>年或之后开始的数据则得出负面趋势</w:t>
            </w:r>
          </w:p>
          <w:p w14:paraId="760069D4" w14:textId="42255F95" w:rsidR="00D6695B" w:rsidRPr="00CF024D" w:rsidRDefault="004D4E95" w:rsidP="00DE77EF">
            <w:pPr>
              <w:rPr>
                <w:sz w:val="19"/>
                <w:szCs w:val="19"/>
                <w:lang w:val="en-CA"/>
              </w:rPr>
            </w:pPr>
            <w:r w:rsidRPr="00CF024D">
              <w:rPr>
                <w:rFonts w:hint="eastAsia"/>
                <w:sz w:val="19"/>
                <w:szCs w:val="19"/>
                <w:lang w:val="en-CA" w:eastAsia="zh-CN"/>
              </w:rPr>
              <w:t>阿根廷</w:t>
            </w:r>
            <w:r w:rsidRPr="00CF024D">
              <w:rPr>
                <w:rFonts w:hint="eastAsia"/>
                <w:sz w:val="19"/>
                <w:szCs w:val="19"/>
                <w:lang w:val="en-CA" w:eastAsia="zh-CN"/>
              </w:rPr>
              <w:t>HCFC-22</w:t>
            </w:r>
            <w:r w:rsidRPr="00CF024D">
              <w:rPr>
                <w:rFonts w:hint="eastAsia"/>
                <w:sz w:val="19"/>
                <w:szCs w:val="19"/>
                <w:lang w:val="en-CA" w:eastAsia="zh-CN"/>
              </w:rPr>
              <w:t>消费的下降趋势并不是异常的，而是和其它第五条国家</w:t>
            </w:r>
            <w:r w:rsidR="00DE77EF" w:rsidRPr="00CF024D">
              <w:rPr>
                <w:rFonts w:hint="eastAsia"/>
                <w:sz w:val="19"/>
                <w:szCs w:val="19"/>
                <w:lang w:val="en-CA" w:eastAsia="zh-CN"/>
              </w:rPr>
              <w:t>的趋势一致；阿根廷氟氯烃淘汰管理计划第二阶段的继续执行会进一步削减该国的</w:t>
            </w:r>
            <w:r w:rsidR="00DE77EF" w:rsidRPr="00CF024D">
              <w:rPr>
                <w:rFonts w:hint="eastAsia"/>
                <w:sz w:val="19"/>
                <w:szCs w:val="19"/>
                <w:lang w:val="en-CA" w:eastAsia="zh-CN"/>
              </w:rPr>
              <w:t>HCFC-22</w:t>
            </w:r>
            <w:r w:rsidR="00DE77EF" w:rsidRPr="00CF024D">
              <w:rPr>
                <w:rFonts w:hint="eastAsia"/>
                <w:sz w:val="19"/>
                <w:szCs w:val="19"/>
                <w:lang w:val="en-CA" w:eastAsia="zh-CN"/>
              </w:rPr>
              <w:t>消费</w:t>
            </w:r>
          </w:p>
        </w:tc>
      </w:tr>
      <w:tr w:rsidR="00D6695B" w:rsidRPr="00CF024D" w14:paraId="6376B61D" w14:textId="77777777" w:rsidTr="00DF7628">
        <w:tc>
          <w:tcPr>
            <w:tcW w:w="4675" w:type="dxa"/>
          </w:tcPr>
          <w:p w14:paraId="68858E13" w14:textId="42550CF9" w:rsidR="00D6695B" w:rsidRPr="00CF024D" w:rsidRDefault="00A4519B" w:rsidP="00A4519B">
            <w:pPr>
              <w:rPr>
                <w:sz w:val="19"/>
                <w:szCs w:val="19"/>
                <w:lang w:val="en-CA"/>
              </w:rPr>
            </w:pPr>
            <w:r w:rsidRPr="00CF024D">
              <w:rPr>
                <w:rFonts w:hint="eastAsia"/>
                <w:sz w:val="19"/>
                <w:szCs w:val="19"/>
                <w:lang w:val="en-CA" w:eastAsia="zh-CN"/>
              </w:rPr>
              <w:t>应考虑到阿根廷的经济周期。独立顾问所选取的时期正处于经济衰退期，致使销售下降。阿根廷经济的复苏会影响企业的未来销售</w:t>
            </w:r>
          </w:p>
        </w:tc>
        <w:tc>
          <w:tcPr>
            <w:tcW w:w="4675" w:type="dxa"/>
          </w:tcPr>
          <w:p w14:paraId="66A8594C" w14:textId="115D3477" w:rsidR="00D6695B" w:rsidRPr="00CF024D" w:rsidRDefault="00A8791A" w:rsidP="00C86ED1">
            <w:pPr>
              <w:rPr>
                <w:sz w:val="19"/>
                <w:szCs w:val="19"/>
                <w:lang w:val="en-CA"/>
              </w:rPr>
            </w:pPr>
            <w:r w:rsidRPr="00CF024D">
              <w:rPr>
                <w:rFonts w:hint="eastAsia"/>
                <w:sz w:val="19"/>
                <w:szCs w:val="19"/>
                <w:lang w:val="en-CA" w:eastAsia="zh-CN"/>
              </w:rPr>
              <w:t>基于现有数据的供求分析符合生产部门技术审计的</w:t>
            </w:r>
            <w:r w:rsidR="00C86ED1" w:rsidRPr="00CF024D">
              <w:rPr>
                <w:rFonts w:hint="eastAsia"/>
                <w:sz w:val="19"/>
                <w:szCs w:val="19"/>
                <w:lang w:val="en-CA" w:eastAsia="zh-CN"/>
              </w:rPr>
              <w:t>授权范围以及审计的既往做法。秘书处和独立顾问都没有立场对未来经济趋势做出预测，包括阿根廷经济何时可能复苏</w:t>
            </w:r>
          </w:p>
        </w:tc>
      </w:tr>
      <w:tr w:rsidR="00D6695B" w:rsidRPr="00CF024D" w14:paraId="2496105D" w14:textId="77777777" w:rsidTr="00DF7628">
        <w:tc>
          <w:tcPr>
            <w:tcW w:w="4675" w:type="dxa"/>
          </w:tcPr>
          <w:p w14:paraId="5C3559E4" w14:textId="6BF6386B" w:rsidR="00D6695B" w:rsidRPr="00CF024D" w:rsidRDefault="00C86ED1" w:rsidP="00C86ED1">
            <w:pPr>
              <w:rPr>
                <w:sz w:val="19"/>
                <w:szCs w:val="19"/>
                <w:lang w:val="en-CA"/>
              </w:rPr>
            </w:pPr>
            <w:r w:rsidRPr="00CF024D">
              <w:rPr>
                <w:rFonts w:hint="eastAsia"/>
                <w:sz w:val="19"/>
                <w:szCs w:val="19"/>
                <w:lang w:val="en-CA" w:eastAsia="zh-CN"/>
              </w:rPr>
              <w:t>不清楚独立顾问为何采用</w:t>
            </w:r>
            <w:r w:rsidRPr="00CF024D">
              <w:rPr>
                <w:rFonts w:hint="eastAsia"/>
                <w:sz w:val="19"/>
                <w:szCs w:val="19"/>
                <w:lang w:val="en-CA" w:eastAsia="zh-CN"/>
              </w:rPr>
              <w:t>HCFC-22</w:t>
            </w:r>
            <w:r w:rsidRPr="00CF024D">
              <w:rPr>
                <w:rFonts w:hint="eastAsia"/>
                <w:sz w:val="19"/>
                <w:szCs w:val="19"/>
                <w:lang w:val="en-CA" w:eastAsia="zh-CN"/>
              </w:rPr>
              <w:t>的平均价格，而</w:t>
            </w:r>
            <w:r w:rsidR="006B478E" w:rsidRPr="00CF024D">
              <w:rPr>
                <w:sz w:val="19"/>
                <w:szCs w:val="19"/>
                <w:lang w:val="en-CA" w:eastAsia="zh-CN"/>
              </w:rPr>
              <w:t>FIASA</w:t>
            </w:r>
            <w:r w:rsidR="006B478E" w:rsidRPr="00CF024D">
              <w:rPr>
                <w:sz w:val="19"/>
                <w:szCs w:val="19"/>
                <w:lang w:val="en-CA" w:eastAsia="zh-CN"/>
              </w:rPr>
              <w:t>工厂</w:t>
            </w:r>
            <w:r w:rsidRPr="00CF024D">
              <w:rPr>
                <w:rFonts w:hint="eastAsia"/>
                <w:sz w:val="19"/>
                <w:szCs w:val="19"/>
                <w:lang w:val="en-CA" w:eastAsia="zh-CN"/>
              </w:rPr>
              <w:t>即使在经济衰退的情况下也有能力提升了价格</w:t>
            </w:r>
          </w:p>
        </w:tc>
        <w:tc>
          <w:tcPr>
            <w:tcW w:w="4675" w:type="dxa"/>
          </w:tcPr>
          <w:p w14:paraId="654A2DE2" w14:textId="2639D93D" w:rsidR="00701F10" w:rsidRPr="00CF024D" w:rsidRDefault="001B60BD" w:rsidP="00DF7628">
            <w:pPr>
              <w:rPr>
                <w:sz w:val="19"/>
                <w:szCs w:val="19"/>
                <w:lang w:val="en-CA" w:eastAsia="zh-CN"/>
              </w:rPr>
            </w:pPr>
            <w:r w:rsidRPr="00CF024D">
              <w:rPr>
                <w:rFonts w:hint="eastAsia"/>
                <w:sz w:val="19"/>
                <w:szCs w:val="19"/>
                <w:lang w:val="en-CA" w:eastAsia="zh-CN"/>
              </w:rPr>
              <w:t>独立顾问基于工发组织的模型</w:t>
            </w:r>
            <w:r w:rsidR="007D5E48" w:rsidRPr="00CF024D">
              <w:rPr>
                <w:rFonts w:hint="eastAsia"/>
                <w:sz w:val="19"/>
                <w:szCs w:val="19"/>
                <w:lang w:val="en-CA" w:eastAsia="zh-CN"/>
              </w:rPr>
              <w:t>做出更新技术审计，</w:t>
            </w:r>
            <w:r w:rsidR="00472A2A" w:rsidRPr="00CF024D">
              <w:rPr>
                <w:rStyle w:val="FootnoteReference"/>
                <w:sz w:val="19"/>
                <w:szCs w:val="19"/>
                <w:lang w:val="en-CA"/>
              </w:rPr>
              <w:footnoteReference w:id="15"/>
            </w:r>
            <w:r w:rsidR="00701F10" w:rsidRPr="00CF024D">
              <w:rPr>
                <w:sz w:val="19"/>
                <w:szCs w:val="19"/>
                <w:lang w:val="en-CA"/>
              </w:rPr>
              <w:t xml:space="preserve"> UNEP/</w:t>
            </w:r>
            <w:proofErr w:type="spellStart"/>
            <w:r w:rsidR="00701F10" w:rsidRPr="00CF024D">
              <w:rPr>
                <w:sz w:val="19"/>
                <w:szCs w:val="19"/>
                <w:lang w:val="en-CA"/>
              </w:rPr>
              <w:t>OzL.Pro</w:t>
            </w:r>
            <w:proofErr w:type="spellEnd"/>
            <w:r w:rsidR="00701F10" w:rsidRPr="00CF024D">
              <w:rPr>
                <w:sz w:val="19"/>
                <w:szCs w:val="19"/>
                <w:lang w:val="en-CA"/>
              </w:rPr>
              <w:t>/</w:t>
            </w:r>
            <w:proofErr w:type="spellStart"/>
            <w:r w:rsidR="00701F10" w:rsidRPr="00CF024D">
              <w:rPr>
                <w:sz w:val="19"/>
                <w:szCs w:val="19"/>
                <w:lang w:val="en-CA"/>
              </w:rPr>
              <w:t>ExCom</w:t>
            </w:r>
            <w:proofErr w:type="spellEnd"/>
            <w:r w:rsidR="00701F10" w:rsidRPr="00CF024D">
              <w:rPr>
                <w:sz w:val="19"/>
                <w:szCs w:val="19"/>
                <w:lang w:val="en-CA"/>
              </w:rPr>
              <w:t>/85/64/Rev.1</w:t>
            </w:r>
            <w:r w:rsidR="007D5E48" w:rsidRPr="00CF024D">
              <w:rPr>
                <w:rFonts w:hint="eastAsia"/>
                <w:sz w:val="19"/>
                <w:szCs w:val="19"/>
                <w:lang w:val="en-CA" w:eastAsia="zh-CN"/>
              </w:rPr>
              <w:t>号文件第</w:t>
            </w:r>
            <w:r w:rsidR="007D5E48" w:rsidRPr="00CF024D">
              <w:rPr>
                <w:rFonts w:hint="eastAsia"/>
                <w:sz w:val="19"/>
                <w:szCs w:val="19"/>
                <w:lang w:val="en-CA" w:eastAsia="zh-CN"/>
              </w:rPr>
              <w:t>19</w:t>
            </w:r>
            <w:r w:rsidR="007D5E48" w:rsidRPr="00CF024D">
              <w:rPr>
                <w:rFonts w:hint="eastAsia"/>
                <w:sz w:val="19"/>
                <w:szCs w:val="19"/>
                <w:lang w:val="en-CA" w:eastAsia="zh-CN"/>
              </w:rPr>
              <w:t>段对所做修改做出了说明。独立顾问在估计模型参数时采用了一致性方法，包括</w:t>
            </w:r>
            <w:r w:rsidR="007D5E48" w:rsidRPr="00CF024D">
              <w:rPr>
                <w:rFonts w:hint="eastAsia"/>
                <w:sz w:val="19"/>
                <w:szCs w:val="19"/>
                <w:lang w:val="en-CA" w:eastAsia="zh-CN"/>
              </w:rPr>
              <w:t>HCFC-22</w:t>
            </w:r>
            <w:r w:rsidR="007D5E48" w:rsidRPr="00CF024D">
              <w:rPr>
                <w:rFonts w:hint="eastAsia"/>
                <w:sz w:val="19"/>
                <w:szCs w:val="19"/>
                <w:lang w:val="en-CA" w:eastAsia="zh-CN"/>
              </w:rPr>
              <w:t>价格，该价格在近年以比索</w:t>
            </w:r>
            <w:r w:rsidR="007D5E48" w:rsidRPr="00CF024D">
              <w:rPr>
                <w:rFonts w:hint="eastAsia"/>
                <w:sz w:val="19"/>
                <w:szCs w:val="19"/>
                <w:lang w:val="en-CA" w:eastAsia="zh-CN"/>
              </w:rPr>
              <w:t>/</w:t>
            </w:r>
            <w:r w:rsidR="007D5E48" w:rsidRPr="00CF024D">
              <w:rPr>
                <w:rFonts w:hint="eastAsia"/>
                <w:sz w:val="19"/>
                <w:szCs w:val="19"/>
                <w:lang w:val="en-CA" w:eastAsia="zh-CN"/>
              </w:rPr>
              <w:t>千克计算</w:t>
            </w:r>
            <w:r w:rsidR="00886D0D" w:rsidRPr="00CF024D">
              <w:rPr>
                <w:rFonts w:hint="eastAsia"/>
                <w:sz w:val="19"/>
                <w:szCs w:val="19"/>
                <w:lang w:val="en-CA" w:eastAsia="zh-CN"/>
              </w:rPr>
              <w:t>统一</w:t>
            </w:r>
            <w:r w:rsidR="007D5E48" w:rsidRPr="00CF024D">
              <w:rPr>
                <w:rFonts w:hint="eastAsia"/>
                <w:sz w:val="19"/>
                <w:szCs w:val="19"/>
                <w:lang w:val="en-CA" w:eastAsia="zh-CN"/>
              </w:rPr>
              <w:t>上升</w:t>
            </w:r>
            <w:r w:rsidR="00BB3CF9" w:rsidRPr="00CF024D">
              <w:rPr>
                <w:rFonts w:hint="eastAsia"/>
                <w:sz w:val="19"/>
                <w:szCs w:val="19"/>
                <w:lang w:val="en-CA" w:eastAsia="zh-CN"/>
              </w:rPr>
              <w:t>，但以美元</w:t>
            </w:r>
            <w:r w:rsidR="00BB3CF9" w:rsidRPr="00CF024D">
              <w:rPr>
                <w:rFonts w:hint="eastAsia"/>
                <w:sz w:val="19"/>
                <w:szCs w:val="19"/>
                <w:lang w:val="en-CA" w:eastAsia="zh-CN"/>
              </w:rPr>
              <w:t>/</w:t>
            </w:r>
            <w:r w:rsidR="00BB3CF9" w:rsidRPr="00CF024D">
              <w:rPr>
                <w:rFonts w:hint="eastAsia"/>
                <w:sz w:val="19"/>
                <w:szCs w:val="19"/>
                <w:lang w:val="en-CA" w:eastAsia="zh-CN"/>
              </w:rPr>
              <w:t>千克计算情况各有不同</w:t>
            </w:r>
            <w:r w:rsidR="007D1E11" w:rsidRPr="00CF024D">
              <w:rPr>
                <w:rStyle w:val="FootnoteReference"/>
                <w:sz w:val="19"/>
                <w:szCs w:val="19"/>
                <w:lang w:val="en-CA"/>
              </w:rPr>
              <w:footnoteReference w:id="16"/>
            </w:r>
            <w:r w:rsidR="007D1E11" w:rsidRPr="00CF024D">
              <w:rPr>
                <w:sz w:val="19"/>
                <w:szCs w:val="19"/>
                <w:lang w:val="en-CA" w:eastAsia="zh-CN"/>
              </w:rPr>
              <w:t xml:space="preserve"> </w:t>
            </w:r>
          </w:p>
          <w:p w14:paraId="05C65420" w14:textId="24690C1D" w:rsidR="00D6695B" w:rsidRPr="00CF024D" w:rsidRDefault="00886D0D" w:rsidP="00886D0D">
            <w:pPr>
              <w:rPr>
                <w:sz w:val="19"/>
                <w:szCs w:val="19"/>
                <w:lang w:val="en-CA" w:eastAsia="zh-CN"/>
              </w:rPr>
            </w:pPr>
            <w:r w:rsidRPr="00CF024D">
              <w:rPr>
                <w:rFonts w:hint="eastAsia"/>
                <w:sz w:val="19"/>
                <w:szCs w:val="19"/>
                <w:lang w:val="en-CA" w:eastAsia="zh-CN"/>
              </w:rPr>
              <w:t>独立顾问用同样的方法估计了模型参数，因为对</w:t>
            </w:r>
            <w:r w:rsidRPr="00CF024D">
              <w:rPr>
                <w:rFonts w:hint="eastAsia"/>
                <w:sz w:val="19"/>
                <w:szCs w:val="19"/>
                <w:lang w:val="en-CA" w:eastAsia="zh-CN"/>
              </w:rPr>
              <w:t>HCFC-22</w:t>
            </w:r>
            <w:r w:rsidRPr="00CF024D">
              <w:rPr>
                <w:rFonts w:hint="eastAsia"/>
                <w:sz w:val="19"/>
                <w:szCs w:val="19"/>
                <w:lang w:val="en-CA" w:eastAsia="zh-CN"/>
              </w:rPr>
              <w:t>未来价格的预测必定是猜测</w:t>
            </w:r>
          </w:p>
        </w:tc>
      </w:tr>
      <w:tr w:rsidR="007D1E11" w:rsidRPr="00CF024D" w14:paraId="206FE1F8" w14:textId="77777777" w:rsidTr="00DF7628">
        <w:tc>
          <w:tcPr>
            <w:tcW w:w="4675" w:type="dxa"/>
          </w:tcPr>
          <w:p w14:paraId="5EEA7CCE" w14:textId="0FBE094C" w:rsidR="007D1E11" w:rsidRPr="00CF024D" w:rsidRDefault="00980B4E" w:rsidP="003F671F">
            <w:pPr>
              <w:keepNext/>
              <w:keepLines/>
              <w:rPr>
                <w:sz w:val="19"/>
                <w:szCs w:val="19"/>
                <w:lang w:val="en-US"/>
              </w:rPr>
            </w:pPr>
            <w:r w:rsidRPr="00CF024D">
              <w:rPr>
                <w:rFonts w:hint="eastAsia"/>
                <w:sz w:val="19"/>
                <w:szCs w:val="19"/>
                <w:lang w:val="en-US"/>
              </w:rPr>
              <w:lastRenderedPageBreak/>
              <w:t>独立顾问使用的净营运资金为“</w:t>
            </w:r>
            <w:proofErr w:type="spellStart"/>
            <w:r w:rsidRPr="00CF024D">
              <w:rPr>
                <w:rFonts w:hint="eastAsia"/>
                <w:sz w:val="19"/>
                <w:szCs w:val="19"/>
                <w:lang w:val="en-US"/>
              </w:rPr>
              <w:t>客户</w:t>
            </w:r>
            <w:proofErr w:type="spellEnd"/>
            <w:r w:rsidRPr="00CF024D">
              <w:rPr>
                <w:rFonts w:hint="eastAsia"/>
                <w:sz w:val="19"/>
                <w:szCs w:val="19"/>
                <w:lang w:val="en-US"/>
              </w:rPr>
              <w:t>”、</w:t>
            </w:r>
            <w:r w:rsidR="00D6504C" w:rsidRPr="00CF024D">
              <w:rPr>
                <w:rFonts w:hint="eastAsia"/>
                <w:sz w:val="19"/>
                <w:szCs w:val="19"/>
                <w:lang w:val="en-US"/>
              </w:rPr>
              <w:t>“</w:t>
            </w:r>
            <w:proofErr w:type="spellStart"/>
            <w:r w:rsidR="00D6504C" w:rsidRPr="00CF024D">
              <w:rPr>
                <w:rFonts w:hint="eastAsia"/>
                <w:sz w:val="19"/>
                <w:szCs w:val="19"/>
                <w:lang w:val="en-US"/>
              </w:rPr>
              <w:t>库存”和“供应商”之和</w:t>
            </w:r>
            <w:r w:rsidRPr="00CF024D">
              <w:rPr>
                <w:rFonts w:hint="eastAsia"/>
                <w:sz w:val="19"/>
                <w:szCs w:val="19"/>
                <w:lang w:val="en-US"/>
              </w:rPr>
              <w:t>；但是库存应被视为资产，这将使企业的营运资金需求几乎为零</w:t>
            </w:r>
            <w:proofErr w:type="spellEnd"/>
          </w:p>
        </w:tc>
        <w:tc>
          <w:tcPr>
            <w:tcW w:w="4675" w:type="dxa"/>
          </w:tcPr>
          <w:p w14:paraId="64C2CE44" w14:textId="4C12EB28" w:rsidR="007D1E11" w:rsidRPr="00CF024D" w:rsidRDefault="009864EB" w:rsidP="006701E0">
            <w:pPr>
              <w:keepNext/>
              <w:keepLines/>
              <w:rPr>
                <w:sz w:val="19"/>
                <w:szCs w:val="19"/>
                <w:lang w:val="en-CA"/>
              </w:rPr>
            </w:pPr>
            <w:r w:rsidRPr="00CF024D">
              <w:rPr>
                <w:sz w:val="19"/>
                <w:szCs w:val="19"/>
                <w:lang w:val="en-CA"/>
              </w:rPr>
              <w:t>UNEP/</w:t>
            </w:r>
            <w:proofErr w:type="spellStart"/>
            <w:r w:rsidRPr="00CF024D">
              <w:rPr>
                <w:sz w:val="19"/>
                <w:szCs w:val="19"/>
                <w:lang w:val="en-CA"/>
              </w:rPr>
              <w:t>OzL.Pro</w:t>
            </w:r>
            <w:proofErr w:type="spellEnd"/>
            <w:r w:rsidRPr="00CF024D">
              <w:rPr>
                <w:sz w:val="19"/>
                <w:szCs w:val="19"/>
                <w:lang w:val="en-CA"/>
              </w:rPr>
              <w:t>/</w:t>
            </w:r>
            <w:proofErr w:type="spellStart"/>
            <w:r w:rsidRPr="00CF024D">
              <w:rPr>
                <w:sz w:val="19"/>
                <w:szCs w:val="19"/>
                <w:lang w:val="en-CA"/>
              </w:rPr>
              <w:t>ExCom</w:t>
            </w:r>
            <w:proofErr w:type="spellEnd"/>
            <w:r w:rsidRPr="00CF024D">
              <w:rPr>
                <w:sz w:val="19"/>
                <w:szCs w:val="19"/>
                <w:lang w:val="en-CA"/>
              </w:rPr>
              <w:t>/85/64/Rev.1</w:t>
            </w:r>
            <w:r w:rsidR="00980B4E" w:rsidRPr="00CF024D">
              <w:rPr>
                <w:rFonts w:hint="eastAsia"/>
                <w:sz w:val="19"/>
                <w:szCs w:val="19"/>
                <w:lang w:val="en-CA" w:eastAsia="zh-CN"/>
              </w:rPr>
              <w:t>号文件第</w:t>
            </w:r>
            <w:r w:rsidR="00980B4E" w:rsidRPr="00CF024D">
              <w:rPr>
                <w:rFonts w:hint="eastAsia"/>
                <w:sz w:val="19"/>
                <w:szCs w:val="19"/>
                <w:lang w:val="en-CA" w:eastAsia="zh-CN"/>
              </w:rPr>
              <w:t>19</w:t>
            </w:r>
            <w:r w:rsidR="00980B4E" w:rsidRPr="00CF024D">
              <w:rPr>
                <w:rFonts w:hint="eastAsia"/>
                <w:sz w:val="19"/>
                <w:szCs w:val="19"/>
                <w:lang w:val="en-CA" w:eastAsia="zh-CN"/>
              </w:rPr>
              <w:t>段指出</w:t>
            </w:r>
            <w:r w:rsidR="00980B4E" w:rsidRPr="00CF024D">
              <w:rPr>
                <w:sz w:val="19"/>
                <w:szCs w:val="19"/>
                <w:lang w:val="en-CA"/>
              </w:rPr>
              <w:t>，</w:t>
            </w:r>
            <w:proofErr w:type="spellStart"/>
            <w:r w:rsidR="00980B4E" w:rsidRPr="00CF024D">
              <w:rPr>
                <w:rFonts w:hint="eastAsia"/>
                <w:sz w:val="19"/>
                <w:szCs w:val="19"/>
                <w:lang w:val="en-CA"/>
              </w:rPr>
              <w:t>独立顾问对工发组织模型做出的一项修改是将总直接可变成本基于</w:t>
            </w:r>
            <w:proofErr w:type="spellEnd"/>
            <w:r w:rsidR="00980B4E" w:rsidRPr="00CF024D">
              <w:rPr>
                <w:rFonts w:hint="eastAsia"/>
                <w:sz w:val="19"/>
                <w:szCs w:val="19"/>
                <w:lang w:val="en-CA"/>
              </w:rPr>
              <w:t>HCFC-22</w:t>
            </w:r>
            <w:r w:rsidR="00980B4E" w:rsidRPr="00CF024D">
              <w:rPr>
                <w:rFonts w:hint="eastAsia"/>
                <w:sz w:val="19"/>
                <w:szCs w:val="19"/>
                <w:lang w:val="en-CA" w:eastAsia="zh-CN"/>
              </w:rPr>
              <w:t>的生产</w:t>
            </w:r>
            <w:r w:rsidR="00B10D60" w:rsidRPr="00CF024D">
              <w:rPr>
                <w:rFonts w:hint="eastAsia"/>
                <w:sz w:val="19"/>
                <w:szCs w:val="19"/>
                <w:lang w:val="en-CA" w:eastAsia="zh-CN"/>
              </w:rPr>
              <w:t>（代替销售），而营收则基于销售，符合标准成本建模实践。</w:t>
            </w:r>
            <w:r w:rsidR="006701E0" w:rsidRPr="00CF024D">
              <w:rPr>
                <w:rFonts w:hint="eastAsia"/>
                <w:sz w:val="19"/>
                <w:szCs w:val="19"/>
                <w:lang w:val="en-CA" w:eastAsia="zh-CN"/>
              </w:rPr>
              <w:t>这一变化将使企业所持库存的未来销售（即</w:t>
            </w:r>
            <w:r w:rsidR="006701E0" w:rsidRPr="00CF024D">
              <w:rPr>
                <w:rFonts w:hint="eastAsia"/>
                <w:sz w:val="19"/>
                <w:szCs w:val="19"/>
                <w:lang w:val="en-CA" w:eastAsia="zh-CN"/>
              </w:rPr>
              <w:t>HCFC-22</w:t>
            </w:r>
            <w:r w:rsidR="006701E0" w:rsidRPr="00CF024D">
              <w:rPr>
                <w:rFonts w:hint="eastAsia"/>
                <w:sz w:val="19"/>
                <w:szCs w:val="19"/>
                <w:lang w:val="en-CA" w:eastAsia="zh-CN"/>
              </w:rPr>
              <w:t>存量）反应为营收，这是工发组织模型未考虑的</w:t>
            </w:r>
          </w:p>
        </w:tc>
      </w:tr>
      <w:tr w:rsidR="007D1E11" w:rsidRPr="00CF024D" w14:paraId="125D65C4" w14:textId="77777777" w:rsidTr="00DF7628">
        <w:tc>
          <w:tcPr>
            <w:tcW w:w="4675" w:type="dxa"/>
          </w:tcPr>
          <w:p w14:paraId="10775FAB" w14:textId="35F0ED5A" w:rsidR="009357F7" w:rsidRPr="00CF024D" w:rsidRDefault="00106B88" w:rsidP="00680DA2">
            <w:pPr>
              <w:rPr>
                <w:sz w:val="19"/>
                <w:szCs w:val="19"/>
                <w:lang w:val="en-CA"/>
              </w:rPr>
            </w:pPr>
            <w:r w:rsidRPr="00CF024D">
              <w:rPr>
                <w:rFonts w:hint="eastAsia"/>
                <w:sz w:val="19"/>
                <w:szCs w:val="19"/>
                <w:lang w:val="en-CA" w:eastAsia="zh-CN"/>
              </w:rPr>
              <w:t>独立顾问采用估计营运资金利息的方法</w:t>
            </w:r>
            <w:r w:rsidR="00FD20A1" w:rsidRPr="00CF024D">
              <w:rPr>
                <w:rFonts w:hint="eastAsia"/>
                <w:sz w:val="19"/>
                <w:szCs w:val="19"/>
                <w:lang w:val="en-CA" w:eastAsia="zh-CN"/>
              </w:rPr>
              <w:t>是错误的并高估了该成本</w:t>
            </w:r>
            <w:r w:rsidR="000937E7" w:rsidRPr="00CF024D">
              <w:rPr>
                <w:rFonts w:hint="eastAsia"/>
                <w:sz w:val="19"/>
                <w:szCs w:val="19"/>
                <w:lang w:val="en-CA" w:eastAsia="zh-CN"/>
              </w:rPr>
              <w:t>；相反，应适用国际货币基金组织国际</w:t>
            </w:r>
            <w:r w:rsidR="00FF0BE9" w:rsidRPr="00CF024D">
              <w:rPr>
                <w:rFonts w:hint="eastAsia"/>
                <w:sz w:val="19"/>
                <w:szCs w:val="19"/>
                <w:lang w:val="en-CA" w:eastAsia="zh-CN"/>
              </w:rPr>
              <w:t>金融统计数据库提供的</w:t>
            </w:r>
            <w:r w:rsidR="00FF0BE9" w:rsidRPr="00CF024D">
              <w:rPr>
                <w:rFonts w:hint="eastAsia"/>
                <w:sz w:val="19"/>
                <w:szCs w:val="19"/>
                <w:lang w:val="en-CA" w:eastAsia="zh-CN"/>
              </w:rPr>
              <w:t>2020</w:t>
            </w:r>
            <w:r w:rsidR="00FF0BE9" w:rsidRPr="00CF024D">
              <w:rPr>
                <w:rFonts w:hint="eastAsia"/>
                <w:sz w:val="19"/>
                <w:szCs w:val="19"/>
                <w:lang w:val="en-CA" w:eastAsia="zh-CN"/>
              </w:rPr>
              <w:t>年二季度</w:t>
            </w:r>
            <w:r w:rsidR="00FF0BE9" w:rsidRPr="00CF024D">
              <w:rPr>
                <w:rFonts w:hint="eastAsia"/>
                <w:sz w:val="19"/>
                <w:szCs w:val="19"/>
                <w:lang w:val="en-CA" w:eastAsia="zh-CN"/>
              </w:rPr>
              <w:t>5.17%</w:t>
            </w:r>
            <w:r w:rsidR="00FF0BE9" w:rsidRPr="00CF024D">
              <w:rPr>
                <w:rFonts w:hint="eastAsia"/>
                <w:sz w:val="19"/>
                <w:szCs w:val="19"/>
                <w:lang w:val="en-CA" w:eastAsia="zh-CN"/>
              </w:rPr>
              <w:t>的外币贷款利率</w:t>
            </w:r>
          </w:p>
          <w:p w14:paraId="6EBBFBD2" w14:textId="42240E8D" w:rsidR="007D1E11" w:rsidRPr="00CF024D" w:rsidRDefault="00F10E03" w:rsidP="00F10E03">
            <w:pPr>
              <w:rPr>
                <w:sz w:val="19"/>
                <w:szCs w:val="19"/>
                <w:lang w:val="en-CA"/>
              </w:rPr>
            </w:pPr>
            <w:r w:rsidRPr="00CF024D">
              <w:rPr>
                <w:rFonts w:hint="eastAsia"/>
                <w:sz w:val="19"/>
                <w:szCs w:val="19"/>
                <w:lang w:val="en-CA" w:eastAsia="zh-CN"/>
              </w:rPr>
              <w:t>预测贷款利率时应考虑到</w:t>
            </w:r>
            <w:r w:rsidRPr="00CF024D">
              <w:rPr>
                <w:rFonts w:hint="eastAsia"/>
                <w:sz w:val="19"/>
                <w:szCs w:val="19"/>
                <w:lang w:val="en-CA" w:eastAsia="zh-CN"/>
              </w:rPr>
              <w:t>2020</w:t>
            </w:r>
            <w:r w:rsidRPr="00CF024D">
              <w:rPr>
                <w:rFonts w:hint="eastAsia"/>
                <w:sz w:val="19"/>
                <w:szCs w:val="19"/>
                <w:lang w:val="en-CA" w:eastAsia="zh-CN"/>
              </w:rPr>
              <w:t>年</w:t>
            </w:r>
            <w:r w:rsidRPr="00CF024D">
              <w:rPr>
                <w:rFonts w:hint="eastAsia"/>
                <w:sz w:val="19"/>
                <w:szCs w:val="19"/>
                <w:lang w:val="en-CA" w:eastAsia="zh-CN"/>
              </w:rPr>
              <w:t>8</w:t>
            </w:r>
            <w:r w:rsidRPr="00CF024D">
              <w:rPr>
                <w:rFonts w:hint="eastAsia"/>
                <w:sz w:val="19"/>
                <w:szCs w:val="19"/>
                <w:lang w:val="en-CA" w:eastAsia="zh-CN"/>
              </w:rPr>
              <w:t>月外债成功重组后阿根廷宏观经济形势的近期变化</w:t>
            </w:r>
          </w:p>
        </w:tc>
        <w:tc>
          <w:tcPr>
            <w:tcW w:w="4675" w:type="dxa"/>
          </w:tcPr>
          <w:p w14:paraId="5A865BD0" w14:textId="0E31460E" w:rsidR="009357F7" w:rsidRPr="00CF024D" w:rsidRDefault="00F127C9" w:rsidP="00DF7628">
            <w:pPr>
              <w:rPr>
                <w:sz w:val="19"/>
                <w:szCs w:val="19"/>
                <w:lang w:val="en-CA" w:eastAsia="zh-CN"/>
              </w:rPr>
            </w:pPr>
            <w:r w:rsidRPr="00CF024D">
              <w:rPr>
                <w:rFonts w:hint="eastAsia"/>
                <w:sz w:val="19"/>
                <w:szCs w:val="19"/>
                <w:lang w:val="en-CA" w:eastAsia="zh-CN"/>
              </w:rPr>
              <w:t>鉴于</w:t>
            </w:r>
            <w:r w:rsidR="00672A3D" w:rsidRPr="00CF024D">
              <w:rPr>
                <w:rFonts w:hint="eastAsia"/>
                <w:sz w:val="19"/>
                <w:szCs w:val="19"/>
                <w:lang w:val="en-CA" w:eastAsia="zh-CN"/>
              </w:rPr>
              <w:t>本地贷款利率的快速变化和阿根廷比索相对于美元的持续贬值，很难</w:t>
            </w:r>
            <w:r w:rsidR="00E0468E" w:rsidRPr="00CF024D">
              <w:rPr>
                <w:rFonts w:hint="eastAsia"/>
                <w:sz w:val="19"/>
                <w:szCs w:val="19"/>
                <w:lang w:val="en-CA" w:eastAsia="zh-CN"/>
              </w:rPr>
              <w:t>准确核算</w:t>
            </w:r>
            <w:r w:rsidR="00E0468E" w:rsidRPr="00CF024D">
              <w:rPr>
                <w:rFonts w:hint="eastAsia"/>
                <w:sz w:val="19"/>
                <w:szCs w:val="19"/>
                <w:lang w:val="en-CA" w:eastAsia="zh-CN"/>
              </w:rPr>
              <w:t>FIASA</w:t>
            </w:r>
            <w:r w:rsidR="00672A3D" w:rsidRPr="00CF024D">
              <w:rPr>
                <w:rFonts w:hint="eastAsia"/>
                <w:sz w:val="19"/>
                <w:szCs w:val="19"/>
                <w:lang w:val="en-CA" w:eastAsia="zh-CN"/>
              </w:rPr>
              <w:t>的</w:t>
            </w:r>
            <w:r w:rsidR="00E0468E" w:rsidRPr="00CF024D">
              <w:rPr>
                <w:rFonts w:hint="eastAsia"/>
                <w:sz w:val="19"/>
                <w:szCs w:val="19"/>
                <w:lang w:val="en-CA" w:eastAsia="zh-CN"/>
              </w:rPr>
              <w:t>营运资金</w:t>
            </w:r>
            <w:r w:rsidR="00672A3D" w:rsidRPr="00CF024D">
              <w:rPr>
                <w:rFonts w:hint="eastAsia"/>
                <w:sz w:val="19"/>
                <w:szCs w:val="19"/>
                <w:lang w:val="en-CA" w:eastAsia="zh-CN"/>
              </w:rPr>
              <w:t>利息。工发组织模型提供了以美元计算的年度营运资金；相应地，这一营运资金数值不受汇率变化影响。相对而言，营运资金利息</w:t>
            </w:r>
            <w:r w:rsidR="002D1D74" w:rsidRPr="00CF024D">
              <w:rPr>
                <w:rFonts w:hint="eastAsia"/>
                <w:sz w:val="19"/>
                <w:szCs w:val="19"/>
                <w:lang w:val="en-CA" w:eastAsia="zh-CN"/>
              </w:rPr>
              <w:t>则是本地利率与汇率的函数</w:t>
            </w:r>
          </w:p>
          <w:p w14:paraId="3CB8A34C" w14:textId="6C65CDEC" w:rsidR="007D1E11" w:rsidRPr="00CF024D" w:rsidRDefault="002D1D74" w:rsidP="00CC3A42">
            <w:pPr>
              <w:rPr>
                <w:sz w:val="19"/>
                <w:szCs w:val="19"/>
                <w:lang w:val="en-CA" w:eastAsia="zh-CN"/>
              </w:rPr>
            </w:pPr>
            <w:r w:rsidRPr="00CF024D">
              <w:rPr>
                <w:rFonts w:hint="eastAsia"/>
                <w:sz w:val="19"/>
                <w:szCs w:val="19"/>
                <w:lang w:val="en-CA" w:eastAsia="zh-CN"/>
              </w:rPr>
              <w:t>独立顾问关于</w:t>
            </w:r>
            <w:r w:rsidRPr="00CF024D">
              <w:rPr>
                <w:rFonts w:hint="eastAsia"/>
                <w:sz w:val="19"/>
                <w:szCs w:val="19"/>
                <w:lang w:val="en-CA" w:eastAsia="zh-CN"/>
              </w:rPr>
              <w:t>FIASA</w:t>
            </w:r>
            <w:r w:rsidRPr="00CF024D">
              <w:rPr>
                <w:rFonts w:hint="eastAsia"/>
                <w:sz w:val="19"/>
                <w:szCs w:val="19"/>
                <w:lang w:val="en-CA" w:eastAsia="zh-CN"/>
              </w:rPr>
              <w:t>在</w:t>
            </w:r>
            <w:r w:rsidRPr="00CF024D">
              <w:rPr>
                <w:rFonts w:hint="eastAsia"/>
                <w:sz w:val="19"/>
                <w:szCs w:val="19"/>
                <w:lang w:val="en-CA" w:eastAsia="zh-CN"/>
              </w:rPr>
              <w:t>2020</w:t>
            </w:r>
            <w:r w:rsidRPr="00CF024D">
              <w:rPr>
                <w:rFonts w:hint="eastAsia"/>
                <w:sz w:val="19"/>
                <w:szCs w:val="19"/>
                <w:lang w:val="en-CA" w:eastAsia="zh-CN"/>
              </w:rPr>
              <w:t>年及之后不再盈利的调查结果</w:t>
            </w:r>
            <w:r w:rsidR="00CC3A42" w:rsidRPr="00CF024D">
              <w:rPr>
                <w:rFonts w:hint="eastAsia"/>
                <w:sz w:val="19"/>
                <w:szCs w:val="19"/>
                <w:lang w:val="en-CA" w:eastAsia="zh-CN"/>
              </w:rPr>
              <w:t>不受营运资金利息影响，也就是说即使利率降到零，</w:t>
            </w:r>
            <w:r w:rsidR="00CC3A42" w:rsidRPr="00CF024D">
              <w:rPr>
                <w:rFonts w:hint="eastAsia"/>
                <w:sz w:val="19"/>
                <w:szCs w:val="19"/>
                <w:lang w:val="en-CA" w:eastAsia="zh-CN"/>
              </w:rPr>
              <w:t>FIASA</w:t>
            </w:r>
            <w:r w:rsidR="00CC3A42" w:rsidRPr="00CF024D">
              <w:rPr>
                <w:rFonts w:hint="eastAsia"/>
                <w:sz w:val="19"/>
                <w:szCs w:val="19"/>
                <w:lang w:val="en-CA" w:eastAsia="zh-CN"/>
              </w:rPr>
              <w:t>仍会亏损经营</w:t>
            </w:r>
          </w:p>
        </w:tc>
      </w:tr>
      <w:tr w:rsidR="007D1E11" w:rsidRPr="00CF024D" w14:paraId="6B1A3E9C" w14:textId="77777777" w:rsidTr="00DF7628">
        <w:tc>
          <w:tcPr>
            <w:tcW w:w="4675" w:type="dxa"/>
          </w:tcPr>
          <w:p w14:paraId="3836B9F6" w14:textId="1C7D5F4E" w:rsidR="007D1E11" w:rsidRPr="00CF024D" w:rsidRDefault="00915BE0" w:rsidP="006A2132">
            <w:pPr>
              <w:rPr>
                <w:sz w:val="19"/>
                <w:szCs w:val="19"/>
                <w:lang w:val="en-CA"/>
              </w:rPr>
            </w:pPr>
            <w:r w:rsidRPr="00CF024D">
              <w:rPr>
                <w:rFonts w:hint="eastAsia"/>
                <w:sz w:val="19"/>
                <w:szCs w:val="19"/>
                <w:lang w:val="en-CA" w:eastAsia="zh-CN"/>
              </w:rPr>
              <w:t>独立顾问</w:t>
            </w:r>
            <w:r w:rsidR="006A2132" w:rsidRPr="00CF024D">
              <w:rPr>
                <w:rFonts w:hint="eastAsia"/>
                <w:sz w:val="19"/>
                <w:szCs w:val="19"/>
                <w:lang w:val="en-CA" w:eastAsia="zh-CN"/>
              </w:rPr>
              <w:t>对企业在财务上不再具备生存能力的</w:t>
            </w:r>
            <w:r w:rsidRPr="00CF024D">
              <w:rPr>
                <w:rFonts w:hint="eastAsia"/>
                <w:sz w:val="19"/>
                <w:szCs w:val="19"/>
                <w:lang w:val="en-CA" w:eastAsia="zh-CN"/>
              </w:rPr>
              <w:t>评估</w:t>
            </w:r>
            <w:r w:rsidR="006A2132" w:rsidRPr="00CF024D">
              <w:rPr>
                <w:rFonts w:hint="eastAsia"/>
                <w:sz w:val="19"/>
                <w:szCs w:val="19"/>
                <w:lang w:val="en-CA" w:eastAsia="zh-CN"/>
              </w:rPr>
              <w:t>是基于错误的假设，而不是企业经审计的</w:t>
            </w:r>
            <w:r w:rsidR="006A2132" w:rsidRPr="00CF024D">
              <w:rPr>
                <w:rFonts w:hint="eastAsia"/>
                <w:sz w:val="19"/>
                <w:szCs w:val="19"/>
                <w:lang w:val="en-CA" w:eastAsia="zh-CN"/>
              </w:rPr>
              <w:t>2019</w:t>
            </w:r>
            <w:r w:rsidR="006A2132" w:rsidRPr="00CF024D">
              <w:rPr>
                <w:rFonts w:hint="eastAsia"/>
                <w:sz w:val="19"/>
                <w:szCs w:val="19"/>
                <w:lang w:val="en-CA" w:eastAsia="zh-CN"/>
              </w:rPr>
              <w:t>年财务报表所显示的事实，报表显示企业盈利。因此，更新的技术审计不能被看作对</w:t>
            </w:r>
            <w:r w:rsidR="006A2132" w:rsidRPr="00CF024D">
              <w:rPr>
                <w:rFonts w:hint="eastAsia"/>
                <w:sz w:val="19"/>
                <w:szCs w:val="19"/>
                <w:lang w:val="en-CA" w:eastAsia="zh-CN"/>
              </w:rPr>
              <w:t>FIASA</w:t>
            </w:r>
            <w:r w:rsidR="006A2132" w:rsidRPr="00CF024D">
              <w:rPr>
                <w:rFonts w:hint="eastAsia"/>
                <w:sz w:val="19"/>
                <w:szCs w:val="19"/>
                <w:lang w:val="en-CA" w:eastAsia="zh-CN"/>
              </w:rPr>
              <w:t>经济情况的可靠评估</w:t>
            </w:r>
          </w:p>
        </w:tc>
        <w:tc>
          <w:tcPr>
            <w:tcW w:w="4675" w:type="dxa"/>
          </w:tcPr>
          <w:p w14:paraId="2688D9DA" w14:textId="782586A5" w:rsidR="007D1E11" w:rsidRPr="00CF024D" w:rsidRDefault="00F33832" w:rsidP="00932614">
            <w:pPr>
              <w:rPr>
                <w:sz w:val="19"/>
                <w:szCs w:val="19"/>
                <w:lang w:val="en-CA"/>
              </w:rPr>
            </w:pPr>
            <w:r w:rsidRPr="00CF024D">
              <w:rPr>
                <w:rFonts w:hint="eastAsia"/>
                <w:sz w:val="19"/>
                <w:szCs w:val="19"/>
                <w:lang w:val="en-CA" w:eastAsia="zh-CN"/>
              </w:rPr>
              <w:t>虽然工发组织提供的企业</w:t>
            </w:r>
            <w:r w:rsidRPr="00CF024D">
              <w:rPr>
                <w:rFonts w:hint="eastAsia"/>
                <w:sz w:val="19"/>
                <w:szCs w:val="19"/>
                <w:lang w:val="en-CA" w:eastAsia="zh-CN"/>
              </w:rPr>
              <w:t>2017</w:t>
            </w:r>
            <w:r w:rsidRPr="00CF024D">
              <w:rPr>
                <w:rFonts w:hint="eastAsia"/>
                <w:sz w:val="19"/>
                <w:szCs w:val="19"/>
                <w:lang w:val="en-CA" w:eastAsia="zh-CN"/>
              </w:rPr>
              <w:t>年至</w:t>
            </w:r>
            <w:r w:rsidRPr="00CF024D">
              <w:rPr>
                <w:rFonts w:hint="eastAsia"/>
                <w:sz w:val="19"/>
                <w:szCs w:val="19"/>
                <w:lang w:val="en-CA" w:eastAsia="zh-CN"/>
              </w:rPr>
              <w:t>2019</w:t>
            </w:r>
            <w:r w:rsidRPr="00CF024D">
              <w:rPr>
                <w:rFonts w:hint="eastAsia"/>
                <w:sz w:val="19"/>
                <w:szCs w:val="19"/>
                <w:lang w:val="en-CA" w:eastAsia="zh-CN"/>
              </w:rPr>
              <w:t>年经审计的财务报表显示企业盈利，</w:t>
            </w:r>
            <w:r w:rsidR="00932614" w:rsidRPr="00CF024D">
              <w:rPr>
                <w:rFonts w:hint="eastAsia"/>
                <w:sz w:val="19"/>
                <w:szCs w:val="19"/>
                <w:lang w:val="en-CA" w:eastAsia="zh-CN"/>
              </w:rPr>
              <w:t>报表并未将损益归因于</w:t>
            </w:r>
            <w:r w:rsidR="00932614" w:rsidRPr="00CF024D">
              <w:rPr>
                <w:rFonts w:hint="eastAsia"/>
                <w:sz w:val="19"/>
                <w:szCs w:val="19"/>
                <w:lang w:val="en-CA" w:eastAsia="zh-CN"/>
              </w:rPr>
              <w:t>FIASA</w:t>
            </w:r>
            <w:r w:rsidR="00932614" w:rsidRPr="00CF024D">
              <w:rPr>
                <w:rFonts w:hint="eastAsia"/>
                <w:sz w:val="19"/>
                <w:szCs w:val="19"/>
                <w:lang w:val="en-CA" w:eastAsia="zh-CN"/>
              </w:rPr>
              <w:t>的不同业务经营部门，包括</w:t>
            </w:r>
            <w:r w:rsidR="00932614" w:rsidRPr="00CF024D">
              <w:rPr>
                <w:rFonts w:hint="eastAsia"/>
                <w:sz w:val="19"/>
                <w:szCs w:val="19"/>
                <w:lang w:val="en-CA" w:eastAsia="zh-CN"/>
              </w:rPr>
              <w:t>HCFC-22</w:t>
            </w:r>
            <w:r w:rsidR="00932614" w:rsidRPr="00CF024D">
              <w:rPr>
                <w:rFonts w:hint="eastAsia"/>
                <w:sz w:val="19"/>
                <w:szCs w:val="19"/>
                <w:lang w:val="en-CA" w:eastAsia="zh-CN"/>
              </w:rPr>
              <w:t>生产、硝酸生产及其它制冷气体的商业化。工发组织指出</w:t>
            </w:r>
            <w:r w:rsidR="00932614" w:rsidRPr="00CF024D">
              <w:rPr>
                <w:rFonts w:hint="eastAsia"/>
                <w:sz w:val="19"/>
                <w:szCs w:val="19"/>
                <w:lang w:val="en-CA" w:eastAsia="zh-CN"/>
              </w:rPr>
              <w:t>HCFC-22</w:t>
            </w:r>
            <w:r w:rsidR="00932614" w:rsidRPr="00CF024D">
              <w:rPr>
                <w:rFonts w:hint="eastAsia"/>
                <w:sz w:val="19"/>
                <w:szCs w:val="19"/>
                <w:lang w:val="en-CA" w:eastAsia="zh-CN"/>
              </w:rPr>
              <w:t>生产是</w:t>
            </w:r>
            <w:r w:rsidR="00932614" w:rsidRPr="00CF024D">
              <w:rPr>
                <w:rFonts w:hint="eastAsia"/>
                <w:sz w:val="19"/>
                <w:szCs w:val="19"/>
                <w:lang w:val="en-CA" w:eastAsia="zh-CN"/>
              </w:rPr>
              <w:t>FIASA</w:t>
            </w:r>
            <w:r w:rsidR="00932614" w:rsidRPr="00CF024D">
              <w:rPr>
                <w:rFonts w:hint="eastAsia"/>
                <w:sz w:val="19"/>
                <w:szCs w:val="19"/>
                <w:lang w:val="en-CA" w:eastAsia="zh-CN"/>
              </w:rPr>
              <w:t>业务经营盈利最大的部分</w:t>
            </w:r>
          </w:p>
        </w:tc>
      </w:tr>
    </w:tbl>
    <w:p w14:paraId="2BFE973A" w14:textId="77777777" w:rsidR="00D6695B" w:rsidRPr="00CF024D" w:rsidRDefault="00D6695B" w:rsidP="00D6695B">
      <w:pPr>
        <w:rPr>
          <w:lang w:val="en-CA"/>
        </w:rPr>
      </w:pPr>
    </w:p>
    <w:p w14:paraId="65687A95" w14:textId="138E366A" w:rsidR="008331EA" w:rsidRPr="00CF024D" w:rsidRDefault="007310EB" w:rsidP="008331EA">
      <w:pPr>
        <w:keepNext/>
        <w:jc w:val="center"/>
        <w:rPr>
          <w:b/>
          <w:lang w:val="en-CA" w:eastAsia="zh-CN"/>
        </w:rPr>
      </w:pPr>
      <w:r w:rsidRPr="00CF024D">
        <w:rPr>
          <w:rFonts w:hint="eastAsia"/>
          <w:b/>
          <w:lang w:val="en-CA" w:eastAsia="zh-CN"/>
        </w:rPr>
        <w:t>图</w:t>
      </w:r>
      <w:r w:rsidR="008331EA" w:rsidRPr="00CF024D">
        <w:rPr>
          <w:b/>
          <w:lang w:val="en-CA"/>
        </w:rPr>
        <w:t>1. 2004</w:t>
      </w:r>
      <w:r w:rsidR="008B1FCB" w:rsidRPr="00CF024D">
        <w:rPr>
          <w:rFonts w:hint="eastAsia"/>
          <w:b/>
          <w:lang w:val="en-CA" w:eastAsia="zh-CN"/>
        </w:rPr>
        <w:t>年至</w:t>
      </w:r>
      <w:r w:rsidR="008331EA" w:rsidRPr="00CF024D">
        <w:rPr>
          <w:b/>
          <w:lang w:val="en-CA"/>
        </w:rPr>
        <w:t>2019</w:t>
      </w:r>
      <w:r w:rsidR="008B1FCB" w:rsidRPr="00CF024D">
        <w:rPr>
          <w:rFonts w:hint="eastAsia"/>
          <w:b/>
          <w:lang w:val="en-CA" w:eastAsia="zh-CN"/>
        </w:rPr>
        <w:t>年</w:t>
      </w:r>
      <w:r w:rsidR="006B478E" w:rsidRPr="00CF024D">
        <w:rPr>
          <w:b/>
          <w:lang w:val="en-CA" w:eastAsia="zh-CN"/>
        </w:rPr>
        <w:t>FIASA</w:t>
      </w:r>
      <w:r w:rsidR="006B478E" w:rsidRPr="00CF024D">
        <w:rPr>
          <w:b/>
          <w:lang w:val="en-CA" w:eastAsia="zh-CN"/>
        </w:rPr>
        <w:t>工厂</w:t>
      </w:r>
      <w:r w:rsidR="008B1FCB" w:rsidRPr="00CF024D">
        <w:rPr>
          <w:rFonts w:hint="eastAsia"/>
          <w:b/>
          <w:lang w:val="en-CA" w:eastAsia="zh-CN"/>
        </w:rPr>
        <w:t>HCFC-22</w:t>
      </w:r>
      <w:r w:rsidR="008B1FCB" w:rsidRPr="00CF024D">
        <w:rPr>
          <w:rFonts w:hint="eastAsia"/>
          <w:b/>
          <w:lang w:val="en-CA" w:eastAsia="zh-CN"/>
        </w:rPr>
        <w:t>销售</w:t>
      </w:r>
    </w:p>
    <w:p w14:paraId="7433994A" w14:textId="5F056C24" w:rsidR="008331EA" w:rsidRPr="00CF024D" w:rsidRDefault="008331EA" w:rsidP="008331EA">
      <w:pPr>
        <w:jc w:val="center"/>
        <w:rPr>
          <w:lang w:val="en-CA"/>
        </w:rPr>
      </w:pPr>
      <w:r w:rsidRPr="00CF024D">
        <w:rPr>
          <w:noProof/>
          <w:lang w:val="en-US"/>
        </w:rPr>
        <w:drawing>
          <wp:inline distT="0" distB="0" distL="0" distR="0" wp14:anchorId="7CF31202" wp14:editId="760FD1B4">
            <wp:extent cx="5306993" cy="3271069"/>
            <wp:effectExtent l="0" t="0" r="190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128B53" w14:textId="151F877E" w:rsidR="006A4BCB" w:rsidRPr="00CF024D" w:rsidRDefault="006A4BCB" w:rsidP="006A4BCB">
      <w:pPr>
        <w:rPr>
          <w:lang w:val="en-CA"/>
        </w:rPr>
      </w:pPr>
    </w:p>
    <w:p w14:paraId="47FC0B67" w14:textId="59D04F40" w:rsidR="0008667E" w:rsidRPr="00CF024D" w:rsidRDefault="00C31ECB" w:rsidP="0049694C">
      <w:pPr>
        <w:rPr>
          <w:u w:val="single"/>
          <w:lang w:val="en-CA"/>
        </w:rPr>
      </w:pPr>
      <w:r w:rsidRPr="00CF024D">
        <w:rPr>
          <w:u w:val="single"/>
          <w:lang w:val="en-CA" w:eastAsia="zh-CN"/>
        </w:rPr>
        <w:t>备选方案</w:t>
      </w:r>
      <w:r w:rsidR="00D34BF4" w:rsidRPr="00CF024D">
        <w:rPr>
          <w:rFonts w:hint="eastAsia"/>
          <w:u w:val="single"/>
          <w:lang w:val="en-CA" w:eastAsia="zh-CN"/>
        </w:rPr>
        <w:t>2</w:t>
      </w:r>
      <w:r w:rsidR="00D34BF4" w:rsidRPr="00CF024D">
        <w:rPr>
          <w:rFonts w:hint="eastAsia"/>
          <w:u w:val="single"/>
          <w:lang w:val="en-CA" w:eastAsia="zh-CN"/>
        </w:rPr>
        <w:t>：重启焚化炉并继续</w:t>
      </w:r>
      <w:r w:rsidR="00D34BF4" w:rsidRPr="00CF024D">
        <w:rPr>
          <w:rFonts w:hint="eastAsia"/>
          <w:u w:val="single"/>
          <w:lang w:val="en-CA" w:eastAsia="zh-CN"/>
        </w:rPr>
        <w:t>HCFC-22</w:t>
      </w:r>
      <w:r w:rsidR="00D34BF4" w:rsidRPr="00CF024D">
        <w:rPr>
          <w:rFonts w:hint="eastAsia"/>
          <w:u w:val="single"/>
          <w:lang w:val="en-CA" w:eastAsia="zh-CN"/>
        </w:rPr>
        <w:t>生产</w:t>
      </w:r>
    </w:p>
    <w:p w14:paraId="0DFEF88A" w14:textId="77777777" w:rsidR="0049694C" w:rsidRPr="00CF024D" w:rsidRDefault="0049694C" w:rsidP="0049694C">
      <w:pPr>
        <w:rPr>
          <w:u w:val="single"/>
          <w:lang w:val="en-CA"/>
        </w:rPr>
      </w:pPr>
    </w:p>
    <w:p w14:paraId="0E284930" w14:textId="0A0EB34D" w:rsidR="005F75A4" w:rsidRPr="00CF024D" w:rsidRDefault="00C075C0" w:rsidP="00AB202A">
      <w:pPr>
        <w:pStyle w:val="Heading1"/>
        <w:rPr>
          <w:lang w:val="en-CA"/>
        </w:rPr>
      </w:pPr>
      <w:r w:rsidRPr="00CF024D">
        <w:rPr>
          <w:rFonts w:hint="eastAsia"/>
          <w:lang w:val="en-CA" w:eastAsia="zh-CN"/>
        </w:rPr>
        <w:t>政府不同意秘书处对</w:t>
      </w:r>
      <w:r w:rsidR="00C31ECB" w:rsidRPr="00CF024D">
        <w:rPr>
          <w:lang w:val="en-CA" w:eastAsia="zh-CN"/>
        </w:rPr>
        <w:t>备选方案</w:t>
      </w:r>
      <w:r w:rsidRPr="00CF024D">
        <w:rPr>
          <w:rFonts w:hint="eastAsia"/>
          <w:lang w:val="en-CA" w:eastAsia="zh-CN"/>
        </w:rPr>
        <w:t>2</w:t>
      </w:r>
      <w:r w:rsidRPr="00CF024D">
        <w:rPr>
          <w:rFonts w:hint="eastAsia"/>
          <w:lang w:val="en-CA" w:eastAsia="zh-CN"/>
        </w:rPr>
        <w:t>评估的成本，尤其因为整个项目成本计算应基于</w:t>
      </w:r>
      <w:r w:rsidR="000B22FB" w:rsidRPr="00CF024D">
        <w:rPr>
          <w:rFonts w:hint="eastAsia"/>
          <w:lang w:val="en-CA" w:eastAsia="zh-CN"/>
        </w:rPr>
        <w:t>单一货币，正如多边基金下所有既往项目所做的，而不是混合两种货币；</w:t>
      </w:r>
      <w:r w:rsidR="00B933AA" w:rsidRPr="00CF024D">
        <w:rPr>
          <w:rFonts w:hint="eastAsia"/>
          <w:lang w:val="en-CA" w:eastAsia="zh-CN"/>
        </w:rPr>
        <w:t>因为政府不能强制企业注册为危险废物生产者和危险废物处理设施，而这是使用低温罐所要求的；也因为政府认为秘书处提出的销毁成本不能覆盖实际成本。相应地，如果不能按提交的操作成本达成共识，阿根廷政府</w:t>
      </w:r>
      <w:r w:rsidR="004D45E1" w:rsidRPr="00CF024D">
        <w:rPr>
          <w:rFonts w:hint="eastAsia"/>
          <w:lang w:val="en-CA" w:eastAsia="zh-CN"/>
        </w:rPr>
        <w:t>则</w:t>
      </w:r>
      <w:r w:rsidR="00B933AA" w:rsidRPr="00CF024D">
        <w:rPr>
          <w:rFonts w:hint="eastAsia"/>
          <w:lang w:val="en-CA" w:eastAsia="zh-CN"/>
        </w:rPr>
        <w:t>不能</w:t>
      </w:r>
      <w:r w:rsidR="004D45E1" w:rsidRPr="00CF024D">
        <w:rPr>
          <w:rFonts w:hint="eastAsia"/>
          <w:lang w:val="en-CA" w:eastAsia="zh-CN"/>
        </w:rPr>
        <w:t>就销毁</w:t>
      </w:r>
      <w:r w:rsidR="004D45E1" w:rsidRPr="00CF024D">
        <w:rPr>
          <w:rFonts w:hint="eastAsia"/>
          <w:lang w:val="en-CA" w:eastAsia="zh-CN"/>
        </w:rPr>
        <w:t>HFC-23</w:t>
      </w:r>
      <w:r w:rsidR="004D45E1" w:rsidRPr="00CF024D">
        <w:rPr>
          <w:rFonts w:hint="eastAsia"/>
          <w:lang w:val="en-CA" w:eastAsia="zh-CN"/>
        </w:rPr>
        <w:t>做出承诺。</w:t>
      </w:r>
    </w:p>
    <w:p w14:paraId="3A6599C1" w14:textId="100A4A79" w:rsidR="006A7BA7" w:rsidRPr="00CF024D" w:rsidRDefault="00576532" w:rsidP="008D1FBD">
      <w:pPr>
        <w:pStyle w:val="Heading1"/>
        <w:rPr>
          <w:lang w:val="en-CA"/>
        </w:rPr>
      </w:pPr>
      <w:r w:rsidRPr="00CF024D">
        <w:rPr>
          <w:rFonts w:hint="eastAsia"/>
          <w:lang w:val="en-CA" w:eastAsia="zh-CN"/>
        </w:rPr>
        <w:lastRenderedPageBreak/>
        <w:t>秘书处注意到如下：</w:t>
      </w:r>
    </w:p>
    <w:p w14:paraId="5D14D781" w14:textId="15F26A8E" w:rsidR="002641A6" w:rsidRPr="00CF024D" w:rsidRDefault="00576532" w:rsidP="008D1FBD">
      <w:pPr>
        <w:pStyle w:val="Heading2"/>
        <w:tabs>
          <w:tab w:val="clear" w:pos="3060"/>
          <w:tab w:val="num" w:pos="-2160"/>
        </w:tabs>
        <w:ind w:left="1440"/>
        <w:rPr>
          <w:lang w:val="en-CA"/>
        </w:rPr>
      </w:pPr>
      <w:r w:rsidRPr="00CF024D">
        <w:rPr>
          <w:rFonts w:hint="eastAsia"/>
          <w:lang w:val="en-CA" w:eastAsia="zh-CN"/>
        </w:rPr>
        <w:t>该国</w:t>
      </w:r>
      <w:r w:rsidRPr="00CF024D">
        <w:rPr>
          <w:rFonts w:hint="eastAsia"/>
          <w:lang w:val="en-CA" w:eastAsia="zh-CN"/>
        </w:rPr>
        <w:t>2020</w:t>
      </w:r>
      <w:r w:rsidRPr="00CF024D">
        <w:rPr>
          <w:rFonts w:hint="eastAsia"/>
          <w:lang w:val="en-CA" w:eastAsia="zh-CN"/>
        </w:rPr>
        <w:t>年之前盛行的经济危机以及</w:t>
      </w:r>
      <w:r w:rsidRPr="00CF024D">
        <w:rPr>
          <w:rFonts w:hint="eastAsia"/>
          <w:lang w:val="en-CA" w:eastAsia="zh-CN"/>
        </w:rPr>
        <w:t>2020</w:t>
      </w:r>
      <w:r w:rsidRPr="00CF024D">
        <w:rPr>
          <w:rFonts w:hint="eastAsia"/>
          <w:lang w:val="en-CA" w:eastAsia="zh-CN"/>
        </w:rPr>
        <w:t>年以来新冠大流行加剧的危机严重影响了阿根廷经济，（即</w:t>
      </w:r>
      <w:r w:rsidR="00A93AD8" w:rsidRPr="00CF024D">
        <w:rPr>
          <w:rFonts w:hint="eastAsia"/>
          <w:lang w:val="en-CA" w:eastAsia="zh-CN"/>
        </w:rPr>
        <w:t>自第八十三次会议以来阿根廷比索相对于美元持续贬值（见附件一），以及</w:t>
      </w:r>
      <w:r w:rsidR="00A93AD8" w:rsidRPr="00CF024D">
        <w:rPr>
          <w:rFonts w:hint="eastAsia"/>
          <w:lang w:val="en-CA" w:eastAsia="zh-CN"/>
        </w:rPr>
        <w:t>2019</w:t>
      </w:r>
      <w:r w:rsidR="00A93AD8" w:rsidRPr="00CF024D">
        <w:rPr>
          <w:rFonts w:hint="eastAsia"/>
          <w:lang w:val="en-CA" w:eastAsia="zh-CN"/>
        </w:rPr>
        <w:t>年和</w:t>
      </w:r>
      <w:r w:rsidR="00A93AD8" w:rsidRPr="00CF024D">
        <w:rPr>
          <w:rFonts w:hint="eastAsia"/>
          <w:lang w:val="en-CA" w:eastAsia="zh-CN"/>
        </w:rPr>
        <w:t>2020</w:t>
      </w:r>
      <w:r w:rsidR="00A93AD8" w:rsidRPr="00CF024D">
        <w:rPr>
          <w:rFonts w:hint="eastAsia"/>
          <w:lang w:val="en-CA" w:eastAsia="zh-CN"/>
        </w:rPr>
        <w:t>年通胀率分别达到</w:t>
      </w:r>
      <w:r w:rsidR="00A93AD8" w:rsidRPr="00CF024D">
        <w:rPr>
          <w:rFonts w:hint="eastAsia"/>
          <w:lang w:val="en-CA" w:eastAsia="zh-CN"/>
        </w:rPr>
        <w:t>53.5%</w:t>
      </w:r>
      <w:r w:rsidR="00A93AD8" w:rsidRPr="00CF024D">
        <w:rPr>
          <w:rFonts w:hint="eastAsia"/>
          <w:lang w:val="en-CA" w:eastAsia="zh-CN"/>
        </w:rPr>
        <w:t>和</w:t>
      </w:r>
      <w:r w:rsidR="00A93AD8" w:rsidRPr="00CF024D">
        <w:rPr>
          <w:rFonts w:hint="eastAsia"/>
          <w:lang w:val="en-CA" w:eastAsia="zh-CN"/>
        </w:rPr>
        <w:t>37.8%</w:t>
      </w:r>
      <w:r w:rsidR="00A93AD8" w:rsidRPr="00CF024D">
        <w:rPr>
          <w:rFonts w:hint="eastAsia"/>
          <w:lang w:val="en-CA" w:eastAsia="zh-CN"/>
        </w:rPr>
        <w:t>）；相应地，提交第八十三次会议的本地费用已不再合适。在这种特殊情况下，秘书处认为应考虑</w:t>
      </w:r>
      <w:r w:rsidR="002D5A99" w:rsidRPr="00CF024D">
        <w:rPr>
          <w:rFonts w:hint="eastAsia"/>
          <w:lang w:val="en-CA" w:eastAsia="zh-CN"/>
        </w:rPr>
        <w:t>到</w:t>
      </w:r>
      <w:r w:rsidR="00A93AD8" w:rsidRPr="00CF024D">
        <w:rPr>
          <w:rFonts w:hint="eastAsia"/>
          <w:lang w:val="en-CA" w:eastAsia="zh-CN"/>
        </w:rPr>
        <w:t>阿根廷比索相对于美元的价值变化和</w:t>
      </w:r>
      <w:r w:rsidR="002D5A99" w:rsidRPr="00CF024D">
        <w:rPr>
          <w:rFonts w:hint="eastAsia"/>
          <w:lang w:val="en-CA" w:eastAsia="zh-CN"/>
        </w:rPr>
        <w:t>通胀的影响；</w:t>
      </w:r>
      <w:r w:rsidR="0040481D" w:rsidRPr="00CF024D">
        <w:rPr>
          <w:lang w:val="en-CA"/>
        </w:rPr>
        <w:t xml:space="preserve"> </w:t>
      </w:r>
    </w:p>
    <w:p w14:paraId="001E3335" w14:textId="21D624FB" w:rsidR="0040481D" w:rsidRPr="00CF024D" w:rsidRDefault="00B47B61" w:rsidP="00CC546A">
      <w:pPr>
        <w:pStyle w:val="Heading2"/>
        <w:keepNext/>
        <w:keepLines/>
        <w:widowControl/>
        <w:tabs>
          <w:tab w:val="clear" w:pos="3060"/>
          <w:tab w:val="num" w:pos="-2160"/>
        </w:tabs>
        <w:ind w:left="1440"/>
        <w:rPr>
          <w:lang w:val="en-CA"/>
        </w:rPr>
      </w:pPr>
      <w:r w:rsidRPr="00CF024D">
        <w:rPr>
          <w:rFonts w:hint="eastAsia"/>
          <w:lang w:val="en-CA" w:eastAsia="zh-CN"/>
        </w:rPr>
        <w:t>秘书处估计的费用与工发组织提议的费用之间的主要差异是焚化炉固定成本的大幅减少，鉴于秘书处假设企业将注册为危险废物生产者和危险废物处理设施</w:t>
      </w:r>
      <w:r w:rsidR="00CA7497" w:rsidRPr="00CF024D">
        <w:rPr>
          <w:rFonts w:hint="eastAsia"/>
          <w:lang w:val="en-CA" w:eastAsia="zh-CN"/>
        </w:rPr>
        <w:t>，以及企业在清洁发展机制下所做的，使用低温罐，使焚化炉在项目期间运行；以及</w:t>
      </w:r>
      <w:r w:rsidR="0040481D" w:rsidRPr="00CF024D">
        <w:rPr>
          <w:lang w:val="en-CA"/>
        </w:rPr>
        <w:t xml:space="preserve"> </w:t>
      </w:r>
    </w:p>
    <w:p w14:paraId="4D5E5C6D" w14:textId="55F9B38E" w:rsidR="008D1FBD" w:rsidRPr="00CF024D" w:rsidRDefault="008F63AE" w:rsidP="008D1FBD">
      <w:pPr>
        <w:pStyle w:val="Heading2"/>
        <w:tabs>
          <w:tab w:val="clear" w:pos="3060"/>
          <w:tab w:val="num" w:pos="-2160"/>
        </w:tabs>
        <w:ind w:left="1440"/>
        <w:rPr>
          <w:lang w:val="en-CA" w:eastAsia="zh-CN"/>
        </w:rPr>
      </w:pPr>
      <w:r w:rsidRPr="00CF024D">
        <w:rPr>
          <w:rFonts w:hint="eastAsia"/>
          <w:lang w:val="en-CA" w:eastAsia="zh-CN"/>
        </w:rPr>
        <w:t>应提供增量运营成本的期限是个政策问题，就此执行委员会成员表达了不同意见，秘书处也在寻求指导。</w:t>
      </w:r>
      <w:r w:rsidR="00A049CF" w:rsidRPr="00CF024D">
        <w:rPr>
          <w:rFonts w:hint="eastAsia"/>
          <w:lang w:val="en-CA" w:eastAsia="zh-CN"/>
        </w:rPr>
        <w:t>此外，基于秘书处和独立顾问</w:t>
      </w:r>
      <w:r w:rsidR="00360B08" w:rsidRPr="00CF024D">
        <w:rPr>
          <w:rFonts w:hint="eastAsia"/>
          <w:lang w:val="en-CA" w:eastAsia="zh-CN"/>
        </w:rPr>
        <w:t>对</w:t>
      </w:r>
      <w:r w:rsidR="006B478E" w:rsidRPr="00CF024D">
        <w:rPr>
          <w:lang w:val="en-CA" w:eastAsia="zh-CN"/>
        </w:rPr>
        <w:t>FIASA</w:t>
      </w:r>
      <w:r w:rsidR="006B478E" w:rsidRPr="00CF024D">
        <w:rPr>
          <w:lang w:val="en-CA" w:eastAsia="zh-CN"/>
        </w:rPr>
        <w:t>工厂</w:t>
      </w:r>
      <w:r w:rsidR="00360B08" w:rsidRPr="00CF024D">
        <w:rPr>
          <w:rFonts w:hint="eastAsia"/>
          <w:lang w:val="en-CA" w:eastAsia="zh-CN"/>
        </w:rPr>
        <w:t>HCFC-22</w:t>
      </w:r>
      <w:r w:rsidR="00360B08" w:rsidRPr="00CF024D">
        <w:rPr>
          <w:rFonts w:hint="eastAsia"/>
          <w:lang w:val="en-CA" w:eastAsia="zh-CN"/>
        </w:rPr>
        <w:t>生产不再具有财务可行性</w:t>
      </w:r>
      <w:r w:rsidR="00A049CF" w:rsidRPr="00CF024D">
        <w:rPr>
          <w:rFonts w:hint="eastAsia"/>
          <w:lang w:val="en-CA" w:eastAsia="zh-CN"/>
        </w:rPr>
        <w:t>的评估</w:t>
      </w:r>
      <w:r w:rsidR="00360B08" w:rsidRPr="00CF024D">
        <w:rPr>
          <w:rFonts w:hint="eastAsia"/>
          <w:lang w:val="en-CA" w:eastAsia="zh-CN"/>
        </w:rPr>
        <w:t>，秘书处认为该企业不太可能继续生产</w:t>
      </w:r>
      <w:r w:rsidR="00360B08" w:rsidRPr="00CF024D">
        <w:rPr>
          <w:rFonts w:hint="eastAsia"/>
          <w:lang w:val="en-CA" w:eastAsia="zh-CN"/>
        </w:rPr>
        <w:t>HCFC-22</w:t>
      </w:r>
      <w:r w:rsidR="00360B08" w:rsidRPr="00CF024D">
        <w:rPr>
          <w:rFonts w:hint="eastAsia"/>
          <w:lang w:val="en-CA" w:eastAsia="zh-CN"/>
        </w:rPr>
        <w:t>直至</w:t>
      </w:r>
      <w:r w:rsidR="00360B08" w:rsidRPr="00CF024D">
        <w:rPr>
          <w:rFonts w:hint="eastAsia"/>
          <w:lang w:val="en-CA" w:eastAsia="zh-CN"/>
        </w:rPr>
        <w:t>2029</w:t>
      </w:r>
      <w:r w:rsidR="00360B08" w:rsidRPr="00CF024D">
        <w:rPr>
          <w:rFonts w:hint="eastAsia"/>
          <w:lang w:val="en-CA" w:eastAsia="zh-CN"/>
        </w:rPr>
        <w:t>年。注意到在提交第八十五次会议的项目提案中，企业不会立即关闭其</w:t>
      </w:r>
      <w:r w:rsidR="00360B08" w:rsidRPr="00CF024D">
        <w:rPr>
          <w:rFonts w:hint="eastAsia"/>
          <w:lang w:val="en-CA" w:eastAsia="zh-CN"/>
        </w:rPr>
        <w:t>HCFC-22</w:t>
      </w:r>
      <w:r w:rsidR="00360B08" w:rsidRPr="00CF024D">
        <w:rPr>
          <w:rFonts w:hint="eastAsia"/>
          <w:lang w:val="en-CA" w:eastAsia="zh-CN"/>
        </w:rPr>
        <w:t>生产；</w:t>
      </w:r>
      <w:r w:rsidR="00BF39E2" w:rsidRPr="00CF024D">
        <w:rPr>
          <w:rFonts w:hint="eastAsia"/>
          <w:lang w:val="en-CA" w:eastAsia="zh-CN"/>
        </w:rPr>
        <w:t>相反，企业可能在一段不确定</w:t>
      </w:r>
      <w:r w:rsidR="00FB41D8" w:rsidRPr="00CF024D">
        <w:rPr>
          <w:rFonts w:hint="eastAsia"/>
          <w:lang w:val="en-CA" w:eastAsia="zh-CN"/>
        </w:rPr>
        <w:t>的</w:t>
      </w:r>
      <w:r w:rsidR="00BF39E2" w:rsidRPr="00CF024D">
        <w:rPr>
          <w:rFonts w:hint="eastAsia"/>
          <w:lang w:val="en-CA" w:eastAsia="zh-CN"/>
        </w:rPr>
        <w:t>时间内继续生产</w:t>
      </w:r>
      <w:r w:rsidR="00BF39E2" w:rsidRPr="00CF024D">
        <w:rPr>
          <w:rFonts w:hint="eastAsia"/>
          <w:lang w:val="en-CA" w:eastAsia="zh-CN"/>
        </w:rPr>
        <w:t>HCFC-22</w:t>
      </w:r>
      <w:r w:rsidR="00BF39E2" w:rsidRPr="00CF024D">
        <w:rPr>
          <w:rFonts w:hint="eastAsia"/>
          <w:lang w:val="en-CA" w:eastAsia="zh-CN"/>
        </w:rPr>
        <w:t>并提高其价格</w:t>
      </w:r>
      <w:r w:rsidR="00985041" w:rsidRPr="00CF024D">
        <w:rPr>
          <w:lang w:val="en-CA" w:eastAsia="zh-CN"/>
        </w:rPr>
        <w:t xml:space="preserve"> </w:t>
      </w:r>
      <w:r w:rsidR="00BF39E2" w:rsidRPr="00CF024D">
        <w:rPr>
          <w:rFonts w:hint="eastAsia"/>
          <w:lang w:val="en-CA" w:eastAsia="zh-CN"/>
        </w:rPr>
        <w:t>，造成</w:t>
      </w:r>
      <w:r w:rsidR="00BF39E2" w:rsidRPr="00CF024D">
        <w:rPr>
          <w:rFonts w:hint="eastAsia"/>
          <w:lang w:val="en-CA" w:eastAsia="zh-CN"/>
        </w:rPr>
        <w:t>HCFC-22</w:t>
      </w:r>
      <w:r w:rsidR="00BF39E2" w:rsidRPr="00CF024D">
        <w:rPr>
          <w:rFonts w:hint="eastAsia"/>
          <w:lang w:val="en-CA" w:eastAsia="zh-CN"/>
        </w:rPr>
        <w:t>价格提升导致需求和生产进一步下降，以致</w:t>
      </w:r>
      <w:r w:rsidR="00BF39E2" w:rsidRPr="00CF024D">
        <w:rPr>
          <w:rFonts w:hint="eastAsia"/>
          <w:lang w:val="en-CA" w:eastAsia="zh-CN"/>
        </w:rPr>
        <w:t>HCFC-22</w:t>
      </w:r>
      <w:r w:rsidR="00BF39E2" w:rsidRPr="00CF024D">
        <w:rPr>
          <w:rFonts w:hint="eastAsia"/>
          <w:lang w:val="en-CA" w:eastAsia="zh-CN"/>
        </w:rPr>
        <w:t>价格进一步提升的循环。</w:t>
      </w:r>
    </w:p>
    <w:p w14:paraId="61104137" w14:textId="441623B8" w:rsidR="00572932" w:rsidRPr="00CF024D" w:rsidRDefault="00C43D39" w:rsidP="00572932">
      <w:pPr>
        <w:rPr>
          <w:b/>
          <w:lang w:val="en-CA"/>
        </w:rPr>
      </w:pPr>
      <w:r w:rsidRPr="00CF024D">
        <w:rPr>
          <w:rFonts w:hint="eastAsia"/>
          <w:b/>
          <w:lang w:val="en-CA" w:eastAsia="zh-CN"/>
        </w:rPr>
        <w:t>结论</w:t>
      </w:r>
    </w:p>
    <w:p w14:paraId="19E3ED7B" w14:textId="77777777" w:rsidR="00D213D7" w:rsidRPr="00CF024D" w:rsidRDefault="00D213D7" w:rsidP="00572932">
      <w:pPr>
        <w:rPr>
          <w:lang w:val="en-CA"/>
        </w:rPr>
      </w:pPr>
    </w:p>
    <w:p w14:paraId="42D9C9AE" w14:textId="1F33E63C" w:rsidR="002A635D" w:rsidRPr="00CF024D" w:rsidRDefault="000D0001" w:rsidP="00327329">
      <w:pPr>
        <w:pStyle w:val="Heading1"/>
        <w:rPr>
          <w:lang w:val="en-CA"/>
        </w:rPr>
      </w:pPr>
      <w:r w:rsidRPr="00CF024D">
        <w:rPr>
          <w:rFonts w:hint="eastAsia"/>
          <w:lang w:val="en-CA" w:eastAsia="zh-CN"/>
        </w:rPr>
        <w:t>阿根廷政府是第一个申请多边基金援助控制其副产品</w:t>
      </w:r>
      <w:r w:rsidRPr="00CF024D">
        <w:rPr>
          <w:rFonts w:hint="eastAsia"/>
          <w:lang w:val="en-CA" w:eastAsia="zh-CN"/>
        </w:rPr>
        <w:t>HFC-23</w:t>
      </w:r>
      <w:r w:rsidRPr="00CF024D">
        <w:rPr>
          <w:rFonts w:hint="eastAsia"/>
          <w:lang w:val="en-CA" w:eastAsia="zh-CN"/>
        </w:rPr>
        <w:t>排放的第五条国家。在第八十次会议上，政府提供了关闭</w:t>
      </w:r>
      <w:r w:rsidR="006B478E" w:rsidRPr="00CF024D">
        <w:rPr>
          <w:lang w:val="en-CA" w:eastAsia="zh-CN"/>
        </w:rPr>
        <w:t>FIASA</w:t>
      </w:r>
      <w:r w:rsidR="006B478E" w:rsidRPr="00CF024D">
        <w:rPr>
          <w:lang w:val="en-CA" w:eastAsia="zh-CN"/>
        </w:rPr>
        <w:t>工厂</w:t>
      </w:r>
      <w:r w:rsidRPr="00CF024D">
        <w:rPr>
          <w:rFonts w:hint="eastAsia"/>
          <w:lang w:val="en-CA" w:eastAsia="zh-CN"/>
        </w:rPr>
        <w:t>HCFC-22</w:t>
      </w:r>
      <w:r w:rsidRPr="00CF024D">
        <w:rPr>
          <w:rFonts w:hint="eastAsia"/>
          <w:lang w:val="en-CA" w:eastAsia="zh-CN"/>
        </w:rPr>
        <w:t>周期生产工厂的初步数据</w:t>
      </w:r>
      <w:r w:rsidR="002A635D" w:rsidRPr="00CF024D">
        <w:rPr>
          <w:rStyle w:val="FootnoteReference"/>
          <w:lang w:val="en-CA"/>
        </w:rPr>
        <w:footnoteReference w:id="17"/>
      </w:r>
      <w:r w:rsidRPr="00CF024D">
        <w:rPr>
          <w:rFonts w:hint="eastAsia"/>
          <w:lang w:val="en-CA" w:eastAsia="zh-CN"/>
        </w:rPr>
        <w:t>；向第八十二次会议提供了尤其是</w:t>
      </w:r>
      <w:r w:rsidR="007E4926" w:rsidRPr="00CF024D">
        <w:rPr>
          <w:rFonts w:hint="eastAsia"/>
          <w:lang w:val="en-CA" w:eastAsia="zh-CN"/>
        </w:rPr>
        <w:t>与控制副产品</w:t>
      </w:r>
      <w:r w:rsidR="007E4926" w:rsidRPr="00CF024D">
        <w:rPr>
          <w:rFonts w:hint="eastAsia"/>
          <w:lang w:val="en-CA" w:eastAsia="zh-CN"/>
        </w:rPr>
        <w:t>HFC-23</w:t>
      </w:r>
      <w:r w:rsidR="007E4926" w:rsidRPr="00CF024D">
        <w:rPr>
          <w:rFonts w:hint="eastAsia"/>
          <w:lang w:val="en-CA" w:eastAsia="zh-CN"/>
        </w:rPr>
        <w:t>相关</w:t>
      </w:r>
      <w:r w:rsidR="00C31ECB" w:rsidRPr="00CF024D">
        <w:rPr>
          <w:lang w:val="en-CA" w:eastAsia="zh-CN"/>
        </w:rPr>
        <w:t>备选方案</w:t>
      </w:r>
      <w:r w:rsidR="007E4926" w:rsidRPr="00CF024D">
        <w:rPr>
          <w:rFonts w:hint="eastAsia"/>
          <w:lang w:val="en-CA" w:eastAsia="zh-CN"/>
        </w:rPr>
        <w:t>及所有成本和节约的信息</w:t>
      </w:r>
      <w:r w:rsidR="00327329" w:rsidRPr="00CF024D">
        <w:rPr>
          <w:rStyle w:val="FootnoteReference"/>
          <w:lang w:val="en-CA"/>
        </w:rPr>
        <w:footnoteReference w:id="18"/>
      </w:r>
      <w:r w:rsidR="007E4926" w:rsidRPr="00CF024D">
        <w:rPr>
          <w:rFonts w:hint="eastAsia"/>
          <w:lang w:val="en-CA" w:eastAsia="zh-CN"/>
        </w:rPr>
        <w:t>；并向第八十三次、第八十四次和第八十五次会议提交了控制副产品</w:t>
      </w:r>
      <w:r w:rsidR="007E4926" w:rsidRPr="00CF024D">
        <w:rPr>
          <w:rFonts w:hint="eastAsia"/>
          <w:lang w:val="en-CA" w:eastAsia="zh-CN"/>
        </w:rPr>
        <w:t>HFC-23</w:t>
      </w:r>
      <w:r w:rsidR="007E4926" w:rsidRPr="00CF024D">
        <w:rPr>
          <w:rFonts w:hint="eastAsia"/>
          <w:lang w:val="en-CA" w:eastAsia="zh-CN"/>
        </w:rPr>
        <w:t>排放的项目提案。秘书处赞赏地注意到在那段时间内，阿根廷政府向秘书处提供信息</w:t>
      </w:r>
      <w:r w:rsidR="00113553" w:rsidRPr="00CF024D">
        <w:rPr>
          <w:rFonts w:hint="eastAsia"/>
          <w:lang w:val="en-CA" w:eastAsia="zh-CN"/>
        </w:rPr>
        <w:t>以便其审查，并向执行委员会提交了相关文件。</w:t>
      </w:r>
      <w:r w:rsidR="00327329" w:rsidRPr="00CF024D">
        <w:rPr>
          <w:lang w:val="en-CA"/>
        </w:rPr>
        <w:t xml:space="preserve"> </w:t>
      </w:r>
    </w:p>
    <w:p w14:paraId="190B7630" w14:textId="243F9554" w:rsidR="00604037" w:rsidRPr="00CF024D" w:rsidRDefault="00113553" w:rsidP="003F671F">
      <w:pPr>
        <w:pStyle w:val="Heading1"/>
        <w:keepNext/>
        <w:keepLines/>
        <w:widowControl w:val="0"/>
        <w:rPr>
          <w:lang w:val="en-CA"/>
        </w:rPr>
      </w:pPr>
      <w:r w:rsidRPr="00CF024D">
        <w:rPr>
          <w:rFonts w:hint="eastAsia"/>
          <w:lang w:val="en-CA" w:eastAsia="zh-CN"/>
        </w:rPr>
        <w:t>与控制副产品</w:t>
      </w:r>
      <w:r w:rsidRPr="00CF024D">
        <w:rPr>
          <w:rFonts w:hint="eastAsia"/>
          <w:lang w:val="en-CA" w:eastAsia="zh-CN"/>
        </w:rPr>
        <w:t>HFC-23</w:t>
      </w:r>
      <w:r w:rsidRPr="00CF024D">
        <w:rPr>
          <w:rFonts w:hint="eastAsia"/>
          <w:lang w:val="en-CA" w:eastAsia="zh-CN"/>
        </w:rPr>
        <w:t>排放相关的履约义务于</w:t>
      </w:r>
      <w:r w:rsidRPr="00CF024D">
        <w:rPr>
          <w:rFonts w:hint="eastAsia"/>
          <w:lang w:val="en-CA" w:eastAsia="zh-CN"/>
        </w:rPr>
        <w:t>2020</w:t>
      </w:r>
      <w:r w:rsidRPr="00CF024D">
        <w:rPr>
          <w:rFonts w:hint="eastAsia"/>
          <w:lang w:val="en-CA" w:eastAsia="zh-CN"/>
        </w:rPr>
        <w:t>年</w:t>
      </w:r>
      <w:r w:rsidRPr="00CF024D">
        <w:rPr>
          <w:rFonts w:hint="eastAsia"/>
          <w:lang w:val="en-CA" w:eastAsia="zh-CN"/>
        </w:rPr>
        <w:t>1</w:t>
      </w:r>
      <w:r w:rsidRPr="00CF024D">
        <w:rPr>
          <w:rFonts w:hint="eastAsia"/>
          <w:lang w:val="en-CA" w:eastAsia="zh-CN"/>
        </w:rPr>
        <w:t>月</w:t>
      </w:r>
      <w:r w:rsidRPr="00CF024D">
        <w:rPr>
          <w:rFonts w:hint="eastAsia"/>
          <w:lang w:val="en-CA" w:eastAsia="zh-CN"/>
        </w:rPr>
        <w:t>1</w:t>
      </w:r>
      <w:r w:rsidRPr="00CF024D">
        <w:rPr>
          <w:rFonts w:hint="eastAsia"/>
          <w:lang w:val="en-CA" w:eastAsia="zh-CN"/>
        </w:rPr>
        <w:t>日生效；</w:t>
      </w:r>
      <w:r w:rsidR="00703573" w:rsidRPr="00CF024D">
        <w:rPr>
          <w:rFonts w:hint="eastAsia"/>
          <w:lang w:val="en-CA" w:eastAsia="zh-CN"/>
        </w:rPr>
        <w:t>在本次会议上核</w:t>
      </w:r>
      <w:r w:rsidR="00CD6DCC" w:rsidRPr="00CF024D">
        <w:rPr>
          <w:rFonts w:hint="eastAsia"/>
          <w:lang w:val="en-CA" w:eastAsia="zh-CN"/>
        </w:rPr>
        <w:t>准阿根廷的项目将使该国尽快恢复对这些义务的履约。</w:t>
      </w:r>
    </w:p>
    <w:p w14:paraId="2E5B4D92" w14:textId="6FD3798D" w:rsidR="00AF3CD5" w:rsidRPr="00CF024D" w:rsidRDefault="00803CAE" w:rsidP="003B6AEA">
      <w:pPr>
        <w:rPr>
          <w:b/>
          <w:lang w:val="en-CA"/>
        </w:rPr>
      </w:pPr>
      <w:r w:rsidRPr="00CF024D">
        <w:rPr>
          <w:rFonts w:hint="eastAsia"/>
          <w:b/>
          <w:lang w:val="en-CA" w:eastAsia="zh-CN"/>
        </w:rPr>
        <w:t>建议</w:t>
      </w:r>
      <w:r w:rsidR="00AF3CD5" w:rsidRPr="00CF024D">
        <w:rPr>
          <w:b/>
          <w:lang w:val="en-CA"/>
        </w:rPr>
        <w:t xml:space="preserve"> </w:t>
      </w:r>
    </w:p>
    <w:p w14:paraId="28748D0C" w14:textId="77777777" w:rsidR="00AF3CD5" w:rsidRPr="00CF024D" w:rsidRDefault="00AF3CD5" w:rsidP="003B6AEA">
      <w:pPr>
        <w:rPr>
          <w:lang w:val="en-CA"/>
        </w:rPr>
      </w:pPr>
    </w:p>
    <w:p w14:paraId="7524EC62" w14:textId="6F8A57C3" w:rsidR="00AF3CD5" w:rsidRPr="00CF024D" w:rsidRDefault="00803CAE" w:rsidP="00AF3CD5">
      <w:pPr>
        <w:pStyle w:val="Heading1"/>
        <w:rPr>
          <w:lang w:val="en-CA"/>
        </w:rPr>
      </w:pPr>
      <w:r w:rsidRPr="00CF024D">
        <w:rPr>
          <w:rFonts w:hint="eastAsia"/>
          <w:lang w:val="en-CA" w:eastAsia="zh-CN"/>
        </w:rPr>
        <w:t>谨建议执行委员会：</w:t>
      </w:r>
      <w:r w:rsidR="00AF3CD5" w:rsidRPr="00CF024D">
        <w:rPr>
          <w:lang w:val="en-CA"/>
        </w:rPr>
        <w:t xml:space="preserve"> </w:t>
      </w:r>
    </w:p>
    <w:p w14:paraId="55B55B6F" w14:textId="7CA9E4BA" w:rsidR="00AF3CD5" w:rsidRPr="00CF024D" w:rsidRDefault="00455C1B" w:rsidP="00AF3CD5">
      <w:pPr>
        <w:pStyle w:val="Heading2"/>
        <w:tabs>
          <w:tab w:val="clear" w:pos="3060"/>
          <w:tab w:val="num" w:pos="-2160"/>
        </w:tabs>
        <w:ind w:left="1440"/>
        <w:rPr>
          <w:lang w:val="en-CA"/>
        </w:rPr>
      </w:pPr>
      <w:r w:rsidRPr="00CF024D">
        <w:rPr>
          <w:rFonts w:hint="eastAsia"/>
          <w:lang w:val="en-CA" w:eastAsia="zh-CN"/>
        </w:rPr>
        <w:t>注意</w:t>
      </w:r>
      <w:r w:rsidR="00803CAE" w:rsidRPr="00CF024D">
        <w:rPr>
          <w:lang w:val="en-CA"/>
        </w:rPr>
        <w:t>UNEP/</w:t>
      </w:r>
      <w:proofErr w:type="spellStart"/>
      <w:r w:rsidR="00803CAE" w:rsidRPr="00CF024D">
        <w:rPr>
          <w:lang w:val="en-CA"/>
        </w:rPr>
        <w:t>OzL.Pro</w:t>
      </w:r>
      <w:proofErr w:type="spellEnd"/>
      <w:r w:rsidR="00803CAE" w:rsidRPr="00CF024D">
        <w:rPr>
          <w:lang w:val="en-CA"/>
        </w:rPr>
        <w:t>/</w:t>
      </w:r>
      <w:proofErr w:type="spellStart"/>
      <w:r w:rsidR="00803CAE" w:rsidRPr="00CF024D">
        <w:rPr>
          <w:lang w:val="en-CA"/>
        </w:rPr>
        <w:t>ExCom</w:t>
      </w:r>
      <w:proofErr w:type="spellEnd"/>
      <w:r w:rsidR="00803CAE" w:rsidRPr="00CF024D">
        <w:rPr>
          <w:lang w:val="en-CA"/>
        </w:rPr>
        <w:t>/86/95</w:t>
      </w:r>
      <w:r w:rsidR="00803CAE" w:rsidRPr="00CF024D">
        <w:rPr>
          <w:rFonts w:hint="eastAsia"/>
          <w:lang w:val="en-CA" w:eastAsia="zh-CN"/>
        </w:rPr>
        <w:t>号文件所载与副产品</w:t>
      </w:r>
      <w:r w:rsidR="00803CAE" w:rsidRPr="00CF024D">
        <w:rPr>
          <w:rFonts w:hint="eastAsia"/>
          <w:lang w:val="en-CA" w:eastAsia="zh-CN"/>
        </w:rPr>
        <w:t>HFC-23</w:t>
      </w:r>
      <w:r w:rsidR="00803CAE" w:rsidRPr="00CF024D">
        <w:rPr>
          <w:rFonts w:hint="eastAsia"/>
          <w:lang w:val="en-CA" w:eastAsia="zh-CN"/>
        </w:rPr>
        <w:t>控制技术相关的关键</w:t>
      </w:r>
      <w:r w:rsidR="006B478E" w:rsidRPr="00CF024D">
        <w:rPr>
          <w:color w:val="000000" w:themeColor="text1"/>
          <w:lang w:val="en-CA" w:eastAsia="zh-CN"/>
        </w:rPr>
        <w:t>问题</w:t>
      </w:r>
      <w:r w:rsidR="00803CAE" w:rsidRPr="00CF024D">
        <w:rPr>
          <w:rFonts w:hint="eastAsia"/>
          <w:lang w:val="en-CA" w:eastAsia="zh-CN"/>
        </w:rPr>
        <w:t>：阿根廷（第</w:t>
      </w:r>
      <w:r w:rsidR="00803CAE" w:rsidRPr="00CF024D">
        <w:rPr>
          <w:lang w:val="en-CA"/>
        </w:rPr>
        <w:t>84/90</w:t>
      </w:r>
      <w:r w:rsidR="00803CAE" w:rsidRPr="00CF024D">
        <w:rPr>
          <w:rFonts w:hint="eastAsia"/>
          <w:lang w:val="en-CA" w:eastAsia="zh-CN"/>
        </w:rPr>
        <w:t>号决定）；以及</w:t>
      </w:r>
    </w:p>
    <w:p w14:paraId="5C0F542E" w14:textId="49811AA4" w:rsidR="00BA6339" w:rsidRPr="00CF024D" w:rsidRDefault="00455C1B" w:rsidP="004A59A2">
      <w:pPr>
        <w:pStyle w:val="Heading2"/>
        <w:tabs>
          <w:tab w:val="clear" w:pos="3060"/>
          <w:tab w:val="num" w:pos="-2160"/>
        </w:tabs>
        <w:ind w:left="1440"/>
        <w:rPr>
          <w:lang w:val="en-CA"/>
        </w:rPr>
      </w:pPr>
      <w:r w:rsidRPr="00CF024D">
        <w:rPr>
          <w:rFonts w:hint="eastAsia"/>
          <w:lang w:val="en-CA" w:eastAsia="zh-CN"/>
        </w:rPr>
        <w:t>考虑核准</w:t>
      </w:r>
      <w:r w:rsidR="009C20C0" w:rsidRPr="00CF024D">
        <w:rPr>
          <w:rFonts w:hint="eastAsia"/>
          <w:lang w:val="en-CA" w:eastAsia="zh-CN"/>
        </w:rPr>
        <w:t>一个由工发组织作为牵头执行机构的</w:t>
      </w:r>
      <w:r w:rsidR="005748F6" w:rsidRPr="00CF024D">
        <w:rPr>
          <w:rFonts w:hint="eastAsia"/>
          <w:lang w:val="en-CA" w:eastAsia="zh-CN"/>
        </w:rPr>
        <w:t>项目</w:t>
      </w:r>
      <w:r w:rsidR="009C20C0" w:rsidRPr="00CF024D">
        <w:rPr>
          <w:rFonts w:hint="eastAsia"/>
          <w:lang w:val="en-CA" w:eastAsia="zh-CN"/>
        </w:rPr>
        <w:t>供资，</w:t>
      </w:r>
      <w:r w:rsidR="005748F6" w:rsidRPr="00CF024D">
        <w:rPr>
          <w:rFonts w:hint="eastAsia"/>
          <w:lang w:val="en-CA" w:eastAsia="zh-CN"/>
        </w:rPr>
        <w:t>使阿根廷政府能够遵守《蒙特利尔议定书》的《基加利修订案》所规定的</w:t>
      </w:r>
      <w:r w:rsidR="009E6E6A" w:rsidRPr="00CF024D">
        <w:rPr>
          <w:rFonts w:hint="eastAsia"/>
          <w:lang w:val="en-CA" w:eastAsia="zh-CN"/>
        </w:rPr>
        <w:t>副产品</w:t>
      </w:r>
      <w:r w:rsidR="009E6E6A" w:rsidRPr="00CF024D">
        <w:rPr>
          <w:rFonts w:hint="eastAsia"/>
          <w:lang w:val="en-CA" w:eastAsia="zh-CN"/>
        </w:rPr>
        <w:t>HFC-23</w:t>
      </w:r>
      <w:r w:rsidR="009E6E6A" w:rsidRPr="00CF024D">
        <w:rPr>
          <w:rFonts w:hint="eastAsia"/>
          <w:lang w:val="en-CA" w:eastAsia="zh-CN"/>
        </w:rPr>
        <w:t>排放控制义务</w:t>
      </w:r>
      <w:r w:rsidR="009C20C0" w:rsidRPr="00CF024D">
        <w:rPr>
          <w:rFonts w:hint="eastAsia"/>
          <w:lang w:val="en-CA" w:eastAsia="zh-CN"/>
        </w:rPr>
        <w:t>。</w:t>
      </w:r>
    </w:p>
    <w:p w14:paraId="4D67DC37" w14:textId="43FA81F2" w:rsidR="00FB34AC" w:rsidRPr="006B5E13" w:rsidRDefault="00FB34AC" w:rsidP="003B6AEA">
      <w:pPr>
        <w:rPr>
          <w:lang w:val="en-CA"/>
        </w:rPr>
      </w:pPr>
    </w:p>
    <w:p w14:paraId="73085D41" w14:textId="77777777" w:rsidR="00602E51" w:rsidRPr="006B5E13" w:rsidRDefault="00602E51" w:rsidP="003B6AEA">
      <w:pPr>
        <w:rPr>
          <w:lang w:val="en-CA"/>
        </w:rPr>
        <w:sectPr w:rsidR="00602E51" w:rsidRPr="006B5E13" w:rsidSect="005B4793">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cols w:space="720"/>
          <w:titlePg/>
          <w:docGrid w:linePitch="299"/>
        </w:sectPr>
      </w:pPr>
    </w:p>
    <w:p w14:paraId="545D918F" w14:textId="6CEF5948" w:rsidR="00D44307" w:rsidRPr="006B5E13" w:rsidRDefault="005748F6" w:rsidP="00D44307">
      <w:pPr>
        <w:jc w:val="center"/>
        <w:rPr>
          <w:b/>
          <w:lang w:val="en-CA"/>
        </w:rPr>
      </w:pPr>
      <w:r>
        <w:rPr>
          <w:rFonts w:hint="eastAsia"/>
          <w:b/>
          <w:lang w:val="en-CA" w:eastAsia="zh-CN"/>
        </w:rPr>
        <w:lastRenderedPageBreak/>
        <w:t>附件一</w:t>
      </w:r>
    </w:p>
    <w:p w14:paraId="24A5F983" w14:textId="77777777" w:rsidR="00D44307" w:rsidRPr="006B5E13" w:rsidRDefault="00D44307" w:rsidP="00D44307">
      <w:pPr>
        <w:jc w:val="center"/>
        <w:rPr>
          <w:lang w:val="en-CA"/>
        </w:rPr>
      </w:pPr>
    </w:p>
    <w:p w14:paraId="0E61D2E9" w14:textId="517EB741" w:rsidR="00D44307" w:rsidRPr="006B5E13" w:rsidRDefault="005748F6" w:rsidP="00D44307">
      <w:pPr>
        <w:jc w:val="center"/>
        <w:rPr>
          <w:b/>
          <w:lang w:val="en-CA"/>
        </w:rPr>
      </w:pPr>
      <w:r>
        <w:rPr>
          <w:rFonts w:hint="eastAsia"/>
          <w:b/>
          <w:lang w:val="en-CA" w:eastAsia="zh-CN"/>
        </w:rPr>
        <w:t>汇率：阿根廷比索对美元（美元）</w:t>
      </w:r>
    </w:p>
    <w:p w14:paraId="603867C7" w14:textId="6D6F7E6A" w:rsidR="00D44307" w:rsidRPr="006B5E13" w:rsidRDefault="00D44307" w:rsidP="003B6AEA">
      <w:pPr>
        <w:rPr>
          <w:lang w:val="en-CA"/>
        </w:rPr>
      </w:pPr>
    </w:p>
    <w:p w14:paraId="6951A4BD" w14:textId="34191986" w:rsidR="00D44307" w:rsidRPr="006B5E13" w:rsidRDefault="0056022C" w:rsidP="003B6AEA">
      <w:pPr>
        <w:rPr>
          <w:lang w:val="en-CA"/>
        </w:rPr>
      </w:pPr>
      <w:r>
        <w:rPr>
          <w:noProof/>
          <w:lang w:val="en-US"/>
        </w:rPr>
        <w:drawing>
          <wp:inline distT="0" distB="0" distL="0" distR="0" wp14:anchorId="41F50757" wp14:editId="718B375C">
            <wp:extent cx="5943600" cy="5196205"/>
            <wp:effectExtent l="0" t="0" r="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AA637F" w14:textId="09B7BF81" w:rsidR="00602E51" w:rsidRPr="006B5E13" w:rsidRDefault="00602E51" w:rsidP="003B6AEA">
      <w:pPr>
        <w:rPr>
          <w:lang w:val="en-CA"/>
        </w:rPr>
      </w:pPr>
    </w:p>
    <w:p w14:paraId="693A6C76" w14:textId="015FD857" w:rsidR="00602E51" w:rsidRPr="006B5E13" w:rsidRDefault="00602E51" w:rsidP="003B6AEA">
      <w:pPr>
        <w:rPr>
          <w:lang w:val="en-CA"/>
        </w:rPr>
      </w:pPr>
    </w:p>
    <w:p w14:paraId="54FB438B" w14:textId="77777777" w:rsidR="00602E51" w:rsidRPr="00266C9A" w:rsidRDefault="00602E51" w:rsidP="003B6AEA">
      <w:pPr>
        <w:rPr>
          <w:lang w:val="en-CA"/>
        </w:rPr>
      </w:pPr>
    </w:p>
    <w:p w14:paraId="7B6B7C18" w14:textId="77777777" w:rsidR="00764A87" w:rsidRDefault="00764A87" w:rsidP="003B6AEA">
      <w:pPr>
        <w:rPr>
          <w:lang w:val="en-CA"/>
        </w:rPr>
        <w:sectPr w:rsidR="00764A87" w:rsidSect="00D44307">
          <w:headerReference w:type="first" r:id="rId21"/>
          <w:footerReference w:type="first" r:id="rId22"/>
          <w:pgSz w:w="12240" w:h="15840" w:code="1"/>
          <w:pgMar w:top="720" w:right="1440" w:bottom="864" w:left="1440" w:header="720" w:footer="475" w:gutter="0"/>
          <w:pgNumType w:start="1"/>
          <w:cols w:space="720"/>
          <w:titlePg/>
          <w:docGrid w:linePitch="299"/>
        </w:sectPr>
      </w:pPr>
      <w:bookmarkStart w:id="0" w:name="_GoBack"/>
      <w:bookmarkEnd w:id="0"/>
    </w:p>
    <w:p w14:paraId="7BEA4D85" w14:textId="77777777" w:rsidR="00764A87" w:rsidRPr="00EE5B08" w:rsidRDefault="00764A87" w:rsidP="004E7F9C">
      <w:pPr>
        <w:rPr>
          <w:lang w:val="en-CA"/>
        </w:rPr>
      </w:pPr>
    </w:p>
    <w:sectPr w:rsidR="00764A87" w:rsidRPr="00EE5B08" w:rsidSect="00D65E9E">
      <w:headerReference w:type="even" r:id="rId23"/>
      <w:headerReference w:type="default" r:id="rId24"/>
      <w:footerReference w:type="default" r:id="rId25"/>
      <w:footnotePr>
        <w:numRestart w:val="eachSect"/>
      </w:footnotePr>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DB4E3" w14:textId="77777777" w:rsidR="00CF024D" w:rsidRDefault="00CF024D" w:rsidP="004A504B">
      <w:r>
        <w:separator/>
      </w:r>
    </w:p>
  </w:endnote>
  <w:endnote w:type="continuationSeparator" w:id="0">
    <w:p w14:paraId="2F36A24A" w14:textId="77777777" w:rsidR="00CF024D" w:rsidRDefault="00CF024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10B2" w14:textId="3E1A0BD6" w:rsidR="00CF024D" w:rsidRPr="0033525D" w:rsidRDefault="00CF024D">
    <w:pPr>
      <w:jc w:val="center"/>
    </w:pPr>
    <w:r>
      <w:fldChar w:fldCharType="begin"/>
    </w:r>
    <w:r>
      <w:instrText xml:space="preserve"> PAGE </w:instrText>
    </w:r>
    <w:r>
      <w:fldChar w:fldCharType="separate"/>
    </w:r>
    <w:r w:rsidR="00BD284A">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090" w14:textId="75531EB3" w:rsidR="00CF024D" w:rsidRPr="0033525D" w:rsidRDefault="00CF024D" w:rsidP="004F641A">
    <w:pPr>
      <w:tabs>
        <w:tab w:val="left" w:pos="4020"/>
        <w:tab w:val="center" w:pos="4680"/>
      </w:tabs>
      <w:jc w:val="center"/>
    </w:pPr>
    <w:r>
      <w:fldChar w:fldCharType="begin"/>
    </w:r>
    <w:r>
      <w:instrText xml:space="preserve"> PAGE </w:instrText>
    </w:r>
    <w:r>
      <w:fldChar w:fldCharType="separate"/>
    </w:r>
    <w:r w:rsidR="00BD284A">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4C10" w14:textId="1F50EA4D" w:rsidR="00CF024D" w:rsidRDefault="00CF024D" w:rsidP="00FD67CA">
    <w:pPr>
      <w:pBdr>
        <w:top w:val="single" w:sz="4" w:space="0" w:color="auto"/>
        <w:left w:val="single" w:sz="4" w:space="4" w:color="auto"/>
        <w:bottom w:val="single" w:sz="4" w:space="1" w:color="auto"/>
        <w:right w:val="single" w:sz="4" w:space="4" w:color="auto"/>
      </w:pBdr>
      <w:jc w:val="center"/>
      <w:rPr>
        <w:sz w:val="18"/>
        <w:szCs w:val="18"/>
      </w:rPr>
    </w:pPr>
    <w:proofErr w:type="spellStart"/>
    <w:r w:rsidRPr="00FD67CA">
      <w:rPr>
        <w:rFonts w:hint="eastAsia"/>
        <w:sz w:val="18"/>
        <w:szCs w:val="18"/>
      </w:rPr>
      <w:t>执行蒙特利尔议定书多边基金执行委员会的会前文件不妨碍文件印发后执行委员会可能作出的任何决定</w:t>
    </w:r>
    <w:proofErr w:type="spellEnd"/>
    <w:r w:rsidRPr="00FD67CA">
      <w:rPr>
        <w:rFonts w:hint="eastAsia"/>
        <w:sz w:val="18"/>
        <w:szCs w:val="18"/>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53584"/>
      <w:docPartObj>
        <w:docPartGallery w:val="Page Numbers (Bottom of Page)"/>
        <w:docPartUnique/>
      </w:docPartObj>
    </w:sdtPr>
    <w:sdtEndPr>
      <w:rPr>
        <w:noProof/>
      </w:rPr>
    </w:sdtEndPr>
    <w:sdtContent>
      <w:p w14:paraId="59CFBB1A" w14:textId="3C420230" w:rsidR="00CF024D" w:rsidRDefault="00CF024D">
        <w:pPr>
          <w:pStyle w:val="Footer"/>
          <w:jc w:val="center"/>
        </w:pPr>
        <w:r>
          <w:fldChar w:fldCharType="begin"/>
        </w:r>
        <w:r>
          <w:instrText xml:space="preserve"> PAGE   \* MERGEFORMAT </w:instrText>
        </w:r>
        <w:r>
          <w:fldChar w:fldCharType="separate"/>
        </w:r>
        <w:r w:rsidR="00BD284A">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AF36" w14:textId="465B486B" w:rsidR="00CF024D" w:rsidRPr="0033525D" w:rsidRDefault="00CF024D">
    <w:pPr>
      <w:jc w:val="center"/>
    </w:pPr>
    <w:r>
      <w:fldChar w:fldCharType="begin"/>
    </w:r>
    <w:r>
      <w:instrText xml:space="preserve"> PAGE </w:instrText>
    </w:r>
    <w:r>
      <w:fldChar w:fldCharType="separate"/>
    </w:r>
    <w:r w:rsidR="00BD284A">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98717" w14:textId="77777777" w:rsidR="00CF024D" w:rsidRDefault="00CF024D" w:rsidP="004A504B">
      <w:r>
        <w:separator/>
      </w:r>
    </w:p>
  </w:footnote>
  <w:footnote w:type="continuationSeparator" w:id="0">
    <w:p w14:paraId="512FC34B" w14:textId="77777777" w:rsidR="00CF024D" w:rsidRDefault="00CF024D" w:rsidP="004A504B">
      <w:r>
        <w:continuationSeparator/>
      </w:r>
    </w:p>
  </w:footnote>
  <w:footnote w:id="1">
    <w:p w14:paraId="4024AD8E" w14:textId="2B3236ED" w:rsidR="00CF024D" w:rsidRPr="00BA4729" w:rsidRDefault="00CF024D" w:rsidP="007600A7">
      <w:pPr>
        <w:pStyle w:val="FootnoteText"/>
        <w:rPr>
          <w:lang w:val="en-US"/>
        </w:rPr>
      </w:pPr>
      <w:r>
        <w:rPr>
          <w:rStyle w:val="FootnoteReference"/>
        </w:rPr>
        <w:footnoteRef/>
      </w:r>
      <w:r>
        <w:t xml:space="preserve"> </w:t>
      </w:r>
      <w:r w:rsidR="00BA4729" w:rsidRPr="00121160">
        <w:rPr>
          <w:rFonts w:hint="eastAsia"/>
          <w:lang w:eastAsia="zh-CN"/>
        </w:rPr>
        <w:t>由于冠状病毒病（</w:t>
      </w:r>
      <w:r w:rsidR="00BA4729" w:rsidRPr="00121160">
        <w:rPr>
          <w:lang w:eastAsia="zh-CN"/>
        </w:rPr>
        <w:t>COVID-19</w:t>
      </w:r>
      <w:r w:rsidR="00BA4729" w:rsidRPr="00121160">
        <w:rPr>
          <w:rFonts w:hint="eastAsia"/>
          <w:lang w:eastAsia="zh-CN"/>
        </w:rPr>
        <w:t>）。</w:t>
      </w:r>
    </w:p>
  </w:footnote>
  <w:footnote w:id="2">
    <w:p w14:paraId="03DB8EF0" w14:textId="77777777" w:rsidR="00CF024D" w:rsidRPr="00FE3307" w:rsidRDefault="00CF024D" w:rsidP="00656520">
      <w:pPr>
        <w:jc w:val="left"/>
        <w:rPr>
          <w:lang w:val="en-CA"/>
        </w:rPr>
      </w:pPr>
      <w:r w:rsidRPr="00FE3307">
        <w:rPr>
          <w:rStyle w:val="FootnoteReference"/>
        </w:rPr>
        <w:footnoteRef/>
      </w:r>
      <w:r w:rsidRPr="00FE3307">
        <w:t xml:space="preserve"> </w:t>
      </w:r>
      <w:r w:rsidRPr="004F338C">
        <w:rPr>
          <w:sz w:val="20"/>
          <w:szCs w:val="20"/>
        </w:rPr>
        <w:t>UNEP/</w:t>
      </w:r>
      <w:proofErr w:type="spellStart"/>
      <w:r w:rsidRPr="004F338C">
        <w:rPr>
          <w:sz w:val="20"/>
          <w:szCs w:val="20"/>
        </w:rPr>
        <w:t>OzL.Pro</w:t>
      </w:r>
      <w:proofErr w:type="spellEnd"/>
      <w:r w:rsidRPr="004F338C">
        <w:rPr>
          <w:sz w:val="20"/>
          <w:szCs w:val="20"/>
        </w:rPr>
        <w:t>/</w:t>
      </w:r>
      <w:proofErr w:type="spellStart"/>
      <w:r w:rsidRPr="004F338C">
        <w:rPr>
          <w:sz w:val="20"/>
          <w:szCs w:val="20"/>
        </w:rPr>
        <w:t>ExCom</w:t>
      </w:r>
      <w:proofErr w:type="spellEnd"/>
      <w:r w:rsidRPr="004F338C">
        <w:rPr>
          <w:sz w:val="20"/>
          <w:szCs w:val="20"/>
        </w:rPr>
        <w:t>/83/44</w:t>
      </w:r>
      <w:r>
        <w:rPr>
          <w:rFonts w:hint="eastAsia"/>
          <w:sz w:val="20"/>
          <w:szCs w:val="20"/>
          <w:lang w:eastAsia="zh-CN"/>
        </w:rPr>
        <w:t>号文件。</w:t>
      </w:r>
    </w:p>
  </w:footnote>
  <w:footnote w:id="3">
    <w:p w14:paraId="10860A76" w14:textId="77777777" w:rsidR="00CF024D" w:rsidRPr="00EE1470" w:rsidRDefault="00CF024D" w:rsidP="00783A9D">
      <w:pPr>
        <w:pStyle w:val="FootnoteText"/>
      </w:pPr>
      <w:r>
        <w:rPr>
          <w:rStyle w:val="FootnoteReference"/>
        </w:rPr>
        <w:footnoteRef/>
      </w:r>
      <w:r>
        <w:rPr>
          <w:lang w:val="en-CA"/>
        </w:rPr>
        <w:t xml:space="preserve"> </w:t>
      </w:r>
      <w:r w:rsidRPr="00412A7B">
        <w:rPr>
          <w:lang w:val="en-CA"/>
        </w:rPr>
        <w:t>UNEP/</w:t>
      </w:r>
      <w:proofErr w:type="spellStart"/>
      <w:r w:rsidRPr="00412A7B">
        <w:rPr>
          <w:lang w:val="en-CA"/>
        </w:rPr>
        <w:t>OzL.Pro</w:t>
      </w:r>
      <w:proofErr w:type="spellEnd"/>
      <w:r w:rsidRPr="00412A7B">
        <w:rPr>
          <w:lang w:val="en-CA"/>
        </w:rPr>
        <w:t>/</w:t>
      </w:r>
      <w:proofErr w:type="spellStart"/>
      <w:r w:rsidRPr="00412A7B">
        <w:rPr>
          <w:lang w:val="en-CA"/>
        </w:rPr>
        <w:t>ExCom</w:t>
      </w:r>
      <w:proofErr w:type="spellEnd"/>
      <w:r w:rsidRPr="00412A7B">
        <w:rPr>
          <w:lang w:val="en-CA"/>
        </w:rPr>
        <w:t>/8</w:t>
      </w:r>
      <w:r>
        <w:rPr>
          <w:lang w:val="en-CA"/>
        </w:rPr>
        <w:t>4/71</w:t>
      </w:r>
      <w:r>
        <w:rPr>
          <w:rFonts w:hint="eastAsia"/>
          <w:lang w:val="en-CA" w:eastAsia="zh-CN"/>
        </w:rPr>
        <w:t>号文件。</w:t>
      </w:r>
    </w:p>
  </w:footnote>
  <w:footnote w:id="4">
    <w:p w14:paraId="08E6474D" w14:textId="35ECE020" w:rsidR="00CF024D" w:rsidRPr="00290A1E" w:rsidRDefault="00CF024D" w:rsidP="00FD0638">
      <w:pPr>
        <w:pStyle w:val="FootnoteText"/>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/85/64/Rev.1</w:t>
      </w:r>
      <w:r>
        <w:rPr>
          <w:rFonts w:hint="eastAsia"/>
          <w:lang w:val="en-CA" w:eastAsia="zh-CN"/>
        </w:rPr>
        <w:t>号文件。</w:t>
      </w:r>
    </w:p>
  </w:footnote>
  <w:footnote w:id="5">
    <w:p w14:paraId="5E76BADE" w14:textId="0950CD91" w:rsidR="00CF024D" w:rsidRDefault="00CF024D" w:rsidP="00A91F87">
      <w:pPr>
        <w:pStyle w:val="FootnoteText"/>
        <w:rPr>
          <w:lang w:val="en-US" w:eastAsia="zh-CN"/>
        </w:rPr>
      </w:pPr>
      <w:r>
        <w:rPr>
          <w:rStyle w:val="FootnoteReference"/>
        </w:rPr>
        <w:footnoteRef/>
      </w:r>
      <w:r>
        <w:t xml:space="preserve"> </w:t>
      </w:r>
      <w:proofErr w:type="spellStart"/>
      <w:r w:rsidRPr="00D8556C">
        <w:rPr>
          <w:rFonts w:hint="eastAsia"/>
          <w:lang w:val="en-US"/>
        </w:rPr>
        <w:t>鉴于</w:t>
      </w:r>
      <w:proofErr w:type="spellEnd"/>
      <w:r>
        <w:rPr>
          <w:rFonts w:hint="eastAsia"/>
          <w:lang w:val="en-US" w:eastAsia="zh-CN"/>
        </w:rPr>
        <w:t>新冠</w:t>
      </w:r>
      <w:r w:rsidRPr="00D8556C">
        <w:rPr>
          <w:rFonts w:hint="eastAsia"/>
          <w:lang w:val="en-US"/>
        </w:rPr>
        <w:t>大流行，执行委员会同意将原定于</w:t>
      </w:r>
      <w:r w:rsidRPr="00D8556C">
        <w:rPr>
          <w:rFonts w:hint="eastAsia"/>
          <w:lang w:val="en-US"/>
        </w:rPr>
        <w:t>2020</w:t>
      </w:r>
      <w:r w:rsidRPr="00D8556C">
        <w:rPr>
          <w:rFonts w:hint="eastAsia"/>
          <w:lang w:val="en-US"/>
        </w:rPr>
        <w:t>年</w:t>
      </w:r>
      <w:r w:rsidRPr="00D8556C">
        <w:rPr>
          <w:rFonts w:hint="eastAsia"/>
          <w:lang w:val="en-US"/>
        </w:rPr>
        <w:t>5</w:t>
      </w:r>
      <w:r w:rsidRPr="00D8556C">
        <w:rPr>
          <w:rFonts w:hint="eastAsia"/>
          <w:lang w:val="en-US"/>
        </w:rPr>
        <w:t>月</w:t>
      </w:r>
      <w:r w:rsidRPr="00D8556C">
        <w:rPr>
          <w:rFonts w:hint="eastAsia"/>
          <w:lang w:val="en-US"/>
        </w:rPr>
        <w:t>25</w:t>
      </w:r>
      <w:r w:rsidRPr="00D8556C">
        <w:rPr>
          <w:rFonts w:hint="eastAsia"/>
          <w:lang w:val="en-US"/>
        </w:rPr>
        <w:t>日至</w:t>
      </w:r>
      <w:r w:rsidRPr="00D8556C">
        <w:rPr>
          <w:rFonts w:hint="eastAsia"/>
          <w:lang w:val="en-US"/>
        </w:rPr>
        <w:t>29</w:t>
      </w:r>
      <w:r w:rsidRPr="00D8556C">
        <w:rPr>
          <w:rFonts w:hint="eastAsia"/>
          <w:lang w:val="en-US"/>
        </w:rPr>
        <w:t>日举行的第</w:t>
      </w:r>
      <w:r>
        <w:rPr>
          <w:rFonts w:hint="eastAsia"/>
          <w:lang w:val="en-US" w:eastAsia="zh-CN"/>
        </w:rPr>
        <w:t>八十五次</w:t>
      </w:r>
      <w:r>
        <w:rPr>
          <w:rFonts w:hint="eastAsia"/>
          <w:lang w:val="en-US"/>
        </w:rPr>
        <w:t>会议推迟，与</w:t>
      </w:r>
      <w:r w:rsidRPr="00D8556C">
        <w:rPr>
          <w:rFonts w:hint="eastAsia"/>
          <w:lang w:val="en-US"/>
        </w:rPr>
        <w:t>2020</w:t>
      </w:r>
      <w:r w:rsidRPr="00D8556C">
        <w:rPr>
          <w:rFonts w:hint="eastAsia"/>
          <w:lang w:val="en-US"/>
        </w:rPr>
        <w:t>年</w:t>
      </w:r>
      <w:r w:rsidRPr="00D8556C">
        <w:rPr>
          <w:rFonts w:hint="eastAsia"/>
          <w:lang w:val="en-US"/>
        </w:rPr>
        <w:t>11</w:t>
      </w:r>
      <w:r>
        <w:rPr>
          <w:rFonts w:hint="eastAsia"/>
          <w:lang w:val="en-US"/>
        </w:rPr>
        <w:t>月的</w:t>
      </w:r>
      <w:r w:rsidRPr="00D8556C">
        <w:rPr>
          <w:rFonts w:hint="eastAsia"/>
          <w:lang w:val="en-US"/>
        </w:rPr>
        <w:t>第</w:t>
      </w:r>
      <w:r>
        <w:rPr>
          <w:rFonts w:hint="eastAsia"/>
          <w:lang w:val="en-US" w:eastAsia="zh-CN"/>
        </w:rPr>
        <w:t>八十六次</w:t>
      </w:r>
      <w:proofErr w:type="spellStart"/>
      <w:r w:rsidRPr="00D8556C">
        <w:rPr>
          <w:rFonts w:hint="eastAsia"/>
          <w:lang w:val="en-US"/>
        </w:rPr>
        <w:t>会议相继举行</w:t>
      </w:r>
      <w:r>
        <w:rPr>
          <w:rFonts w:hint="eastAsia"/>
          <w:lang w:val="en-US"/>
        </w:rPr>
        <w:t>。为确保第五条国家履约相关活动的连续性，并减少其在召开会议时的工作量，执行委员会决定</w:t>
      </w:r>
      <w:r w:rsidRPr="00C00652">
        <w:rPr>
          <w:rFonts w:hint="eastAsia"/>
          <w:lang w:val="en-US"/>
        </w:rPr>
        <w:t>对要提交第</w:t>
      </w:r>
      <w:proofErr w:type="spellEnd"/>
      <w:r>
        <w:rPr>
          <w:rFonts w:hint="eastAsia"/>
          <w:lang w:val="en-US" w:eastAsia="zh-CN"/>
        </w:rPr>
        <w:t>八十五</w:t>
      </w:r>
      <w:proofErr w:type="spellStart"/>
      <w:r w:rsidRPr="00C00652">
        <w:rPr>
          <w:rFonts w:hint="eastAsia"/>
          <w:lang w:val="en-US"/>
        </w:rPr>
        <w:t>次会议的项目和活动实施闭会期间批准流程</w:t>
      </w:r>
      <w:proofErr w:type="spellEnd"/>
      <w:r w:rsidRPr="00C00652">
        <w:rPr>
          <w:rFonts w:hint="eastAsia"/>
          <w:lang w:val="en-US"/>
        </w:rPr>
        <w:t xml:space="preserve">; </w:t>
      </w:r>
      <w:proofErr w:type="spellStart"/>
      <w:r w:rsidRPr="00C00652">
        <w:rPr>
          <w:rFonts w:hint="eastAsia"/>
          <w:lang w:val="en-US"/>
        </w:rPr>
        <w:t>闭会期间未审议的议程项目将列入第</w:t>
      </w:r>
      <w:proofErr w:type="spellEnd"/>
      <w:r>
        <w:rPr>
          <w:rFonts w:hint="eastAsia"/>
          <w:lang w:val="en-US" w:eastAsia="zh-CN"/>
        </w:rPr>
        <w:t>八十六</w:t>
      </w:r>
      <w:r w:rsidRPr="00C00652">
        <w:rPr>
          <w:rFonts w:hint="eastAsia"/>
          <w:lang w:val="en-US"/>
        </w:rPr>
        <w:t>次会议的议程。鉴于</w:t>
      </w:r>
      <w:r>
        <w:rPr>
          <w:rFonts w:hint="eastAsia"/>
          <w:lang w:val="en-US"/>
        </w:rPr>
        <w:t>疫情</w:t>
      </w:r>
      <w:r w:rsidRPr="00C00652">
        <w:rPr>
          <w:rFonts w:hint="eastAsia"/>
          <w:lang w:val="en-US"/>
        </w:rPr>
        <w:t>的发展，执行委员会进一步将两次会议推迟到</w:t>
      </w:r>
      <w:r w:rsidRPr="00C00652">
        <w:rPr>
          <w:rFonts w:hint="eastAsia"/>
          <w:lang w:val="en-US"/>
        </w:rPr>
        <w:t>2021</w:t>
      </w:r>
      <w:r w:rsidRPr="00C00652">
        <w:rPr>
          <w:rFonts w:hint="eastAsia"/>
          <w:lang w:val="en-US"/>
        </w:rPr>
        <w:t>年</w:t>
      </w:r>
      <w:r w:rsidRPr="00C00652">
        <w:rPr>
          <w:rFonts w:hint="eastAsia"/>
          <w:lang w:val="en-US"/>
        </w:rPr>
        <w:t>3</w:t>
      </w:r>
      <w:r w:rsidRPr="00C00652">
        <w:rPr>
          <w:rFonts w:hint="eastAsia"/>
          <w:lang w:val="en-US"/>
        </w:rPr>
        <w:t>月</w:t>
      </w:r>
      <w:r>
        <w:rPr>
          <w:rFonts w:hint="eastAsia"/>
          <w:lang w:eastAsia="zh-CN"/>
        </w:rPr>
        <w:t>。</w:t>
      </w:r>
    </w:p>
  </w:footnote>
  <w:footnote w:id="6">
    <w:p w14:paraId="0FDBAC2E" w14:textId="05271FB8" w:rsidR="00CF024D" w:rsidRPr="008D5F66" w:rsidRDefault="00CF024D" w:rsidP="003A5698">
      <w:pPr>
        <w:pStyle w:val="FootnoteText"/>
        <w:rPr>
          <w:lang w:val="en-CA"/>
        </w:rPr>
      </w:pPr>
      <w:r>
        <w:rPr>
          <w:rStyle w:val="FootnoteReference"/>
        </w:rPr>
        <w:footnoteRef/>
      </w:r>
      <w:r>
        <w:t> </w:t>
      </w:r>
      <w:hyperlink r:id="rId1" w:history="1">
        <w:r w:rsidRPr="009117E2">
          <w:rPr>
            <w:rStyle w:val="Hyperlink"/>
          </w:rPr>
          <w:t>https://openknowledge.worldbank.org/bitstream/handle/10986/34710/9781464816123-Ch01.pdf</w:t>
        </w:r>
      </w:hyperlink>
      <w:r>
        <w:t>.</w:t>
      </w:r>
      <w:r>
        <w:rPr>
          <w:rFonts w:hint="eastAsia"/>
          <w:lang w:eastAsia="zh-CN"/>
        </w:rPr>
        <w:t xml:space="preserve"> </w:t>
      </w:r>
      <w:r>
        <w:rPr>
          <w:rFonts w:hint="eastAsia"/>
          <w:lang w:eastAsia="zh-CN"/>
        </w:rPr>
        <w:t>访问于</w:t>
      </w:r>
      <w:r>
        <w:rPr>
          <w:rFonts w:hint="eastAsia"/>
          <w:lang w:eastAsia="zh-CN"/>
        </w:rPr>
        <w:t>2021</w:t>
      </w:r>
      <w:r>
        <w:rPr>
          <w:rFonts w:hint="eastAsia"/>
          <w:lang w:eastAsia="zh-CN"/>
        </w:rPr>
        <w:t>年</w:t>
      </w:r>
      <w:r>
        <w:rPr>
          <w:rFonts w:hint="eastAsia"/>
          <w:lang w:eastAsia="zh-CN"/>
        </w:rPr>
        <w:t>1</w:t>
      </w:r>
      <w:r>
        <w:rPr>
          <w:rFonts w:hint="eastAsia"/>
          <w:lang w:eastAsia="zh-CN"/>
        </w:rPr>
        <w:t>月</w:t>
      </w:r>
      <w:r>
        <w:t>21</w:t>
      </w:r>
      <w:r>
        <w:rPr>
          <w:rFonts w:hint="eastAsia"/>
          <w:lang w:eastAsia="zh-CN"/>
        </w:rPr>
        <w:t>日。</w:t>
      </w:r>
      <w:r>
        <w:t> </w:t>
      </w:r>
    </w:p>
  </w:footnote>
  <w:footnote w:id="7">
    <w:p w14:paraId="48276C69" w14:textId="11EEF696" w:rsidR="00CF024D" w:rsidRPr="005C54C5" w:rsidRDefault="00CF024D" w:rsidP="00F93439">
      <w:pPr>
        <w:pStyle w:val="FootnoteText"/>
        <w:rPr>
          <w:lang w:val="en-CA" w:eastAsia="zh-CN"/>
        </w:rPr>
      </w:pPr>
      <w:r>
        <w:rPr>
          <w:rStyle w:val="FootnoteReference"/>
        </w:rPr>
        <w:footnoteRef/>
      </w:r>
      <w:r>
        <w:t xml:space="preserve"> </w:t>
      </w:r>
      <w:r>
        <w:rPr>
          <w:rFonts w:hint="eastAsia"/>
          <w:lang w:eastAsia="zh-CN"/>
        </w:rPr>
        <w:t>截至</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25</w:t>
      </w:r>
      <w:r>
        <w:rPr>
          <w:rFonts w:hint="eastAsia"/>
          <w:lang w:eastAsia="zh-CN"/>
        </w:rPr>
        <w:t>日，</w:t>
      </w:r>
      <w:r w:rsidRPr="00F93439">
        <w:rPr>
          <w:rFonts w:hint="eastAsia"/>
          <w:lang w:val="en-US" w:eastAsia="zh-CN"/>
        </w:rPr>
        <w:t>相对于</w:t>
      </w:r>
      <w:r w:rsidRPr="00F93439">
        <w:rPr>
          <w:rFonts w:hint="eastAsia"/>
          <w:lang w:val="en-US" w:eastAsia="zh-CN"/>
        </w:rPr>
        <w:t>2020</w:t>
      </w:r>
      <w:r w:rsidRPr="00F93439">
        <w:rPr>
          <w:rFonts w:hint="eastAsia"/>
          <w:lang w:val="en-US" w:eastAsia="zh-CN"/>
        </w:rPr>
        <w:t>年</w:t>
      </w:r>
      <w:r w:rsidRPr="00F93439">
        <w:rPr>
          <w:rFonts w:hint="eastAsia"/>
          <w:lang w:val="en-US" w:eastAsia="zh-CN"/>
        </w:rPr>
        <w:t>5</w:t>
      </w:r>
      <w:r w:rsidRPr="00F93439">
        <w:rPr>
          <w:rFonts w:hint="eastAsia"/>
          <w:lang w:val="en-US" w:eastAsia="zh-CN"/>
        </w:rPr>
        <w:t>月</w:t>
      </w:r>
      <w:r w:rsidRPr="00F93439">
        <w:rPr>
          <w:rFonts w:hint="eastAsia"/>
          <w:lang w:val="en-US" w:eastAsia="zh-CN"/>
        </w:rPr>
        <w:t>1</w:t>
      </w:r>
      <w:r w:rsidRPr="00F93439">
        <w:rPr>
          <w:rFonts w:hint="eastAsia"/>
          <w:lang w:val="en-US" w:eastAsia="zh-CN"/>
        </w:rPr>
        <w:t>日的美元汇率，阿根廷比索进一步贬值了</w:t>
      </w:r>
      <w:r w:rsidRPr="00F93439">
        <w:rPr>
          <w:rFonts w:hint="eastAsia"/>
          <w:lang w:val="en-US" w:eastAsia="zh-CN"/>
        </w:rPr>
        <w:t>23</w:t>
      </w:r>
      <w:r w:rsidRPr="00F93439">
        <w:rPr>
          <w:rFonts w:hint="eastAsia"/>
          <w:lang w:val="en-US" w:eastAsia="zh-CN"/>
        </w:rPr>
        <w:t>％，相对于</w:t>
      </w:r>
      <w:r w:rsidRPr="00F93439">
        <w:rPr>
          <w:rFonts w:hint="eastAsia"/>
          <w:lang w:val="en-US" w:eastAsia="zh-CN"/>
        </w:rPr>
        <w:t>2018</w:t>
      </w:r>
      <w:r w:rsidRPr="00F93439">
        <w:rPr>
          <w:rFonts w:hint="eastAsia"/>
          <w:lang w:val="en-US" w:eastAsia="zh-CN"/>
        </w:rPr>
        <w:t>年的平均汇率贬值了其价值的</w:t>
      </w:r>
      <w:r w:rsidRPr="00F93439">
        <w:rPr>
          <w:rFonts w:hint="eastAsia"/>
          <w:lang w:val="en-US" w:eastAsia="zh-CN"/>
        </w:rPr>
        <w:t>70</w:t>
      </w:r>
      <w:r w:rsidRPr="00F93439">
        <w:rPr>
          <w:rFonts w:hint="eastAsia"/>
          <w:lang w:val="en-US" w:eastAsia="zh-CN"/>
        </w:rPr>
        <w:t>％</w:t>
      </w:r>
      <w:r>
        <w:rPr>
          <w:rFonts w:hint="eastAsia"/>
          <w:lang w:val="en-US" w:eastAsia="zh-CN"/>
        </w:rPr>
        <w:t>（</w:t>
      </w:r>
      <w:r>
        <w:t>UNEP/</w:t>
      </w:r>
      <w:proofErr w:type="spellStart"/>
      <w:r>
        <w:t>OzL.Pro</w:t>
      </w:r>
      <w:proofErr w:type="spellEnd"/>
      <w:r>
        <w:t>/</w:t>
      </w:r>
      <w:proofErr w:type="spellStart"/>
      <w:r>
        <w:t>ExCom</w:t>
      </w:r>
      <w:proofErr w:type="spellEnd"/>
      <w:r>
        <w:t>/83/44</w:t>
      </w:r>
      <w:r>
        <w:rPr>
          <w:rFonts w:hint="eastAsia"/>
          <w:lang w:eastAsia="zh-CN"/>
        </w:rPr>
        <w:t>号文件）。见本文件附件一。</w:t>
      </w:r>
    </w:p>
  </w:footnote>
  <w:footnote w:id="8">
    <w:p w14:paraId="78151B16" w14:textId="1B61BA8F" w:rsidR="00CF024D" w:rsidRPr="009C77D3" w:rsidRDefault="00CF024D" w:rsidP="003C411E">
      <w:pPr>
        <w:pStyle w:val="FootnoteText"/>
        <w:rPr>
          <w:lang w:eastAsia="zh-CN"/>
        </w:rPr>
      </w:pPr>
      <w:r>
        <w:rPr>
          <w:rStyle w:val="FootnoteReference"/>
        </w:rPr>
        <w:footnoteRef/>
      </w:r>
      <w:r>
        <w:rPr>
          <w:lang w:eastAsia="zh-CN"/>
        </w:rPr>
        <w:t xml:space="preserve"> </w:t>
      </w:r>
      <w:r w:rsidRPr="009C77D3">
        <w:rPr>
          <w:lang w:eastAsia="zh-CN"/>
        </w:rPr>
        <w:t>UNEP/</w:t>
      </w:r>
      <w:proofErr w:type="spellStart"/>
      <w:r w:rsidRPr="009C77D3">
        <w:rPr>
          <w:lang w:eastAsia="zh-CN"/>
        </w:rPr>
        <w:t>OzL.Pro</w:t>
      </w:r>
      <w:proofErr w:type="spellEnd"/>
      <w:r w:rsidRPr="009C77D3">
        <w:rPr>
          <w:lang w:eastAsia="zh-CN"/>
        </w:rPr>
        <w:t>/</w:t>
      </w:r>
      <w:proofErr w:type="spellStart"/>
      <w:r w:rsidRPr="009C77D3">
        <w:rPr>
          <w:lang w:eastAsia="zh-CN"/>
        </w:rPr>
        <w:t>ExCom</w:t>
      </w:r>
      <w:proofErr w:type="spellEnd"/>
      <w:r w:rsidRPr="009C77D3">
        <w:rPr>
          <w:lang w:eastAsia="zh-CN"/>
        </w:rPr>
        <w:t>/84/71</w:t>
      </w:r>
      <w:r>
        <w:rPr>
          <w:rFonts w:hint="eastAsia"/>
          <w:lang w:eastAsia="zh-CN"/>
        </w:rPr>
        <w:t>号文件。</w:t>
      </w:r>
    </w:p>
  </w:footnote>
  <w:footnote w:id="9">
    <w:p w14:paraId="4B45FB8A" w14:textId="0720FD7B" w:rsidR="00CF024D" w:rsidRPr="009070BB" w:rsidRDefault="00CF024D" w:rsidP="00493833">
      <w:pPr>
        <w:pStyle w:val="FootnoteText"/>
        <w:rPr>
          <w:lang w:val="en-US" w:eastAsia="zh-CN"/>
        </w:rPr>
      </w:pPr>
      <w:r>
        <w:rPr>
          <w:rStyle w:val="FootnoteReference"/>
        </w:rPr>
        <w:footnoteRef/>
      </w:r>
      <w:r>
        <w:rPr>
          <w:rFonts w:hint="eastAsia"/>
          <w:lang w:val="en-US" w:eastAsia="zh-CN"/>
        </w:rPr>
        <w:t xml:space="preserve"> </w:t>
      </w:r>
      <w:r w:rsidRPr="009070BB">
        <w:rPr>
          <w:rFonts w:hint="eastAsia"/>
          <w:lang w:val="en-US" w:eastAsia="zh-CN"/>
        </w:rPr>
        <w:t>根据本文件定稿时的汇率，即</w:t>
      </w:r>
      <w:r>
        <w:rPr>
          <w:rFonts w:hint="eastAsia"/>
          <w:lang w:val="en-US" w:eastAsia="zh-CN"/>
        </w:rPr>
        <w:t>1</w:t>
      </w:r>
      <w:r w:rsidRPr="009070BB">
        <w:rPr>
          <w:rFonts w:hint="eastAsia"/>
          <w:lang w:val="en-US" w:eastAsia="zh-CN"/>
        </w:rPr>
        <w:t>美元兑换</w:t>
      </w:r>
      <w:r w:rsidRPr="009070BB">
        <w:rPr>
          <w:rFonts w:hint="eastAsia"/>
          <w:lang w:val="en-US" w:eastAsia="zh-CN"/>
        </w:rPr>
        <w:t>86.91</w:t>
      </w:r>
      <w:r>
        <w:rPr>
          <w:rFonts w:hint="eastAsia"/>
          <w:lang w:val="en-US" w:eastAsia="zh-CN"/>
        </w:rPr>
        <w:t>阿根廷比索</w:t>
      </w:r>
      <w:r w:rsidRPr="009070BB">
        <w:rPr>
          <w:rFonts w:hint="eastAsia"/>
          <w:lang w:val="en-US" w:eastAsia="zh-CN"/>
        </w:rPr>
        <w:t>（</w:t>
      </w:r>
      <w:r w:rsidRPr="009070BB">
        <w:rPr>
          <w:rFonts w:hint="eastAsia"/>
          <w:lang w:val="en-US" w:eastAsia="zh-CN"/>
        </w:rPr>
        <w:t>2021</w:t>
      </w:r>
      <w:r w:rsidRPr="009070BB">
        <w:rPr>
          <w:rFonts w:hint="eastAsia"/>
          <w:lang w:val="en-US" w:eastAsia="zh-CN"/>
        </w:rPr>
        <w:t>年</w:t>
      </w:r>
      <w:r w:rsidRPr="009070BB">
        <w:rPr>
          <w:rFonts w:hint="eastAsia"/>
          <w:lang w:val="en-US" w:eastAsia="zh-CN"/>
        </w:rPr>
        <w:t>1</w:t>
      </w:r>
      <w:r w:rsidRPr="009070BB">
        <w:rPr>
          <w:rFonts w:hint="eastAsia"/>
          <w:lang w:val="en-US" w:eastAsia="zh-CN"/>
        </w:rPr>
        <w:t>月</w:t>
      </w:r>
      <w:r w:rsidRPr="009070BB">
        <w:rPr>
          <w:rFonts w:hint="eastAsia"/>
          <w:lang w:val="en-US" w:eastAsia="zh-CN"/>
        </w:rPr>
        <w:t>25</w:t>
      </w:r>
      <w:r w:rsidRPr="009070BB">
        <w:rPr>
          <w:rFonts w:hint="eastAsia"/>
          <w:lang w:val="en-US" w:eastAsia="zh-CN"/>
        </w:rPr>
        <w:t>日），并注意到</w:t>
      </w:r>
      <w:r>
        <w:rPr>
          <w:rFonts w:hint="eastAsia"/>
          <w:lang w:val="en-US" w:eastAsia="zh-CN"/>
        </w:rPr>
        <w:t>向无正当理由解雇的员工提供双倍</w:t>
      </w:r>
      <w:r w:rsidRPr="009070BB">
        <w:rPr>
          <w:rFonts w:hint="eastAsia"/>
          <w:lang w:val="en-US" w:eastAsia="zh-CN"/>
        </w:rPr>
        <w:t>赔偿金</w:t>
      </w:r>
      <w:r>
        <w:rPr>
          <w:rFonts w:hint="eastAsia"/>
          <w:lang w:val="en-US" w:eastAsia="zh-CN"/>
        </w:rPr>
        <w:t>的指令</w:t>
      </w:r>
      <w:r w:rsidRPr="009070BB">
        <w:rPr>
          <w:rFonts w:hint="eastAsia"/>
          <w:lang w:val="en-US" w:eastAsia="zh-CN"/>
        </w:rPr>
        <w:t>延长至</w:t>
      </w:r>
      <w:r w:rsidRPr="009070BB">
        <w:rPr>
          <w:rFonts w:hint="eastAsia"/>
          <w:lang w:val="en-US" w:eastAsia="zh-CN"/>
        </w:rPr>
        <w:t>2021</w:t>
      </w:r>
      <w:r w:rsidRPr="009070BB">
        <w:rPr>
          <w:rFonts w:hint="eastAsia"/>
          <w:lang w:val="en-US" w:eastAsia="zh-CN"/>
        </w:rPr>
        <w:t>年</w:t>
      </w:r>
      <w:r w:rsidRPr="009070BB">
        <w:rPr>
          <w:rFonts w:hint="eastAsia"/>
          <w:lang w:val="en-US" w:eastAsia="zh-CN"/>
        </w:rPr>
        <w:t>1</w:t>
      </w:r>
      <w:r w:rsidRPr="009070BB">
        <w:rPr>
          <w:rFonts w:hint="eastAsia"/>
          <w:lang w:val="en-US" w:eastAsia="zh-CN"/>
        </w:rPr>
        <w:t>月</w:t>
      </w:r>
      <w:r w:rsidRPr="009070BB">
        <w:rPr>
          <w:rFonts w:hint="eastAsia"/>
          <w:lang w:val="en-US" w:eastAsia="zh-CN"/>
        </w:rPr>
        <w:t>25</w:t>
      </w:r>
      <w:r w:rsidRPr="009070BB">
        <w:rPr>
          <w:rFonts w:hint="eastAsia"/>
          <w:lang w:val="en-US" w:eastAsia="zh-CN"/>
        </w:rPr>
        <w:t>日</w:t>
      </w:r>
      <w:r>
        <w:rPr>
          <w:rFonts w:hint="eastAsia"/>
          <w:lang w:val="en-US" w:eastAsia="zh-CN"/>
        </w:rPr>
        <w:t>，遣散费将达</w:t>
      </w:r>
      <w:r w:rsidRPr="00A22E78">
        <w:rPr>
          <w:lang w:eastAsia="zh-CN"/>
        </w:rPr>
        <w:t>1,628,811</w:t>
      </w:r>
      <w:r>
        <w:rPr>
          <w:rFonts w:hint="eastAsia"/>
          <w:lang w:eastAsia="zh-CN"/>
        </w:rPr>
        <w:t>美元。然而，如果指令不延长到</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25</w:t>
      </w:r>
      <w:r>
        <w:rPr>
          <w:rFonts w:hint="eastAsia"/>
          <w:lang w:eastAsia="zh-CN"/>
        </w:rPr>
        <w:t>日之后，遣散费可能会降低。</w:t>
      </w:r>
    </w:p>
  </w:footnote>
  <w:footnote w:id="10">
    <w:p w14:paraId="0D35062C" w14:textId="77777777" w:rsidR="00CF024D" w:rsidRPr="0007676B" w:rsidRDefault="00CF024D" w:rsidP="00EC3BF4">
      <w:pPr>
        <w:pStyle w:val="FootnoteText"/>
        <w:rPr>
          <w:lang w:val="en-CA" w:eastAsia="zh-CN"/>
        </w:rPr>
      </w:pPr>
      <w:r>
        <w:rPr>
          <w:rStyle w:val="FootnoteReference"/>
        </w:rPr>
        <w:footnoteRef/>
      </w:r>
      <w:r>
        <w:rPr>
          <w:lang w:eastAsia="zh-CN"/>
        </w:rPr>
        <w:t xml:space="preserve"> </w:t>
      </w:r>
      <w:r>
        <w:rPr>
          <w:rFonts w:hint="eastAsia"/>
          <w:lang w:eastAsia="zh-CN"/>
        </w:rPr>
        <w:t>工发组织仅出于计划目的同意销毁开始日期为</w:t>
      </w:r>
      <w:r>
        <w:rPr>
          <w:rFonts w:hint="eastAsia"/>
          <w:lang w:eastAsia="zh-CN"/>
        </w:rPr>
        <w:t>2021</w:t>
      </w:r>
      <w:r>
        <w:rPr>
          <w:rFonts w:hint="eastAsia"/>
          <w:lang w:eastAsia="zh-CN"/>
        </w:rPr>
        <w:t>年</w:t>
      </w:r>
      <w:r>
        <w:rPr>
          <w:rFonts w:hint="eastAsia"/>
          <w:lang w:eastAsia="zh-CN"/>
        </w:rPr>
        <w:t>10</w:t>
      </w:r>
      <w:r>
        <w:rPr>
          <w:rFonts w:hint="eastAsia"/>
          <w:lang w:eastAsia="zh-CN"/>
        </w:rPr>
        <w:t>月</w:t>
      </w:r>
      <w:r>
        <w:rPr>
          <w:rFonts w:hint="eastAsia"/>
          <w:lang w:eastAsia="zh-CN"/>
        </w:rPr>
        <w:t>1</w:t>
      </w:r>
      <w:r>
        <w:rPr>
          <w:rFonts w:hint="eastAsia"/>
          <w:lang w:eastAsia="zh-CN"/>
        </w:rPr>
        <w:t>日。</w:t>
      </w:r>
    </w:p>
  </w:footnote>
  <w:footnote w:id="11">
    <w:p w14:paraId="55702E3B" w14:textId="2EEFDF5F" w:rsidR="00CF024D" w:rsidRPr="00414CFA" w:rsidRDefault="00CF024D">
      <w:pPr>
        <w:pStyle w:val="FootnoteText"/>
        <w:rPr>
          <w:lang w:val="en-CA" w:eastAsia="zh-CN"/>
        </w:rPr>
      </w:pPr>
      <w:r>
        <w:rPr>
          <w:rStyle w:val="FootnoteReference"/>
        </w:rPr>
        <w:footnoteRef/>
      </w:r>
      <w:r>
        <w:t xml:space="preserve"> </w:t>
      </w:r>
      <w:r>
        <w:rPr>
          <w:rFonts w:hint="eastAsia"/>
          <w:lang w:eastAsia="zh-CN"/>
        </w:rPr>
        <w:t>假设</w:t>
      </w:r>
      <w:r>
        <w:rPr>
          <w:rFonts w:hint="eastAsia"/>
          <w:lang w:eastAsia="zh-CN"/>
        </w:rPr>
        <w:t>HCFC-22</w:t>
      </w:r>
      <w:r>
        <w:rPr>
          <w:rFonts w:hint="eastAsia"/>
          <w:lang w:eastAsia="zh-CN"/>
        </w:rPr>
        <w:t>的最大产量为</w:t>
      </w:r>
      <w:r w:rsidRPr="00414CFA">
        <w:rPr>
          <w:lang w:val="en-CA"/>
        </w:rPr>
        <w:t>1,540</w:t>
      </w:r>
      <w:r>
        <w:rPr>
          <w:rFonts w:hint="eastAsia"/>
          <w:lang w:val="en-CA" w:eastAsia="zh-CN"/>
        </w:rPr>
        <w:t>公吨</w:t>
      </w:r>
      <w:r w:rsidRPr="00414CFA">
        <w:rPr>
          <w:lang w:val="en-CA"/>
        </w:rPr>
        <w:t>/</w:t>
      </w:r>
      <w:r>
        <w:rPr>
          <w:rFonts w:hint="eastAsia"/>
          <w:lang w:val="en-CA" w:eastAsia="zh-CN"/>
        </w:rPr>
        <w:t>年，副产品产生率为</w:t>
      </w:r>
      <w:r w:rsidRPr="00414CFA">
        <w:rPr>
          <w:lang w:val="en-CA"/>
        </w:rPr>
        <w:t>3.24</w:t>
      </w:r>
      <w:r>
        <w:rPr>
          <w:rFonts w:hint="eastAsia"/>
          <w:lang w:val="en-CA" w:eastAsia="zh-CN"/>
        </w:rPr>
        <w:t>%</w:t>
      </w:r>
      <w:r>
        <w:rPr>
          <w:rFonts w:hint="eastAsia"/>
          <w:lang w:val="en-CA" w:eastAsia="zh-CN"/>
        </w:rPr>
        <w:t>，要销毁的</w:t>
      </w:r>
      <w:r>
        <w:rPr>
          <w:rFonts w:hint="eastAsia"/>
          <w:lang w:val="en-CA" w:eastAsia="zh-CN"/>
        </w:rPr>
        <w:t>HFC-23</w:t>
      </w:r>
      <w:r>
        <w:rPr>
          <w:rFonts w:hint="eastAsia"/>
          <w:lang w:val="en-CA" w:eastAsia="zh-CN"/>
        </w:rPr>
        <w:t>总量将为</w:t>
      </w:r>
      <w:r>
        <w:rPr>
          <w:rFonts w:hint="eastAsia"/>
          <w:lang w:val="en-CA" w:eastAsia="zh-CN"/>
        </w:rPr>
        <w:t>50</w:t>
      </w:r>
      <w:r>
        <w:rPr>
          <w:rFonts w:hint="eastAsia"/>
          <w:lang w:val="en-CA" w:eastAsia="zh-CN"/>
        </w:rPr>
        <w:t>公吨；依照焚化炉的容量，此销毁量可在一个月完成。</w:t>
      </w:r>
    </w:p>
  </w:footnote>
  <w:footnote w:id="12">
    <w:p w14:paraId="67C83605" w14:textId="442A81D5" w:rsidR="00CF024D" w:rsidRPr="00F230A5" w:rsidRDefault="00CF024D" w:rsidP="00F230A5">
      <w:pPr>
        <w:pStyle w:val="FootnoteText"/>
        <w:rPr>
          <w:lang w:val="en-CA" w:eastAsia="zh-CN"/>
        </w:rPr>
      </w:pPr>
      <w:r>
        <w:rPr>
          <w:rStyle w:val="FootnoteReference"/>
        </w:rPr>
        <w:footnoteRef/>
      </w:r>
      <w:r>
        <w:t xml:space="preserve"> </w:t>
      </w:r>
      <w:r>
        <w:rPr>
          <w:rFonts w:hint="eastAsia"/>
          <w:lang w:eastAsia="zh-CN"/>
        </w:rPr>
        <w:t>阿根廷氟氯烃淘汰管理计划第二阶段包括</w:t>
      </w:r>
      <w:r>
        <w:rPr>
          <w:rFonts w:hint="eastAsia"/>
          <w:lang w:eastAsia="zh-CN"/>
        </w:rPr>
        <w:t>HCFC-22</w:t>
      </w:r>
      <w:r>
        <w:rPr>
          <w:rFonts w:hint="eastAsia"/>
          <w:lang w:eastAsia="zh-CN"/>
        </w:rPr>
        <w:t>生产和贮存的年度监测费用及专家现场核查费用</w:t>
      </w:r>
      <w:r>
        <w:t>8,333</w:t>
      </w:r>
      <w:r>
        <w:rPr>
          <w:rFonts w:hint="eastAsia"/>
          <w:lang w:eastAsia="zh-CN"/>
        </w:rPr>
        <w:t>美元</w:t>
      </w:r>
      <w:r>
        <w:t>/</w:t>
      </w:r>
      <w:r>
        <w:rPr>
          <w:rFonts w:hint="eastAsia"/>
          <w:lang w:eastAsia="zh-CN"/>
        </w:rPr>
        <w:t>年；依照阿根廷政府与执行委员会的协定，氟氯烃淘汰管理计划第二阶段将于</w:t>
      </w:r>
      <w:r>
        <w:rPr>
          <w:rFonts w:hint="eastAsia"/>
          <w:lang w:eastAsia="zh-CN"/>
        </w:rPr>
        <w:t>2022</w:t>
      </w:r>
      <w:r>
        <w:rPr>
          <w:rFonts w:hint="eastAsia"/>
          <w:lang w:eastAsia="zh-CN"/>
        </w:rPr>
        <w:t>年完成。副产品</w:t>
      </w:r>
      <w:r>
        <w:rPr>
          <w:rFonts w:hint="eastAsia"/>
          <w:lang w:eastAsia="zh-CN"/>
        </w:rPr>
        <w:t>HFC-23</w:t>
      </w:r>
      <w:r>
        <w:rPr>
          <w:rFonts w:hint="eastAsia"/>
          <w:lang w:eastAsia="zh-CN"/>
        </w:rPr>
        <w:t>排放的监测与核查将成为额外任务。</w:t>
      </w:r>
    </w:p>
  </w:footnote>
  <w:footnote w:id="13">
    <w:p w14:paraId="0C488435" w14:textId="4A8FE47C" w:rsidR="00CF024D" w:rsidRPr="00C123E4" w:rsidRDefault="00CF024D" w:rsidP="003A1E15">
      <w:pPr>
        <w:pStyle w:val="FootnoteText"/>
        <w:rPr>
          <w:lang w:val="en-CA" w:eastAsia="zh-CN"/>
        </w:rPr>
      </w:pPr>
      <w:r>
        <w:rPr>
          <w:rStyle w:val="FootnoteReference"/>
        </w:rPr>
        <w:footnoteRef/>
      </w:r>
      <w:r>
        <w:rPr>
          <w:lang w:eastAsia="zh-CN"/>
        </w:rPr>
        <w:t xml:space="preserve"> </w:t>
      </w:r>
      <w:r>
        <w:rPr>
          <w:lang w:val="en-CA" w:eastAsia="zh-CN"/>
        </w:rPr>
        <w:t>UNEP/</w:t>
      </w:r>
      <w:proofErr w:type="spellStart"/>
      <w:r>
        <w:rPr>
          <w:lang w:val="en-CA" w:eastAsia="zh-CN"/>
        </w:rPr>
        <w:t>OzL.Pro</w:t>
      </w:r>
      <w:proofErr w:type="spellEnd"/>
      <w:r>
        <w:rPr>
          <w:lang w:val="en-CA" w:eastAsia="zh-CN"/>
        </w:rPr>
        <w:t>/</w:t>
      </w:r>
      <w:proofErr w:type="spellStart"/>
      <w:r>
        <w:rPr>
          <w:lang w:val="en-CA" w:eastAsia="zh-CN"/>
        </w:rPr>
        <w:t>ExCom</w:t>
      </w:r>
      <w:proofErr w:type="spellEnd"/>
      <w:r>
        <w:rPr>
          <w:lang w:val="en-CA" w:eastAsia="zh-CN"/>
        </w:rPr>
        <w:t>/86/96</w:t>
      </w:r>
      <w:r>
        <w:rPr>
          <w:rFonts w:hint="eastAsia"/>
          <w:lang w:val="en-CA" w:eastAsia="zh-CN"/>
        </w:rPr>
        <w:t>号文件。</w:t>
      </w:r>
    </w:p>
  </w:footnote>
  <w:footnote w:id="14">
    <w:p w14:paraId="34C05A9F" w14:textId="35178DF1" w:rsidR="00CF024D" w:rsidRPr="008A4CE3" w:rsidRDefault="00CF024D">
      <w:pPr>
        <w:pStyle w:val="FootnoteText"/>
        <w:rPr>
          <w:lang w:eastAsia="zh-CN"/>
        </w:rPr>
      </w:pPr>
      <w:r>
        <w:rPr>
          <w:rStyle w:val="FootnoteReference"/>
        </w:rPr>
        <w:footnoteRef/>
      </w:r>
      <w:r>
        <w:rPr>
          <w:lang w:eastAsia="zh-CN"/>
        </w:rPr>
        <w:t xml:space="preserve"> </w:t>
      </w:r>
      <w:r>
        <w:rPr>
          <w:rFonts w:hint="eastAsia"/>
          <w:lang w:eastAsia="zh-CN"/>
        </w:rPr>
        <w:t>秘书处与其独立顾问商议了阿根廷政府提出的所有问题。表中的回应反映了这些商议意见。</w:t>
      </w:r>
      <w:r>
        <w:rPr>
          <w:lang w:val="en-CA" w:eastAsia="zh-CN"/>
        </w:rPr>
        <w:t xml:space="preserve"> </w:t>
      </w:r>
    </w:p>
  </w:footnote>
  <w:footnote w:id="15">
    <w:p w14:paraId="137AFA1F" w14:textId="5E6FBCFF" w:rsidR="00CF024D" w:rsidRPr="00F82550" w:rsidRDefault="00CF024D" w:rsidP="00472A2A">
      <w:pPr>
        <w:pStyle w:val="FootnoteText"/>
        <w:rPr>
          <w:lang w:eastAsia="zh-CN"/>
        </w:rPr>
      </w:pPr>
      <w:r>
        <w:rPr>
          <w:rStyle w:val="FootnoteReference"/>
        </w:rPr>
        <w:footnoteRef/>
      </w:r>
      <w:r>
        <w:rPr>
          <w:lang w:eastAsia="zh-CN"/>
        </w:rPr>
        <w:t xml:space="preserve"> </w:t>
      </w:r>
      <w:r>
        <w:rPr>
          <w:rFonts w:hint="eastAsia"/>
          <w:lang w:eastAsia="zh-CN"/>
        </w:rPr>
        <w:t>独立顾问提供的保密性更新技术审计可由执行委员会成员申请查阅。</w:t>
      </w:r>
    </w:p>
  </w:footnote>
  <w:footnote w:id="16">
    <w:p w14:paraId="5CD4B333" w14:textId="3D8BB464" w:rsidR="00CF024D" w:rsidRPr="00B719B0" w:rsidRDefault="00CF024D" w:rsidP="007D1E11">
      <w:pPr>
        <w:pStyle w:val="FootnoteText"/>
        <w:rPr>
          <w:lang w:val="en-CA" w:eastAsia="zh-CN"/>
        </w:rPr>
      </w:pPr>
      <w:r>
        <w:rPr>
          <w:rStyle w:val="FootnoteReference"/>
        </w:rPr>
        <w:footnoteRef/>
      </w:r>
      <w:r>
        <w:rPr>
          <w:lang w:eastAsia="zh-CN"/>
        </w:rPr>
        <w:t xml:space="preserve"> </w:t>
      </w:r>
      <w:r>
        <w:rPr>
          <w:rFonts w:hint="eastAsia"/>
          <w:lang w:eastAsia="zh-CN"/>
        </w:rPr>
        <w:t>保密信息可由执行委员会成员申请查阅。</w:t>
      </w:r>
    </w:p>
  </w:footnote>
  <w:footnote w:id="17">
    <w:p w14:paraId="7A1B9B9D" w14:textId="38F1AC2C" w:rsidR="00CF024D" w:rsidRPr="002A635D" w:rsidRDefault="00CF024D">
      <w:pPr>
        <w:pStyle w:val="FootnoteText"/>
        <w:rPr>
          <w:lang w:val="en-CA"/>
        </w:rPr>
      </w:pPr>
      <w:r>
        <w:rPr>
          <w:rStyle w:val="FootnoteReference"/>
        </w:rPr>
        <w:footnoteRef/>
      </w:r>
      <w:r>
        <w:t xml:space="preserve"> UNEP/</w:t>
      </w:r>
      <w:proofErr w:type="spellStart"/>
      <w:r>
        <w:t>OzL.Pro</w:t>
      </w:r>
      <w:proofErr w:type="spellEnd"/>
      <w:r>
        <w:t>/</w:t>
      </w:r>
      <w:proofErr w:type="spellStart"/>
      <w:r>
        <w:t>ExCom</w:t>
      </w:r>
      <w:proofErr w:type="spellEnd"/>
      <w:r>
        <w:t>/80/56</w:t>
      </w:r>
      <w:r>
        <w:rPr>
          <w:rFonts w:hint="eastAsia"/>
          <w:lang w:eastAsia="zh-CN"/>
        </w:rPr>
        <w:t>号文件。</w:t>
      </w:r>
    </w:p>
  </w:footnote>
  <w:footnote w:id="18">
    <w:p w14:paraId="3D8CF4D6" w14:textId="513957DE" w:rsidR="00CF024D" w:rsidRPr="00327329" w:rsidRDefault="00CF024D">
      <w:pPr>
        <w:pStyle w:val="FootnoteText"/>
        <w:rPr>
          <w:lang w:val="en-CA"/>
        </w:rPr>
      </w:pPr>
      <w:r>
        <w:rPr>
          <w:rStyle w:val="FootnoteReference"/>
        </w:rPr>
        <w:footnoteRef/>
      </w:r>
      <w:r>
        <w:t xml:space="preserve"> UNEP/</w:t>
      </w:r>
      <w:proofErr w:type="spellStart"/>
      <w:r>
        <w:t>OzL.Pro</w:t>
      </w:r>
      <w:proofErr w:type="spellEnd"/>
      <w:r>
        <w:t>/</w:t>
      </w:r>
      <w:proofErr w:type="spellStart"/>
      <w:r>
        <w:t>ExCom</w:t>
      </w:r>
      <w:proofErr w:type="spellEnd"/>
      <w:r>
        <w:t>/82/69</w:t>
      </w:r>
      <w:r>
        <w:rPr>
          <w:rFonts w:hint="eastAsia"/>
          <w:lang w:eastAsia="zh-CN"/>
        </w:rPr>
        <w:t>号文件。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66E5" w14:textId="442B9D7D" w:rsidR="00CF024D" w:rsidRPr="0033525D" w:rsidRDefault="00BD284A">
    <w:r>
      <w:fldChar w:fldCharType="begin"/>
    </w:r>
    <w:r>
      <w:instrText xml:space="preserve"> DOCPROPERTY "Document number"  \* MERGEFORMAT </w:instrText>
    </w:r>
    <w:r>
      <w:fldChar w:fldCharType="separate"/>
    </w:r>
    <w:r>
      <w:t>UNEP/</w:t>
    </w:r>
    <w:proofErr w:type="spellStart"/>
    <w:r>
      <w:t>OzL.Pro</w:t>
    </w:r>
    <w:proofErr w:type="spellEnd"/>
    <w:r>
      <w:t>/</w:t>
    </w:r>
    <w:proofErr w:type="spellStart"/>
    <w:r w:rsidRPr="00BD284A">
      <w:rPr>
        <w:lang w:val="en-CA"/>
      </w:rPr>
      <w:t>ExCom</w:t>
    </w:r>
    <w:proofErr w:type="spellEnd"/>
    <w:r>
      <w:t>/86/95</w:t>
    </w:r>
    <w:r>
      <w:fldChar w:fldCharType="end"/>
    </w:r>
  </w:p>
  <w:p w14:paraId="47C42241" w14:textId="77777777" w:rsidR="00CF024D" w:rsidRPr="0033525D" w:rsidRDefault="00CF024D"/>
  <w:p w14:paraId="4A62EC65" w14:textId="77777777" w:rsidR="00CF024D" w:rsidRPr="0033525D" w:rsidRDefault="00CF024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6966" w14:textId="7B5DE711" w:rsidR="00CF024D" w:rsidRPr="0033525D" w:rsidRDefault="00BD284A">
    <w:pPr>
      <w:jc w:val="right"/>
    </w:pPr>
    <w:r>
      <w:fldChar w:fldCharType="begin"/>
    </w:r>
    <w:r>
      <w:instrText xml:space="preserve"> DOCPROPERTY "Document number"  \* MERGEFORMAT </w:instrText>
    </w:r>
    <w:r>
      <w:fldChar w:fldCharType="separate"/>
    </w:r>
    <w:r w:rsidR="00CF024D">
      <w:t>UNEP/</w:t>
    </w:r>
    <w:proofErr w:type="spellStart"/>
    <w:r w:rsidR="00CF024D">
      <w:t>OzL.Pro</w:t>
    </w:r>
    <w:proofErr w:type="spellEnd"/>
    <w:r w:rsidR="00CF024D">
      <w:t>/</w:t>
    </w:r>
    <w:proofErr w:type="spellStart"/>
    <w:r w:rsidR="00CF024D" w:rsidRPr="00025614">
      <w:rPr>
        <w:lang w:val="en-CA"/>
      </w:rPr>
      <w:t>ExCom</w:t>
    </w:r>
    <w:proofErr w:type="spellEnd"/>
    <w:r w:rsidR="00CF024D">
      <w:t>/86/95</w:t>
    </w:r>
    <w:r>
      <w:fldChar w:fldCharType="end"/>
    </w:r>
  </w:p>
  <w:p w14:paraId="3398383C" w14:textId="77777777" w:rsidR="00CF024D" w:rsidRPr="0033525D" w:rsidRDefault="00CF024D"/>
  <w:p w14:paraId="71B228E4" w14:textId="77777777" w:rsidR="00CF024D" w:rsidRPr="0033525D" w:rsidRDefault="00CF02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C282" w14:textId="77777777" w:rsidR="00CF024D" w:rsidRPr="0033525D" w:rsidRDefault="00BD284A" w:rsidP="004F641A">
    <w:pPr>
      <w:jc w:val="right"/>
    </w:pPr>
    <w:r>
      <w:fldChar w:fldCharType="begin"/>
    </w:r>
    <w:r>
      <w:instrText xml:space="preserve"> DOCPROPERTY "Document number"  \* MERGEFORMAT </w:instrText>
    </w:r>
    <w:r>
      <w:fldChar w:fldCharType="separate"/>
    </w:r>
    <w:r w:rsidR="00CF024D">
      <w:t>UNEP/</w:t>
    </w:r>
    <w:proofErr w:type="spellStart"/>
    <w:r w:rsidR="00CF024D">
      <w:t>OzL.Pro</w:t>
    </w:r>
    <w:proofErr w:type="spellEnd"/>
    <w:r w:rsidR="00CF024D">
      <w:t>/</w:t>
    </w:r>
    <w:proofErr w:type="spellStart"/>
    <w:r w:rsidR="00CF024D" w:rsidRPr="00FC237A">
      <w:rPr>
        <w:lang w:val="en-CA"/>
      </w:rPr>
      <w:t>ExCom</w:t>
    </w:r>
    <w:proofErr w:type="spellEnd"/>
    <w:r w:rsidR="00CF024D">
      <w:t>/86/95</w:t>
    </w:r>
    <w:r>
      <w:fldChar w:fldCharType="end"/>
    </w:r>
  </w:p>
  <w:p w14:paraId="66B00513" w14:textId="50F64A68" w:rsidR="00CF024D" w:rsidRDefault="00CF024D" w:rsidP="004F641A">
    <w:pPr>
      <w:pStyle w:val="Header"/>
      <w:jc w:val="right"/>
    </w:pPr>
    <w:r>
      <w:t>Annex I</w:t>
    </w:r>
  </w:p>
  <w:p w14:paraId="13916B53" w14:textId="70A15F45" w:rsidR="00CF024D" w:rsidRDefault="00CF024D" w:rsidP="004F641A">
    <w:pPr>
      <w:pStyle w:val="Header"/>
      <w:jc w:val="right"/>
    </w:pPr>
  </w:p>
  <w:p w14:paraId="79D0D180" w14:textId="77777777" w:rsidR="00CF024D" w:rsidRPr="004F641A" w:rsidRDefault="00CF024D" w:rsidP="004F641A">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6006" w14:textId="6D7CEDE2" w:rsidR="00CF024D" w:rsidRDefault="00CF024D" w:rsidP="00D65E9E">
    <w:pPr>
      <w:jc w:val="left"/>
    </w:pPr>
    <w:r>
      <w:t>UNEP/</w:t>
    </w:r>
    <w:proofErr w:type="spellStart"/>
    <w:r>
      <w:t>OzL.Pro</w:t>
    </w:r>
    <w:proofErr w:type="spellEnd"/>
    <w:r>
      <w:t>/</w:t>
    </w:r>
    <w:proofErr w:type="spellStart"/>
    <w:r>
      <w:t>ExCom</w:t>
    </w:r>
    <w:proofErr w:type="spellEnd"/>
    <w:r>
      <w:t>/83/44</w:t>
    </w:r>
  </w:p>
  <w:p w14:paraId="6CBEF1AF" w14:textId="77777777" w:rsidR="00CF024D" w:rsidRDefault="00CF024D"/>
  <w:p w14:paraId="2EFEC09D" w14:textId="77777777" w:rsidR="00CF024D" w:rsidRPr="0033525D" w:rsidRDefault="00CF024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AB1E" w14:textId="6090F763" w:rsidR="00CF024D" w:rsidRPr="0033525D" w:rsidRDefault="00CF024D" w:rsidP="00D65E9E">
    <w:pPr>
      <w:jc w:val="right"/>
    </w:pPr>
    <w:r>
      <w:t>UNEP/</w:t>
    </w:r>
    <w:proofErr w:type="spellStart"/>
    <w:r>
      <w:t>OzL.Pro</w:t>
    </w:r>
    <w:proofErr w:type="spellEnd"/>
    <w:r>
      <w:t>/</w:t>
    </w:r>
    <w:proofErr w:type="spellStart"/>
    <w:r>
      <w:t>ExCom</w:t>
    </w:r>
    <w:proofErr w:type="spellEnd"/>
    <w:r>
      <w:t>/83/44</w:t>
    </w:r>
  </w:p>
  <w:p w14:paraId="35AF7AAA" w14:textId="77777777" w:rsidR="00CF024D" w:rsidRDefault="00CF024D">
    <w:pPr>
      <w:pStyle w:val="Header"/>
    </w:pPr>
  </w:p>
  <w:p w14:paraId="2801914B" w14:textId="77777777" w:rsidR="00CF024D" w:rsidRPr="0033525D" w:rsidRDefault="00CF02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180DE54"/>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3060"/>
        </w:tabs>
        <w:ind w:left="450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7B64080E"/>
    <w:multiLevelType w:val="hybridMultilevel"/>
    <w:tmpl w:val="784A45F0"/>
    <w:lvl w:ilvl="0" w:tplc="B50286E2">
      <w:start w:val="1"/>
      <w:numFmt w:val="lowerLetter"/>
      <w:pStyle w:val="letteredhead1"/>
      <w:lvlText w:val="(%1)"/>
      <w:lvlJc w:val="left"/>
      <w:pPr>
        <w:tabs>
          <w:tab w:val="num" w:pos="1440"/>
        </w:tabs>
        <w:ind w:left="1440" w:hanging="72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bordersDoNotSurroundHeader/>
  <w:bordersDoNotSurroundFooter/>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C679D6"/>
    <w:rsid w:val="00000FED"/>
    <w:rsid w:val="00001896"/>
    <w:rsid w:val="0000434E"/>
    <w:rsid w:val="00006948"/>
    <w:rsid w:val="0001174A"/>
    <w:rsid w:val="00012E02"/>
    <w:rsid w:val="00014E3B"/>
    <w:rsid w:val="000211A9"/>
    <w:rsid w:val="000231EA"/>
    <w:rsid w:val="000250D1"/>
    <w:rsid w:val="00025614"/>
    <w:rsid w:val="000257C6"/>
    <w:rsid w:val="00027872"/>
    <w:rsid w:val="00030F1D"/>
    <w:rsid w:val="00031260"/>
    <w:rsid w:val="00033F23"/>
    <w:rsid w:val="000348B4"/>
    <w:rsid w:val="0003681A"/>
    <w:rsid w:val="000372B7"/>
    <w:rsid w:val="00037EB3"/>
    <w:rsid w:val="000426F5"/>
    <w:rsid w:val="00045150"/>
    <w:rsid w:val="00047C1D"/>
    <w:rsid w:val="00050F6E"/>
    <w:rsid w:val="00051A04"/>
    <w:rsid w:val="00051B6E"/>
    <w:rsid w:val="00052AF2"/>
    <w:rsid w:val="000540C5"/>
    <w:rsid w:val="000555CD"/>
    <w:rsid w:val="00055CB9"/>
    <w:rsid w:val="000563EA"/>
    <w:rsid w:val="00061EC2"/>
    <w:rsid w:val="0006322E"/>
    <w:rsid w:val="0006362B"/>
    <w:rsid w:val="0006396E"/>
    <w:rsid w:val="00065393"/>
    <w:rsid w:val="00065DC3"/>
    <w:rsid w:val="00073FCE"/>
    <w:rsid w:val="000748F8"/>
    <w:rsid w:val="00075E40"/>
    <w:rsid w:val="0007676B"/>
    <w:rsid w:val="00080ED0"/>
    <w:rsid w:val="000818CA"/>
    <w:rsid w:val="00084E7B"/>
    <w:rsid w:val="00085B8F"/>
    <w:rsid w:val="0008667E"/>
    <w:rsid w:val="00090481"/>
    <w:rsid w:val="000937E7"/>
    <w:rsid w:val="00094C00"/>
    <w:rsid w:val="000A0C4A"/>
    <w:rsid w:val="000A2650"/>
    <w:rsid w:val="000A2B72"/>
    <w:rsid w:val="000A3826"/>
    <w:rsid w:val="000A6C26"/>
    <w:rsid w:val="000B22FB"/>
    <w:rsid w:val="000B4EAD"/>
    <w:rsid w:val="000B713B"/>
    <w:rsid w:val="000C00D9"/>
    <w:rsid w:val="000C2245"/>
    <w:rsid w:val="000C493C"/>
    <w:rsid w:val="000C57B3"/>
    <w:rsid w:val="000D0001"/>
    <w:rsid w:val="000D07F2"/>
    <w:rsid w:val="000D3884"/>
    <w:rsid w:val="000D52A4"/>
    <w:rsid w:val="000D6411"/>
    <w:rsid w:val="000D70BC"/>
    <w:rsid w:val="000D7D65"/>
    <w:rsid w:val="000E07BC"/>
    <w:rsid w:val="000E79C9"/>
    <w:rsid w:val="000F1CD4"/>
    <w:rsid w:val="000F2F5A"/>
    <w:rsid w:val="000F4103"/>
    <w:rsid w:val="000F4BC2"/>
    <w:rsid w:val="000F5D10"/>
    <w:rsid w:val="000F5FAA"/>
    <w:rsid w:val="000F6201"/>
    <w:rsid w:val="000F70A7"/>
    <w:rsid w:val="00104B69"/>
    <w:rsid w:val="001050ED"/>
    <w:rsid w:val="00106AC3"/>
    <w:rsid w:val="00106B88"/>
    <w:rsid w:val="001079B5"/>
    <w:rsid w:val="00113553"/>
    <w:rsid w:val="00113CCA"/>
    <w:rsid w:val="00113E3F"/>
    <w:rsid w:val="00114BE3"/>
    <w:rsid w:val="001216D3"/>
    <w:rsid w:val="00122F25"/>
    <w:rsid w:val="00124159"/>
    <w:rsid w:val="00126172"/>
    <w:rsid w:val="00135980"/>
    <w:rsid w:val="001408E4"/>
    <w:rsid w:val="00142A71"/>
    <w:rsid w:val="0014308B"/>
    <w:rsid w:val="00144AD9"/>
    <w:rsid w:val="00150CAC"/>
    <w:rsid w:val="001524AF"/>
    <w:rsid w:val="001545E5"/>
    <w:rsid w:val="00160B32"/>
    <w:rsid w:val="00163087"/>
    <w:rsid w:val="00164719"/>
    <w:rsid w:val="00166FC4"/>
    <w:rsid w:val="001677AC"/>
    <w:rsid w:val="00167ADD"/>
    <w:rsid w:val="00171C13"/>
    <w:rsid w:val="0017292C"/>
    <w:rsid w:val="00174A01"/>
    <w:rsid w:val="00175D9D"/>
    <w:rsid w:val="00176C49"/>
    <w:rsid w:val="00177AE2"/>
    <w:rsid w:val="001804EA"/>
    <w:rsid w:val="001843C6"/>
    <w:rsid w:val="00190A61"/>
    <w:rsid w:val="00191DF3"/>
    <w:rsid w:val="001943E0"/>
    <w:rsid w:val="00195051"/>
    <w:rsid w:val="0019530E"/>
    <w:rsid w:val="001975CD"/>
    <w:rsid w:val="00197D03"/>
    <w:rsid w:val="001A0038"/>
    <w:rsid w:val="001A02BF"/>
    <w:rsid w:val="001A224B"/>
    <w:rsid w:val="001A3342"/>
    <w:rsid w:val="001A3E3D"/>
    <w:rsid w:val="001A555A"/>
    <w:rsid w:val="001A7049"/>
    <w:rsid w:val="001A707A"/>
    <w:rsid w:val="001A7B2E"/>
    <w:rsid w:val="001B0518"/>
    <w:rsid w:val="001B1228"/>
    <w:rsid w:val="001B1E40"/>
    <w:rsid w:val="001B60BD"/>
    <w:rsid w:val="001B7CF6"/>
    <w:rsid w:val="001C2CBE"/>
    <w:rsid w:val="001C4F69"/>
    <w:rsid w:val="001C59AB"/>
    <w:rsid w:val="001C66AB"/>
    <w:rsid w:val="001C764E"/>
    <w:rsid w:val="001C7E9A"/>
    <w:rsid w:val="001D07A0"/>
    <w:rsid w:val="001D3CC0"/>
    <w:rsid w:val="001E0735"/>
    <w:rsid w:val="001E1052"/>
    <w:rsid w:val="001E21B1"/>
    <w:rsid w:val="001E2F93"/>
    <w:rsid w:val="001E3138"/>
    <w:rsid w:val="001E4554"/>
    <w:rsid w:val="001E61E5"/>
    <w:rsid w:val="001E76FA"/>
    <w:rsid w:val="001E7A8F"/>
    <w:rsid w:val="001F2159"/>
    <w:rsid w:val="001F5F6E"/>
    <w:rsid w:val="00201B1F"/>
    <w:rsid w:val="00204480"/>
    <w:rsid w:val="00205A31"/>
    <w:rsid w:val="00207619"/>
    <w:rsid w:val="00210A9C"/>
    <w:rsid w:val="00210B8B"/>
    <w:rsid w:val="002136AB"/>
    <w:rsid w:val="002140D1"/>
    <w:rsid w:val="00214863"/>
    <w:rsid w:val="002156B4"/>
    <w:rsid w:val="002178C9"/>
    <w:rsid w:val="00222996"/>
    <w:rsid w:val="00224E6B"/>
    <w:rsid w:val="00225566"/>
    <w:rsid w:val="002311A5"/>
    <w:rsid w:val="00234052"/>
    <w:rsid w:val="00234C58"/>
    <w:rsid w:val="00235077"/>
    <w:rsid w:val="0023669D"/>
    <w:rsid w:val="00236DCF"/>
    <w:rsid w:val="00241C3B"/>
    <w:rsid w:val="00241ED7"/>
    <w:rsid w:val="00252A55"/>
    <w:rsid w:val="00253222"/>
    <w:rsid w:val="002532DC"/>
    <w:rsid w:val="00253534"/>
    <w:rsid w:val="00255596"/>
    <w:rsid w:val="00262847"/>
    <w:rsid w:val="00263B0F"/>
    <w:rsid w:val="0026416B"/>
    <w:rsid w:val="002641A6"/>
    <w:rsid w:val="00274DB2"/>
    <w:rsid w:val="0027591B"/>
    <w:rsid w:val="00281BB2"/>
    <w:rsid w:val="00290A1E"/>
    <w:rsid w:val="00290EBB"/>
    <w:rsid w:val="0029346D"/>
    <w:rsid w:val="00294798"/>
    <w:rsid w:val="002952B8"/>
    <w:rsid w:val="00297F4D"/>
    <w:rsid w:val="002A4321"/>
    <w:rsid w:val="002A635D"/>
    <w:rsid w:val="002B254E"/>
    <w:rsid w:val="002B28C4"/>
    <w:rsid w:val="002B6E38"/>
    <w:rsid w:val="002B72E9"/>
    <w:rsid w:val="002C3178"/>
    <w:rsid w:val="002C770A"/>
    <w:rsid w:val="002C7998"/>
    <w:rsid w:val="002D1D74"/>
    <w:rsid w:val="002D5A99"/>
    <w:rsid w:val="002D77BE"/>
    <w:rsid w:val="002E0C9F"/>
    <w:rsid w:val="002E101D"/>
    <w:rsid w:val="002E2DC8"/>
    <w:rsid w:val="002E546B"/>
    <w:rsid w:val="002E71F4"/>
    <w:rsid w:val="002F0AE2"/>
    <w:rsid w:val="002F0D5B"/>
    <w:rsid w:val="002F1E53"/>
    <w:rsid w:val="002F2CAA"/>
    <w:rsid w:val="002F67B5"/>
    <w:rsid w:val="0030052C"/>
    <w:rsid w:val="00304376"/>
    <w:rsid w:val="003125A7"/>
    <w:rsid w:val="0031274C"/>
    <w:rsid w:val="00317D6E"/>
    <w:rsid w:val="0032225F"/>
    <w:rsid w:val="003262FD"/>
    <w:rsid w:val="00326996"/>
    <w:rsid w:val="00326A99"/>
    <w:rsid w:val="00327221"/>
    <w:rsid w:val="00327329"/>
    <w:rsid w:val="003306E1"/>
    <w:rsid w:val="00330B96"/>
    <w:rsid w:val="003320E4"/>
    <w:rsid w:val="003330F5"/>
    <w:rsid w:val="0033525D"/>
    <w:rsid w:val="003354EB"/>
    <w:rsid w:val="003414F3"/>
    <w:rsid w:val="00345C2C"/>
    <w:rsid w:val="0035141B"/>
    <w:rsid w:val="0035613E"/>
    <w:rsid w:val="00360B08"/>
    <w:rsid w:val="003628C4"/>
    <w:rsid w:val="00363EE9"/>
    <w:rsid w:val="00366801"/>
    <w:rsid w:val="00376128"/>
    <w:rsid w:val="003768B1"/>
    <w:rsid w:val="0037742E"/>
    <w:rsid w:val="00377D56"/>
    <w:rsid w:val="0038099F"/>
    <w:rsid w:val="00381063"/>
    <w:rsid w:val="0038213F"/>
    <w:rsid w:val="0038245A"/>
    <w:rsid w:val="003840E6"/>
    <w:rsid w:val="00385CFC"/>
    <w:rsid w:val="00386755"/>
    <w:rsid w:val="00391641"/>
    <w:rsid w:val="00391875"/>
    <w:rsid w:val="0039233C"/>
    <w:rsid w:val="0039293A"/>
    <w:rsid w:val="0039337A"/>
    <w:rsid w:val="00393474"/>
    <w:rsid w:val="00397654"/>
    <w:rsid w:val="003A10F0"/>
    <w:rsid w:val="003A171B"/>
    <w:rsid w:val="003A1E15"/>
    <w:rsid w:val="003A3189"/>
    <w:rsid w:val="003A3CA7"/>
    <w:rsid w:val="003A4E74"/>
    <w:rsid w:val="003A52DA"/>
    <w:rsid w:val="003A5698"/>
    <w:rsid w:val="003B33BD"/>
    <w:rsid w:val="003B569D"/>
    <w:rsid w:val="003B6AEA"/>
    <w:rsid w:val="003C096D"/>
    <w:rsid w:val="003C0DA6"/>
    <w:rsid w:val="003C33FB"/>
    <w:rsid w:val="003C3C0E"/>
    <w:rsid w:val="003C411E"/>
    <w:rsid w:val="003C5909"/>
    <w:rsid w:val="003C6060"/>
    <w:rsid w:val="003D0C8C"/>
    <w:rsid w:val="003D42A6"/>
    <w:rsid w:val="003D4F21"/>
    <w:rsid w:val="003D4FAC"/>
    <w:rsid w:val="003D570E"/>
    <w:rsid w:val="003D71F3"/>
    <w:rsid w:val="003D762B"/>
    <w:rsid w:val="003E1C04"/>
    <w:rsid w:val="003E4A83"/>
    <w:rsid w:val="003E6692"/>
    <w:rsid w:val="003E7333"/>
    <w:rsid w:val="003E7906"/>
    <w:rsid w:val="003F0CA3"/>
    <w:rsid w:val="003F35EF"/>
    <w:rsid w:val="003F3C50"/>
    <w:rsid w:val="003F671F"/>
    <w:rsid w:val="00401F78"/>
    <w:rsid w:val="00402D64"/>
    <w:rsid w:val="004035AE"/>
    <w:rsid w:val="0040481D"/>
    <w:rsid w:val="00406016"/>
    <w:rsid w:val="00406A6A"/>
    <w:rsid w:val="00406B22"/>
    <w:rsid w:val="004070FA"/>
    <w:rsid w:val="00410737"/>
    <w:rsid w:val="004108A3"/>
    <w:rsid w:val="0041284F"/>
    <w:rsid w:val="004128D3"/>
    <w:rsid w:val="0041387E"/>
    <w:rsid w:val="00414CFA"/>
    <w:rsid w:val="00415585"/>
    <w:rsid w:val="00416E26"/>
    <w:rsid w:val="0042066D"/>
    <w:rsid w:val="004328A7"/>
    <w:rsid w:val="0043359D"/>
    <w:rsid w:val="00434C74"/>
    <w:rsid w:val="00435171"/>
    <w:rsid w:val="00441678"/>
    <w:rsid w:val="00442638"/>
    <w:rsid w:val="0044457A"/>
    <w:rsid w:val="00444AEC"/>
    <w:rsid w:val="00446042"/>
    <w:rsid w:val="00450068"/>
    <w:rsid w:val="00451598"/>
    <w:rsid w:val="00452D3F"/>
    <w:rsid w:val="0045412B"/>
    <w:rsid w:val="00455C1B"/>
    <w:rsid w:val="00456EB4"/>
    <w:rsid w:val="00464DAA"/>
    <w:rsid w:val="004718F3"/>
    <w:rsid w:val="00472794"/>
    <w:rsid w:val="00472A2A"/>
    <w:rsid w:val="00475040"/>
    <w:rsid w:val="0047678A"/>
    <w:rsid w:val="00485242"/>
    <w:rsid w:val="004875CE"/>
    <w:rsid w:val="00493833"/>
    <w:rsid w:val="00493D40"/>
    <w:rsid w:val="004967B6"/>
    <w:rsid w:val="0049694C"/>
    <w:rsid w:val="004A1AD6"/>
    <w:rsid w:val="004A504B"/>
    <w:rsid w:val="004A5426"/>
    <w:rsid w:val="004A59A2"/>
    <w:rsid w:val="004A5C89"/>
    <w:rsid w:val="004A6911"/>
    <w:rsid w:val="004A6BD1"/>
    <w:rsid w:val="004B3713"/>
    <w:rsid w:val="004B54E0"/>
    <w:rsid w:val="004B6465"/>
    <w:rsid w:val="004B7384"/>
    <w:rsid w:val="004B7807"/>
    <w:rsid w:val="004C4269"/>
    <w:rsid w:val="004D11A4"/>
    <w:rsid w:val="004D2408"/>
    <w:rsid w:val="004D3DDD"/>
    <w:rsid w:val="004D45E1"/>
    <w:rsid w:val="004D4E95"/>
    <w:rsid w:val="004D6236"/>
    <w:rsid w:val="004D7F90"/>
    <w:rsid w:val="004E4DBB"/>
    <w:rsid w:val="004E4E41"/>
    <w:rsid w:val="004E51E5"/>
    <w:rsid w:val="004E7F5D"/>
    <w:rsid w:val="004E7F9C"/>
    <w:rsid w:val="004F338C"/>
    <w:rsid w:val="004F3493"/>
    <w:rsid w:val="004F3E1D"/>
    <w:rsid w:val="004F5143"/>
    <w:rsid w:val="004F5334"/>
    <w:rsid w:val="004F641A"/>
    <w:rsid w:val="004F6CC8"/>
    <w:rsid w:val="0050007B"/>
    <w:rsid w:val="005013AA"/>
    <w:rsid w:val="005105C0"/>
    <w:rsid w:val="00512B09"/>
    <w:rsid w:val="005132EB"/>
    <w:rsid w:val="0051539F"/>
    <w:rsid w:val="005163A2"/>
    <w:rsid w:val="00517A01"/>
    <w:rsid w:val="00520FF7"/>
    <w:rsid w:val="00525A0E"/>
    <w:rsid w:val="00525A6C"/>
    <w:rsid w:val="00527C5D"/>
    <w:rsid w:val="00527F10"/>
    <w:rsid w:val="005326B8"/>
    <w:rsid w:val="005327C4"/>
    <w:rsid w:val="00532E6F"/>
    <w:rsid w:val="00533796"/>
    <w:rsid w:val="00534C42"/>
    <w:rsid w:val="005351EE"/>
    <w:rsid w:val="00537343"/>
    <w:rsid w:val="00540248"/>
    <w:rsid w:val="00541CF5"/>
    <w:rsid w:val="0054219C"/>
    <w:rsid w:val="0054286D"/>
    <w:rsid w:val="00542B1B"/>
    <w:rsid w:val="005453A3"/>
    <w:rsid w:val="00550037"/>
    <w:rsid w:val="00550A7E"/>
    <w:rsid w:val="00552A19"/>
    <w:rsid w:val="0055472F"/>
    <w:rsid w:val="00555D75"/>
    <w:rsid w:val="0056022C"/>
    <w:rsid w:val="00560DF0"/>
    <w:rsid w:val="00562AD3"/>
    <w:rsid w:val="0056398E"/>
    <w:rsid w:val="0056759C"/>
    <w:rsid w:val="0057130F"/>
    <w:rsid w:val="0057269E"/>
    <w:rsid w:val="00572932"/>
    <w:rsid w:val="00572B36"/>
    <w:rsid w:val="005738B0"/>
    <w:rsid w:val="005748F6"/>
    <w:rsid w:val="00576532"/>
    <w:rsid w:val="00582842"/>
    <w:rsid w:val="00583B54"/>
    <w:rsid w:val="00586102"/>
    <w:rsid w:val="0059249D"/>
    <w:rsid w:val="00593E00"/>
    <w:rsid w:val="00594136"/>
    <w:rsid w:val="0059513E"/>
    <w:rsid w:val="005958E4"/>
    <w:rsid w:val="00595E7E"/>
    <w:rsid w:val="005A2D51"/>
    <w:rsid w:val="005A6D9F"/>
    <w:rsid w:val="005B0C3B"/>
    <w:rsid w:val="005B159C"/>
    <w:rsid w:val="005B33AF"/>
    <w:rsid w:val="005B3B1B"/>
    <w:rsid w:val="005B4793"/>
    <w:rsid w:val="005B48FF"/>
    <w:rsid w:val="005C2E4D"/>
    <w:rsid w:val="005C4137"/>
    <w:rsid w:val="005C54C5"/>
    <w:rsid w:val="005C5FC3"/>
    <w:rsid w:val="005D363F"/>
    <w:rsid w:val="005D7023"/>
    <w:rsid w:val="005E15C8"/>
    <w:rsid w:val="005E29A1"/>
    <w:rsid w:val="005E3937"/>
    <w:rsid w:val="005E3D9B"/>
    <w:rsid w:val="005E4229"/>
    <w:rsid w:val="005F40FA"/>
    <w:rsid w:val="005F576B"/>
    <w:rsid w:val="005F5E8A"/>
    <w:rsid w:val="005F75A4"/>
    <w:rsid w:val="0060049F"/>
    <w:rsid w:val="00602825"/>
    <w:rsid w:val="00602E51"/>
    <w:rsid w:val="006036EC"/>
    <w:rsid w:val="00603C19"/>
    <w:rsid w:val="00604037"/>
    <w:rsid w:val="00604328"/>
    <w:rsid w:val="00604C15"/>
    <w:rsid w:val="0061054A"/>
    <w:rsid w:val="00610C0B"/>
    <w:rsid w:val="00611E5F"/>
    <w:rsid w:val="006158D5"/>
    <w:rsid w:val="00620715"/>
    <w:rsid w:val="00623BF8"/>
    <w:rsid w:val="00625D83"/>
    <w:rsid w:val="00626252"/>
    <w:rsid w:val="00627268"/>
    <w:rsid w:val="006372F8"/>
    <w:rsid w:val="00640A1B"/>
    <w:rsid w:val="00640F3E"/>
    <w:rsid w:val="00641039"/>
    <w:rsid w:val="00642238"/>
    <w:rsid w:val="00651514"/>
    <w:rsid w:val="0065249E"/>
    <w:rsid w:val="006551B1"/>
    <w:rsid w:val="00655432"/>
    <w:rsid w:val="0065646E"/>
    <w:rsid w:val="00656520"/>
    <w:rsid w:val="0065670A"/>
    <w:rsid w:val="006623E7"/>
    <w:rsid w:val="00662B80"/>
    <w:rsid w:val="006701E0"/>
    <w:rsid w:val="00670F6C"/>
    <w:rsid w:val="0067111E"/>
    <w:rsid w:val="00672A3D"/>
    <w:rsid w:val="006740E9"/>
    <w:rsid w:val="00680B78"/>
    <w:rsid w:val="00680DA2"/>
    <w:rsid w:val="00682ED5"/>
    <w:rsid w:val="00683C81"/>
    <w:rsid w:val="00684451"/>
    <w:rsid w:val="006846FF"/>
    <w:rsid w:val="00684FC2"/>
    <w:rsid w:val="006852C7"/>
    <w:rsid w:val="006852CE"/>
    <w:rsid w:val="00694535"/>
    <w:rsid w:val="00695AF4"/>
    <w:rsid w:val="006A12DA"/>
    <w:rsid w:val="006A2132"/>
    <w:rsid w:val="006A4BCB"/>
    <w:rsid w:val="006A7BA7"/>
    <w:rsid w:val="006B1922"/>
    <w:rsid w:val="006B1D63"/>
    <w:rsid w:val="006B371A"/>
    <w:rsid w:val="006B478E"/>
    <w:rsid w:val="006B5E13"/>
    <w:rsid w:val="006C1727"/>
    <w:rsid w:val="006C32FD"/>
    <w:rsid w:val="006C39CE"/>
    <w:rsid w:val="006C6E7F"/>
    <w:rsid w:val="006C6F5D"/>
    <w:rsid w:val="006D0FCC"/>
    <w:rsid w:val="006D21F5"/>
    <w:rsid w:val="006D47C2"/>
    <w:rsid w:val="006D5646"/>
    <w:rsid w:val="006E1FC3"/>
    <w:rsid w:val="006E437C"/>
    <w:rsid w:val="006E58AE"/>
    <w:rsid w:val="006F44E9"/>
    <w:rsid w:val="006F5FBE"/>
    <w:rsid w:val="00701F10"/>
    <w:rsid w:val="00703573"/>
    <w:rsid w:val="00704937"/>
    <w:rsid w:val="00704CE9"/>
    <w:rsid w:val="00704F10"/>
    <w:rsid w:val="0070616B"/>
    <w:rsid w:val="00706295"/>
    <w:rsid w:val="00706FDA"/>
    <w:rsid w:val="007075E2"/>
    <w:rsid w:val="00711F9A"/>
    <w:rsid w:val="00713810"/>
    <w:rsid w:val="00722764"/>
    <w:rsid w:val="00726457"/>
    <w:rsid w:val="007303A5"/>
    <w:rsid w:val="00730B06"/>
    <w:rsid w:val="00730B3E"/>
    <w:rsid w:val="007310EB"/>
    <w:rsid w:val="007320F2"/>
    <w:rsid w:val="0073420B"/>
    <w:rsid w:val="00737382"/>
    <w:rsid w:val="00741265"/>
    <w:rsid w:val="00741F62"/>
    <w:rsid w:val="00741FE0"/>
    <w:rsid w:val="00744745"/>
    <w:rsid w:val="00745A42"/>
    <w:rsid w:val="0074760E"/>
    <w:rsid w:val="00747830"/>
    <w:rsid w:val="00747FA7"/>
    <w:rsid w:val="00750E49"/>
    <w:rsid w:val="00751A76"/>
    <w:rsid w:val="007523CB"/>
    <w:rsid w:val="00752C15"/>
    <w:rsid w:val="00754ABA"/>
    <w:rsid w:val="00755328"/>
    <w:rsid w:val="007600A7"/>
    <w:rsid w:val="00760672"/>
    <w:rsid w:val="00760BEF"/>
    <w:rsid w:val="00762D0E"/>
    <w:rsid w:val="007635DA"/>
    <w:rsid w:val="00764205"/>
    <w:rsid w:val="00764A87"/>
    <w:rsid w:val="00774694"/>
    <w:rsid w:val="007753DE"/>
    <w:rsid w:val="00781331"/>
    <w:rsid w:val="00783A9D"/>
    <w:rsid w:val="007849D4"/>
    <w:rsid w:val="00785E18"/>
    <w:rsid w:val="00792B2A"/>
    <w:rsid w:val="007937FE"/>
    <w:rsid w:val="00793F37"/>
    <w:rsid w:val="00794BFB"/>
    <w:rsid w:val="00797ABF"/>
    <w:rsid w:val="007A1444"/>
    <w:rsid w:val="007A1546"/>
    <w:rsid w:val="007A228C"/>
    <w:rsid w:val="007A368E"/>
    <w:rsid w:val="007A4F51"/>
    <w:rsid w:val="007A5868"/>
    <w:rsid w:val="007B04CE"/>
    <w:rsid w:val="007B215A"/>
    <w:rsid w:val="007B5726"/>
    <w:rsid w:val="007B6871"/>
    <w:rsid w:val="007B7A2F"/>
    <w:rsid w:val="007C02F3"/>
    <w:rsid w:val="007C3D33"/>
    <w:rsid w:val="007C47FE"/>
    <w:rsid w:val="007D1E11"/>
    <w:rsid w:val="007D2451"/>
    <w:rsid w:val="007D294A"/>
    <w:rsid w:val="007D47D2"/>
    <w:rsid w:val="007D5E48"/>
    <w:rsid w:val="007D6A14"/>
    <w:rsid w:val="007D6EC0"/>
    <w:rsid w:val="007D7E1D"/>
    <w:rsid w:val="007E09BF"/>
    <w:rsid w:val="007E322E"/>
    <w:rsid w:val="007E4535"/>
    <w:rsid w:val="007E4926"/>
    <w:rsid w:val="007F1455"/>
    <w:rsid w:val="007F3D58"/>
    <w:rsid w:val="007F4661"/>
    <w:rsid w:val="007F5E22"/>
    <w:rsid w:val="007F6627"/>
    <w:rsid w:val="0080001D"/>
    <w:rsid w:val="00803CAE"/>
    <w:rsid w:val="008048CA"/>
    <w:rsid w:val="00805838"/>
    <w:rsid w:val="00810DBB"/>
    <w:rsid w:val="008235B5"/>
    <w:rsid w:val="0082748C"/>
    <w:rsid w:val="0083160A"/>
    <w:rsid w:val="00831979"/>
    <w:rsid w:val="008331EA"/>
    <w:rsid w:val="00833AB2"/>
    <w:rsid w:val="00833B6C"/>
    <w:rsid w:val="0083592F"/>
    <w:rsid w:val="00851352"/>
    <w:rsid w:val="008535BC"/>
    <w:rsid w:val="00855B04"/>
    <w:rsid w:val="00857077"/>
    <w:rsid w:val="00863230"/>
    <w:rsid w:val="00865BD0"/>
    <w:rsid w:val="00866397"/>
    <w:rsid w:val="00866C1E"/>
    <w:rsid w:val="00870019"/>
    <w:rsid w:val="008717D8"/>
    <w:rsid w:val="0087215C"/>
    <w:rsid w:val="008732BC"/>
    <w:rsid w:val="00874902"/>
    <w:rsid w:val="00875B75"/>
    <w:rsid w:val="00875BD1"/>
    <w:rsid w:val="00875D25"/>
    <w:rsid w:val="00876CEB"/>
    <w:rsid w:val="00880ABA"/>
    <w:rsid w:val="00880CC6"/>
    <w:rsid w:val="00880E35"/>
    <w:rsid w:val="00884326"/>
    <w:rsid w:val="00886D0D"/>
    <w:rsid w:val="008875FE"/>
    <w:rsid w:val="00887B3A"/>
    <w:rsid w:val="00887D1A"/>
    <w:rsid w:val="00887F8E"/>
    <w:rsid w:val="00890FDF"/>
    <w:rsid w:val="00896234"/>
    <w:rsid w:val="00896B79"/>
    <w:rsid w:val="0089751A"/>
    <w:rsid w:val="00897E43"/>
    <w:rsid w:val="008A145E"/>
    <w:rsid w:val="008A16B9"/>
    <w:rsid w:val="008A4CE3"/>
    <w:rsid w:val="008B0CD6"/>
    <w:rsid w:val="008B1E1A"/>
    <w:rsid w:val="008B1FCB"/>
    <w:rsid w:val="008B2D49"/>
    <w:rsid w:val="008B543C"/>
    <w:rsid w:val="008C0313"/>
    <w:rsid w:val="008C5738"/>
    <w:rsid w:val="008C7EAD"/>
    <w:rsid w:val="008D0CFE"/>
    <w:rsid w:val="008D1FBD"/>
    <w:rsid w:val="008D54DE"/>
    <w:rsid w:val="008D569B"/>
    <w:rsid w:val="008D5F66"/>
    <w:rsid w:val="008D6152"/>
    <w:rsid w:val="008E6CA6"/>
    <w:rsid w:val="008E792A"/>
    <w:rsid w:val="008F0F81"/>
    <w:rsid w:val="008F142C"/>
    <w:rsid w:val="008F27BF"/>
    <w:rsid w:val="008F3163"/>
    <w:rsid w:val="008F47FC"/>
    <w:rsid w:val="008F4C8C"/>
    <w:rsid w:val="008F63AE"/>
    <w:rsid w:val="008F7878"/>
    <w:rsid w:val="008F7FCD"/>
    <w:rsid w:val="0090360E"/>
    <w:rsid w:val="009054FB"/>
    <w:rsid w:val="00905713"/>
    <w:rsid w:val="009065BD"/>
    <w:rsid w:val="00906ADD"/>
    <w:rsid w:val="009070BB"/>
    <w:rsid w:val="009113CB"/>
    <w:rsid w:val="009142EC"/>
    <w:rsid w:val="0091457F"/>
    <w:rsid w:val="00915182"/>
    <w:rsid w:val="009154C3"/>
    <w:rsid w:val="00915BE0"/>
    <w:rsid w:val="00916F85"/>
    <w:rsid w:val="00921365"/>
    <w:rsid w:val="00923540"/>
    <w:rsid w:val="00926767"/>
    <w:rsid w:val="00932614"/>
    <w:rsid w:val="009357F7"/>
    <w:rsid w:val="009361D5"/>
    <w:rsid w:val="009367A9"/>
    <w:rsid w:val="00940C14"/>
    <w:rsid w:val="009428A4"/>
    <w:rsid w:val="00946563"/>
    <w:rsid w:val="0095003D"/>
    <w:rsid w:val="00950FBD"/>
    <w:rsid w:val="00952DA7"/>
    <w:rsid w:val="00961A86"/>
    <w:rsid w:val="009659F4"/>
    <w:rsid w:val="00970D60"/>
    <w:rsid w:val="009717EC"/>
    <w:rsid w:val="00972FE0"/>
    <w:rsid w:val="00974D3E"/>
    <w:rsid w:val="00977CBA"/>
    <w:rsid w:val="00980B4E"/>
    <w:rsid w:val="00980DF5"/>
    <w:rsid w:val="009813BF"/>
    <w:rsid w:val="00985041"/>
    <w:rsid w:val="00985482"/>
    <w:rsid w:val="00985500"/>
    <w:rsid w:val="009857A8"/>
    <w:rsid w:val="009864EB"/>
    <w:rsid w:val="009867BC"/>
    <w:rsid w:val="00990122"/>
    <w:rsid w:val="0099166E"/>
    <w:rsid w:val="0099390E"/>
    <w:rsid w:val="009945F5"/>
    <w:rsid w:val="009960E5"/>
    <w:rsid w:val="009A2888"/>
    <w:rsid w:val="009A7ADC"/>
    <w:rsid w:val="009A7C0E"/>
    <w:rsid w:val="009B1719"/>
    <w:rsid w:val="009B1A94"/>
    <w:rsid w:val="009B5FB3"/>
    <w:rsid w:val="009B5FBE"/>
    <w:rsid w:val="009C19B7"/>
    <w:rsid w:val="009C20C0"/>
    <w:rsid w:val="009C2237"/>
    <w:rsid w:val="009C5ABB"/>
    <w:rsid w:val="009C5ED0"/>
    <w:rsid w:val="009C77D3"/>
    <w:rsid w:val="009C7B3B"/>
    <w:rsid w:val="009D2284"/>
    <w:rsid w:val="009D40D0"/>
    <w:rsid w:val="009D5E23"/>
    <w:rsid w:val="009D64C5"/>
    <w:rsid w:val="009D7C51"/>
    <w:rsid w:val="009E03BA"/>
    <w:rsid w:val="009E196C"/>
    <w:rsid w:val="009E2A20"/>
    <w:rsid w:val="009E2CD9"/>
    <w:rsid w:val="009E5A78"/>
    <w:rsid w:val="009E6E6A"/>
    <w:rsid w:val="009E7929"/>
    <w:rsid w:val="009F1596"/>
    <w:rsid w:val="009F35FE"/>
    <w:rsid w:val="009F36BF"/>
    <w:rsid w:val="009F766E"/>
    <w:rsid w:val="00A005B5"/>
    <w:rsid w:val="00A02A14"/>
    <w:rsid w:val="00A049CF"/>
    <w:rsid w:val="00A04FD7"/>
    <w:rsid w:val="00A07E07"/>
    <w:rsid w:val="00A111B6"/>
    <w:rsid w:val="00A12BD0"/>
    <w:rsid w:val="00A135E7"/>
    <w:rsid w:val="00A20B0E"/>
    <w:rsid w:val="00A22432"/>
    <w:rsid w:val="00A22E78"/>
    <w:rsid w:val="00A26D27"/>
    <w:rsid w:val="00A315B3"/>
    <w:rsid w:val="00A376EE"/>
    <w:rsid w:val="00A37C62"/>
    <w:rsid w:val="00A42593"/>
    <w:rsid w:val="00A42A99"/>
    <w:rsid w:val="00A43540"/>
    <w:rsid w:val="00A4519B"/>
    <w:rsid w:val="00A45C15"/>
    <w:rsid w:val="00A469A7"/>
    <w:rsid w:val="00A5151A"/>
    <w:rsid w:val="00A57E0A"/>
    <w:rsid w:val="00A6022D"/>
    <w:rsid w:val="00A62D4A"/>
    <w:rsid w:val="00A670CC"/>
    <w:rsid w:val="00A711D4"/>
    <w:rsid w:val="00A7673E"/>
    <w:rsid w:val="00A76745"/>
    <w:rsid w:val="00A80BC3"/>
    <w:rsid w:val="00A81ADD"/>
    <w:rsid w:val="00A823F6"/>
    <w:rsid w:val="00A83D88"/>
    <w:rsid w:val="00A8719E"/>
    <w:rsid w:val="00A8791A"/>
    <w:rsid w:val="00A91F87"/>
    <w:rsid w:val="00A92DFD"/>
    <w:rsid w:val="00A93AD8"/>
    <w:rsid w:val="00A95FA0"/>
    <w:rsid w:val="00A964F8"/>
    <w:rsid w:val="00AA0421"/>
    <w:rsid w:val="00AA0A89"/>
    <w:rsid w:val="00AA6429"/>
    <w:rsid w:val="00AA7838"/>
    <w:rsid w:val="00AB0E37"/>
    <w:rsid w:val="00AB1260"/>
    <w:rsid w:val="00AB202A"/>
    <w:rsid w:val="00AB22A5"/>
    <w:rsid w:val="00AB3CF7"/>
    <w:rsid w:val="00AB46A8"/>
    <w:rsid w:val="00AB7196"/>
    <w:rsid w:val="00AC01AA"/>
    <w:rsid w:val="00AC2850"/>
    <w:rsid w:val="00AC3F5D"/>
    <w:rsid w:val="00AC4326"/>
    <w:rsid w:val="00AC4387"/>
    <w:rsid w:val="00AC4408"/>
    <w:rsid w:val="00AC4438"/>
    <w:rsid w:val="00AC4F72"/>
    <w:rsid w:val="00AC74FC"/>
    <w:rsid w:val="00AC7854"/>
    <w:rsid w:val="00AD087E"/>
    <w:rsid w:val="00AD223F"/>
    <w:rsid w:val="00AD23F2"/>
    <w:rsid w:val="00AD4EDB"/>
    <w:rsid w:val="00AD702B"/>
    <w:rsid w:val="00AE0672"/>
    <w:rsid w:val="00AE222E"/>
    <w:rsid w:val="00AE2365"/>
    <w:rsid w:val="00AE58AB"/>
    <w:rsid w:val="00AE5D84"/>
    <w:rsid w:val="00AE6823"/>
    <w:rsid w:val="00AE7990"/>
    <w:rsid w:val="00AE79FB"/>
    <w:rsid w:val="00AF2311"/>
    <w:rsid w:val="00AF3CD5"/>
    <w:rsid w:val="00AF5539"/>
    <w:rsid w:val="00AF5C99"/>
    <w:rsid w:val="00AF741A"/>
    <w:rsid w:val="00B01ADB"/>
    <w:rsid w:val="00B0220B"/>
    <w:rsid w:val="00B04161"/>
    <w:rsid w:val="00B056F9"/>
    <w:rsid w:val="00B07F0D"/>
    <w:rsid w:val="00B107B9"/>
    <w:rsid w:val="00B10D60"/>
    <w:rsid w:val="00B11E3D"/>
    <w:rsid w:val="00B17E82"/>
    <w:rsid w:val="00B204C1"/>
    <w:rsid w:val="00B20D14"/>
    <w:rsid w:val="00B21B29"/>
    <w:rsid w:val="00B23ADD"/>
    <w:rsid w:val="00B24877"/>
    <w:rsid w:val="00B257BB"/>
    <w:rsid w:val="00B30C4F"/>
    <w:rsid w:val="00B33AC5"/>
    <w:rsid w:val="00B36CFA"/>
    <w:rsid w:val="00B42A6B"/>
    <w:rsid w:val="00B448F1"/>
    <w:rsid w:val="00B449D6"/>
    <w:rsid w:val="00B4575A"/>
    <w:rsid w:val="00B4775B"/>
    <w:rsid w:val="00B47B61"/>
    <w:rsid w:val="00B50F22"/>
    <w:rsid w:val="00B53BC6"/>
    <w:rsid w:val="00B55814"/>
    <w:rsid w:val="00B575BA"/>
    <w:rsid w:val="00B64B00"/>
    <w:rsid w:val="00B650A8"/>
    <w:rsid w:val="00B6552A"/>
    <w:rsid w:val="00B65C58"/>
    <w:rsid w:val="00B67028"/>
    <w:rsid w:val="00B71608"/>
    <w:rsid w:val="00B719B0"/>
    <w:rsid w:val="00B76429"/>
    <w:rsid w:val="00B81F79"/>
    <w:rsid w:val="00B86B79"/>
    <w:rsid w:val="00B8716F"/>
    <w:rsid w:val="00B87F48"/>
    <w:rsid w:val="00B914F0"/>
    <w:rsid w:val="00B9187E"/>
    <w:rsid w:val="00B933AA"/>
    <w:rsid w:val="00B956D4"/>
    <w:rsid w:val="00B97446"/>
    <w:rsid w:val="00BA07CF"/>
    <w:rsid w:val="00BA3AB7"/>
    <w:rsid w:val="00BA4729"/>
    <w:rsid w:val="00BA5A29"/>
    <w:rsid w:val="00BA6339"/>
    <w:rsid w:val="00BA7432"/>
    <w:rsid w:val="00BB3B94"/>
    <w:rsid w:val="00BB3CF9"/>
    <w:rsid w:val="00BB4B91"/>
    <w:rsid w:val="00BB6622"/>
    <w:rsid w:val="00BB67DD"/>
    <w:rsid w:val="00BC1AA0"/>
    <w:rsid w:val="00BC2495"/>
    <w:rsid w:val="00BC3EF3"/>
    <w:rsid w:val="00BC7EB9"/>
    <w:rsid w:val="00BD0EEE"/>
    <w:rsid w:val="00BD2643"/>
    <w:rsid w:val="00BD284A"/>
    <w:rsid w:val="00BD2DC7"/>
    <w:rsid w:val="00BD340F"/>
    <w:rsid w:val="00BD3C3C"/>
    <w:rsid w:val="00BD4A63"/>
    <w:rsid w:val="00BD4AA2"/>
    <w:rsid w:val="00BD56B1"/>
    <w:rsid w:val="00BD6558"/>
    <w:rsid w:val="00BD7F59"/>
    <w:rsid w:val="00BE0E06"/>
    <w:rsid w:val="00BE179B"/>
    <w:rsid w:val="00BE2759"/>
    <w:rsid w:val="00BE7865"/>
    <w:rsid w:val="00BF0714"/>
    <w:rsid w:val="00BF0CD5"/>
    <w:rsid w:val="00BF2715"/>
    <w:rsid w:val="00BF2791"/>
    <w:rsid w:val="00BF2F76"/>
    <w:rsid w:val="00BF3022"/>
    <w:rsid w:val="00BF3214"/>
    <w:rsid w:val="00BF39E2"/>
    <w:rsid w:val="00BF5573"/>
    <w:rsid w:val="00C0019D"/>
    <w:rsid w:val="00C00652"/>
    <w:rsid w:val="00C075C0"/>
    <w:rsid w:val="00C123E4"/>
    <w:rsid w:val="00C12CA0"/>
    <w:rsid w:val="00C15867"/>
    <w:rsid w:val="00C2296D"/>
    <w:rsid w:val="00C23155"/>
    <w:rsid w:val="00C263E7"/>
    <w:rsid w:val="00C276BD"/>
    <w:rsid w:val="00C31B0B"/>
    <w:rsid w:val="00C31ECB"/>
    <w:rsid w:val="00C33EFB"/>
    <w:rsid w:val="00C40C41"/>
    <w:rsid w:val="00C42755"/>
    <w:rsid w:val="00C43D39"/>
    <w:rsid w:val="00C43F0E"/>
    <w:rsid w:val="00C45885"/>
    <w:rsid w:val="00C45FF6"/>
    <w:rsid w:val="00C50F22"/>
    <w:rsid w:val="00C519CC"/>
    <w:rsid w:val="00C51ACB"/>
    <w:rsid w:val="00C51D41"/>
    <w:rsid w:val="00C57971"/>
    <w:rsid w:val="00C60BA0"/>
    <w:rsid w:val="00C61F02"/>
    <w:rsid w:val="00C63BBA"/>
    <w:rsid w:val="00C65BD7"/>
    <w:rsid w:val="00C679D6"/>
    <w:rsid w:val="00C70B90"/>
    <w:rsid w:val="00C7388F"/>
    <w:rsid w:val="00C76BA4"/>
    <w:rsid w:val="00C7777B"/>
    <w:rsid w:val="00C83A48"/>
    <w:rsid w:val="00C83C94"/>
    <w:rsid w:val="00C8468C"/>
    <w:rsid w:val="00C85865"/>
    <w:rsid w:val="00C85E85"/>
    <w:rsid w:val="00C86ED1"/>
    <w:rsid w:val="00C87B1C"/>
    <w:rsid w:val="00C90552"/>
    <w:rsid w:val="00C90A65"/>
    <w:rsid w:val="00C93150"/>
    <w:rsid w:val="00C9434B"/>
    <w:rsid w:val="00C94514"/>
    <w:rsid w:val="00C95FEB"/>
    <w:rsid w:val="00C964F0"/>
    <w:rsid w:val="00C975DD"/>
    <w:rsid w:val="00C97961"/>
    <w:rsid w:val="00C97FDB"/>
    <w:rsid w:val="00CA18A8"/>
    <w:rsid w:val="00CA277B"/>
    <w:rsid w:val="00CA2EAE"/>
    <w:rsid w:val="00CA3A7E"/>
    <w:rsid w:val="00CA4AC1"/>
    <w:rsid w:val="00CA7497"/>
    <w:rsid w:val="00CB0316"/>
    <w:rsid w:val="00CB0A73"/>
    <w:rsid w:val="00CB0B11"/>
    <w:rsid w:val="00CB2CE7"/>
    <w:rsid w:val="00CB2E6F"/>
    <w:rsid w:val="00CB426A"/>
    <w:rsid w:val="00CB5354"/>
    <w:rsid w:val="00CC0A76"/>
    <w:rsid w:val="00CC18CD"/>
    <w:rsid w:val="00CC3A42"/>
    <w:rsid w:val="00CC3C9E"/>
    <w:rsid w:val="00CC546A"/>
    <w:rsid w:val="00CC6A14"/>
    <w:rsid w:val="00CC6D7D"/>
    <w:rsid w:val="00CC70A3"/>
    <w:rsid w:val="00CD4442"/>
    <w:rsid w:val="00CD53C3"/>
    <w:rsid w:val="00CD574E"/>
    <w:rsid w:val="00CD6DCC"/>
    <w:rsid w:val="00CE4C22"/>
    <w:rsid w:val="00CE6CBE"/>
    <w:rsid w:val="00CE70D8"/>
    <w:rsid w:val="00CF024D"/>
    <w:rsid w:val="00CF2013"/>
    <w:rsid w:val="00CF220B"/>
    <w:rsid w:val="00CF41EC"/>
    <w:rsid w:val="00CF54DB"/>
    <w:rsid w:val="00CF5D04"/>
    <w:rsid w:val="00CF5D1B"/>
    <w:rsid w:val="00CF7A22"/>
    <w:rsid w:val="00CF7C36"/>
    <w:rsid w:val="00D011E6"/>
    <w:rsid w:val="00D03EBA"/>
    <w:rsid w:val="00D04153"/>
    <w:rsid w:val="00D04DE4"/>
    <w:rsid w:val="00D063F1"/>
    <w:rsid w:val="00D1019B"/>
    <w:rsid w:val="00D122A5"/>
    <w:rsid w:val="00D14F22"/>
    <w:rsid w:val="00D1684B"/>
    <w:rsid w:val="00D213D7"/>
    <w:rsid w:val="00D21E49"/>
    <w:rsid w:val="00D22B48"/>
    <w:rsid w:val="00D23C28"/>
    <w:rsid w:val="00D23D4B"/>
    <w:rsid w:val="00D313D0"/>
    <w:rsid w:val="00D31FB6"/>
    <w:rsid w:val="00D340AF"/>
    <w:rsid w:val="00D34BF4"/>
    <w:rsid w:val="00D37921"/>
    <w:rsid w:val="00D37EF1"/>
    <w:rsid w:val="00D406E6"/>
    <w:rsid w:val="00D42447"/>
    <w:rsid w:val="00D42A14"/>
    <w:rsid w:val="00D42C31"/>
    <w:rsid w:val="00D44307"/>
    <w:rsid w:val="00D4741C"/>
    <w:rsid w:val="00D55A5C"/>
    <w:rsid w:val="00D57918"/>
    <w:rsid w:val="00D60924"/>
    <w:rsid w:val="00D6348B"/>
    <w:rsid w:val="00D6504C"/>
    <w:rsid w:val="00D65E9E"/>
    <w:rsid w:val="00D666C7"/>
    <w:rsid w:val="00D6695B"/>
    <w:rsid w:val="00D66A82"/>
    <w:rsid w:val="00D709B2"/>
    <w:rsid w:val="00D730CF"/>
    <w:rsid w:val="00D7362D"/>
    <w:rsid w:val="00D73DC6"/>
    <w:rsid w:val="00D74C1A"/>
    <w:rsid w:val="00D74C73"/>
    <w:rsid w:val="00D754C1"/>
    <w:rsid w:val="00D77393"/>
    <w:rsid w:val="00D77A35"/>
    <w:rsid w:val="00D77DC2"/>
    <w:rsid w:val="00D81B3E"/>
    <w:rsid w:val="00D8556C"/>
    <w:rsid w:val="00D87481"/>
    <w:rsid w:val="00D90C70"/>
    <w:rsid w:val="00D90E49"/>
    <w:rsid w:val="00D9104A"/>
    <w:rsid w:val="00D92610"/>
    <w:rsid w:val="00D959D7"/>
    <w:rsid w:val="00D96ADE"/>
    <w:rsid w:val="00D97BC0"/>
    <w:rsid w:val="00DA0CE2"/>
    <w:rsid w:val="00DA33D0"/>
    <w:rsid w:val="00DA54A7"/>
    <w:rsid w:val="00DB05DD"/>
    <w:rsid w:val="00DB2331"/>
    <w:rsid w:val="00DB3F8A"/>
    <w:rsid w:val="00DB6950"/>
    <w:rsid w:val="00DC0897"/>
    <w:rsid w:val="00DC36C2"/>
    <w:rsid w:val="00DC6235"/>
    <w:rsid w:val="00DC6A10"/>
    <w:rsid w:val="00DC7832"/>
    <w:rsid w:val="00DC7BCD"/>
    <w:rsid w:val="00DD40AF"/>
    <w:rsid w:val="00DD644F"/>
    <w:rsid w:val="00DE0F44"/>
    <w:rsid w:val="00DE1F81"/>
    <w:rsid w:val="00DE657E"/>
    <w:rsid w:val="00DE77EF"/>
    <w:rsid w:val="00DE7C48"/>
    <w:rsid w:val="00DF4704"/>
    <w:rsid w:val="00DF7628"/>
    <w:rsid w:val="00DF7967"/>
    <w:rsid w:val="00E001C8"/>
    <w:rsid w:val="00E004D9"/>
    <w:rsid w:val="00E024AA"/>
    <w:rsid w:val="00E02938"/>
    <w:rsid w:val="00E02DF4"/>
    <w:rsid w:val="00E0468E"/>
    <w:rsid w:val="00E122E9"/>
    <w:rsid w:val="00E13C14"/>
    <w:rsid w:val="00E13FCC"/>
    <w:rsid w:val="00E21E21"/>
    <w:rsid w:val="00E250F1"/>
    <w:rsid w:val="00E26640"/>
    <w:rsid w:val="00E30C1D"/>
    <w:rsid w:val="00E34B59"/>
    <w:rsid w:val="00E35055"/>
    <w:rsid w:val="00E3550D"/>
    <w:rsid w:val="00E41377"/>
    <w:rsid w:val="00E52838"/>
    <w:rsid w:val="00E53635"/>
    <w:rsid w:val="00E55915"/>
    <w:rsid w:val="00E614E0"/>
    <w:rsid w:val="00E61519"/>
    <w:rsid w:val="00E640AD"/>
    <w:rsid w:val="00E6680E"/>
    <w:rsid w:val="00E72D58"/>
    <w:rsid w:val="00E72F4F"/>
    <w:rsid w:val="00E73F7F"/>
    <w:rsid w:val="00E758FB"/>
    <w:rsid w:val="00E85409"/>
    <w:rsid w:val="00E85B8A"/>
    <w:rsid w:val="00E86295"/>
    <w:rsid w:val="00E862E7"/>
    <w:rsid w:val="00E866F0"/>
    <w:rsid w:val="00E900D3"/>
    <w:rsid w:val="00E9270B"/>
    <w:rsid w:val="00E92B3E"/>
    <w:rsid w:val="00E942A2"/>
    <w:rsid w:val="00EA0B8F"/>
    <w:rsid w:val="00EA4197"/>
    <w:rsid w:val="00EA429F"/>
    <w:rsid w:val="00EA4F9E"/>
    <w:rsid w:val="00EA63CA"/>
    <w:rsid w:val="00EA6D3B"/>
    <w:rsid w:val="00EB00AD"/>
    <w:rsid w:val="00EB00E9"/>
    <w:rsid w:val="00EB136C"/>
    <w:rsid w:val="00EB1B94"/>
    <w:rsid w:val="00EB480E"/>
    <w:rsid w:val="00EB5EC6"/>
    <w:rsid w:val="00EB7FC9"/>
    <w:rsid w:val="00EC0D52"/>
    <w:rsid w:val="00EC1E50"/>
    <w:rsid w:val="00EC20C7"/>
    <w:rsid w:val="00EC2FB5"/>
    <w:rsid w:val="00EC3BF4"/>
    <w:rsid w:val="00EC5372"/>
    <w:rsid w:val="00EC576C"/>
    <w:rsid w:val="00ED1519"/>
    <w:rsid w:val="00ED2707"/>
    <w:rsid w:val="00ED2710"/>
    <w:rsid w:val="00ED27E8"/>
    <w:rsid w:val="00ED30BB"/>
    <w:rsid w:val="00ED4E49"/>
    <w:rsid w:val="00ED5BA4"/>
    <w:rsid w:val="00ED5E5D"/>
    <w:rsid w:val="00ED650B"/>
    <w:rsid w:val="00ED6ABF"/>
    <w:rsid w:val="00ED6CD4"/>
    <w:rsid w:val="00ED7137"/>
    <w:rsid w:val="00EE41ED"/>
    <w:rsid w:val="00EE4225"/>
    <w:rsid w:val="00EE5B08"/>
    <w:rsid w:val="00EE6F2A"/>
    <w:rsid w:val="00EE7CE3"/>
    <w:rsid w:val="00EF06EA"/>
    <w:rsid w:val="00EF360A"/>
    <w:rsid w:val="00EF7154"/>
    <w:rsid w:val="00F056E0"/>
    <w:rsid w:val="00F10E03"/>
    <w:rsid w:val="00F127C9"/>
    <w:rsid w:val="00F12B9F"/>
    <w:rsid w:val="00F21088"/>
    <w:rsid w:val="00F230A5"/>
    <w:rsid w:val="00F2593A"/>
    <w:rsid w:val="00F327E7"/>
    <w:rsid w:val="00F33832"/>
    <w:rsid w:val="00F34308"/>
    <w:rsid w:val="00F35746"/>
    <w:rsid w:val="00F37D55"/>
    <w:rsid w:val="00F40D5B"/>
    <w:rsid w:val="00F41A20"/>
    <w:rsid w:val="00F424B3"/>
    <w:rsid w:val="00F447C7"/>
    <w:rsid w:val="00F45210"/>
    <w:rsid w:val="00F4548D"/>
    <w:rsid w:val="00F459B4"/>
    <w:rsid w:val="00F5211B"/>
    <w:rsid w:val="00F554A9"/>
    <w:rsid w:val="00F557C4"/>
    <w:rsid w:val="00F56C7A"/>
    <w:rsid w:val="00F644C0"/>
    <w:rsid w:val="00F66B8A"/>
    <w:rsid w:val="00F716FD"/>
    <w:rsid w:val="00F729C9"/>
    <w:rsid w:val="00F73769"/>
    <w:rsid w:val="00F73A06"/>
    <w:rsid w:val="00F73BF0"/>
    <w:rsid w:val="00F7621A"/>
    <w:rsid w:val="00F77ED5"/>
    <w:rsid w:val="00F80355"/>
    <w:rsid w:val="00F81EF5"/>
    <w:rsid w:val="00F82550"/>
    <w:rsid w:val="00F82EFF"/>
    <w:rsid w:val="00F87C43"/>
    <w:rsid w:val="00F93439"/>
    <w:rsid w:val="00F96A59"/>
    <w:rsid w:val="00FA1693"/>
    <w:rsid w:val="00FB0C81"/>
    <w:rsid w:val="00FB34AC"/>
    <w:rsid w:val="00FB41D8"/>
    <w:rsid w:val="00FB6B12"/>
    <w:rsid w:val="00FC2200"/>
    <w:rsid w:val="00FC237A"/>
    <w:rsid w:val="00FC2540"/>
    <w:rsid w:val="00FD00C5"/>
    <w:rsid w:val="00FD0638"/>
    <w:rsid w:val="00FD20A1"/>
    <w:rsid w:val="00FD62EB"/>
    <w:rsid w:val="00FD67CA"/>
    <w:rsid w:val="00FE054E"/>
    <w:rsid w:val="00FE1236"/>
    <w:rsid w:val="00FE1FBE"/>
    <w:rsid w:val="00FE2CCA"/>
    <w:rsid w:val="00FE4DE9"/>
    <w:rsid w:val="00FF0204"/>
    <w:rsid w:val="00FF0BE9"/>
    <w:rsid w:val="00FF20E7"/>
    <w:rsid w:val="00FF2CF4"/>
    <w:rsid w:val="00FF3AED"/>
    <w:rsid w:val="00FF49C0"/>
    <w:rsid w:val="00FF5575"/>
    <w:rsid w:val="00FF5E5E"/>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E5B4E4"/>
  <w15:docId w15:val="{113F198C-43FA-41BB-96D3-A98F7056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List of Tables"/>
    <w:basedOn w:val="Normal"/>
    <w:link w:val="ListParagraphChar"/>
    <w:uiPriority w:val="34"/>
    <w:qFormat/>
    <w:rsid w:val="00C679D6"/>
    <w:pPr>
      <w:ind w:left="720"/>
      <w:contextualSpacing/>
    </w:pPr>
  </w:style>
  <w:style w:type="character" w:customStyle="1" w:styleId="ListParagraphChar">
    <w:name w:val="List Paragraph Char"/>
    <w:aliases w:val="List of Tables Char"/>
    <w:basedOn w:val="DefaultParagraphFont"/>
    <w:link w:val="ListParagraph"/>
    <w:uiPriority w:val="34"/>
    <w:locked/>
    <w:rsid w:val="00C679D6"/>
    <w:rPr>
      <w:sz w:val="22"/>
      <w:szCs w:val="22"/>
      <w:lang w:val="en-GB"/>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ußnotentext Char1 Char Char"/>
    <w:basedOn w:val="Normal"/>
    <w:link w:val="FootnoteTextChar"/>
    <w:uiPriority w:val="99"/>
    <w:unhideWhenUsed/>
    <w:qFormat/>
    <w:rsid w:val="00C679D6"/>
    <w:rPr>
      <w:sz w:val="20"/>
      <w:szCs w:val="20"/>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uiPriority w:val="99"/>
    <w:rsid w:val="00C679D6"/>
    <w:rPr>
      <w:lang w:val="en-GB"/>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C679D6"/>
    <w:rPr>
      <w:vertAlign w:val="superscript"/>
    </w:rPr>
  </w:style>
  <w:style w:type="paragraph" w:customStyle="1" w:styleId="Default">
    <w:name w:val="Default"/>
    <w:rsid w:val="00C679D6"/>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EE5B08"/>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1A5"/>
    <w:rPr>
      <w:sz w:val="22"/>
      <w:szCs w:val="22"/>
      <w:lang w:val="en-GB"/>
    </w:rPr>
  </w:style>
  <w:style w:type="paragraph" w:styleId="ListBullet">
    <w:name w:val="List Bullet"/>
    <w:basedOn w:val="Normal"/>
    <w:autoRedefine/>
    <w:semiHidden/>
    <w:rsid w:val="00E122E9"/>
    <w:pPr>
      <w:tabs>
        <w:tab w:val="num" w:pos="360"/>
      </w:tabs>
      <w:ind w:left="360" w:hanging="360"/>
    </w:p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E9270B"/>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uiPriority w:val="9"/>
    <w:rsid w:val="00E9270B"/>
    <w:rPr>
      <w:sz w:val="22"/>
      <w:szCs w:val="22"/>
      <w:lang w:val="en-GB"/>
    </w:rPr>
  </w:style>
  <w:style w:type="paragraph" w:customStyle="1" w:styleId="Footer1">
    <w:name w:val="Footer1"/>
    <w:basedOn w:val="Normal"/>
    <w:rsid w:val="00E9270B"/>
    <w:pPr>
      <w:widowControl w:val="0"/>
      <w:tabs>
        <w:tab w:val="center" w:pos="4320"/>
        <w:tab w:val="right" w:pos="8640"/>
        <w:tab w:val="left" w:pos="9000"/>
      </w:tabs>
      <w:spacing w:after="160" w:line="259" w:lineRule="auto"/>
      <w:jc w:val="left"/>
    </w:pPr>
    <w:rPr>
      <w:rFonts w:asciiTheme="minorHAnsi" w:eastAsiaTheme="minorHAnsi" w:hAnsiTheme="minorHAnsi" w:cstheme="minorBidi"/>
      <w:snapToGrid w:val="0"/>
      <w:sz w:val="20"/>
      <w:szCs w:val="20"/>
      <w:lang w:val="en-US"/>
    </w:rPr>
  </w:style>
  <w:style w:type="table" w:customStyle="1" w:styleId="GridTable4-Accent12">
    <w:name w:val="Grid Table 4 - Accent 12"/>
    <w:uiPriority w:val="99"/>
    <w:rsid w:val="00E9270B"/>
    <w:rPr>
      <w:rFonts w:eastAsia="Calibri"/>
      <w:lang w:val="hu-HU" w:eastAsia="en-C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rPr>
      <w:cantSplit/>
    </w:trPr>
    <w:tcPr>
      <w:vAlign w:val="center"/>
    </w:tc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13">
    <w:name w:val="Grid Table 4 - Accent 13"/>
    <w:basedOn w:val="TableNormal"/>
    <w:uiPriority w:val="49"/>
    <w:rsid w:val="00E9270B"/>
    <w:rPr>
      <w:rFonts w:ascii="Calibri" w:eastAsia="Calibri" w:hAnsi="Calibri"/>
      <w:sz w:val="22"/>
      <w:szCs w:val="22"/>
      <w:lang w:val="es-ES"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etteredhead1">
    <w:name w:val="lettered head1"/>
    <w:basedOn w:val="Normal"/>
    <w:qFormat/>
    <w:rsid w:val="00E9270B"/>
    <w:pPr>
      <w:numPr>
        <w:numId w:val="8"/>
      </w:numPr>
      <w:spacing w:after="240" w:line="360" w:lineRule="auto"/>
    </w:pPr>
    <w:rPr>
      <w:sz w:val="24"/>
      <w:szCs w:val="24"/>
    </w:rPr>
  </w:style>
  <w:style w:type="table" w:customStyle="1" w:styleId="TableGrid0">
    <w:name w:val="TableGrid"/>
    <w:rsid w:val="00E9270B"/>
    <w:rPr>
      <w:rFonts w:asciiTheme="minorHAnsi" w:hAnsiTheme="minorHAnsi" w:cstheme="minorBidi"/>
      <w:sz w:val="22"/>
      <w:szCs w:val="22"/>
      <w:lang w:val="en-CA"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E9270B"/>
    <w:rPr>
      <w:color w:val="0000FF"/>
      <w:u w:val="single"/>
    </w:rPr>
  </w:style>
  <w:style w:type="character" w:customStyle="1" w:styleId="FooterChar">
    <w:name w:val="Footer Char"/>
    <w:basedOn w:val="DefaultParagraphFont"/>
    <w:link w:val="Footer"/>
    <w:uiPriority w:val="99"/>
    <w:rsid w:val="00E9270B"/>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A91F87"/>
    <w:pPr>
      <w:spacing w:after="160" w:line="240" w:lineRule="exact"/>
    </w:pPr>
    <w:rPr>
      <w:sz w:val="20"/>
      <w:szCs w:val="20"/>
      <w:vertAlign w:val="superscript"/>
      <w:lang w:val="en-US"/>
    </w:rPr>
  </w:style>
  <w:style w:type="character" w:styleId="FollowedHyperlink">
    <w:name w:val="FollowedHyperlink"/>
    <w:basedOn w:val="DefaultParagraphFont"/>
    <w:uiPriority w:val="99"/>
    <w:semiHidden/>
    <w:unhideWhenUsed/>
    <w:rsid w:val="00764A87"/>
    <w:rPr>
      <w:color w:val="800080" w:themeColor="followedHyperlink"/>
      <w:u w:val="single"/>
    </w:rPr>
  </w:style>
  <w:style w:type="paragraph" w:styleId="DocumentMap">
    <w:name w:val="Document Map"/>
    <w:basedOn w:val="Normal"/>
    <w:link w:val="DocumentMapChar"/>
    <w:uiPriority w:val="99"/>
    <w:semiHidden/>
    <w:unhideWhenUsed/>
    <w:rsid w:val="00D313D0"/>
    <w:rPr>
      <w:rFonts w:ascii="SimSun" w:eastAsia="SimSun"/>
      <w:sz w:val="24"/>
      <w:szCs w:val="24"/>
    </w:rPr>
  </w:style>
  <w:style w:type="character" w:customStyle="1" w:styleId="DocumentMapChar">
    <w:name w:val="Document Map Char"/>
    <w:basedOn w:val="DefaultParagraphFont"/>
    <w:link w:val="DocumentMap"/>
    <w:uiPriority w:val="99"/>
    <w:semiHidden/>
    <w:rsid w:val="00D313D0"/>
    <w:rPr>
      <w:rFonts w:ascii="SimSun" w:eastAsia="SimSu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2197">
      <w:bodyDiv w:val="1"/>
      <w:marLeft w:val="0"/>
      <w:marRight w:val="0"/>
      <w:marTop w:val="0"/>
      <w:marBottom w:val="0"/>
      <w:divBdr>
        <w:top w:val="none" w:sz="0" w:space="0" w:color="auto"/>
        <w:left w:val="none" w:sz="0" w:space="0" w:color="auto"/>
        <w:bottom w:val="none" w:sz="0" w:space="0" w:color="auto"/>
        <w:right w:val="none" w:sz="0" w:space="0" w:color="auto"/>
      </w:divBdr>
    </w:div>
    <w:div w:id="251089170">
      <w:bodyDiv w:val="1"/>
      <w:marLeft w:val="0"/>
      <w:marRight w:val="0"/>
      <w:marTop w:val="0"/>
      <w:marBottom w:val="0"/>
      <w:divBdr>
        <w:top w:val="none" w:sz="0" w:space="0" w:color="auto"/>
        <w:left w:val="none" w:sz="0" w:space="0" w:color="auto"/>
        <w:bottom w:val="none" w:sz="0" w:space="0" w:color="auto"/>
        <w:right w:val="none" w:sz="0" w:space="0" w:color="auto"/>
      </w:divBdr>
    </w:div>
    <w:div w:id="259533968">
      <w:bodyDiv w:val="1"/>
      <w:marLeft w:val="0"/>
      <w:marRight w:val="0"/>
      <w:marTop w:val="0"/>
      <w:marBottom w:val="0"/>
      <w:divBdr>
        <w:top w:val="none" w:sz="0" w:space="0" w:color="auto"/>
        <w:left w:val="none" w:sz="0" w:space="0" w:color="auto"/>
        <w:bottom w:val="none" w:sz="0" w:space="0" w:color="auto"/>
        <w:right w:val="none" w:sz="0" w:space="0" w:color="auto"/>
      </w:divBdr>
    </w:div>
    <w:div w:id="271860586">
      <w:bodyDiv w:val="1"/>
      <w:marLeft w:val="0"/>
      <w:marRight w:val="0"/>
      <w:marTop w:val="0"/>
      <w:marBottom w:val="0"/>
      <w:divBdr>
        <w:top w:val="none" w:sz="0" w:space="0" w:color="auto"/>
        <w:left w:val="none" w:sz="0" w:space="0" w:color="auto"/>
        <w:bottom w:val="none" w:sz="0" w:space="0" w:color="auto"/>
        <w:right w:val="none" w:sz="0" w:space="0" w:color="auto"/>
      </w:divBdr>
    </w:div>
    <w:div w:id="286665680">
      <w:bodyDiv w:val="1"/>
      <w:marLeft w:val="0"/>
      <w:marRight w:val="0"/>
      <w:marTop w:val="0"/>
      <w:marBottom w:val="0"/>
      <w:divBdr>
        <w:top w:val="none" w:sz="0" w:space="0" w:color="auto"/>
        <w:left w:val="none" w:sz="0" w:space="0" w:color="auto"/>
        <w:bottom w:val="none" w:sz="0" w:space="0" w:color="auto"/>
        <w:right w:val="none" w:sz="0" w:space="0" w:color="auto"/>
      </w:divBdr>
    </w:div>
    <w:div w:id="296836613">
      <w:bodyDiv w:val="1"/>
      <w:marLeft w:val="0"/>
      <w:marRight w:val="0"/>
      <w:marTop w:val="0"/>
      <w:marBottom w:val="0"/>
      <w:divBdr>
        <w:top w:val="none" w:sz="0" w:space="0" w:color="auto"/>
        <w:left w:val="none" w:sz="0" w:space="0" w:color="auto"/>
        <w:bottom w:val="none" w:sz="0" w:space="0" w:color="auto"/>
        <w:right w:val="none" w:sz="0" w:space="0" w:color="auto"/>
      </w:divBdr>
    </w:div>
    <w:div w:id="359669435">
      <w:bodyDiv w:val="1"/>
      <w:marLeft w:val="0"/>
      <w:marRight w:val="0"/>
      <w:marTop w:val="0"/>
      <w:marBottom w:val="0"/>
      <w:divBdr>
        <w:top w:val="none" w:sz="0" w:space="0" w:color="auto"/>
        <w:left w:val="none" w:sz="0" w:space="0" w:color="auto"/>
        <w:bottom w:val="none" w:sz="0" w:space="0" w:color="auto"/>
        <w:right w:val="none" w:sz="0" w:space="0" w:color="auto"/>
      </w:divBdr>
    </w:div>
    <w:div w:id="378019806">
      <w:bodyDiv w:val="1"/>
      <w:marLeft w:val="0"/>
      <w:marRight w:val="0"/>
      <w:marTop w:val="0"/>
      <w:marBottom w:val="0"/>
      <w:divBdr>
        <w:top w:val="none" w:sz="0" w:space="0" w:color="auto"/>
        <w:left w:val="none" w:sz="0" w:space="0" w:color="auto"/>
        <w:bottom w:val="none" w:sz="0" w:space="0" w:color="auto"/>
        <w:right w:val="none" w:sz="0" w:space="0" w:color="auto"/>
      </w:divBdr>
    </w:div>
    <w:div w:id="552666194">
      <w:bodyDiv w:val="1"/>
      <w:marLeft w:val="0"/>
      <w:marRight w:val="0"/>
      <w:marTop w:val="0"/>
      <w:marBottom w:val="0"/>
      <w:divBdr>
        <w:top w:val="none" w:sz="0" w:space="0" w:color="auto"/>
        <w:left w:val="none" w:sz="0" w:space="0" w:color="auto"/>
        <w:bottom w:val="none" w:sz="0" w:space="0" w:color="auto"/>
        <w:right w:val="none" w:sz="0" w:space="0" w:color="auto"/>
      </w:divBdr>
    </w:div>
    <w:div w:id="606694064">
      <w:bodyDiv w:val="1"/>
      <w:marLeft w:val="0"/>
      <w:marRight w:val="0"/>
      <w:marTop w:val="0"/>
      <w:marBottom w:val="0"/>
      <w:divBdr>
        <w:top w:val="none" w:sz="0" w:space="0" w:color="auto"/>
        <w:left w:val="none" w:sz="0" w:space="0" w:color="auto"/>
        <w:bottom w:val="none" w:sz="0" w:space="0" w:color="auto"/>
        <w:right w:val="none" w:sz="0" w:space="0" w:color="auto"/>
      </w:divBdr>
    </w:div>
    <w:div w:id="731197796">
      <w:bodyDiv w:val="1"/>
      <w:marLeft w:val="0"/>
      <w:marRight w:val="0"/>
      <w:marTop w:val="0"/>
      <w:marBottom w:val="0"/>
      <w:divBdr>
        <w:top w:val="none" w:sz="0" w:space="0" w:color="auto"/>
        <w:left w:val="none" w:sz="0" w:space="0" w:color="auto"/>
        <w:bottom w:val="none" w:sz="0" w:space="0" w:color="auto"/>
        <w:right w:val="none" w:sz="0" w:space="0" w:color="auto"/>
      </w:divBdr>
    </w:div>
    <w:div w:id="759835733">
      <w:bodyDiv w:val="1"/>
      <w:marLeft w:val="0"/>
      <w:marRight w:val="0"/>
      <w:marTop w:val="0"/>
      <w:marBottom w:val="0"/>
      <w:divBdr>
        <w:top w:val="none" w:sz="0" w:space="0" w:color="auto"/>
        <w:left w:val="none" w:sz="0" w:space="0" w:color="auto"/>
        <w:bottom w:val="none" w:sz="0" w:space="0" w:color="auto"/>
        <w:right w:val="none" w:sz="0" w:space="0" w:color="auto"/>
      </w:divBdr>
    </w:div>
    <w:div w:id="927428191">
      <w:bodyDiv w:val="1"/>
      <w:marLeft w:val="0"/>
      <w:marRight w:val="0"/>
      <w:marTop w:val="0"/>
      <w:marBottom w:val="0"/>
      <w:divBdr>
        <w:top w:val="none" w:sz="0" w:space="0" w:color="auto"/>
        <w:left w:val="none" w:sz="0" w:space="0" w:color="auto"/>
        <w:bottom w:val="none" w:sz="0" w:space="0" w:color="auto"/>
        <w:right w:val="none" w:sz="0" w:space="0" w:color="auto"/>
      </w:divBdr>
    </w:div>
    <w:div w:id="1010523394">
      <w:bodyDiv w:val="1"/>
      <w:marLeft w:val="0"/>
      <w:marRight w:val="0"/>
      <w:marTop w:val="0"/>
      <w:marBottom w:val="0"/>
      <w:divBdr>
        <w:top w:val="none" w:sz="0" w:space="0" w:color="auto"/>
        <w:left w:val="none" w:sz="0" w:space="0" w:color="auto"/>
        <w:bottom w:val="none" w:sz="0" w:space="0" w:color="auto"/>
        <w:right w:val="none" w:sz="0" w:space="0" w:color="auto"/>
      </w:divBdr>
    </w:div>
    <w:div w:id="1040128813">
      <w:bodyDiv w:val="1"/>
      <w:marLeft w:val="0"/>
      <w:marRight w:val="0"/>
      <w:marTop w:val="0"/>
      <w:marBottom w:val="0"/>
      <w:divBdr>
        <w:top w:val="none" w:sz="0" w:space="0" w:color="auto"/>
        <w:left w:val="none" w:sz="0" w:space="0" w:color="auto"/>
        <w:bottom w:val="none" w:sz="0" w:space="0" w:color="auto"/>
        <w:right w:val="none" w:sz="0" w:space="0" w:color="auto"/>
      </w:divBdr>
    </w:div>
    <w:div w:id="1283803699">
      <w:bodyDiv w:val="1"/>
      <w:marLeft w:val="0"/>
      <w:marRight w:val="0"/>
      <w:marTop w:val="0"/>
      <w:marBottom w:val="0"/>
      <w:divBdr>
        <w:top w:val="none" w:sz="0" w:space="0" w:color="auto"/>
        <w:left w:val="none" w:sz="0" w:space="0" w:color="auto"/>
        <w:bottom w:val="none" w:sz="0" w:space="0" w:color="auto"/>
        <w:right w:val="none" w:sz="0" w:space="0" w:color="auto"/>
      </w:divBdr>
    </w:div>
    <w:div w:id="1289238315">
      <w:bodyDiv w:val="1"/>
      <w:marLeft w:val="0"/>
      <w:marRight w:val="0"/>
      <w:marTop w:val="0"/>
      <w:marBottom w:val="0"/>
      <w:divBdr>
        <w:top w:val="none" w:sz="0" w:space="0" w:color="auto"/>
        <w:left w:val="none" w:sz="0" w:space="0" w:color="auto"/>
        <w:bottom w:val="none" w:sz="0" w:space="0" w:color="auto"/>
        <w:right w:val="none" w:sz="0" w:space="0" w:color="auto"/>
      </w:divBdr>
    </w:div>
    <w:div w:id="1385056672">
      <w:bodyDiv w:val="1"/>
      <w:marLeft w:val="0"/>
      <w:marRight w:val="0"/>
      <w:marTop w:val="0"/>
      <w:marBottom w:val="0"/>
      <w:divBdr>
        <w:top w:val="none" w:sz="0" w:space="0" w:color="auto"/>
        <w:left w:val="none" w:sz="0" w:space="0" w:color="auto"/>
        <w:bottom w:val="none" w:sz="0" w:space="0" w:color="auto"/>
        <w:right w:val="none" w:sz="0" w:space="0" w:color="auto"/>
      </w:divBdr>
    </w:div>
    <w:div w:id="1560558150">
      <w:bodyDiv w:val="1"/>
      <w:marLeft w:val="0"/>
      <w:marRight w:val="0"/>
      <w:marTop w:val="0"/>
      <w:marBottom w:val="0"/>
      <w:divBdr>
        <w:top w:val="none" w:sz="0" w:space="0" w:color="auto"/>
        <w:left w:val="none" w:sz="0" w:space="0" w:color="auto"/>
        <w:bottom w:val="none" w:sz="0" w:space="0" w:color="auto"/>
        <w:right w:val="none" w:sz="0" w:space="0" w:color="auto"/>
      </w:divBdr>
    </w:div>
    <w:div w:id="1614050052">
      <w:bodyDiv w:val="1"/>
      <w:marLeft w:val="0"/>
      <w:marRight w:val="0"/>
      <w:marTop w:val="0"/>
      <w:marBottom w:val="0"/>
      <w:divBdr>
        <w:top w:val="none" w:sz="0" w:space="0" w:color="auto"/>
        <w:left w:val="none" w:sz="0" w:space="0" w:color="auto"/>
        <w:bottom w:val="none" w:sz="0" w:space="0" w:color="auto"/>
        <w:right w:val="none" w:sz="0" w:space="0" w:color="auto"/>
      </w:divBdr>
    </w:div>
    <w:div w:id="171588437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47541482">
      <w:bodyDiv w:val="1"/>
      <w:marLeft w:val="0"/>
      <w:marRight w:val="0"/>
      <w:marTop w:val="0"/>
      <w:marBottom w:val="0"/>
      <w:divBdr>
        <w:top w:val="none" w:sz="0" w:space="0" w:color="auto"/>
        <w:left w:val="none" w:sz="0" w:space="0" w:color="auto"/>
        <w:bottom w:val="none" w:sz="0" w:space="0" w:color="auto"/>
        <w:right w:val="none" w:sz="0" w:space="0" w:color="auto"/>
      </w:divBdr>
    </w:div>
    <w:div w:id="1973363372">
      <w:bodyDiv w:val="1"/>
      <w:marLeft w:val="0"/>
      <w:marRight w:val="0"/>
      <w:marTop w:val="0"/>
      <w:marBottom w:val="0"/>
      <w:divBdr>
        <w:top w:val="none" w:sz="0" w:space="0" w:color="auto"/>
        <w:left w:val="none" w:sz="0" w:space="0" w:color="auto"/>
        <w:bottom w:val="none" w:sz="0" w:space="0" w:color="auto"/>
        <w:right w:val="none" w:sz="0" w:space="0" w:color="auto"/>
      </w:divBdr>
    </w:div>
    <w:div w:id="2014911623">
      <w:bodyDiv w:val="1"/>
      <w:marLeft w:val="0"/>
      <w:marRight w:val="0"/>
      <w:marTop w:val="0"/>
      <w:marBottom w:val="0"/>
      <w:divBdr>
        <w:top w:val="none" w:sz="0" w:space="0" w:color="auto"/>
        <w:left w:val="none" w:sz="0" w:space="0" w:color="auto"/>
        <w:bottom w:val="none" w:sz="0" w:space="0" w:color="auto"/>
        <w:right w:val="none" w:sz="0" w:space="0" w:color="auto"/>
      </w:divBdr>
    </w:div>
    <w:div w:id="2028169239">
      <w:bodyDiv w:val="1"/>
      <w:marLeft w:val="0"/>
      <w:marRight w:val="0"/>
      <w:marTop w:val="0"/>
      <w:marBottom w:val="0"/>
      <w:divBdr>
        <w:top w:val="none" w:sz="0" w:space="0" w:color="auto"/>
        <w:left w:val="none" w:sz="0" w:space="0" w:color="auto"/>
        <w:bottom w:val="none" w:sz="0" w:space="0" w:color="auto"/>
        <w:right w:val="none" w:sz="0" w:space="0" w:color="auto"/>
      </w:divBdr>
    </w:div>
    <w:div w:id="21037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customXml" Target="../customXml/item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openknowledge.worldbank.org/bitstream/handle/10986/34710/9781464816123-Ch0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GENERAL\DRAFTS\Ico\86_ExCom\HFC-23\Argentina\Correspondence\Historic%20trends%20for%20s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GENERAL\DRAFTS\Ico\86_ExCom\HFC-23\Argentina\Argentina_economic_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835778580648"/>
          <c:y val="3.8456676169067401E-2"/>
          <c:w val="0.83016325377424505"/>
          <c:h val="0.86083045461241803"/>
        </c:manualLayout>
      </c:layout>
      <c:lineChart>
        <c:grouping val="standard"/>
        <c:varyColors val="0"/>
        <c:ser>
          <c:idx val="0"/>
          <c:order val="0"/>
          <c:tx>
            <c:strRef>
              <c:f>Sheet1!$C$4</c:f>
              <c:strCache>
                <c:ptCount val="1"/>
                <c:pt idx="0">
                  <c:v>Sales 16 years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Pt>
            <c:idx val="0"/>
            <c:marker>
              <c:symbol val="none"/>
            </c:marker>
            <c:bubble3D val="0"/>
            <c:extLst>
              <c:ext xmlns:c16="http://schemas.microsoft.com/office/drawing/2014/chart" uri="{C3380CC4-5D6E-409C-BE32-E72D297353CC}">
                <c16:uniqueId val="{00000000-BD55-413A-9D40-4FA9D2E339BF}"/>
              </c:ext>
            </c:extLst>
          </c:dPt>
          <c:dLbls>
            <c:dLbl>
              <c:idx val="0"/>
              <c:layout/>
              <c:dLblPos val="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55-413A-9D40-4FA9D2E339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chemeClr val="accent1"/>
                </a:solidFill>
              </a:ln>
              <a:effectLst/>
            </c:spPr>
            <c:trendlineType val="linear"/>
            <c:dispRSqr val="0"/>
            <c:dispEq val="0"/>
          </c:trendline>
          <c:cat>
            <c:numRef>
              <c:f>Sheet1!$D$3:$S$3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Sheet1!$D$4:$S$4</c:f>
              <c:numCache>
                <c:formatCode>0.00</c:formatCode>
                <c:ptCount val="16"/>
                <c:pt idx="0">
                  <c:v>983</c:v>
                </c:pt>
                <c:pt idx="1">
                  <c:v>939</c:v>
                </c:pt>
                <c:pt idx="2">
                  <c:v>611.03</c:v>
                </c:pt>
                <c:pt idx="3">
                  <c:v>789.15</c:v>
                </c:pt>
                <c:pt idx="4">
                  <c:v>2565.14</c:v>
                </c:pt>
                <c:pt idx="5">
                  <c:v>4011.38</c:v>
                </c:pt>
                <c:pt idx="6">
                  <c:v>3973.43</c:v>
                </c:pt>
                <c:pt idx="7">
                  <c:v>3251.1</c:v>
                </c:pt>
                <c:pt idx="8">
                  <c:v>4169.3500000000004</c:v>
                </c:pt>
                <c:pt idx="9">
                  <c:v>1954.48</c:v>
                </c:pt>
                <c:pt idx="10">
                  <c:v>2229.3200000000002</c:v>
                </c:pt>
                <c:pt idx="11">
                  <c:v>2436.0700000000002</c:v>
                </c:pt>
                <c:pt idx="12">
                  <c:v>1634.45</c:v>
                </c:pt>
                <c:pt idx="13">
                  <c:v>1766.75362</c:v>
                </c:pt>
                <c:pt idx="14">
                  <c:v>1247.9532999999999</c:v>
                </c:pt>
                <c:pt idx="15">
                  <c:v>1427.22</c:v>
                </c:pt>
              </c:numCache>
            </c:numRef>
          </c:val>
          <c:smooth val="0"/>
          <c:extLst>
            <c:ext xmlns:c16="http://schemas.microsoft.com/office/drawing/2014/chart" uri="{C3380CC4-5D6E-409C-BE32-E72D297353CC}">
              <c16:uniqueId val="{00000001-BD55-413A-9D40-4FA9D2E339BF}"/>
            </c:ext>
          </c:extLst>
        </c:ser>
        <c:ser>
          <c:idx val="1"/>
          <c:order val="1"/>
          <c:tx>
            <c:strRef>
              <c:f>Sheet1!$C$5</c:f>
              <c:strCache>
                <c:ptCount val="1"/>
                <c:pt idx="0">
                  <c:v>Sales 6 years</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Pt>
            <c:idx val="10"/>
            <c:marker>
              <c:symbol val="none"/>
            </c:marker>
            <c:bubble3D val="0"/>
            <c:extLst>
              <c:ext xmlns:c16="http://schemas.microsoft.com/office/drawing/2014/chart" uri="{C3380CC4-5D6E-409C-BE32-E72D297353CC}">
                <c16:uniqueId val="{00000002-BD55-413A-9D40-4FA9D2E339BF}"/>
              </c:ext>
            </c:extLst>
          </c:dPt>
          <c:dPt>
            <c:idx val="15"/>
            <c:marker>
              <c:symbol val="none"/>
            </c:marker>
            <c:bubble3D val="0"/>
            <c:extLst>
              <c:ext xmlns:c16="http://schemas.microsoft.com/office/drawing/2014/chart" uri="{C3380CC4-5D6E-409C-BE32-E72D297353CC}">
                <c16:uniqueId val="{00000003-BD55-413A-9D40-4FA9D2E339BF}"/>
              </c:ext>
            </c:extLst>
          </c:dPt>
          <c:dLbls>
            <c:dLbl>
              <c:idx val="10"/>
              <c:layout/>
              <c:dLblPos val="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D55-413A-9D40-4FA9D2E339BF}"/>
                </c:ext>
              </c:extLst>
            </c:dLbl>
            <c:dLbl>
              <c:idx val="15"/>
              <c:layout/>
              <c:dLblPos val="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D55-413A-9D40-4FA9D2E339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chemeClr val="accent2"/>
                </a:solidFill>
              </a:ln>
              <a:effectLst/>
            </c:spPr>
            <c:trendlineType val="linear"/>
            <c:dispRSqr val="0"/>
            <c:dispEq val="0"/>
          </c:trendline>
          <c:cat>
            <c:numRef>
              <c:f>Sheet1!$D$3:$S$3</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Sheet1!$D$5:$S$5</c:f>
              <c:numCache>
                <c:formatCode>General</c:formatCode>
                <c:ptCount val="16"/>
                <c:pt idx="10" formatCode="0.00">
                  <c:v>2229.3200000000002</c:v>
                </c:pt>
                <c:pt idx="11" formatCode="0.00">
                  <c:v>2436.0700000000002</c:v>
                </c:pt>
                <c:pt idx="12" formatCode="0.00">
                  <c:v>1634.45</c:v>
                </c:pt>
                <c:pt idx="13" formatCode="0.00">
                  <c:v>1766.75362</c:v>
                </c:pt>
                <c:pt idx="14" formatCode="0.00">
                  <c:v>1247.9532999999999</c:v>
                </c:pt>
                <c:pt idx="15" formatCode="0.00">
                  <c:v>1427.22</c:v>
                </c:pt>
              </c:numCache>
            </c:numRef>
          </c:val>
          <c:smooth val="0"/>
          <c:extLst>
            <c:ext xmlns:c16="http://schemas.microsoft.com/office/drawing/2014/chart" uri="{C3380CC4-5D6E-409C-BE32-E72D297353CC}">
              <c16:uniqueId val="{00000004-BD55-413A-9D40-4FA9D2E339BF}"/>
            </c:ext>
          </c:extLst>
        </c:ser>
        <c:dLbls>
          <c:showLegendKey val="0"/>
          <c:showVal val="0"/>
          <c:showCatName val="0"/>
          <c:showSerName val="0"/>
          <c:showPercent val="0"/>
          <c:showBubbleSize val="0"/>
        </c:dLbls>
        <c:smooth val="0"/>
        <c:axId val="-1146237760"/>
        <c:axId val="-1146234928"/>
      </c:lineChart>
      <c:catAx>
        <c:axId val="-1146237760"/>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46234928"/>
        <c:crosses val="autoZero"/>
        <c:auto val="1"/>
        <c:lblAlgn val="ctr"/>
        <c:lblOffset val="100"/>
        <c:noMultiLvlLbl val="0"/>
      </c:catAx>
      <c:valAx>
        <c:axId val="-114623492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r>
                  <a:rPr lang="en-US">
                    <a:solidFill>
                      <a:schemeClr val="tx1"/>
                    </a:solidFill>
                  </a:rPr>
                  <a:t>HCFC-22 </a:t>
                </a:r>
                <a:r>
                  <a:rPr lang="zh-CN" altLang="en-US">
                    <a:solidFill>
                      <a:schemeClr val="tx1"/>
                    </a:solidFill>
                  </a:rPr>
                  <a:t>销售（公吨</a:t>
                </a:r>
                <a:r>
                  <a:rPr lang="en-US">
                    <a:solidFill>
                      <a:schemeClr val="tx1"/>
                    </a:solidFill>
                  </a:rPr>
                  <a:t>/</a:t>
                </a:r>
                <a:r>
                  <a:rPr lang="zh-CN" altLang="en-US">
                    <a:solidFill>
                      <a:schemeClr val="tx1"/>
                    </a:solidFill>
                  </a:rPr>
                  <a:t>年）</a:t>
                </a:r>
                <a:endParaRPr lang="en-US">
                  <a:solidFill>
                    <a:schemeClr val="tx1"/>
                  </a:solidFill>
                </a:endParaRPr>
              </a:p>
            </c:rich>
          </c:tx>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tx1"/>
                  </a:solidFill>
                  <a:latin typeface="+mn-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46237760"/>
        <c:crosses val="autoZero"/>
        <c:crossBetween val="between"/>
        <c:majorUnit val="1000"/>
      </c:valAx>
      <c:spPr>
        <a:noFill/>
        <a:ln>
          <a:noFill/>
        </a:ln>
        <a:effectLst/>
      </c:spPr>
    </c:plotArea>
    <c:legend>
      <c:legendPos val="b"/>
      <c:layout>
        <c:manualLayout>
          <c:xMode val="edge"/>
          <c:yMode val="edge"/>
          <c:x val="0.48389534352360603"/>
          <c:y val="3.1659015832106598E-2"/>
          <c:w val="0.51142850164488196"/>
          <c:h val="0.14089489541821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ysClr val="windowText" lastClr="000000"/>
              </a:solidFill>
              <a:round/>
            </a:ln>
            <a:effectLst/>
          </c:spPr>
          <c:marker>
            <c:symbol val="none"/>
          </c:marker>
          <c:xVal>
            <c:numRef>
              <c:f>'Exchange rate'!$C$2:$C$133</c:f>
              <c:numCache>
                <c:formatCode>d\-mmm\-yy</c:formatCode>
                <c:ptCount val="132"/>
                <c:pt idx="0">
                  <c:v>44221</c:v>
                </c:pt>
                <c:pt idx="1">
                  <c:v>44196</c:v>
                </c:pt>
                <c:pt idx="2">
                  <c:v>44166</c:v>
                </c:pt>
                <c:pt idx="3">
                  <c:v>44136</c:v>
                </c:pt>
                <c:pt idx="4">
                  <c:v>44105</c:v>
                </c:pt>
                <c:pt idx="5">
                  <c:v>44075</c:v>
                </c:pt>
                <c:pt idx="6">
                  <c:v>44044</c:v>
                </c:pt>
                <c:pt idx="7">
                  <c:v>44013</c:v>
                </c:pt>
                <c:pt idx="8">
                  <c:v>43983</c:v>
                </c:pt>
                <c:pt idx="9">
                  <c:v>43952</c:v>
                </c:pt>
                <c:pt idx="10">
                  <c:v>43922</c:v>
                </c:pt>
                <c:pt idx="11">
                  <c:v>43891</c:v>
                </c:pt>
                <c:pt idx="12">
                  <c:v>43862</c:v>
                </c:pt>
                <c:pt idx="13">
                  <c:v>43830</c:v>
                </c:pt>
                <c:pt idx="14">
                  <c:v>43800</c:v>
                </c:pt>
                <c:pt idx="15">
                  <c:v>43770</c:v>
                </c:pt>
                <c:pt idx="16">
                  <c:v>43739</c:v>
                </c:pt>
                <c:pt idx="17">
                  <c:v>43709</c:v>
                </c:pt>
                <c:pt idx="18">
                  <c:v>43692</c:v>
                </c:pt>
                <c:pt idx="19">
                  <c:v>43678</c:v>
                </c:pt>
                <c:pt idx="20">
                  <c:v>43646</c:v>
                </c:pt>
                <c:pt idx="21">
                  <c:v>43617</c:v>
                </c:pt>
                <c:pt idx="22">
                  <c:v>43586</c:v>
                </c:pt>
                <c:pt idx="23">
                  <c:v>43556</c:v>
                </c:pt>
                <c:pt idx="24">
                  <c:v>43525</c:v>
                </c:pt>
                <c:pt idx="25">
                  <c:v>43497</c:v>
                </c:pt>
                <c:pt idx="26">
                  <c:v>43465</c:v>
                </c:pt>
                <c:pt idx="27">
                  <c:v>43435</c:v>
                </c:pt>
                <c:pt idx="28">
                  <c:v>43405</c:v>
                </c:pt>
                <c:pt idx="29">
                  <c:v>43374</c:v>
                </c:pt>
                <c:pt idx="30">
                  <c:v>43344</c:v>
                </c:pt>
                <c:pt idx="31">
                  <c:v>43313</c:v>
                </c:pt>
                <c:pt idx="32">
                  <c:v>43281</c:v>
                </c:pt>
                <c:pt idx="33">
                  <c:v>43252</c:v>
                </c:pt>
                <c:pt idx="34">
                  <c:v>43235</c:v>
                </c:pt>
                <c:pt idx="35">
                  <c:v>43221</c:v>
                </c:pt>
                <c:pt idx="36">
                  <c:v>43191</c:v>
                </c:pt>
                <c:pt idx="37">
                  <c:v>43160</c:v>
                </c:pt>
                <c:pt idx="38">
                  <c:v>43132</c:v>
                </c:pt>
                <c:pt idx="39">
                  <c:v>43100</c:v>
                </c:pt>
                <c:pt idx="40">
                  <c:v>43070</c:v>
                </c:pt>
                <c:pt idx="41">
                  <c:v>43040</c:v>
                </c:pt>
                <c:pt idx="42">
                  <c:v>43009</c:v>
                </c:pt>
                <c:pt idx="43">
                  <c:v>42979</c:v>
                </c:pt>
                <c:pt idx="44">
                  <c:v>42948</c:v>
                </c:pt>
                <c:pt idx="45">
                  <c:v>42916</c:v>
                </c:pt>
                <c:pt idx="46">
                  <c:v>42887</c:v>
                </c:pt>
                <c:pt idx="47">
                  <c:v>42856</c:v>
                </c:pt>
                <c:pt idx="48">
                  <c:v>42826</c:v>
                </c:pt>
                <c:pt idx="49">
                  <c:v>42795</c:v>
                </c:pt>
                <c:pt idx="50">
                  <c:v>42767</c:v>
                </c:pt>
                <c:pt idx="51">
                  <c:v>42735</c:v>
                </c:pt>
                <c:pt idx="52">
                  <c:v>42705</c:v>
                </c:pt>
                <c:pt idx="53">
                  <c:v>42675</c:v>
                </c:pt>
                <c:pt idx="54">
                  <c:v>42658</c:v>
                </c:pt>
                <c:pt idx="55">
                  <c:v>42644</c:v>
                </c:pt>
                <c:pt idx="56">
                  <c:v>42614</c:v>
                </c:pt>
                <c:pt idx="57">
                  <c:v>42583</c:v>
                </c:pt>
                <c:pt idx="58">
                  <c:v>42551</c:v>
                </c:pt>
                <c:pt idx="59">
                  <c:v>42522</c:v>
                </c:pt>
                <c:pt idx="60">
                  <c:v>42491</c:v>
                </c:pt>
                <c:pt idx="61">
                  <c:v>42461</c:v>
                </c:pt>
                <c:pt idx="62">
                  <c:v>42444</c:v>
                </c:pt>
                <c:pt idx="63">
                  <c:v>42430</c:v>
                </c:pt>
                <c:pt idx="64">
                  <c:v>42401</c:v>
                </c:pt>
                <c:pt idx="65">
                  <c:v>42369</c:v>
                </c:pt>
                <c:pt idx="66">
                  <c:v>42339</c:v>
                </c:pt>
                <c:pt idx="67">
                  <c:v>42309</c:v>
                </c:pt>
                <c:pt idx="68">
                  <c:v>42278</c:v>
                </c:pt>
                <c:pt idx="69">
                  <c:v>42248</c:v>
                </c:pt>
                <c:pt idx="70">
                  <c:v>42217</c:v>
                </c:pt>
                <c:pt idx="71">
                  <c:v>42185</c:v>
                </c:pt>
                <c:pt idx="72">
                  <c:v>42156</c:v>
                </c:pt>
                <c:pt idx="73">
                  <c:v>42125</c:v>
                </c:pt>
                <c:pt idx="74">
                  <c:v>42095</c:v>
                </c:pt>
                <c:pt idx="75">
                  <c:v>42064</c:v>
                </c:pt>
                <c:pt idx="76">
                  <c:v>42036</c:v>
                </c:pt>
                <c:pt idx="77">
                  <c:v>42004</c:v>
                </c:pt>
                <c:pt idx="78">
                  <c:v>41974</c:v>
                </c:pt>
                <c:pt idx="79">
                  <c:v>41944</c:v>
                </c:pt>
                <c:pt idx="80">
                  <c:v>41913</c:v>
                </c:pt>
                <c:pt idx="81">
                  <c:v>41883</c:v>
                </c:pt>
                <c:pt idx="82">
                  <c:v>41852</c:v>
                </c:pt>
                <c:pt idx="83">
                  <c:v>41820</c:v>
                </c:pt>
                <c:pt idx="84">
                  <c:v>41791</c:v>
                </c:pt>
                <c:pt idx="85">
                  <c:v>41760</c:v>
                </c:pt>
                <c:pt idx="86">
                  <c:v>41730</c:v>
                </c:pt>
                <c:pt idx="87">
                  <c:v>41699</c:v>
                </c:pt>
                <c:pt idx="88">
                  <c:v>41671</c:v>
                </c:pt>
                <c:pt idx="89">
                  <c:v>41639</c:v>
                </c:pt>
                <c:pt idx="90">
                  <c:v>41609</c:v>
                </c:pt>
                <c:pt idx="91">
                  <c:v>41579</c:v>
                </c:pt>
                <c:pt idx="92">
                  <c:v>41548</c:v>
                </c:pt>
                <c:pt idx="93">
                  <c:v>41518</c:v>
                </c:pt>
                <c:pt idx="94">
                  <c:v>41487</c:v>
                </c:pt>
                <c:pt idx="95">
                  <c:v>41455</c:v>
                </c:pt>
                <c:pt idx="96">
                  <c:v>41426</c:v>
                </c:pt>
                <c:pt idx="97">
                  <c:v>41395</c:v>
                </c:pt>
                <c:pt idx="98">
                  <c:v>41365</c:v>
                </c:pt>
                <c:pt idx="99">
                  <c:v>41334</c:v>
                </c:pt>
                <c:pt idx="100">
                  <c:v>41306</c:v>
                </c:pt>
                <c:pt idx="101">
                  <c:v>41274</c:v>
                </c:pt>
                <c:pt idx="102">
                  <c:v>41244</c:v>
                </c:pt>
                <c:pt idx="103">
                  <c:v>41215</c:v>
                </c:pt>
                <c:pt idx="104">
                  <c:v>41183</c:v>
                </c:pt>
                <c:pt idx="105">
                  <c:v>41153</c:v>
                </c:pt>
                <c:pt idx="106">
                  <c:v>41122</c:v>
                </c:pt>
                <c:pt idx="107">
                  <c:v>41090</c:v>
                </c:pt>
                <c:pt idx="108">
                  <c:v>41061</c:v>
                </c:pt>
                <c:pt idx="109">
                  <c:v>41030</c:v>
                </c:pt>
                <c:pt idx="110">
                  <c:v>41000</c:v>
                </c:pt>
                <c:pt idx="111">
                  <c:v>40969</c:v>
                </c:pt>
                <c:pt idx="112">
                  <c:v>40940</c:v>
                </c:pt>
                <c:pt idx="113">
                  <c:v>40908</c:v>
                </c:pt>
                <c:pt idx="114">
                  <c:v>40878</c:v>
                </c:pt>
                <c:pt idx="115">
                  <c:v>40848</c:v>
                </c:pt>
                <c:pt idx="116">
                  <c:v>40817</c:v>
                </c:pt>
                <c:pt idx="117">
                  <c:v>40787</c:v>
                </c:pt>
                <c:pt idx="118">
                  <c:v>40756</c:v>
                </c:pt>
                <c:pt idx="119">
                  <c:v>40724</c:v>
                </c:pt>
                <c:pt idx="120">
                  <c:v>40695</c:v>
                </c:pt>
                <c:pt idx="121">
                  <c:v>40664</c:v>
                </c:pt>
                <c:pt idx="122">
                  <c:v>40634</c:v>
                </c:pt>
                <c:pt idx="123">
                  <c:v>40603</c:v>
                </c:pt>
                <c:pt idx="124">
                  <c:v>40543</c:v>
                </c:pt>
                <c:pt idx="125">
                  <c:v>40513</c:v>
                </c:pt>
                <c:pt idx="126">
                  <c:v>40483</c:v>
                </c:pt>
                <c:pt idx="127">
                  <c:v>40452</c:v>
                </c:pt>
                <c:pt idx="128">
                  <c:v>40422</c:v>
                </c:pt>
                <c:pt idx="129">
                  <c:v>40359</c:v>
                </c:pt>
                <c:pt idx="130">
                  <c:v>40330</c:v>
                </c:pt>
                <c:pt idx="131">
                  <c:v>40299</c:v>
                </c:pt>
              </c:numCache>
            </c:numRef>
          </c:xVal>
          <c:yVal>
            <c:numRef>
              <c:f>'Exchange rate'!$D$2:$D$133</c:f>
              <c:numCache>
                <c:formatCode>General</c:formatCode>
                <c:ptCount val="132"/>
                <c:pt idx="0">
                  <c:v>86.91</c:v>
                </c:pt>
                <c:pt idx="1">
                  <c:v>84.019000000000005</c:v>
                </c:pt>
                <c:pt idx="2">
                  <c:v>81.031999999999996</c:v>
                </c:pt>
                <c:pt idx="3">
                  <c:v>78.265000000000001</c:v>
                </c:pt>
                <c:pt idx="4">
                  <c:v>76.11</c:v>
                </c:pt>
                <c:pt idx="5">
                  <c:v>73.992999999999995</c:v>
                </c:pt>
                <c:pt idx="6">
                  <c:v>72.191999999999993</c:v>
                </c:pt>
                <c:pt idx="7">
                  <c:v>69.97</c:v>
                </c:pt>
                <c:pt idx="8">
                  <c:v>68.44</c:v>
                </c:pt>
                <c:pt idx="9">
                  <c:v>66.684999999999974</c:v>
                </c:pt>
                <c:pt idx="10">
                  <c:v>64.456999999999994</c:v>
                </c:pt>
                <c:pt idx="11">
                  <c:v>62.137</c:v>
                </c:pt>
                <c:pt idx="12">
                  <c:v>60.238</c:v>
                </c:pt>
                <c:pt idx="13">
                  <c:v>59.936999999999998</c:v>
                </c:pt>
                <c:pt idx="14">
                  <c:v>59.862000000000002</c:v>
                </c:pt>
                <c:pt idx="15">
                  <c:v>59.500999999999998</c:v>
                </c:pt>
                <c:pt idx="16">
                  <c:v>57.313000000000002</c:v>
                </c:pt>
                <c:pt idx="17">
                  <c:v>59.55</c:v>
                </c:pt>
                <c:pt idx="18">
                  <c:v>56.5</c:v>
                </c:pt>
                <c:pt idx="19">
                  <c:v>43.877000000000002</c:v>
                </c:pt>
                <c:pt idx="20">
                  <c:v>42.847999999999999</c:v>
                </c:pt>
                <c:pt idx="21">
                  <c:v>44.537000000000013</c:v>
                </c:pt>
                <c:pt idx="22">
                  <c:v>44.738</c:v>
                </c:pt>
                <c:pt idx="23">
                  <c:v>43.328000000000003</c:v>
                </c:pt>
                <c:pt idx="24">
                  <c:v>38.747</c:v>
                </c:pt>
                <c:pt idx="25">
                  <c:v>37.656000000000013</c:v>
                </c:pt>
                <c:pt idx="26">
                  <c:v>38.58</c:v>
                </c:pt>
                <c:pt idx="27">
                  <c:v>37.816000000000003</c:v>
                </c:pt>
                <c:pt idx="28">
                  <c:v>36.821000000000012</c:v>
                </c:pt>
                <c:pt idx="29">
                  <c:v>39.353000000000002</c:v>
                </c:pt>
                <c:pt idx="30">
                  <c:v>36.25</c:v>
                </c:pt>
                <c:pt idx="31">
                  <c:v>27.356999999999999</c:v>
                </c:pt>
                <c:pt idx="32">
                  <c:v>27.744</c:v>
                </c:pt>
                <c:pt idx="33">
                  <c:v>24.907</c:v>
                </c:pt>
                <c:pt idx="34">
                  <c:v>23.175000000000001</c:v>
                </c:pt>
                <c:pt idx="35">
                  <c:v>20.867000000000001</c:v>
                </c:pt>
                <c:pt idx="36">
                  <c:v>20.117000000000001</c:v>
                </c:pt>
                <c:pt idx="37">
                  <c:v>20.155000000000001</c:v>
                </c:pt>
                <c:pt idx="38">
                  <c:v>19.591999999999999</c:v>
                </c:pt>
                <c:pt idx="39">
                  <c:v>18.704999999999991</c:v>
                </c:pt>
                <c:pt idx="40">
                  <c:v>17.408999999999999</c:v>
                </c:pt>
                <c:pt idx="41">
                  <c:v>17.635000000000009</c:v>
                </c:pt>
                <c:pt idx="42">
                  <c:v>17.577000000000009</c:v>
                </c:pt>
                <c:pt idx="43">
                  <c:v>17.263000000000002</c:v>
                </c:pt>
                <c:pt idx="44">
                  <c:v>17.782</c:v>
                </c:pt>
                <c:pt idx="45">
                  <c:v>16.338999999999999</c:v>
                </c:pt>
                <c:pt idx="46">
                  <c:v>16.04</c:v>
                </c:pt>
                <c:pt idx="47">
                  <c:v>15.455</c:v>
                </c:pt>
                <c:pt idx="48">
                  <c:v>15.372999999999999</c:v>
                </c:pt>
                <c:pt idx="49">
                  <c:v>15.478999999999999</c:v>
                </c:pt>
                <c:pt idx="50">
                  <c:v>15.952999999999999</c:v>
                </c:pt>
                <c:pt idx="51">
                  <c:v>15.734999999999999</c:v>
                </c:pt>
                <c:pt idx="52">
                  <c:v>15.564</c:v>
                </c:pt>
                <c:pt idx="53">
                  <c:v>15.173999999999999</c:v>
                </c:pt>
                <c:pt idx="54">
                  <c:v>15.377000000000001</c:v>
                </c:pt>
                <c:pt idx="55">
                  <c:v>15.377000000000001</c:v>
                </c:pt>
                <c:pt idx="56">
                  <c:v>15.116</c:v>
                </c:pt>
                <c:pt idx="57">
                  <c:v>15.031000000000001</c:v>
                </c:pt>
                <c:pt idx="58">
                  <c:v>15.17</c:v>
                </c:pt>
                <c:pt idx="59">
                  <c:v>14.019</c:v>
                </c:pt>
                <c:pt idx="60">
                  <c:v>14.164</c:v>
                </c:pt>
                <c:pt idx="61">
                  <c:v>14.634</c:v>
                </c:pt>
                <c:pt idx="62">
                  <c:v>15.446</c:v>
                </c:pt>
                <c:pt idx="63">
                  <c:v>15.446</c:v>
                </c:pt>
                <c:pt idx="64">
                  <c:v>13.869</c:v>
                </c:pt>
                <c:pt idx="65">
                  <c:v>12.954000000000001</c:v>
                </c:pt>
                <c:pt idx="66">
                  <c:v>9.6740000000000013</c:v>
                </c:pt>
                <c:pt idx="67">
                  <c:v>9.5360000000000014</c:v>
                </c:pt>
                <c:pt idx="68">
                  <c:v>9.4149999999999991</c:v>
                </c:pt>
                <c:pt idx="69">
                  <c:v>9.2900000000000009</c:v>
                </c:pt>
                <c:pt idx="70">
                  <c:v>9.1850000000000005</c:v>
                </c:pt>
                <c:pt idx="71">
                  <c:v>9.0730000000000004</c:v>
                </c:pt>
                <c:pt idx="72">
                  <c:v>8.9819999999999993</c:v>
                </c:pt>
                <c:pt idx="73">
                  <c:v>8.8980000000000015</c:v>
                </c:pt>
                <c:pt idx="74">
                  <c:v>8.8130000000000006</c:v>
                </c:pt>
                <c:pt idx="75">
                  <c:v>8.7240000000000002</c:v>
                </c:pt>
                <c:pt idx="76">
                  <c:v>8.6310000000000002</c:v>
                </c:pt>
                <c:pt idx="77">
                  <c:v>8.5549999999999997</c:v>
                </c:pt>
                <c:pt idx="78">
                  <c:v>8.5220000000000002</c:v>
                </c:pt>
                <c:pt idx="79">
                  <c:v>8.5060000000000002</c:v>
                </c:pt>
                <c:pt idx="80">
                  <c:v>8.4650000000000052</c:v>
                </c:pt>
                <c:pt idx="81">
                  <c:v>8.4019999999999992</c:v>
                </c:pt>
                <c:pt idx="82">
                  <c:v>8.1950000000000003</c:v>
                </c:pt>
                <c:pt idx="83">
                  <c:v>8.1319999999999997</c:v>
                </c:pt>
                <c:pt idx="84">
                  <c:v>8.0740000000000016</c:v>
                </c:pt>
                <c:pt idx="85">
                  <c:v>8.0010000000000012</c:v>
                </c:pt>
                <c:pt idx="86">
                  <c:v>8.0030000000000001</c:v>
                </c:pt>
                <c:pt idx="87">
                  <c:v>7.89</c:v>
                </c:pt>
                <c:pt idx="88">
                  <c:v>8.0040000000000013</c:v>
                </c:pt>
                <c:pt idx="89">
                  <c:v>6.4950000000000001</c:v>
                </c:pt>
                <c:pt idx="90">
                  <c:v>6.1050000000000004</c:v>
                </c:pt>
                <c:pt idx="91">
                  <c:v>5.8979999999999899</c:v>
                </c:pt>
                <c:pt idx="92">
                  <c:v>5.7859999999999996</c:v>
                </c:pt>
                <c:pt idx="93">
                  <c:v>5.6549999999999869</c:v>
                </c:pt>
                <c:pt idx="94">
                  <c:v>5.4960000000000004</c:v>
                </c:pt>
                <c:pt idx="95">
                  <c:v>5.3710000000000004</c:v>
                </c:pt>
                <c:pt idx="96">
                  <c:v>5.2729999999999997</c:v>
                </c:pt>
                <c:pt idx="97">
                  <c:v>5.1779999999999946</c:v>
                </c:pt>
                <c:pt idx="98">
                  <c:v>5.1229999999999887</c:v>
                </c:pt>
                <c:pt idx="99">
                  <c:v>5.0389999999999997</c:v>
                </c:pt>
                <c:pt idx="100">
                  <c:v>4.976</c:v>
                </c:pt>
                <c:pt idx="101">
                  <c:v>4.91</c:v>
                </c:pt>
                <c:pt idx="102">
                  <c:v>4.8279999999999887</c:v>
                </c:pt>
                <c:pt idx="103">
                  <c:v>4.7699999999999987</c:v>
                </c:pt>
                <c:pt idx="104">
                  <c:v>4.6899999999999986</c:v>
                </c:pt>
                <c:pt idx="105">
                  <c:v>4.6279999999999868</c:v>
                </c:pt>
                <c:pt idx="106">
                  <c:v>4.5739999999999998</c:v>
                </c:pt>
                <c:pt idx="107">
                  <c:v>4.51</c:v>
                </c:pt>
                <c:pt idx="108">
                  <c:v>4.43</c:v>
                </c:pt>
                <c:pt idx="109">
                  <c:v>4.38</c:v>
                </c:pt>
                <c:pt idx="110">
                  <c:v>4.3599999999999977</c:v>
                </c:pt>
                <c:pt idx="111">
                  <c:v>4.34</c:v>
                </c:pt>
                <c:pt idx="112">
                  <c:v>4.33</c:v>
                </c:pt>
                <c:pt idx="113">
                  <c:v>4.2699999999999996</c:v>
                </c:pt>
                <c:pt idx="114">
                  <c:v>4.24</c:v>
                </c:pt>
                <c:pt idx="115">
                  <c:v>4.22</c:v>
                </c:pt>
                <c:pt idx="116">
                  <c:v>4.2</c:v>
                </c:pt>
                <c:pt idx="117">
                  <c:v>4.18</c:v>
                </c:pt>
                <c:pt idx="118">
                  <c:v>4.1199999999999974</c:v>
                </c:pt>
                <c:pt idx="119">
                  <c:v>4.0999999999999996</c:v>
                </c:pt>
                <c:pt idx="120">
                  <c:v>4.08</c:v>
                </c:pt>
                <c:pt idx="121">
                  <c:v>4.0759999999999996</c:v>
                </c:pt>
                <c:pt idx="122">
                  <c:v>4.0129999999999946</c:v>
                </c:pt>
                <c:pt idx="123">
                  <c:v>4</c:v>
                </c:pt>
                <c:pt idx="124">
                  <c:v>3.98</c:v>
                </c:pt>
                <c:pt idx="125">
                  <c:v>3.96</c:v>
                </c:pt>
                <c:pt idx="126">
                  <c:v>3.94</c:v>
                </c:pt>
                <c:pt idx="127">
                  <c:v>3.95</c:v>
                </c:pt>
                <c:pt idx="128">
                  <c:v>3.94</c:v>
                </c:pt>
                <c:pt idx="129">
                  <c:v>3.93</c:v>
                </c:pt>
                <c:pt idx="130">
                  <c:v>3.89</c:v>
                </c:pt>
                <c:pt idx="131">
                  <c:v>3.87</c:v>
                </c:pt>
              </c:numCache>
            </c:numRef>
          </c:yVal>
          <c:smooth val="1"/>
          <c:extLst>
            <c:ext xmlns:c16="http://schemas.microsoft.com/office/drawing/2014/chart" uri="{C3380CC4-5D6E-409C-BE32-E72D297353CC}">
              <c16:uniqueId val="{00000000-167D-49A1-8B34-6666BF1BB8BF}"/>
            </c:ext>
          </c:extLst>
        </c:ser>
        <c:dLbls>
          <c:showLegendKey val="0"/>
          <c:showVal val="0"/>
          <c:showCatName val="0"/>
          <c:showSerName val="0"/>
          <c:showPercent val="0"/>
          <c:showBubbleSize val="0"/>
        </c:dLbls>
        <c:axId val="-1146690896"/>
        <c:axId val="-1146482288"/>
      </c:scatterChart>
      <c:valAx>
        <c:axId val="-1146690896"/>
        <c:scaling>
          <c:orientation val="minMax"/>
          <c:max val="44221"/>
          <c:min val="41640"/>
        </c:scaling>
        <c:delete val="0"/>
        <c:axPos val="b"/>
        <c:majorGridlines>
          <c:spPr>
            <a:ln w="9525" cap="flat" cmpd="sng" algn="ctr">
              <a:solidFill>
                <a:schemeClr val="tx1">
                  <a:lumMod val="15000"/>
                  <a:lumOff val="85000"/>
                </a:schemeClr>
              </a:solidFill>
              <a:round/>
            </a:ln>
            <a:effectLst/>
          </c:spPr>
        </c:majorGridlines>
        <c:numFmt formatCode="yyyy"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482288"/>
        <c:crosses val="autoZero"/>
        <c:crossBetween val="midCat"/>
        <c:majorUnit val="365.24"/>
        <c:minorUnit val="365.24"/>
      </c:valAx>
      <c:valAx>
        <c:axId val="-1146482288"/>
        <c:scaling>
          <c:orientation val="minMax"/>
          <c:max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6908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0169958848A478DF191449BB3F335" ma:contentTypeVersion="2" ma:contentTypeDescription="Create a new document." ma:contentTypeScope="" ma:versionID="1b777bd9e5057736a7dbfa50ee9aff96">
  <xsd:schema xmlns:xsd="http://www.w3.org/2001/XMLSchema" xmlns:p="http://schemas.microsoft.com/office/2006/metadata/properties" xmlns:ns2="dce579b6-ee48-4930-8ef4-fe326d357435" xmlns:ns3="322d07b1-c5d0-4422-b2ab-6229d1d17e27" targetNamespace="http://schemas.microsoft.com/office/2006/metadata/properties" ma:root="true" ma:fieldsID="cf9b56efcee0689d47060a7cc198665e" ns2:_="" ns3:_="">
    <xsd:import namespace="dce579b6-ee48-4930-8ef4-fe326d357435"/>
    <xsd:import namespace="322d07b1-c5d0-4422-b2ab-6229d1d17e27"/>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22d07b1-c5d0-4422-b2ab-6229d1d17e27"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osted_x0020_after_x0020_IAP xmlns="322d07b1-c5d0-4422-b2ab-6229d1d17e27">true</Posted_x0020_after_x0020_IAP>
    <Document_x0020_Number xmlns="dce579b6-ee48-4930-8ef4-fe326d357435">UNEP/OzL.Pro/ExCom/86/95</Document_x0020_Number>
  </documentManagement>
</p:properties>
</file>

<file path=customXml/itemProps1.xml><?xml version="1.0" encoding="utf-8"?>
<ds:datastoreItem xmlns:ds="http://schemas.openxmlformats.org/officeDocument/2006/customXml" ds:itemID="{0C7C7DA3-09E2-44B0-AA62-2DB9FB57A4A5}"/>
</file>

<file path=customXml/itemProps2.xml><?xml version="1.0" encoding="utf-8"?>
<ds:datastoreItem xmlns:ds="http://schemas.openxmlformats.org/officeDocument/2006/customXml" ds:itemID="{880980F8-6602-4F77-9716-A4EAC2DEDE46}"/>
</file>

<file path=customXml/itemProps3.xml><?xml version="1.0" encoding="utf-8"?>
<ds:datastoreItem xmlns:ds="http://schemas.openxmlformats.org/officeDocument/2006/customXml" ds:itemID="{5784FB29-56AF-4B45-9761-09E34FB453B0}"/>
</file>

<file path=customXml/itemProps4.xml><?xml version="1.0" encoding="utf-8"?>
<ds:datastoreItem xmlns:ds="http://schemas.openxmlformats.org/officeDocument/2006/customXml" ds:itemID="{9E5209BA-11F2-49AD-B0E4-B0D135E91B62}"/>
</file>

<file path=docProps/app.xml><?xml version="1.0" encoding="utf-8"?>
<Properties xmlns="http://schemas.openxmlformats.org/officeDocument/2006/extended-properties" xmlns:vt="http://schemas.openxmlformats.org/officeDocument/2006/docPropsVTypes">
  <Template>Normal</Template>
  <TotalTime>618</TotalTime>
  <Pages>11</Pages>
  <Words>6900</Words>
  <Characters>2390</Characters>
  <Application>Microsoft Office Word</Application>
  <DocSecurity>0</DocSecurity>
  <Lines>19</Lines>
  <Paragraphs>18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与副产品三氟甲烷（HFC-23）控制技术相关的关键问题（第84/90号决定）</vt:lpstr>
      <vt:lpstr>Key aspects related to HFC-23 by-product control technologies: Argentina (decision 84/90)</vt:lpstr>
    </vt:vector>
  </TitlesOfParts>
  <Company>UNMFS</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与副产品三氟甲烷（HFC-23）控制技术相关的关键问题（第84/90号决定）</dc:title>
  <dc:subject/>
  <dc:creator>Patricia Chau</dc:creator>
  <dc:description/>
  <cp:lastModifiedBy>HB</cp:lastModifiedBy>
  <cp:revision>76</cp:revision>
  <cp:lastPrinted>2001-05-26T16:40:00Z</cp:lastPrinted>
  <dcterms:created xsi:type="dcterms:W3CDTF">2021-02-16T06:47:00Z</dcterms:created>
  <dcterms:modified xsi:type="dcterms:W3CDTF">2021-02-28T18:33:00Z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UNEP/OzL.Pro/ExCom/86/95</vt:lpwstr>
  </property>
  <property fmtid="{D5CDD505-2E9C-101B-9397-08002B2CF9AE}" pid="3" name="Revision date">
    <vt:lpwstr>1/26/2021</vt:lpwstr>
  </property>
  <property fmtid="{D5CDD505-2E9C-101B-9397-08002B2CF9AE}" pid="4" name="ContentTypeId">
    <vt:lpwstr>0x0101009FC0169958848A478DF191449BB3F335</vt:lpwstr>
  </property>
</Properties>
</file>