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46D9442D" wp14:editId="181941C6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1BFD1117" wp14:editId="56854FC2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2C7A20" w:rsidP="00DF6889">
            <w:pPr>
              <w:rPr>
                <w:rtl/>
              </w:rPr>
            </w:pPr>
            <w:fldSimple w:instr=" DOCPROPERTY &quot;Document number&quot;  \* MERGEFORMAT ">
              <w:r w:rsidR="00252C17">
                <w:t>UNEP/OzL.Pro/ExCom/86/37</w:t>
              </w:r>
            </w:fldSimple>
          </w:p>
          <w:p w:rsidR="00662A73" w:rsidRPr="003F73BA" w:rsidRDefault="00662A73" w:rsidP="00DF6889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1B7CDA">
              <w:rPr>
                <w:lang w:val="en-US"/>
              </w:rPr>
              <w:t>20</w:t>
            </w:r>
            <w:r w:rsidR="001B7CDA" w:rsidRPr="001B7CDA">
              <w:t xml:space="preserve"> </w:t>
            </w:r>
            <w:r w:rsidR="001B7CDA">
              <w:rPr>
                <w:lang w:val="en-US"/>
              </w:rPr>
              <w:t>October</w:t>
            </w:r>
            <w:r w:rsidR="001B7CDA" w:rsidRPr="001B7CDA">
              <w:t xml:space="preserve"> 2020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 w:bidi="ar-S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A156EF">
        <w:rPr>
          <w:rFonts w:hint="cs"/>
          <w:sz w:val="28"/>
          <w:szCs w:val="28"/>
          <w:rtl/>
          <w:lang w:val="en-US" w:eastAsia="en-CA"/>
        </w:rPr>
        <w:t>ساد</w:t>
      </w:r>
      <w:r w:rsidR="00F311C3">
        <w:rPr>
          <w:rFonts w:hint="cs"/>
          <w:sz w:val="28"/>
          <w:szCs w:val="28"/>
          <w:rtl/>
          <w:lang w:val="en-US" w:eastAsia="en-CA"/>
        </w:rPr>
        <w:t>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3263B5" w:rsidRDefault="00E1360E" w:rsidP="003263B5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2 إلى </w:t>
      </w:r>
      <w:r w:rsidR="00D95724">
        <w:rPr>
          <w:rFonts w:hint="cs"/>
          <w:sz w:val="28"/>
          <w:szCs w:val="28"/>
          <w:rtl/>
        </w:rPr>
        <w:t xml:space="preserve">6 </w:t>
      </w:r>
      <w:r w:rsidR="00A156EF">
        <w:rPr>
          <w:rFonts w:hint="cs"/>
          <w:sz w:val="28"/>
          <w:szCs w:val="28"/>
          <w:rtl/>
        </w:rPr>
        <w:t>ن</w:t>
      </w:r>
      <w:r w:rsidR="003263B5">
        <w:rPr>
          <w:rFonts w:hint="cs"/>
          <w:sz w:val="28"/>
          <w:szCs w:val="28"/>
          <w:rtl/>
        </w:rPr>
        <w:t>و</w:t>
      </w:r>
      <w:r w:rsidR="00A156EF">
        <w:rPr>
          <w:rFonts w:hint="cs"/>
          <w:sz w:val="28"/>
          <w:szCs w:val="28"/>
          <w:rtl/>
        </w:rPr>
        <w:t>فمبر</w:t>
      </w:r>
      <w:r w:rsidR="003263B5" w:rsidRPr="00532BD7">
        <w:rPr>
          <w:rFonts w:hint="cs"/>
          <w:sz w:val="28"/>
          <w:szCs w:val="28"/>
          <w:rtl/>
        </w:rPr>
        <w:t>/</w:t>
      </w:r>
      <w:r w:rsidR="00A156EF">
        <w:rPr>
          <w:rFonts w:hint="cs"/>
          <w:sz w:val="28"/>
          <w:szCs w:val="28"/>
          <w:rtl/>
        </w:rPr>
        <w:t>تشرين الثاني</w:t>
      </w:r>
      <w:r w:rsidR="003263B5" w:rsidRPr="00532BD7">
        <w:rPr>
          <w:rFonts w:hint="cs"/>
          <w:sz w:val="28"/>
          <w:szCs w:val="28"/>
          <w:rtl/>
        </w:rPr>
        <w:t xml:space="preserve"> 2020</w:t>
      </w:r>
    </w:p>
    <w:p w:rsidR="007E5D09" w:rsidRPr="00532BD7" w:rsidRDefault="003263B5" w:rsidP="00510B13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مؤجل: من</w:t>
      </w:r>
      <w:r w:rsidR="00E1360E">
        <w:rPr>
          <w:rFonts w:hint="cs"/>
          <w:sz w:val="28"/>
          <w:szCs w:val="28"/>
          <w:rtl/>
        </w:rPr>
        <w:t xml:space="preserve"> </w:t>
      </w:r>
      <w:r w:rsidR="00D95724">
        <w:rPr>
          <w:rFonts w:hint="cs"/>
          <w:sz w:val="28"/>
          <w:szCs w:val="28"/>
          <w:rtl/>
        </w:rPr>
        <w:t>8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D95724">
        <w:rPr>
          <w:rFonts w:hint="cs"/>
          <w:sz w:val="28"/>
          <w:szCs w:val="28"/>
          <w:rtl/>
        </w:rPr>
        <w:t>12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A156EF">
        <w:rPr>
          <w:rFonts w:hint="cs"/>
          <w:sz w:val="28"/>
          <w:szCs w:val="28"/>
          <w:rtl/>
        </w:rPr>
        <w:t>مارس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A156EF">
        <w:rPr>
          <w:rFonts w:hint="cs"/>
          <w:sz w:val="28"/>
          <w:szCs w:val="28"/>
          <w:rtl/>
        </w:rPr>
        <w:t>آذار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D95724">
        <w:rPr>
          <w:rFonts w:hint="cs"/>
          <w:sz w:val="28"/>
          <w:szCs w:val="28"/>
          <w:rtl/>
        </w:rPr>
        <w:t>2021</w:t>
      </w:r>
      <w:r w:rsidR="00510B13">
        <w:rPr>
          <w:rStyle w:val="FootnoteReference"/>
          <w:sz w:val="28"/>
          <w:szCs w:val="28"/>
          <w:rtl/>
        </w:rPr>
        <w:footnoteReference w:id="1"/>
      </w:r>
    </w:p>
    <w:p w:rsidR="002C7A20" w:rsidRDefault="002C7A20" w:rsidP="00252C17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lang w:val="en-US" w:bidi="ar-SA"/>
        </w:rPr>
      </w:pPr>
    </w:p>
    <w:p w:rsidR="00385E85" w:rsidRPr="002C7A20" w:rsidRDefault="00055AA2" w:rsidP="002C7A20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  <w:lang w:val="en-US" w:bidi="ar-SA"/>
        </w:rPr>
      </w:pPr>
      <w:r w:rsidRPr="002C7A20">
        <w:rPr>
          <w:b/>
          <w:bCs/>
          <w:sz w:val="32"/>
          <w:szCs w:val="32"/>
          <w:rtl/>
          <w:lang w:val="en-US" w:bidi="ar-SA"/>
        </w:rPr>
        <w:t>تكاليف الوحدة الأساسية لبرنامج الأمم المتحدة الإنمائي</w:t>
      </w:r>
      <w:r w:rsidR="00252C17" w:rsidRPr="002C7A20">
        <w:rPr>
          <w:rFonts w:hint="cs"/>
          <w:b/>
          <w:bCs/>
          <w:sz w:val="32"/>
          <w:szCs w:val="32"/>
          <w:rtl/>
          <w:lang w:val="en-US" w:bidi="ar-SA"/>
        </w:rPr>
        <w:t xml:space="preserve"> </w:t>
      </w:r>
    </w:p>
    <w:p w:rsidR="00055AA2" w:rsidRPr="002C7A20" w:rsidRDefault="00055AA2" w:rsidP="00252C17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rFonts w:hint="cs"/>
          <w:b/>
          <w:bCs/>
          <w:sz w:val="32"/>
          <w:szCs w:val="32"/>
          <w:rtl/>
          <w:lang w:val="en-US" w:bidi="ar-SY"/>
        </w:rPr>
      </w:pPr>
      <w:r w:rsidRPr="002C7A20">
        <w:rPr>
          <w:b/>
          <w:bCs/>
          <w:sz w:val="32"/>
          <w:szCs w:val="32"/>
          <w:rtl/>
          <w:lang w:val="en-US" w:bidi="ar-SA"/>
        </w:rPr>
        <w:t xml:space="preserve"> ومنظمة الأمم المتحدة للتنمية الصناعية </w:t>
      </w:r>
      <w:r w:rsidR="008D6B5F" w:rsidRPr="002C7A20">
        <w:rPr>
          <w:rFonts w:hint="cs"/>
          <w:b/>
          <w:bCs/>
          <w:sz w:val="32"/>
          <w:szCs w:val="32"/>
          <w:rtl/>
          <w:lang w:val="en-US" w:bidi="ar-SA"/>
        </w:rPr>
        <w:t xml:space="preserve"> </w:t>
      </w:r>
      <w:r w:rsidRPr="002C7A20">
        <w:rPr>
          <w:b/>
          <w:bCs/>
          <w:sz w:val="32"/>
          <w:szCs w:val="32"/>
          <w:rtl/>
          <w:lang w:val="en-US" w:bidi="ar-SA"/>
        </w:rPr>
        <w:t>والبنك الدولي</w:t>
      </w:r>
      <w:r w:rsidR="00597042">
        <w:rPr>
          <w:rFonts w:hint="cs"/>
          <w:b/>
          <w:bCs/>
          <w:sz w:val="32"/>
          <w:szCs w:val="32"/>
          <w:rtl/>
          <w:lang w:val="en-US" w:bidi="ar-SY"/>
        </w:rPr>
        <w:t xml:space="preserve"> لعام 2021</w:t>
      </w:r>
    </w:p>
    <w:p w:rsidR="00252C17" w:rsidRPr="004873AD" w:rsidRDefault="00252C17" w:rsidP="00252C17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28"/>
          <w:szCs w:val="28"/>
          <w:rtl/>
          <w:lang w:val="en-US" w:bidi="ar-SA"/>
        </w:rPr>
      </w:pPr>
    </w:p>
    <w:p w:rsidR="00055AA2" w:rsidRPr="002C7A20" w:rsidRDefault="00055AA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تقيِّم هذه الوثيقة طلبات تكاليف الوحدة الأساسية لعام 2021 ومتطلبات التكلفة الإدارية</w:t>
      </w:r>
      <w:r w:rsidR="00824C60" w:rsidRPr="002C7A20">
        <w:rPr>
          <w:rStyle w:val="FootnoteReference"/>
          <w:sz w:val="26"/>
          <w:szCs w:val="26"/>
          <w:rtl/>
          <w:lang w:val="en-US" w:bidi="ar-SA"/>
        </w:rPr>
        <w:footnoteReference w:id="2"/>
      </w:r>
      <w:r w:rsidRPr="002C7A20">
        <w:rPr>
          <w:sz w:val="26"/>
          <w:szCs w:val="26"/>
          <w:rtl/>
          <w:lang w:val="en-US" w:bidi="ar-SA"/>
        </w:rPr>
        <w:t xml:space="preserve"> لبرنامج الأمم المتحدة ا</w:t>
      </w:r>
      <w:r w:rsidR="002466DF" w:rsidRPr="002C7A20">
        <w:rPr>
          <w:sz w:val="26"/>
          <w:szCs w:val="26"/>
          <w:rtl/>
          <w:lang w:val="en-US" w:bidi="ar-SA"/>
        </w:rPr>
        <w:t xml:space="preserve">لإنمائي </w:t>
      </w:r>
      <w:r w:rsidR="002466DF" w:rsidRPr="002C7A20">
        <w:rPr>
          <w:rFonts w:hint="cs"/>
          <w:sz w:val="26"/>
          <w:szCs w:val="26"/>
          <w:rtl/>
          <w:lang w:val="en-US" w:bidi="ar-SA"/>
        </w:rPr>
        <w:t xml:space="preserve">(اليوئنديبي) </w:t>
      </w:r>
      <w:r w:rsidR="002466DF" w:rsidRPr="002C7A20">
        <w:rPr>
          <w:sz w:val="26"/>
          <w:szCs w:val="26"/>
          <w:rtl/>
          <w:lang w:val="en-US" w:bidi="ar-SA"/>
        </w:rPr>
        <w:t>و</w:t>
      </w:r>
      <w:r w:rsidR="009314B3" w:rsidRPr="002C7A20">
        <w:rPr>
          <w:rFonts w:hint="cs"/>
          <w:sz w:val="26"/>
          <w:szCs w:val="26"/>
          <w:rtl/>
          <w:lang w:val="en-US" w:bidi="ar-SA"/>
        </w:rPr>
        <w:t>منظمة الأمم المتحدة للتنمية الصناعية (</w:t>
      </w:r>
      <w:r w:rsidR="002466DF" w:rsidRPr="002C7A20">
        <w:rPr>
          <w:sz w:val="26"/>
          <w:szCs w:val="26"/>
          <w:rtl/>
          <w:lang w:val="en-US" w:bidi="ar-SA"/>
        </w:rPr>
        <w:t>اليونيدو</w:t>
      </w:r>
      <w:r w:rsidR="009314B3" w:rsidRPr="002C7A20">
        <w:rPr>
          <w:rFonts w:hint="cs"/>
          <w:sz w:val="26"/>
          <w:szCs w:val="26"/>
          <w:rtl/>
          <w:lang w:val="en-US" w:bidi="ar-SA"/>
        </w:rPr>
        <w:t>)</w:t>
      </w:r>
      <w:r w:rsidR="002466DF" w:rsidRPr="002C7A20">
        <w:rPr>
          <w:sz w:val="26"/>
          <w:szCs w:val="26"/>
          <w:rtl/>
          <w:lang w:val="en-US" w:bidi="ar-SA"/>
        </w:rPr>
        <w:t xml:space="preserve"> والبنك الدولي</w:t>
      </w:r>
      <w:r w:rsidRPr="002C7A20">
        <w:rPr>
          <w:sz w:val="26"/>
          <w:szCs w:val="26"/>
          <w:rtl/>
          <w:lang w:val="en-US" w:bidi="ar-SA"/>
        </w:rPr>
        <w:t xml:space="preserve">، ومدى إمكانية تغطية الموارد المتاحة لمجموع التكاليف الإدارية في عام 2021 المتوقعة لعام 2021. </w:t>
      </w:r>
      <w:r w:rsidR="009314B3" w:rsidRPr="002C7A20">
        <w:rPr>
          <w:rFonts w:hint="cs"/>
          <w:sz w:val="26"/>
          <w:szCs w:val="26"/>
          <w:rtl/>
          <w:lang w:val="en-US" w:bidi="ar-SA"/>
        </w:rPr>
        <w:t xml:space="preserve">ويقدم </w:t>
      </w:r>
      <w:r w:rsidR="00EE4298" w:rsidRPr="002C7A20">
        <w:rPr>
          <w:rFonts w:hint="cs"/>
          <w:sz w:val="26"/>
          <w:szCs w:val="26"/>
          <w:rtl/>
          <w:lang w:val="en-US" w:bidi="ar-SA"/>
        </w:rPr>
        <w:t xml:space="preserve">هذا </w:t>
      </w:r>
      <w:r w:rsidRPr="002C7A20">
        <w:rPr>
          <w:sz w:val="26"/>
          <w:szCs w:val="26"/>
          <w:rtl/>
          <w:lang w:val="en-US" w:bidi="ar-SA"/>
        </w:rPr>
        <w:t>التقييم منفصل</w:t>
      </w:r>
      <w:r w:rsidR="009314B3" w:rsidRPr="002C7A20">
        <w:rPr>
          <w:rFonts w:hint="cs"/>
          <w:sz w:val="26"/>
          <w:szCs w:val="26"/>
          <w:rtl/>
          <w:lang w:val="en-US" w:bidi="ar-SA"/>
        </w:rPr>
        <w:t>ا</w:t>
      </w:r>
      <w:r w:rsidRPr="002C7A20">
        <w:rPr>
          <w:sz w:val="26"/>
          <w:szCs w:val="26"/>
          <w:rtl/>
          <w:lang w:val="en-US" w:bidi="ar-SA"/>
        </w:rPr>
        <w:t xml:space="preserve"> لكل </w:t>
      </w:r>
      <w:r w:rsidR="009314B3" w:rsidRPr="002C7A20">
        <w:rPr>
          <w:rFonts w:hint="cs"/>
          <w:sz w:val="26"/>
          <w:szCs w:val="26"/>
          <w:rtl/>
          <w:lang w:val="en-US" w:bidi="ar-SA"/>
        </w:rPr>
        <w:t xml:space="preserve">وكالة </w:t>
      </w:r>
      <w:r w:rsidRPr="002C7A20">
        <w:rPr>
          <w:sz w:val="26"/>
          <w:szCs w:val="26"/>
          <w:rtl/>
          <w:lang w:val="en-US" w:bidi="ar-SA"/>
        </w:rPr>
        <w:t>م</w:t>
      </w:r>
      <w:r w:rsidR="00545423" w:rsidRPr="002C7A20">
        <w:rPr>
          <w:sz w:val="26"/>
          <w:szCs w:val="26"/>
          <w:rtl/>
          <w:lang w:val="en-US" w:bidi="ar-SA"/>
        </w:rPr>
        <w:t xml:space="preserve">ن الوكالات المنفذة الثلاث. </w:t>
      </w:r>
      <w:r w:rsidR="00545423" w:rsidRPr="002C7A20">
        <w:rPr>
          <w:rFonts w:hint="cs"/>
          <w:sz w:val="26"/>
          <w:szCs w:val="26"/>
          <w:rtl/>
          <w:lang w:val="en-US" w:bidi="ar-SA"/>
        </w:rPr>
        <w:t>وكذلك</w:t>
      </w:r>
      <w:r w:rsidR="00545423" w:rsidRPr="002C7A20">
        <w:rPr>
          <w:sz w:val="26"/>
          <w:szCs w:val="26"/>
          <w:rtl/>
          <w:lang w:val="en-US" w:bidi="ar-SA"/>
        </w:rPr>
        <w:t xml:space="preserve"> </w:t>
      </w:r>
      <w:r w:rsidR="00545423" w:rsidRPr="002C7A20">
        <w:rPr>
          <w:rFonts w:hint="cs"/>
          <w:sz w:val="26"/>
          <w:szCs w:val="26"/>
          <w:rtl/>
          <w:lang w:val="en-US" w:bidi="ar-SA"/>
        </w:rPr>
        <w:t>ت</w:t>
      </w:r>
      <w:r w:rsidRPr="002C7A20">
        <w:rPr>
          <w:sz w:val="26"/>
          <w:szCs w:val="26"/>
          <w:rtl/>
          <w:lang w:val="en-US" w:bidi="ar-SA"/>
        </w:rPr>
        <w:t xml:space="preserve">عرض بإيجاز نظام التكاليف الإدارية للصندوق </w:t>
      </w:r>
      <w:r w:rsidR="009314B3" w:rsidRPr="002C7A20">
        <w:rPr>
          <w:rFonts w:hint="cs"/>
          <w:sz w:val="26"/>
          <w:szCs w:val="26"/>
          <w:rtl/>
          <w:lang w:val="en-US" w:bidi="ar-SA"/>
        </w:rPr>
        <w:t>ال</w:t>
      </w:r>
      <w:r w:rsidRPr="002C7A20">
        <w:rPr>
          <w:sz w:val="26"/>
          <w:szCs w:val="26"/>
          <w:rtl/>
          <w:lang w:val="en-US" w:bidi="ar-SA"/>
        </w:rPr>
        <w:t>متعدد الأطر</w:t>
      </w:r>
      <w:r w:rsidR="009314B3" w:rsidRPr="002C7A20">
        <w:rPr>
          <w:sz w:val="26"/>
          <w:szCs w:val="26"/>
          <w:rtl/>
          <w:lang w:val="en-US" w:bidi="ar-SA"/>
        </w:rPr>
        <w:t>اف لفترة الثلاث سنوات 2021-2023</w:t>
      </w:r>
      <w:r w:rsidRPr="002C7A20">
        <w:rPr>
          <w:sz w:val="26"/>
          <w:szCs w:val="26"/>
          <w:rtl/>
          <w:lang w:val="en-US" w:bidi="ar-SA"/>
        </w:rPr>
        <w:t>؛ وتوصية.</w:t>
      </w:r>
    </w:p>
    <w:p w:rsidR="00055AA2" w:rsidRPr="002C7A20" w:rsidRDefault="003B295C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lastRenderedPageBreak/>
        <w:t>لإعداد هذه الوثيقة</w:t>
      </w:r>
      <w:r w:rsidR="00055AA2" w:rsidRPr="002C7A20">
        <w:rPr>
          <w:sz w:val="26"/>
          <w:szCs w:val="26"/>
          <w:rtl/>
          <w:lang w:val="en-US" w:bidi="ar-SA"/>
        </w:rPr>
        <w:t>، قدمت الوكالات المنفذة الثلاث التكاليف الأسا</w:t>
      </w:r>
      <w:r w:rsidR="007C049A" w:rsidRPr="002C7A20">
        <w:rPr>
          <w:sz w:val="26"/>
          <w:szCs w:val="26"/>
          <w:rtl/>
          <w:lang w:val="en-US" w:bidi="ar-SA"/>
        </w:rPr>
        <w:t>سية والإدارية الفعلية لعام 2019</w:t>
      </w:r>
      <w:r w:rsidR="00055AA2" w:rsidRPr="002C7A20">
        <w:rPr>
          <w:sz w:val="26"/>
          <w:szCs w:val="26"/>
          <w:rtl/>
          <w:lang w:val="en-US" w:bidi="ar-SA"/>
        </w:rPr>
        <w:t xml:space="preserve">، والتكاليف </w:t>
      </w:r>
      <w:r w:rsidR="007C049A"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="007C049A" w:rsidRPr="002C7A20">
        <w:rPr>
          <w:sz w:val="26"/>
          <w:szCs w:val="26"/>
          <w:rtl/>
          <w:lang w:val="en-US" w:bidi="ar-SA"/>
        </w:rPr>
        <w:t xml:space="preserve"> لعام 2020، والميزانية المقترحة لعام 2021</w:t>
      </w:r>
      <w:r w:rsidR="00055AA2" w:rsidRPr="002C7A20">
        <w:rPr>
          <w:sz w:val="26"/>
          <w:szCs w:val="26"/>
          <w:rtl/>
          <w:lang w:val="en-US" w:bidi="ar-SA"/>
        </w:rPr>
        <w:t xml:space="preserve">؛ </w:t>
      </w:r>
      <w:r w:rsidR="007C049A" w:rsidRPr="002C7A20">
        <w:rPr>
          <w:rFonts w:hint="cs"/>
          <w:sz w:val="26"/>
          <w:szCs w:val="26"/>
          <w:rtl/>
          <w:lang w:val="en-US" w:bidi="ar-SA"/>
        </w:rPr>
        <w:t>و</w:t>
      </w:r>
      <w:r w:rsidR="00055AA2" w:rsidRPr="002C7A20">
        <w:rPr>
          <w:sz w:val="26"/>
          <w:szCs w:val="26"/>
          <w:rtl/>
          <w:lang w:val="en-US" w:bidi="ar-SA"/>
        </w:rPr>
        <w:t xml:space="preserve">استخدمت الوكالات </w:t>
      </w:r>
      <w:r w:rsidR="007C049A" w:rsidRPr="002C7A20">
        <w:rPr>
          <w:rFonts w:hint="cs"/>
          <w:sz w:val="26"/>
          <w:szCs w:val="26"/>
          <w:rtl/>
          <w:lang w:val="en-US" w:bidi="ar-SA"/>
        </w:rPr>
        <w:t>النسق</w:t>
      </w:r>
      <w:r w:rsidR="00055AA2" w:rsidRPr="002C7A20">
        <w:rPr>
          <w:sz w:val="26"/>
          <w:szCs w:val="26"/>
          <w:rtl/>
          <w:lang w:val="en-US" w:bidi="ar-SA"/>
        </w:rPr>
        <w:t xml:space="preserve"> المنقح للإبلاغ عن التكاليف الإدارية</w:t>
      </w:r>
      <w:r w:rsidR="007C049A" w:rsidRPr="002C7A20">
        <w:rPr>
          <w:rStyle w:val="FootnoteReference"/>
          <w:sz w:val="26"/>
          <w:szCs w:val="26"/>
          <w:rtl/>
          <w:lang w:val="en-US" w:bidi="ar-SA"/>
        </w:rPr>
        <w:footnoteReference w:id="3"/>
      </w:r>
      <w:r w:rsidR="00055AA2" w:rsidRPr="002C7A20">
        <w:rPr>
          <w:sz w:val="26"/>
          <w:szCs w:val="26"/>
          <w:rtl/>
          <w:lang w:val="en-US" w:bidi="ar-SA"/>
        </w:rPr>
        <w:t xml:space="preserve"> عملاً بالمقرر 79/41 (هـ). و</w:t>
      </w:r>
      <w:r w:rsidR="007C049A" w:rsidRPr="002C7A20">
        <w:rPr>
          <w:sz w:val="26"/>
          <w:szCs w:val="26"/>
          <w:rtl/>
          <w:lang w:val="en-US" w:bidi="ar-SA"/>
        </w:rPr>
        <w:t>أثناء استعراض المعلومات المقدمة</w:t>
      </w:r>
      <w:r w:rsidR="00055AA2" w:rsidRPr="002C7A20">
        <w:rPr>
          <w:sz w:val="26"/>
          <w:szCs w:val="26"/>
          <w:rtl/>
          <w:lang w:val="en-US" w:bidi="ar-SA"/>
        </w:rPr>
        <w:t>، أجرت الأمانة مناقشات مستفيضة م</w:t>
      </w:r>
      <w:r w:rsidR="007C049A" w:rsidRPr="002C7A20">
        <w:rPr>
          <w:sz w:val="26"/>
          <w:szCs w:val="26"/>
          <w:rtl/>
          <w:lang w:val="en-US" w:bidi="ar-SA"/>
        </w:rPr>
        <w:t xml:space="preserve">ع كل </w:t>
      </w:r>
      <w:r w:rsidR="007C049A" w:rsidRPr="002C7A20">
        <w:rPr>
          <w:rFonts w:hint="cs"/>
          <w:sz w:val="26"/>
          <w:szCs w:val="26"/>
          <w:rtl/>
          <w:lang w:val="en-US" w:bidi="ar-SA"/>
        </w:rPr>
        <w:t xml:space="preserve">وكالة </w:t>
      </w:r>
      <w:r w:rsidR="007C049A" w:rsidRPr="002C7A20">
        <w:rPr>
          <w:sz w:val="26"/>
          <w:szCs w:val="26"/>
          <w:rtl/>
          <w:lang w:val="en-US" w:bidi="ar-SA"/>
        </w:rPr>
        <w:t>من الوكالات المنفذة الثلاث</w:t>
      </w:r>
      <w:r w:rsidR="00055AA2" w:rsidRPr="002C7A20">
        <w:rPr>
          <w:sz w:val="26"/>
          <w:szCs w:val="26"/>
          <w:rtl/>
          <w:lang w:val="en-US" w:bidi="ar-SA"/>
        </w:rPr>
        <w:t>، حيث تمت معالجة جميع الإصدارات بشكل مرض</w:t>
      </w:r>
      <w:r w:rsidR="007C049A" w:rsidRPr="002C7A20">
        <w:rPr>
          <w:rFonts w:hint="cs"/>
          <w:sz w:val="26"/>
          <w:szCs w:val="26"/>
          <w:rtl/>
          <w:lang w:val="en-US" w:bidi="ar-SA"/>
        </w:rPr>
        <w:t>ٍ</w:t>
      </w:r>
      <w:r w:rsidR="00055AA2" w:rsidRPr="002C7A20">
        <w:rPr>
          <w:sz w:val="26"/>
          <w:szCs w:val="26"/>
          <w:rtl/>
          <w:lang w:val="en-US" w:bidi="ar-SA"/>
        </w:rPr>
        <w:t xml:space="preserve">. </w:t>
      </w:r>
      <w:r w:rsidR="007C049A" w:rsidRPr="002C7A20">
        <w:rPr>
          <w:rFonts w:hint="cs"/>
          <w:sz w:val="26"/>
          <w:szCs w:val="26"/>
          <w:rtl/>
          <w:lang w:val="en-US" w:bidi="ar-SA"/>
        </w:rPr>
        <w:t>و</w:t>
      </w:r>
      <w:r w:rsidR="00055AA2" w:rsidRPr="002C7A20">
        <w:rPr>
          <w:sz w:val="26"/>
          <w:szCs w:val="26"/>
          <w:rtl/>
          <w:lang w:val="en-US" w:bidi="ar-SA"/>
        </w:rPr>
        <w:t>تلاحظ الأمانة مع التقدير التعاون الذي قدمته الوكالات المنفذة الثلاث.</w:t>
      </w:r>
    </w:p>
    <w:p w:rsidR="00347954" w:rsidRPr="002C7A20" w:rsidRDefault="004D7EA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لتيسير استعراض اللجنة التنفيذية</w:t>
      </w:r>
      <w:r w:rsidR="00347954" w:rsidRPr="002C7A20">
        <w:rPr>
          <w:sz w:val="26"/>
          <w:szCs w:val="26"/>
          <w:rtl/>
          <w:lang w:val="en-US" w:bidi="ar-SA"/>
        </w:rPr>
        <w:t xml:space="preserve">، تم تقديم بيانات ميزانية الوحدة الأساسية والتكاليف الإدارية الأخرى لكل وكالة منفذة في الوثيقة </w:t>
      </w:r>
      <w:r w:rsidRPr="002C7A20">
        <w:rPr>
          <w:sz w:val="26"/>
          <w:szCs w:val="26"/>
          <w:rtl/>
          <w:lang w:val="en-US" w:bidi="ar-SA"/>
        </w:rPr>
        <w:t>الرئيسية للسنوات الثلاث الماضية</w:t>
      </w:r>
      <w:r w:rsidR="00347954" w:rsidRPr="002C7A20">
        <w:rPr>
          <w:sz w:val="26"/>
          <w:szCs w:val="26"/>
          <w:rtl/>
          <w:lang w:val="en-US" w:bidi="ar-SA"/>
        </w:rPr>
        <w:t>، بينما ترد البيانات التاريخية من عام 2011 في المرفق ا</w:t>
      </w:r>
      <w:r w:rsidRPr="002C7A20">
        <w:rPr>
          <w:sz w:val="26"/>
          <w:szCs w:val="26"/>
          <w:rtl/>
          <w:lang w:val="en-US" w:bidi="ar-SA"/>
        </w:rPr>
        <w:t xml:space="preserve">لأول </w:t>
      </w:r>
      <w:r w:rsidRPr="002C7A20">
        <w:rPr>
          <w:rFonts w:hint="cs"/>
          <w:sz w:val="26"/>
          <w:szCs w:val="26"/>
          <w:rtl/>
          <w:lang w:val="en-US" w:bidi="ar-SA"/>
        </w:rPr>
        <w:t>ب</w:t>
      </w:r>
      <w:r w:rsidRPr="002C7A20">
        <w:rPr>
          <w:sz w:val="26"/>
          <w:szCs w:val="26"/>
          <w:rtl/>
          <w:lang w:val="en-US" w:bidi="ar-SA"/>
        </w:rPr>
        <w:t>هذه الوثيقة</w:t>
      </w:r>
      <w:r w:rsidR="00347954" w:rsidRPr="002C7A20">
        <w:rPr>
          <w:sz w:val="26"/>
          <w:szCs w:val="26"/>
          <w:rtl/>
          <w:lang w:val="en-US" w:bidi="ar-SA"/>
        </w:rPr>
        <w:t>.</w:t>
      </w:r>
    </w:p>
    <w:p w:rsidR="004D7EA2" w:rsidRPr="002C7A20" w:rsidRDefault="004D7EA2" w:rsidP="004D7EA2">
      <w:pPr>
        <w:bidi/>
        <w:rPr>
          <w:sz w:val="26"/>
          <w:szCs w:val="26"/>
          <w:lang w:val="en-US" w:bidi="ar-SA"/>
        </w:rPr>
      </w:pPr>
    </w:p>
    <w:p w:rsidR="00347954" w:rsidRPr="002C7A20" w:rsidRDefault="00347954" w:rsidP="00347954">
      <w:pPr>
        <w:bidi/>
        <w:rPr>
          <w:b/>
          <w:bCs/>
          <w:sz w:val="26"/>
          <w:szCs w:val="26"/>
          <w:lang w:val="en-US" w:bidi="ar-SA"/>
        </w:rPr>
      </w:pPr>
      <w:r w:rsidRPr="002C7A20">
        <w:rPr>
          <w:b/>
          <w:bCs/>
          <w:sz w:val="26"/>
          <w:szCs w:val="26"/>
          <w:rtl/>
          <w:lang w:val="en-US" w:bidi="ar-SA"/>
        </w:rPr>
        <w:t>برنامج الأمم المتحدة الإنمائي</w:t>
      </w:r>
      <w:r w:rsidR="004D7EA2" w:rsidRPr="002C7A20">
        <w:rPr>
          <w:rFonts w:hint="cs"/>
          <w:b/>
          <w:bCs/>
          <w:sz w:val="26"/>
          <w:szCs w:val="26"/>
          <w:rtl/>
          <w:lang w:val="en-US" w:bidi="ar-SA"/>
        </w:rPr>
        <w:t xml:space="preserve"> (اليوئنديبي)</w:t>
      </w:r>
    </w:p>
    <w:p w:rsidR="00347954" w:rsidRPr="002C7A20" w:rsidRDefault="00347954" w:rsidP="00347954">
      <w:pPr>
        <w:bidi/>
        <w:rPr>
          <w:sz w:val="26"/>
          <w:szCs w:val="26"/>
          <w:lang w:val="en-US" w:bidi="ar-SA"/>
        </w:rPr>
      </w:pPr>
    </w:p>
    <w:p w:rsidR="00347954" w:rsidRPr="002C7A20" w:rsidRDefault="00347954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وافقت اللجنة التنفيذية على طلب عام 2020 لتمويل الوحدة الأساسية لبرنامج الأمم المتحدة الإنمائي بمبلغ 2</w:t>
      </w:r>
      <w:r w:rsidR="004D7EA2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098</w:t>
      </w:r>
      <w:r w:rsidR="004D7EA2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 xml:space="preserve">458 دولار أمريكي (المقرر 84/61 (ب)). </w:t>
      </w:r>
      <w:r w:rsidR="004D7EA2"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يعرض الجدول 1 ميزانية الوحدة الأساسية والتكاليف الإدارية التي قدمها برنامج الأمم المتحدة الإنمائي من 2017 إلى 2021.</w:t>
      </w:r>
    </w:p>
    <w:p w:rsidR="00347954" w:rsidRPr="002C7A20" w:rsidRDefault="003F3E8D" w:rsidP="003F3E8D">
      <w:pPr>
        <w:bidi/>
        <w:rPr>
          <w:b/>
          <w:bCs/>
          <w:sz w:val="26"/>
          <w:szCs w:val="26"/>
          <w:rtl/>
          <w:lang w:val="en-US" w:bidi="ar-SA"/>
        </w:rPr>
      </w:pPr>
      <w:r w:rsidRPr="002C7A20">
        <w:rPr>
          <w:b/>
          <w:bCs/>
          <w:sz w:val="26"/>
          <w:szCs w:val="26"/>
          <w:rtl/>
          <w:lang w:val="en-US" w:bidi="ar-SA"/>
        </w:rPr>
        <w:t>الجدول 1</w:t>
      </w:r>
      <w:r w:rsidRPr="002C7A20">
        <w:rPr>
          <w:rFonts w:hint="cs"/>
          <w:b/>
          <w:bCs/>
          <w:sz w:val="26"/>
          <w:szCs w:val="26"/>
          <w:rtl/>
          <w:lang w:val="en-US" w:bidi="ar-SA"/>
        </w:rPr>
        <w:t xml:space="preserve">- </w:t>
      </w:r>
      <w:r w:rsidR="00347954" w:rsidRPr="002C7A20">
        <w:rPr>
          <w:b/>
          <w:bCs/>
          <w:sz w:val="26"/>
          <w:szCs w:val="26"/>
          <w:rtl/>
          <w:lang w:val="en-US" w:bidi="ar-SA"/>
        </w:rPr>
        <w:t xml:space="preserve"> بيانات ميزانية الوحدة الأساسية والتكاليف الإدارية الأخرى للفترة من 2017 إلى 2021 لبرنامج الأمم المتحدة الإنمائي (بالدولار الأمريكي)</w:t>
      </w:r>
    </w:p>
    <w:tbl>
      <w:tblPr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3738"/>
        <w:gridCol w:w="936"/>
        <w:gridCol w:w="936"/>
        <w:gridCol w:w="936"/>
        <w:gridCol w:w="936"/>
        <w:gridCol w:w="936"/>
        <w:gridCol w:w="937"/>
      </w:tblGrid>
      <w:tr w:rsidR="00347954" w:rsidRPr="00E2441A" w:rsidTr="003F3E8D">
        <w:trPr>
          <w:trHeight w:val="64"/>
          <w:tblHeader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54" w:rsidRPr="00BE0D11" w:rsidRDefault="003F3E8D" w:rsidP="003F3E8D">
            <w:pPr>
              <w:bidi/>
              <w:jc w:val="center"/>
              <w:rPr>
                <w:b/>
                <w:bCs/>
                <w:sz w:val="20"/>
                <w:lang w:val="en-US" w:eastAsia="en-CA"/>
              </w:rPr>
            </w:pPr>
            <w:r w:rsidRPr="00BE0D11">
              <w:rPr>
                <w:rFonts w:hint="cs"/>
                <w:b/>
                <w:bCs/>
                <w:sz w:val="20"/>
                <w:rtl/>
                <w:lang w:val="en-CA" w:eastAsia="en-CA"/>
              </w:rPr>
              <w:t>بند التكلفة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2019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2021</w:t>
            </w:r>
          </w:p>
        </w:tc>
      </w:tr>
      <w:tr w:rsidR="003F3E8D" w:rsidRPr="00E2441A" w:rsidTr="00A70D3D">
        <w:trPr>
          <w:trHeight w:val="135"/>
          <w:tblHeader/>
        </w:trPr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8D" w:rsidRPr="00BE0D11" w:rsidRDefault="003F3E8D" w:rsidP="00892AC1">
            <w:pPr>
              <w:jc w:val="left"/>
              <w:rPr>
                <w:b/>
                <w:bCs/>
                <w:sz w:val="20"/>
                <w:lang w:val="en-CA" w:eastAsia="en-C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  <w:hideMark/>
          </w:tcPr>
          <w:p w:rsidR="003F3E8D" w:rsidRPr="00E2441A" w:rsidRDefault="003F3E8D" w:rsidP="00A70D3D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  <w:hideMark/>
          </w:tcPr>
          <w:p w:rsidR="003F3E8D" w:rsidRDefault="003F3E8D" w:rsidP="00A70D3D">
            <w:pPr>
              <w:jc w:val="center"/>
            </w:pPr>
            <w:r w:rsidRPr="00AA71E1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  <w:vAlign w:val="center"/>
          </w:tcPr>
          <w:p w:rsidR="003F3E8D" w:rsidRDefault="003F3E8D" w:rsidP="00A70D3D">
            <w:pPr>
              <w:jc w:val="center"/>
            </w:pPr>
            <w:r w:rsidRPr="00AA71E1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  <w:hideMark/>
          </w:tcPr>
          <w:p w:rsidR="003F3E8D" w:rsidRPr="00E2441A" w:rsidRDefault="003F3E8D" w:rsidP="00A70D3D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الميزانية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  <w:hideMark/>
          </w:tcPr>
          <w:p w:rsidR="003F3E8D" w:rsidRPr="00E2441A" w:rsidRDefault="003F3E8D" w:rsidP="00A70D3D">
            <w:pPr>
              <w:bidi/>
              <w:ind w:left="-101" w:right="-114"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التقديرية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  <w:hideMark/>
          </w:tcPr>
          <w:p w:rsidR="003F3E8D" w:rsidRPr="00E2441A" w:rsidRDefault="003F3E8D" w:rsidP="00A70D3D">
            <w:pPr>
              <w:bidi/>
              <w:ind w:left="-102" w:right="-112"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المقترحة</w:t>
            </w:r>
          </w:p>
        </w:tc>
      </w:tr>
      <w:tr w:rsidR="00347954" w:rsidRPr="00E2441A" w:rsidTr="003F3E8D">
        <w:trPr>
          <w:trHeight w:val="52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BE0D11" w:rsidRDefault="00105222" w:rsidP="00105222">
            <w:pPr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BE0D11">
              <w:rPr>
                <w:rFonts w:hint="cs"/>
                <w:b/>
                <w:bCs/>
                <w:sz w:val="20"/>
                <w:rtl/>
                <w:lang w:val="en-CA" w:eastAsia="en-CA"/>
              </w:rPr>
              <w:t xml:space="preserve">ألف </w:t>
            </w:r>
            <w:r w:rsidRPr="00BE0D11">
              <w:rPr>
                <w:b/>
                <w:bCs/>
                <w:sz w:val="20"/>
                <w:rtl/>
                <w:lang w:val="en-CA" w:eastAsia="en-CA"/>
              </w:rPr>
              <w:t>–</w:t>
            </w:r>
            <w:r w:rsidRPr="00BE0D11">
              <w:rPr>
                <w:rFonts w:hint="cs"/>
                <w:b/>
                <w:bCs/>
                <w:sz w:val="20"/>
                <w:rtl/>
                <w:lang w:val="en-CA" w:eastAsia="en-CA"/>
              </w:rPr>
              <w:t xml:space="preserve"> الوحدة الأساسية</w:t>
            </w:r>
          </w:p>
        </w:tc>
      </w:tr>
      <w:tr w:rsidR="00347954" w:rsidRPr="00E2441A" w:rsidTr="003F3E8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BE0D11" w:rsidRDefault="001B29F3" w:rsidP="001B29F3">
            <w:pPr>
              <w:bidi/>
              <w:jc w:val="left"/>
              <w:rPr>
                <w:sz w:val="20"/>
                <w:lang w:val="en-CA" w:eastAsia="en-CA"/>
              </w:rPr>
            </w:pPr>
            <w:r w:rsidRPr="00BE0D11">
              <w:rPr>
                <w:rFonts w:hint="cs"/>
                <w:sz w:val="20"/>
                <w:rtl/>
                <w:lang w:val="en-CA" w:eastAsia="en-CA"/>
              </w:rPr>
              <w:t>العاملون في</w:t>
            </w:r>
            <w:r w:rsidRPr="00BE0D11">
              <w:rPr>
                <w:sz w:val="20"/>
                <w:rtl/>
                <w:lang w:val="en-CA" w:eastAsia="en-CA"/>
              </w:rPr>
              <w:t xml:space="preserve"> الوحدة الأساسية والموظفون </w:t>
            </w:r>
            <w:r w:rsidRPr="00BE0D11">
              <w:rPr>
                <w:rFonts w:hint="cs"/>
                <w:sz w:val="20"/>
                <w:rtl/>
                <w:lang w:val="en-CA" w:eastAsia="en-CA"/>
              </w:rPr>
              <w:t>المتعاقدون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2,305,838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2,375,437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2,379,866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2,520,101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2,451,262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2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2,524,800</w:t>
            </w:r>
          </w:p>
        </w:tc>
      </w:tr>
      <w:tr w:rsidR="00347954" w:rsidRPr="00E2441A" w:rsidTr="003F3E8D">
        <w:trPr>
          <w:trHeight w:val="7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BE0D11" w:rsidRDefault="001B29F3" w:rsidP="001B29F3">
            <w:pPr>
              <w:bidi/>
              <w:jc w:val="left"/>
              <w:rPr>
                <w:sz w:val="20"/>
                <w:lang w:val="en-US" w:eastAsia="en-CA"/>
              </w:rPr>
            </w:pPr>
            <w:r w:rsidRPr="00BE0D11">
              <w:rPr>
                <w:rFonts w:hint="cs"/>
                <w:sz w:val="20"/>
                <w:rtl/>
                <w:lang w:val="en-CA" w:eastAsia="en-CA"/>
              </w:rPr>
              <w:t>السفر (الموظفون والاستشاريون)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173,099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176,170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182,129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194,227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150,000</w:t>
            </w:r>
          </w:p>
        </w:tc>
      </w:tr>
      <w:tr w:rsidR="00347954" w:rsidRPr="00E2441A" w:rsidTr="003F3E8D">
        <w:trPr>
          <w:trHeight w:val="55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07" w:rsidRPr="00BE0D11" w:rsidRDefault="00372507" w:rsidP="00372507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162,982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164,998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153,176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181,910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160,835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168,877</w:t>
            </w:r>
          </w:p>
        </w:tc>
      </w:tr>
      <w:tr w:rsidR="00347954" w:rsidRPr="00E2441A" w:rsidTr="003F3E8D">
        <w:trPr>
          <w:trHeight w:val="159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07" w:rsidRPr="00BE0D11" w:rsidRDefault="00372507" w:rsidP="00372507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sz w:val="20"/>
                <w:rtl/>
                <w:lang w:val="en-US" w:eastAsia="en-CA" w:bidi="ar-SA"/>
              </w:rPr>
              <w:t>إمدادات المعدات والتكاليف الأخرى (حاسبات آلية ومستلزمات، إلخ.)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9,196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12,146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8,351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15,000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10,000</w:t>
            </w:r>
          </w:p>
        </w:tc>
      </w:tr>
      <w:tr w:rsidR="00347954" w:rsidRPr="00E2441A" w:rsidTr="003F3E8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BE0D11" w:rsidRDefault="00753B43" w:rsidP="00753B43">
            <w:pPr>
              <w:bidi/>
              <w:jc w:val="left"/>
              <w:rPr>
                <w:sz w:val="20"/>
                <w:lang w:val="en-CA" w:eastAsia="en-CA"/>
              </w:rPr>
            </w:pPr>
            <w:r w:rsidRPr="00BE0D11">
              <w:rPr>
                <w:rFonts w:hint="cs"/>
                <w:sz w:val="20"/>
                <w:rtl/>
                <w:lang w:val="en-CA" w:eastAsia="en-CA"/>
              </w:rPr>
              <w:t>الخدمات التعاقدية (شركات)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24,547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13,510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24,300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25,000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5,000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25,000</w:t>
            </w:r>
          </w:p>
        </w:tc>
      </w:tr>
      <w:tr w:rsidR="00347954" w:rsidRPr="00E2441A" w:rsidTr="003F3E8D">
        <w:trPr>
          <w:trHeight w:val="146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43" w:rsidRPr="00BE0D11" w:rsidRDefault="006E3B88" w:rsidP="00753B43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sz w:val="20"/>
                <w:rtl/>
                <w:lang w:val="en-US" w:eastAsia="en-CA" w:bidi="ar-SA"/>
              </w:rPr>
              <w:t>سداد</w:t>
            </w:r>
            <w:r w:rsidR="00753B43" w:rsidRPr="00BE0D11">
              <w:rPr>
                <w:rFonts w:hint="cs"/>
                <w:sz w:val="20"/>
                <w:rtl/>
                <w:lang w:val="en-US" w:eastAsia="en-CA" w:bidi="ar-SA"/>
              </w:rPr>
              <w:t xml:space="preserve"> نفقات الخدمات المركزية لموظفي الوحدة الأساسية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308,375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381,004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240,968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350,000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250,000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250,000</w:t>
            </w:r>
          </w:p>
        </w:tc>
      </w:tr>
      <w:tr w:rsidR="00347954" w:rsidRPr="00E2441A" w:rsidTr="003F3E8D">
        <w:trPr>
          <w:trHeight w:val="73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43" w:rsidRPr="00BE0D11" w:rsidRDefault="00753B43" w:rsidP="00753B43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sz w:val="20"/>
                <w:rtl/>
                <w:lang w:val="en-US" w:eastAsia="en-CA" w:bidi="ar-SA"/>
              </w:rPr>
              <w:t>التعديلات (+ = قلة الاستخدام و- = التجاوز)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-929,036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-1,053,880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-904,918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-1,192,781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-803,638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2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-1,015,528</w:t>
            </w:r>
          </w:p>
        </w:tc>
      </w:tr>
      <w:tr w:rsidR="00347954" w:rsidRPr="00E2441A" w:rsidTr="003F3E8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43" w:rsidRPr="00BE0D11" w:rsidRDefault="00753B43" w:rsidP="00753B43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7" w:firstLine="2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347954" w:rsidRPr="00E2441A" w:rsidTr="003F3E8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43" w:rsidRPr="00BE0D11" w:rsidRDefault="00753B43" w:rsidP="00753B43">
            <w:pPr>
              <w:bidi/>
              <w:jc w:val="left"/>
              <w:rPr>
                <w:b/>
                <w:bCs/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 xml:space="preserve">ألف </w:t>
            </w:r>
            <w:r w:rsidRPr="00BE0D11">
              <w:rPr>
                <w:b/>
                <w:bCs/>
                <w:sz w:val="20"/>
                <w:rtl/>
                <w:lang w:val="en-US" w:eastAsia="en-CA" w:bidi="ar-SA"/>
              </w:rPr>
              <w:t>–</w:t>
            </w:r>
            <w:r w:rsidRPr="00BE0D11"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 xml:space="preserve"> المجموع الفرعي لتكاليف الوحدة الأساسية*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8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2,055,000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2,069,385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2,083,871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2,098,458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243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2,098,459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2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2,113,148</w:t>
            </w:r>
          </w:p>
        </w:tc>
      </w:tr>
      <w:tr w:rsidR="00347954" w:rsidRPr="00E2441A" w:rsidTr="003F3E8D">
        <w:trPr>
          <w:trHeight w:val="121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43" w:rsidRPr="00BE0D11" w:rsidRDefault="00753B43" w:rsidP="00753B43">
            <w:pPr>
              <w:bidi/>
              <w:jc w:val="left"/>
              <w:rPr>
                <w:b/>
                <w:bCs/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 xml:space="preserve">باء </w:t>
            </w:r>
            <w:r w:rsidRPr="00BE0D11">
              <w:rPr>
                <w:b/>
                <w:bCs/>
                <w:sz w:val="20"/>
                <w:rtl/>
                <w:lang w:val="en-US" w:eastAsia="en-CA" w:bidi="ar-SA"/>
              </w:rPr>
              <w:t>–</w:t>
            </w:r>
            <w:r w:rsidRPr="00BE0D11"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 xml:space="preserve">  تكاليف دعم الوكالة / التنفيذ</w:t>
            </w:r>
          </w:p>
        </w:tc>
      </w:tr>
      <w:tr w:rsidR="00347954" w:rsidRPr="00E2441A" w:rsidTr="003F3E8D">
        <w:trPr>
          <w:trHeight w:val="12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8D" w:rsidRPr="00BE0D11" w:rsidRDefault="006E3B88" w:rsidP="0087448D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sz w:val="20"/>
                <w:rtl/>
                <w:lang w:val="en-US" w:eastAsia="en-CA" w:bidi="ar-SA"/>
              </w:rPr>
              <w:t>سداد</w:t>
            </w:r>
            <w:r w:rsidR="00A5706A" w:rsidRPr="00BE0D11">
              <w:rPr>
                <w:rFonts w:hint="cs"/>
                <w:sz w:val="20"/>
                <w:rtl/>
                <w:lang w:val="en-US" w:eastAsia="en-CA" w:bidi="ar-SA"/>
              </w:rPr>
              <w:t xml:space="preserve"> نفقات</w:t>
            </w:r>
            <w:r w:rsidR="0087448D" w:rsidRPr="00BE0D11">
              <w:rPr>
                <w:sz w:val="20"/>
                <w:rtl/>
                <w:lang w:val="en-US" w:eastAsia="en-CA" w:bidi="ar-SA"/>
              </w:rPr>
              <w:t xml:space="preserve"> </w:t>
            </w:r>
            <w:r w:rsidR="00A5706A" w:rsidRPr="00BE0D11">
              <w:rPr>
                <w:sz w:val="20"/>
                <w:rtl/>
                <w:lang w:val="en-US" w:eastAsia="en-CA" w:bidi="ar-SA"/>
              </w:rPr>
              <w:t>المكاتب القطرية والتنفيذ الوطني</w:t>
            </w:r>
            <w:r w:rsidR="0087448D" w:rsidRPr="00BE0D11">
              <w:rPr>
                <w:sz w:val="20"/>
                <w:rtl/>
                <w:lang w:val="en-US" w:eastAsia="en-CA" w:bidi="ar-SA"/>
              </w:rPr>
              <w:t>، بما في ذلك النفقات العامة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8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1,749,877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2,214,588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488,288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1,925,000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742,500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2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742,500</w:t>
            </w:r>
          </w:p>
        </w:tc>
      </w:tr>
      <w:tr w:rsidR="00347954" w:rsidRPr="00E2441A" w:rsidTr="003F3E8D">
        <w:trPr>
          <w:trHeight w:val="249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8D" w:rsidRPr="00BE0D11" w:rsidRDefault="0087448D" w:rsidP="0087448D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sz w:val="20"/>
                <w:rtl/>
                <w:lang w:val="en-US" w:eastAsia="en-CA" w:bidi="ar-SA"/>
              </w:rPr>
              <w:t>تكل</w:t>
            </w:r>
            <w:r w:rsidR="006E3B88" w:rsidRPr="00BE0D11">
              <w:rPr>
                <w:sz w:val="20"/>
                <w:rtl/>
                <w:lang w:val="en-US" w:eastAsia="en-CA" w:bidi="ar-SA"/>
              </w:rPr>
              <w:t>فة دعم الوكالة المنفذة (داخلية)</w:t>
            </w:r>
            <w:r w:rsidRPr="00BE0D11">
              <w:rPr>
                <w:sz w:val="20"/>
                <w:rtl/>
                <w:lang w:val="en-US" w:eastAsia="en-CA" w:bidi="ar-SA"/>
              </w:rPr>
              <w:t>، بما في ذلك النفقات العامة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347954" w:rsidRPr="00E2441A" w:rsidTr="003F3E8D">
        <w:trPr>
          <w:trHeight w:val="144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88" w:rsidRPr="00BE0D11" w:rsidRDefault="006E3B88" w:rsidP="006E3B88">
            <w:pPr>
              <w:bidi/>
              <w:jc w:val="left"/>
              <w:rPr>
                <w:sz w:val="20"/>
                <w:rtl/>
                <w:lang w:val="en-CA" w:eastAsia="en-CA" w:bidi="ar-SA"/>
              </w:rPr>
            </w:pPr>
            <w:r w:rsidRPr="00BE0D11">
              <w:rPr>
                <w:sz w:val="20"/>
                <w:rtl/>
                <w:lang w:val="en-CA" w:eastAsia="en-CA" w:bidi="ar-SA"/>
              </w:rPr>
              <w:t>الوسطاء الماليون، بما في ذلك النفقات العامة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08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347954" w:rsidRPr="00E2441A" w:rsidTr="003F3E8D">
        <w:trPr>
          <w:trHeight w:val="19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8D" w:rsidRPr="00BE0D11" w:rsidRDefault="0087448D" w:rsidP="0087448D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 w:rsidRPr="00BE0D11">
              <w:rPr>
                <w:sz w:val="20"/>
                <w:rtl/>
                <w:lang w:val="en-US" w:eastAsia="en-CA" w:bidi="ar-SA"/>
              </w:rPr>
              <w:t>سداد الخدمات المركزية لموظفي الوحدة الأساسية (بما في ذلك النفقات العامة)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</w:tr>
      <w:tr w:rsidR="00347954" w:rsidRPr="00E2441A" w:rsidTr="003F3E8D">
        <w:trPr>
          <w:trHeight w:val="12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BE0D11" w:rsidRDefault="006E3B88" w:rsidP="006E3B88">
            <w:pPr>
              <w:bidi/>
              <w:jc w:val="left"/>
              <w:rPr>
                <w:sz w:val="20"/>
                <w:lang w:val="en-CA" w:eastAsia="en-CA"/>
              </w:rPr>
            </w:pPr>
            <w:r w:rsidRPr="00BE0D11">
              <w:rPr>
                <w:sz w:val="20"/>
                <w:rtl/>
                <w:lang w:val="en-CA" w:eastAsia="en-CA"/>
              </w:rPr>
              <w:t>استرداد التكاليف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308,375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381,004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240,968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350,000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250,000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250,000</w:t>
            </w:r>
          </w:p>
        </w:tc>
      </w:tr>
      <w:tr w:rsidR="00347954" w:rsidRPr="00E2441A" w:rsidTr="003F3E8D">
        <w:trPr>
          <w:trHeight w:val="103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BE0D11" w:rsidRDefault="00817104" w:rsidP="00817104">
            <w:pPr>
              <w:bidi/>
              <w:jc w:val="left"/>
              <w:rPr>
                <w:sz w:val="20"/>
                <w:lang w:val="en-CA" w:eastAsia="en-CA"/>
              </w:rPr>
            </w:pPr>
            <w:r w:rsidRPr="00BE0D11">
              <w:rPr>
                <w:sz w:val="20"/>
                <w:rtl/>
                <w:lang w:val="en-CA" w:eastAsia="en-CA"/>
              </w:rPr>
              <w:t>التعديلات (+ = التجاوز و- = الاستخدام الناقص)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929,036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1,053,880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904,918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11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1,192,781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803,638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:rsidR="00347954" w:rsidRPr="00E2441A" w:rsidRDefault="00347954" w:rsidP="00892AC1">
            <w:pPr>
              <w:ind w:left="-102"/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1,015,528</w:t>
            </w:r>
          </w:p>
        </w:tc>
      </w:tr>
      <w:tr w:rsidR="00347954" w:rsidRPr="00E2441A" w:rsidTr="003F3E8D">
        <w:trPr>
          <w:trHeight w:val="15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BE0D11" w:rsidRDefault="008C18B3" w:rsidP="008C18B3">
            <w:pPr>
              <w:bidi/>
              <w:jc w:val="left"/>
              <w:rPr>
                <w:sz w:val="20"/>
                <w:lang w:val="en-CA" w:eastAsia="en-CA"/>
              </w:rPr>
            </w:pPr>
            <w:r w:rsidRPr="00BE0D11">
              <w:rPr>
                <w:sz w:val="20"/>
                <w:rtl/>
                <w:lang w:val="en-CA" w:eastAsia="en-CA"/>
              </w:rPr>
              <w:t xml:space="preserve">تكاليف المشروع (- = سيتم خصمها وبالتالي </w:t>
            </w:r>
            <w:r w:rsidRPr="00BE0D11">
              <w:rPr>
                <w:rFonts w:hint="cs"/>
                <w:sz w:val="20"/>
                <w:rtl/>
                <w:lang w:val="en-CA" w:eastAsia="en-CA"/>
              </w:rPr>
              <w:t>حذفها</w:t>
            </w:r>
            <w:r w:rsidRPr="00BE0D11">
              <w:rPr>
                <w:sz w:val="20"/>
                <w:rtl/>
                <w:lang w:val="en-CA" w:eastAsia="en-CA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E2441A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</w:tr>
      <w:tr w:rsidR="00347954" w:rsidRPr="00E2441A" w:rsidTr="003F3E8D">
        <w:trPr>
          <w:trHeight w:val="128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B3" w:rsidRPr="00BE0D11" w:rsidRDefault="008C18B3" w:rsidP="008C18B3">
            <w:pPr>
              <w:bidi/>
              <w:jc w:val="left"/>
              <w:rPr>
                <w:b/>
                <w:bCs/>
                <w:sz w:val="20"/>
                <w:rtl/>
                <w:lang w:val="en-US" w:eastAsia="en-CA" w:bidi="ar-SA"/>
              </w:rPr>
            </w:pPr>
            <w:r w:rsidRPr="00BE0D11"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 xml:space="preserve">باء </w:t>
            </w:r>
            <w:r w:rsidRPr="00BE0D11">
              <w:rPr>
                <w:b/>
                <w:bCs/>
                <w:sz w:val="20"/>
                <w:rtl/>
                <w:lang w:val="en-US" w:eastAsia="en-CA" w:bidi="ar-SA"/>
              </w:rPr>
              <w:t>–</w:t>
            </w:r>
            <w:r w:rsidRPr="00BE0D11"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 xml:space="preserve"> المجموع الفرعي لتكاليف دعم الوكالة / تكاليف التنفيذ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E2441A" w:rsidRDefault="00347954" w:rsidP="00892AC1">
            <w:pPr>
              <w:ind w:left="-108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2,987,288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3,649,473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954" w:rsidRPr="00E2441A" w:rsidRDefault="00347954" w:rsidP="00892AC1">
            <w:pPr>
              <w:ind w:left="-11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1,634,174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ind w:left="-11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3,467,781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ind w:left="-10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1,796,138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ind w:left="-102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2,008,028</w:t>
            </w:r>
          </w:p>
        </w:tc>
      </w:tr>
      <w:tr w:rsidR="00347954" w:rsidRPr="00E2441A" w:rsidTr="003F3E8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13" w:rsidRPr="00BE0D11" w:rsidRDefault="00561813" w:rsidP="00561813">
            <w:pPr>
              <w:bidi/>
              <w:jc w:val="left"/>
              <w:rPr>
                <w:b/>
                <w:bCs/>
                <w:sz w:val="20"/>
                <w:rtl/>
                <w:lang w:val="en-CA" w:eastAsia="en-CA" w:bidi="ar-SA"/>
              </w:rPr>
            </w:pPr>
            <w:r w:rsidRPr="00BE0D11">
              <w:rPr>
                <w:rFonts w:hint="cs"/>
                <w:b/>
                <w:bCs/>
                <w:sz w:val="20"/>
                <w:rtl/>
                <w:lang w:val="en-CA" w:eastAsia="en-CA" w:bidi="ar-SA"/>
              </w:rPr>
              <w:t>المجموع الكلي (ألف + باء)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E2441A" w:rsidRDefault="00347954" w:rsidP="00892AC1">
            <w:pPr>
              <w:ind w:left="-108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5,042,289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54" w:rsidRPr="00E2441A" w:rsidRDefault="00347954" w:rsidP="00892AC1">
            <w:pPr>
              <w:ind w:left="-110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5,718,858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954" w:rsidRPr="00E2441A" w:rsidRDefault="00347954" w:rsidP="00892AC1">
            <w:pPr>
              <w:ind w:left="-11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3,718,046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ind w:left="-11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5,566,239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ind w:left="-101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3,894,597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54" w:rsidRPr="00E2441A" w:rsidRDefault="00347954" w:rsidP="00892AC1">
            <w:pPr>
              <w:ind w:left="-102"/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E2441A">
              <w:rPr>
                <w:b/>
                <w:bCs/>
                <w:sz w:val="19"/>
                <w:szCs w:val="19"/>
                <w:lang w:val="en-CA" w:eastAsia="en-CA"/>
              </w:rPr>
              <w:t>4,121,176</w:t>
            </w:r>
          </w:p>
        </w:tc>
      </w:tr>
    </w:tbl>
    <w:p w:rsidR="00347954" w:rsidRPr="001F68E2" w:rsidRDefault="00347954" w:rsidP="0070065B">
      <w:pPr>
        <w:bidi/>
        <w:rPr>
          <w:sz w:val="20"/>
          <w:rtl/>
          <w:lang w:val="en-US" w:bidi="ar-SA"/>
        </w:rPr>
      </w:pPr>
      <w:r w:rsidRPr="001F68E2">
        <w:rPr>
          <w:sz w:val="20"/>
          <w:rtl/>
          <w:lang w:val="en-US" w:bidi="ar-SA"/>
        </w:rPr>
        <w:t xml:space="preserve">* تكلفة الوحدة الأساسية أعلى من المجموع الفرعي المسموح به </w:t>
      </w:r>
      <w:r w:rsidR="0070065B">
        <w:rPr>
          <w:rFonts w:hint="cs"/>
          <w:sz w:val="20"/>
          <w:rtl/>
          <w:lang w:val="en-US" w:bidi="ar-SA"/>
        </w:rPr>
        <w:t>وقدره</w:t>
      </w:r>
      <w:r w:rsidRPr="001F68E2">
        <w:rPr>
          <w:sz w:val="20"/>
          <w:rtl/>
          <w:lang w:val="en-US" w:bidi="ar-SA"/>
        </w:rPr>
        <w:t xml:space="preserve"> 2</w:t>
      </w:r>
      <w:r w:rsidR="0070065B">
        <w:rPr>
          <w:rFonts w:hint="cs"/>
          <w:sz w:val="20"/>
          <w:rtl/>
          <w:lang w:val="en-US" w:bidi="ar-SA"/>
        </w:rPr>
        <w:t>,</w:t>
      </w:r>
      <w:r w:rsidRPr="001F68E2">
        <w:rPr>
          <w:sz w:val="20"/>
          <w:rtl/>
          <w:lang w:val="en-US" w:bidi="ar-SA"/>
        </w:rPr>
        <w:t>055</w:t>
      </w:r>
      <w:r w:rsidR="0070065B">
        <w:rPr>
          <w:rFonts w:hint="cs"/>
          <w:sz w:val="20"/>
          <w:rtl/>
          <w:lang w:val="en-US" w:bidi="ar-SA"/>
        </w:rPr>
        <w:t>,</w:t>
      </w:r>
      <w:r w:rsidR="0070065B">
        <w:rPr>
          <w:sz w:val="20"/>
          <w:rtl/>
          <w:lang w:val="en-US" w:bidi="ar-SA"/>
        </w:rPr>
        <w:t>000 دولار أمريكي في عام 2017</w:t>
      </w:r>
      <w:r w:rsidRPr="001F68E2">
        <w:rPr>
          <w:sz w:val="20"/>
          <w:rtl/>
          <w:lang w:val="en-US" w:bidi="ar-SA"/>
        </w:rPr>
        <w:t>، و 2</w:t>
      </w:r>
      <w:r w:rsidR="0070065B">
        <w:rPr>
          <w:rFonts w:hint="cs"/>
          <w:sz w:val="20"/>
          <w:rtl/>
          <w:lang w:val="en-US" w:bidi="ar-SA"/>
        </w:rPr>
        <w:t>,</w:t>
      </w:r>
      <w:r w:rsidRPr="001F68E2">
        <w:rPr>
          <w:sz w:val="20"/>
          <w:rtl/>
          <w:lang w:val="en-US" w:bidi="ar-SA"/>
        </w:rPr>
        <w:t>،069</w:t>
      </w:r>
      <w:r w:rsidR="0070065B">
        <w:rPr>
          <w:rFonts w:hint="cs"/>
          <w:sz w:val="20"/>
          <w:rtl/>
          <w:lang w:val="en-US" w:bidi="ar-SA"/>
        </w:rPr>
        <w:t>,</w:t>
      </w:r>
      <w:r w:rsidR="0070065B">
        <w:rPr>
          <w:sz w:val="20"/>
          <w:rtl/>
          <w:lang w:val="en-US" w:bidi="ar-SA"/>
        </w:rPr>
        <w:t>385 دولار أمريكي في عام 2018</w:t>
      </w:r>
      <w:r w:rsidRPr="001F68E2">
        <w:rPr>
          <w:sz w:val="20"/>
          <w:rtl/>
          <w:lang w:val="en-US" w:bidi="ar-SA"/>
        </w:rPr>
        <w:t>، و 2</w:t>
      </w:r>
      <w:r w:rsidR="0070065B">
        <w:rPr>
          <w:rFonts w:hint="cs"/>
          <w:sz w:val="20"/>
          <w:rtl/>
          <w:lang w:val="en-US" w:bidi="ar-SA"/>
        </w:rPr>
        <w:t>,</w:t>
      </w:r>
      <w:r w:rsidRPr="001F68E2">
        <w:rPr>
          <w:sz w:val="20"/>
          <w:rtl/>
          <w:lang w:val="en-US" w:bidi="ar-SA"/>
        </w:rPr>
        <w:t>083</w:t>
      </w:r>
      <w:r w:rsidR="0070065B">
        <w:rPr>
          <w:rFonts w:hint="cs"/>
          <w:sz w:val="20"/>
          <w:rtl/>
          <w:lang w:val="en-US" w:bidi="ar-SA"/>
        </w:rPr>
        <w:t>,</w:t>
      </w:r>
      <w:r w:rsidR="0070065B">
        <w:rPr>
          <w:sz w:val="20"/>
          <w:rtl/>
          <w:lang w:val="en-US" w:bidi="ar-SA"/>
        </w:rPr>
        <w:t>871 دولار أمريكي في عام 2019</w:t>
      </w:r>
      <w:r w:rsidRPr="001F68E2">
        <w:rPr>
          <w:sz w:val="20"/>
          <w:rtl/>
          <w:lang w:val="en-US" w:bidi="ar-SA"/>
        </w:rPr>
        <w:t>، و 2</w:t>
      </w:r>
      <w:r w:rsidR="0070065B">
        <w:rPr>
          <w:rFonts w:hint="cs"/>
          <w:sz w:val="20"/>
          <w:rtl/>
          <w:lang w:val="en-US" w:bidi="ar-SA"/>
        </w:rPr>
        <w:t>,</w:t>
      </w:r>
      <w:r w:rsidRPr="001F68E2">
        <w:rPr>
          <w:sz w:val="20"/>
          <w:rtl/>
          <w:lang w:val="en-US" w:bidi="ar-SA"/>
        </w:rPr>
        <w:t>098</w:t>
      </w:r>
      <w:r w:rsidR="0070065B">
        <w:rPr>
          <w:rFonts w:hint="cs"/>
          <w:sz w:val="20"/>
          <w:rtl/>
          <w:lang w:val="en-US" w:bidi="ar-SA"/>
        </w:rPr>
        <w:t>,</w:t>
      </w:r>
      <w:r w:rsidR="0070065B">
        <w:rPr>
          <w:sz w:val="20"/>
          <w:rtl/>
          <w:lang w:val="en-US" w:bidi="ar-SA"/>
        </w:rPr>
        <w:t>459 دولار أمريكي في عام 2020. لذلك</w:t>
      </w:r>
      <w:r w:rsidRPr="001F68E2">
        <w:rPr>
          <w:sz w:val="20"/>
          <w:rtl/>
          <w:lang w:val="en-US" w:bidi="ar-SA"/>
        </w:rPr>
        <w:t>، تم إدخال بند تعديل وتعديل سلبي للوصول إلى السقف المطلوب. كما يتم توفير تعديل إيجابي مقابل في إطار تكاليف / تنفيذ دعم الوكالة لضمان أن يعكس إجمالي التكاليف المتكبدة للتكاليف الإدارية أيضًا المبلغ الذي تجاوزته الوكالة.</w:t>
      </w:r>
    </w:p>
    <w:p w:rsidR="00347954" w:rsidRPr="002C7A20" w:rsidRDefault="00347954" w:rsidP="00252C17">
      <w:pPr>
        <w:keepNext/>
        <w:keepLines/>
        <w:bidi/>
        <w:rPr>
          <w:sz w:val="26"/>
          <w:szCs w:val="26"/>
          <w:u w:val="single"/>
          <w:rtl/>
          <w:lang w:val="en-US" w:bidi="ar-SA"/>
        </w:rPr>
      </w:pPr>
      <w:r w:rsidRPr="002C7A20">
        <w:rPr>
          <w:sz w:val="26"/>
          <w:szCs w:val="26"/>
          <w:u w:val="single"/>
          <w:rtl/>
          <w:lang w:val="en-US" w:bidi="ar-SA"/>
        </w:rPr>
        <w:lastRenderedPageBreak/>
        <w:t>تكاليف الوحدة الأساسية</w:t>
      </w:r>
    </w:p>
    <w:p w:rsidR="001F68E2" w:rsidRPr="002C7A20" w:rsidRDefault="001F68E2" w:rsidP="00252C17">
      <w:pPr>
        <w:keepNext/>
        <w:keepLines/>
        <w:bidi/>
        <w:rPr>
          <w:sz w:val="26"/>
          <w:szCs w:val="26"/>
          <w:lang w:val="en-US" w:bidi="ar-SA"/>
        </w:rPr>
      </w:pPr>
    </w:p>
    <w:p w:rsidR="00347954" w:rsidRPr="002C7A20" w:rsidRDefault="00347954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 يمثل طلب</w:t>
      </w:r>
      <w:r w:rsidR="00005F17" w:rsidRPr="002C7A20">
        <w:rPr>
          <w:sz w:val="26"/>
          <w:szCs w:val="26"/>
          <w:rtl/>
          <w:lang w:val="en-US" w:bidi="ar-SA"/>
        </w:rPr>
        <w:t xml:space="preserve"> برنامج الأمم المتحدة الإنمائي 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ال</w:t>
      </w:r>
      <w:r w:rsidRPr="002C7A20">
        <w:rPr>
          <w:sz w:val="26"/>
          <w:szCs w:val="26"/>
          <w:rtl/>
          <w:lang w:val="en-US" w:bidi="ar-SA"/>
        </w:rPr>
        <w:t>مبلغ 2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113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,</w:t>
      </w:r>
      <w:r w:rsidR="00005F17" w:rsidRPr="002C7A20">
        <w:rPr>
          <w:sz w:val="26"/>
          <w:szCs w:val="26"/>
          <w:rtl/>
          <w:lang w:val="en-US" w:bidi="ar-SA"/>
        </w:rPr>
        <w:t>148 دولار أمريكي</w:t>
      </w:r>
      <w:r w:rsidRPr="002C7A20">
        <w:rPr>
          <w:sz w:val="26"/>
          <w:szCs w:val="26"/>
          <w:rtl/>
          <w:lang w:val="en-US" w:bidi="ar-SA"/>
        </w:rPr>
        <w:t xml:space="preserve"> لميزانية الوحدة الأساسية لعام 2021 زيادة بنسبة 0.7 في المائة في الميزانية المعتمدة لعام 2020. ويتوقع برنامج الأمم المتحدة الإنمائي أن تتجاوز تكاليف وحدته الأساسية هذا المبلغ 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بالقيمة</w:t>
      </w:r>
      <w:r w:rsidRPr="002C7A20">
        <w:rPr>
          <w:sz w:val="26"/>
          <w:szCs w:val="26"/>
          <w:rtl/>
          <w:lang w:val="en-US" w:bidi="ar-SA"/>
        </w:rPr>
        <w:t xml:space="preserve"> 1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015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,</w:t>
      </w:r>
      <w:r w:rsidR="00005F17" w:rsidRPr="002C7A20">
        <w:rPr>
          <w:sz w:val="26"/>
          <w:szCs w:val="26"/>
          <w:rtl/>
          <w:lang w:val="en-US" w:bidi="ar-SA"/>
        </w:rPr>
        <w:t>528 دولار أمريكي</w:t>
      </w:r>
      <w:r w:rsidRPr="002C7A20">
        <w:rPr>
          <w:sz w:val="26"/>
          <w:szCs w:val="26"/>
          <w:rtl/>
          <w:lang w:val="en-US" w:bidi="ar-SA"/>
        </w:rPr>
        <w:t xml:space="preserve"> (يشار إليها 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بالمصطلح</w:t>
      </w:r>
      <w:r w:rsidRPr="002C7A20">
        <w:rPr>
          <w:sz w:val="26"/>
          <w:szCs w:val="26"/>
          <w:rtl/>
          <w:lang w:val="en-US" w:bidi="ar-SA"/>
        </w:rPr>
        <w:t xml:space="preserve"> "تعديل" في الجدول 1 ). 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تجاوز برنامج الأمم المتحدة الإنمائي في العادة مخصصاته في الميزانية لوحدته الأساسية</w:t>
      </w:r>
      <w:r w:rsidR="00005F17" w:rsidRPr="002C7A20">
        <w:rPr>
          <w:rStyle w:val="FootnoteReference"/>
          <w:sz w:val="26"/>
          <w:szCs w:val="26"/>
          <w:rtl/>
          <w:lang w:val="en-US" w:bidi="ar-SA"/>
        </w:rPr>
        <w:footnoteReference w:id="4"/>
      </w:r>
      <w:r w:rsidRPr="002C7A20">
        <w:rPr>
          <w:sz w:val="26"/>
          <w:szCs w:val="26"/>
          <w:rtl/>
          <w:lang w:val="en-US" w:bidi="ar-SA"/>
        </w:rPr>
        <w:t xml:space="preserve"> واسترد تلك التكاليف من تكاليف الدعم المكتسبة من خلال تنفيذ 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مشروعات</w:t>
      </w:r>
      <w:r w:rsidRPr="002C7A20">
        <w:rPr>
          <w:sz w:val="26"/>
          <w:szCs w:val="26"/>
          <w:rtl/>
          <w:lang w:val="en-US" w:bidi="ar-SA"/>
        </w:rPr>
        <w:t xml:space="preserve"> الصندوق </w:t>
      </w:r>
      <w:r w:rsidR="00005F17" w:rsidRPr="002C7A20">
        <w:rPr>
          <w:rFonts w:hint="cs"/>
          <w:sz w:val="26"/>
          <w:szCs w:val="26"/>
          <w:rtl/>
          <w:lang w:val="en-US" w:bidi="ar-SA"/>
        </w:rPr>
        <w:t>ال</w:t>
      </w:r>
      <w:r w:rsidRPr="002C7A20">
        <w:rPr>
          <w:sz w:val="26"/>
          <w:szCs w:val="26"/>
          <w:rtl/>
          <w:lang w:val="en-US" w:bidi="ar-SA"/>
        </w:rPr>
        <w:t>متعدد الأطراف.</w:t>
      </w:r>
    </w:p>
    <w:p w:rsidR="00347954" w:rsidRPr="002C7A20" w:rsidRDefault="00347954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تتألف ميزانية الوحدة </w:t>
      </w:r>
      <w:r w:rsidR="00B01CAA" w:rsidRPr="002C7A20">
        <w:rPr>
          <w:rFonts w:hint="cs"/>
          <w:sz w:val="26"/>
          <w:szCs w:val="26"/>
          <w:rtl/>
          <w:lang w:val="en-US" w:bidi="ar-SA"/>
        </w:rPr>
        <w:t>الأساسية</w:t>
      </w:r>
      <w:r w:rsidRPr="002C7A20">
        <w:rPr>
          <w:sz w:val="26"/>
          <w:szCs w:val="26"/>
          <w:rtl/>
          <w:lang w:val="en-US" w:bidi="ar-SA"/>
        </w:rPr>
        <w:t xml:space="preserve"> المقترحة لبرنامج </w:t>
      </w:r>
      <w:r w:rsidR="00B01CAA" w:rsidRPr="002C7A20">
        <w:rPr>
          <w:rFonts w:hint="cs"/>
          <w:sz w:val="26"/>
          <w:szCs w:val="26"/>
          <w:rtl/>
          <w:lang w:val="en-US" w:bidi="ar-SA"/>
        </w:rPr>
        <w:t>الأمم</w:t>
      </w:r>
      <w:r w:rsidRPr="002C7A20">
        <w:rPr>
          <w:sz w:val="26"/>
          <w:szCs w:val="26"/>
          <w:rtl/>
          <w:lang w:val="en-US" w:bidi="ar-SA"/>
        </w:rPr>
        <w:t xml:space="preserve"> المتحدة </w:t>
      </w:r>
      <w:r w:rsidR="00B01CAA" w:rsidRPr="002C7A20">
        <w:rPr>
          <w:rFonts w:hint="cs"/>
          <w:sz w:val="26"/>
          <w:szCs w:val="26"/>
          <w:rtl/>
          <w:lang w:val="en-US" w:bidi="ar-SA"/>
        </w:rPr>
        <w:t>الإنمائي</w:t>
      </w:r>
      <w:r w:rsidRPr="002C7A20">
        <w:rPr>
          <w:sz w:val="26"/>
          <w:szCs w:val="26"/>
          <w:rtl/>
          <w:lang w:val="en-US" w:bidi="ar-SA"/>
        </w:rPr>
        <w:t xml:space="preserve"> لعام ٢٠٢١ مما يلي:</w:t>
      </w:r>
    </w:p>
    <w:p w:rsidR="00347954" w:rsidRPr="002C7A20" w:rsidRDefault="00347954" w:rsidP="00472B66">
      <w:pPr>
        <w:pStyle w:val="ListParagraph"/>
        <w:numPr>
          <w:ilvl w:val="0"/>
          <w:numId w:val="7"/>
        </w:numPr>
        <w:bidi/>
        <w:ind w:left="1080" w:hanging="540"/>
        <w:rPr>
          <w:sz w:val="26"/>
          <w:szCs w:val="26"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روات</w:t>
      </w:r>
      <w:r w:rsidR="003C0ECD" w:rsidRPr="002C7A20">
        <w:rPr>
          <w:sz w:val="26"/>
          <w:szCs w:val="26"/>
          <w:rtl/>
          <w:lang w:val="en-US" w:bidi="ar-SA"/>
        </w:rPr>
        <w:t>ب الموظفين</w:t>
      </w:r>
      <w:r w:rsidRPr="002C7A20">
        <w:rPr>
          <w:sz w:val="26"/>
          <w:szCs w:val="26"/>
          <w:rtl/>
          <w:lang w:val="en-US" w:bidi="ar-SA"/>
        </w:rPr>
        <w:t xml:space="preserve">، وتمثل 81.0 في المائة من إجمالي الميزانية. </w:t>
      </w:r>
      <w:r w:rsidR="003C0ECD" w:rsidRPr="002C7A20">
        <w:rPr>
          <w:rFonts w:hint="cs"/>
          <w:sz w:val="26"/>
          <w:szCs w:val="26"/>
          <w:rtl/>
          <w:lang w:val="en-US" w:bidi="ar-SA"/>
        </w:rPr>
        <w:t>ومازالت</w:t>
      </w:r>
      <w:r w:rsidRPr="002C7A20">
        <w:rPr>
          <w:sz w:val="26"/>
          <w:szCs w:val="26"/>
          <w:rtl/>
          <w:lang w:val="en-US" w:bidi="ar-SA"/>
        </w:rPr>
        <w:t xml:space="preserve"> الرواتب ف</w:t>
      </w:r>
      <w:r w:rsidR="003C0ECD" w:rsidRPr="002C7A20">
        <w:rPr>
          <w:sz w:val="26"/>
          <w:szCs w:val="26"/>
          <w:rtl/>
          <w:lang w:val="en-US" w:bidi="ar-SA"/>
        </w:rPr>
        <w:t>ي نفس نطاق السنوات الست الماضية</w:t>
      </w:r>
      <w:r w:rsidRPr="002C7A20">
        <w:rPr>
          <w:sz w:val="26"/>
          <w:szCs w:val="26"/>
          <w:rtl/>
          <w:lang w:val="en-US" w:bidi="ar-SA"/>
        </w:rPr>
        <w:t>؛</w:t>
      </w:r>
    </w:p>
    <w:p w:rsidR="002933D8" w:rsidRPr="002C7A20" w:rsidRDefault="002933D8" w:rsidP="002933D8">
      <w:pPr>
        <w:pStyle w:val="ListParagraph"/>
        <w:bidi/>
        <w:ind w:left="1080"/>
        <w:rPr>
          <w:sz w:val="26"/>
          <w:szCs w:val="26"/>
          <w:rtl/>
          <w:lang w:val="en-US" w:bidi="ar-SA"/>
        </w:rPr>
      </w:pPr>
    </w:p>
    <w:p w:rsidR="00347954" w:rsidRPr="002C7A20" w:rsidRDefault="00362885" w:rsidP="00472B66">
      <w:pPr>
        <w:pStyle w:val="ListParagraph"/>
        <w:numPr>
          <w:ilvl w:val="0"/>
          <w:numId w:val="7"/>
        </w:numPr>
        <w:bidi/>
        <w:ind w:left="1080" w:hanging="540"/>
        <w:rPr>
          <w:sz w:val="26"/>
          <w:szCs w:val="26"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 xml:space="preserve">يمثل سداد تكاليف الخدمات المركزية 8.0 في المائة من إجمالي الميزانية.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>المبلغ المدرج في الميزانية (350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,</w:t>
      </w:r>
      <w:r w:rsidR="00347954" w:rsidRPr="002C7A20">
        <w:rPr>
          <w:sz w:val="26"/>
          <w:szCs w:val="26"/>
          <w:rtl/>
          <w:lang w:val="en-US" w:bidi="ar-SA"/>
        </w:rPr>
        <w:t>000 دولار أمريكي) أعلى من التكلفة الفعلية في عام 2019 (240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,</w:t>
      </w:r>
      <w:r w:rsidR="00C6195E" w:rsidRPr="002C7A20">
        <w:rPr>
          <w:sz w:val="26"/>
          <w:szCs w:val="26"/>
          <w:rtl/>
          <w:lang w:val="en-US" w:bidi="ar-SA"/>
        </w:rPr>
        <w:t>.968 دولار أمريكي)</w:t>
      </w:r>
      <w:r w:rsidR="00347954" w:rsidRPr="002C7A20">
        <w:rPr>
          <w:sz w:val="26"/>
          <w:szCs w:val="26"/>
          <w:rtl/>
          <w:lang w:val="en-US" w:bidi="ar-SA"/>
        </w:rPr>
        <w:t xml:space="preserve">؛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 xml:space="preserve">أوضح برنامج الأمم المتحدة الإنمائي أن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 xml:space="preserve">سبب </w:t>
      </w:r>
      <w:r w:rsidR="00347954" w:rsidRPr="002C7A20">
        <w:rPr>
          <w:sz w:val="26"/>
          <w:szCs w:val="26"/>
          <w:rtl/>
          <w:lang w:val="en-US" w:bidi="ar-SA"/>
        </w:rPr>
        <w:t xml:space="preserve">الانخفاض في المبلغ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المخصص</w:t>
      </w:r>
      <w:r w:rsidR="00347954" w:rsidRPr="002C7A20">
        <w:rPr>
          <w:sz w:val="26"/>
          <w:szCs w:val="26"/>
          <w:rtl/>
          <w:lang w:val="en-US" w:bidi="ar-SA"/>
        </w:rPr>
        <w:t xml:space="preserve"> في الميز</w:t>
      </w:r>
      <w:r w:rsidR="00347954" w:rsidRPr="002C7A20">
        <w:rPr>
          <w:rFonts w:hint="eastAsia"/>
          <w:sz w:val="26"/>
          <w:szCs w:val="26"/>
          <w:rtl/>
          <w:lang w:val="en-US" w:bidi="ar-SA"/>
        </w:rPr>
        <w:t>انية</w:t>
      </w:r>
      <w:r w:rsidR="00347954" w:rsidRPr="002C7A20">
        <w:rPr>
          <w:sz w:val="26"/>
          <w:szCs w:val="26"/>
          <w:rtl/>
          <w:lang w:val="en-US" w:bidi="ar-SA"/>
        </w:rPr>
        <w:t xml:space="preserve"> لعام 2019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يعزى</w:t>
      </w:r>
      <w:r w:rsidR="00347954" w:rsidRPr="002C7A20">
        <w:rPr>
          <w:sz w:val="26"/>
          <w:szCs w:val="26"/>
          <w:rtl/>
          <w:lang w:val="en-US" w:bidi="ar-SA"/>
        </w:rPr>
        <w:t xml:space="preserve"> إلى التأخير في الموافقة على شرائح المرحلة الثانية من خطة إدارة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 xml:space="preserve">إزالة المواد الهيدروكلوروفلوروكربونية </w:t>
      </w:r>
      <w:r w:rsidR="00C6195E" w:rsidRPr="002C7A20">
        <w:rPr>
          <w:sz w:val="26"/>
          <w:szCs w:val="26"/>
          <w:rtl/>
          <w:lang w:val="en-US" w:bidi="ar-SA"/>
        </w:rPr>
        <w:t xml:space="preserve">للصين، </w:t>
      </w:r>
      <w:r w:rsidR="00347954" w:rsidRPr="002C7A20">
        <w:rPr>
          <w:sz w:val="26"/>
          <w:szCs w:val="26"/>
          <w:rtl/>
          <w:lang w:val="en-US" w:bidi="ar-SA"/>
        </w:rPr>
        <w:t>الت</w:t>
      </w:r>
      <w:r w:rsidR="00C6195E" w:rsidRPr="002C7A20">
        <w:rPr>
          <w:sz w:val="26"/>
          <w:szCs w:val="26"/>
          <w:rtl/>
          <w:lang w:val="en-US" w:bidi="ar-SA"/>
        </w:rPr>
        <w:t>ي تمت الموافق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ة</w:t>
      </w:r>
      <w:r w:rsidR="00D45968" w:rsidRPr="002C7A20">
        <w:rPr>
          <w:sz w:val="26"/>
          <w:szCs w:val="26"/>
          <w:rtl/>
          <w:lang w:val="en-US" w:bidi="ar-SA"/>
        </w:rPr>
        <w:t xml:space="preserve"> عليها فيما بين دورات </w:t>
      </w:r>
      <w:r w:rsidR="00D45968" w:rsidRPr="002C7A20">
        <w:rPr>
          <w:rFonts w:hint="cs"/>
          <w:sz w:val="26"/>
          <w:szCs w:val="26"/>
          <w:rtl/>
          <w:lang w:val="en-US" w:bidi="ar-SA"/>
        </w:rPr>
        <w:t>ا</w:t>
      </w:r>
      <w:r w:rsidR="00C6195E" w:rsidRPr="002C7A20">
        <w:rPr>
          <w:sz w:val="26"/>
          <w:szCs w:val="26"/>
          <w:rtl/>
          <w:lang w:val="en-US" w:bidi="ar-SA"/>
        </w:rPr>
        <w:t>لاجتماع الخامس والثمانين</w:t>
      </w:r>
      <w:r w:rsidR="00347954" w:rsidRPr="002C7A20">
        <w:rPr>
          <w:sz w:val="26"/>
          <w:szCs w:val="26"/>
          <w:rtl/>
          <w:lang w:val="en-US" w:bidi="ar-SA"/>
        </w:rPr>
        <w:t>، والتأثير على تنفيذ الأنشطة في عام 2020 ب</w:t>
      </w:r>
      <w:r w:rsidR="00347954" w:rsidRPr="002C7A20">
        <w:rPr>
          <w:rFonts w:hint="eastAsia"/>
          <w:sz w:val="26"/>
          <w:szCs w:val="26"/>
          <w:rtl/>
          <w:lang w:val="en-US" w:bidi="ar-SA"/>
        </w:rPr>
        <w:t>سبب</w:t>
      </w:r>
      <w:r w:rsidR="00347954" w:rsidRPr="002C7A20">
        <w:rPr>
          <w:sz w:val="26"/>
          <w:szCs w:val="26"/>
          <w:rtl/>
          <w:lang w:val="en-US" w:bidi="ar-SA"/>
        </w:rPr>
        <w:t xml:space="preserve"> جائحة</w:t>
      </w:r>
      <w:r w:rsidR="00C6195E" w:rsidRPr="002C7A20">
        <w:rPr>
          <w:rFonts w:hint="cs"/>
          <w:sz w:val="26"/>
          <w:szCs w:val="26"/>
          <w:rtl/>
          <w:lang w:val="en-US" w:bidi="ar-SA"/>
        </w:rPr>
        <w:t xml:space="preserve"> كوفيد-19</w:t>
      </w:r>
      <w:r w:rsidR="00347954" w:rsidRPr="002C7A20">
        <w:rPr>
          <w:sz w:val="26"/>
          <w:szCs w:val="26"/>
          <w:rtl/>
          <w:lang w:val="en-US" w:bidi="ar-SA"/>
        </w:rPr>
        <w:t xml:space="preserve">.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>أخذت هذه الحقائق في الاعتبار عند تقدير المبل</w:t>
      </w:r>
      <w:r w:rsidR="00C6195E" w:rsidRPr="002C7A20">
        <w:rPr>
          <w:sz w:val="26"/>
          <w:szCs w:val="26"/>
          <w:rtl/>
          <w:lang w:val="en-US" w:bidi="ar-SA"/>
        </w:rPr>
        <w:t xml:space="preserve">غ </w:t>
      </w:r>
      <w:r w:rsidR="00C6195E" w:rsidRPr="002C7A20">
        <w:rPr>
          <w:rFonts w:hint="cs"/>
          <w:sz w:val="26"/>
          <w:szCs w:val="26"/>
          <w:rtl/>
          <w:lang w:val="en-US" w:bidi="ar-SA"/>
        </w:rPr>
        <w:t>المخصص</w:t>
      </w:r>
      <w:r w:rsidR="00C6195E" w:rsidRPr="002C7A20">
        <w:rPr>
          <w:sz w:val="26"/>
          <w:szCs w:val="26"/>
          <w:rtl/>
          <w:lang w:val="en-US" w:bidi="ar-SA"/>
        </w:rPr>
        <w:t xml:space="preserve"> في الميزانية لعام 2021</w:t>
      </w:r>
      <w:r w:rsidR="00347954" w:rsidRPr="002C7A20">
        <w:rPr>
          <w:sz w:val="26"/>
          <w:szCs w:val="26"/>
          <w:rtl/>
          <w:lang w:val="en-US" w:bidi="ar-SA"/>
        </w:rPr>
        <w:t>؛</w:t>
      </w:r>
    </w:p>
    <w:p w:rsidR="0038182C" w:rsidRPr="002C7A20" w:rsidRDefault="0038182C" w:rsidP="00362885">
      <w:pPr>
        <w:pStyle w:val="ListParagraph"/>
        <w:bidi/>
        <w:ind w:left="1080" w:hanging="540"/>
        <w:rPr>
          <w:sz w:val="26"/>
          <w:szCs w:val="26"/>
          <w:lang w:val="en-US" w:bidi="ar-SA"/>
        </w:rPr>
      </w:pPr>
    </w:p>
    <w:p w:rsidR="00347954" w:rsidRPr="002C7A20" w:rsidRDefault="00362885" w:rsidP="00472B66">
      <w:pPr>
        <w:pStyle w:val="ListParagraph"/>
        <w:numPr>
          <w:ilvl w:val="0"/>
          <w:numId w:val="8"/>
        </w:numPr>
        <w:bidi/>
        <w:ind w:left="1080" w:hanging="540"/>
        <w:rPr>
          <w:sz w:val="26"/>
          <w:szCs w:val="26"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>يمثل تأجير الأماكن 5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347954" w:rsidRPr="002C7A20">
        <w:rPr>
          <w:sz w:val="26"/>
          <w:szCs w:val="26"/>
          <w:rtl/>
          <w:lang w:val="en-US" w:bidi="ar-SA"/>
        </w:rPr>
        <w:t xml:space="preserve">4 في المائة من الميزانية الإجمالية. </w:t>
      </w:r>
      <w:r w:rsidR="00D45968"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 xml:space="preserve">تُدرج تكاليف </w:t>
      </w:r>
      <w:r w:rsidRPr="002C7A20">
        <w:rPr>
          <w:rFonts w:hint="cs"/>
          <w:sz w:val="26"/>
          <w:szCs w:val="26"/>
          <w:rtl/>
          <w:lang w:val="en-US" w:bidi="ar-SA"/>
        </w:rPr>
        <w:t>المكان</w:t>
      </w:r>
      <w:r w:rsidR="00347954" w:rsidRPr="002C7A20">
        <w:rPr>
          <w:sz w:val="26"/>
          <w:szCs w:val="26"/>
          <w:rtl/>
          <w:lang w:val="en-US" w:bidi="ar-SA"/>
        </w:rPr>
        <w:t xml:space="preserve"> والخدمات التعاقدية في الميزانية بمستويات أعل</w:t>
      </w:r>
      <w:r w:rsidRPr="002C7A20">
        <w:rPr>
          <w:sz w:val="26"/>
          <w:szCs w:val="26"/>
          <w:rtl/>
          <w:lang w:val="en-US" w:bidi="ar-SA"/>
        </w:rPr>
        <w:t xml:space="preserve">ى من التكاليف </w:t>
      </w:r>
      <w:r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Pr="002C7A20">
        <w:rPr>
          <w:sz w:val="26"/>
          <w:szCs w:val="26"/>
          <w:rtl/>
          <w:lang w:val="en-US" w:bidi="ar-SA"/>
        </w:rPr>
        <w:t xml:space="preserve"> لعام 2020</w:t>
      </w:r>
      <w:r w:rsidR="00347954" w:rsidRPr="002C7A20">
        <w:rPr>
          <w:sz w:val="26"/>
          <w:szCs w:val="26"/>
          <w:rtl/>
          <w:lang w:val="en-US" w:bidi="ar-SA"/>
        </w:rPr>
        <w:t xml:space="preserve">، وتُدرج تكاليف المعدات في الميزانية بمستويات أقل من التكاليف </w:t>
      </w:r>
      <w:r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="00347954" w:rsidRPr="002C7A20">
        <w:rPr>
          <w:sz w:val="26"/>
          <w:szCs w:val="26"/>
          <w:rtl/>
          <w:lang w:val="en-US" w:bidi="ar-SA"/>
        </w:rPr>
        <w:t xml:space="preserve"> لعام 2020. </w:t>
      </w:r>
      <w:r w:rsidR="00D45968" w:rsidRPr="002C7A20">
        <w:rPr>
          <w:rFonts w:hint="cs"/>
          <w:sz w:val="26"/>
          <w:szCs w:val="26"/>
          <w:rtl/>
          <w:lang w:val="en-US" w:bidi="ar-SA"/>
        </w:rPr>
        <w:t>وأفاد</w:t>
      </w:r>
      <w:r w:rsidR="00347954" w:rsidRPr="002C7A20">
        <w:rPr>
          <w:sz w:val="26"/>
          <w:szCs w:val="26"/>
          <w:rtl/>
          <w:lang w:val="en-US" w:bidi="ar-SA"/>
        </w:rPr>
        <w:t xml:space="preserve"> برنامج الأم</w:t>
      </w:r>
      <w:r w:rsidR="00347954" w:rsidRPr="002C7A20">
        <w:rPr>
          <w:rFonts w:hint="eastAsia"/>
          <w:sz w:val="26"/>
          <w:szCs w:val="26"/>
          <w:rtl/>
          <w:lang w:val="en-US" w:bidi="ar-SA"/>
        </w:rPr>
        <w:t>م</w:t>
      </w:r>
      <w:r w:rsidR="00347954" w:rsidRPr="002C7A20">
        <w:rPr>
          <w:sz w:val="26"/>
          <w:szCs w:val="26"/>
          <w:rtl/>
          <w:lang w:val="en-US" w:bidi="ar-SA"/>
        </w:rPr>
        <w:t xml:space="preserve"> المتحدة الإنمائي </w:t>
      </w:r>
      <w:r w:rsidR="00D45968" w:rsidRPr="002C7A20">
        <w:rPr>
          <w:rFonts w:hint="cs"/>
          <w:sz w:val="26"/>
          <w:szCs w:val="26"/>
          <w:rtl/>
          <w:lang w:val="en-US" w:bidi="ar-SA"/>
        </w:rPr>
        <w:t>ب</w:t>
      </w:r>
      <w:r w:rsidR="00347954" w:rsidRPr="002C7A20">
        <w:rPr>
          <w:sz w:val="26"/>
          <w:szCs w:val="26"/>
          <w:rtl/>
          <w:lang w:val="en-US" w:bidi="ar-SA"/>
        </w:rPr>
        <w:t>أن المش</w:t>
      </w:r>
      <w:r w:rsidRPr="002C7A20">
        <w:rPr>
          <w:sz w:val="26"/>
          <w:szCs w:val="26"/>
          <w:rtl/>
          <w:lang w:val="en-US" w:bidi="ar-SA"/>
        </w:rPr>
        <w:t xml:space="preserve">اورات جارية داخل المنظمة بشأن </w:t>
      </w:r>
      <w:r w:rsidR="00347954" w:rsidRPr="002C7A20">
        <w:rPr>
          <w:sz w:val="26"/>
          <w:szCs w:val="26"/>
          <w:rtl/>
          <w:lang w:val="en-US" w:bidi="ar-SA"/>
        </w:rPr>
        <w:t xml:space="preserve">أثر جائحة </w:t>
      </w:r>
      <w:r w:rsidRPr="002C7A20">
        <w:rPr>
          <w:rFonts w:hint="cs"/>
          <w:sz w:val="26"/>
          <w:szCs w:val="26"/>
          <w:rtl/>
          <w:lang w:val="en-US" w:bidi="ar-SA"/>
        </w:rPr>
        <w:t xml:space="preserve">كوفيد-19 </w:t>
      </w:r>
      <w:r w:rsidR="002B6EAA" w:rsidRPr="002C7A20">
        <w:rPr>
          <w:sz w:val="26"/>
          <w:szCs w:val="26"/>
          <w:rtl/>
          <w:lang w:val="en-US" w:bidi="ar-SA"/>
        </w:rPr>
        <w:t>المتوسط</w:t>
      </w:r>
      <w:r w:rsidR="002B6EAA" w:rsidRPr="002C7A20">
        <w:rPr>
          <w:rFonts w:hint="cs"/>
          <w:sz w:val="26"/>
          <w:szCs w:val="26"/>
          <w:rtl/>
          <w:lang w:val="en-US" w:bidi="ar-SA"/>
        </w:rPr>
        <w:t xml:space="preserve"> الأجل</w:t>
      </w:r>
      <w:r w:rsidR="002B6EAA" w:rsidRPr="002C7A20">
        <w:rPr>
          <w:sz w:val="26"/>
          <w:szCs w:val="26"/>
          <w:rtl/>
          <w:lang w:val="en-US" w:bidi="ar-SA"/>
        </w:rPr>
        <w:t xml:space="preserve"> ​​والطويل الأجل</w:t>
      </w:r>
      <w:r w:rsidR="0038182C" w:rsidRPr="002C7A20">
        <w:rPr>
          <w:sz w:val="26"/>
          <w:szCs w:val="26"/>
          <w:rtl/>
          <w:lang w:val="en-US" w:bidi="ar-SA"/>
        </w:rPr>
        <w:t>؛</w:t>
      </w:r>
    </w:p>
    <w:p w:rsidR="0038182C" w:rsidRPr="002C7A20" w:rsidRDefault="0038182C" w:rsidP="00362885">
      <w:pPr>
        <w:pStyle w:val="ListParagraph"/>
        <w:bidi/>
        <w:ind w:left="1080" w:hanging="540"/>
        <w:rPr>
          <w:sz w:val="26"/>
          <w:szCs w:val="26"/>
          <w:lang w:val="en-US" w:bidi="ar-SA"/>
        </w:rPr>
      </w:pPr>
    </w:p>
    <w:p w:rsidR="00347954" w:rsidRPr="002C7A20" w:rsidRDefault="00362885" w:rsidP="00472B66">
      <w:pPr>
        <w:pStyle w:val="ListParagraph"/>
        <w:numPr>
          <w:ilvl w:val="0"/>
          <w:numId w:val="9"/>
        </w:numPr>
        <w:bidi/>
        <w:ind w:left="1080" w:hanging="540"/>
        <w:rPr>
          <w:sz w:val="26"/>
          <w:szCs w:val="26"/>
          <w:rtl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347954" w:rsidRPr="002C7A20">
        <w:rPr>
          <w:sz w:val="26"/>
          <w:szCs w:val="26"/>
          <w:rtl/>
          <w:lang w:val="en-US" w:bidi="ar-SA"/>
        </w:rPr>
        <w:t>يمثل السفر 4</w:t>
      </w:r>
      <w:r w:rsidR="002B6EAA" w:rsidRPr="002C7A20">
        <w:rPr>
          <w:rFonts w:hint="cs"/>
          <w:sz w:val="26"/>
          <w:szCs w:val="26"/>
          <w:rtl/>
          <w:lang w:val="en-US" w:bidi="ar-SA"/>
        </w:rPr>
        <w:t>,</w:t>
      </w:r>
      <w:r w:rsidR="00347954" w:rsidRPr="002C7A20">
        <w:rPr>
          <w:sz w:val="26"/>
          <w:szCs w:val="26"/>
          <w:rtl/>
          <w:lang w:val="en-US" w:bidi="ar-SA"/>
        </w:rPr>
        <w:t xml:space="preserve">8 في المائة من إجمالي الميزانية. </w:t>
      </w:r>
      <w:r w:rsidR="002B6EAA" w:rsidRPr="002C7A20">
        <w:rPr>
          <w:rFonts w:hint="cs"/>
          <w:sz w:val="26"/>
          <w:szCs w:val="26"/>
          <w:rtl/>
          <w:lang w:val="en-US" w:bidi="ar-SA"/>
        </w:rPr>
        <w:t xml:space="preserve">وتمثل </w:t>
      </w:r>
      <w:r w:rsidR="00347954" w:rsidRPr="002C7A20">
        <w:rPr>
          <w:sz w:val="26"/>
          <w:szCs w:val="26"/>
          <w:rtl/>
          <w:lang w:val="en-US" w:bidi="ar-SA"/>
        </w:rPr>
        <w:t>ميزانية السفر المقترحة (150</w:t>
      </w:r>
      <w:r w:rsidR="002B6EAA" w:rsidRPr="002C7A20">
        <w:rPr>
          <w:rFonts w:hint="cs"/>
          <w:sz w:val="26"/>
          <w:szCs w:val="26"/>
          <w:rtl/>
          <w:lang w:val="en-US" w:bidi="ar-SA"/>
        </w:rPr>
        <w:t>,</w:t>
      </w:r>
      <w:r w:rsidR="00347954" w:rsidRPr="002C7A20">
        <w:rPr>
          <w:sz w:val="26"/>
          <w:szCs w:val="26"/>
          <w:rtl/>
          <w:lang w:val="en-US" w:bidi="ar-SA"/>
        </w:rPr>
        <w:t>000 دولار أمريكي) انخفاضًا بنسبة 18.0٪ عن التكاليف الفعلية لعام 2019 (182</w:t>
      </w:r>
      <w:r w:rsidR="002B6EAA" w:rsidRPr="002C7A20">
        <w:rPr>
          <w:rFonts w:hint="cs"/>
          <w:sz w:val="26"/>
          <w:szCs w:val="26"/>
          <w:rtl/>
          <w:lang w:val="en-US" w:bidi="ar-SA"/>
        </w:rPr>
        <w:t>,</w:t>
      </w:r>
      <w:r w:rsidR="002B6EAA" w:rsidRPr="002C7A20">
        <w:rPr>
          <w:sz w:val="26"/>
          <w:szCs w:val="26"/>
          <w:rtl/>
          <w:lang w:val="en-US" w:bidi="ar-SA"/>
        </w:rPr>
        <w:t>129 دولار أمريكي</w:t>
      </w:r>
      <w:r w:rsidR="00347954" w:rsidRPr="002C7A20">
        <w:rPr>
          <w:sz w:val="26"/>
          <w:szCs w:val="26"/>
          <w:rtl/>
          <w:lang w:val="en-US" w:bidi="ar-SA"/>
        </w:rPr>
        <w:t>). وأشار برنامج الأمم المتحدة الإنمائي إلى أنه يواصل اتخاذ خطوات لتقليل تكاليف ا</w:t>
      </w:r>
      <w:r w:rsidR="00347954" w:rsidRPr="002C7A20">
        <w:rPr>
          <w:rFonts w:hint="eastAsia"/>
          <w:sz w:val="26"/>
          <w:szCs w:val="26"/>
          <w:rtl/>
          <w:lang w:val="en-US" w:bidi="ar-SA"/>
        </w:rPr>
        <w:t>لسفر</w:t>
      </w:r>
      <w:r w:rsidR="00347954" w:rsidRPr="002C7A20">
        <w:rPr>
          <w:sz w:val="26"/>
          <w:szCs w:val="26"/>
          <w:rtl/>
          <w:lang w:val="en-US" w:bidi="ar-SA"/>
        </w:rPr>
        <w:t xml:space="preserve"> وعدد المشارك</w:t>
      </w:r>
      <w:r w:rsidR="002B6EAA" w:rsidRPr="002C7A20">
        <w:rPr>
          <w:sz w:val="26"/>
          <w:szCs w:val="26"/>
          <w:rtl/>
          <w:lang w:val="en-US" w:bidi="ar-SA"/>
        </w:rPr>
        <w:t>ين / مدة المشاركة في الاجتماعات</w:t>
      </w:r>
      <w:r w:rsidR="00347954" w:rsidRPr="002C7A20">
        <w:rPr>
          <w:sz w:val="26"/>
          <w:szCs w:val="26"/>
          <w:rtl/>
          <w:lang w:val="en-US" w:bidi="ar-SA"/>
        </w:rPr>
        <w:t>، إلى أقصى حد ممكن.</w:t>
      </w:r>
    </w:p>
    <w:p w:rsidR="00E868E7" w:rsidRPr="002C7A20" w:rsidRDefault="00E868E7" w:rsidP="00E868E7">
      <w:pPr>
        <w:bidi/>
        <w:rPr>
          <w:sz w:val="26"/>
          <w:szCs w:val="26"/>
          <w:rtl/>
          <w:lang w:val="en-US" w:bidi="ar-SA"/>
        </w:rPr>
      </w:pPr>
    </w:p>
    <w:p w:rsidR="00E868E7" w:rsidRPr="002C7A20" w:rsidRDefault="00E868E7" w:rsidP="00E868E7">
      <w:pPr>
        <w:bidi/>
        <w:rPr>
          <w:sz w:val="26"/>
          <w:szCs w:val="26"/>
          <w:u w:val="single"/>
          <w:rtl/>
          <w:lang w:val="en-US" w:bidi="ar-SA"/>
        </w:rPr>
      </w:pPr>
      <w:r w:rsidRPr="002C7A20">
        <w:rPr>
          <w:sz w:val="26"/>
          <w:szCs w:val="26"/>
          <w:u w:val="single"/>
          <w:rtl/>
          <w:lang w:val="en-US" w:bidi="ar-SA"/>
        </w:rPr>
        <w:t>إجمالي التكاليف الإدارية</w:t>
      </w:r>
    </w:p>
    <w:p w:rsidR="00DD1600" w:rsidRPr="002C7A20" w:rsidRDefault="00DD1600" w:rsidP="00DD1600">
      <w:pPr>
        <w:bidi/>
        <w:rPr>
          <w:sz w:val="26"/>
          <w:szCs w:val="26"/>
          <w:lang w:val="en-US" w:bidi="ar-SA"/>
        </w:rPr>
      </w:pPr>
    </w:p>
    <w:p w:rsidR="00E868E7" w:rsidRPr="002C7A20" w:rsidRDefault="00E868E7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 يتوقع برنامج الأمم المتحدة الإنمائي أن تصل التكاليف الإدارية إلى 4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121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="00CD3D98" w:rsidRPr="002C7A20">
        <w:rPr>
          <w:sz w:val="26"/>
          <w:szCs w:val="26"/>
          <w:rtl/>
          <w:lang w:val="en-US" w:bidi="ar-SA"/>
        </w:rPr>
        <w:t>176 دولار أمريكي في عام 2021</w:t>
      </w:r>
      <w:r w:rsidRPr="002C7A20">
        <w:rPr>
          <w:sz w:val="26"/>
          <w:szCs w:val="26"/>
          <w:rtl/>
          <w:lang w:val="en-US" w:bidi="ar-SA"/>
        </w:rPr>
        <w:t xml:space="preserve">، وهي أعلى قليلاً من التكاليف 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Pr="002C7A20">
        <w:rPr>
          <w:sz w:val="26"/>
          <w:szCs w:val="26"/>
          <w:rtl/>
          <w:lang w:val="en-US" w:bidi="ar-SA"/>
        </w:rPr>
        <w:t xml:space="preserve"> لعام 2020 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وقدرها</w:t>
      </w:r>
      <w:r w:rsidRPr="002C7A20">
        <w:rPr>
          <w:sz w:val="26"/>
          <w:szCs w:val="26"/>
          <w:rtl/>
          <w:lang w:val="en-US" w:bidi="ar-SA"/>
        </w:rPr>
        <w:t xml:space="preserve"> 3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894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597 دولار أمريكي.</w:t>
      </w:r>
    </w:p>
    <w:p w:rsidR="001D13F4" w:rsidRPr="002C7A20" w:rsidRDefault="001D13F4" w:rsidP="001D13F4">
      <w:pPr>
        <w:bidi/>
        <w:rPr>
          <w:sz w:val="26"/>
          <w:szCs w:val="26"/>
          <w:lang w:val="en-US" w:bidi="ar-SA"/>
        </w:rPr>
      </w:pPr>
    </w:p>
    <w:p w:rsidR="00E868E7" w:rsidRPr="002C7A20" w:rsidRDefault="00E868E7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من المتوقع أن يكون مستوى التمويل لسداد تكاليف المكاتب القطرية والتنفيذ الوطني على نفس مستوى التكاليف 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Pr="002C7A20">
        <w:rPr>
          <w:sz w:val="26"/>
          <w:szCs w:val="26"/>
          <w:rtl/>
          <w:lang w:val="en-US" w:bidi="ar-SA"/>
        </w:rPr>
        <w:t xml:space="preserve"> في عام 2020 (742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500 دولار أمريكي). وهذا أعلى من التكاليف الفعلية لعام 2019 (488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="00CD3D98" w:rsidRPr="002C7A20">
        <w:rPr>
          <w:sz w:val="26"/>
          <w:szCs w:val="26"/>
          <w:rtl/>
          <w:lang w:val="en-US" w:bidi="ar-SA"/>
        </w:rPr>
        <w:t>288 دولار أمريكي</w:t>
      </w:r>
      <w:r w:rsidRPr="002C7A20">
        <w:rPr>
          <w:sz w:val="26"/>
          <w:szCs w:val="26"/>
          <w:rtl/>
          <w:lang w:val="en-US" w:bidi="ar-SA"/>
        </w:rPr>
        <w:t>) ولكنه أقل من نطاق التكاليف بين عامي 2011 و 2018 (2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442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="00CD3D98" w:rsidRPr="002C7A20">
        <w:rPr>
          <w:sz w:val="26"/>
          <w:szCs w:val="26"/>
          <w:rtl/>
          <w:lang w:val="en-US" w:bidi="ar-SA"/>
        </w:rPr>
        <w:t>896 دولار أمريكي</w:t>
      </w:r>
      <w:r w:rsidRPr="002C7A20">
        <w:rPr>
          <w:sz w:val="26"/>
          <w:szCs w:val="26"/>
          <w:rtl/>
          <w:lang w:val="en-US" w:bidi="ar-SA"/>
        </w:rPr>
        <w:t xml:space="preserve"> في عام 2013 إلى 1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472</w:t>
      </w:r>
      <w:r w:rsidR="00CD3D98" w:rsidRPr="002C7A20">
        <w:rPr>
          <w:rFonts w:hint="cs"/>
          <w:sz w:val="26"/>
          <w:szCs w:val="26"/>
          <w:rtl/>
          <w:lang w:val="en-US" w:bidi="ar-SA"/>
        </w:rPr>
        <w:t>,</w:t>
      </w:r>
      <w:r w:rsidR="00CD3D98" w:rsidRPr="002C7A20">
        <w:rPr>
          <w:sz w:val="26"/>
          <w:szCs w:val="26"/>
          <w:rtl/>
          <w:lang w:val="en-US" w:bidi="ar-SA"/>
        </w:rPr>
        <w:t>814 دولار أمريكي</w:t>
      </w:r>
      <w:r w:rsidRPr="002C7A20">
        <w:rPr>
          <w:sz w:val="26"/>
          <w:szCs w:val="26"/>
          <w:rtl/>
          <w:lang w:val="en-US" w:bidi="ar-SA"/>
        </w:rPr>
        <w:t xml:space="preserve"> في عام 2016).</w:t>
      </w:r>
    </w:p>
    <w:p w:rsidR="00E868E7" w:rsidRPr="002C7A20" w:rsidRDefault="00CD3D98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lastRenderedPageBreak/>
        <w:tab/>
      </w:r>
      <w:r w:rsidR="00E868E7" w:rsidRPr="002C7A20">
        <w:rPr>
          <w:sz w:val="26"/>
          <w:szCs w:val="26"/>
          <w:rtl/>
          <w:lang w:val="en-US" w:bidi="ar-SA"/>
        </w:rPr>
        <w:t xml:space="preserve">تشمل الموارد المتوقعة المتاحة لبرنامج الأمم المتحدة الإنمائي للتكاليف الإدارية تكاليف الوحدة الأساسية وتكاليف دعم الوكالة بالإضافة إلى أي رصيد في الإيرادات للتكاليف الإدارية لم يُستخدم من قبل.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ل</w:t>
      </w:r>
      <w:r w:rsidRPr="002C7A20">
        <w:rPr>
          <w:rFonts w:hint="cs"/>
          <w:sz w:val="26"/>
          <w:szCs w:val="26"/>
          <w:rtl/>
          <w:lang w:val="en-US" w:bidi="ar-SA"/>
        </w:rPr>
        <w:t>ن</w:t>
      </w:r>
      <w:r w:rsidR="00E868E7" w:rsidRPr="002C7A20">
        <w:rPr>
          <w:sz w:val="26"/>
          <w:szCs w:val="26"/>
          <w:rtl/>
          <w:lang w:val="en-US" w:bidi="ar-SA"/>
        </w:rPr>
        <w:t xml:space="preserve"> تتاح تكاليف دعم الوكالة لبرنامج الأمم المتحدة الإنمائي إلا بعد صرف تكاليف المشروع المعتمدة.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E868E7" w:rsidRPr="002C7A20">
        <w:rPr>
          <w:sz w:val="26"/>
          <w:szCs w:val="26"/>
          <w:rtl/>
          <w:lang w:val="en-US" w:bidi="ar-SA"/>
        </w:rPr>
        <w:t>يقدم الجدول 2 هذه المعلومات من</w:t>
      </w:r>
      <w:r w:rsidRPr="002C7A20">
        <w:rPr>
          <w:rFonts w:hint="cs"/>
          <w:sz w:val="26"/>
          <w:szCs w:val="26"/>
          <w:rtl/>
          <w:lang w:val="en-US" w:bidi="ar-SA"/>
        </w:rPr>
        <w:t xml:space="preserve"> عام</w:t>
      </w:r>
      <w:r w:rsidR="00E868E7" w:rsidRPr="002C7A20">
        <w:rPr>
          <w:sz w:val="26"/>
          <w:szCs w:val="26"/>
          <w:rtl/>
          <w:lang w:val="en-US" w:bidi="ar-SA"/>
        </w:rPr>
        <w:t xml:space="preserve"> 2017 إلى</w:t>
      </w:r>
      <w:r w:rsidRPr="002C7A20">
        <w:rPr>
          <w:rFonts w:hint="cs"/>
          <w:sz w:val="26"/>
          <w:szCs w:val="26"/>
          <w:rtl/>
          <w:lang w:val="en-US" w:bidi="ar-SA"/>
        </w:rPr>
        <w:t xml:space="preserve"> عام</w:t>
      </w:r>
      <w:r w:rsidR="00E868E7" w:rsidRPr="002C7A20">
        <w:rPr>
          <w:sz w:val="26"/>
          <w:szCs w:val="26"/>
          <w:rtl/>
          <w:lang w:val="en-US" w:bidi="ar-SA"/>
        </w:rPr>
        <w:t xml:space="preserve"> 2020.</w:t>
      </w:r>
    </w:p>
    <w:p w:rsidR="00CD3D98" w:rsidRPr="002C7A20" w:rsidRDefault="00CD3D98" w:rsidP="00CD3D98">
      <w:pPr>
        <w:bidi/>
        <w:rPr>
          <w:sz w:val="26"/>
          <w:szCs w:val="26"/>
          <w:lang w:val="en-US" w:bidi="ar-SA"/>
        </w:rPr>
      </w:pPr>
    </w:p>
    <w:p w:rsidR="00E868E7" w:rsidRPr="002C7A20" w:rsidRDefault="00CD3D98" w:rsidP="00CD3D98">
      <w:pPr>
        <w:bidi/>
        <w:rPr>
          <w:b/>
          <w:bCs/>
          <w:sz w:val="26"/>
          <w:szCs w:val="26"/>
          <w:rtl/>
          <w:lang w:val="en-US" w:bidi="ar-SA"/>
        </w:rPr>
      </w:pPr>
      <w:r w:rsidRPr="002C7A20">
        <w:rPr>
          <w:b/>
          <w:bCs/>
          <w:sz w:val="26"/>
          <w:szCs w:val="26"/>
          <w:rtl/>
          <w:lang w:val="en-US" w:bidi="ar-SA"/>
        </w:rPr>
        <w:t>الجدول 2</w:t>
      </w:r>
      <w:r w:rsidRPr="002C7A20">
        <w:rPr>
          <w:rFonts w:hint="cs"/>
          <w:b/>
          <w:bCs/>
          <w:sz w:val="26"/>
          <w:szCs w:val="26"/>
          <w:rtl/>
          <w:lang w:val="en-US" w:bidi="ar-SA"/>
        </w:rPr>
        <w:t xml:space="preserve">- </w:t>
      </w:r>
      <w:r w:rsidR="00E868E7" w:rsidRPr="002C7A20">
        <w:rPr>
          <w:b/>
          <w:bCs/>
          <w:sz w:val="26"/>
          <w:szCs w:val="26"/>
          <w:rtl/>
          <w:lang w:val="en-US" w:bidi="ar-SA"/>
        </w:rPr>
        <w:t xml:space="preserve"> تقييم مدى توافر الدخل للتكاليف الإدارية المستقبلية لبرنامج الأمم المتحدة الإنمائي (دولار أمريكي)</w:t>
      </w:r>
    </w:p>
    <w:tbl>
      <w:tblPr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4045"/>
        <w:gridCol w:w="1327"/>
        <w:gridCol w:w="1328"/>
        <w:gridCol w:w="1327"/>
        <w:gridCol w:w="1328"/>
      </w:tblGrid>
      <w:tr w:rsidR="00E868E7" w:rsidRPr="00E2441A" w:rsidTr="00CD3D98">
        <w:trPr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E7" w:rsidRPr="00BE0D11" w:rsidRDefault="00552EB0" w:rsidP="00552EB0">
            <w:pPr>
              <w:bidi/>
              <w:jc w:val="center"/>
              <w:rPr>
                <w:b/>
                <w:bCs/>
                <w:sz w:val="22"/>
                <w:szCs w:val="22"/>
                <w:lang w:val="en-CA" w:eastAsia="en-CA" w:bidi="ar-SA"/>
              </w:rPr>
            </w:pPr>
            <w:r w:rsidRPr="00BE0D11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E7" w:rsidRPr="00E2441A" w:rsidRDefault="00E868E7" w:rsidP="00892AC1">
            <w:pPr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E7" w:rsidRPr="00E2441A" w:rsidRDefault="00E868E7" w:rsidP="00892AC1">
            <w:pPr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E7" w:rsidRPr="00E2441A" w:rsidRDefault="00E868E7" w:rsidP="00892AC1">
            <w:pPr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E7" w:rsidRPr="00E2441A" w:rsidRDefault="00552EB0" w:rsidP="00552EB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2020*</w:t>
            </w:r>
          </w:p>
        </w:tc>
      </w:tr>
      <w:tr w:rsidR="00C07333" w:rsidRPr="00E2441A" w:rsidTr="00CD3D98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33" w:rsidRPr="00BE0D11" w:rsidRDefault="006D0AED" w:rsidP="006D0AED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BE0D11">
              <w:rPr>
                <w:rFonts w:hint="cs"/>
                <w:sz w:val="22"/>
                <w:szCs w:val="22"/>
                <w:rtl/>
                <w:lang w:val="en-US" w:eastAsia="en-CA" w:bidi="ar-SA"/>
              </w:rPr>
              <w:t xml:space="preserve">صافي </w:t>
            </w:r>
            <w:r w:rsidR="00C07333" w:rsidRPr="00BE0D11">
              <w:rPr>
                <w:rFonts w:hint="cs"/>
                <w:sz w:val="22"/>
                <w:szCs w:val="22"/>
                <w:rtl/>
                <w:lang w:val="en-US" w:eastAsia="en-CA" w:bidi="ar-SA"/>
              </w:rPr>
              <w:t>تكاليف دعم الوكالة بالإضافة إلى تكاليف الوحدة الأساسية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4,554,428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5,007,070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2,829,316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4,926,139</w:t>
            </w:r>
          </w:p>
        </w:tc>
      </w:tr>
      <w:tr w:rsidR="00C07333" w:rsidRPr="00E2441A" w:rsidTr="00CD3D98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33" w:rsidRPr="00BE0D11" w:rsidRDefault="00C07333" w:rsidP="006D0AED">
            <w:pPr>
              <w:bidi/>
              <w:ind w:right="-105"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BE0D11">
              <w:rPr>
                <w:rFonts w:hint="cs"/>
                <w:sz w:val="22"/>
                <w:szCs w:val="22"/>
                <w:rtl/>
                <w:lang w:val="en-US" w:eastAsia="en-CA" w:bidi="ar-SA"/>
              </w:rPr>
              <w:t xml:space="preserve">إجمالي التكاليف الإدارية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5,042,289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5,718,858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3,718,046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3,894,597</w:t>
            </w:r>
          </w:p>
        </w:tc>
      </w:tr>
      <w:tr w:rsidR="00C07333" w:rsidRPr="00E2441A" w:rsidTr="00CD3D98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33" w:rsidRPr="00BE0D11" w:rsidRDefault="00C07333" w:rsidP="00C07333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BE0D11">
              <w:rPr>
                <w:rFonts w:hint="cs"/>
                <w:sz w:val="22"/>
                <w:szCs w:val="22"/>
                <w:rtl/>
                <w:lang w:val="en-CA" w:eastAsia="en-CA"/>
              </w:rPr>
              <w:t>الرصيد السنوي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(487,862)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(711,788)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(888,730)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1,031,542</w:t>
            </w:r>
          </w:p>
        </w:tc>
      </w:tr>
      <w:tr w:rsidR="00C07333" w:rsidRPr="00E2441A" w:rsidTr="00CD3D98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33" w:rsidRPr="00BE0D11" w:rsidRDefault="00C07333" w:rsidP="00C07333">
            <w:pPr>
              <w:bidi/>
              <w:ind w:right="-105"/>
              <w:jc w:val="left"/>
              <w:rPr>
                <w:sz w:val="22"/>
                <w:szCs w:val="22"/>
                <w:lang w:val="en-CA" w:eastAsia="en-CA" w:bidi="ar-SA"/>
              </w:rPr>
            </w:pPr>
            <w:r w:rsidRPr="00BE0D11">
              <w:rPr>
                <w:rFonts w:hint="cs"/>
                <w:sz w:val="22"/>
                <w:szCs w:val="22"/>
                <w:rtl/>
                <w:lang w:val="en-CA" w:eastAsia="en-CA"/>
              </w:rPr>
              <w:t>الرصيد الجاري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359,584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(352,203)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(1,240,933)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C07333" w:rsidRPr="00E2441A" w:rsidRDefault="00C07333" w:rsidP="00C07333">
            <w:pPr>
              <w:keepNext/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(209,391)</w:t>
            </w:r>
          </w:p>
        </w:tc>
      </w:tr>
    </w:tbl>
    <w:p w:rsidR="00E868E7" w:rsidRPr="00A52AF5" w:rsidRDefault="00E868E7" w:rsidP="00C015C6">
      <w:pPr>
        <w:bidi/>
        <w:rPr>
          <w:sz w:val="20"/>
          <w:lang w:val="en-US" w:bidi="ar-SA"/>
        </w:rPr>
      </w:pPr>
      <w:r w:rsidRPr="00A52AF5">
        <w:rPr>
          <w:sz w:val="20"/>
          <w:rtl/>
          <w:lang w:val="en-US" w:bidi="ar-SA"/>
        </w:rPr>
        <w:t xml:space="preserve">* </w:t>
      </w:r>
      <w:r w:rsidR="00C015C6">
        <w:rPr>
          <w:rFonts w:hint="cs"/>
          <w:sz w:val="20"/>
          <w:rtl/>
          <w:lang w:val="en-US" w:bidi="ar-SA"/>
        </w:rPr>
        <w:t>شاملا</w:t>
      </w:r>
      <w:r w:rsidRPr="00A52AF5">
        <w:rPr>
          <w:sz w:val="20"/>
          <w:rtl/>
          <w:lang w:val="en-US" w:bidi="ar-SA"/>
        </w:rPr>
        <w:t xml:space="preserve"> تكاليف دعم الوكالة المعتم</w:t>
      </w:r>
      <w:r w:rsidR="00C015C6">
        <w:rPr>
          <w:sz w:val="20"/>
          <w:rtl/>
          <w:lang w:val="en-US" w:bidi="ar-SA"/>
        </w:rPr>
        <w:t>دة في الاجتماع الخامس والثمانين</w:t>
      </w:r>
      <w:r w:rsidRPr="00A52AF5">
        <w:rPr>
          <w:sz w:val="20"/>
          <w:rtl/>
          <w:lang w:val="en-US" w:bidi="ar-SA"/>
        </w:rPr>
        <w:t xml:space="preserve">، وقيمة تكاليف دعم الوكالة وتكاليف الوحدة الأساسية من </w:t>
      </w:r>
      <w:r w:rsidR="00C015C6">
        <w:rPr>
          <w:rFonts w:hint="cs"/>
          <w:sz w:val="20"/>
          <w:rtl/>
          <w:lang w:val="en-US" w:bidi="ar-SA"/>
        </w:rPr>
        <w:t>الطلبات المقدمة</w:t>
      </w:r>
      <w:r w:rsidRPr="00A52AF5">
        <w:rPr>
          <w:sz w:val="20"/>
          <w:rtl/>
          <w:lang w:val="en-US" w:bidi="ar-SA"/>
        </w:rPr>
        <w:t xml:space="preserve"> إلى الاجتماع السادس والثمانين.</w:t>
      </w:r>
    </w:p>
    <w:p w:rsidR="00E868E7" w:rsidRPr="00E868E7" w:rsidRDefault="00E868E7" w:rsidP="00E868E7">
      <w:pPr>
        <w:bidi/>
        <w:rPr>
          <w:szCs w:val="24"/>
          <w:lang w:val="en-US" w:bidi="ar-SA"/>
        </w:rPr>
      </w:pPr>
    </w:p>
    <w:p w:rsidR="00E868E7" w:rsidRPr="002C7A20" w:rsidRDefault="00112B2A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استنادا إلى</w:t>
      </w:r>
      <w:r w:rsidR="00E868E7" w:rsidRPr="002C7A20">
        <w:rPr>
          <w:sz w:val="26"/>
          <w:szCs w:val="26"/>
          <w:rtl/>
          <w:lang w:val="en-US" w:bidi="ar-SA"/>
        </w:rPr>
        <w:t xml:space="preserve"> </w:t>
      </w:r>
      <w:r w:rsidRPr="002C7A20">
        <w:rPr>
          <w:sz w:val="26"/>
          <w:szCs w:val="26"/>
          <w:rtl/>
          <w:lang w:val="en-US" w:bidi="ar-SA"/>
        </w:rPr>
        <w:t>التحليل الوارد في الجدول 2</w:t>
      </w:r>
      <w:r w:rsidR="00E868E7" w:rsidRPr="002C7A20">
        <w:rPr>
          <w:sz w:val="26"/>
          <w:szCs w:val="26"/>
          <w:rtl/>
          <w:lang w:val="en-US" w:bidi="ar-SA"/>
        </w:rPr>
        <w:t xml:space="preserve">، يمكن أن يكون لدى برنامج الأمم المتحدة الإنمائي في نهاية عام 2020 رصيد تراكمي سلبي </w:t>
      </w:r>
      <w:r w:rsidRPr="002C7A20">
        <w:rPr>
          <w:rFonts w:hint="cs"/>
          <w:sz w:val="26"/>
          <w:szCs w:val="26"/>
          <w:rtl/>
          <w:lang w:val="en-US" w:bidi="ar-SA"/>
        </w:rPr>
        <w:t>قدره</w:t>
      </w:r>
      <w:r w:rsidR="00E868E7" w:rsidRPr="002C7A20">
        <w:rPr>
          <w:sz w:val="26"/>
          <w:szCs w:val="26"/>
          <w:rtl/>
          <w:lang w:val="en-US" w:bidi="ar-SA"/>
        </w:rPr>
        <w:t xml:space="preserve"> 209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 xml:space="preserve">391 دولار أمريكي.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في عام 2021</w:t>
      </w:r>
      <w:r w:rsidR="00E868E7" w:rsidRPr="002C7A20">
        <w:rPr>
          <w:sz w:val="26"/>
          <w:szCs w:val="26"/>
          <w:rtl/>
          <w:lang w:val="en-US" w:bidi="ar-SA"/>
        </w:rPr>
        <w:t>، سيتعين على برنامج الأمم المتحدة الإنمائي أن يدر ما لا يقل عن 4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E868E7" w:rsidRPr="002C7A20">
        <w:rPr>
          <w:sz w:val="26"/>
          <w:szCs w:val="26"/>
          <w:rtl/>
          <w:lang w:val="en-US" w:bidi="ar-SA"/>
        </w:rPr>
        <w:t>330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567 دولار أمريكي</w:t>
      </w:r>
      <w:r w:rsidR="00E868E7" w:rsidRPr="002C7A20">
        <w:rPr>
          <w:sz w:val="26"/>
          <w:szCs w:val="26"/>
          <w:rtl/>
          <w:lang w:val="en-US" w:bidi="ar-SA"/>
        </w:rPr>
        <w:t xml:space="preserve"> لتكاليف دعم الوكالة وتكاليف الوحدة الأساسية لتغطية إجمالي التكاليف الإدارية المتوقعة </w:t>
      </w:r>
      <w:r w:rsidRPr="002C7A20">
        <w:rPr>
          <w:rFonts w:hint="cs"/>
          <w:sz w:val="26"/>
          <w:szCs w:val="26"/>
          <w:rtl/>
          <w:lang w:val="en-US" w:bidi="ar-SA"/>
        </w:rPr>
        <w:t>وقدرها</w:t>
      </w:r>
      <w:r w:rsidR="00E868E7" w:rsidRPr="002C7A20">
        <w:rPr>
          <w:sz w:val="26"/>
          <w:szCs w:val="26"/>
          <w:rtl/>
          <w:lang w:val="en-US" w:bidi="ar-SA"/>
        </w:rPr>
        <w:t xml:space="preserve"> 4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E868E7" w:rsidRPr="002C7A20">
        <w:rPr>
          <w:sz w:val="26"/>
          <w:szCs w:val="26"/>
          <w:rtl/>
          <w:lang w:val="en-US" w:bidi="ar-SA"/>
        </w:rPr>
        <w:t>121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176 دولار أمريكي</w:t>
      </w:r>
      <w:r w:rsidR="00E868E7" w:rsidRPr="002C7A20">
        <w:rPr>
          <w:sz w:val="26"/>
          <w:szCs w:val="26"/>
          <w:rtl/>
          <w:lang w:val="en-US" w:bidi="ar-SA"/>
        </w:rPr>
        <w:t>.</w:t>
      </w:r>
    </w:p>
    <w:p w:rsidR="00E868E7" w:rsidRPr="002C7A20" w:rsidRDefault="0057185C" w:rsidP="00E868E7">
      <w:pPr>
        <w:bidi/>
        <w:rPr>
          <w:b/>
          <w:bCs/>
          <w:sz w:val="26"/>
          <w:szCs w:val="26"/>
          <w:rtl/>
          <w:lang w:val="en-US" w:bidi="ar-SA"/>
        </w:rPr>
      </w:pPr>
      <w:r w:rsidRPr="002C7A20">
        <w:rPr>
          <w:rFonts w:hint="cs"/>
          <w:b/>
          <w:bCs/>
          <w:sz w:val="26"/>
          <w:szCs w:val="26"/>
          <w:rtl/>
          <w:lang w:val="en-US" w:bidi="ar-SA"/>
        </w:rPr>
        <w:t>منظمة الأمم المتحدة للتنمية الصناعية (</w:t>
      </w:r>
      <w:r w:rsidR="00E868E7" w:rsidRPr="002C7A20">
        <w:rPr>
          <w:b/>
          <w:bCs/>
          <w:sz w:val="26"/>
          <w:szCs w:val="26"/>
          <w:rtl/>
          <w:lang w:val="en-US" w:bidi="ar-SA"/>
        </w:rPr>
        <w:t>اليونيدو</w:t>
      </w:r>
      <w:r w:rsidRPr="002C7A20">
        <w:rPr>
          <w:rFonts w:hint="cs"/>
          <w:b/>
          <w:bCs/>
          <w:sz w:val="26"/>
          <w:szCs w:val="26"/>
          <w:rtl/>
          <w:lang w:val="en-US" w:bidi="ar-SA"/>
        </w:rPr>
        <w:t>)</w:t>
      </w:r>
    </w:p>
    <w:p w:rsidR="0057185C" w:rsidRPr="002C7A20" w:rsidRDefault="0057185C" w:rsidP="0057185C">
      <w:pPr>
        <w:bidi/>
        <w:rPr>
          <w:sz w:val="26"/>
          <w:szCs w:val="26"/>
          <w:lang w:val="en-US" w:bidi="ar-SA"/>
        </w:rPr>
      </w:pPr>
    </w:p>
    <w:p w:rsidR="00E868E7" w:rsidRPr="002C7A20" w:rsidRDefault="00E868E7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وافقت الل</w:t>
      </w:r>
      <w:r w:rsidR="00760F6C" w:rsidRPr="002C7A20">
        <w:rPr>
          <w:sz w:val="26"/>
          <w:szCs w:val="26"/>
          <w:rtl/>
          <w:lang w:val="en-US" w:bidi="ar-SA"/>
        </w:rPr>
        <w:t xml:space="preserve">جنة التنفيذية على طلب عام 2020 </w:t>
      </w:r>
      <w:r w:rsidR="00760F6C" w:rsidRPr="002C7A20">
        <w:rPr>
          <w:rFonts w:hint="cs"/>
          <w:sz w:val="26"/>
          <w:szCs w:val="26"/>
          <w:rtl/>
          <w:lang w:val="en-US" w:bidi="ar-SA"/>
        </w:rPr>
        <w:t>ل</w:t>
      </w:r>
      <w:r w:rsidRPr="002C7A20">
        <w:rPr>
          <w:sz w:val="26"/>
          <w:szCs w:val="26"/>
          <w:rtl/>
          <w:lang w:val="en-US" w:bidi="ar-SA"/>
        </w:rPr>
        <w:t>تمويل الوحدة الأساسية لليونيدو ب</w:t>
      </w:r>
      <w:r w:rsidR="00760F6C" w:rsidRPr="002C7A20">
        <w:rPr>
          <w:rFonts w:hint="cs"/>
          <w:sz w:val="26"/>
          <w:szCs w:val="26"/>
          <w:rtl/>
          <w:lang w:val="en-US" w:bidi="ar-SA"/>
        </w:rPr>
        <w:t>ال</w:t>
      </w:r>
      <w:r w:rsidRPr="002C7A20">
        <w:rPr>
          <w:sz w:val="26"/>
          <w:szCs w:val="26"/>
          <w:rtl/>
          <w:lang w:val="en-US" w:bidi="ar-SA"/>
        </w:rPr>
        <w:t>مبلغ 2</w:t>
      </w:r>
      <w:r w:rsidR="00760F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098</w:t>
      </w:r>
      <w:r w:rsidR="00760F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 xml:space="preserve">458 دولار أمريكي (المقرر 84/61 (ب)). </w:t>
      </w:r>
      <w:r w:rsidR="00760F6C"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يعرض الجدول 3 ميزانية الوحدة الأساسية والتكاليف الإدارية التي قدمتها اليونيدو من عام 2017 إلى عام 2021.</w:t>
      </w:r>
      <w:r w:rsidR="00760F6C" w:rsidRPr="002C7A20">
        <w:rPr>
          <w:rStyle w:val="FootnoteReference"/>
          <w:sz w:val="26"/>
          <w:szCs w:val="26"/>
          <w:rtl/>
          <w:lang w:val="en-US" w:bidi="ar-SA"/>
        </w:rPr>
        <w:footnoteReference w:id="5"/>
      </w:r>
      <w:r w:rsidRPr="002C7A20">
        <w:rPr>
          <w:sz w:val="26"/>
          <w:szCs w:val="26"/>
          <w:rtl/>
          <w:lang w:val="en-US" w:bidi="ar-SA"/>
        </w:rPr>
        <w:t xml:space="preserve"> وتستند الأرقام المدرجة على أنها "فعلية" إلى نموذج أعدته اليونيدو لتقدير تكلفة الدعم لوحدة بروتوكول مونتريال عملاً بالمقرر 56/41.</w:t>
      </w:r>
      <w:r w:rsidR="00923397" w:rsidRPr="002C7A20">
        <w:rPr>
          <w:rStyle w:val="FootnoteReference"/>
          <w:sz w:val="26"/>
          <w:szCs w:val="26"/>
          <w:rtl/>
          <w:lang w:val="en-US" w:bidi="ar-SA"/>
        </w:rPr>
        <w:footnoteReference w:id="6"/>
      </w:r>
    </w:p>
    <w:p w:rsidR="00923397" w:rsidRPr="002C7A20" w:rsidRDefault="00923397" w:rsidP="00923397">
      <w:pPr>
        <w:bidi/>
        <w:rPr>
          <w:sz w:val="26"/>
          <w:szCs w:val="26"/>
          <w:lang w:val="en-US" w:bidi="ar-SA"/>
        </w:rPr>
      </w:pPr>
    </w:p>
    <w:p w:rsidR="00E868E7" w:rsidRPr="002C7A20" w:rsidRDefault="00252A83" w:rsidP="00E868E7">
      <w:pPr>
        <w:bidi/>
        <w:rPr>
          <w:b/>
          <w:bCs/>
          <w:sz w:val="26"/>
          <w:szCs w:val="26"/>
          <w:rtl/>
          <w:lang w:val="en-US" w:bidi="ar-SA"/>
        </w:rPr>
      </w:pPr>
      <w:r w:rsidRPr="002C7A20">
        <w:rPr>
          <w:b/>
          <w:bCs/>
          <w:sz w:val="26"/>
          <w:szCs w:val="26"/>
          <w:rtl/>
          <w:lang w:val="en-US" w:bidi="ar-SA"/>
        </w:rPr>
        <w:t>الجدول 3</w:t>
      </w:r>
      <w:r w:rsidRPr="002C7A20">
        <w:rPr>
          <w:rFonts w:hint="cs"/>
          <w:b/>
          <w:bCs/>
          <w:sz w:val="26"/>
          <w:szCs w:val="26"/>
          <w:rtl/>
          <w:lang w:val="en-US" w:bidi="ar-SA"/>
        </w:rPr>
        <w:t xml:space="preserve">- </w:t>
      </w:r>
      <w:r w:rsidR="00E868E7" w:rsidRPr="002C7A20">
        <w:rPr>
          <w:b/>
          <w:bCs/>
          <w:sz w:val="26"/>
          <w:szCs w:val="26"/>
          <w:rtl/>
          <w:lang w:val="en-US" w:bidi="ar-SA"/>
        </w:rPr>
        <w:t xml:space="preserve"> بيانات ميزانية الوحدة الأساسية والتكاليف الإدارية الأخرى لليونيدو من 2017 إلى 2021 (بالدولار الأمريكي)</w:t>
      </w:r>
    </w:p>
    <w:tbl>
      <w:tblPr>
        <w:bidiVisual/>
        <w:tblW w:w="9514" w:type="dxa"/>
        <w:tblInd w:w="-5" w:type="dxa"/>
        <w:tblLook w:val="04A0" w:firstRow="1" w:lastRow="0" w:firstColumn="1" w:lastColumn="0" w:noHBand="0" w:noVBand="1"/>
      </w:tblPr>
      <w:tblGrid>
        <w:gridCol w:w="3594"/>
        <w:gridCol w:w="976"/>
        <w:gridCol w:w="976"/>
        <w:gridCol w:w="976"/>
        <w:gridCol w:w="976"/>
        <w:gridCol w:w="1040"/>
        <w:gridCol w:w="976"/>
      </w:tblGrid>
      <w:tr w:rsidR="00D738BF" w:rsidRPr="00F25FC3" w:rsidTr="00F25FC3">
        <w:trPr>
          <w:trHeight w:val="50"/>
          <w:tblHeader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BF" w:rsidRPr="00D30CEF" w:rsidRDefault="00105222" w:rsidP="00105222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بند التكلفة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BF" w:rsidRPr="00F25FC3" w:rsidRDefault="00D738BF" w:rsidP="00892AC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BF" w:rsidRPr="00F25FC3" w:rsidRDefault="00D738BF" w:rsidP="00892AC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8BF" w:rsidRPr="00F25FC3" w:rsidRDefault="00D738BF" w:rsidP="00892AC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2019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BF" w:rsidRPr="00F25FC3" w:rsidRDefault="00D738BF" w:rsidP="00892AC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2020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8BF" w:rsidRPr="00F25FC3" w:rsidRDefault="00D738BF" w:rsidP="00892AC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2021</w:t>
            </w:r>
          </w:p>
        </w:tc>
      </w:tr>
      <w:tr w:rsidR="00105222" w:rsidRPr="00F25FC3" w:rsidTr="00F25FC3">
        <w:trPr>
          <w:trHeight w:val="50"/>
          <w:tblHeader/>
        </w:trPr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2" w:rsidRPr="00D30CEF" w:rsidRDefault="00105222" w:rsidP="00892AC1">
            <w:pPr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222" w:rsidRPr="00F25FC3" w:rsidRDefault="00105222" w:rsidP="00105222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222" w:rsidRDefault="00105222">
            <w:r w:rsidRPr="00490453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222" w:rsidRDefault="00105222">
            <w:r w:rsidRPr="00490453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222" w:rsidRPr="00F25FC3" w:rsidRDefault="00105222" w:rsidP="00105222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الميزانية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222" w:rsidRPr="00F25FC3" w:rsidRDefault="00105222" w:rsidP="00105222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التقديرية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222" w:rsidRPr="00F25FC3" w:rsidRDefault="00105222" w:rsidP="00105222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المقترحة</w:t>
            </w:r>
          </w:p>
        </w:tc>
      </w:tr>
      <w:tr w:rsidR="00D738BF" w:rsidRPr="00F25FC3" w:rsidTr="00F25FC3">
        <w:trPr>
          <w:trHeight w:val="50"/>
        </w:trPr>
        <w:tc>
          <w:tcPr>
            <w:tcW w:w="95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F" w:rsidRPr="00D30CEF" w:rsidRDefault="008B279B" w:rsidP="008B279B">
            <w:pPr>
              <w:bidi/>
              <w:rPr>
                <w:sz w:val="22"/>
                <w:szCs w:val="22"/>
              </w:rPr>
            </w:pP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 xml:space="preserve">ألف </w:t>
            </w:r>
            <w:r w:rsidRPr="00D30CEF">
              <w:rPr>
                <w:b/>
                <w:bCs/>
                <w:sz w:val="22"/>
                <w:szCs w:val="22"/>
                <w:rtl/>
                <w:lang w:val="en-CA" w:eastAsia="en-CA"/>
              </w:rPr>
              <w:t>–</w:t>
            </w: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 xml:space="preserve"> الوحدة الأساسية</w:t>
            </w:r>
          </w:p>
        </w:tc>
      </w:tr>
      <w:tr w:rsidR="00283A0A" w:rsidRPr="00F25FC3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CA" w:eastAsia="en-CA"/>
              </w:rPr>
              <w:t>العاملون في</w:t>
            </w:r>
            <w:r w:rsidRPr="00D30CEF">
              <w:rPr>
                <w:sz w:val="22"/>
                <w:szCs w:val="22"/>
                <w:rtl/>
                <w:lang w:val="en-CA" w:eastAsia="en-CA"/>
              </w:rPr>
              <w:t xml:space="preserve"> الوحدة الأساسية والموظفون </w:t>
            </w:r>
            <w:r w:rsidRPr="00D30CEF">
              <w:rPr>
                <w:rFonts w:hint="cs"/>
                <w:sz w:val="22"/>
                <w:szCs w:val="22"/>
                <w:rtl/>
                <w:lang w:val="en-CA" w:eastAsia="en-CA"/>
              </w:rPr>
              <w:t>المتعاقدون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1,501,300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1,307,624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1,351,602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1,307,800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1,317,600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1,294,600</w:t>
            </w:r>
          </w:p>
        </w:tc>
      </w:tr>
      <w:tr w:rsidR="00283A0A" w:rsidRPr="00F25FC3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lang w:val="en-US" w:eastAsia="en-C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CA" w:eastAsia="en-CA"/>
              </w:rPr>
              <w:t>السفر (الموظفون والاستشاريون)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157,800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196,736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137,864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168,500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21,000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121,700</w:t>
            </w:r>
          </w:p>
        </w:tc>
      </w:tr>
      <w:tr w:rsidR="00283A0A" w:rsidRPr="00F25FC3" w:rsidTr="00F25FC3">
        <w:trPr>
          <w:trHeight w:val="197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76,600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80,548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84,323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83,100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71,200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73,900</w:t>
            </w:r>
          </w:p>
        </w:tc>
      </w:tr>
      <w:tr w:rsidR="00283A0A" w:rsidRPr="00F25FC3" w:rsidTr="00F25FC3">
        <w:trPr>
          <w:trHeight w:val="273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US" w:eastAsia="en-CA" w:bidi="ar-SA"/>
              </w:rPr>
              <w:t>إمدادات المعدات والتكاليف الأخرى (حاسبات آلية ومستلزمات، إلخ.)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48,000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33,842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63,164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56,800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39,400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48,000</w:t>
            </w:r>
          </w:p>
        </w:tc>
      </w:tr>
      <w:tr w:rsidR="00283A0A" w:rsidRPr="00F25FC3" w:rsidTr="00F25FC3">
        <w:trPr>
          <w:trHeight w:val="7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Default="00283A0A" w:rsidP="00892AC1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CA" w:eastAsia="en-CA"/>
              </w:rPr>
              <w:t>الخدمات التعاقدية (شركات)</w:t>
            </w:r>
          </w:p>
          <w:p w:rsidR="00D30CEF" w:rsidRPr="00D30CEF" w:rsidRDefault="00D30CEF" w:rsidP="00D30CEF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4,900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580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6,356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17,100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16,700</w:t>
            </w:r>
          </w:p>
        </w:tc>
      </w:tr>
      <w:tr w:rsidR="00283A0A" w:rsidRPr="00F25FC3" w:rsidTr="00F25FC3">
        <w:trPr>
          <w:trHeight w:val="16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US" w:eastAsia="en-CA" w:bidi="ar-SA"/>
              </w:rPr>
              <w:lastRenderedPageBreak/>
              <w:t>سداد نفقات الخدمات المركزية لموظفي الوحدة الأساسية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471,600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442,123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464,626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535,700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472,800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467,100</w:t>
            </w:r>
          </w:p>
        </w:tc>
      </w:tr>
      <w:tr w:rsidR="00283A0A" w:rsidRPr="00F25FC3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sz w:val="22"/>
                <w:szCs w:val="22"/>
                <w:rtl/>
                <w:lang w:val="en-US" w:eastAsia="en-CA" w:bidi="ar-SA"/>
              </w:rPr>
              <w:t>التعديلات (+ = قلة الاستخدام و- = التجاوز)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-205,200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7,931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-24,066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-70,542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0</w:t>
            </w:r>
          </w:p>
        </w:tc>
      </w:tr>
      <w:tr w:rsidR="00283A0A" w:rsidRPr="00F25FC3" w:rsidTr="00F25FC3">
        <w:trPr>
          <w:trHeight w:val="73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-7,931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0</w:t>
            </w:r>
          </w:p>
        </w:tc>
      </w:tr>
      <w:tr w:rsidR="00283A0A" w:rsidRPr="00F25FC3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D30CEF" w:rsidRDefault="00283A0A" w:rsidP="00892AC1">
            <w:pPr>
              <w:bidi/>
              <w:jc w:val="left"/>
              <w:rPr>
                <w:b/>
                <w:bCs/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US" w:eastAsia="en-CA" w:bidi="ar-SA"/>
              </w:rPr>
              <w:t xml:space="preserve">ألف </w:t>
            </w:r>
            <w:r w:rsidRPr="00D30CEF">
              <w:rPr>
                <w:b/>
                <w:bCs/>
                <w:sz w:val="22"/>
                <w:szCs w:val="22"/>
                <w:rtl/>
                <w:lang w:val="en-US" w:eastAsia="en-CA" w:bidi="ar-SA"/>
              </w:rPr>
              <w:t>–</w:t>
            </w: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US" w:eastAsia="en-CA" w:bidi="ar-SA"/>
              </w:rPr>
              <w:t xml:space="preserve"> المجموع الفرعي لتكاليف الوحدة الأساسية*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2,055,000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0A" w:rsidRPr="00F25FC3" w:rsidRDefault="00283A0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2,061,454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2,083,870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2,098,458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0A" w:rsidRPr="00F25FC3" w:rsidRDefault="00283A0A" w:rsidP="00892AC1">
            <w:pPr>
              <w:jc w:val="right"/>
              <w:rPr>
                <w:b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sz w:val="19"/>
                <w:szCs w:val="19"/>
                <w:lang w:val="en-CA" w:eastAsia="en-CA"/>
              </w:rPr>
              <w:t>1,924,400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A0A" w:rsidRPr="00F25FC3" w:rsidRDefault="00283A0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sz w:val="19"/>
                <w:szCs w:val="19"/>
              </w:rPr>
              <w:t>2,022,000</w:t>
            </w:r>
          </w:p>
        </w:tc>
      </w:tr>
      <w:tr w:rsidR="00D738BF" w:rsidRPr="00F25FC3" w:rsidTr="00F25FC3">
        <w:trPr>
          <w:trHeight w:val="50"/>
        </w:trPr>
        <w:tc>
          <w:tcPr>
            <w:tcW w:w="95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F" w:rsidRPr="00D30CEF" w:rsidRDefault="008347C5" w:rsidP="008347C5">
            <w:pPr>
              <w:bidi/>
              <w:rPr>
                <w:b/>
                <w:sz w:val="22"/>
                <w:szCs w:val="22"/>
                <w:lang w:bidi="ar-SA"/>
              </w:rPr>
            </w:pP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US" w:eastAsia="en-CA" w:bidi="ar-SA"/>
              </w:rPr>
              <w:t xml:space="preserve">باء </w:t>
            </w:r>
            <w:r w:rsidRPr="00D30CEF">
              <w:rPr>
                <w:b/>
                <w:bCs/>
                <w:sz w:val="22"/>
                <w:szCs w:val="22"/>
                <w:rtl/>
                <w:lang w:val="en-US" w:eastAsia="en-CA" w:bidi="ar-SA"/>
              </w:rPr>
              <w:t>–</w:t>
            </w: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US" w:eastAsia="en-CA" w:bidi="ar-SA"/>
              </w:rPr>
              <w:t xml:space="preserve">  تكاليف دعم الوكالة / التنفيذ</w:t>
            </w:r>
          </w:p>
        </w:tc>
      </w:tr>
      <w:tr w:rsidR="004655CA" w:rsidRPr="00F25FC3" w:rsidTr="00F25FC3">
        <w:trPr>
          <w:trHeight w:val="35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sz w:val="22"/>
                <w:szCs w:val="22"/>
                <w:rtl/>
                <w:lang w:val="en-US" w:eastAsia="en-CA" w:bidi="ar-SA"/>
              </w:rPr>
              <w:t>سداد نفقات</w:t>
            </w:r>
            <w:r w:rsidRPr="00D30CEF">
              <w:rPr>
                <w:sz w:val="22"/>
                <w:szCs w:val="22"/>
                <w:rtl/>
                <w:lang w:val="en-US" w:eastAsia="en-CA" w:bidi="ar-SA"/>
              </w:rPr>
              <w:t xml:space="preserve"> المكاتب القطرية والتنفيذ الوطني، بما في ذلك النفقات العامة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584,300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729,854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1,339,603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815,600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1,240,400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1,444,000</w:t>
            </w:r>
          </w:p>
        </w:tc>
      </w:tr>
      <w:tr w:rsidR="004655CA" w:rsidRPr="00F25FC3" w:rsidTr="00F25FC3">
        <w:trPr>
          <w:trHeight w:val="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sz w:val="22"/>
                <w:szCs w:val="22"/>
                <w:rtl/>
                <w:lang w:val="en-US" w:eastAsia="en-CA" w:bidi="ar-SA"/>
              </w:rPr>
              <w:t>تكلفة دعم الوكالة المنفذة (داخلية)، بما في ذلك النفقات العامة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1,703,200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1,354,611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1,386,593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2,042,600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1,374,100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1,586,200</w:t>
            </w:r>
          </w:p>
        </w:tc>
      </w:tr>
      <w:tr w:rsidR="004655CA" w:rsidRPr="00F25FC3" w:rsidTr="00F25FC3">
        <w:trPr>
          <w:trHeight w:val="1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rtl/>
                <w:lang w:val="en-CA" w:eastAsia="en-CA" w:bidi="ar-SA"/>
              </w:rPr>
            </w:pPr>
            <w:r w:rsidRPr="00D30CEF">
              <w:rPr>
                <w:sz w:val="22"/>
                <w:szCs w:val="22"/>
                <w:rtl/>
                <w:lang w:val="en-CA" w:eastAsia="en-CA" w:bidi="ar-SA"/>
              </w:rPr>
              <w:t>الوسطاء الماليون، بما في ذلك النفقات العامة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4655CA" w:rsidRPr="00F25FC3" w:rsidTr="00F25FC3">
        <w:trPr>
          <w:trHeight w:val="16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sz w:val="22"/>
                <w:szCs w:val="22"/>
                <w:rtl/>
                <w:lang w:val="en-US" w:eastAsia="en-CA" w:bidi="ar-SA"/>
              </w:rPr>
              <w:t>سداد الخدمات المركزية لموظفي الوحدة الأساسية (بما في ذلك النفقات العامة)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</w:p>
        </w:tc>
      </w:tr>
      <w:tr w:rsidR="004655CA" w:rsidRPr="00F25FC3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D30CEF">
              <w:rPr>
                <w:sz w:val="22"/>
                <w:szCs w:val="22"/>
                <w:rtl/>
                <w:lang w:val="en-CA" w:eastAsia="en-CA"/>
              </w:rPr>
              <w:t>استرداد التكاليف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4655CA" w:rsidRPr="00F25FC3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D30CEF">
              <w:rPr>
                <w:sz w:val="22"/>
                <w:szCs w:val="22"/>
                <w:rtl/>
                <w:lang w:val="en-CA" w:eastAsia="en-CA"/>
              </w:rPr>
              <w:t>التعديلات (+ = التجاوز و- = الاستخدام الناقص)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205,200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24,066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70,542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4655CA" w:rsidRPr="00F25FC3" w:rsidTr="00F25FC3">
        <w:trPr>
          <w:trHeight w:val="63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D30CEF">
              <w:rPr>
                <w:sz w:val="22"/>
                <w:szCs w:val="22"/>
                <w:rtl/>
                <w:lang w:val="en-CA" w:eastAsia="en-CA"/>
              </w:rPr>
              <w:t xml:space="preserve">تكاليف المشروع (- = سيتم خصمها وبالتالي </w:t>
            </w:r>
            <w:r w:rsidRPr="00D30CEF">
              <w:rPr>
                <w:rFonts w:hint="cs"/>
                <w:sz w:val="22"/>
                <w:szCs w:val="22"/>
                <w:rtl/>
                <w:lang w:val="en-CA" w:eastAsia="en-CA"/>
              </w:rPr>
              <w:t>حذفها</w:t>
            </w:r>
            <w:r w:rsidRPr="00D30CEF">
              <w:rPr>
                <w:sz w:val="22"/>
                <w:szCs w:val="22"/>
                <w:rtl/>
                <w:lang w:val="en-CA" w:eastAsia="en-CA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-134,800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-136,283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</w:rPr>
              <w:t>-38,099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sz w:val="19"/>
                <w:szCs w:val="19"/>
                <w:lang w:val="en-CA" w:eastAsia="en-CA"/>
              </w:rPr>
            </w:pPr>
            <w:r w:rsidRPr="00F25FC3">
              <w:rPr>
                <w:sz w:val="19"/>
                <w:szCs w:val="19"/>
                <w:lang w:val="en-CA" w:eastAsia="en-CA"/>
              </w:rPr>
              <w:t>0</w:t>
            </w:r>
          </w:p>
        </w:tc>
      </w:tr>
      <w:tr w:rsidR="004655CA" w:rsidRPr="00F25FC3" w:rsidTr="00F25FC3">
        <w:trPr>
          <w:trHeight w:val="307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b/>
                <w:bCs/>
                <w:sz w:val="22"/>
                <w:szCs w:val="22"/>
                <w:rtl/>
                <w:lang w:val="en-US" w:eastAsia="en-CA" w:bidi="ar-SA"/>
              </w:rPr>
            </w:pP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US" w:eastAsia="en-CA" w:bidi="ar-SA"/>
              </w:rPr>
              <w:t xml:space="preserve">باء </w:t>
            </w:r>
            <w:r w:rsidRPr="00D30CEF">
              <w:rPr>
                <w:b/>
                <w:bCs/>
                <w:sz w:val="22"/>
                <w:szCs w:val="22"/>
                <w:rtl/>
                <w:lang w:val="en-US" w:eastAsia="en-CA" w:bidi="ar-SA"/>
              </w:rPr>
              <w:t>–</w:t>
            </w: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US" w:eastAsia="en-CA" w:bidi="ar-SA"/>
              </w:rPr>
              <w:t xml:space="preserve"> المجموع الفرعي لتكاليف دعم الوكالة / تكاليف التنفيذ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2,357,900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1,948,182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2,712,163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2,928,742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sz w:val="19"/>
                <w:szCs w:val="19"/>
                <w:lang w:val="en-CA" w:eastAsia="en-CA"/>
              </w:rPr>
              <w:t>2,614,500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3,030,200</w:t>
            </w:r>
          </w:p>
        </w:tc>
      </w:tr>
      <w:tr w:rsidR="004655CA" w:rsidRPr="00E2441A" w:rsidTr="00F25FC3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D30CEF" w:rsidRDefault="004655CA" w:rsidP="00892AC1">
            <w:pPr>
              <w:bidi/>
              <w:jc w:val="left"/>
              <w:rPr>
                <w:b/>
                <w:bCs/>
                <w:sz w:val="22"/>
                <w:szCs w:val="22"/>
                <w:rtl/>
                <w:lang w:val="en-CA" w:eastAsia="en-CA" w:bidi="ar-SA"/>
              </w:rPr>
            </w:pPr>
            <w:r w:rsidRPr="00D30CEF">
              <w:rPr>
                <w:rFonts w:hint="cs"/>
                <w:b/>
                <w:bCs/>
                <w:sz w:val="22"/>
                <w:szCs w:val="22"/>
                <w:rtl/>
                <w:lang w:val="en-CA" w:eastAsia="en-CA" w:bidi="ar-SA"/>
              </w:rPr>
              <w:t>المجموع الكلي (ألف + باء)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4,412,900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4,009,636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4,796,033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5,027,200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CA" w:rsidRPr="00F25FC3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4,538,900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CA" w:rsidRPr="00E2441A" w:rsidRDefault="004655CA" w:rsidP="00892AC1">
            <w:pPr>
              <w:jc w:val="right"/>
              <w:rPr>
                <w:b/>
                <w:bCs/>
                <w:sz w:val="19"/>
                <w:szCs w:val="19"/>
                <w:lang w:val="en-CA" w:eastAsia="en-CA"/>
              </w:rPr>
            </w:pPr>
            <w:r w:rsidRPr="00F25FC3">
              <w:rPr>
                <w:b/>
                <w:bCs/>
                <w:sz w:val="19"/>
                <w:szCs w:val="19"/>
                <w:lang w:val="en-CA" w:eastAsia="en-CA"/>
              </w:rPr>
              <w:t>5,052,200</w:t>
            </w:r>
          </w:p>
        </w:tc>
      </w:tr>
    </w:tbl>
    <w:p w:rsidR="00D738BF" w:rsidRPr="0053532A" w:rsidRDefault="00D738BF" w:rsidP="00D45968">
      <w:pPr>
        <w:bidi/>
        <w:rPr>
          <w:sz w:val="20"/>
          <w:rtl/>
          <w:lang w:val="en-US" w:bidi="ar-SA"/>
        </w:rPr>
      </w:pPr>
      <w:r w:rsidRPr="0053532A">
        <w:rPr>
          <w:sz w:val="20"/>
          <w:rtl/>
          <w:lang w:val="en-US" w:bidi="ar-SA"/>
        </w:rPr>
        <w:t xml:space="preserve">* تكلفة الوحدة الأساسية أعلى من المجموع الفرعي المسموح به </w:t>
      </w:r>
      <w:r w:rsidR="008A0D97">
        <w:rPr>
          <w:rFonts w:hint="cs"/>
          <w:sz w:val="20"/>
          <w:rtl/>
          <w:lang w:val="en-US" w:bidi="ar-SA"/>
        </w:rPr>
        <w:t>وقدره</w:t>
      </w:r>
      <w:r w:rsidRPr="0053532A">
        <w:rPr>
          <w:sz w:val="20"/>
          <w:rtl/>
          <w:lang w:val="en-US" w:bidi="ar-SA"/>
        </w:rPr>
        <w:t xml:space="preserve"> 2</w:t>
      </w:r>
      <w:r w:rsidR="008A0D97">
        <w:rPr>
          <w:rFonts w:hint="cs"/>
          <w:sz w:val="20"/>
          <w:rtl/>
          <w:lang w:val="en-US" w:bidi="ar-SA"/>
        </w:rPr>
        <w:t>,</w:t>
      </w:r>
      <w:r w:rsidRPr="0053532A">
        <w:rPr>
          <w:sz w:val="20"/>
          <w:rtl/>
          <w:lang w:val="en-US" w:bidi="ar-SA"/>
        </w:rPr>
        <w:t>055</w:t>
      </w:r>
      <w:r w:rsidR="008A0D97">
        <w:rPr>
          <w:rFonts w:hint="cs"/>
          <w:sz w:val="20"/>
          <w:rtl/>
          <w:lang w:val="en-US" w:bidi="ar-SA"/>
        </w:rPr>
        <w:t>,</w:t>
      </w:r>
      <w:r w:rsidRPr="0053532A">
        <w:rPr>
          <w:sz w:val="20"/>
          <w:rtl/>
          <w:lang w:val="en-US" w:bidi="ar-SA"/>
        </w:rPr>
        <w:t>000 دولار أمريكي في عام 2017 و 2</w:t>
      </w:r>
      <w:r w:rsidR="008A0D97">
        <w:rPr>
          <w:rFonts w:hint="cs"/>
          <w:sz w:val="20"/>
          <w:rtl/>
          <w:lang w:val="en-US" w:bidi="ar-SA"/>
        </w:rPr>
        <w:t>,</w:t>
      </w:r>
      <w:r w:rsidRPr="0053532A">
        <w:rPr>
          <w:sz w:val="20"/>
          <w:rtl/>
          <w:lang w:val="en-US" w:bidi="ar-SA"/>
        </w:rPr>
        <w:t>083</w:t>
      </w:r>
      <w:r w:rsidR="008A0D97">
        <w:rPr>
          <w:rFonts w:hint="cs"/>
          <w:sz w:val="20"/>
          <w:rtl/>
          <w:lang w:val="en-US" w:bidi="ar-SA"/>
        </w:rPr>
        <w:t>,</w:t>
      </w:r>
      <w:r w:rsidRPr="0053532A">
        <w:rPr>
          <w:sz w:val="20"/>
          <w:rtl/>
          <w:lang w:val="en-US" w:bidi="ar-SA"/>
        </w:rPr>
        <w:t xml:space="preserve">870 دولار أمريكي في عام 2019. لذلك تم إدخال بند تعديل وتعديل سلبي للوصول إلى الحد الأقصى المطلوب. كما يتم </w:t>
      </w:r>
      <w:r w:rsidR="00D45968">
        <w:rPr>
          <w:rFonts w:hint="cs"/>
          <w:sz w:val="20"/>
          <w:rtl/>
          <w:lang w:val="en-US" w:bidi="ar-SA"/>
        </w:rPr>
        <w:t>تقديم</w:t>
      </w:r>
      <w:r w:rsidRPr="0053532A">
        <w:rPr>
          <w:sz w:val="20"/>
          <w:rtl/>
          <w:lang w:val="en-US" w:bidi="ar-SA"/>
        </w:rPr>
        <w:t xml:space="preserve"> تعديل إيجابي مقابل في إطار تكاليف / تنفيذ دعم الوكالة لضمان أن </w:t>
      </w:r>
      <w:r w:rsidR="00D45968">
        <w:rPr>
          <w:rFonts w:hint="cs"/>
          <w:sz w:val="20"/>
          <w:rtl/>
          <w:lang w:val="en-US" w:bidi="ar-SA"/>
        </w:rPr>
        <w:t>يبين</w:t>
      </w:r>
      <w:r w:rsidRPr="0053532A">
        <w:rPr>
          <w:sz w:val="20"/>
          <w:rtl/>
          <w:lang w:val="en-US" w:bidi="ar-SA"/>
        </w:rPr>
        <w:t xml:space="preserve"> إجمالي التكاليف المتكبدة للتكاليف الإدارية المبلغ الذي تجاوزته الوكالة</w:t>
      </w:r>
      <w:r w:rsidR="008A0D97" w:rsidRPr="008A0D97">
        <w:rPr>
          <w:sz w:val="20"/>
          <w:rtl/>
          <w:lang w:val="en-US" w:bidi="ar-SA"/>
        </w:rPr>
        <w:t xml:space="preserve"> </w:t>
      </w:r>
      <w:r w:rsidR="008A0D97" w:rsidRPr="0053532A">
        <w:rPr>
          <w:sz w:val="20"/>
          <w:rtl/>
          <w:lang w:val="en-US" w:bidi="ar-SA"/>
        </w:rPr>
        <w:t>أيضًا</w:t>
      </w:r>
      <w:r w:rsidRPr="0053532A">
        <w:rPr>
          <w:sz w:val="20"/>
          <w:rtl/>
          <w:lang w:val="en-US" w:bidi="ar-SA"/>
        </w:rPr>
        <w:t>.</w:t>
      </w:r>
    </w:p>
    <w:p w:rsidR="0053532A" w:rsidRPr="00D738BF" w:rsidRDefault="0053532A" w:rsidP="0053532A">
      <w:pPr>
        <w:bidi/>
        <w:rPr>
          <w:szCs w:val="24"/>
          <w:lang w:val="en-US" w:bidi="ar-SA"/>
        </w:rPr>
      </w:pPr>
    </w:p>
    <w:p w:rsidR="00D738BF" w:rsidRPr="002C7A20" w:rsidRDefault="00D738BF" w:rsidP="00D738BF">
      <w:pPr>
        <w:bidi/>
        <w:rPr>
          <w:sz w:val="26"/>
          <w:szCs w:val="26"/>
          <w:u w:val="single"/>
          <w:rtl/>
          <w:lang w:val="en-US" w:bidi="ar-SA"/>
        </w:rPr>
      </w:pPr>
      <w:r w:rsidRPr="002C7A20">
        <w:rPr>
          <w:sz w:val="26"/>
          <w:szCs w:val="26"/>
          <w:u w:val="single"/>
          <w:rtl/>
          <w:lang w:val="en-US" w:bidi="ar-SA"/>
        </w:rPr>
        <w:t>تكاليف الوحدة الأساسية</w:t>
      </w:r>
    </w:p>
    <w:p w:rsidR="00E6598E" w:rsidRPr="002C7A20" w:rsidRDefault="00E6598E" w:rsidP="00E6598E">
      <w:pPr>
        <w:bidi/>
        <w:rPr>
          <w:sz w:val="26"/>
          <w:szCs w:val="26"/>
          <w:lang w:val="en-US" w:bidi="ar-SA"/>
        </w:rPr>
      </w:pPr>
    </w:p>
    <w:p w:rsidR="00D738BF" w:rsidRPr="002C7A20" w:rsidRDefault="00D738BF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يمثل طلب اليونيدو </w:t>
      </w:r>
      <w:r w:rsidR="007D313E" w:rsidRPr="002C7A20">
        <w:rPr>
          <w:rFonts w:hint="cs"/>
          <w:sz w:val="26"/>
          <w:szCs w:val="26"/>
          <w:rtl/>
          <w:lang w:val="en-US" w:bidi="ar-SA"/>
        </w:rPr>
        <w:t>المبلغ</w:t>
      </w:r>
      <w:r w:rsidRPr="002C7A20">
        <w:rPr>
          <w:sz w:val="26"/>
          <w:szCs w:val="26"/>
          <w:rtl/>
          <w:lang w:val="en-US" w:bidi="ar-SA"/>
        </w:rPr>
        <w:t xml:space="preserve"> 2</w:t>
      </w:r>
      <w:r w:rsidR="007D313E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022</w:t>
      </w:r>
      <w:r w:rsidR="007D313E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000 دولار أمريكي لميزانية وحدتها الأساسية لعام 2021 انخفاضًا بنسبة 3</w:t>
      </w:r>
      <w:r w:rsidR="007D313E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6 في المائة في الميزانية المعتمدة لعام 2020 (تخفيض قدره 76،458 دولارًا أمريكيًا).</w:t>
      </w:r>
    </w:p>
    <w:p w:rsidR="007D313E" w:rsidRPr="002C7A20" w:rsidRDefault="007D313E" w:rsidP="007D313E">
      <w:pPr>
        <w:bidi/>
        <w:rPr>
          <w:sz w:val="26"/>
          <w:szCs w:val="26"/>
          <w:lang w:val="en-US" w:bidi="ar-SA"/>
        </w:rPr>
      </w:pPr>
    </w:p>
    <w:p w:rsidR="00D738BF" w:rsidRPr="002C7A20" w:rsidRDefault="005A79B3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تتألف ميزانية </w:t>
      </w:r>
      <w:r w:rsidR="00D738BF" w:rsidRPr="002C7A20">
        <w:rPr>
          <w:sz w:val="26"/>
          <w:szCs w:val="26"/>
          <w:rtl/>
          <w:lang w:val="en-US" w:bidi="ar-SA"/>
        </w:rPr>
        <w:t xml:space="preserve">وحدة </w:t>
      </w:r>
      <w:r w:rsidRPr="002C7A20">
        <w:rPr>
          <w:rFonts w:hint="cs"/>
          <w:sz w:val="26"/>
          <w:szCs w:val="26"/>
          <w:rtl/>
          <w:lang w:val="en-US" w:bidi="ar-SA"/>
        </w:rPr>
        <w:t>ا</w:t>
      </w:r>
      <w:r w:rsidRPr="002C7A20">
        <w:rPr>
          <w:sz w:val="26"/>
          <w:szCs w:val="26"/>
          <w:rtl/>
          <w:lang w:val="en-US" w:bidi="ar-SA"/>
        </w:rPr>
        <w:t xml:space="preserve">ليونيدو </w:t>
      </w:r>
      <w:r w:rsidRPr="002C7A20">
        <w:rPr>
          <w:rFonts w:hint="cs"/>
          <w:sz w:val="26"/>
          <w:szCs w:val="26"/>
          <w:rtl/>
          <w:lang w:val="en-US" w:bidi="ar-SA"/>
        </w:rPr>
        <w:t>الأساسية</w:t>
      </w:r>
      <w:r w:rsidR="00D738BF" w:rsidRPr="002C7A20">
        <w:rPr>
          <w:sz w:val="26"/>
          <w:szCs w:val="26"/>
          <w:rtl/>
          <w:lang w:val="en-US" w:bidi="ar-SA"/>
        </w:rPr>
        <w:t xml:space="preserve"> المقترحة لعام ٢٠٢١ مما يلي:</w:t>
      </w:r>
    </w:p>
    <w:p w:rsidR="007D313E" w:rsidRPr="002C7A20" w:rsidRDefault="007D313E" w:rsidP="007D313E">
      <w:pPr>
        <w:bidi/>
        <w:rPr>
          <w:sz w:val="26"/>
          <w:szCs w:val="26"/>
          <w:lang w:val="en-US" w:bidi="ar-SA"/>
        </w:rPr>
      </w:pPr>
    </w:p>
    <w:p w:rsidR="00D738BF" w:rsidRPr="002C7A20" w:rsidRDefault="00D738BF" w:rsidP="00472B66">
      <w:pPr>
        <w:pStyle w:val="ListParagraph"/>
        <w:numPr>
          <w:ilvl w:val="0"/>
          <w:numId w:val="10"/>
        </w:numPr>
        <w:bidi/>
        <w:ind w:left="1260" w:hanging="540"/>
        <w:rPr>
          <w:sz w:val="26"/>
          <w:szCs w:val="26"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تمثل رواتب الموظفين 64.0 في المائة من إجمالي الميزانية (8.2 موظف</w:t>
      </w:r>
      <w:r w:rsidR="005A79B3" w:rsidRPr="002C7A20">
        <w:rPr>
          <w:rFonts w:hint="cs"/>
          <w:sz w:val="26"/>
          <w:szCs w:val="26"/>
          <w:rtl/>
          <w:lang w:val="en-US" w:bidi="ar-SA"/>
        </w:rPr>
        <w:t>ا</w:t>
      </w:r>
      <w:r w:rsidR="005A79B3" w:rsidRPr="002C7A20">
        <w:rPr>
          <w:sz w:val="26"/>
          <w:szCs w:val="26"/>
          <w:rtl/>
          <w:lang w:val="en-US" w:bidi="ar-SA"/>
        </w:rPr>
        <w:t>). في عام 2020</w:t>
      </w:r>
      <w:r w:rsidRPr="002C7A20">
        <w:rPr>
          <w:sz w:val="26"/>
          <w:szCs w:val="26"/>
          <w:rtl/>
          <w:lang w:val="en-US" w:bidi="ar-SA"/>
        </w:rPr>
        <w:t>، كانت الميزانية المقدرة للموظفين 68.0 في المائة من الميزانية الإجمالية (تتراوح من 61.0 إ</w:t>
      </w:r>
      <w:r w:rsidR="005A79B3" w:rsidRPr="002C7A20">
        <w:rPr>
          <w:sz w:val="26"/>
          <w:szCs w:val="26"/>
          <w:rtl/>
          <w:lang w:val="en-US" w:bidi="ar-SA"/>
        </w:rPr>
        <w:t>لى 69.0 في المائة منذ عام 2011)</w:t>
      </w:r>
      <w:r w:rsidRPr="002C7A20">
        <w:rPr>
          <w:sz w:val="26"/>
          <w:szCs w:val="26"/>
          <w:rtl/>
          <w:lang w:val="en-US" w:bidi="ar-SA"/>
        </w:rPr>
        <w:t xml:space="preserve">؛ </w:t>
      </w:r>
      <w:r w:rsidR="005A79B3"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عدد الموظفين لعام 2021 أقل من عدد الموظفين لعام 2020 بسبب</w:t>
      </w:r>
      <w:r w:rsidR="005A79B3" w:rsidRPr="002C7A20">
        <w:rPr>
          <w:sz w:val="26"/>
          <w:szCs w:val="26"/>
          <w:rtl/>
          <w:lang w:val="en-US" w:bidi="ar-SA"/>
        </w:rPr>
        <w:t xml:space="preserve"> التقاعد المتوقع وتوقيت التوظيف</w:t>
      </w:r>
      <w:r w:rsidRPr="002C7A20">
        <w:rPr>
          <w:sz w:val="26"/>
          <w:szCs w:val="26"/>
          <w:rtl/>
          <w:lang w:val="en-US" w:bidi="ar-SA"/>
        </w:rPr>
        <w:t>؛</w:t>
      </w:r>
    </w:p>
    <w:p w:rsidR="005A79B3" w:rsidRPr="002C7A20" w:rsidRDefault="005A79B3" w:rsidP="005A79B3">
      <w:pPr>
        <w:pStyle w:val="ListParagraph"/>
        <w:bidi/>
        <w:ind w:left="1260" w:hanging="540"/>
        <w:rPr>
          <w:sz w:val="26"/>
          <w:szCs w:val="26"/>
          <w:lang w:val="en-US" w:bidi="ar-SA"/>
        </w:rPr>
      </w:pPr>
    </w:p>
    <w:p w:rsidR="00D738BF" w:rsidRPr="002C7A20" w:rsidRDefault="005A79B3" w:rsidP="00472B66">
      <w:pPr>
        <w:pStyle w:val="ListParagraph"/>
        <w:numPr>
          <w:ilvl w:val="0"/>
          <w:numId w:val="10"/>
        </w:numPr>
        <w:bidi/>
        <w:ind w:left="1260" w:hanging="540"/>
        <w:rPr>
          <w:sz w:val="26"/>
          <w:szCs w:val="26"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D738BF" w:rsidRPr="002C7A20">
        <w:rPr>
          <w:sz w:val="26"/>
          <w:szCs w:val="26"/>
          <w:rtl/>
          <w:lang w:val="en-US" w:bidi="ar-SA"/>
        </w:rPr>
        <w:t>تمثل الخدمات المركزية 23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D738BF" w:rsidRPr="002C7A20">
        <w:rPr>
          <w:sz w:val="26"/>
          <w:szCs w:val="26"/>
          <w:rtl/>
          <w:lang w:val="en-US" w:bidi="ar-SA"/>
        </w:rPr>
        <w:t>1 ف</w:t>
      </w:r>
      <w:r w:rsidRPr="002C7A20">
        <w:rPr>
          <w:sz w:val="26"/>
          <w:szCs w:val="26"/>
          <w:rtl/>
          <w:lang w:val="en-US" w:bidi="ar-SA"/>
        </w:rPr>
        <w:t>ي المائة من الميزانية الإجمالية</w:t>
      </w:r>
      <w:r w:rsidR="00D738BF" w:rsidRPr="002C7A20">
        <w:rPr>
          <w:sz w:val="26"/>
          <w:szCs w:val="26"/>
          <w:rtl/>
          <w:lang w:val="en-US" w:bidi="ar-SA"/>
        </w:rPr>
        <w:t xml:space="preserve">؛ وتتعلق هذه المصروفات بتكاليف هيئات إدارة أمانة اليونيدو والإدارة العامة الموزعة على أساس عدد الموظفين في وحدة بروتوكول مونتريال.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D738BF" w:rsidRPr="002C7A20">
        <w:rPr>
          <w:sz w:val="26"/>
          <w:szCs w:val="26"/>
          <w:rtl/>
          <w:lang w:val="en-US" w:bidi="ar-SA"/>
        </w:rPr>
        <w:t xml:space="preserve">زادت التكاليف في عام 2019 بسبب فترة تسليم الموظفين المغادرين </w:t>
      </w:r>
      <w:r w:rsidR="00D738BF" w:rsidRPr="002C7A20">
        <w:rPr>
          <w:rFonts w:hint="eastAsia"/>
          <w:sz w:val="26"/>
          <w:szCs w:val="26"/>
          <w:rtl/>
          <w:lang w:val="en-US" w:bidi="ar-SA"/>
        </w:rPr>
        <w:t>إلى</w:t>
      </w:r>
      <w:r w:rsidRPr="002C7A20">
        <w:rPr>
          <w:sz w:val="26"/>
          <w:szCs w:val="26"/>
          <w:rtl/>
          <w:lang w:val="en-US" w:bidi="ar-SA"/>
        </w:rPr>
        <w:t xml:space="preserve"> الموظفين المعينين حديثًا</w:t>
      </w:r>
      <w:r w:rsidR="00D738BF" w:rsidRPr="002C7A20">
        <w:rPr>
          <w:sz w:val="26"/>
          <w:szCs w:val="26"/>
          <w:rtl/>
          <w:lang w:val="en-US" w:bidi="ar-SA"/>
        </w:rPr>
        <w:t xml:space="preserve">، ومن المتوقع أن تنخفض </w:t>
      </w:r>
      <w:r w:rsidRPr="002C7A20">
        <w:rPr>
          <w:rFonts w:hint="cs"/>
          <w:sz w:val="26"/>
          <w:szCs w:val="26"/>
          <w:rtl/>
          <w:lang w:val="en-US" w:bidi="ar-SA"/>
        </w:rPr>
        <w:t>انخفاضا</w:t>
      </w:r>
      <w:r w:rsidR="00D738BF" w:rsidRPr="002C7A20">
        <w:rPr>
          <w:sz w:val="26"/>
          <w:szCs w:val="26"/>
          <w:rtl/>
          <w:lang w:val="en-US" w:bidi="ar-SA"/>
        </w:rPr>
        <w:t xml:space="preserve"> طفيف</w:t>
      </w:r>
      <w:r w:rsidRPr="002C7A20">
        <w:rPr>
          <w:rFonts w:hint="cs"/>
          <w:sz w:val="26"/>
          <w:szCs w:val="26"/>
          <w:rtl/>
          <w:lang w:val="en-US" w:bidi="ar-SA"/>
        </w:rPr>
        <w:t>ا</w:t>
      </w:r>
      <w:r w:rsidR="00D738BF" w:rsidRPr="002C7A20">
        <w:rPr>
          <w:sz w:val="26"/>
          <w:szCs w:val="26"/>
          <w:rtl/>
          <w:lang w:val="en-US" w:bidi="ar-SA"/>
        </w:rPr>
        <w:t xml:space="preserve"> في عام 2021 بسبب انخفاض عدد الموظ</w:t>
      </w:r>
      <w:r w:rsidRPr="002C7A20">
        <w:rPr>
          <w:sz w:val="26"/>
          <w:szCs w:val="26"/>
          <w:rtl/>
          <w:lang w:val="en-US" w:bidi="ar-SA"/>
        </w:rPr>
        <w:t>فين في عمليات بروتوكول مونتريال</w:t>
      </w:r>
      <w:r w:rsidR="00D738BF" w:rsidRPr="002C7A20">
        <w:rPr>
          <w:sz w:val="26"/>
          <w:szCs w:val="26"/>
          <w:rtl/>
          <w:lang w:val="en-US" w:bidi="ar-SA"/>
        </w:rPr>
        <w:t>؛</w:t>
      </w:r>
    </w:p>
    <w:p w:rsidR="005A79B3" w:rsidRPr="002C7A20" w:rsidRDefault="005A79B3" w:rsidP="005A79B3">
      <w:pPr>
        <w:pStyle w:val="ListParagraph"/>
        <w:ind w:left="1260" w:hanging="540"/>
        <w:rPr>
          <w:sz w:val="26"/>
          <w:szCs w:val="26"/>
          <w:rtl/>
          <w:lang w:val="en-US" w:bidi="ar-SA"/>
        </w:rPr>
      </w:pPr>
    </w:p>
    <w:p w:rsidR="00D738BF" w:rsidRPr="002C7A20" w:rsidRDefault="005A79B3" w:rsidP="00472B66">
      <w:pPr>
        <w:pStyle w:val="ListParagraph"/>
        <w:numPr>
          <w:ilvl w:val="0"/>
          <w:numId w:val="11"/>
        </w:numPr>
        <w:bidi/>
        <w:ind w:left="1260" w:hanging="540"/>
        <w:rPr>
          <w:sz w:val="26"/>
          <w:szCs w:val="26"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D738BF" w:rsidRPr="002C7A20">
        <w:rPr>
          <w:sz w:val="26"/>
          <w:szCs w:val="26"/>
          <w:rtl/>
          <w:lang w:val="en-US" w:bidi="ar-SA"/>
        </w:rPr>
        <w:t xml:space="preserve">تمثل الخدمات التعاقدية 0.8 في المائة من إجمالي الميزانية.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D738BF" w:rsidRPr="002C7A20">
        <w:rPr>
          <w:sz w:val="26"/>
          <w:szCs w:val="26"/>
          <w:rtl/>
          <w:lang w:val="en-US" w:bidi="ar-SA"/>
        </w:rPr>
        <w:t>المبلغ المدرج في الميزانية لعام 2021 (16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D738BF" w:rsidRPr="002C7A20">
        <w:rPr>
          <w:sz w:val="26"/>
          <w:szCs w:val="26"/>
          <w:rtl/>
          <w:lang w:val="en-US" w:bidi="ar-SA"/>
        </w:rPr>
        <w:t>700 دولار أمريكي) هو سبعة أضعاف المبلغ المقدر لعام 2020 (2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D738BF" w:rsidRPr="002C7A20">
        <w:rPr>
          <w:sz w:val="26"/>
          <w:szCs w:val="26"/>
          <w:rtl/>
          <w:lang w:val="en-US" w:bidi="ar-SA"/>
        </w:rPr>
        <w:t xml:space="preserve">400 دولار أمريكي). </w:t>
      </w:r>
      <w:r w:rsidRPr="002C7A20">
        <w:rPr>
          <w:rFonts w:hint="cs"/>
          <w:sz w:val="26"/>
          <w:szCs w:val="26"/>
          <w:rtl/>
          <w:lang w:val="en-US" w:bidi="ar-SA"/>
        </w:rPr>
        <w:lastRenderedPageBreak/>
        <w:t>وأفادت</w:t>
      </w:r>
      <w:r w:rsidR="00D738BF" w:rsidRPr="002C7A20">
        <w:rPr>
          <w:sz w:val="26"/>
          <w:szCs w:val="26"/>
          <w:rtl/>
          <w:lang w:val="en-US" w:bidi="ar-SA"/>
        </w:rPr>
        <w:t xml:space="preserve"> </w:t>
      </w:r>
      <w:r w:rsidRPr="002C7A20">
        <w:rPr>
          <w:sz w:val="26"/>
          <w:szCs w:val="26"/>
          <w:rtl/>
          <w:lang w:val="en-US" w:bidi="ar-SA"/>
        </w:rPr>
        <w:t>اليونيدو</w:t>
      </w:r>
      <w:r w:rsidR="00D738BF" w:rsidRPr="002C7A20">
        <w:rPr>
          <w:sz w:val="26"/>
          <w:szCs w:val="26"/>
          <w:rtl/>
          <w:lang w:val="en-US" w:bidi="ar-SA"/>
        </w:rPr>
        <w:t xml:space="preserve"> أن النفقات الفعلية </w:t>
      </w:r>
      <w:r w:rsidR="00D738BF" w:rsidRPr="002C7A20">
        <w:rPr>
          <w:rFonts w:hint="eastAsia"/>
          <w:sz w:val="26"/>
          <w:szCs w:val="26"/>
          <w:rtl/>
          <w:lang w:val="en-US" w:bidi="ar-SA"/>
        </w:rPr>
        <w:t>في</w:t>
      </w:r>
      <w:r w:rsidR="00D738BF" w:rsidRPr="002C7A20">
        <w:rPr>
          <w:sz w:val="26"/>
          <w:szCs w:val="26"/>
          <w:rtl/>
          <w:lang w:val="en-US" w:bidi="ar-SA"/>
        </w:rPr>
        <w:t xml:space="preserve"> عام 2019 كانت على نفس مستوى التكاليف </w:t>
      </w:r>
      <w:r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Pr="002C7A20">
        <w:rPr>
          <w:sz w:val="26"/>
          <w:szCs w:val="26"/>
          <w:rtl/>
          <w:lang w:val="en-US" w:bidi="ar-SA"/>
        </w:rPr>
        <w:t xml:space="preserve"> تقريبًا</w:t>
      </w:r>
      <w:r w:rsidR="00D738BF" w:rsidRPr="002C7A20">
        <w:rPr>
          <w:sz w:val="26"/>
          <w:szCs w:val="26"/>
          <w:rtl/>
          <w:lang w:val="en-US" w:bidi="ar-SA"/>
        </w:rPr>
        <w:t xml:space="preserve"> (بفارق 1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044 دولار أمريكي</w:t>
      </w:r>
      <w:r w:rsidR="00D738BF" w:rsidRPr="002C7A20">
        <w:rPr>
          <w:sz w:val="26"/>
          <w:szCs w:val="26"/>
          <w:rtl/>
          <w:lang w:val="en-US" w:bidi="ar-SA"/>
        </w:rPr>
        <w:t xml:space="preserve">).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>في عام 2020</w:t>
      </w:r>
      <w:r w:rsidR="00D738BF" w:rsidRPr="002C7A20">
        <w:rPr>
          <w:sz w:val="26"/>
          <w:szCs w:val="26"/>
          <w:rtl/>
          <w:lang w:val="en-US" w:bidi="ar-SA"/>
        </w:rPr>
        <w:t xml:space="preserve">، يُعزى الانخفاض في الخدمات التعاقدية </w:t>
      </w:r>
      <w:r w:rsidRPr="002C7A20">
        <w:rPr>
          <w:rFonts w:hint="cs"/>
          <w:sz w:val="26"/>
          <w:szCs w:val="26"/>
          <w:rtl/>
          <w:lang w:val="en-US" w:bidi="ar-SA"/>
        </w:rPr>
        <w:t>وقدره</w:t>
      </w:r>
      <w:r w:rsidR="00D738BF" w:rsidRPr="002C7A20">
        <w:rPr>
          <w:sz w:val="26"/>
          <w:szCs w:val="26"/>
          <w:rtl/>
          <w:lang w:val="en-US" w:bidi="ar-SA"/>
        </w:rPr>
        <w:t xml:space="preserve"> 14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D738BF" w:rsidRPr="002C7A20">
        <w:rPr>
          <w:sz w:val="26"/>
          <w:szCs w:val="26"/>
          <w:rtl/>
          <w:lang w:val="en-US" w:bidi="ar-SA"/>
        </w:rPr>
        <w:t>700 دولار أمريكي إلى ال</w:t>
      </w:r>
      <w:r w:rsidRPr="002C7A20">
        <w:rPr>
          <w:sz w:val="26"/>
          <w:szCs w:val="26"/>
          <w:rtl/>
          <w:lang w:val="en-US" w:bidi="ar-SA"/>
        </w:rPr>
        <w:t>وفورات في مجال الطباعة والترجمة</w:t>
      </w:r>
      <w:r w:rsidR="00D738BF" w:rsidRPr="002C7A20">
        <w:rPr>
          <w:sz w:val="26"/>
          <w:szCs w:val="26"/>
          <w:rtl/>
          <w:lang w:val="en-US" w:bidi="ar-SA"/>
        </w:rPr>
        <w:t>؛</w:t>
      </w:r>
    </w:p>
    <w:p w:rsidR="005A79B3" w:rsidRPr="002C7A20" w:rsidRDefault="005A79B3" w:rsidP="005A79B3">
      <w:pPr>
        <w:pStyle w:val="ListParagraph"/>
        <w:bidi/>
        <w:ind w:left="1260" w:hanging="540"/>
        <w:rPr>
          <w:sz w:val="26"/>
          <w:szCs w:val="26"/>
          <w:lang w:val="en-US" w:bidi="ar-SA"/>
        </w:rPr>
      </w:pPr>
    </w:p>
    <w:p w:rsidR="00D738BF" w:rsidRPr="002C7A20" w:rsidRDefault="005A79B3" w:rsidP="00472B66">
      <w:pPr>
        <w:pStyle w:val="ListParagraph"/>
        <w:numPr>
          <w:ilvl w:val="0"/>
          <w:numId w:val="12"/>
        </w:numPr>
        <w:bidi/>
        <w:ind w:left="1260" w:hanging="540"/>
        <w:rPr>
          <w:sz w:val="26"/>
          <w:szCs w:val="26"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D738BF" w:rsidRPr="002C7A20">
        <w:rPr>
          <w:sz w:val="26"/>
          <w:szCs w:val="26"/>
          <w:rtl/>
          <w:lang w:val="en-US" w:bidi="ar-SA"/>
        </w:rPr>
        <w:t xml:space="preserve">يمثل السفر 6.0 في المائة من إجمالي الميزانية.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و</w:t>
      </w:r>
      <w:r w:rsidR="00D738BF" w:rsidRPr="002C7A20">
        <w:rPr>
          <w:sz w:val="26"/>
          <w:szCs w:val="26"/>
          <w:rtl/>
          <w:lang w:val="en-US" w:bidi="ar-SA"/>
        </w:rPr>
        <w:t>ميزانية السفر المقترحة (121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,</w:t>
      </w:r>
      <w:r w:rsidR="00D738BF" w:rsidRPr="002C7A20">
        <w:rPr>
          <w:sz w:val="26"/>
          <w:szCs w:val="26"/>
          <w:rtl/>
          <w:lang w:val="en-US" w:bidi="ar-SA"/>
        </w:rPr>
        <w:t>700 دولار أمري</w:t>
      </w:r>
      <w:r w:rsidR="000D3F69" w:rsidRPr="002C7A20">
        <w:rPr>
          <w:sz w:val="26"/>
          <w:szCs w:val="26"/>
          <w:rtl/>
          <w:lang w:val="en-US" w:bidi="ar-SA"/>
        </w:rPr>
        <w:t xml:space="preserve">كي) أعلى من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="000D3F69" w:rsidRPr="002C7A20">
        <w:rPr>
          <w:sz w:val="26"/>
          <w:szCs w:val="26"/>
          <w:rtl/>
          <w:lang w:val="en-US" w:bidi="ar-SA"/>
        </w:rPr>
        <w:t xml:space="preserve"> لعام 2020</w:t>
      </w:r>
      <w:r w:rsidR="00D738BF" w:rsidRPr="002C7A20">
        <w:rPr>
          <w:sz w:val="26"/>
          <w:szCs w:val="26"/>
          <w:rtl/>
          <w:lang w:val="en-US" w:bidi="ar-SA"/>
        </w:rPr>
        <w:t>، وأقل من نطاق التكلفة المتكبدة منذ عام 2011 (137،864 دولار أمريكي إلى 284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,</w:t>
      </w:r>
      <w:r w:rsidR="00D738BF" w:rsidRPr="002C7A20">
        <w:rPr>
          <w:sz w:val="26"/>
          <w:szCs w:val="26"/>
          <w:rtl/>
          <w:lang w:val="en-US" w:bidi="ar-SA"/>
        </w:rPr>
        <w:t xml:space="preserve">000 دولار أمريكي).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وأفادت</w:t>
      </w:r>
      <w:r w:rsidR="00D738BF" w:rsidRPr="002C7A20">
        <w:rPr>
          <w:sz w:val="26"/>
          <w:szCs w:val="26"/>
          <w:rtl/>
          <w:lang w:val="en-US" w:bidi="ar-SA"/>
        </w:rPr>
        <w:t xml:space="preserve">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 xml:space="preserve">اليونيدو </w:t>
      </w:r>
      <w:r w:rsidR="00D738BF" w:rsidRPr="002C7A20">
        <w:rPr>
          <w:sz w:val="26"/>
          <w:szCs w:val="26"/>
          <w:rtl/>
          <w:lang w:val="en-US" w:bidi="ar-SA"/>
        </w:rPr>
        <w:t xml:space="preserve">أنه تم فرض قيود على السفر في عام 2020 بسبب جائحة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كوفيد-19</w:t>
      </w:r>
      <w:r w:rsidR="00D738BF" w:rsidRPr="002C7A20">
        <w:rPr>
          <w:sz w:val="26"/>
          <w:szCs w:val="26"/>
          <w:rtl/>
          <w:lang w:val="en-US" w:bidi="ar-SA"/>
        </w:rPr>
        <w:t xml:space="preserve">، مع انخفاض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 xml:space="preserve">تقديري </w:t>
      </w:r>
      <w:r w:rsidR="00D738BF" w:rsidRPr="002C7A20">
        <w:rPr>
          <w:sz w:val="26"/>
          <w:szCs w:val="26"/>
          <w:rtl/>
          <w:lang w:val="en-US" w:bidi="ar-SA"/>
        </w:rPr>
        <w:t>يقدر بنحو 147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,</w:t>
      </w:r>
      <w:r w:rsidR="000D3F69" w:rsidRPr="002C7A20">
        <w:rPr>
          <w:sz w:val="26"/>
          <w:szCs w:val="26"/>
          <w:rtl/>
          <w:lang w:val="en-US" w:bidi="ar-SA"/>
        </w:rPr>
        <w:t>500 دولار أمريكي؛ ومع ذلك</w:t>
      </w:r>
      <w:r w:rsidR="00D738BF" w:rsidRPr="002C7A20">
        <w:rPr>
          <w:sz w:val="26"/>
          <w:szCs w:val="26"/>
          <w:rtl/>
          <w:lang w:val="en-US" w:bidi="ar-SA"/>
        </w:rPr>
        <w:t>، من ال</w:t>
      </w:r>
      <w:r w:rsidR="000D3F69" w:rsidRPr="002C7A20">
        <w:rPr>
          <w:sz w:val="26"/>
          <w:szCs w:val="26"/>
          <w:rtl/>
          <w:lang w:val="en-US" w:bidi="ar-SA"/>
        </w:rPr>
        <w:t>متوقع استئناف السفر في عام 2021</w:t>
      </w:r>
      <w:r w:rsidR="00D738BF" w:rsidRPr="002C7A20">
        <w:rPr>
          <w:sz w:val="26"/>
          <w:szCs w:val="26"/>
          <w:rtl/>
          <w:lang w:val="en-US" w:bidi="ar-SA"/>
        </w:rPr>
        <w:t>، عند مستوى 121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,</w:t>
      </w:r>
      <w:r w:rsidR="000D3F69" w:rsidRPr="002C7A20">
        <w:rPr>
          <w:sz w:val="26"/>
          <w:szCs w:val="26"/>
          <w:rtl/>
          <w:lang w:val="en-US" w:bidi="ar-SA"/>
        </w:rPr>
        <w:t xml:space="preserve">700 دولار أمريكي؛ </w:t>
      </w:r>
    </w:p>
    <w:p w:rsidR="000D3F69" w:rsidRPr="002C7A20" w:rsidRDefault="000D3F69" w:rsidP="000D3F69">
      <w:pPr>
        <w:pStyle w:val="ListParagraph"/>
        <w:bidi/>
        <w:ind w:left="1260"/>
        <w:rPr>
          <w:sz w:val="26"/>
          <w:szCs w:val="26"/>
          <w:lang w:val="en-US" w:bidi="ar-SA"/>
        </w:rPr>
      </w:pPr>
    </w:p>
    <w:p w:rsidR="00D738BF" w:rsidRPr="002C7A20" w:rsidRDefault="00D738BF" w:rsidP="000D3F69">
      <w:pPr>
        <w:bidi/>
        <w:ind w:left="1260" w:hanging="54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(هـ) </w:t>
      </w:r>
      <w:r w:rsidR="005A79B3" w:rsidRPr="002C7A20">
        <w:rPr>
          <w:rFonts w:hint="cs"/>
          <w:sz w:val="26"/>
          <w:szCs w:val="26"/>
          <w:rtl/>
          <w:lang w:val="en-US" w:bidi="ar-SA"/>
        </w:rPr>
        <w:t>و</w:t>
      </w:r>
      <w:r w:rsidRPr="002C7A20">
        <w:rPr>
          <w:sz w:val="26"/>
          <w:szCs w:val="26"/>
          <w:rtl/>
          <w:lang w:val="en-US" w:bidi="ar-SA"/>
        </w:rPr>
        <w:t xml:space="preserve">يمثل تأجير 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المكان</w:t>
      </w:r>
      <w:r w:rsidRPr="002C7A20">
        <w:rPr>
          <w:sz w:val="26"/>
          <w:szCs w:val="26"/>
          <w:rtl/>
          <w:lang w:val="en-US" w:bidi="ar-SA"/>
        </w:rPr>
        <w:t xml:space="preserve"> 3</w:t>
      </w:r>
      <w:r w:rsidR="000D3F69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7 في المائة من إجمالي الميزانية.</w:t>
      </w:r>
    </w:p>
    <w:p w:rsidR="00CD7222" w:rsidRPr="002C7A20" w:rsidRDefault="00CD7222" w:rsidP="00CD7222">
      <w:pPr>
        <w:bidi/>
        <w:rPr>
          <w:sz w:val="26"/>
          <w:szCs w:val="26"/>
          <w:u w:val="single"/>
          <w:rtl/>
          <w:lang w:val="en-US" w:bidi="ar-SA"/>
        </w:rPr>
      </w:pPr>
    </w:p>
    <w:p w:rsidR="00CD7222" w:rsidRPr="002C7A20" w:rsidRDefault="00CD7222" w:rsidP="00CD7222">
      <w:pPr>
        <w:bidi/>
        <w:rPr>
          <w:sz w:val="26"/>
          <w:szCs w:val="26"/>
          <w:u w:val="single"/>
          <w:rtl/>
          <w:lang w:val="en-US" w:bidi="ar-SA"/>
        </w:rPr>
      </w:pPr>
      <w:r w:rsidRPr="002C7A20">
        <w:rPr>
          <w:sz w:val="26"/>
          <w:szCs w:val="26"/>
          <w:u w:val="single"/>
          <w:rtl/>
          <w:lang w:val="en-US" w:bidi="ar-SA"/>
        </w:rPr>
        <w:t>إجمالي التكاليف الإدارية</w:t>
      </w:r>
    </w:p>
    <w:p w:rsidR="00DA78F0" w:rsidRPr="002C7A20" w:rsidRDefault="00DA78F0" w:rsidP="00DA78F0">
      <w:pPr>
        <w:bidi/>
        <w:rPr>
          <w:sz w:val="26"/>
          <w:szCs w:val="26"/>
          <w:lang w:val="en-US" w:bidi="ar-SA"/>
        </w:rPr>
      </w:pPr>
    </w:p>
    <w:p w:rsidR="00CD7222" w:rsidRPr="002C7A20" w:rsidRDefault="00CD722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>إجمالي التكاليف الإدارية الصافية مُقترَحة بمبلغ 5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052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="001B1C6C" w:rsidRPr="002C7A20">
        <w:rPr>
          <w:sz w:val="26"/>
          <w:szCs w:val="26"/>
          <w:rtl/>
          <w:lang w:val="en-US" w:bidi="ar-SA"/>
        </w:rPr>
        <w:t>200 دولار أمريكي لعام 2021</w:t>
      </w:r>
      <w:r w:rsidRPr="002C7A20">
        <w:rPr>
          <w:sz w:val="26"/>
          <w:szCs w:val="26"/>
          <w:rtl/>
          <w:lang w:val="en-US" w:bidi="ar-SA"/>
        </w:rPr>
        <w:t xml:space="preserve">، وهو أعلى من التكاليف المقدرة لعام 2020 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وقدرها</w:t>
      </w:r>
      <w:r w:rsidRPr="002C7A20">
        <w:rPr>
          <w:sz w:val="26"/>
          <w:szCs w:val="26"/>
          <w:rtl/>
          <w:lang w:val="en-US" w:bidi="ar-SA"/>
        </w:rPr>
        <w:t xml:space="preserve"> 4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538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900 دولار أمريكي ولكن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ه</w:t>
      </w:r>
      <w:r w:rsidRPr="002C7A20">
        <w:rPr>
          <w:sz w:val="26"/>
          <w:szCs w:val="26"/>
          <w:rtl/>
          <w:lang w:val="en-US" w:bidi="ar-SA"/>
        </w:rPr>
        <w:t xml:space="preserve"> في نطاق التكاليف بين عامي 2011 و 2020 (4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009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636 دولار أمريكي إلى 6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821</w:t>
      </w:r>
      <w:r w:rsidR="001B1C6C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000 دولار أمريكي).</w:t>
      </w:r>
    </w:p>
    <w:p w:rsidR="00CD7222" w:rsidRPr="002C7A20" w:rsidRDefault="00CD722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تعتبر المبالغ المسددة للمكاتب القطرية والتنفيذ الوطني في الميزانية </w:t>
      </w:r>
      <w:r w:rsidR="009363E5" w:rsidRPr="002C7A20">
        <w:rPr>
          <w:rFonts w:hint="cs"/>
          <w:sz w:val="26"/>
          <w:szCs w:val="26"/>
          <w:rtl/>
          <w:lang w:val="en-US" w:bidi="ar-SA"/>
        </w:rPr>
        <w:t>بقسمة</w:t>
      </w:r>
      <w:r w:rsidRPr="002C7A20">
        <w:rPr>
          <w:sz w:val="26"/>
          <w:szCs w:val="26"/>
          <w:rtl/>
          <w:lang w:val="en-US" w:bidi="ar-SA"/>
        </w:rPr>
        <w:t xml:space="preserve"> 1</w:t>
      </w:r>
      <w:r w:rsidR="009363E5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444</w:t>
      </w:r>
      <w:r w:rsidR="009363E5" w:rsidRPr="002C7A20">
        <w:rPr>
          <w:rFonts w:hint="cs"/>
          <w:sz w:val="26"/>
          <w:szCs w:val="26"/>
          <w:rtl/>
          <w:lang w:val="en-US" w:bidi="ar-SA"/>
        </w:rPr>
        <w:t>,</w:t>
      </w:r>
      <w:r w:rsidR="009363E5" w:rsidRPr="002C7A20">
        <w:rPr>
          <w:sz w:val="26"/>
          <w:szCs w:val="26"/>
          <w:rtl/>
          <w:lang w:val="en-US" w:bidi="ar-SA"/>
        </w:rPr>
        <w:t>000 دولار أمريكي لعام 2021</w:t>
      </w:r>
      <w:r w:rsidRPr="002C7A20">
        <w:rPr>
          <w:sz w:val="26"/>
          <w:szCs w:val="26"/>
          <w:rtl/>
          <w:lang w:val="en-US" w:bidi="ar-SA"/>
        </w:rPr>
        <w:t xml:space="preserve">، أعلى من التكاليف </w:t>
      </w:r>
      <w:r w:rsidR="009363E5" w:rsidRPr="002C7A20">
        <w:rPr>
          <w:rFonts w:hint="cs"/>
          <w:sz w:val="26"/>
          <w:szCs w:val="26"/>
          <w:rtl/>
          <w:lang w:val="en-US" w:bidi="ar-SA"/>
        </w:rPr>
        <w:t>التقديرية</w:t>
      </w:r>
      <w:r w:rsidRPr="002C7A20">
        <w:rPr>
          <w:sz w:val="26"/>
          <w:szCs w:val="26"/>
          <w:rtl/>
          <w:lang w:val="en-US" w:bidi="ar-SA"/>
        </w:rPr>
        <w:t xml:space="preserve"> لعام 2020 (1</w:t>
      </w:r>
      <w:r w:rsidR="009363E5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240</w:t>
      </w:r>
      <w:r w:rsidR="009363E5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400 دولار أمريكي) والتكاليف الفعلية لعام 2019 (1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339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,</w:t>
      </w:r>
      <w:r w:rsidR="00395E73" w:rsidRPr="002C7A20">
        <w:rPr>
          <w:sz w:val="26"/>
          <w:szCs w:val="26"/>
          <w:rtl/>
          <w:lang w:val="en-US" w:bidi="ar-SA"/>
        </w:rPr>
        <w:t>603 دولار أمريكي). ومع ذلك</w:t>
      </w:r>
      <w:r w:rsidRPr="002C7A20">
        <w:rPr>
          <w:sz w:val="26"/>
          <w:szCs w:val="26"/>
          <w:rtl/>
          <w:lang w:val="en-US" w:bidi="ar-SA"/>
        </w:rPr>
        <w:t xml:space="preserve">، هذا </w:t>
      </w:r>
      <w:r w:rsidR="00395E73" w:rsidRPr="002C7A20">
        <w:rPr>
          <w:sz w:val="26"/>
          <w:szCs w:val="26"/>
          <w:rtl/>
          <w:lang w:val="en-US" w:bidi="ar-SA"/>
        </w:rPr>
        <w:t>المبلغ أقل من السنوات السابقة (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ي</w:t>
      </w:r>
      <w:r w:rsidRPr="002C7A20">
        <w:rPr>
          <w:sz w:val="26"/>
          <w:szCs w:val="26"/>
          <w:rtl/>
          <w:lang w:val="en-US" w:bidi="ar-SA"/>
        </w:rPr>
        <w:t>تراوح بين 1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814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900 دولار أمريكي إلى 3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602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 xml:space="preserve">000 دولار أمريكي بين عامي 2011 و 2014). وأوضحت اليونيدو أن الزيادات في عامي 2019 و 2020 </w:t>
      </w:r>
      <w:r w:rsidR="00395E73" w:rsidRPr="002C7A20">
        <w:rPr>
          <w:rFonts w:hint="cs"/>
          <w:sz w:val="26"/>
          <w:szCs w:val="26"/>
          <w:rtl/>
          <w:lang w:val="en-US" w:bidi="ar-SA"/>
        </w:rPr>
        <w:t>تعزى</w:t>
      </w:r>
      <w:r w:rsidRPr="002C7A20">
        <w:rPr>
          <w:sz w:val="26"/>
          <w:szCs w:val="26"/>
          <w:rtl/>
          <w:lang w:val="en-US" w:bidi="ar-SA"/>
        </w:rPr>
        <w:t xml:space="preserve"> إلى التغيير الهيكلي في حافظة أنشطة التعاون التقني لليونيدو وتعزيز تمثيل اليونيدو الميداني من خلال ملء عدد كبير من الوظائف الشاغرة في الميدان بهدف تعزيز الدعم.</w:t>
      </w:r>
    </w:p>
    <w:p w:rsidR="00CD7222" w:rsidRPr="002C7A20" w:rsidRDefault="00255329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2C7A20">
        <w:rPr>
          <w:rFonts w:hint="cs"/>
          <w:sz w:val="26"/>
          <w:szCs w:val="26"/>
          <w:rtl/>
          <w:lang w:val="en-US" w:bidi="ar-SA"/>
        </w:rPr>
        <w:t>إن</w:t>
      </w:r>
      <w:r w:rsidR="00CD7222" w:rsidRPr="002C7A20">
        <w:rPr>
          <w:sz w:val="26"/>
          <w:szCs w:val="26"/>
          <w:rtl/>
          <w:lang w:val="en-US" w:bidi="ar-SA"/>
        </w:rPr>
        <w:t xml:space="preserve"> تكلفة الوكالة المنفذة لعام 2021 (1</w:t>
      </w:r>
      <w:r w:rsidR="00C01DD5" w:rsidRPr="002C7A20">
        <w:rPr>
          <w:rFonts w:hint="cs"/>
          <w:sz w:val="26"/>
          <w:szCs w:val="26"/>
          <w:rtl/>
          <w:lang w:val="en-US" w:bidi="ar-SA"/>
        </w:rPr>
        <w:t>,</w:t>
      </w:r>
      <w:r w:rsidR="00CD7222" w:rsidRPr="002C7A20">
        <w:rPr>
          <w:sz w:val="26"/>
          <w:szCs w:val="26"/>
          <w:rtl/>
          <w:lang w:val="en-US" w:bidi="ar-SA"/>
        </w:rPr>
        <w:t>586</w:t>
      </w:r>
      <w:r w:rsidR="00C01DD5" w:rsidRPr="002C7A20">
        <w:rPr>
          <w:rFonts w:hint="cs"/>
          <w:sz w:val="26"/>
          <w:szCs w:val="26"/>
          <w:rtl/>
          <w:lang w:val="en-US" w:bidi="ar-SA"/>
        </w:rPr>
        <w:t>,</w:t>
      </w:r>
      <w:r w:rsidR="00CD7222" w:rsidRPr="002C7A20">
        <w:rPr>
          <w:sz w:val="26"/>
          <w:szCs w:val="26"/>
          <w:rtl/>
          <w:lang w:val="en-US" w:bidi="ar-SA"/>
        </w:rPr>
        <w:t xml:space="preserve">200 دولار أمريكي) </w:t>
      </w:r>
      <w:r w:rsidRPr="002C7A20">
        <w:rPr>
          <w:rFonts w:hint="cs"/>
          <w:sz w:val="26"/>
          <w:szCs w:val="26"/>
          <w:rtl/>
          <w:lang w:val="en-US" w:bidi="ar-SA"/>
        </w:rPr>
        <w:t xml:space="preserve">أعلى </w:t>
      </w:r>
      <w:r w:rsidR="00C01DD5" w:rsidRPr="002C7A20">
        <w:rPr>
          <w:rFonts w:hint="cs"/>
          <w:sz w:val="26"/>
          <w:szCs w:val="26"/>
          <w:rtl/>
          <w:lang w:val="en-US" w:bidi="ar-SA"/>
        </w:rPr>
        <w:t xml:space="preserve">بقيمة </w:t>
      </w:r>
      <w:r w:rsidR="00C01DD5" w:rsidRPr="002C7A20">
        <w:rPr>
          <w:sz w:val="26"/>
          <w:szCs w:val="26"/>
          <w:rtl/>
          <w:lang w:val="en-US" w:bidi="ar-SA"/>
        </w:rPr>
        <w:t>212</w:t>
      </w:r>
      <w:r w:rsidR="00C01DD5" w:rsidRPr="002C7A20">
        <w:rPr>
          <w:rFonts w:hint="cs"/>
          <w:sz w:val="26"/>
          <w:szCs w:val="26"/>
          <w:rtl/>
          <w:lang w:val="en-US" w:bidi="ar-SA"/>
        </w:rPr>
        <w:t>,</w:t>
      </w:r>
      <w:r w:rsidR="00C01DD5" w:rsidRPr="002C7A20">
        <w:rPr>
          <w:sz w:val="26"/>
          <w:szCs w:val="26"/>
          <w:rtl/>
          <w:lang w:val="en-US" w:bidi="ar-SA"/>
        </w:rPr>
        <w:t xml:space="preserve">100 دولار أمريكي </w:t>
      </w:r>
      <w:r w:rsidRPr="002C7A20">
        <w:rPr>
          <w:rFonts w:hint="cs"/>
          <w:sz w:val="26"/>
          <w:szCs w:val="26"/>
          <w:rtl/>
          <w:lang w:val="en-US" w:bidi="ar-SA"/>
        </w:rPr>
        <w:t>م</w:t>
      </w:r>
      <w:r w:rsidR="00CD7222" w:rsidRPr="002C7A20">
        <w:rPr>
          <w:sz w:val="26"/>
          <w:szCs w:val="26"/>
          <w:rtl/>
          <w:lang w:val="en-US" w:bidi="ar-SA"/>
        </w:rPr>
        <w:t xml:space="preserve">ن </w:t>
      </w:r>
      <w:r w:rsidR="00C01DD5" w:rsidRPr="002C7A20">
        <w:rPr>
          <w:rFonts w:hint="cs"/>
          <w:sz w:val="26"/>
          <w:szCs w:val="26"/>
          <w:rtl/>
          <w:lang w:val="en-US" w:bidi="ar-SA"/>
        </w:rPr>
        <w:t>الميزانية التقديرية</w:t>
      </w:r>
      <w:r w:rsidR="00CD7222" w:rsidRPr="002C7A20">
        <w:rPr>
          <w:sz w:val="26"/>
          <w:szCs w:val="26"/>
          <w:rtl/>
          <w:lang w:val="en-US" w:bidi="ar-SA"/>
        </w:rPr>
        <w:t xml:space="preserve"> </w:t>
      </w:r>
      <w:r w:rsidR="00C01DD5" w:rsidRPr="002C7A20">
        <w:rPr>
          <w:rFonts w:hint="cs"/>
          <w:sz w:val="26"/>
          <w:szCs w:val="26"/>
          <w:rtl/>
          <w:lang w:val="en-US" w:bidi="ar-SA"/>
        </w:rPr>
        <w:t>ل</w:t>
      </w:r>
      <w:r w:rsidRPr="002C7A20">
        <w:rPr>
          <w:sz w:val="26"/>
          <w:szCs w:val="26"/>
          <w:rtl/>
          <w:lang w:val="en-US" w:bidi="ar-SA"/>
        </w:rPr>
        <w:t>عام 2020</w:t>
      </w:r>
      <w:r w:rsidR="00CD7222" w:rsidRPr="002C7A20">
        <w:rPr>
          <w:sz w:val="26"/>
          <w:szCs w:val="26"/>
          <w:rtl/>
          <w:lang w:val="en-US" w:bidi="ar-SA"/>
        </w:rPr>
        <w:t xml:space="preserve">، وأعلى </w:t>
      </w:r>
      <w:r w:rsidRPr="002C7A20">
        <w:rPr>
          <w:rFonts w:hint="cs"/>
          <w:sz w:val="26"/>
          <w:szCs w:val="26"/>
          <w:rtl/>
          <w:lang w:val="en-US" w:bidi="ar-SA"/>
        </w:rPr>
        <w:t>بقيمة</w:t>
      </w:r>
      <w:r w:rsidR="00CD7222" w:rsidRPr="002C7A20">
        <w:rPr>
          <w:sz w:val="26"/>
          <w:szCs w:val="26"/>
          <w:rtl/>
          <w:lang w:val="en-US" w:bidi="ar-SA"/>
        </w:rPr>
        <w:t xml:space="preserve"> 199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Pr="002C7A20">
        <w:rPr>
          <w:sz w:val="26"/>
          <w:szCs w:val="26"/>
          <w:rtl/>
          <w:lang w:val="en-US" w:bidi="ar-SA"/>
        </w:rPr>
        <w:t>607 دولار أمريكي</w:t>
      </w:r>
      <w:r w:rsidR="00CD7222" w:rsidRPr="002C7A20">
        <w:rPr>
          <w:sz w:val="26"/>
          <w:szCs w:val="26"/>
          <w:rtl/>
          <w:lang w:val="en-US" w:bidi="ar-SA"/>
        </w:rPr>
        <w:t xml:space="preserve"> من التكلفة الفعلية لعام 2019. </w:t>
      </w:r>
      <w:r w:rsidRPr="002C7A20">
        <w:rPr>
          <w:rFonts w:hint="cs"/>
          <w:sz w:val="26"/>
          <w:szCs w:val="26"/>
          <w:rtl/>
          <w:lang w:val="en-US" w:bidi="ar-SA"/>
        </w:rPr>
        <w:t>و</w:t>
      </w:r>
      <w:r w:rsidR="00CD7222" w:rsidRPr="002C7A20">
        <w:rPr>
          <w:sz w:val="26"/>
          <w:szCs w:val="26"/>
          <w:rtl/>
          <w:lang w:val="en-US" w:bidi="ar-SA"/>
        </w:rPr>
        <w:t>تراوحت تكاليف الوكالة المنفذة من</w:t>
      </w:r>
      <w:r w:rsidRPr="002C7A20">
        <w:rPr>
          <w:sz w:val="26"/>
          <w:szCs w:val="26"/>
          <w:lang w:val="en-CA"/>
        </w:rPr>
        <w:t xml:space="preserve">1,354,611 </w:t>
      </w:r>
      <w:r w:rsidRPr="002C7A20">
        <w:rPr>
          <w:rFonts w:hint="cs"/>
          <w:sz w:val="26"/>
          <w:szCs w:val="26"/>
          <w:rtl/>
          <w:lang w:val="en-US" w:bidi="ar-SA"/>
        </w:rPr>
        <w:t xml:space="preserve"> </w:t>
      </w:r>
      <w:r w:rsidR="00CD7222" w:rsidRPr="002C7A20">
        <w:rPr>
          <w:sz w:val="26"/>
          <w:szCs w:val="26"/>
          <w:rtl/>
          <w:lang w:val="en-US" w:bidi="ar-SA"/>
        </w:rPr>
        <w:t>دولار أمريكي إلى 3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CD7222" w:rsidRPr="002C7A20">
        <w:rPr>
          <w:sz w:val="26"/>
          <w:szCs w:val="26"/>
          <w:rtl/>
          <w:lang w:val="en-US" w:bidi="ar-SA"/>
        </w:rPr>
        <w:t>302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CD7222" w:rsidRPr="002C7A20">
        <w:rPr>
          <w:sz w:val="26"/>
          <w:szCs w:val="26"/>
          <w:rtl/>
          <w:lang w:val="en-US" w:bidi="ar-SA"/>
        </w:rPr>
        <w:t xml:space="preserve">800 دولار أمريكي للفترة 2011-2020. وأوضحت </w:t>
      </w:r>
      <w:r w:rsidRPr="002C7A20">
        <w:rPr>
          <w:rFonts w:hint="cs"/>
          <w:sz w:val="26"/>
          <w:szCs w:val="26"/>
          <w:rtl/>
          <w:lang w:val="en-US" w:bidi="ar-SA"/>
        </w:rPr>
        <w:t>اليونيدو</w:t>
      </w:r>
      <w:r w:rsidR="00CD7222" w:rsidRPr="002C7A20">
        <w:rPr>
          <w:sz w:val="26"/>
          <w:szCs w:val="26"/>
          <w:rtl/>
          <w:lang w:val="en-US" w:bidi="ar-SA"/>
        </w:rPr>
        <w:t xml:space="preserve"> (اليونيدو) أن الانخفاض في تكلفة دعم الوكالة المنفذة في عام 2019 </w:t>
      </w:r>
      <w:r w:rsidRPr="002C7A20">
        <w:rPr>
          <w:rFonts w:hint="cs"/>
          <w:sz w:val="26"/>
          <w:szCs w:val="26"/>
          <w:rtl/>
          <w:lang w:val="en-US" w:bidi="ar-SA"/>
        </w:rPr>
        <w:t>يعزى</w:t>
      </w:r>
      <w:r w:rsidR="00CD7222" w:rsidRPr="002C7A20">
        <w:rPr>
          <w:sz w:val="26"/>
          <w:szCs w:val="26"/>
          <w:rtl/>
          <w:lang w:val="en-US" w:bidi="ar-SA"/>
        </w:rPr>
        <w:t xml:space="preserve"> إلى التغيير في نموذج التنفيذ مع مركز </w:t>
      </w:r>
      <w:r w:rsidRPr="002C7A20">
        <w:rPr>
          <w:sz w:val="26"/>
          <w:szCs w:val="26"/>
          <w:rtl/>
          <w:lang w:val="en-US" w:bidi="ar-SA"/>
        </w:rPr>
        <w:t>التعاون البيئي الأجنبي في الصين</w:t>
      </w:r>
      <w:r w:rsidR="00CD7222" w:rsidRPr="002C7A20">
        <w:rPr>
          <w:sz w:val="26"/>
          <w:szCs w:val="26"/>
          <w:rtl/>
          <w:lang w:val="en-US" w:bidi="ar-SA"/>
        </w:rPr>
        <w:t xml:space="preserve">، </w:t>
      </w:r>
      <w:r w:rsidRPr="002C7A20">
        <w:rPr>
          <w:rFonts w:hint="cs"/>
          <w:sz w:val="26"/>
          <w:szCs w:val="26"/>
          <w:rtl/>
          <w:lang w:val="en-US" w:bidi="ar-SA"/>
        </w:rPr>
        <w:t>ويعزى</w:t>
      </w:r>
      <w:r w:rsidR="00CD7222" w:rsidRPr="002C7A20">
        <w:rPr>
          <w:sz w:val="26"/>
          <w:szCs w:val="26"/>
          <w:rtl/>
          <w:lang w:val="en-US" w:bidi="ar-SA"/>
        </w:rPr>
        <w:t xml:space="preserve"> الانخفاض المتوقع لعام 2020 (668</w:t>
      </w:r>
      <w:r w:rsidRPr="002C7A20">
        <w:rPr>
          <w:rFonts w:hint="cs"/>
          <w:sz w:val="26"/>
          <w:szCs w:val="26"/>
          <w:rtl/>
          <w:lang w:val="en-US" w:bidi="ar-SA"/>
        </w:rPr>
        <w:t>,</w:t>
      </w:r>
      <w:r w:rsidR="00CD7222" w:rsidRPr="002C7A20">
        <w:rPr>
          <w:sz w:val="26"/>
          <w:szCs w:val="26"/>
          <w:rtl/>
          <w:lang w:val="en-US" w:bidi="ar-SA"/>
        </w:rPr>
        <w:t xml:space="preserve">500 دولار أمريكي) </w:t>
      </w:r>
      <w:r w:rsidRPr="002C7A20">
        <w:rPr>
          <w:sz w:val="26"/>
          <w:szCs w:val="26"/>
          <w:rtl/>
          <w:lang w:val="en-US" w:bidi="ar-SA"/>
        </w:rPr>
        <w:t xml:space="preserve">إلى </w:t>
      </w:r>
      <w:r w:rsidRPr="002C7A20">
        <w:rPr>
          <w:rFonts w:hint="cs"/>
          <w:sz w:val="26"/>
          <w:szCs w:val="26"/>
          <w:rtl/>
          <w:lang w:val="en-US" w:bidi="ar-SA"/>
        </w:rPr>
        <w:t xml:space="preserve">إجراء </w:t>
      </w:r>
      <w:r w:rsidR="00CD7222" w:rsidRPr="002C7A20">
        <w:rPr>
          <w:sz w:val="26"/>
          <w:szCs w:val="26"/>
          <w:rtl/>
          <w:lang w:val="en-US" w:bidi="ar-SA"/>
        </w:rPr>
        <w:t>تعديلات على الاحتياجات الفعلية.</w:t>
      </w:r>
    </w:p>
    <w:p w:rsidR="00CD7222" w:rsidRPr="002C7A20" w:rsidRDefault="00CD722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lang w:val="en-US" w:bidi="ar-SA"/>
        </w:rPr>
      </w:pPr>
      <w:r w:rsidRPr="002C7A20">
        <w:rPr>
          <w:sz w:val="26"/>
          <w:szCs w:val="26"/>
          <w:rtl/>
          <w:lang w:val="en-US" w:bidi="ar-SA"/>
        </w:rPr>
        <w:t xml:space="preserve">وتشمل الموارد المتوقعة المتاحة لليونيدو من الصندوق </w:t>
      </w:r>
      <w:r w:rsidR="00255329" w:rsidRPr="002C7A20">
        <w:rPr>
          <w:rFonts w:hint="cs"/>
          <w:sz w:val="26"/>
          <w:szCs w:val="26"/>
          <w:rtl/>
          <w:lang w:val="en-US" w:bidi="ar-SA"/>
        </w:rPr>
        <w:t>ال</w:t>
      </w:r>
      <w:r w:rsidRPr="002C7A20">
        <w:rPr>
          <w:sz w:val="26"/>
          <w:szCs w:val="26"/>
          <w:rtl/>
          <w:lang w:val="en-US" w:bidi="ar-SA"/>
        </w:rPr>
        <w:t>متعدد الأطراف لتغطية التكاليف الإدارية تكاليف الوح</w:t>
      </w:r>
      <w:r w:rsidR="00255329" w:rsidRPr="002C7A20">
        <w:rPr>
          <w:sz w:val="26"/>
          <w:szCs w:val="26"/>
          <w:rtl/>
          <w:lang w:val="en-US" w:bidi="ar-SA"/>
        </w:rPr>
        <w:t>دة الأساسية وتكاليف دعم الوكالة</w:t>
      </w:r>
      <w:r w:rsidRPr="002C7A20">
        <w:rPr>
          <w:sz w:val="26"/>
          <w:szCs w:val="26"/>
          <w:rtl/>
          <w:lang w:val="en-US" w:bidi="ar-SA"/>
        </w:rPr>
        <w:t>، بالإضافة إلى أي رصيد في الإيرادات للتكالي</w:t>
      </w:r>
      <w:r w:rsidR="00255329" w:rsidRPr="002C7A20">
        <w:rPr>
          <w:sz w:val="26"/>
          <w:szCs w:val="26"/>
          <w:rtl/>
          <w:lang w:val="en-US" w:bidi="ar-SA"/>
        </w:rPr>
        <w:t xml:space="preserve">ف الإدارية لم يُستخدم من قبل. </w:t>
      </w:r>
      <w:r w:rsidR="00255329" w:rsidRPr="002C7A20">
        <w:rPr>
          <w:rFonts w:hint="cs"/>
          <w:sz w:val="26"/>
          <w:szCs w:val="26"/>
          <w:rtl/>
          <w:lang w:val="en-US" w:bidi="ar-SA"/>
        </w:rPr>
        <w:t>و</w:t>
      </w:r>
      <w:r w:rsidR="00255329" w:rsidRPr="002C7A20">
        <w:rPr>
          <w:sz w:val="26"/>
          <w:szCs w:val="26"/>
          <w:rtl/>
          <w:lang w:val="en-US" w:bidi="ar-SA"/>
        </w:rPr>
        <w:t>ل</w:t>
      </w:r>
      <w:r w:rsidR="00255329" w:rsidRPr="002C7A20">
        <w:rPr>
          <w:rFonts w:hint="cs"/>
          <w:sz w:val="26"/>
          <w:szCs w:val="26"/>
          <w:rtl/>
          <w:lang w:val="en-US" w:bidi="ar-SA"/>
        </w:rPr>
        <w:t>ن</w:t>
      </w:r>
      <w:r w:rsidRPr="002C7A20">
        <w:rPr>
          <w:sz w:val="26"/>
          <w:szCs w:val="26"/>
          <w:rtl/>
          <w:lang w:val="en-US" w:bidi="ar-SA"/>
        </w:rPr>
        <w:t xml:space="preserve"> تتاح تكاليف دعم الوكالة لليونيدو إلا بعد صرف تكاليف المشروع المعتمدة. </w:t>
      </w:r>
      <w:r w:rsidR="00255329" w:rsidRPr="002C7A20">
        <w:rPr>
          <w:rFonts w:hint="cs"/>
          <w:sz w:val="26"/>
          <w:szCs w:val="26"/>
          <w:rtl/>
          <w:lang w:val="en-US" w:bidi="ar-SA"/>
        </w:rPr>
        <w:t>ويعرض</w:t>
      </w:r>
      <w:r w:rsidRPr="002C7A20">
        <w:rPr>
          <w:sz w:val="26"/>
          <w:szCs w:val="26"/>
          <w:rtl/>
          <w:lang w:val="en-US" w:bidi="ar-SA"/>
        </w:rPr>
        <w:t xml:space="preserve"> الجدول 4 هذه المعلومات من</w:t>
      </w:r>
      <w:r w:rsidR="00255329" w:rsidRPr="002C7A20">
        <w:rPr>
          <w:rFonts w:hint="cs"/>
          <w:sz w:val="26"/>
          <w:szCs w:val="26"/>
          <w:rtl/>
          <w:lang w:val="en-US" w:bidi="ar-SA"/>
        </w:rPr>
        <w:t xml:space="preserve"> عام</w:t>
      </w:r>
      <w:r w:rsidRPr="002C7A20">
        <w:rPr>
          <w:sz w:val="26"/>
          <w:szCs w:val="26"/>
          <w:rtl/>
          <w:lang w:val="en-US" w:bidi="ar-SA"/>
        </w:rPr>
        <w:t xml:space="preserve"> 2017 إلى</w:t>
      </w:r>
      <w:r w:rsidR="00255329" w:rsidRPr="002C7A20">
        <w:rPr>
          <w:rFonts w:hint="cs"/>
          <w:sz w:val="26"/>
          <w:szCs w:val="26"/>
          <w:rtl/>
          <w:lang w:val="en-US" w:bidi="ar-SA"/>
        </w:rPr>
        <w:t xml:space="preserve"> عام</w:t>
      </w:r>
      <w:r w:rsidRPr="002C7A20">
        <w:rPr>
          <w:sz w:val="26"/>
          <w:szCs w:val="26"/>
          <w:rtl/>
          <w:lang w:val="en-US" w:bidi="ar-SA"/>
        </w:rPr>
        <w:t xml:space="preserve"> 2020.</w:t>
      </w:r>
    </w:p>
    <w:p w:rsidR="00CD7222" w:rsidRPr="002C7A20" w:rsidRDefault="00CD7222" w:rsidP="00CD7222">
      <w:pPr>
        <w:bidi/>
        <w:rPr>
          <w:sz w:val="26"/>
          <w:szCs w:val="26"/>
          <w:lang w:val="en-US" w:bidi="ar-SA"/>
        </w:rPr>
      </w:pPr>
    </w:p>
    <w:p w:rsidR="00ED67F5" w:rsidRPr="002C7A20" w:rsidRDefault="00CD7222" w:rsidP="00ED67F5">
      <w:pPr>
        <w:bidi/>
        <w:rPr>
          <w:b/>
          <w:bCs/>
          <w:sz w:val="26"/>
          <w:szCs w:val="26"/>
          <w:rtl/>
          <w:lang w:val="en-US" w:bidi="ar-SA"/>
        </w:rPr>
      </w:pPr>
      <w:r w:rsidRPr="002C7A20">
        <w:rPr>
          <w:b/>
          <w:bCs/>
          <w:sz w:val="26"/>
          <w:szCs w:val="26"/>
          <w:rtl/>
          <w:lang w:val="en-US" w:bidi="ar-SA"/>
        </w:rPr>
        <w:t>الجدول 4- تقييم مدى توافر الدخل للتكاليف</w:t>
      </w:r>
      <w:r w:rsidR="00ED67F5" w:rsidRPr="002C7A20">
        <w:rPr>
          <w:b/>
          <w:bCs/>
          <w:sz w:val="26"/>
          <w:szCs w:val="26"/>
          <w:rtl/>
          <w:lang w:val="en-US" w:bidi="ar-SA"/>
        </w:rPr>
        <w:t xml:space="preserve"> الإدارية المستقبلية لليونيدو (دولار </w:t>
      </w:r>
      <w:r w:rsidR="00ED67F5" w:rsidRPr="002C7A20">
        <w:rPr>
          <w:rFonts w:hint="cs"/>
          <w:b/>
          <w:bCs/>
          <w:sz w:val="26"/>
          <w:szCs w:val="26"/>
          <w:rtl/>
          <w:lang w:val="en-US" w:bidi="ar-SA"/>
        </w:rPr>
        <w:t>أمريكي</w:t>
      </w:r>
      <w:r w:rsidRPr="002C7A20">
        <w:rPr>
          <w:b/>
          <w:bCs/>
          <w:sz w:val="26"/>
          <w:szCs w:val="26"/>
          <w:rtl/>
          <w:lang w:val="en-US" w:bidi="ar-SA"/>
        </w:rPr>
        <w:t>)</w:t>
      </w:r>
      <w:r w:rsidRPr="002C7A20">
        <w:rPr>
          <w:b/>
          <w:bCs/>
          <w:sz w:val="26"/>
          <w:szCs w:val="26"/>
          <w:rtl/>
        </w:rPr>
        <w:t xml:space="preserve"> </w:t>
      </w:r>
    </w:p>
    <w:tbl>
      <w:tblPr>
        <w:tblpPr w:leftFromText="180" w:rightFromText="180" w:vertAnchor="text" w:tblpY="1"/>
        <w:tblOverlap w:val="never"/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4315"/>
        <w:gridCol w:w="1260"/>
        <w:gridCol w:w="1350"/>
        <w:gridCol w:w="1260"/>
        <w:gridCol w:w="1170"/>
      </w:tblGrid>
      <w:tr w:rsidR="00ED67F5" w:rsidRPr="00E2441A" w:rsidTr="00840016">
        <w:trPr>
          <w:trHeight w:val="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ED67F5" w:rsidRPr="00E2441A" w:rsidRDefault="00520A73" w:rsidP="00520A73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الوصف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F5" w:rsidRPr="00E2441A" w:rsidRDefault="00ED67F5" w:rsidP="00892AC1">
            <w:pPr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F5" w:rsidRPr="00E2441A" w:rsidRDefault="00ED67F5" w:rsidP="00892AC1">
            <w:pPr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F5" w:rsidRPr="00E2441A" w:rsidRDefault="00ED67F5" w:rsidP="00892AC1">
            <w:pPr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F5" w:rsidRPr="00E2441A" w:rsidRDefault="007C269A" w:rsidP="007C269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2020*</w:t>
            </w:r>
          </w:p>
        </w:tc>
      </w:tr>
      <w:tr w:rsidR="00ED67F5" w:rsidRPr="00E2441A" w:rsidTr="00840016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116281" w:rsidRPr="00116281" w:rsidRDefault="004440FA" w:rsidP="004440FA">
            <w:pPr>
              <w:bidi/>
              <w:jc w:val="left"/>
              <w:rPr>
                <w:sz w:val="21"/>
                <w:szCs w:val="21"/>
                <w:rtl/>
                <w:lang w:val="en-US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US" w:eastAsia="en-CA" w:bidi="ar-SA"/>
              </w:rPr>
              <w:t xml:space="preserve">صافي </w:t>
            </w:r>
            <w:r w:rsidR="00116281">
              <w:rPr>
                <w:rFonts w:hint="cs"/>
                <w:sz w:val="21"/>
                <w:szCs w:val="21"/>
                <w:rtl/>
                <w:lang w:val="en-US" w:eastAsia="en-CA" w:bidi="ar-SA"/>
              </w:rPr>
              <w:t>تكاليف دعم الوكالة بالإضافة إلى تكاليف الوحدة الأساسية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3,415,244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4,432,565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3,469,423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4,249,537</w:t>
            </w:r>
          </w:p>
        </w:tc>
      </w:tr>
      <w:tr w:rsidR="00ED67F5" w:rsidRPr="00E2441A" w:rsidTr="00840016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116281" w:rsidRPr="00116281" w:rsidRDefault="00116281" w:rsidP="00116281">
            <w:pPr>
              <w:bidi/>
              <w:ind w:right="-105"/>
              <w:jc w:val="left"/>
              <w:rPr>
                <w:sz w:val="21"/>
                <w:szCs w:val="21"/>
                <w:rtl/>
                <w:lang w:val="en-US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US" w:eastAsia="en-CA" w:bidi="ar-SA"/>
              </w:rPr>
              <w:t>إجمالي التكاليف الإدارية باستثناء تكاليف المشروع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4,412,900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4,009,636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4,796,033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4,538,900</w:t>
            </w:r>
          </w:p>
        </w:tc>
      </w:tr>
      <w:tr w:rsidR="00ED67F5" w:rsidRPr="00E2441A" w:rsidTr="00840016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ED67F5" w:rsidRPr="00E2441A" w:rsidRDefault="00371975" w:rsidP="00371975">
            <w:pPr>
              <w:bidi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rFonts w:hint="cs"/>
                <w:sz w:val="21"/>
                <w:szCs w:val="21"/>
                <w:rtl/>
                <w:lang w:val="en-CA" w:eastAsia="en-CA"/>
              </w:rPr>
              <w:t>الرصيد السنوي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(997,656)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422,929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(1,326,610)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(289,363)</w:t>
            </w:r>
          </w:p>
        </w:tc>
      </w:tr>
      <w:tr w:rsidR="00ED67F5" w:rsidRPr="00E2441A" w:rsidTr="00840016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ED67F5" w:rsidRPr="00E2441A" w:rsidRDefault="00C93DA4" w:rsidP="00C93DA4">
            <w:pPr>
              <w:bidi/>
              <w:ind w:right="-105"/>
              <w:jc w:val="left"/>
              <w:rPr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eastAsia="en-CA"/>
              </w:rPr>
              <w:t>الرصيد الجاري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(3,042,315)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(2,619,386)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(3,945,996)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:rsidR="00ED67F5" w:rsidRPr="00E2441A" w:rsidRDefault="00ED67F5" w:rsidP="00892AC1">
            <w:pPr>
              <w:ind w:left="-147"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</w:rPr>
              <w:t>(4,235,359)</w:t>
            </w:r>
          </w:p>
        </w:tc>
      </w:tr>
    </w:tbl>
    <w:p w:rsidR="00CD7222" w:rsidRPr="00AC1660" w:rsidRDefault="00CD7222" w:rsidP="00417513">
      <w:pPr>
        <w:bidi/>
        <w:rPr>
          <w:sz w:val="20"/>
          <w:lang w:val="en-US" w:bidi="ar-SA"/>
        </w:rPr>
      </w:pPr>
      <w:r w:rsidRPr="00AC1660">
        <w:rPr>
          <w:sz w:val="20"/>
          <w:rtl/>
          <w:lang w:val="en-US" w:bidi="ar-SA"/>
        </w:rPr>
        <w:t xml:space="preserve">* </w:t>
      </w:r>
      <w:r w:rsidR="00417513">
        <w:rPr>
          <w:rFonts w:hint="cs"/>
          <w:sz w:val="20"/>
          <w:rtl/>
          <w:lang w:val="en-US" w:bidi="ar-SA"/>
        </w:rPr>
        <w:t>شاملا</w:t>
      </w:r>
      <w:r w:rsidRPr="00AC1660">
        <w:rPr>
          <w:sz w:val="20"/>
          <w:rtl/>
          <w:lang w:val="en-US" w:bidi="ar-SA"/>
        </w:rPr>
        <w:t xml:space="preserve"> تكاليف دعم الوكالة المعتم</w:t>
      </w:r>
      <w:r w:rsidR="00417513">
        <w:rPr>
          <w:sz w:val="20"/>
          <w:rtl/>
          <w:lang w:val="en-US" w:bidi="ar-SA"/>
        </w:rPr>
        <w:t>دة في الاجتماع الخامس والثمانين</w:t>
      </w:r>
      <w:r w:rsidRPr="00AC1660">
        <w:rPr>
          <w:sz w:val="20"/>
          <w:rtl/>
          <w:lang w:val="en-US" w:bidi="ar-SA"/>
        </w:rPr>
        <w:t xml:space="preserve">، وقيمة تكاليف دعم الوكالة وتكاليف الوحدة الأساسية من </w:t>
      </w:r>
      <w:r w:rsidR="00417513">
        <w:rPr>
          <w:rFonts w:hint="cs"/>
          <w:sz w:val="20"/>
          <w:rtl/>
          <w:lang w:val="en-US" w:bidi="ar-SA"/>
        </w:rPr>
        <w:t>الطلبات المقدمة</w:t>
      </w:r>
      <w:r w:rsidRPr="00AC1660">
        <w:rPr>
          <w:sz w:val="20"/>
          <w:rtl/>
          <w:lang w:val="en-US" w:bidi="ar-SA"/>
        </w:rPr>
        <w:t xml:space="preserve"> إلى الاجتماع السادس والثمانين.</w:t>
      </w:r>
    </w:p>
    <w:p w:rsidR="00CD7222" w:rsidRPr="00CD7222" w:rsidRDefault="00CD7222" w:rsidP="00CD7222">
      <w:pPr>
        <w:bidi/>
        <w:rPr>
          <w:szCs w:val="24"/>
          <w:lang w:val="en-US" w:bidi="ar-SA"/>
        </w:rPr>
      </w:pPr>
    </w:p>
    <w:p w:rsidR="00CD7222" w:rsidRPr="00BE0D11" w:rsidRDefault="00CD722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استناداً</w:t>
      </w:r>
      <w:r w:rsidR="00920CBB" w:rsidRPr="00BE0D11">
        <w:rPr>
          <w:sz w:val="26"/>
          <w:szCs w:val="26"/>
          <w:rtl/>
          <w:lang w:val="en-US" w:bidi="ar-SA"/>
        </w:rPr>
        <w:t xml:space="preserve"> إلى التحليل الوارد في الجدول 4</w:t>
      </w:r>
      <w:r w:rsidRPr="00BE0D11">
        <w:rPr>
          <w:sz w:val="26"/>
          <w:szCs w:val="26"/>
          <w:rtl/>
          <w:lang w:val="en-US" w:bidi="ar-SA"/>
        </w:rPr>
        <w:t xml:space="preserve">، يمكن أن 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يتوفر</w:t>
      </w:r>
      <w:r w:rsidRPr="00BE0D11">
        <w:rPr>
          <w:sz w:val="26"/>
          <w:szCs w:val="26"/>
          <w:rtl/>
          <w:lang w:val="en-US" w:bidi="ar-SA"/>
        </w:rPr>
        <w:t xml:space="preserve"> لليونيدو رصيد متراكم سلبي في نهاية عام 2020 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قدره</w:t>
      </w:r>
      <w:r w:rsidRPr="00BE0D11">
        <w:rPr>
          <w:sz w:val="26"/>
          <w:szCs w:val="26"/>
          <w:rtl/>
          <w:lang w:val="en-US" w:bidi="ar-SA"/>
        </w:rPr>
        <w:t xml:space="preserve"> 4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235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 xml:space="preserve">359 دولار أمريكي. 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 xml:space="preserve">سيتعين على اليونيدو أن </w:t>
      </w:r>
      <w:r w:rsidR="00C40459" w:rsidRPr="00BE0D11">
        <w:rPr>
          <w:rFonts w:hint="cs"/>
          <w:sz w:val="26"/>
          <w:szCs w:val="26"/>
          <w:rtl/>
          <w:lang w:val="en-US" w:bidi="ar-SA"/>
        </w:rPr>
        <w:t>تولد</w:t>
      </w:r>
      <w:r w:rsidRPr="00BE0D11">
        <w:rPr>
          <w:sz w:val="26"/>
          <w:szCs w:val="26"/>
          <w:rtl/>
          <w:lang w:val="en-US" w:bidi="ar-SA"/>
        </w:rPr>
        <w:t xml:space="preserve"> ما لا يقل عن 9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287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,</w:t>
      </w:r>
      <w:r w:rsidR="00920CBB" w:rsidRPr="00BE0D11">
        <w:rPr>
          <w:sz w:val="26"/>
          <w:szCs w:val="26"/>
          <w:rtl/>
          <w:lang w:val="en-US" w:bidi="ar-SA"/>
        </w:rPr>
        <w:t>559 دولار أمريكي</w:t>
      </w:r>
      <w:r w:rsidRPr="00BE0D11">
        <w:rPr>
          <w:sz w:val="26"/>
          <w:szCs w:val="26"/>
          <w:rtl/>
          <w:lang w:val="en-US" w:bidi="ar-SA"/>
        </w:rPr>
        <w:t xml:space="preserve"> في تكاليف دعم الوكالة وتكاليف الوحدة الأساسية في عام 2021 لتغطية إجمالي التكاليف الإدارية لعام 2021 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وقدرها</w:t>
      </w:r>
      <w:r w:rsidRPr="00BE0D11">
        <w:rPr>
          <w:sz w:val="26"/>
          <w:szCs w:val="26"/>
          <w:rtl/>
          <w:lang w:val="en-US" w:bidi="ar-SA"/>
        </w:rPr>
        <w:t xml:space="preserve"> 5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052</w:t>
      </w:r>
      <w:r w:rsidR="00920CB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200 دولار أمريكي.</w:t>
      </w:r>
    </w:p>
    <w:p w:rsidR="0062274B" w:rsidRDefault="00920CBB" w:rsidP="00B85A40">
      <w:pPr>
        <w:keepNext/>
        <w:keepLines/>
        <w:bidi/>
        <w:rPr>
          <w:b/>
          <w:bCs/>
          <w:sz w:val="26"/>
          <w:szCs w:val="26"/>
          <w:lang w:val="en-US" w:bidi="ar-SA"/>
        </w:rPr>
      </w:pPr>
      <w:r w:rsidRPr="00BE0D11">
        <w:rPr>
          <w:rFonts w:hint="cs"/>
          <w:b/>
          <w:bCs/>
          <w:sz w:val="26"/>
          <w:szCs w:val="26"/>
          <w:rtl/>
          <w:lang w:val="en-US" w:bidi="ar-SA"/>
        </w:rPr>
        <w:t>البنك الدولي</w:t>
      </w:r>
    </w:p>
    <w:p w:rsidR="00920CBB" w:rsidRPr="00BE0D11" w:rsidRDefault="00920CBB" w:rsidP="0062274B">
      <w:pPr>
        <w:keepNext/>
        <w:keepLines/>
        <w:bidi/>
        <w:rPr>
          <w:b/>
          <w:bCs/>
          <w:sz w:val="26"/>
          <w:szCs w:val="26"/>
          <w:rtl/>
          <w:lang w:val="en-US" w:bidi="ar-SA"/>
        </w:rPr>
      </w:pPr>
      <w:r w:rsidRPr="00BE0D11">
        <w:rPr>
          <w:rFonts w:hint="cs"/>
          <w:b/>
          <w:bCs/>
          <w:sz w:val="26"/>
          <w:szCs w:val="26"/>
          <w:rtl/>
          <w:lang w:val="en-US" w:bidi="ar-SA"/>
        </w:rPr>
        <w:t xml:space="preserve"> </w:t>
      </w:r>
    </w:p>
    <w:p w:rsidR="00CD7222" w:rsidRPr="00BE0D11" w:rsidRDefault="00CD7222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وافقت الل</w:t>
      </w:r>
      <w:r w:rsidR="004F677D" w:rsidRPr="00BE0D11">
        <w:rPr>
          <w:sz w:val="26"/>
          <w:szCs w:val="26"/>
          <w:rtl/>
          <w:lang w:val="en-US" w:bidi="ar-SA"/>
        </w:rPr>
        <w:t xml:space="preserve">جنة التنفيذية على طلب عام 2020 </w:t>
      </w:r>
      <w:r w:rsidR="004F677D" w:rsidRPr="00BE0D11">
        <w:rPr>
          <w:rFonts w:hint="cs"/>
          <w:sz w:val="26"/>
          <w:szCs w:val="26"/>
          <w:rtl/>
          <w:lang w:val="en-US" w:bidi="ar-SA"/>
        </w:rPr>
        <w:t>ل</w:t>
      </w:r>
      <w:r w:rsidRPr="00BE0D11">
        <w:rPr>
          <w:sz w:val="26"/>
          <w:szCs w:val="26"/>
          <w:rtl/>
          <w:lang w:val="en-US" w:bidi="ar-SA"/>
        </w:rPr>
        <w:t xml:space="preserve">تمويل الوحدة الأساسية للبنك الدولي </w:t>
      </w:r>
      <w:r w:rsidR="004F677D" w:rsidRPr="00BE0D11">
        <w:rPr>
          <w:rFonts w:hint="cs"/>
          <w:sz w:val="26"/>
          <w:szCs w:val="26"/>
          <w:rtl/>
          <w:lang w:val="en-US" w:bidi="ar-SA"/>
        </w:rPr>
        <w:t>بقيمة</w:t>
      </w:r>
      <w:r w:rsidRPr="00BE0D11">
        <w:rPr>
          <w:sz w:val="26"/>
          <w:szCs w:val="26"/>
          <w:rtl/>
          <w:lang w:val="en-US" w:bidi="ar-SA"/>
        </w:rPr>
        <w:t xml:space="preserve"> 1</w:t>
      </w:r>
      <w:r w:rsidR="004F677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735</w:t>
      </w:r>
      <w:r w:rsidR="004F677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 xml:space="preserve">000 دولار أمريكي (القرار 84/61 (ب)). </w:t>
      </w:r>
      <w:r w:rsidR="004F677D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>يعرض الجدول 5 ميزانية الوحدة الأساسية والتكاليف الإدارية التي قدمها البنك الدولي من</w:t>
      </w:r>
      <w:r w:rsidR="004F677D" w:rsidRPr="00BE0D11">
        <w:rPr>
          <w:rFonts w:hint="cs"/>
          <w:sz w:val="26"/>
          <w:szCs w:val="26"/>
          <w:rtl/>
          <w:lang w:val="en-US" w:bidi="ar-SA"/>
        </w:rPr>
        <w:t xml:space="preserve"> عام</w:t>
      </w:r>
      <w:r w:rsidRPr="00BE0D11">
        <w:rPr>
          <w:sz w:val="26"/>
          <w:szCs w:val="26"/>
          <w:rtl/>
          <w:lang w:val="en-US" w:bidi="ar-SA"/>
        </w:rPr>
        <w:t xml:space="preserve"> 2017 إلى</w:t>
      </w:r>
      <w:r w:rsidR="004F677D" w:rsidRPr="00BE0D11">
        <w:rPr>
          <w:rFonts w:hint="cs"/>
          <w:sz w:val="26"/>
          <w:szCs w:val="26"/>
          <w:rtl/>
          <w:lang w:val="en-US" w:bidi="ar-SA"/>
        </w:rPr>
        <w:t xml:space="preserve"> عام</w:t>
      </w:r>
      <w:r w:rsidRPr="00BE0D11">
        <w:rPr>
          <w:sz w:val="26"/>
          <w:szCs w:val="26"/>
          <w:rtl/>
          <w:lang w:val="en-US" w:bidi="ar-SA"/>
        </w:rPr>
        <w:t xml:space="preserve"> 2021.</w:t>
      </w:r>
    </w:p>
    <w:p w:rsidR="004F677D" w:rsidRPr="00BE0D11" w:rsidRDefault="004F677D" w:rsidP="00B85A40">
      <w:pPr>
        <w:keepNext/>
        <w:keepLines/>
        <w:bidi/>
        <w:rPr>
          <w:sz w:val="26"/>
          <w:szCs w:val="26"/>
          <w:lang w:val="en-US" w:bidi="ar-SA"/>
        </w:rPr>
      </w:pPr>
    </w:p>
    <w:p w:rsidR="00CD7222" w:rsidRPr="00BE0D11" w:rsidRDefault="004F677D" w:rsidP="00B85A40">
      <w:pPr>
        <w:keepNext/>
        <w:keepLines/>
        <w:bidi/>
        <w:rPr>
          <w:b/>
          <w:bCs/>
          <w:sz w:val="26"/>
          <w:szCs w:val="26"/>
          <w:rtl/>
          <w:lang w:val="en-US" w:bidi="ar-SA"/>
        </w:rPr>
      </w:pPr>
      <w:r w:rsidRPr="00BE0D11">
        <w:rPr>
          <w:b/>
          <w:bCs/>
          <w:sz w:val="26"/>
          <w:szCs w:val="26"/>
          <w:rtl/>
          <w:lang w:val="en-US" w:bidi="ar-SA"/>
        </w:rPr>
        <w:t>الجدول 5</w:t>
      </w:r>
      <w:r w:rsidRPr="00BE0D11">
        <w:rPr>
          <w:rFonts w:hint="cs"/>
          <w:b/>
          <w:bCs/>
          <w:sz w:val="26"/>
          <w:szCs w:val="26"/>
          <w:rtl/>
          <w:lang w:val="en-US" w:bidi="ar-SA"/>
        </w:rPr>
        <w:t xml:space="preserve">- </w:t>
      </w:r>
      <w:r w:rsidR="00CD7222" w:rsidRPr="00BE0D11">
        <w:rPr>
          <w:b/>
          <w:bCs/>
          <w:sz w:val="26"/>
          <w:szCs w:val="26"/>
          <w:rtl/>
          <w:lang w:val="en-US" w:bidi="ar-SA"/>
        </w:rPr>
        <w:t xml:space="preserve"> بيانات ميزانية الوحدة الأساسية والتكاليف الإدارية الأخرى للفترة من</w:t>
      </w:r>
      <w:r w:rsidR="00891B45" w:rsidRPr="00BE0D11">
        <w:rPr>
          <w:b/>
          <w:bCs/>
          <w:sz w:val="26"/>
          <w:szCs w:val="26"/>
          <w:rtl/>
          <w:lang w:val="en-US" w:bidi="ar-SA"/>
        </w:rPr>
        <w:t xml:space="preserve"> 2017 إلى 2021 للبنك الدولي (دولار </w:t>
      </w:r>
      <w:r w:rsidR="00CD7222" w:rsidRPr="00BE0D11">
        <w:rPr>
          <w:b/>
          <w:bCs/>
          <w:sz w:val="26"/>
          <w:szCs w:val="26"/>
          <w:rtl/>
          <w:lang w:val="en-US" w:bidi="ar-SA"/>
        </w:rPr>
        <w:t>أمريكي)</w:t>
      </w:r>
    </w:p>
    <w:tbl>
      <w:tblPr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3738"/>
        <w:gridCol w:w="936"/>
        <w:gridCol w:w="936"/>
        <w:gridCol w:w="936"/>
        <w:gridCol w:w="936"/>
        <w:gridCol w:w="936"/>
        <w:gridCol w:w="937"/>
      </w:tblGrid>
      <w:tr w:rsidR="00CD7222" w:rsidRPr="00E2441A" w:rsidTr="004F677D">
        <w:trPr>
          <w:trHeight w:val="64"/>
          <w:tblHeader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7222" w:rsidRPr="00E2441A" w:rsidRDefault="005E5D6B" w:rsidP="005E5D6B">
            <w:pPr>
              <w:bidi/>
              <w:jc w:val="center"/>
              <w:rPr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 xml:space="preserve">بند </w:t>
            </w:r>
            <w:r w:rsidR="008B279B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التكل</w:t>
            </w: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فة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CD7222" w:rsidRPr="00E2441A" w:rsidRDefault="00CD7222" w:rsidP="00892AC1">
            <w:pPr>
              <w:jc w:val="center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CD7222" w:rsidRPr="00E2441A" w:rsidRDefault="00CD7222" w:rsidP="00892AC1">
            <w:pPr>
              <w:jc w:val="center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D7222" w:rsidRPr="00E2441A" w:rsidRDefault="00CD7222" w:rsidP="00892AC1">
            <w:pPr>
              <w:jc w:val="center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2019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CD7222" w:rsidRPr="00E2441A" w:rsidRDefault="00CD7222" w:rsidP="00892AC1">
            <w:pPr>
              <w:jc w:val="center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CD7222" w:rsidRPr="00E2441A" w:rsidRDefault="00CD7222" w:rsidP="00892AC1">
            <w:pPr>
              <w:jc w:val="center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2021</w:t>
            </w:r>
          </w:p>
        </w:tc>
      </w:tr>
      <w:tr w:rsidR="005E5D6B" w:rsidRPr="00E2441A" w:rsidTr="004F677D">
        <w:trPr>
          <w:trHeight w:val="135"/>
          <w:tblHeader/>
        </w:trPr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:rsidR="005E5D6B" w:rsidRPr="00E2441A" w:rsidRDefault="005E5D6B" w:rsidP="00892AC1">
            <w:pPr>
              <w:jc w:val="left"/>
              <w:rPr>
                <w:b/>
                <w:bCs/>
                <w:sz w:val="19"/>
                <w:szCs w:val="19"/>
                <w:lang w:val="en-CA" w:eastAsia="en-C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E5D6B" w:rsidRPr="00F25FC3" w:rsidRDefault="005E5D6B" w:rsidP="00892AC1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E5D6B" w:rsidRDefault="005E5D6B" w:rsidP="00892AC1">
            <w:r w:rsidRPr="00490453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E5D6B" w:rsidRDefault="005E5D6B" w:rsidP="00892AC1">
            <w:r w:rsidRPr="00490453"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الفعلية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E5D6B" w:rsidRPr="00F25FC3" w:rsidRDefault="005E5D6B" w:rsidP="00892AC1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الميزانية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E5D6B" w:rsidRPr="00F25FC3" w:rsidRDefault="005E5D6B" w:rsidP="00892AC1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التقديرية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E5D6B" w:rsidRPr="00F25FC3" w:rsidRDefault="005E5D6B" w:rsidP="00892AC1">
            <w:pPr>
              <w:bidi/>
              <w:jc w:val="center"/>
              <w:rPr>
                <w:b/>
                <w:bCs/>
                <w:sz w:val="19"/>
                <w:szCs w:val="19"/>
                <w:lang w:val="en-CA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/>
              </w:rPr>
              <w:t>المقترحة</w:t>
            </w:r>
          </w:p>
        </w:tc>
      </w:tr>
      <w:tr w:rsidR="00CD7222" w:rsidRPr="00E2441A" w:rsidTr="004F677D">
        <w:trPr>
          <w:trHeight w:val="52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D7222" w:rsidRPr="008B279B" w:rsidRDefault="008B279B" w:rsidP="008B279B">
            <w:pPr>
              <w:bidi/>
              <w:rPr>
                <w:bCs/>
                <w:sz w:val="19"/>
                <w:szCs w:val="19"/>
              </w:rPr>
            </w:pPr>
            <w:r w:rsidRPr="008B279B">
              <w:rPr>
                <w:rFonts w:hint="cs"/>
                <w:bCs/>
                <w:sz w:val="19"/>
                <w:szCs w:val="19"/>
                <w:rtl/>
              </w:rPr>
              <w:t xml:space="preserve">ألف </w:t>
            </w:r>
            <w:r w:rsidRPr="008B279B">
              <w:rPr>
                <w:bCs/>
                <w:sz w:val="19"/>
                <w:szCs w:val="19"/>
                <w:rtl/>
              </w:rPr>
              <w:t>–</w:t>
            </w:r>
            <w:r w:rsidRPr="008B279B">
              <w:rPr>
                <w:rFonts w:hint="cs"/>
                <w:bCs/>
                <w:sz w:val="19"/>
                <w:szCs w:val="19"/>
                <w:rtl/>
              </w:rPr>
              <w:t xml:space="preserve"> الوحدة الأساسية</w:t>
            </w:r>
          </w:p>
        </w:tc>
      </w:tr>
      <w:tr w:rsidR="008B279B" w:rsidRPr="00E2441A" w:rsidTr="004F677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bidi/>
              <w:jc w:val="left"/>
              <w:rPr>
                <w:sz w:val="19"/>
                <w:szCs w:val="19"/>
                <w:lang w:val="en-CA" w:eastAsia="en-CA"/>
              </w:rPr>
            </w:pPr>
            <w:r>
              <w:rPr>
                <w:rFonts w:hint="cs"/>
                <w:sz w:val="19"/>
                <w:szCs w:val="19"/>
                <w:rtl/>
                <w:lang w:val="en-CA" w:eastAsia="en-CA"/>
              </w:rPr>
              <w:t>العاملون في</w:t>
            </w:r>
            <w:r w:rsidRPr="001B29F3">
              <w:rPr>
                <w:sz w:val="19"/>
                <w:szCs w:val="19"/>
                <w:rtl/>
                <w:lang w:val="en-CA" w:eastAsia="en-CA"/>
              </w:rPr>
              <w:t xml:space="preserve"> الوحدة الأساسية والموظفون </w:t>
            </w:r>
            <w:r>
              <w:rPr>
                <w:rFonts w:hint="cs"/>
                <w:sz w:val="19"/>
                <w:szCs w:val="19"/>
                <w:rtl/>
                <w:lang w:val="en-CA" w:eastAsia="en-CA"/>
              </w:rPr>
              <w:t>المتعاقدون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1,086,340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1,226,215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1,250,888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1,200,000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991,571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1,235,000</w:t>
            </w:r>
          </w:p>
        </w:tc>
      </w:tr>
      <w:tr w:rsidR="008B279B" w:rsidRPr="00E2441A" w:rsidTr="004F677D">
        <w:trPr>
          <w:trHeight w:val="7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1B29F3" w:rsidRDefault="008B279B" w:rsidP="00892AC1">
            <w:pPr>
              <w:bidi/>
              <w:jc w:val="left"/>
              <w:rPr>
                <w:sz w:val="19"/>
                <w:szCs w:val="19"/>
                <w:lang w:val="en-US" w:eastAsia="en-CA"/>
              </w:rPr>
            </w:pPr>
            <w:r>
              <w:rPr>
                <w:rFonts w:hint="cs"/>
                <w:sz w:val="19"/>
                <w:szCs w:val="19"/>
                <w:rtl/>
                <w:lang w:val="en-CA" w:eastAsia="en-CA"/>
              </w:rPr>
              <w:t>السفر (الموظفون والاستشاريون)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178,550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180,873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151,281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185,000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38,481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200,000</w:t>
            </w:r>
          </w:p>
        </w:tc>
      </w:tr>
      <w:tr w:rsidR="008B279B" w:rsidRPr="00E2441A" w:rsidTr="004F677D">
        <w:trPr>
          <w:trHeight w:val="55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372507" w:rsidRDefault="008B279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 xml:space="preserve">0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8B279B" w:rsidRPr="00E2441A" w:rsidTr="004F677D">
        <w:trPr>
          <w:trHeight w:val="159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372507" w:rsidRDefault="008B279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eastAsia="en-CA" w:bidi="ar-SA"/>
              </w:rPr>
              <w:t>إمدادات المعدات والتكاليف الأخرى (حاسبات آلية ومستلزمات، إلخ.)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1,637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8B279B" w:rsidRPr="00E2441A" w:rsidTr="004F677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bidi/>
              <w:jc w:val="left"/>
              <w:rPr>
                <w:sz w:val="19"/>
                <w:szCs w:val="19"/>
                <w:lang w:val="en-CA" w:eastAsia="en-CA"/>
              </w:rPr>
            </w:pPr>
            <w:r>
              <w:rPr>
                <w:rFonts w:hint="cs"/>
                <w:sz w:val="19"/>
                <w:szCs w:val="19"/>
                <w:rtl/>
                <w:lang w:val="en-CA" w:eastAsia="en-CA"/>
              </w:rPr>
              <w:t>الخدمات التعاقدية (شركات)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189,400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73,389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38,983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50,249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85,000</w:t>
            </w:r>
          </w:p>
        </w:tc>
      </w:tr>
      <w:tr w:rsidR="008B279B" w:rsidRPr="00E2441A" w:rsidTr="004F677D">
        <w:trPr>
          <w:trHeight w:val="146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753B43" w:rsidRDefault="008B279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eastAsia="en-CA" w:bidi="ar-SA"/>
              </w:rPr>
              <w:t>سداد نفقات الخدمات المركزية لموظفي الوحدة الأساسية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210,378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245,946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249,954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240,000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212,643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215,000</w:t>
            </w:r>
          </w:p>
        </w:tc>
      </w:tr>
      <w:tr w:rsidR="008B279B" w:rsidRPr="00E2441A" w:rsidTr="004F677D">
        <w:trPr>
          <w:trHeight w:val="73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753B43" w:rsidRDefault="008B279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 w:rsidRPr="00753B43">
              <w:rPr>
                <w:sz w:val="19"/>
                <w:szCs w:val="19"/>
                <w:rtl/>
                <w:lang w:val="en-US" w:eastAsia="en-CA" w:bidi="ar-SA"/>
              </w:rPr>
              <w:t>التعديلات (+ = قلة الاستخدام و- = التجاوز)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60,070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6,940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43,894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8B279B" w:rsidRPr="00E2441A" w:rsidTr="004F677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753B43" w:rsidRDefault="008B279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-60,070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-6,940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-43,894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8B279B" w:rsidRPr="00E2441A" w:rsidTr="004F677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753B43" w:rsidRDefault="008B279B" w:rsidP="00892AC1">
            <w:pPr>
              <w:bidi/>
              <w:jc w:val="left"/>
              <w:rPr>
                <w:b/>
                <w:bCs/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 w:bidi="ar-SA"/>
              </w:rPr>
              <w:t xml:space="preserve">ألف </w:t>
            </w:r>
            <w:r>
              <w:rPr>
                <w:b/>
                <w:bCs/>
                <w:sz w:val="19"/>
                <w:szCs w:val="19"/>
                <w:rtl/>
                <w:lang w:val="en-US" w:eastAsia="en-CA" w:bidi="ar-SA"/>
              </w:rPr>
              <w:t>–</w:t>
            </w: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 w:bidi="ar-SA"/>
              </w:rPr>
              <w:t xml:space="preserve"> المجموع الفرعي لتكاليف الوحدة الأساسية*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1,664,930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8B279B" w:rsidRPr="00E2441A" w:rsidRDefault="008B279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1,728,060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1,691,106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1,735,000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1,292,944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B279B" w:rsidRPr="00E2441A" w:rsidRDefault="008B279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1,735,000</w:t>
            </w:r>
          </w:p>
        </w:tc>
      </w:tr>
      <w:tr w:rsidR="00CD7222" w:rsidRPr="00E2441A" w:rsidTr="004F677D">
        <w:trPr>
          <w:trHeight w:val="121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D7222" w:rsidRPr="00E2441A" w:rsidRDefault="005F2F7B" w:rsidP="005F2F7B">
            <w:pPr>
              <w:bidi/>
              <w:rPr>
                <w:b/>
                <w:sz w:val="19"/>
                <w:szCs w:val="19"/>
                <w:lang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 w:bidi="ar-SA"/>
              </w:rPr>
              <w:t xml:space="preserve">باء </w:t>
            </w:r>
            <w:r>
              <w:rPr>
                <w:b/>
                <w:bCs/>
                <w:sz w:val="19"/>
                <w:szCs w:val="19"/>
                <w:rtl/>
                <w:lang w:val="en-US" w:eastAsia="en-CA" w:bidi="ar-SA"/>
              </w:rPr>
              <w:t>–</w:t>
            </w: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 w:bidi="ar-SA"/>
              </w:rPr>
              <w:t xml:space="preserve">  تكاليف دعم الوكالة / التنفيذ</w:t>
            </w:r>
          </w:p>
        </w:tc>
      </w:tr>
      <w:tr w:rsidR="005F2F7B" w:rsidRPr="00E2441A" w:rsidTr="004F677D">
        <w:trPr>
          <w:trHeight w:val="12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87448D" w:rsidRDefault="005F2F7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eastAsia="en-CA" w:bidi="ar-SA"/>
              </w:rPr>
              <w:t>سداد نفقات</w:t>
            </w:r>
            <w:r w:rsidRPr="0087448D">
              <w:rPr>
                <w:sz w:val="19"/>
                <w:szCs w:val="19"/>
                <w:rtl/>
                <w:lang w:val="en-US" w:eastAsia="en-CA" w:bidi="ar-SA"/>
              </w:rPr>
              <w:t xml:space="preserve"> </w:t>
            </w:r>
            <w:r>
              <w:rPr>
                <w:sz w:val="19"/>
                <w:szCs w:val="19"/>
                <w:rtl/>
                <w:lang w:val="en-US" w:eastAsia="en-CA" w:bidi="ar-SA"/>
              </w:rPr>
              <w:t>المكاتب القطرية والتنفيذ الوطني</w:t>
            </w:r>
            <w:r w:rsidRPr="0087448D">
              <w:rPr>
                <w:sz w:val="19"/>
                <w:szCs w:val="19"/>
                <w:rtl/>
                <w:lang w:val="en-US" w:eastAsia="en-CA" w:bidi="ar-SA"/>
              </w:rPr>
              <w:t>، بما في ذلك النفقات العامة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1,491,814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2,114,429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1,258,437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2,000,000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1,300,000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2,000,000</w:t>
            </w:r>
          </w:p>
        </w:tc>
      </w:tr>
      <w:tr w:rsidR="005F2F7B" w:rsidRPr="00E2441A" w:rsidTr="004F677D">
        <w:trPr>
          <w:trHeight w:val="249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87448D" w:rsidRDefault="005F2F7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 w:rsidRPr="0087448D">
              <w:rPr>
                <w:sz w:val="19"/>
                <w:szCs w:val="19"/>
                <w:rtl/>
                <w:lang w:val="en-US" w:eastAsia="en-CA" w:bidi="ar-SA"/>
              </w:rPr>
              <w:t>تكل</w:t>
            </w:r>
            <w:r>
              <w:rPr>
                <w:sz w:val="19"/>
                <w:szCs w:val="19"/>
                <w:rtl/>
                <w:lang w:val="en-US" w:eastAsia="en-CA" w:bidi="ar-SA"/>
              </w:rPr>
              <w:t>فة دعم الوكالة المنفذة (داخلية)</w:t>
            </w:r>
            <w:r w:rsidRPr="0087448D">
              <w:rPr>
                <w:sz w:val="19"/>
                <w:szCs w:val="19"/>
                <w:rtl/>
                <w:lang w:val="en-US" w:eastAsia="en-CA" w:bidi="ar-SA"/>
              </w:rPr>
              <w:t>، بما في ذلك النفقات العامة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5F2F7B" w:rsidRPr="00E2441A" w:rsidTr="004F677D">
        <w:trPr>
          <w:trHeight w:val="144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bidi/>
              <w:jc w:val="left"/>
              <w:rPr>
                <w:sz w:val="19"/>
                <w:szCs w:val="19"/>
                <w:rtl/>
                <w:lang w:val="en-CA" w:eastAsia="en-CA" w:bidi="ar-SA"/>
              </w:rPr>
            </w:pPr>
            <w:r w:rsidRPr="006E3B88">
              <w:rPr>
                <w:sz w:val="19"/>
                <w:szCs w:val="19"/>
                <w:rtl/>
                <w:lang w:val="en-CA" w:eastAsia="en-CA" w:bidi="ar-SA"/>
              </w:rPr>
              <w:t>الوسطاء الماليون، بما في ذلك النفقات العامة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5F2F7B" w:rsidRPr="00E2441A" w:rsidTr="004F677D">
        <w:trPr>
          <w:trHeight w:val="19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87448D" w:rsidRDefault="005F2F7B" w:rsidP="00892AC1">
            <w:pPr>
              <w:bidi/>
              <w:jc w:val="left"/>
              <w:rPr>
                <w:sz w:val="19"/>
                <w:szCs w:val="19"/>
                <w:rtl/>
                <w:lang w:val="en-US" w:eastAsia="en-CA" w:bidi="ar-SA"/>
              </w:rPr>
            </w:pPr>
            <w:r w:rsidRPr="0087448D">
              <w:rPr>
                <w:sz w:val="19"/>
                <w:szCs w:val="19"/>
                <w:rtl/>
                <w:lang w:val="en-US" w:eastAsia="en-CA" w:bidi="ar-SA"/>
              </w:rPr>
              <w:t>سداد الخدمات المركزية لموظفي الوحدة الأساسية (بما في ذلك النفقات العامة)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</w:tr>
      <w:tr w:rsidR="005F2F7B" w:rsidRPr="00E2441A" w:rsidTr="004F677D">
        <w:trPr>
          <w:trHeight w:val="12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bidi/>
              <w:jc w:val="left"/>
              <w:rPr>
                <w:sz w:val="19"/>
                <w:szCs w:val="19"/>
                <w:lang w:val="en-CA" w:eastAsia="en-CA"/>
              </w:rPr>
            </w:pPr>
            <w:r w:rsidRPr="006E3B88">
              <w:rPr>
                <w:sz w:val="19"/>
                <w:szCs w:val="19"/>
                <w:rtl/>
                <w:lang w:val="en-CA" w:eastAsia="en-CA"/>
              </w:rPr>
              <w:t>استرداد التكاليف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5F2F7B" w:rsidRPr="00E2441A" w:rsidTr="004F677D">
        <w:trPr>
          <w:trHeight w:val="103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bidi/>
              <w:jc w:val="left"/>
              <w:rPr>
                <w:sz w:val="19"/>
                <w:szCs w:val="19"/>
                <w:lang w:val="en-CA" w:eastAsia="en-CA"/>
              </w:rPr>
            </w:pPr>
            <w:r w:rsidRPr="00817104">
              <w:rPr>
                <w:sz w:val="19"/>
                <w:szCs w:val="19"/>
                <w:rtl/>
                <w:lang w:val="en-CA" w:eastAsia="en-CA"/>
              </w:rPr>
              <w:t>التعديلات (+ = التجاوز و- = الاستخدام الناقص)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>0</w:t>
            </w:r>
          </w:p>
        </w:tc>
      </w:tr>
      <w:tr w:rsidR="005F2F7B" w:rsidRPr="00E2441A" w:rsidTr="004F677D">
        <w:trPr>
          <w:trHeight w:val="15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bidi/>
              <w:jc w:val="left"/>
              <w:rPr>
                <w:sz w:val="19"/>
                <w:szCs w:val="19"/>
                <w:lang w:val="en-CA" w:eastAsia="en-CA"/>
              </w:rPr>
            </w:pPr>
            <w:r w:rsidRPr="008C18B3">
              <w:rPr>
                <w:sz w:val="19"/>
                <w:szCs w:val="19"/>
                <w:rtl/>
                <w:lang w:val="en-CA" w:eastAsia="en-CA"/>
              </w:rPr>
              <w:t xml:space="preserve">تكاليف المشروع (- = سيتم خصمها وبالتالي </w:t>
            </w:r>
            <w:r>
              <w:rPr>
                <w:rFonts w:hint="cs"/>
                <w:sz w:val="19"/>
                <w:szCs w:val="19"/>
                <w:rtl/>
                <w:lang w:val="en-CA" w:eastAsia="en-CA"/>
              </w:rPr>
              <w:t>حذفها</w:t>
            </w:r>
            <w:r w:rsidRPr="008C18B3">
              <w:rPr>
                <w:sz w:val="19"/>
                <w:szCs w:val="19"/>
                <w:rtl/>
                <w:lang w:val="en-CA" w:eastAsia="en-CA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  <w:r w:rsidRPr="00E2441A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sz w:val="19"/>
                <w:szCs w:val="19"/>
              </w:rPr>
            </w:pPr>
          </w:p>
        </w:tc>
      </w:tr>
      <w:tr w:rsidR="005F2F7B" w:rsidRPr="00E2441A" w:rsidTr="004F677D">
        <w:trPr>
          <w:trHeight w:val="128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8C18B3" w:rsidRDefault="005F2F7B" w:rsidP="00892AC1">
            <w:pPr>
              <w:bidi/>
              <w:jc w:val="left"/>
              <w:rPr>
                <w:b/>
                <w:bCs/>
                <w:sz w:val="19"/>
                <w:szCs w:val="19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 w:bidi="ar-SA"/>
              </w:rPr>
              <w:t xml:space="preserve">باء </w:t>
            </w:r>
            <w:r>
              <w:rPr>
                <w:b/>
                <w:bCs/>
                <w:sz w:val="19"/>
                <w:szCs w:val="19"/>
                <w:rtl/>
                <w:lang w:val="en-US" w:eastAsia="en-CA" w:bidi="ar-SA"/>
              </w:rPr>
              <w:t>–</w:t>
            </w: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 w:bidi="ar-SA"/>
              </w:rPr>
              <w:t xml:space="preserve"> المجموع الفرعي لتكاليف دعم الوكالة / تكاليف التنفيذ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1,491,814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2,114,429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1,258,437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2,000,000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1,300,000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2,000,000</w:t>
            </w:r>
          </w:p>
        </w:tc>
      </w:tr>
      <w:tr w:rsidR="005F2F7B" w:rsidRPr="00E2441A" w:rsidTr="004F677D">
        <w:trPr>
          <w:trHeight w:val="52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bidi/>
              <w:jc w:val="left"/>
              <w:rPr>
                <w:b/>
                <w:bCs/>
                <w:sz w:val="19"/>
                <w:szCs w:val="19"/>
                <w:rtl/>
                <w:lang w:val="en-CA" w:eastAsia="en-CA"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CA" w:eastAsia="en-CA" w:bidi="ar-SA"/>
              </w:rPr>
              <w:t>المجموع الكلي (ألف + باء)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3,156,744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3,842,489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2,949,544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3,735,000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2,592,944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5F2F7B" w:rsidRPr="00E2441A" w:rsidRDefault="005F2F7B" w:rsidP="00892AC1">
            <w:pPr>
              <w:jc w:val="right"/>
              <w:rPr>
                <w:b/>
                <w:sz w:val="19"/>
                <w:szCs w:val="19"/>
              </w:rPr>
            </w:pPr>
            <w:r w:rsidRPr="00E2441A">
              <w:rPr>
                <w:b/>
                <w:sz w:val="19"/>
                <w:szCs w:val="19"/>
              </w:rPr>
              <w:t>3,735,000</w:t>
            </w:r>
          </w:p>
        </w:tc>
      </w:tr>
    </w:tbl>
    <w:p w:rsidR="00CD7222" w:rsidRDefault="00CD7222" w:rsidP="00CD7222">
      <w:pPr>
        <w:bidi/>
        <w:rPr>
          <w:szCs w:val="24"/>
          <w:rtl/>
          <w:lang w:val="en-US" w:bidi="ar-SA"/>
        </w:rPr>
      </w:pPr>
    </w:p>
    <w:p w:rsidR="00925D46" w:rsidRPr="00BE0D11" w:rsidRDefault="00925D46" w:rsidP="00925D46">
      <w:pPr>
        <w:bidi/>
        <w:rPr>
          <w:sz w:val="26"/>
          <w:szCs w:val="26"/>
          <w:u w:val="single"/>
          <w:rtl/>
          <w:lang w:val="en-US" w:bidi="ar-SA"/>
        </w:rPr>
      </w:pPr>
      <w:r w:rsidRPr="00BE0D11">
        <w:rPr>
          <w:sz w:val="26"/>
          <w:szCs w:val="26"/>
          <w:u w:val="single"/>
          <w:rtl/>
          <w:lang w:val="en-US" w:bidi="ar-SA"/>
        </w:rPr>
        <w:t>تكاليف الوحدة الأساسية</w:t>
      </w:r>
    </w:p>
    <w:p w:rsidR="00276AF4" w:rsidRPr="00BE0D11" w:rsidRDefault="00276AF4" w:rsidP="00276AF4">
      <w:pPr>
        <w:bidi/>
        <w:rPr>
          <w:sz w:val="26"/>
          <w:szCs w:val="26"/>
          <w:lang w:val="en-US" w:bidi="ar-SA"/>
        </w:rPr>
      </w:pPr>
    </w:p>
    <w:p w:rsidR="00925D46" w:rsidRPr="00BE0D11" w:rsidRDefault="00925D46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 xml:space="preserve">إن طلب البنك الدولي لميزانية الوحدة الأساسية لعام 2021 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بقيمة</w:t>
      </w:r>
      <w:r w:rsidRPr="00BE0D11">
        <w:rPr>
          <w:sz w:val="26"/>
          <w:szCs w:val="26"/>
          <w:rtl/>
          <w:lang w:val="en-US" w:bidi="ar-SA"/>
        </w:rPr>
        <w:t xml:space="preserve"> 1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735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000 دولار أمريكي هو نفس مبلغ ميزانية الوحدة الأساسية لعام 20</w:t>
      </w:r>
      <w:r w:rsidR="00276AF4" w:rsidRPr="00BE0D11">
        <w:rPr>
          <w:sz w:val="26"/>
          <w:szCs w:val="26"/>
          <w:rtl/>
          <w:lang w:val="en-US" w:bidi="ar-SA"/>
        </w:rPr>
        <w:t xml:space="preserve">20 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حسبما</w:t>
      </w:r>
      <w:r w:rsidR="00276AF4" w:rsidRPr="00BE0D11">
        <w:rPr>
          <w:sz w:val="26"/>
          <w:szCs w:val="26"/>
          <w:rtl/>
          <w:lang w:val="en-US" w:bidi="ar-SA"/>
        </w:rPr>
        <w:t xml:space="preserve"> تمت الموافقة عليها أصلاً</w:t>
      </w:r>
      <w:r w:rsidRPr="00BE0D11">
        <w:rPr>
          <w:sz w:val="26"/>
          <w:szCs w:val="26"/>
          <w:rtl/>
          <w:lang w:val="en-US" w:bidi="ar-SA"/>
        </w:rPr>
        <w:t xml:space="preserve">، ولكن مع زيادات </w:t>
      </w:r>
      <w:r w:rsidR="00276AF4" w:rsidRPr="00BE0D11">
        <w:rPr>
          <w:sz w:val="26"/>
          <w:szCs w:val="26"/>
          <w:rtl/>
          <w:lang w:val="en-US" w:bidi="ar-SA"/>
        </w:rPr>
        <w:t>طفيفة في تكاليف الموظفين والسفر</w:t>
      </w:r>
      <w:r w:rsidRPr="00BE0D11">
        <w:rPr>
          <w:sz w:val="26"/>
          <w:szCs w:val="26"/>
          <w:rtl/>
          <w:lang w:val="en-US" w:bidi="ar-SA"/>
        </w:rPr>
        <w:t>، وانخفاض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ات</w:t>
      </w:r>
      <w:r w:rsidRPr="00BE0D11">
        <w:rPr>
          <w:sz w:val="26"/>
          <w:szCs w:val="26"/>
          <w:rtl/>
          <w:lang w:val="en-US" w:bidi="ar-SA"/>
        </w:rPr>
        <w:t xml:space="preserve"> في بنود ا</w:t>
      </w:r>
      <w:r w:rsidR="00276AF4" w:rsidRPr="00BE0D11">
        <w:rPr>
          <w:sz w:val="26"/>
          <w:szCs w:val="26"/>
          <w:rtl/>
          <w:lang w:val="en-US" w:bidi="ar-SA"/>
        </w:rPr>
        <w:t>لميزانية الأخرى (15.0 في المائة في تكاليف الخدمة التعاقدية</w:t>
      </w:r>
      <w:r w:rsidRPr="00BE0D11">
        <w:rPr>
          <w:sz w:val="26"/>
          <w:szCs w:val="26"/>
          <w:rtl/>
          <w:lang w:val="en-US" w:bidi="ar-SA"/>
        </w:rPr>
        <w:t xml:space="preserve">، </w:t>
      </w:r>
      <w:r w:rsidR="00276AF4" w:rsidRPr="00BE0D11">
        <w:rPr>
          <w:rFonts w:hint="cs"/>
          <w:sz w:val="26"/>
          <w:szCs w:val="26"/>
          <w:rtl/>
          <w:lang w:val="en-US" w:bidi="ar-SA"/>
        </w:rPr>
        <w:t xml:space="preserve">و </w:t>
      </w:r>
      <w:r w:rsidRPr="00BE0D11">
        <w:rPr>
          <w:sz w:val="26"/>
          <w:szCs w:val="26"/>
          <w:rtl/>
          <w:lang w:val="en-US" w:bidi="ar-SA"/>
        </w:rPr>
        <w:t>10.</w:t>
      </w:r>
      <w:r w:rsidR="00276AF4" w:rsidRPr="00BE0D11">
        <w:rPr>
          <w:sz w:val="26"/>
          <w:szCs w:val="26"/>
          <w:rtl/>
          <w:lang w:val="en-US" w:bidi="ar-SA"/>
        </w:rPr>
        <w:t>4 في المائة في الخدمات المركزية</w:t>
      </w:r>
      <w:r w:rsidRPr="00BE0D11">
        <w:rPr>
          <w:sz w:val="26"/>
          <w:szCs w:val="26"/>
          <w:rtl/>
          <w:lang w:val="en-US" w:bidi="ar-SA"/>
        </w:rPr>
        <w:t xml:space="preserve">، و 100.0 في المائة في إمدادات المعدات / تكاليف التشغيل). 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 xml:space="preserve">على عكس </w:t>
      </w:r>
      <w:r w:rsidR="00276AF4" w:rsidRPr="00BE0D11">
        <w:rPr>
          <w:rFonts w:hint="cs"/>
          <w:sz w:val="26"/>
          <w:szCs w:val="26"/>
          <w:rtl/>
          <w:lang w:val="en-US" w:bidi="ar-SA"/>
        </w:rPr>
        <w:t>اليوئنديبي واليونيدو</w:t>
      </w:r>
      <w:r w:rsidRPr="00BE0D11">
        <w:rPr>
          <w:sz w:val="26"/>
          <w:szCs w:val="26"/>
          <w:rtl/>
          <w:lang w:val="en-US" w:bidi="ar-SA"/>
        </w:rPr>
        <w:t xml:space="preserve">، لا يتلقى البنك الدولي الدعم من عائدات </w:t>
      </w:r>
      <w:r w:rsidR="00276AF4" w:rsidRPr="00BE0D11">
        <w:rPr>
          <w:sz w:val="26"/>
          <w:szCs w:val="26"/>
          <w:rtl/>
          <w:lang w:val="en-US" w:bidi="ar-SA"/>
        </w:rPr>
        <w:t>تكاليف دعم الوكالة أو من صندوقه</w:t>
      </w:r>
      <w:r w:rsidRPr="00BE0D11">
        <w:rPr>
          <w:sz w:val="26"/>
          <w:szCs w:val="26"/>
          <w:rtl/>
          <w:lang w:val="en-US" w:bidi="ar-SA"/>
        </w:rPr>
        <w:t xml:space="preserve"> العام.</w:t>
      </w:r>
    </w:p>
    <w:p w:rsidR="00925D46" w:rsidRPr="00BE0D11" w:rsidRDefault="00925D46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 xml:space="preserve">تتألف </w:t>
      </w:r>
      <w:r w:rsidR="0064558A" w:rsidRPr="00BE0D11">
        <w:rPr>
          <w:rFonts w:hint="cs"/>
          <w:sz w:val="26"/>
          <w:szCs w:val="26"/>
          <w:rtl/>
          <w:lang w:val="en-US" w:bidi="ar-SA"/>
        </w:rPr>
        <w:t>ال</w:t>
      </w:r>
      <w:r w:rsidRPr="00BE0D11">
        <w:rPr>
          <w:sz w:val="26"/>
          <w:szCs w:val="26"/>
          <w:rtl/>
          <w:lang w:val="en-US" w:bidi="ar-SA"/>
        </w:rPr>
        <w:t>ميزانية</w:t>
      </w:r>
      <w:r w:rsidR="0064558A" w:rsidRPr="00BE0D11">
        <w:rPr>
          <w:rFonts w:hint="cs"/>
          <w:sz w:val="26"/>
          <w:szCs w:val="26"/>
          <w:rtl/>
          <w:lang w:val="en-US" w:bidi="ar-SA"/>
        </w:rPr>
        <w:t xml:space="preserve"> المقترحة</w:t>
      </w:r>
      <w:r w:rsidR="0064558A" w:rsidRPr="00BE0D11">
        <w:rPr>
          <w:sz w:val="26"/>
          <w:szCs w:val="26"/>
          <w:rtl/>
          <w:lang w:val="en-US" w:bidi="ar-SA"/>
        </w:rPr>
        <w:t xml:space="preserve"> </w:t>
      </w:r>
      <w:r w:rsidRPr="00BE0D11">
        <w:rPr>
          <w:sz w:val="26"/>
          <w:szCs w:val="26"/>
          <w:rtl/>
          <w:lang w:val="en-US" w:bidi="ar-SA"/>
        </w:rPr>
        <w:t xml:space="preserve">لوحدة </w:t>
      </w:r>
      <w:r w:rsidR="0064558A" w:rsidRPr="00BE0D11">
        <w:rPr>
          <w:rFonts w:hint="cs"/>
          <w:sz w:val="26"/>
          <w:szCs w:val="26"/>
          <w:rtl/>
          <w:lang w:val="en-US" w:bidi="ar-SA"/>
        </w:rPr>
        <w:t>ا</w:t>
      </w:r>
      <w:r w:rsidRPr="00BE0D11">
        <w:rPr>
          <w:sz w:val="26"/>
          <w:szCs w:val="26"/>
          <w:rtl/>
          <w:lang w:val="en-US" w:bidi="ar-SA"/>
        </w:rPr>
        <w:t>لبنك الدولي</w:t>
      </w:r>
      <w:r w:rsidR="0064558A" w:rsidRPr="00BE0D11">
        <w:rPr>
          <w:rFonts w:hint="cs"/>
          <w:sz w:val="26"/>
          <w:szCs w:val="26"/>
          <w:rtl/>
          <w:lang w:val="en-US" w:bidi="ar-SA"/>
        </w:rPr>
        <w:t xml:space="preserve"> الأساسية</w:t>
      </w:r>
      <w:r w:rsidRPr="00BE0D11">
        <w:rPr>
          <w:sz w:val="26"/>
          <w:szCs w:val="26"/>
          <w:rtl/>
          <w:lang w:val="en-US" w:bidi="ar-SA"/>
        </w:rPr>
        <w:t xml:space="preserve"> لعام ٢٠٢١ مما يلي:</w:t>
      </w:r>
    </w:p>
    <w:p w:rsidR="00925D46" w:rsidRPr="00BE0D11" w:rsidRDefault="00925D46" w:rsidP="00472B66">
      <w:pPr>
        <w:pStyle w:val="ListParagraph"/>
        <w:numPr>
          <w:ilvl w:val="0"/>
          <w:numId w:val="13"/>
        </w:numPr>
        <w:bidi/>
        <w:ind w:left="1260" w:hanging="540"/>
        <w:rPr>
          <w:sz w:val="26"/>
          <w:szCs w:val="26"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lastRenderedPageBreak/>
        <w:t xml:space="preserve">تمثل رواتب الموظفين 71.0 في المائة من إجمالي الميزانية.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>كانت تكاليف الموظفين لعام 2019 (1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250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888 دول</w:t>
      </w:r>
      <w:r w:rsidR="007F011D" w:rsidRPr="00BE0D11">
        <w:rPr>
          <w:sz w:val="26"/>
          <w:szCs w:val="26"/>
          <w:rtl/>
          <w:lang w:val="en-US" w:bidi="ar-SA"/>
        </w:rPr>
        <w:t>ار أمريكي</w:t>
      </w:r>
      <w:r w:rsidRPr="00BE0D11">
        <w:rPr>
          <w:sz w:val="26"/>
          <w:szCs w:val="26"/>
          <w:rtl/>
          <w:lang w:val="en-US" w:bidi="ar-SA"/>
        </w:rPr>
        <w:t xml:space="preserve">) أعلى بنسبة 5.1٪ من التكاليف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التقديرية</w:t>
      </w:r>
      <w:r w:rsidRPr="00BE0D11">
        <w:rPr>
          <w:sz w:val="26"/>
          <w:szCs w:val="26"/>
          <w:rtl/>
          <w:lang w:val="en-US" w:bidi="ar-SA"/>
        </w:rPr>
        <w:t xml:space="preserve"> لعام 2019 (1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190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 xml:space="preserve">000 دولار أمريكي).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وأفاد</w:t>
      </w:r>
      <w:r w:rsidRPr="00BE0D11">
        <w:rPr>
          <w:sz w:val="26"/>
          <w:szCs w:val="26"/>
          <w:rtl/>
          <w:lang w:val="en-US" w:bidi="ar-SA"/>
        </w:rPr>
        <w:t xml:space="preserve"> البنك الدولي أنه كان من المتوقع ارتفاع تكاليف الموظفين وقت إعداد ميزانية 2019.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 xml:space="preserve">أوضح البنك الدولي أنه يتبع المحاسبة على أساس الأنشطة لوقت الموظفين والاستشاريين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لتوزيع</w:t>
      </w:r>
      <w:r w:rsidRPr="00BE0D11">
        <w:rPr>
          <w:sz w:val="26"/>
          <w:szCs w:val="26"/>
          <w:rtl/>
          <w:lang w:val="en-US" w:bidi="ar-SA"/>
        </w:rPr>
        <w:t xml:space="preserve"> نفقات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 xml:space="preserve">أنشطة </w:t>
      </w:r>
      <w:r w:rsidRPr="00BE0D11">
        <w:rPr>
          <w:sz w:val="26"/>
          <w:szCs w:val="26"/>
          <w:rtl/>
          <w:lang w:val="en-US" w:bidi="ar-SA"/>
        </w:rPr>
        <w:t>بروتوكول مونتريال والأنشطة</w:t>
      </w:r>
      <w:r w:rsidR="007F011D" w:rsidRPr="00BE0D11">
        <w:rPr>
          <w:sz w:val="26"/>
          <w:szCs w:val="26"/>
          <w:rtl/>
          <w:lang w:val="en-US" w:bidi="ar-SA"/>
        </w:rPr>
        <w:t xml:space="preserve"> غير التابعة لبروتوكول مونتريال</w:t>
      </w:r>
      <w:r w:rsidRPr="00BE0D11">
        <w:rPr>
          <w:sz w:val="26"/>
          <w:szCs w:val="26"/>
          <w:rtl/>
          <w:lang w:val="en-US" w:bidi="ar-SA"/>
        </w:rPr>
        <w:t xml:space="preserve">؛ </w:t>
      </w:r>
      <w:r w:rsidR="007F011D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>تكاليف الموظفين والاستشاريين أعلى في عام 2021 مقارنة بتقديرات عام 2020 لأنه سي</w:t>
      </w:r>
      <w:r w:rsidRPr="00BE0D11">
        <w:rPr>
          <w:rFonts w:hint="eastAsia"/>
          <w:sz w:val="26"/>
          <w:szCs w:val="26"/>
          <w:rtl/>
          <w:lang w:val="en-US" w:bidi="ar-SA"/>
        </w:rPr>
        <w:t>تم</w:t>
      </w:r>
      <w:r w:rsidR="007F011D" w:rsidRPr="00BE0D11">
        <w:rPr>
          <w:sz w:val="26"/>
          <w:szCs w:val="26"/>
          <w:rtl/>
          <w:lang w:val="en-US" w:bidi="ar-SA"/>
        </w:rPr>
        <w:t xml:space="preserve"> شغل الوظائف الشاغرة</w:t>
      </w:r>
      <w:r w:rsidRPr="00BE0D11">
        <w:rPr>
          <w:sz w:val="26"/>
          <w:szCs w:val="26"/>
          <w:rtl/>
          <w:lang w:val="en-US" w:bidi="ar-SA"/>
        </w:rPr>
        <w:t>؛</w:t>
      </w:r>
    </w:p>
    <w:p w:rsidR="007F011D" w:rsidRPr="00BE0D11" w:rsidRDefault="007F011D" w:rsidP="007F011D">
      <w:pPr>
        <w:pStyle w:val="ListParagraph"/>
        <w:bidi/>
        <w:ind w:left="1260"/>
        <w:rPr>
          <w:sz w:val="26"/>
          <w:szCs w:val="26"/>
          <w:lang w:val="en-US" w:bidi="ar-SA"/>
        </w:rPr>
      </w:pPr>
    </w:p>
    <w:p w:rsidR="007F011D" w:rsidRPr="00BE0D11" w:rsidRDefault="007F011D" w:rsidP="00472B66">
      <w:pPr>
        <w:pStyle w:val="ListParagraph"/>
        <w:numPr>
          <w:ilvl w:val="0"/>
          <w:numId w:val="13"/>
        </w:numPr>
        <w:bidi/>
        <w:ind w:left="1260" w:hanging="540"/>
        <w:rPr>
          <w:sz w:val="26"/>
          <w:szCs w:val="26"/>
          <w:rtl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>يمثل سداد تكاليف الخدمات المركزية 12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25D46" w:rsidRPr="00BE0D11">
        <w:rPr>
          <w:sz w:val="26"/>
          <w:szCs w:val="26"/>
          <w:rtl/>
          <w:lang w:val="en-US" w:bidi="ar-SA"/>
        </w:rPr>
        <w:t xml:space="preserve">4 في المائة من إجمالي الميزانية. </w:t>
      </w: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>كان سداد البنك الدولي لخدماته المركزية في عام 2019 أعلى بنسبة 5.0 في الما</w:t>
      </w:r>
      <w:r w:rsidRPr="00BE0D11">
        <w:rPr>
          <w:sz w:val="26"/>
          <w:szCs w:val="26"/>
          <w:rtl/>
          <w:lang w:val="en-US" w:bidi="ar-SA"/>
        </w:rPr>
        <w:t>ئة من التكلفة المقدرة لعام 2019</w:t>
      </w:r>
      <w:r w:rsidR="00925D46" w:rsidRPr="00BE0D11">
        <w:rPr>
          <w:sz w:val="26"/>
          <w:szCs w:val="26"/>
          <w:rtl/>
          <w:lang w:val="en-US" w:bidi="ar-SA"/>
        </w:rPr>
        <w:t>؛</w:t>
      </w:r>
    </w:p>
    <w:p w:rsidR="007F011D" w:rsidRPr="00BE0D11" w:rsidRDefault="007F011D" w:rsidP="007F011D">
      <w:pPr>
        <w:pStyle w:val="ListParagraph"/>
        <w:bidi/>
        <w:ind w:left="1260"/>
        <w:rPr>
          <w:sz w:val="26"/>
          <w:szCs w:val="26"/>
          <w:lang w:val="en-US" w:bidi="ar-SA"/>
        </w:rPr>
      </w:pPr>
    </w:p>
    <w:p w:rsidR="00925D46" w:rsidRPr="00BE0D11" w:rsidRDefault="007F011D" w:rsidP="00472B66">
      <w:pPr>
        <w:pStyle w:val="ListParagraph"/>
        <w:numPr>
          <w:ilvl w:val="0"/>
          <w:numId w:val="14"/>
        </w:numPr>
        <w:bidi/>
        <w:ind w:left="1260" w:hanging="540"/>
        <w:rPr>
          <w:sz w:val="26"/>
          <w:szCs w:val="26"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>يمثل السفر 11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25D46" w:rsidRPr="00BE0D11">
        <w:rPr>
          <w:sz w:val="26"/>
          <w:szCs w:val="26"/>
          <w:rtl/>
          <w:lang w:val="en-US" w:bidi="ar-SA"/>
        </w:rPr>
        <w:t xml:space="preserve">5 في المائة من إجمالي الميزانية. </w:t>
      </w: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>تكاليف السفر المقترحة (200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25D46" w:rsidRPr="00BE0D11">
        <w:rPr>
          <w:sz w:val="26"/>
          <w:szCs w:val="26"/>
          <w:rtl/>
          <w:lang w:val="en-US" w:bidi="ar-SA"/>
        </w:rPr>
        <w:t>000 دولار أمريكي) أعلى من تلك المقدرة لعام 2020 (38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25D46" w:rsidRPr="00BE0D11">
        <w:rPr>
          <w:sz w:val="26"/>
          <w:szCs w:val="26"/>
          <w:rtl/>
          <w:lang w:val="en-US" w:bidi="ar-SA"/>
        </w:rPr>
        <w:t>481 دولار أمريكي) والتكاليف الفعلية في عام 2019 (151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25D46" w:rsidRPr="00BE0D11">
        <w:rPr>
          <w:sz w:val="26"/>
          <w:szCs w:val="26"/>
          <w:rtl/>
          <w:lang w:val="en-US" w:bidi="ar-SA"/>
        </w:rPr>
        <w:t xml:space="preserve">281 دولار أمريكي). </w:t>
      </w:r>
      <w:r w:rsidRPr="00BE0D11">
        <w:rPr>
          <w:rFonts w:hint="cs"/>
          <w:sz w:val="26"/>
          <w:szCs w:val="26"/>
          <w:rtl/>
          <w:lang w:val="en-US" w:bidi="ar-SA"/>
        </w:rPr>
        <w:t>وأفاد</w:t>
      </w:r>
      <w:r w:rsidR="00925D46" w:rsidRPr="00BE0D11">
        <w:rPr>
          <w:sz w:val="26"/>
          <w:szCs w:val="26"/>
          <w:rtl/>
          <w:lang w:val="en-US" w:bidi="ar-SA"/>
        </w:rPr>
        <w:t xml:space="preserve"> البنك الدولي </w:t>
      </w:r>
      <w:r w:rsidRPr="00BE0D11">
        <w:rPr>
          <w:rFonts w:hint="cs"/>
          <w:sz w:val="26"/>
          <w:szCs w:val="26"/>
          <w:rtl/>
          <w:lang w:val="en-US" w:bidi="ar-SA"/>
        </w:rPr>
        <w:t>ب</w:t>
      </w:r>
      <w:r w:rsidR="00925D46" w:rsidRPr="00BE0D11">
        <w:rPr>
          <w:sz w:val="26"/>
          <w:szCs w:val="26"/>
          <w:rtl/>
          <w:lang w:val="en-US" w:bidi="ar-SA"/>
        </w:rPr>
        <w:t>أن تكاليف السفر المرتفعة المقترح</w:t>
      </w:r>
      <w:r w:rsidR="00925D46" w:rsidRPr="00BE0D11">
        <w:rPr>
          <w:rFonts w:hint="eastAsia"/>
          <w:sz w:val="26"/>
          <w:szCs w:val="26"/>
          <w:rtl/>
          <w:lang w:val="en-US" w:bidi="ar-SA"/>
        </w:rPr>
        <w:t>ة</w:t>
      </w:r>
      <w:r w:rsidR="00925D46" w:rsidRPr="00BE0D11">
        <w:rPr>
          <w:sz w:val="26"/>
          <w:szCs w:val="26"/>
          <w:rtl/>
          <w:lang w:val="en-US" w:bidi="ar-SA"/>
        </w:rPr>
        <w:t xml:space="preserve"> لعام 2021 تُقدر بناءً على سيناريو متفائل مع استئناف الأنشطة إلى</w:t>
      </w:r>
      <w:r w:rsidRPr="00BE0D11">
        <w:rPr>
          <w:sz w:val="26"/>
          <w:szCs w:val="26"/>
          <w:rtl/>
          <w:lang w:val="en-US" w:bidi="ar-SA"/>
        </w:rPr>
        <w:t xml:space="preserve"> المستويات الطبيعية في عام 2021</w:t>
      </w:r>
      <w:r w:rsidR="00925D46" w:rsidRPr="00BE0D11">
        <w:rPr>
          <w:sz w:val="26"/>
          <w:szCs w:val="26"/>
          <w:rtl/>
          <w:lang w:val="en-US" w:bidi="ar-SA"/>
        </w:rPr>
        <w:t>، مشيرًا إلى أن ميزانية عام 2021 هي نفسها</w:t>
      </w:r>
      <w:r w:rsidRPr="00BE0D11">
        <w:rPr>
          <w:sz w:val="26"/>
          <w:szCs w:val="26"/>
          <w:rtl/>
          <w:lang w:val="en-US" w:bidi="ar-SA"/>
        </w:rPr>
        <w:t xml:space="preserve"> المدرجة في ميزانية عام 2019؛ </w:t>
      </w:r>
    </w:p>
    <w:p w:rsidR="007F011D" w:rsidRPr="00BE0D11" w:rsidRDefault="007F011D" w:rsidP="007F011D">
      <w:pPr>
        <w:pStyle w:val="ListParagraph"/>
        <w:bidi/>
        <w:ind w:left="1260"/>
        <w:rPr>
          <w:sz w:val="26"/>
          <w:szCs w:val="26"/>
          <w:lang w:val="en-US" w:bidi="ar-SA"/>
        </w:rPr>
      </w:pPr>
    </w:p>
    <w:p w:rsidR="00925D46" w:rsidRPr="00BE0D11" w:rsidRDefault="007F011D" w:rsidP="00472B66">
      <w:pPr>
        <w:pStyle w:val="ListParagraph"/>
        <w:numPr>
          <w:ilvl w:val="0"/>
          <w:numId w:val="15"/>
        </w:numPr>
        <w:bidi/>
        <w:ind w:left="1260" w:hanging="540"/>
        <w:rPr>
          <w:sz w:val="26"/>
          <w:szCs w:val="26"/>
          <w:rtl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>تمثل الخدمات التعاقدية 4</w:t>
      </w:r>
      <w:r w:rsidR="00F21705" w:rsidRPr="00BE0D11">
        <w:rPr>
          <w:rFonts w:hint="cs"/>
          <w:sz w:val="26"/>
          <w:szCs w:val="26"/>
          <w:rtl/>
          <w:lang w:val="en-US" w:bidi="ar-SA"/>
        </w:rPr>
        <w:t>,</w:t>
      </w:r>
      <w:r w:rsidR="00925D46" w:rsidRPr="00BE0D11">
        <w:rPr>
          <w:sz w:val="26"/>
          <w:szCs w:val="26"/>
          <w:rtl/>
          <w:lang w:val="en-US" w:bidi="ar-SA"/>
        </w:rPr>
        <w:t xml:space="preserve">9 في المائة من إجمالي الميزانية. </w:t>
      </w:r>
      <w:r w:rsidR="00F21705"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 xml:space="preserve">تعتبر تكاليف الخدمات التعاقدية المقترحة لعام 2021 (الشركات) أعلى من التكلفة الفعلية لعام 2019 لأنها تشمل تكاليف استضافة </w:t>
      </w:r>
      <w:r w:rsidR="00F21705" w:rsidRPr="00BE0D11">
        <w:rPr>
          <w:rFonts w:hint="cs"/>
          <w:sz w:val="26"/>
          <w:szCs w:val="26"/>
          <w:rtl/>
          <w:lang w:val="en-US" w:bidi="ar-SA"/>
        </w:rPr>
        <w:t>حلقتي</w:t>
      </w:r>
      <w:r w:rsidR="00925D46" w:rsidRPr="00BE0D11">
        <w:rPr>
          <w:sz w:val="26"/>
          <w:szCs w:val="26"/>
          <w:rtl/>
          <w:lang w:val="en-US" w:bidi="ar-SA"/>
        </w:rPr>
        <w:t xml:space="preserve"> عمل</w:t>
      </w:r>
      <w:r w:rsidR="00F21705" w:rsidRPr="00BE0D11">
        <w:rPr>
          <w:sz w:val="26"/>
          <w:szCs w:val="26"/>
          <w:rtl/>
          <w:lang w:val="en-US" w:bidi="ar-SA"/>
        </w:rPr>
        <w:t xml:space="preserve"> لتنفيذ مشروع بروتوكول مونتريال</w:t>
      </w:r>
      <w:r w:rsidR="00925D46" w:rsidRPr="00BE0D11">
        <w:rPr>
          <w:sz w:val="26"/>
          <w:szCs w:val="26"/>
          <w:rtl/>
          <w:lang w:val="en-US" w:bidi="ar-SA"/>
        </w:rPr>
        <w:t xml:space="preserve">، مقارنةً بواحدة عُقدت في عام 2019. وأوضح البنك الدولي أن التكاليف الفعلية لعام 2019 </w:t>
      </w:r>
      <w:r w:rsidR="00F21705" w:rsidRPr="00BE0D11">
        <w:rPr>
          <w:rFonts w:hint="cs"/>
          <w:sz w:val="26"/>
          <w:szCs w:val="26"/>
          <w:rtl/>
          <w:lang w:val="en-US" w:bidi="ar-SA"/>
        </w:rPr>
        <w:t>للمكان</w:t>
      </w:r>
      <w:r w:rsidR="00925D46" w:rsidRPr="00BE0D11">
        <w:rPr>
          <w:sz w:val="26"/>
          <w:szCs w:val="26"/>
          <w:rtl/>
          <w:lang w:val="en-US" w:bidi="ar-SA"/>
        </w:rPr>
        <w:t xml:space="preserve"> والمعدات / الإمدادات </w:t>
      </w:r>
      <w:r w:rsidR="00F21705" w:rsidRPr="00BE0D11">
        <w:rPr>
          <w:sz w:val="26"/>
          <w:szCs w:val="26"/>
          <w:rtl/>
          <w:lang w:val="en-US" w:bidi="ar-SA"/>
        </w:rPr>
        <w:t xml:space="preserve">كانت </w:t>
      </w:r>
      <w:r w:rsidR="00925D46" w:rsidRPr="00BE0D11">
        <w:rPr>
          <w:sz w:val="26"/>
          <w:szCs w:val="26"/>
          <w:rtl/>
          <w:lang w:val="en-US" w:bidi="ar-SA"/>
        </w:rPr>
        <w:t xml:space="preserve">صفراً </w:t>
      </w:r>
      <w:r w:rsidR="00F21705" w:rsidRPr="00BE0D11">
        <w:rPr>
          <w:rFonts w:hint="cs"/>
          <w:sz w:val="26"/>
          <w:szCs w:val="26"/>
          <w:rtl/>
          <w:lang w:val="en-US" w:bidi="ar-SA"/>
        </w:rPr>
        <w:t>لأنه</w:t>
      </w:r>
      <w:r w:rsidR="00925D46" w:rsidRPr="00BE0D11">
        <w:rPr>
          <w:sz w:val="26"/>
          <w:szCs w:val="26"/>
          <w:rtl/>
          <w:lang w:val="en-US" w:bidi="ar-SA"/>
        </w:rPr>
        <w:t xml:space="preserve"> تم استيعاب هذه التكاليف من قبل ميزانية البنك الدولي (بد</w:t>
      </w:r>
      <w:r w:rsidR="00F21705" w:rsidRPr="00BE0D11">
        <w:rPr>
          <w:sz w:val="26"/>
          <w:szCs w:val="26"/>
          <w:rtl/>
          <w:lang w:val="en-US" w:bidi="ar-SA"/>
        </w:rPr>
        <w:t>لاً من ميزانية الوحدة الأساسية)</w:t>
      </w:r>
      <w:r w:rsidR="00925D46" w:rsidRPr="00BE0D11">
        <w:rPr>
          <w:sz w:val="26"/>
          <w:szCs w:val="26"/>
          <w:rtl/>
          <w:lang w:val="en-US" w:bidi="ar-SA"/>
        </w:rPr>
        <w:t xml:space="preserve">؛ </w:t>
      </w:r>
      <w:r w:rsidR="00F21705" w:rsidRPr="00BE0D11">
        <w:rPr>
          <w:rFonts w:hint="cs"/>
          <w:sz w:val="26"/>
          <w:szCs w:val="26"/>
          <w:rtl/>
          <w:lang w:val="en-US" w:bidi="ar-SA"/>
        </w:rPr>
        <w:t>و</w:t>
      </w:r>
      <w:r w:rsidR="00925D46" w:rsidRPr="00BE0D11">
        <w:rPr>
          <w:sz w:val="26"/>
          <w:szCs w:val="26"/>
          <w:rtl/>
          <w:lang w:val="en-US" w:bidi="ar-SA"/>
        </w:rPr>
        <w:t>أدى ذلك إلى انخفاض قدره 207 دولارات أمريكية في نفقات المعدات / الإم</w:t>
      </w:r>
      <w:r w:rsidR="00925D46" w:rsidRPr="00BE0D11">
        <w:rPr>
          <w:rFonts w:hint="eastAsia"/>
          <w:sz w:val="26"/>
          <w:szCs w:val="26"/>
          <w:rtl/>
          <w:lang w:val="en-US" w:bidi="ar-SA"/>
        </w:rPr>
        <w:t>دادات</w:t>
      </w:r>
      <w:r w:rsidR="00925D46" w:rsidRPr="00BE0D11">
        <w:rPr>
          <w:sz w:val="26"/>
          <w:szCs w:val="26"/>
          <w:rtl/>
          <w:lang w:val="en-US" w:bidi="ar-SA"/>
        </w:rPr>
        <w:t>.</w:t>
      </w:r>
    </w:p>
    <w:p w:rsidR="00925D46" w:rsidRPr="00BE0D11" w:rsidRDefault="00925D46" w:rsidP="00925D46">
      <w:pPr>
        <w:bidi/>
        <w:rPr>
          <w:sz w:val="26"/>
          <w:szCs w:val="26"/>
          <w:rtl/>
          <w:lang w:val="en-US" w:bidi="ar-SA"/>
        </w:rPr>
      </w:pPr>
    </w:p>
    <w:p w:rsidR="00925D46" w:rsidRPr="00BE0D11" w:rsidRDefault="00925D46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 xml:space="preserve">سيعيد البنك الدولي </w:t>
      </w:r>
      <w:r w:rsidR="00E26748" w:rsidRPr="00BE0D11">
        <w:rPr>
          <w:rFonts w:hint="cs"/>
          <w:sz w:val="26"/>
          <w:szCs w:val="26"/>
          <w:rtl/>
          <w:lang w:val="en-US" w:bidi="ar-SA"/>
        </w:rPr>
        <w:t>مبلغ إجمالي قدره</w:t>
      </w:r>
      <w:r w:rsidRPr="00BE0D11">
        <w:rPr>
          <w:sz w:val="26"/>
          <w:szCs w:val="26"/>
          <w:rtl/>
          <w:lang w:val="en-US" w:bidi="ar-SA"/>
        </w:rPr>
        <w:t xml:space="preserve"> 43</w:t>
      </w:r>
      <w:r w:rsidR="00E26748" w:rsidRPr="00BE0D11">
        <w:rPr>
          <w:rFonts w:hint="cs"/>
          <w:sz w:val="26"/>
          <w:szCs w:val="26"/>
          <w:rtl/>
          <w:lang w:val="en-US" w:bidi="ar-SA"/>
        </w:rPr>
        <w:t>,</w:t>
      </w:r>
      <w:r w:rsidR="00E26748" w:rsidRPr="00BE0D11">
        <w:rPr>
          <w:sz w:val="26"/>
          <w:szCs w:val="26"/>
          <w:rtl/>
          <w:lang w:val="en-US" w:bidi="ar-SA"/>
        </w:rPr>
        <w:t>894 دولار أمريكي</w:t>
      </w:r>
      <w:r w:rsidRPr="00BE0D11">
        <w:rPr>
          <w:sz w:val="26"/>
          <w:szCs w:val="26"/>
          <w:rtl/>
          <w:lang w:val="en-US" w:bidi="ar-SA"/>
        </w:rPr>
        <w:t xml:space="preserve"> من تكاليف الوحدة الأساسية من عام 2019. وقد تر</w:t>
      </w:r>
      <w:r w:rsidR="00D96E15" w:rsidRPr="00BE0D11">
        <w:rPr>
          <w:sz w:val="26"/>
          <w:szCs w:val="26"/>
          <w:rtl/>
          <w:lang w:val="en-US" w:bidi="ar-SA"/>
        </w:rPr>
        <w:t>غب اللجنة التنفيذية في أن تلاحظ، مع التقدير</w:t>
      </w:r>
      <w:r w:rsidRPr="00BE0D11">
        <w:rPr>
          <w:sz w:val="26"/>
          <w:szCs w:val="26"/>
          <w:rtl/>
          <w:lang w:val="en-US" w:bidi="ar-SA"/>
        </w:rPr>
        <w:t>، أن البنك الدولي سيعيد الأرصدة غير المستخدمة.</w:t>
      </w:r>
    </w:p>
    <w:p w:rsidR="00D96E15" w:rsidRPr="00BE0D11" w:rsidRDefault="00D96E15" w:rsidP="00D96E15">
      <w:pPr>
        <w:bidi/>
        <w:rPr>
          <w:sz w:val="26"/>
          <w:szCs w:val="26"/>
          <w:lang w:val="en-US" w:bidi="ar-SA"/>
        </w:rPr>
      </w:pPr>
    </w:p>
    <w:p w:rsidR="00925D46" w:rsidRPr="00BE0D11" w:rsidRDefault="00D96E15" w:rsidP="00252C17">
      <w:pPr>
        <w:keepNext/>
        <w:keepLines/>
        <w:bidi/>
        <w:rPr>
          <w:sz w:val="26"/>
          <w:szCs w:val="26"/>
          <w:u w:val="single"/>
          <w:rtl/>
          <w:lang w:val="en-US" w:bidi="ar-SA"/>
        </w:rPr>
      </w:pPr>
      <w:r w:rsidRPr="00BE0D11">
        <w:rPr>
          <w:sz w:val="26"/>
          <w:szCs w:val="26"/>
          <w:u w:val="single"/>
          <w:rtl/>
          <w:lang w:val="en-US" w:bidi="ar-SA"/>
        </w:rPr>
        <w:t>إجمالي التكاليف الإداري</w:t>
      </w:r>
      <w:r w:rsidRPr="00BE0D11">
        <w:rPr>
          <w:rFonts w:hint="cs"/>
          <w:sz w:val="26"/>
          <w:szCs w:val="26"/>
          <w:u w:val="single"/>
          <w:rtl/>
          <w:lang w:val="en-US" w:bidi="ar-SA"/>
        </w:rPr>
        <w:t>ة</w:t>
      </w:r>
    </w:p>
    <w:p w:rsidR="00D96E15" w:rsidRPr="00BE0D11" w:rsidRDefault="00D96E15" w:rsidP="00252C17">
      <w:pPr>
        <w:keepNext/>
        <w:keepLines/>
        <w:bidi/>
        <w:rPr>
          <w:sz w:val="26"/>
          <w:szCs w:val="26"/>
          <w:lang w:val="en-US" w:bidi="ar-SA"/>
        </w:rPr>
      </w:pPr>
    </w:p>
    <w:p w:rsidR="00925D46" w:rsidRPr="00BE0D11" w:rsidRDefault="00925D46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من المتوقع أن تكون ميزانية سداد تكاليف المكاتب القطرية</w:t>
      </w:r>
      <w:r w:rsidR="00667B8E" w:rsidRPr="00BE0D11">
        <w:rPr>
          <w:rStyle w:val="FootnoteReference"/>
          <w:sz w:val="26"/>
          <w:szCs w:val="26"/>
          <w:rtl/>
          <w:lang w:val="en-US" w:bidi="ar-SA"/>
        </w:rPr>
        <w:footnoteReference w:id="7"/>
      </w:r>
      <w:r w:rsidRPr="00BE0D11">
        <w:rPr>
          <w:sz w:val="26"/>
          <w:szCs w:val="26"/>
          <w:rtl/>
          <w:lang w:val="en-US" w:bidi="ar-SA"/>
        </w:rPr>
        <w:t xml:space="preserve"> المقترحة لعام 2021 (2</w:t>
      </w:r>
      <w:r w:rsidR="00B913DA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000</w:t>
      </w:r>
      <w:r w:rsidR="00B913DA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 xml:space="preserve">000 دولار أمريكي) أعلى من التكاليف المقدرة لعام 2020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وقدرها</w:t>
      </w:r>
      <w:r w:rsidRPr="00BE0D11">
        <w:rPr>
          <w:sz w:val="26"/>
          <w:szCs w:val="26"/>
          <w:rtl/>
          <w:lang w:val="en-US" w:bidi="ar-SA"/>
        </w:rPr>
        <w:t xml:space="preserve"> 1</w:t>
      </w:r>
      <w:r w:rsidR="00B913DA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300</w:t>
      </w:r>
      <w:r w:rsidR="00B913DA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 xml:space="preserve">000 دولار أمريكي.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 xml:space="preserve">تقدر التكاليف الإدارية الإجمالية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بقيمة</w:t>
      </w:r>
      <w:r w:rsidRPr="00BE0D11">
        <w:rPr>
          <w:sz w:val="26"/>
          <w:szCs w:val="26"/>
          <w:rtl/>
          <w:lang w:val="en-US" w:bidi="ar-SA"/>
        </w:rPr>
        <w:t xml:space="preserve"> 3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735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,</w:t>
      </w:r>
      <w:r w:rsidR="0031396D" w:rsidRPr="00BE0D11">
        <w:rPr>
          <w:sz w:val="26"/>
          <w:szCs w:val="26"/>
          <w:rtl/>
          <w:lang w:val="en-US" w:bidi="ar-SA"/>
        </w:rPr>
        <w:t>000 دولار أمريكي في عام 2021</w:t>
      </w:r>
      <w:r w:rsidRPr="00BE0D11">
        <w:rPr>
          <w:sz w:val="26"/>
          <w:szCs w:val="26"/>
          <w:rtl/>
          <w:lang w:val="en-US" w:bidi="ar-SA"/>
        </w:rPr>
        <w:t xml:space="preserve">،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 xml:space="preserve">وهي </w:t>
      </w:r>
      <w:r w:rsidRPr="00BE0D11">
        <w:rPr>
          <w:sz w:val="26"/>
          <w:szCs w:val="26"/>
          <w:rtl/>
          <w:lang w:val="en-US" w:bidi="ar-SA"/>
        </w:rPr>
        <w:t xml:space="preserve">أعلى من التكاليف التقديرية لعام 2020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وقدرها</w:t>
      </w:r>
      <w:r w:rsidRPr="00BE0D11">
        <w:rPr>
          <w:sz w:val="26"/>
          <w:szCs w:val="26"/>
          <w:rtl/>
          <w:lang w:val="en-US" w:bidi="ar-SA"/>
        </w:rPr>
        <w:t xml:space="preserve"> 2</w:t>
      </w:r>
      <w:r w:rsidR="00B913DA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592</w:t>
      </w:r>
      <w:r w:rsidR="00B913DA" w:rsidRPr="00BE0D11">
        <w:rPr>
          <w:rFonts w:hint="cs"/>
          <w:sz w:val="26"/>
          <w:szCs w:val="26"/>
          <w:rtl/>
          <w:lang w:val="en-US" w:bidi="ar-SA"/>
        </w:rPr>
        <w:t>,</w:t>
      </w:r>
      <w:r w:rsidR="00B913DA" w:rsidRPr="00BE0D11">
        <w:rPr>
          <w:sz w:val="26"/>
          <w:szCs w:val="26"/>
          <w:rtl/>
          <w:lang w:val="en-US" w:bidi="ar-SA"/>
        </w:rPr>
        <w:t>944 دولار أمريكي</w:t>
      </w:r>
      <w:r w:rsidRPr="00BE0D11">
        <w:rPr>
          <w:sz w:val="26"/>
          <w:szCs w:val="26"/>
          <w:rtl/>
          <w:lang w:val="en-US" w:bidi="ar-SA"/>
        </w:rPr>
        <w:t>.</w:t>
      </w:r>
    </w:p>
    <w:p w:rsidR="0031396D" w:rsidRPr="00BE0D11" w:rsidRDefault="0031396D" w:rsidP="0031396D">
      <w:pPr>
        <w:bidi/>
        <w:rPr>
          <w:sz w:val="26"/>
          <w:szCs w:val="26"/>
          <w:lang w:val="en-US" w:bidi="ar-SA"/>
        </w:rPr>
      </w:pPr>
    </w:p>
    <w:p w:rsidR="00925D46" w:rsidRPr="00BE0D11" w:rsidRDefault="00925D46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 xml:space="preserve">تشمل الموارد المتوقعة المتاحة للبنك الدولي للتكاليف الإدارية تكاليف الوحدة الأساسية وتكاليف دعم الوكالة بالإضافة إلى أي رصيد في الدخل للتكاليف الإدارية لم يتم استخدامه من قبل.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ولن يتم</w:t>
      </w:r>
      <w:r w:rsidRPr="00BE0D11">
        <w:rPr>
          <w:sz w:val="26"/>
          <w:szCs w:val="26"/>
          <w:rtl/>
          <w:lang w:val="en-US" w:bidi="ar-SA"/>
        </w:rPr>
        <w:t xml:space="preserve"> توفير تكاليف دعم الوكالة للبنك الدولي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إلا</w:t>
      </w:r>
      <w:r w:rsidRPr="00BE0D11">
        <w:rPr>
          <w:sz w:val="26"/>
          <w:szCs w:val="26"/>
          <w:rtl/>
          <w:lang w:val="en-US" w:bidi="ar-SA"/>
        </w:rPr>
        <w:t xml:space="preserve"> بعد صرف تكاليف المشروع المعتمدة. </w:t>
      </w:r>
      <w:r w:rsidR="0031396D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>يعرض الجدول 6 هذه المعلومات لعامي 2017 و 2020.</w:t>
      </w:r>
    </w:p>
    <w:p w:rsidR="0031396D" w:rsidRPr="00BE0D11" w:rsidRDefault="0031396D" w:rsidP="0031396D">
      <w:pPr>
        <w:bidi/>
        <w:rPr>
          <w:sz w:val="26"/>
          <w:szCs w:val="26"/>
          <w:lang w:val="en-US" w:bidi="ar-SA"/>
        </w:rPr>
      </w:pPr>
    </w:p>
    <w:p w:rsidR="0062274B" w:rsidRDefault="0062274B">
      <w:pPr>
        <w:jc w:val="left"/>
        <w:rPr>
          <w:b/>
          <w:bCs/>
          <w:sz w:val="26"/>
          <w:szCs w:val="26"/>
          <w:rtl/>
          <w:lang w:val="en-US" w:bidi="ar-SA"/>
        </w:rPr>
      </w:pPr>
      <w:r>
        <w:rPr>
          <w:b/>
          <w:bCs/>
          <w:sz w:val="26"/>
          <w:szCs w:val="26"/>
          <w:rtl/>
          <w:lang w:val="en-US" w:bidi="ar-SA"/>
        </w:rPr>
        <w:br w:type="page"/>
      </w:r>
    </w:p>
    <w:p w:rsidR="00925D46" w:rsidRPr="003D0A36" w:rsidRDefault="003D0A36" w:rsidP="0062274B">
      <w:pPr>
        <w:keepNext/>
        <w:keepLines/>
        <w:bidi/>
        <w:rPr>
          <w:b/>
          <w:bCs/>
          <w:szCs w:val="24"/>
          <w:rtl/>
          <w:lang w:val="en-US" w:bidi="ar-SA"/>
        </w:rPr>
      </w:pPr>
      <w:r w:rsidRPr="00BE0D11">
        <w:rPr>
          <w:b/>
          <w:bCs/>
          <w:sz w:val="26"/>
          <w:szCs w:val="26"/>
          <w:rtl/>
          <w:lang w:val="en-US" w:bidi="ar-SA"/>
        </w:rPr>
        <w:lastRenderedPageBreak/>
        <w:t>الجدول 6</w:t>
      </w:r>
      <w:r w:rsidRPr="00BE0D11">
        <w:rPr>
          <w:rFonts w:hint="cs"/>
          <w:b/>
          <w:bCs/>
          <w:sz w:val="26"/>
          <w:szCs w:val="26"/>
          <w:rtl/>
          <w:lang w:val="en-US" w:bidi="ar-SA"/>
        </w:rPr>
        <w:t xml:space="preserve">- </w:t>
      </w:r>
      <w:r w:rsidR="00925D46" w:rsidRPr="00BE0D11">
        <w:rPr>
          <w:b/>
          <w:bCs/>
          <w:sz w:val="26"/>
          <w:szCs w:val="26"/>
          <w:rtl/>
          <w:lang w:val="en-US" w:bidi="ar-SA"/>
        </w:rPr>
        <w:t xml:space="preserve"> تقييم مدى توافر الدخل للتكاليف الإدارية المستقبلية للبنك الدولي (بالدولار الأمريكي)</w:t>
      </w:r>
    </w:p>
    <w:tbl>
      <w:tblPr>
        <w:tblpPr w:leftFromText="180" w:rightFromText="180" w:vertAnchor="text" w:tblpY="1"/>
        <w:tblOverlap w:val="never"/>
        <w:bidiVisual/>
        <w:tblW w:w="9367" w:type="dxa"/>
        <w:tblLayout w:type="fixed"/>
        <w:tblLook w:val="04A0" w:firstRow="1" w:lastRow="0" w:firstColumn="1" w:lastColumn="0" w:noHBand="0" w:noVBand="1"/>
      </w:tblPr>
      <w:tblGrid>
        <w:gridCol w:w="4315"/>
        <w:gridCol w:w="1263"/>
        <w:gridCol w:w="1263"/>
        <w:gridCol w:w="1263"/>
        <w:gridCol w:w="1263"/>
      </w:tblGrid>
      <w:tr w:rsidR="000A1F3C" w:rsidRPr="00E2441A" w:rsidTr="003D0A36">
        <w:trPr>
          <w:trHeight w:val="24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3C" w:rsidRPr="00E2441A" w:rsidRDefault="001D6FC9" w:rsidP="0062274B">
            <w:pPr>
              <w:keepNext/>
              <w:keepLines/>
              <w:bidi/>
              <w:jc w:val="center"/>
              <w:rPr>
                <w:sz w:val="21"/>
                <w:szCs w:val="21"/>
                <w:lang w:val="en-CA" w:eastAsia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الوصف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3C" w:rsidRPr="00E2441A" w:rsidRDefault="000A1F3C" w:rsidP="0062274B">
            <w:pPr>
              <w:keepNext/>
              <w:keepLines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3C" w:rsidRPr="00E2441A" w:rsidRDefault="000A1F3C" w:rsidP="0062274B">
            <w:pPr>
              <w:keepNext/>
              <w:keepLines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3C" w:rsidRPr="00E2441A" w:rsidRDefault="000A1F3C" w:rsidP="0062274B">
            <w:pPr>
              <w:keepNext/>
              <w:keepLines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E2441A">
              <w:rPr>
                <w:b/>
                <w:bCs/>
                <w:sz w:val="21"/>
                <w:szCs w:val="21"/>
                <w:lang w:val="en-CA" w:eastAsia="en-CA"/>
              </w:rPr>
              <w:t>2019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3C" w:rsidRPr="00E2441A" w:rsidRDefault="001D6FC9" w:rsidP="0062274B">
            <w:pPr>
              <w:keepNext/>
              <w:keepLines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2020*</w:t>
            </w:r>
          </w:p>
        </w:tc>
      </w:tr>
      <w:tr w:rsidR="00E13873" w:rsidRPr="00E2441A" w:rsidTr="003D0A36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3" w:rsidRPr="00116281" w:rsidRDefault="00FB7203" w:rsidP="0062274B">
            <w:pPr>
              <w:keepNext/>
              <w:keepLines/>
              <w:bidi/>
              <w:jc w:val="left"/>
              <w:rPr>
                <w:sz w:val="21"/>
                <w:szCs w:val="21"/>
                <w:rtl/>
                <w:lang w:val="en-US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US" w:eastAsia="en-CA" w:bidi="ar-SA"/>
              </w:rPr>
              <w:t xml:space="preserve">صافي </w:t>
            </w:r>
            <w:r w:rsidR="00E13873">
              <w:rPr>
                <w:rFonts w:hint="cs"/>
                <w:sz w:val="21"/>
                <w:szCs w:val="21"/>
                <w:rtl/>
                <w:lang w:val="en-US" w:eastAsia="en-CA" w:bidi="ar-SA"/>
              </w:rPr>
              <w:t>تكاليف دعم الوكالة بالإضافة إلى تكاليف الوحدة الأساسية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1,882,431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3,295,636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1,958,493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1,905,591</w:t>
            </w:r>
          </w:p>
        </w:tc>
      </w:tr>
      <w:tr w:rsidR="00E13873" w:rsidRPr="00E2441A" w:rsidTr="003D0A36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3" w:rsidRPr="00116281" w:rsidRDefault="00E13873" w:rsidP="0062274B">
            <w:pPr>
              <w:keepNext/>
              <w:keepLines/>
              <w:bidi/>
              <w:ind w:right="-105"/>
              <w:jc w:val="left"/>
              <w:rPr>
                <w:sz w:val="21"/>
                <w:szCs w:val="21"/>
                <w:rtl/>
                <w:lang w:val="en-US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US" w:eastAsia="en-CA" w:bidi="ar-SA"/>
              </w:rPr>
              <w:t>إجمالي التكاليف الإدارية باستثناء تكاليف المشروع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3,156,744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3,842,489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2,949,544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2,592,944</w:t>
            </w:r>
          </w:p>
        </w:tc>
      </w:tr>
      <w:tr w:rsidR="00E13873" w:rsidRPr="00E2441A" w:rsidTr="003D0A36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3" w:rsidRPr="00E2441A" w:rsidRDefault="00E13873" w:rsidP="0062274B">
            <w:pPr>
              <w:keepNext/>
              <w:keepLines/>
              <w:bidi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rFonts w:hint="cs"/>
                <w:sz w:val="21"/>
                <w:szCs w:val="21"/>
                <w:rtl/>
                <w:lang w:val="en-CA" w:eastAsia="en-CA"/>
              </w:rPr>
              <w:t>الرصيد السنوي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(1,274,313)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(546,853)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(991,051)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(687,353)</w:t>
            </w:r>
          </w:p>
        </w:tc>
      </w:tr>
      <w:tr w:rsidR="00E13873" w:rsidRPr="00E2441A" w:rsidTr="003D0A36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3" w:rsidRPr="00E2441A" w:rsidRDefault="00E13873" w:rsidP="0062274B">
            <w:pPr>
              <w:keepNext/>
              <w:keepLines/>
              <w:bidi/>
              <w:ind w:right="-105"/>
              <w:jc w:val="left"/>
              <w:rPr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eastAsia="en-CA"/>
              </w:rPr>
              <w:t>الرصيد الجاري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3,964,637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3,417,784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2,426,733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73" w:rsidRPr="00E2441A" w:rsidRDefault="00E13873" w:rsidP="0062274B">
            <w:pPr>
              <w:keepNext/>
              <w:keepLines/>
              <w:jc w:val="right"/>
              <w:rPr>
                <w:sz w:val="21"/>
                <w:szCs w:val="21"/>
                <w:lang w:val="en-CA" w:eastAsia="en-CA"/>
              </w:rPr>
            </w:pPr>
            <w:r w:rsidRPr="00E2441A">
              <w:rPr>
                <w:sz w:val="21"/>
                <w:szCs w:val="21"/>
                <w:lang w:val="en-CA" w:eastAsia="en-CA"/>
              </w:rPr>
              <w:t>1,739,380</w:t>
            </w:r>
          </w:p>
        </w:tc>
      </w:tr>
    </w:tbl>
    <w:p w:rsidR="000A1F3C" w:rsidRPr="009C0D11" w:rsidRDefault="000A1F3C" w:rsidP="0062274B">
      <w:pPr>
        <w:keepNext/>
        <w:keepLines/>
        <w:bidi/>
        <w:rPr>
          <w:sz w:val="20"/>
          <w:lang w:val="en-US" w:bidi="ar-SA"/>
        </w:rPr>
      </w:pPr>
      <w:r w:rsidRPr="009C0D11">
        <w:rPr>
          <w:sz w:val="20"/>
          <w:rtl/>
          <w:lang w:val="en-US" w:bidi="ar-SA"/>
        </w:rPr>
        <w:t xml:space="preserve">* </w:t>
      </w:r>
      <w:r w:rsidR="00BD1DF2">
        <w:rPr>
          <w:rFonts w:hint="cs"/>
          <w:sz w:val="20"/>
          <w:rtl/>
          <w:lang w:val="en-US" w:bidi="ar-SA"/>
        </w:rPr>
        <w:t>شاملا</w:t>
      </w:r>
      <w:r w:rsidRPr="009C0D11">
        <w:rPr>
          <w:sz w:val="20"/>
          <w:rtl/>
          <w:lang w:val="en-US" w:bidi="ar-SA"/>
        </w:rPr>
        <w:t xml:space="preserve"> تكاليف دعم الوكالة المعتم</w:t>
      </w:r>
      <w:r w:rsidR="00BD1DF2">
        <w:rPr>
          <w:sz w:val="20"/>
          <w:rtl/>
          <w:lang w:val="en-US" w:bidi="ar-SA"/>
        </w:rPr>
        <w:t>دة في الاجتماع الخامس والثمانين</w:t>
      </w:r>
      <w:r w:rsidRPr="009C0D11">
        <w:rPr>
          <w:sz w:val="20"/>
          <w:rtl/>
          <w:lang w:val="en-US" w:bidi="ar-SA"/>
        </w:rPr>
        <w:t xml:space="preserve">، وقيمة تكاليف دعم الوكالة وتكاليف الوحدة الأساسية من </w:t>
      </w:r>
      <w:r w:rsidR="00BD1DF2">
        <w:rPr>
          <w:rFonts w:hint="cs"/>
          <w:sz w:val="20"/>
          <w:rtl/>
          <w:lang w:val="en-US" w:bidi="ar-SA"/>
        </w:rPr>
        <w:t>الطلبات المقدمة</w:t>
      </w:r>
      <w:r w:rsidRPr="009C0D11">
        <w:rPr>
          <w:sz w:val="20"/>
          <w:rtl/>
          <w:lang w:val="en-US" w:bidi="ar-SA"/>
        </w:rPr>
        <w:t xml:space="preserve"> إلى الاجتماع السادس والثمانين.</w:t>
      </w:r>
    </w:p>
    <w:p w:rsidR="000A1F3C" w:rsidRPr="000A1F3C" w:rsidRDefault="000A1F3C" w:rsidP="000A1F3C">
      <w:pPr>
        <w:bidi/>
        <w:rPr>
          <w:szCs w:val="24"/>
          <w:lang w:val="en-US" w:bidi="ar-SA"/>
        </w:rPr>
      </w:pPr>
    </w:p>
    <w:p w:rsidR="000A1F3C" w:rsidRPr="00BE0D11" w:rsidRDefault="000A1F3C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واستناداً</w:t>
      </w:r>
      <w:r w:rsidR="00217E4F" w:rsidRPr="00BE0D11">
        <w:rPr>
          <w:sz w:val="26"/>
          <w:szCs w:val="26"/>
          <w:rtl/>
          <w:lang w:val="en-US" w:bidi="ar-SA"/>
        </w:rPr>
        <w:t xml:space="preserve"> إلى التحليل الوارد في الجدول 6</w:t>
      </w:r>
      <w:r w:rsidRPr="00BE0D11">
        <w:rPr>
          <w:sz w:val="26"/>
          <w:szCs w:val="26"/>
          <w:rtl/>
          <w:lang w:val="en-US" w:bidi="ar-SA"/>
        </w:rPr>
        <w:t xml:space="preserve">، يمكن للبنك الدولي أن يجمع رصيداً </w:t>
      </w:r>
      <w:r w:rsidR="00217E4F" w:rsidRPr="00BE0D11">
        <w:rPr>
          <w:rFonts w:hint="cs"/>
          <w:sz w:val="26"/>
          <w:szCs w:val="26"/>
          <w:rtl/>
          <w:lang w:val="en-US" w:bidi="ar-SA"/>
        </w:rPr>
        <w:t xml:space="preserve">تراكميا </w:t>
      </w:r>
      <w:r w:rsidRPr="00BE0D11">
        <w:rPr>
          <w:sz w:val="26"/>
          <w:szCs w:val="26"/>
          <w:rtl/>
          <w:lang w:val="en-US" w:bidi="ar-SA"/>
        </w:rPr>
        <w:t>قدره 1</w:t>
      </w:r>
      <w:r w:rsidR="00217E4F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739</w:t>
      </w:r>
      <w:r w:rsidR="00217E4F" w:rsidRPr="00BE0D11">
        <w:rPr>
          <w:rFonts w:hint="cs"/>
          <w:sz w:val="26"/>
          <w:szCs w:val="26"/>
          <w:rtl/>
          <w:lang w:val="en-US" w:bidi="ar-SA"/>
        </w:rPr>
        <w:t>,</w:t>
      </w:r>
      <w:r w:rsidR="00217E4F" w:rsidRPr="00BE0D11">
        <w:rPr>
          <w:sz w:val="26"/>
          <w:szCs w:val="26"/>
          <w:rtl/>
          <w:lang w:val="en-US" w:bidi="ar-SA"/>
        </w:rPr>
        <w:t>380 دولار أمريكي</w:t>
      </w:r>
      <w:r w:rsidRPr="00BE0D11">
        <w:rPr>
          <w:sz w:val="26"/>
          <w:szCs w:val="26"/>
          <w:rtl/>
          <w:lang w:val="en-US" w:bidi="ar-SA"/>
        </w:rPr>
        <w:t xml:space="preserve"> بناءً على الموافقات في الاجتماع الخامس والثمانين </w:t>
      </w:r>
      <w:r w:rsidR="00217E4F" w:rsidRPr="00BE0D11">
        <w:rPr>
          <w:rFonts w:hint="cs"/>
          <w:sz w:val="26"/>
          <w:szCs w:val="26"/>
          <w:rtl/>
          <w:lang w:val="en-US" w:bidi="ar-SA"/>
        </w:rPr>
        <w:t>والطلبات</w:t>
      </w:r>
      <w:r w:rsidRPr="00BE0D11">
        <w:rPr>
          <w:sz w:val="26"/>
          <w:szCs w:val="26"/>
          <w:rtl/>
          <w:lang w:val="en-US" w:bidi="ar-SA"/>
        </w:rPr>
        <w:t xml:space="preserve"> المقدمة إلى الاجتماع السادس والثمانين. </w:t>
      </w:r>
      <w:r w:rsidR="00217E4F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>سيتعين على البنك الدولي تولي</w:t>
      </w:r>
      <w:r w:rsidR="00217E4F" w:rsidRPr="00BE0D11">
        <w:rPr>
          <w:sz w:val="26"/>
          <w:szCs w:val="26"/>
          <w:rtl/>
          <w:lang w:val="en-US" w:bidi="ar-SA"/>
        </w:rPr>
        <w:t>د ما لا يقل عن 1،995،620 دولار أمريكي</w:t>
      </w:r>
      <w:r w:rsidRPr="00BE0D11">
        <w:rPr>
          <w:sz w:val="26"/>
          <w:szCs w:val="26"/>
          <w:rtl/>
          <w:lang w:val="en-US" w:bidi="ar-SA"/>
        </w:rPr>
        <w:t xml:space="preserve"> لتكاليف دعم الوكالة وتكاليف الوحدة الأساسية في عام 2021 لتغطية إجمالي التكاليف الإدارية المتوقعة لعام 2021 </w:t>
      </w:r>
      <w:r w:rsidR="00217E4F" w:rsidRPr="00BE0D11">
        <w:rPr>
          <w:rFonts w:hint="cs"/>
          <w:sz w:val="26"/>
          <w:szCs w:val="26"/>
          <w:rtl/>
          <w:lang w:val="en-US" w:bidi="ar-SA"/>
        </w:rPr>
        <w:t>وقدرها</w:t>
      </w:r>
      <w:r w:rsidRPr="00BE0D11">
        <w:rPr>
          <w:sz w:val="26"/>
          <w:szCs w:val="26"/>
          <w:rtl/>
          <w:lang w:val="en-US" w:bidi="ar-SA"/>
        </w:rPr>
        <w:t xml:space="preserve"> 3</w:t>
      </w:r>
      <w:r w:rsidR="00411B1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735</w:t>
      </w:r>
      <w:r w:rsidR="00411B1B" w:rsidRPr="00BE0D11">
        <w:rPr>
          <w:rFonts w:hint="cs"/>
          <w:sz w:val="26"/>
          <w:szCs w:val="26"/>
          <w:rtl/>
          <w:lang w:val="en-US" w:bidi="ar-SA"/>
        </w:rPr>
        <w:t>,</w:t>
      </w:r>
      <w:r w:rsidRPr="00BE0D11">
        <w:rPr>
          <w:sz w:val="26"/>
          <w:szCs w:val="26"/>
          <w:rtl/>
          <w:lang w:val="en-US" w:bidi="ar-SA"/>
        </w:rPr>
        <w:t>000 دولار أمريكي.</w:t>
      </w:r>
    </w:p>
    <w:p w:rsidR="000A1F3C" w:rsidRPr="00BE0D11" w:rsidRDefault="000A1F3C" w:rsidP="00D85444">
      <w:pPr>
        <w:bidi/>
        <w:rPr>
          <w:b/>
          <w:bCs/>
          <w:sz w:val="26"/>
          <w:szCs w:val="26"/>
          <w:lang w:val="en-US" w:bidi="ar-SA"/>
        </w:rPr>
      </w:pPr>
      <w:r w:rsidRPr="00BE0D11">
        <w:rPr>
          <w:b/>
          <w:bCs/>
          <w:sz w:val="26"/>
          <w:szCs w:val="26"/>
          <w:rtl/>
          <w:lang w:val="en-US" w:bidi="ar-SA"/>
        </w:rPr>
        <w:t>تحليل نظام التكلفة الإدارية وتمويل الوحدة الأساسية</w:t>
      </w:r>
    </w:p>
    <w:p w:rsidR="000A1F3C" w:rsidRPr="00BE0D11" w:rsidRDefault="000A1F3C" w:rsidP="000A1F3C">
      <w:pPr>
        <w:bidi/>
        <w:rPr>
          <w:sz w:val="26"/>
          <w:szCs w:val="26"/>
          <w:lang w:val="en-US" w:bidi="ar-SA"/>
        </w:rPr>
      </w:pPr>
    </w:p>
    <w:p w:rsidR="000A1F3C" w:rsidRPr="00BE0D11" w:rsidRDefault="00FE5408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طلبت اللجنة التنفيذية</w:t>
      </w:r>
      <w:r w:rsidRPr="00BE0D11">
        <w:rPr>
          <w:rFonts w:hint="cs"/>
          <w:sz w:val="26"/>
          <w:szCs w:val="26"/>
          <w:rtl/>
          <w:lang w:val="en-US" w:bidi="ar-SA"/>
        </w:rPr>
        <w:t>،</w:t>
      </w:r>
      <w:r w:rsidRPr="00BE0D11">
        <w:rPr>
          <w:sz w:val="26"/>
          <w:szCs w:val="26"/>
          <w:rtl/>
          <w:lang w:val="en-US" w:bidi="ar-SA"/>
        </w:rPr>
        <w:t xml:space="preserve"> في اجتماعها الرابع والثمانين</w:t>
      </w:r>
      <w:r w:rsidR="000A1F3C" w:rsidRPr="00BE0D11">
        <w:rPr>
          <w:sz w:val="26"/>
          <w:szCs w:val="26"/>
          <w:rtl/>
          <w:lang w:val="en-US" w:bidi="ar-SA"/>
        </w:rPr>
        <w:t xml:space="preserve">، </w:t>
      </w:r>
      <w:r w:rsidRPr="00BE0D11">
        <w:rPr>
          <w:sz w:val="26"/>
          <w:szCs w:val="26"/>
          <w:rtl/>
          <w:lang w:val="en-US" w:bidi="ar-SA"/>
        </w:rPr>
        <w:t>من الأمانة أن تقدم</w:t>
      </w:r>
      <w:r w:rsidRPr="00BE0D11">
        <w:rPr>
          <w:rFonts w:hint="cs"/>
          <w:sz w:val="26"/>
          <w:szCs w:val="26"/>
          <w:rtl/>
          <w:lang w:val="en-US" w:bidi="ar-SA"/>
        </w:rPr>
        <w:t>،</w:t>
      </w:r>
      <w:r w:rsidRPr="00BE0D11">
        <w:rPr>
          <w:sz w:val="26"/>
          <w:szCs w:val="26"/>
          <w:rtl/>
          <w:lang w:val="en-US" w:bidi="ar-SA"/>
        </w:rPr>
        <w:t xml:space="preserve"> في الاجتماع السادس والثمانين، نتائج </w:t>
      </w:r>
      <w:r w:rsidR="000A1F3C" w:rsidRPr="00BE0D11">
        <w:rPr>
          <w:sz w:val="26"/>
          <w:szCs w:val="26"/>
          <w:rtl/>
          <w:lang w:val="en-US" w:bidi="ar-SA"/>
        </w:rPr>
        <w:t xml:space="preserve">تحليل نظام التكاليف </w:t>
      </w:r>
      <w:r w:rsidRPr="00BE0D11">
        <w:rPr>
          <w:sz w:val="26"/>
          <w:szCs w:val="26"/>
          <w:rtl/>
          <w:lang w:val="en-US" w:bidi="ar-SA"/>
        </w:rPr>
        <w:t>الإدارية وتمويل الوحدة الأساسية</w:t>
      </w:r>
      <w:r w:rsidR="000A1F3C" w:rsidRPr="00BE0D11">
        <w:rPr>
          <w:sz w:val="26"/>
          <w:szCs w:val="26"/>
          <w:rtl/>
          <w:lang w:val="en-US" w:bidi="ar-SA"/>
        </w:rPr>
        <w:t>، مع مراعاة المقررات ذات ال</w:t>
      </w:r>
      <w:r w:rsidRPr="00BE0D11">
        <w:rPr>
          <w:sz w:val="26"/>
          <w:szCs w:val="26"/>
          <w:rtl/>
          <w:lang w:val="en-US" w:bidi="ar-SA"/>
        </w:rPr>
        <w:t>صلة الصادرة عن اللجنة التنفيذية</w:t>
      </w:r>
      <w:r w:rsidR="000A1F3C" w:rsidRPr="00BE0D11">
        <w:rPr>
          <w:sz w:val="26"/>
          <w:szCs w:val="26"/>
          <w:rtl/>
          <w:lang w:val="en-US" w:bidi="ar-SA"/>
        </w:rPr>
        <w:t>، بما في ذلك تلك الصادرة في اجتماع</w:t>
      </w:r>
      <w:r w:rsidRPr="00BE0D11">
        <w:rPr>
          <w:rFonts w:hint="cs"/>
          <w:sz w:val="26"/>
          <w:szCs w:val="26"/>
          <w:rtl/>
          <w:lang w:val="en-US" w:bidi="ar-SA"/>
        </w:rPr>
        <w:t>ي</w:t>
      </w:r>
      <w:r w:rsidRPr="00BE0D11">
        <w:rPr>
          <w:sz w:val="26"/>
          <w:szCs w:val="26"/>
          <w:rtl/>
          <w:lang w:val="en-US" w:bidi="ar-SA"/>
        </w:rPr>
        <w:t>ها</w:t>
      </w:r>
      <w:r w:rsidR="000A1F3C" w:rsidRPr="00BE0D11">
        <w:rPr>
          <w:sz w:val="26"/>
          <w:szCs w:val="26"/>
          <w:rtl/>
          <w:lang w:val="en-US" w:bidi="ar-SA"/>
        </w:rPr>
        <w:t xml:space="preserve"> </w:t>
      </w:r>
      <w:r w:rsidRPr="00BE0D11">
        <w:rPr>
          <w:rFonts w:hint="cs"/>
          <w:sz w:val="26"/>
          <w:szCs w:val="26"/>
          <w:rtl/>
          <w:lang w:val="en-US" w:bidi="ar-SA"/>
        </w:rPr>
        <w:t>الرابع والثمانين والخامس والثمانين</w:t>
      </w:r>
      <w:r w:rsidR="005A2CB7" w:rsidRPr="00BE0D11">
        <w:rPr>
          <w:sz w:val="26"/>
          <w:szCs w:val="26"/>
          <w:rtl/>
          <w:lang w:val="en-US" w:bidi="ar-SA"/>
        </w:rPr>
        <w:t xml:space="preserve">، </w:t>
      </w:r>
      <w:r w:rsidR="005A2CB7" w:rsidRPr="00BE0D11">
        <w:rPr>
          <w:rFonts w:hint="cs"/>
          <w:sz w:val="26"/>
          <w:szCs w:val="26"/>
          <w:rtl/>
          <w:lang w:val="en-US" w:bidi="ar-SA"/>
        </w:rPr>
        <w:t>التي</w:t>
      </w:r>
      <w:r w:rsidR="005A2CB7" w:rsidRPr="00BE0D11">
        <w:rPr>
          <w:sz w:val="26"/>
          <w:szCs w:val="26"/>
          <w:rtl/>
          <w:lang w:val="en-US" w:bidi="ar-SA"/>
        </w:rPr>
        <w:t xml:space="preserve"> على أساسه</w:t>
      </w:r>
      <w:r w:rsidR="000A1F3C" w:rsidRPr="00BE0D11">
        <w:rPr>
          <w:sz w:val="26"/>
          <w:szCs w:val="26"/>
          <w:rtl/>
          <w:lang w:val="en-US" w:bidi="ar-SA"/>
        </w:rPr>
        <w:t xml:space="preserve">ا ستقرر اللجنة ما إذا كان نظام التكاليف الإدارية للصندوق </w:t>
      </w:r>
      <w:r w:rsidR="005A2CB7" w:rsidRPr="00BE0D11">
        <w:rPr>
          <w:rFonts w:hint="cs"/>
          <w:sz w:val="26"/>
          <w:szCs w:val="26"/>
          <w:rtl/>
          <w:lang w:val="en-US" w:bidi="ar-SA"/>
        </w:rPr>
        <w:t>ال</w:t>
      </w:r>
      <w:r w:rsidR="000A1F3C" w:rsidRPr="00BE0D11">
        <w:rPr>
          <w:sz w:val="26"/>
          <w:szCs w:val="26"/>
          <w:rtl/>
          <w:lang w:val="en-US" w:bidi="ar-SA"/>
        </w:rPr>
        <w:t xml:space="preserve">متعدد الأطراف </w:t>
      </w:r>
      <w:r w:rsidR="005A2CB7" w:rsidRPr="00BE0D11">
        <w:rPr>
          <w:rFonts w:hint="cs"/>
          <w:sz w:val="26"/>
          <w:szCs w:val="26"/>
          <w:rtl/>
          <w:lang w:val="en-US" w:bidi="ar-SA"/>
        </w:rPr>
        <w:t>لفترة الثلاث سنوات</w:t>
      </w:r>
      <w:r w:rsidR="000A1F3C" w:rsidRPr="00BE0D11">
        <w:rPr>
          <w:sz w:val="26"/>
          <w:szCs w:val="26"/>
          <w:rtl/>
          <w:lang w:val="en-US" w:bidi="ar-SA"/>
        </w:rPr>
        <w:t xml:space="preserve"> 2018-2020 يمكن الإبقاء عليه لفترة السنوات الثلاث 2021-2023 (المقرر 84/61 (ج)).</w:t>
      </w:r>
    </w:p>
    <w:p w:rsidR="005A2CB7" w:rsidRPr="00BE0D11" w:rsidRDefault="005A2CB7" w:rsidP="005A2CB7">
      <w:pPr>
        <w:bidi/>
        <w:rPr>
          <w:sz w:val="26"/>
          <w:szCs w:val="26"/>
          <w:lang w:val="en-US" w:bidi="ar-SA"/>
        </w:rPr>
      </w:pPr>
    </w:p>
    <w:p w:rsidR="000A1F3C" w:rsidRPr="00BE0D11" w:rsidRDefault="000A1F3C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في ضوء جائحة</w:t>
      </w:r>
      <w:r w:rsidR="007170BF" w:rsidRPr="00BE0D11">
        <w:rPr>
          <w:rFonts w:hint="cs"/>
          <w:sz w:val="26"/>
          <w:szCs w:val="26"/>
          <w:rtl/>
          <w:lang w:val="en-US" w:bidi="ar-SA"/>
        </w:rPr>
        <w:t xml:space="preserve"> كوفيد-19</w:t>
      </w:r>
      <w:r w:rsidR="007170BF" w:rsidRPr="00BE0D11">
        <w:rPr>
          <w:sz w:val="26"/>
          <w:szCs w:val="26"/>
          <w:rtl/>
          <w:lang w:val="en-US" w:bidi="ar-SA"/>
        </w:rPr>
        <w:t>، في 10 يوني</w:t>
      </w:r>
      <w:r w:rsidR="007170BF" w:rsidRPr="00BE0D11">
        <w:rPr>
          <w:rFonts w:hint="cs"/>
          <w:sz w:val="26"/>
          <w:szCs w:val="26"/>
          <w:rtl/>
          <w:lang w:val="en-US" w:bidi="ar-SA"/>
        </w:rPr>
        <w:t>ه/ حزيران</w:t>
      </w:r>
      <w:r w:rsidR="007170BF" w:rsidRPr="00BE0D11">
        <w:rPr>
          <w:sz w:val="26"/>
          <w:szCs w:val="26"/>
          <w:rtl/>
          <w:lang w:val="en-US" w:bidi="ar-SA"/>
        </w:rPr>
        <w:t xml:space="preserve"> 2020</w:t>
      </w:r>
      <w:r w:rsidRPr="00BE0D11">
        <w:rPr>
          <w:sz w:val="26"/>
          <w:szCs w:val="26"/>
          <w:rtl/>
          <w:lang w:val="en-US" w:bidi="ar-SA"/>
        </w:rPr>
        <w:t>، قدمت الأمانة وثيقة تتضمن خيارات لعقد الاجتماعين الخ</w:t>
      </w:r>
      <w:r w:rsidR="007170BF" w:rsidRPr="00BE0D11">
        <w:rPr>
          <w:sz w:val="26"/>
          <w:szCs w:val="26"/>
          <w:rtl/>
          <w:lang w:val="en-US" w:bidi="ar-SA"/>
        </w:rPr>
        <w:t xml:space="preserve">امس والثمانين والسادس والثمانين، حيث ستُدعى اللجنة، </w:t>
      </w:r>
      <w:r w:rsidR="007170BF" w:rsidRPr="00BE0D11">
        <w:rPr>
          <w:rFonts w:hint="cs"/>
          <w:i/>
          <w:iCs/>
          <w:sz w:val="26"/>
          <w:szCs w:val="26"/>
          <w:rtl/>
          <w:lang w:val="en-US" w:bidi="ar-SA"/>
        </w:rPr>
        <w:t>وغيرها</w:t>
      </w:r>
      <w:r w:rsidRPr="00BE0D11">
        <w:rPr>
          <w:sz w:val="26"/>
          <w:szCs w:val="26"/>
          <w:rtl/>
          <w:lang w:val="en-US" w:bidi="ar-SA"/>
        </w:rPr>
        <w:t xml:space="preserve">، إلى النظر في </w:t>
      </w:r>
      <w:r w:rsidR="007170BF" w:rsidRPr="00BE0D11">
        <w:rPr>
          <w:rFonts w:hint="cs"/>
          <w:sz w:val="26"/>
          <w:szCs w:val="26"/>
          <w:rtl/>
          <w:lang w:val="en-US" w:bidi="ar-SA"/>
        </w:rPr>
        <w:t>إنشاء عملية</w:t>
      </w:r>
      <w:r w:rsidRPr="00BE0D11">
        <w:rPr>
          <w:sz w:val="26"/>
          <w:szCs w:val="26"/>
          <w:rtl/>
          <w:lang w:val="en-US" w:bidi="ar-SA"/>
        </w:rPr>
        <w:t xml:space="preserve"> </w:t>
      </w:r>
      <w:r w:rsidR="007170BF" w:rsidRPr="00BE0D11">
        <w:rPr>
          <w:rFonts w:hint="cs"/>
          <w:sz w:val="26"/>
          <w:szCs w:val="26"/>
          <w:rtl/>
          <w:lang w:val="en-US" w:bidi="ar-SA"/>
        </w:rPr>
        <w:t>لل</w:t>
      </w:r>
      <w:r w:rsidRPr="00BE0D11">
        <w:rPr>
          <w:sz w:val="26"/>
          <w:szCs w:val="26"/>
          <w:rtl/>
          <w:lang w:val="en-US" w:bidi="ar-SA"/>
        </w:rPr>
        <w:t xml:space="preserve">موافقة </w:t>
      </w:r>
      <w:r w:rsidR="007170BF" w:rsidRPr="00BE0D11">
        <w:rPr>
          <w:rFonts w:hint="cs"/>
          <w:sz w:val="26"/>
          <w:szCs w:val="26"/>
          <w:rtl/>
          <w:lang w:val="en-US" w:bidi="ar-SA"/>
        </w:rPr>
        <w:t xml:space="preserve">بين الدورات </w:t>
      </w:r>
      <w:r w:rsidRPr="00BE0D11">
        <w:rPr>
          <w:sz w:val="26"/>
          <w:szCs w:val="26"/>
          <w:rtl/>
          <w:lang w:val="en-US" w:bidi="ar-SA"/>
        </w:rPr>
        <w:t>مماثلة لتلك ال</w:t>
      </w:r>
      <w:r w:rsidR="007170BF" w:rsidRPr="00BE0D11">
        <w:rPr>
          <w:sz w:val="26"/>
          <w:szCs w:val="26"/>
          <w:rtl/>
          <w:lang w:val="en-US" w:bidi="ar-SA"/>
        </w:rPr>
        <w:t>خاصة بالاجتماع الخامس والثمانين</w:t>
      </w:r>
      <w:r w:rsidRPr="00BE0D11">
        <w:rPr>
          <w:sz w:val="26"/>
          <w:szCs w:val="26"/>
          <w:rtl/>
          <w:lang w:val="en-US" w:bidi="ar-SA"/>
        </w:rPr>
        <w:t xml:space="preserve">، بالنسبة للتقارير المتعلقة </w:t>
      </w:r>
      <w:r w:rsidR="00A23CF1" w:rsidRPr="00BE0D11">
        <w:rPr>
          <w:rFonts w:hint="cs"/>
          <w:sz w:val="26"/>
          <w:szCs w:val="26"/>
          <w:rtl/>
          <w:lang w:val="en-US" w:bidi="ar-SA"/>
        </w:rPr>
        <w:t>بالمشروعات</w:t>
      </w:r>
      <w:r w:rsidRPr="00BE0D11">
        <w:rPr>
          <w:sz w:val="26"/>
          <w:szCs w:val="26"/>
          <w:rtl/>
          <w:lang w:val="en-US" w:bidi="ar-SA"/>
        </w:rPr>
        <w:t xml:space="preserve"> ذات ال</w:t>
      </w:r>
      <w:r w:rsidR="00A23CF1" w:rsidRPr="00BE0D11">
        <w:rPr>
          <w:sz w:val="26"/>
          <w:szCs w:val="26"/>
          <w:rtl/>
          <w:lang w:val="en-US" w:bidi="ar-SA"/>
        </w:rPr>
        <w:t>متطلبات المحددة لإعداد التقارير</w:t>
      </w:r>
      <w:r w:rsidRPr="00BE0D11">
        <w:rPr>
          <w:sz w:val="26"/>
          <w:szCs w:val="26"/>
          <w:rtl/>
          <w:lang w:val="en-US" w:bidi="ar-SA"/>
        </w:rPr>
        <w:t xml:space="preserve">، والمسائل ذات الصلة </w:t>
      </w:r>
      <w:r w:rsidR="00A23CF1" w:rsidRPr="00BE0D11">
        <w:rPr>
          <w:rFonts w:hint="cs"/>
          <w:sz w:val="26"/>
          <w:szCs w:val="26"/>
          <w:rtl/>
          <w:lang w:val="en-US" w:bidi="ar-SA"/>
        </w:rPr>
        <w:t>الواردة في</w:t>
      </w:r>
      <w:r w:rsidRPr="00BE0D11">
        <w:rPr>
          <w:sz w:val="26"/>
          <w:szCs w:val="26"/>
          <w:rtl/>
          <w:lang w:val="en-US" w:bidi="ar-SA"/>
        </w:rPr>
        <w:t xml:space="preserve"> وثيقة </w:t>
      </w:r>
      <w:r w:rsidR="00A23CF1" w:rsidRPr="00BE0D11">
        <w:rPr>
          <w:rFonts w:hint="cs"/>
          <w:sz w:val="26"/>
          <w:szCs w:val="26"/>
          <w:rtl/>
          <w:lang w:val="en-US" w:bidi="ar-SA"/>
        </w:rPr>
        <w:t>نظرة</w:t>
      </w:r>
      <w:r w:rsidR="00A23CF1" w:rsidRPr="00BE0D11">
        <w:rPr>
          <w:sz w:val="26"/>
          <w:szCs w:val="26"/>
          <w:rtl/>
          <w:lang w:val="en-US" w:bidi="ar-SA"/>
        </w:rPr>
        <w:t xml:space="preserve"> </w:t>
      </w:r>
      <w:r w:rsidRPr="00BE0D11">
        <w:rPr>
          <w:sz w:val="26"/>
          <w:szCs w:val="26"/>
          <w:rtl/>
          <w:lang w:val="en-US" w:bidi="ar-SA"/>
        </w:rPr>
        <w:t>عام</w:t>
      </w:r>
      <w:r w:rsidR="00A23CF1" w:rsidRPr="00BE0D11">
        <w:rPr>
          <w:rFonts w:hint="cs"/>
          <w:sz w:val="26"/>
          <w:szCs w:val="26"/>
          <w:rtl/>
          <w:lang w:val="en-US" w:bidi="ar-SA"/>
        </w:rPr>
        <w:t>ة على</w:t>
      </w:r>
      <w:r w:rsidR="00A23CF1" w:rsidRPr="00BE0D11">
        <w:rPr>
          <w:sz w:val="26"/>
          <w:szCs w:val="26"/>
          <w:rtl/>
          <w:lang w:val="en-US" w:bidi="ar-SA"/>
        </w:rPr>
        <w:t xml:space="preserve"> </w:t>
      </w:r>
      <w:r w:rsidR="00A23CF1" w:rsidRPr="00BE0D11">
        <w:rPr>
          <w:rFonts w:hint="cs"/>
          <w:sz w:val="26"/>
          <w:szCs w:val="26"/>
          <w:rtl/>
          <w:lang w:val="en-US" w:bidi="ar-SA"/>
        </w:rPr>
        <w:t>ا</w:t>
      </w:r>
      <w:r w:rsidRPr="00BE0D11">
        <w:rPr>
          <w:sz w:val="26"/>
          <w:szCs w:val="26"/>
          <w:rtl/>
          <w:lang w:val="en-US" w:bidi="ar-SA"/>
        </w:rPr>
        <w:t xml:space="preserve">لقضايا </w:t>
      </w:r>
      <w:r w:rsidR="00A23CF1" w:rsidRPr="00BE0D11">
        <w:rPr>
          <w:rFonts w:hint="cs"/>
          <w:sz w:val="26"/>
          <w:szCs w:val="26"/>
          <w:rtl/>
          <w:lang w:val="en-US" w:bidi="ar-SA"/>
        </w:rPr>
        <w:t>التي تم تبينها أثناء استعراض المشروعات</w:t>
      </w:r>
      <w:r w:rsidRPr="00BE0D11">
        <w:rPr>
          <w:sz w:val="26"/>
          <w:szCs w:val="26"/>
          <w:rtl/>
          <w:lang w:val="en-US" w:bidi="ar-SA"/>
        </w:rPr>
        <w:t xml:space="preserve">؛ ومقترحات </w:t>
      </w:r>
      <w:r w:rsidR="008466AF" w:rsidRPr="00BE0D11">
        <w:rPr>
          <w:rFonts w:hint="cs"/>
          <w:sz w:val="26"/>
          <w:szCs w:val="26"/>
          <w:rtl/>
          <w:lang w:val="en-US" w:bidi="ar-SA"/>
        </w:rPr>
        <w:t>المشروعات</w:t>
      </w:r>
      <w:r w:rsidRPr="00BE0D11">
        <w:rPr>
          <w:sz w:val="26"/>
          <w:szCs w:val="26"/>
          <w:rtl/>
          <w:lang w:val="en-US" w:bidi="ar-SA"/>
        </w:rPr>
        <w:t xml:space="preserve"> المدرجة </w:t>
      </w:r>
      <w:r w:rsidR="008466AF" w:rsidRPr="00BE0D11">
        <w:rPr>
          <w:sz w:val="26"/>
          <w:szCs w:val="26"/>
          <w:rtl/>
          <w:lang w:val="en-US" w:bidi="ar-SA"/>
        </w:rPr>
        <w:t xml:space="preserve">في إطار التعاون الثنائي، وتعديلات برامج </w:t>
      </w:r>
      <w:r w:rsidRPr="00BE0D11">
        <w:rPr>
          <w:sz w:val="26"/>
          <w:szCs w:val="26"/>
          <w:rtl/>
          <w:lang w:val="en-US" w:bidi="ar-SA"/>
        </w:rPr>
        <w:t>عمل</w:t>
      </w:r>
      <w:r w:rsidR="008466AF" w:rsidRPr="00BE0D11">
        <w:rPr>
          <w:rFonts w:hint="cs"/>
          <w:sz w:val="26"/>
          <w:szCs w:val="26"/>
          <w:rtl/>
          <w:lang w:val="en-US" w:bidi="ar-SA"/>
        </w:rPr>
        <w:t xml:space="preserve"> الوكالات المنفذة</w:t>
      </w:r>
      <w:r w:rsidRPr="00BE0D11">
        <w:rPr>
          <w:sz w:val="26"/>
          <w:szCs w:val="26"/>
          <w:rtl/>
          <w:lang w:val="en-US" w:bidi="ar-SA"/>
        </w:rPr>
        <w:t xml:space="preserve"> لعام 2020 وبموجب وثائق </w:t>
      </w:r>
      <w:r w:rsidR="008466AF" w:rsidRPr="00BE0D11">
        <w:rPr>
          <w:rFonts w:hint="cs"/>
          <w:sz w:val="26"/>
          <w:szCs w:val="26"/>
          <w:rtl/>
          <w:lang w:val="en-US" w:bidi="ar-SA"/>
        </w:rPr>
        <w:t>المشروعات</w:t>
      </w:r>
      <w:r w:rsidRPr="00BE0D11">
        <w:rPr>
          <w:sz w:val="26"/>
          <w:szCs w:val="26"/>
          <w:rtl/>
          <w:lang w:val="en-US" w:bidi="ar-SA"/>
        </w:rPr>
        <w:t xml:space="preserve"> القطرية</w:t>
      </w:r>
      <w:r w:rsidR="00914CFA" w:rsidRPr="00BE0D11">
        <w:rPr>
          <w:rFonts w:hint="cs"/>
          <w:sz w:val="26"/>
          <w:szCs w:val="26"/>
          <w:rtl/>
          <w:lang w:val="en-US" w:bidi="ar-SA"/>
        </w:rPr>
        <w:t>،</w:t>
      </w:r>
      <w:r w:rsidR="008466AF" w:rsidRPr="00BE0D11">
        <w:rPr>
          <w:rFonts w:hint="cs"/>
          <w:sz w:val="26"/>
          <w:szCs w:val="26"/>
          <w:rtl/>
          <w:lang w:val="en-US" w:bidi="ar-SA"/>
        </w:rPr>
        <w:t xml:space="preserve"> لكي ينظر فيها أعضاء اللجنة التنفيذية</w:t>
      </w:r>
      <w:r w:rsidRPr="00BE0D11">
        <w:rPr>
          <w:sz w:val="26"/>
          <w:szCs w:val="26"/>
          <w:rtl/>
          <w:lang w:val="en-US" w:bidi="ar-SA"/>
        </w:rPr>
        <w:t xml:space="preserve">. </w:t>
      </w:r>
      <w:r w:rsidR="00914CFA" w:rsidRPr="00BE0D11">
        <w:rPr>
          <w:rFonts w:hint="cs"/>
          <w:sz w:val="26"/>
          <w:szCs w:val="26"/>
          <w:rtl/>
          <w:lang w:val="en-US" w:bidi="ar-SA"/>
        </w:rPr>
        <w:t>ورغم</w:t>
      </w:r>
      <w:r w:rsidRPr="00BE0D11">
        <w:rPr>
          <w:sz w:val="26"/>
          <w:szCs w:val="26"/>
          <w:rtl/>
          <w:lang w:val="en-US" w:bidi="ar-SA"/>
        </w:rPr>
        <w:t xml:space="preserve"> النظر في برنامج</w:t>
      </w:r>
      <w:r w:rsidR="00914CFA" w:rsidRPr="00BE0D11">
        <w:rPr>
          <w:rFonts w:hint="cs"/>
          <w:sz w:val="26"/>
          <w:szCs w:val="26"/>
          <w:rtl/>
          <w:lang w:val="en-US" w:bidi="ar-SA"/>
        </w:rPr>
        <w:t xml:space="preserve"> اليونيب</w:t>
      </w:r>
      <w:r w:rsidR="00914CFA" w:rsidRPr="00BE0D11">
        <w:rPr>
          <w:sz w:val="26"/>
          <w:szCs w:val="26"/>
          <w:rtl/>
          <w:lang w:val="en-US" w:bidi="ar-SA"/>
        </w:rPr>
        <w:t xml:space="preserve"> </w:t>
      </w:r>
      <w:r w:rsidRPr="00BE0D11">
        <w:rPr>
          <w:sz w:val="26"/>
          <w:szCs w:val="26"/>
          <w:rtl/>
          <w:lang w:val="en-US" w:bidi="ar-SA"/>
        </w:rPr>
        <w:t xml:space="preserve">لمساعدة على الامتثال وتكاليف الوحدة الأساسية </w:t>
      </w:r>
      <w:r w:rsidR="00914CFA" w:rsidRPr="00BE0D11">
        <w:rPr>
          <w:rFonts w:hint="cs"/>
          <w:sz w:val="26"/>
          <w:szCs w:val="26"/>
          <w:rtl/>
          <w:lang w:val="en-US" w:bidi="ar-SA"/>
        </w:rPr>
        <w:t xml:space="preserve">لليوئنديبي </w:t>
      </w:r>
      <w:r w:rsidRPr="00BE0D11">
        <w:rPr>
          <w:sz w:val="26"/>
          <w:szCs w:val="26"/>
          <w:rtl/>
          <w:lang w:val="en-US" w:bidi="ar-SA"/>
        </w:rPr>
        <w:t>واليونيدو والبنك الدول</w:t>
      </w:r>
      <w:r w:rsidR="00914CFA" w:rsidRPr="00BE0D11">
        <w:rPr>
          <w:sz w:val="26"/>
          <w:szCs w:val="26"/>
          <w:rtl/>
          <w:lang w:val="en-US" w:bidi="ar-SA"/>
        </w:rPr>
        <w:t>ي</w:t>
      </w:r>
      <w:r w:rsidRPr="00BE0D11">
        <w:rPr>
          <w:sz w:val="26"/>
          <w:szCs w:val="26"/>
          <w:rtl/>
          <w:lang w:val="en-US" w:bidi="ar-SA"/>
        </w:rPr>
        <w:t xml:space="preserve">، </w:t>
      </w:r>
      <w:r w:rsidR="00914CFA" w:rsidRPr="00BE0D11">
        <w:rPr>
          <w:rFonts w:hint="cs"/>
          <w:sz w:val="26"/>
          <w:szCs w:val="26"/>
          <w:rtl/>
          <w:lang w:val="en-US" w:bidi="ar-SA"/>
        </w:rPr>
        <w:t>سيخضعون</w:t>
      </w:r>
      <w:r w:rsidRPr="00BE0D11">
        <w:rPr>
          <w:sz w:val="26"/>
          <w:szCs w:val="26"/>
          <w:rtl/>
          <w:lang w:val="en-US" w:bidi="ar-SA"/>
        </w:rPr>
        <w:t xml:space="preserve"> للمناقشة </w:t>
      </w:r>
      <w:r w:rsidR="00914CFA" w:rsidRPr="00BE0D11">
        <w:rPr>
          <w:rFonts w:hint="cs"/>
          <w:sz w:val="26"/>
          <w:szCs w:val="26"/>
          <w:rtl/>
          <w:lang w:val="en-US" w:bidi="ar-SA"/>
        </w:rPr>
        <w:t>في</w:t>
      </w:r>
      <w:r w:rsidRPr="00BE0D11">
        <w:rPr>
          <w:sz w:val="26"/>
          <w:szCs w:val="26"/>
          <w:rtl/>
          <w:lang w:val="en-US" w:bidi="ar-SA"/>
        </w:rPr>
        <w:t xml:space="preserve"> الوثيقة </w:t>
      </w:r>
      <w:r w:rsidR="00914CFA" w:rsidRPr="00BE0D11">
        <w:rPr>
          <w:rFonts w:hint="cs"/>
          <w:sz w:val="26"/>
          <w:szCs w:val="26"/>
          <w:rtl/>
          <w:lang w:val="en-US" w:bidi="ar-SA"/>
        </w:rPr>
        <w:t>المعنية</w:t>
      </w:r>
      <w:r w:rsidRPr="00BE0D11">
        <w:rPr>
          <w:sz w:val="26"/>
          <w:szCs w:val="26"/>
          <w:rtl/>
          <w:lang w:val="en-US" w:bidi="ar-SA"/>
        </w:rPr>
        <w:t xml:space="preserve"> بتحليل نظام التكاليف </w:t>
      </w:r>
      <w:r w:rsidR="00914CFA" w:rsidRPr="00BE0D11">
        <w:rPr>
          <w:sz w:val="26"/>
          <w:szCs w:val="26"/>
          <w:rtl/>
          <w:lang w:val="en-US" w:bidi="ar-SA"/>
        </w:rPr>
        <w:t>الإدارية وتمويل الوحدة الأساسية</w:t>
      </w:r>
      <w:r w:rsidRPr="00BE0D11">
        <w:rPr>
          <w:sz w:val="26"/>
          <w:szCs w:val="26"/>
          <w:rtl/>
          <w:lang w:val="en-US" w:bidi="ar-SA"/>
        </w:rPr>
        <w:t>، الم</w:t>
      </w:r>
      <w:r w:rsidR="00914CFA" w:rsidRPr="00BE0D11">
        <w:rPr>
          <w:sz w:val="26"/>
          <w:szCs w:val="26"/>
          <w:rtl/>
          <w:lang w:val="en-US" w:bidi="ar-SA"/>
        </w:rPr>
        <w:t>طلوبة بموجب المقرر 84/61 (ج)</w:t>
      </w:r>
      <w:r w:rsidRPr="00BE0D11">
        <w:rPr>
          <w:sz w:val="26"/>
          <w:szCs w:val="26"/>
          <w:rtl/>
          <w:lang w:val="en-US" w:bidi="ar-SA"/>
        </w:rPr>
        <w:t xml:space="preserve">، </w:t>
      </w:r>
      <w:r w:rsidR="001D2F7C" w:rsidRPr="00BE0D11">
        <w:rPr>
          <w:rFonts w:hint="cs"/>
          <w:sz w:val="26"/>
          <w:szCs w:val="26"/>
          <w:rtl/>
          <w:lang w:val="en-US" w:bidi="ar-SA"/>
        </w:rPr>
        <w:t>و</w:t>
      </w:r>
      <w:r w:rsidRPr="00BE0D11">
        <w:rPr>
          <w:sz w:val="26"/>
          <w:szCs w:val="26"/>
          <w:rtl/>
          <w:lang w:val="en-US" w:bidi="ar-SA"/>
        </w:rPr>
        <w:t>قد ترغب اللجنة التنفيذية في النظر في طلب</w:t>
      </w:r>
      <w:r w:rsidR="001D2F7C" w:rsidRPr="00BE0D11">
        <w:rPr>
          <w:sz w:val="26"/>
          <w:szCs w:val="26"/>
          <w:rtl/>
          <w:lang w:val="en-US" w:bidi="ar-SA"/>
        </w:rPr>
        <w:t>ات التمويل هذه فيما بين الدورات</w:t>
      </w:r>
      <w:r w:rsidRPr="00BE0D11">
        <w:rPr>
          <w:sz w:val="26"/>
          <w:szCs w:val="26"/>
          <w:rtl/>
          <w:lang w:val="en-US" w:bidi="ar-SA"/>
        </w:rPr>
        <w:t>، لأن تأجيل الموافقة عليها سيكون له تأثير كبير على التوظيف وعمليات الوكالات المنفذة.</w:t>
      </w:r>
    </w:p>
    <w:p w:rsidR="001D2F7C" w:rsidRPr="00BE0D11" w:rsidRDefault="001D2F7C" w:rsidP="001D2F7C">
      <w:pPr>
        <w:bidi/>
        <w:rPr>
          <w:sz w:val="26"/>
          <w:szCs w:val="26"/>
          <w:lang w:val="en-US" w:bidi="ar-SA"/>
        </w:rPr>
      </w:pPr>
    </w:p>
    <w:p w:rsidR="000A1F3C" w:rsidRPr="00BE0D11" w:rsidRDefault="000A1F3C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 xml:space="preserve">بما أن اللجنة التنفيذية وافقت على النظر </w:t>
      </w:r>
      <w:r w:rsidR="00C13434" w:rsidRPr="00BE0D11">
        <w:rPr>
          <w:sz w:val="26"/>
          <w:szCs w:val="26"/>
          <w:rtl/>
          <w:lang w:val="en-US" w:bidi="ar-SA"/>
        </w:rPr>
        <w:t>في هذه الوثيقة فيما بين الدورات</w:t>
      </w:r>
      <w:r w:rsidRPr="00BE0D11">
        <w:rPr>
          <w:sz w:val="26"/>
          <w:szCs w:val="26"/>
          <w:rtl/>
          <w:lang w:val="en-US" w:bidi="ar-SA"/>
        </w:rPr>
        <w:t xml:space="preserve">، </w:t>
      </w:r>
      <w:r w:rsidR="00C13434" w:rsidRPr="00BE0D11">
        <w:rPr>
          <w:rFonts w:hint="cs"/>
          <w:sz w:val="26"/>
          <w:szCs w:val="26"/>
          <w:rtl/>
          <w:lang w:val="en-US" w:bidi="ar-SA"/>
        </w:rPr>
        <w:t>وعلى الرغم من</w:t>
      </w:r>
      <w:r w:rsidRPr="00BE0D11">
        <w:rPr>
          <w:sz w:val="26"/>
          <w:szCs w:val="26"/>
          <w:rtl/>
          <w:lang w:val="en-US" w:bidi="ar-SA"/>
        </w:rPr>
        <w:t xml:space="preserve"> </w:t>
      </w:r>
      <w:r w:rsidR="00C13434" w:rsidRPr="00BE0D11">
        <w:rPr>
          <w:rFonts w:hint="cs"/>
          <w:sz w:val="26"/>
          <w:szCs w:val="26"/>
          <w:rtl/>
          <w:lang w:val="en-US" w:bidi="ar-SA"/>
        </w:rPr>
        <w:t>العلم ب</w:t>
      </w:r>
      <w:r w:rsidRPr="00BE0D11">
        <w:rPr>
          <w:sz w:val="26"/>
          <w:szCs w:val="26"/>
          <w:rtl/>
          <w:lang w:val="en-US" w:bidi="ar-SA"/>
        </w:rPr>
        <w:t xml:space="preserve">أن نظام التكاليف الإدارية للصندوق </w:t>
      </w:r>
      <w:r w:rsidR="00C13434" w:rsidRPr="00BE0D11">
        <w:rPr>
          <w:rFonts w:hint="cs"/>
          <w:sz w:val="26"/>
          <w:szCs w:val="26"/>
          <w:rtl/>
          <w:lang w:val="en-US" w:bidi="ar-SA"/>
        </w:rPr>
        <w:t>ال</w:t>
      </w:r>
      <w:r w:rsidRPr="00BE0D11">
        <w:rPr>
          <w:sz w:val="26"/>
          <w:szCs w:val="26"/>
          <w:rtl/>
          <w:lang w:val="en-US" w:bidi="ar-SA"/>
        </w:rPr>
        <w:t>متعدد الأطراف ل</w:t>
      </w:r>
      <w:r w:rsidR="00C13434" w:rsidRPr="00BE0D11">
        <w:rPr>
          <w:sz w:val="26"/>
          <w:szCs w:val="26"/>
          <w:rtl/>
          <w:lang w:val="en-US" w:bidi="ar-SA"/>
        </w:rPr>
        <w:t>فترة الثلاث سنوات 2021-2023 س</w:t>
      </w:r>
      <w:r w:rsidRPr="00BE0D11">
        <w:rPr>
          <w:sz w:val="26"/>
          <w:szCs w:val="26"/>
          <w:rtl/>
          <w:lang w:val="en-US" w:bidi="ar-SA"/>
        </w:rPr>
        <w:t>يتطلب مناقشة من جانب اللجنة في اجتماعها السادس والثمانين في مارس</w:t>
      </w:r>
      <w:r w:rsidR="00C13434" w:rsidRPr="00BE0D11">
        <w:rPr>
          <w:rFonts w:hint="cs"/>
          <w:sz w:val="26"/>
          <w:szCs w:val="26"/>
          <w:rtl/>
          <w:lang w:val="en-US" w:bidi="ar-SA"/>
        </w:rPr>
        <w:t>/ آذار</w:t>
      </w:r>
      <w:r w:rsidR="00C13434" w:rsidRPr="00BE0D11">
        <w:rPr>
          <w:sz w:val="26"/>
          <w:szCs w:val="26"/>
          <w:rtl/>
          <w:lang w:val="en-US" w:bidi="ar-SA"/>
        </w:rPr>
        <w:t xml:space="preserve"> 2021 قبل اعتماده</w:t>
      </w:r>
      <w:r w:rsidRPr="00BE0D11">
        <w:rPr>
          <w:sz w:val="26"/>
          <w:szCs w:val="26"/>
          <w:rtl/>
          <w:lang w:val="en-US" w:bidi="ar-SA"/>
        </w:rPr>
        <w:t xml:space="preserve">، قد ترغب اللجنة التنفيذية في الموافقة على ميزانيات الوحدات الأساسية لعام 2021 </w:t>
      </w:r>
      <w:r w:rsidR="00C13434" w:rsidRPr="00BE0D11">
        <w:rPr>
          <w:rFonts w:hint="cs"/>
          <w:sz w:val="26"/>
          <w:szCs w:val="26"/>
          <w:rtl/>
          <w:lang w:val="en-US" w:bidi="ar-SA"/>
        </w:rPr>
        <w:t>لليوئنديبي واليونيدو</w:t>
      </w:r>
      <w:r w:rsidRPr="00BE0D11">
        <w:rPr>
          <w:sz w:val="26"/>
          <w:szCs w:val="26"/>
          <w:rtl/>
          <w:lang w:val="en-US" w:bidi="ar-SA"/>
        </w:rPr>
        <w:t xml:space="preserve"> </w:t>
      </w:r>
      <w:r w:rsidR="00C13434" w:rsidRPr="00BE0D11">
        <w:rPr>
          <w:sz w:val="26"/>
          <w:szCs w:val="26"/>
          <w:rtl/>
          <w:lang w:val="en-US" w:bidi="ar-SA"/>
        </w:rPr>
        <w:t>والبنك الدولي على النحو المطلوب</w:t>
      </w:r>
      <w:r w:rsidRPr="00BE0D11">
        <w:rPr>
          <w:sz w:val="26"/>
          <w:szCs w:val="26"/>
          <w:rtl/>
          <w:lang w:val="en-US" w:bidi="ar-SA"/>
        </w:rPr>
        <w:t>، على أساس أنه يمكن تعديل المستويات المعتمدة لميزانيات الوحدة الأساسية لعام 2021 وفقًا لذلك.</w:t>
      </w:r>
    </w:p>
    <w:p w:rsidR="0096190A" w:rsidRPr="00BE0D11" w:rsidRDefault="0096190A" w:rsidP="0096190A">
      <w:pPr>
        <w:bidi/>
        <w:rPr>
          <w:sz w:val="26"/>
          <w:szCs w:val="26"/>
          <w:rtl/>
          <w:lang w:val="en-US" w:bidi="ar-SA"/>
        </w:rPr>
      </w:pPr>
    </w:p>
    <w:p w:rsidR="0052641E" w:rsidRPr="00BE0D11" w:rsidRDefault="0052641E" w:rsidP="0052641E">
      <w:pPr>
        <w:bidi/>
        <w:rPr>
          <w:b/>
          <w:bCs/>
          <w:sz w:val="26"/>
          <w:szCs w:val="26"/>
          <w:rtl/>
          <w:lang w:val="en-US" w:bidi="ar-SA"/>
        </w:rPr>
      </w:pPr>
    </w:p>
    <w:p w:rsidR="0062274B" w:rsidRDefault="0062274B">
      <w:pPr>
        <w:jc w:val="left"/>
        <w:rPr>
          <w:b/>
          <w:bCs/>
          <w:sz w:val="26"/>
          <w:szCs w:val="26"/>
          <w:rtl/>
          <w:lang w:val="en-US" w:bidi="ar-SA"/>
        </w:rPr>
      </w:pPr>
      <w:r>
        <w:rPr>
          <w:b/>
          <w:bCs/>
          <w:sz w:val="26"/>
          <w:szCs w:val="26"/>
          <w:rtl/>
          <w:lang w:val="en-US" w:bidi="ar-SA"/>
        </w:rPr>
        <w:br w:type="page"/>
      </w:r>
    </w:p>
    <w:p w:rsidR="0096190A" w:rsidRPr="00BE0D11" w:rsidRDefault="002F22AA" w:rsidP="0052641E">
      <w:pPr>
        <w:bidi/>
        <w:rPr>
          <w:b/>
          <w:bCs/>
          <w:sz w:val="26"/>
          <w:szCs w:val="26"/>
          <w:rtl/>
          <w:lang w:val="en-US" w:bidi="ar-SA"/>
        </w:rPr>
      </w:pPr>
      <w:r w:rsidRPr="00BE0D11">
        <w:rPr>
          <w:rFonts w:hint="cs"/>
          <w:b/>
          <w:bCs/>
          <w:sz w:val="26"/>
          <w:szCs w:val="26"/>
          <w:rtl/>
          <w:lang w:val="en-US" w:bidi="ar-SA"/>
        </w:rPr>
        <w:lastRenderedPageBreak/>
        <w:t>ال</w:t>
      </w:r>
      <w:r w:rsidR="0096190A" w:rsidRPr="00BE0D11">
        <w:rPr>
          <w:b/>
          <w:bCs/>
          <w:sz w:val="26"/>
          <w:szCs w:val="26"/>
          <w:rtl/>
          <w:lang w:val="en-US" w:bidi="ar-SA"/>
        </w:rPr>
        <w:t>توصية</w:t>
      </w:r>
    </w:p>
    <w:p w:rsidR="002F22AA" w:rsidRPr="00BE0D11" w:rsidRDefault="002F22AA" w:rsidP="002F22AA">
      <w:pPr>
        <w:bidi/>
        <w:rPr>
          <w:sz w:val="26"/>
          <w:szCs w:val="26"/>
          <w:lang w:val="en-US" w:bidi="ar-SA"/>
        </w:rPr>
      </w:pPr>
    </w:p>
    <w:p w:rsidR="0096190A" w:rsidRPr="00BE0D11" w:rsidRDefault="0096190A" w:rsidP="00472B66">
      <w:pPr>
        <w:pStyle w:val="StyleHeader4Para4Left0Firstline0"/>
        <w:numPr>
          <w:ilvl w:val="0"/>
          <w:numId w:val="19"/>
        </w:numPr>
        <w:tabs>
          <w:tab w:val="right" w:pos="900"/>
          <w:tab w:val="right" w:pos="990"/>
        </w:tabs>
        <w:bidi/>
        <w:ind w:left="90" w:firstLine="0"/>
        <w:rPr>
          <w:sz w:val="26"/>
          <w:szCs w:val="26"/>
          <w:rtl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قد ترغب اللجنة التنفيذية في:</w:t>
      </w:r>
    </w:p>
    <w:p w:rsidR="00FE5D5B" w:rsidRPr="00BE0D11" w:rsidRDefault="00FE5D5B" w:rsidP="00FE5D5B">
      <w:pPr>
        <w:bidi/>
        <w:rPr>
          <w:sz w:val="26"/>
          <w:szCs w:val="26"/>
          <w:lang w:val="en-US" w:bidi="ar-SA"/>
        </w:rPr>
      </w:pPr>
    </w:p>
    <w:p w:rsidR="0096190A" w:rsidRPr="00BE0D11" w:rsidRDefault="005165F9" w:rsidP="00472B66">
      <w:pPr>
        <w:pStyle w:val="ListParagraph"/>
        <w:numPr>
          <w:ilvl w:val="0"/>
          <w:numId w:val="16"/>
        </w:numPr>
        <w:bidi/>
        <w:ind w:left="1260" w:hanging="540"/>
        <w:rPr>
          <w:sz w:val="26"/>
          <w:szCs w:val="26"/>
          <w:rtl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أن تحاط علما بما يلي</w:t>
      </w:r>
      <w:r w:rsidR="0096190A" w:rsidRPr="00BE0D11">
        <w:rPr>
          <w:sz w:val="26"/>
          <w:szCs w:val="26"/>
          <w:rtl/>
          <w:lang w:val="en-US" w:bidi="ar-SA"/>
        </w:rPr>
        <w:t>:</w:t>
      </w:r>
      <w:r w:rsidRPr="00BE0D11">
        <w:rPr>
          <w:rFonts w:hint="cs"/>
          <w:sz w:val="26"/>
          <w:szCs w:val="26"/>
          <w:rtl/>
          <w:lang w:val="en-US" w:bidi="ar-SA"/>
        </w:rPr>
        <w:t>-</w:t>
      </w:r>
    </w:p>
    <w:p w:rsidR="00FE5D5B" w:rsidRPr="00BE0D11" w:rsidRDefault="00FE5D5B" w:rsidP="005165F9">
      <w:pPr>
        <w:pStyle w:val="ListParagraph"/>
        <w:bidi/>
        <w:rPr>
          <w:sz w:val="26"/>
          <w:szCs w:val="26"/>
          <w:lang w:val="en-US" w:bidi="ar-SA"/>
        </w:rPr>
      </w:pPr>
    </w:p>
    <w:p w:rsidR="0096190A" w:rsidRPr="00BE0D11" w:rsidRDefault="00EF7857" w:rsidP="00472B66">
      <w:pPr>
        <w:pStyle w:val="ListParagraph"/>
        <w:numPr>
          <w:ilvl w:val="0"/>
          <w:numId w:val="17"/>
        </w:numPr>
        <w:bidi/>
        <w:ind w:left="1800" w:hanging="540"/>
        <w:rPr>
          <w:sz w:val="26"/>
          <w:szCs w:val="26"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ال</w:t>
      </w:r>
      <w:r w:rsidR="0096190A" w:rsidRPr="00BE0D11">
        <w:rPr>
          <w:sz w:val="26"/>
          <w:szCs w:val="26"/>
          <w:rtl/>
          <w:lang w:val="en-US" w:bidi="ar-SA"/>
        </w:rPr>
        <w:t xml:space="preserve">تقرير عن تكاليف الوحدة الأساسية لعام 2021 </w:t>
      </w:r>
      <w:r w:rsidRPr="00BE0D11">
        <w:rPr>
          <w:rFonts w:hint="cs"/>
          <w:sz w:val="26"/>
          <w:szCs w:val="26"/>
          <w:rtl/>
          <w:lang w:val="en-US" w:bidi="ar-SA"/>
        </w:rPr>
        <w:t>لليوئنديبي</w:t>
      </w:r>
      <w:r w:rsidR="0096190A" w:rsidRPr="00BE0D11">
        <w:rPr>
          <w:sz w:val="26"/>
          <w:szCs w:val="26"/>
          <w:rtl/>
          <w:lang w:val="en-US" w:bidi="ar-SA"/>
        </w:rPr>
        <w:t xml:space="preserve"> واليونيدو والبنك الدولي على النحو الوارد في الوثيقة </w:t>
      </w:r>
      <w:r w:rsidRPr="00BE0D11">
        <w:rPr>
          <w:sz w:val="26"/>
          <w:szCs w:val="26"/>
          <w:lang w:val="en-CA"/>
        </w:rPr>
        <w:t>UNEP/OzL.Pro/ExCom/86/37</w:t>
      </w:r>
      <w:r w:rsidR="0096190A" w:rsidRPr="00BE0D11">
        <w:rPr>
          <w:sz w:val="26"/>
          <w:szCs w:val="26"/>
          <w:rtl/>
          <w:lang w:val="en-US" w:bidi="ar-SA"/>
        </w:rPr>
        <w:t>؛</w:t>
      </w:r>
    </w:p>
    <w:p w:rsidR="0065321C" w:rsidRPr="00BE0D11" w:rsidRDefault="0065321C" w:rsidP="00C3045D">
      <w:pPr>
        <w:pStyle w:val="ListParagraph"/>
        <w:bidi/>
        <w:ind w:left="1800" w:hanging="540"/>
        <w:rPr>
          <w:sz w:val="26"/>
          <w:szCs w:val="26"/>
          <w:rtl/>
          <w:lang w:val="en-US" w:bidi="ar-SA"/>
        </w:rPr>
      </w:pPr>
    </w:p>
    <w:p w:rsidR="0096190A" w:rsidRPr="00BE0D11" w:rsidRDefault="0065321C" w:rsidP="00472B66">
      <w:pPr>
        <w:pStyle w:val="ListParagraph"/>
        <w:numPr>
          <w:ilvl w:val="0"/>
          <w:numId w:val="17"/>
        </w:numPr>
        <w:bidi/>
        <w:ind w:left="1800" w:hanging="540"/>
        <w:rPr>
          <w:sz w:val="26"/>
          <w:szCs w:val="26"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مع التقدير</w:t>
      </w:r>
      <w:r w:rsidR="0096190A" w:rsidRPr="00BE0D11">
        <w:rPr>
          <w:sz w:val="26"/>
          <w:szCs w:val="26"/>
          <w:rtl/>
          <w:lang w:val="en-US" w:bidi="ar-SA"/>
        </w:rPr>
        <w:t xml:space="preserve">، أن تشغيل الوحدة الأساسية للبنك الدولي كان </w:t>
      </w:r>
      <w:r w:rsidRPr="00BE0D11">
        <w:rPr>
          <w:rFonts w:hint="cs"/>
          <w:sz w:val="26"/>
          <w:szCs w:val="26"/>
          <w:rtl/>
          <w:lang w:val="en-US" w:bidi="ar-SA"/>
        </w:rPr>
        <w:t>أقل من</w:t>
      </w:r>
      <w:r w:rsidRPr="00BE0D11">
        <w:rPr>
          <w:sz w:val="26"/>
          <w:szCs w:val="26"/>
          <w:rtl/>
          <w:lang w:val="en-US" w:bidi="ar-SA"/>
        </w:rPr>
        <w:t xml:space="preserve"> المستوى المحدد في ميزاني</w:t>
      </w:r>
      <w:r w:rsidRPr="00BE0D11">
        <w:rPr>
          <w:rFonts w:hint="cs"/>
          <w:sz w:val="26"/>
          <w:szCs w:val="26"/>
          <w:rtl/>
          <w:lang w:val="en-US" w:bidi="ar-SA"/>
        </w:rPr>
        <w:t xml:space="preserve">ته </w:t>
      </w:r>
      <w:r w:rsidRPr="00BE0D11">
        <w:rPr>
          <w:sz w:val="26"/>
          <w:szCs w:val="26"/>
          <w:rtl/>
          <w:lang w:val="en-US" w:bidi="ar-SA"/>
        </w:rPr>
        <w:t>مرة أخرى</w:t>
      </w:r>
      <w:r w:rsidR="0096190A" w:rsidRPr="00BE0D11">
        <w:rPr>
          <w:sz w:val="26"/>
          <w:szCs w:val="26"/>
          <w:rtl/>
          <w:lang w:val="en-US" w:bidi="ar-SA"/>
        </w:rPr>
        <w:t xml:space="preserve"> وأن البنك سيعيد الأرصدة غير المستخدمة </w:t>
      </w:r>
      <w:r w:rsidRPr="00BE0D11">
        <w:rPr>
          <w:rFonts w:hint="cs"/>
          <w:sz w:val="26"/>
          <w:szCs w:val="26"/>
          <w:rtl/>
          <w:lang w:val="en-US" w:bidi="ar-SA"/>
        </w:rPr>
        <w:t>وقدرها 43,894</w:t>
      </w:r>
      <w:r w:rsidR="0096190A" w:rsidRPr="00BE0D11">
        <w:rPr>
          <w:sz w:val="26"/>
          <w:szCs w:val="26"/>
          <w:rtl/>
          <w:lang w:val="en-US" w:bidi="ar-SA"/>
        </w:rPr>
        <w:t xml:space="preserve"> </w:t>
      </w:r>
      <w:r w:rsidRPr="00BE0D11">
        <w:rPr>
          <w:sz w:val="26"/>
          <w:szCs w:val="26"/>
          <w:rtl/>
          <w:lang w:val="en-US" w:bidi="ar-SA"/>
        </w:rPr>
        <w:t>دولار أمريكي</w:t>
      </w:r>
      <w:r w:rsidR="0096190A" w:rsidRPr="00BE0D11">
        <w:rPr>
          <w:sz w:val="26"/>
          <w:szCs w:val="26"/>
          <w:rtl/>
          <w:lang w:val="en-US" w:bidi="ar-SA"/>
        </w:rPr>
        <w:t xml:space="preserve"> إلى الصندوق </w:t>
      </w:r>
      <w:r w:rsidRPr="00BE0D11">
        <w:rPr>
          <w:rFonts w:hint="cs"/>
          <w:sz w:val="26"/>
          <w:szCs w:val="26"/>
          <w:rtl/>
          <w:lang w:val="en-US" w:bidi="ar-SA"/>
        </w:rPr>
        <w:t>ال</w:t>
      </w:r>
      <w:r w:rsidR="0096190A" w:rsidRPr="00BE0D11">
        <w:rPr>
          <w:sz w:val="26"/>
          <w:szCs w:val="26"/>
          <w:rtl/>
          <w:lang w:val="en-US" w:bidi="ar-SA"/>
        </w:rPr>
        <w:t>متعدد الأطر</w:t>
      </w:r>
      <w:r w:rsidR="00213EE3" w:rsidRPr="00BE0D11">
        <w:rPr>
          <w:sz w:val="26"/>
          <w:szCs w:val="26"/>
          <w:rtl/>
          <w:lang w:val="en-US" w:bidi="ar-SA"/>
        </w:rPr>
        <w:t>اف في الاجتماع السادس والثمانين</w:t>
      </w:r>
      <w:r w:rsidR="0096190A" w:rsidRPr="00BE0D11">
        <w:rPr>
          <w:sz w:val="26"/>
          <w:szCs w:val="26"/>
          <w:rtl/>
          <w:lang w:val="en-US" w:bidi="ar-SA"/>
        </w:rPr>
        <w:t>؛</w:t>
      </w:r>
    </w:p>
    <w:p w:rsidR="00213EE3" w:rsidRPr="00BE0D11" w:rsidRDefault="00213EE3" w:rsidP="00213EE3">
      <w:pPr>
        <w:bidi/>
        <w:rPr>
          <w:sz w:val="26"/>
          <w:szCs w:val="26"/>
          <w:lang w:val="en-US" w:bidi="ar-SA"/>
        </w:rPr>
      </w:pPr>
    </w:p>
    <w:p w:rsidR="0096190A" w:rsidRPr="00BE0D11" w:rsidRDefault="006E0B47" w:rsidP="00472B66">
      <w:pPr>
        <w:pStyle w:val="ListParagraph"/>
        <w:numPr>
          <w:ilvl w:val="0"/>
          <w:numId w:val="16"/>
        </w:numPr>
        <w:bidi/>
        <w:ind w:left="1260" w:hanging="540"/>
        <w:rPr>
          <w:sz w:val="26"/>
          <w:szCs w:val="26"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6E553C" w:rsidRPr="00BE0D11">
        <w:rPr>
          <w:rFonts w:hint="cs"/>
          <w:sz w:val="26"/>
          <w:szCs w:val="26"/>
          <w:rtl/>
          <w:lang w:val="en-US" w:bidi="ar-SA"/>
        </w:rPr>
        <w:t>أن تنظر</w:t>
      </w:r>
      <w:r w:rsidR="0096190A" w:rsidRPr="00BE0D11">
        <w:rPr>
          <w:sz w:val="26"/>
          <w:szCs w:val="26"/>
          <w:rtl/>
          <w:lang w:val="en-US" w:bidi="ar-SA"/>
        </w:rPr>
        <w:t xml:space="preserve"> في الموافقة على ميزانيات الوحدات الأساسية لعام 2021 </w:t>
      </w:r>
      <w:r w:rsidR="006E553C" w:rsidRPr="00BE0D11">
        <w:rPr>
          <w:rFonts w:hint="cs"/>
          <w:sz w:val="26"/>
          <w:szCs w:val="26"/>
          <w:rtl/>
          <w:lang w:val="en-US" w:bidi="ar-SA"/>
        </w:rPr>
        <w:t xml:space="preserve">المطلوبة من عدمها </w:t>
      </w:r>
      <w:r w:rsidR="0096190A" w:rsidRPr="00BE0D11">
        <w:rPr>
          <w:sz w:val="26"/>
          <w:szCs w:val="26"/>
          <w:rtl/>
          <w:lang w:val="en-US" w:bidi="ar-SA"/>
        </w:rPr>
        <w:t>من أجل:</w:t>
      </w:r>
    </w:p>
    <w:p w:rsidR="006E553C" w:rsidRPr="00BE0D11" w:rsidRDefault="006E553C" w:rsidP="006E553C">
      <w:pPr>
        <w:pStyle w:val="ListParagraph"/>
        <w:bidi/>
        <w:ind w:left="1260"/>
        <w:rPr>
          <w:sz w:val="26"/>
          <w:szCs w:val="26"/>
          <w:lang w:val="en-US" w:bidi="ar-SA"/>
        </w:rPr>
      </w:pPr>
    </w:p>
    <w:p w:rsidR="0096190A" w:rsidRPr="00BE0D11" w:rsidRDefault="0096190A" w:rsidP="00472B66">
      <w:pPr>
        <w:pStyle w:val="ListParagraph"/>
        <w:numPr>
          <w:ilvl w:val="0"/>
          <w:numId w:val="18"/>
        </w:numPr>
        <w:bidi/>
        <w:rPr>
          <w:sz w:val="26"/>
          <w:szCs w:val="26"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>برنامج الأمم المتحدة الإنمائي</w:t>
      </w:r>
      <w:r w:rsidR="000B17BD" w:rsidRPr="00BE0D11">
        <w:rPr>
          <w:rFonts w:hint="cs"/>
          <w:sz w:val="26"/>
          <w:szCs w:val="26"/>
          <w:rtl/>
          <w:lang w:val="en-US" w:bidi="ar-SA"/>
        </w:rPr>
        <w:t xml:space="preserve"> (اليوئنديبي)</w:t>
      </w:r>
      <w:r w:rsidRPr="00BE0D11">
        <w:rPr>
          <w:sz w:val="26"/>
          <w:szCs w:val="26"/>
          <w:rtl/>
          <w:lang w:val="en-US" w:bidi="ar-SA"/>
        </w:rPr>
        <w:t xml:space="preserve"> </w:t>
      </w:r>
      <w:r w:rsidR="000B17BD" w:rsidRPr="00BE0D11">
        <w:rPr>
          <w:rFonts w:hint="cs"/>
          <w:sz w:val="26"/>
          <w:szCs w:val="26"/>
          <w:rtl/>
          <w:lang w:val="en-US" w:bidi="ar-SA"/>
        </w:rPr>
        <w:t>بقيمة</w:t>
      </w:r>
      <w:r w:rsidRPr="00BE0D11">
        <w:rPr>
          <w:sz w:val="26"/>
          <w:szCs w:val="26"/>
          <w:rtl/>
          <w:lang w:val="en-US" w:bidi="ar-SA"/>
        </w:rPr>
        <w:t xml:space="preserve"> </w:t>
      </w:r>
      <w:r w:rsidR="000B17BD" w:rsidRPr="00BE0D11">
        <w:rPr>
          <w:sz w:val="26"/>
          <w:szCs w:val="26"/>
          <w:lang w:val="en-CA"/>
        </w:rPr>
        <w:t>2,113,148</w:t>
      </w:r>
      <w:r w:rsidR="000B17BD" w:rsidRPr="00BE0D11">
        <w:rPr>
          <w:sz w:val="26"/>
          <w:szCs w:val="26"/>
          <w:rtl/>
          <w:lang w:val="en-US" w:bidi="ar-SA"/>
        </w:rPr>
        <w:t>2 دولا</w:t>
      </w:r>
      <w:r w:rsidR="000B17BD" w:rsidRPr="00BE0D11">
        <w:rPr>
          <w:rFonts w:hint="cs"/>
          <w:sz w:val="26"/>
          <w:szCs w:val="26"/>
          <w:rtl/>
          <w:lang w:val="en-US" w:bidi="ar-SA"/>
        </w:rPr>
        <w:t>ر</w:t>
      </w:r>
      <w:r w:rsidRPr="00BE0D11">
        <w:rPr>
          <w:sz w:val="26"/>
          <w:szCs w:val="26"/>
          <w:rtl/>
          <w:lang w:val="en-US" w:bidi="ar-SA"/>
        </w:rPr>
        <w:t xml:space="preserve"> </w:t>
      </w:r>
      <w:r w:rsidR="000B17BD" w:rsidRPr="00BE0D11">
        <w:rPr>
          <w:rFonts w:hint="cs"/>
          <w:sz w:val="26"/>
          <w:szCs w:val="26"/>
          <w:rtl/>
          <w:lang w:val="en-US" w:bidi="ar-SA"/>
        </w:rPr>
        <w:t>أمريكي</w:t>
      </w:r>
      <w:r w:rsidRPr="00BE0D11">
        <w:rPr>
          <w:sz w:val="26"/>
          <w:szCs w:val="26"/>
          <w:rtl/>
          <w:lang w:val="en-US" w:bidi="ar-SA"/>
        </w:rPr>
        <w:t>؛</w:t>
      </w:r>
    </w:p>
    <w:p w:rsidR="00136739" w:rsidRPr="00BE0D11" w:rsidRDefault="00136739" w:rsidP="00136739">
      <w:pPr>
        <w:pStyle w:val="ListParagraph"/>
        <w:bidi/>
        <w:ind w:left="1785"/>
        <w:rPr>
          <w:sz w:val="26"/>
          <w:szCs w:val="26"/>
          <w:rtl/>
          <w:lang w:val="en-US" w:bidi="ar-SA"/>
        </w:rPr>
      </w:pPr>
    </w:p>
    <w:p w:rsidR="0096190A" w:rsidRPr="00BE0D11" w:rsidRDefault="006E0B47" w:rsidP="00472B66">
      <w:pPr>
        <w:pStyle w:val="ListParagraph"/>
        <w:numPr>
          <w:ilvl w:val="0"/>
          <w:numId w:val="18"/>
        </w:numPr>
        <w:bidi/>
        <w:rPr>
          <w:sz w:val="26"/>
          <w:szCs w:val="26"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6190A" w:rsidRPr="00BE0D11">
        <w:rPr>
          <w:sz w:val="26"/>
          <w:szCs w:val="26"/>
          <w:rtl/>
          <w:lang w:val="en-US" w:bidi="ar-SA"/>
        </w:rPr>
        <w:t xml:space="preserve">منظمة الأمم المتحدة للتنمية الصناعية </w:t>
      </w:r>
      <w:r w:rsidRPr="00BE0D11">
        <w:rPr>
          <w:rFonts w:hint="cs"/>
          <w:sz w:val="26"/>
          <w:szCs w:val="26"/>
          <w:rtl/>
          <w:lang w:val="en-US" w:bidi="ar-SA"/>
        </w:rPr>
        <w:t xml:space="preserve">(اليونيدو) بقيمة </w:t>
      </w:r>
      <w:r w:rsidRPr="00BE0D11">
        <w:rPr>
          <w:sz w:val="26"/>
          <w:szCs w:val="26"/>
          <w:lang w:val="en-CA"/>
        </w:rPr>
        <w:t>2,022,000</w:t>
      </w:r>
      <w:r w:rsidRPr="00BE0D11">
        <w:rPr>
          <w:sz w:val="26"/>
          <w:szCs w:val="26"/>
          <w:rtl/>
          <w:lang w:val="en-US" w:bidi="ar-SA"/>
        </w:rPr>
        <w:t xml:space="preserve"> دولار أمريكي؛ </w:t>
      </w:r>
    </w:p>
    <w:p w:rsidR="00136739" w:rsidRPr="00BE0D11" w:rsidRDefault="00136739" w:rsidP="00136739">
      <w:pPr>
        <w:bidi/>
        <w:rPr>
          <w:sz w:val="26"/>
          <w:szCs w:val="26"/>
          <w:lang w:val="en-US" w:bidi="ar-SA"/>
        </w:rPr>
      </w:pPr>
    </w:p>
    <w:p w:rsidR="0096190A" w:rsidRPr="00BE0D11" w:rsidRDefault="006E0B47" w:rsidP="00472B66">
      <w:pPr>
        <w:pStyle w:val="ListParagraph"/>
        <w:numPr>
          <w:ilvl w:val="0"/>
          <w:numId w:val="18"/>
        </w:numPr>
        <w:bidi/>
        <w:rPr>
          <w:sz w:val="26"/>
          <w:szCs w:val="26"/>
          <w:lang w:val="en-US" w:bidi="ar-SA"/>
        </w:rPr>
      </w:pPr>
      <w:r w:rsidRPr="00BE0D11">
        <w:rPr>
          <w:rFonts w:hint="cs"/>
          <w:sz w:val="26"/>
          <w:szCs w:val="26"/>
          <w:rtl/>
          <w:lang w:val="en-US" w:bidi="ar-SA"/>
        </w:rPr>
        <w:t>و</w:t>
      </w:r>
      <w:r w:rsidR="0096190A" w:rsidRPr="00BE0D11">
        <w:rPr>
          <w:sz w:val="26"/>
          <w:szCs w:val="26"/>
          <w:rtl/>
          <w:lang w:val="en-US" w:bidi="ar-SA"/>
        </w:rPr>
        <w:t xml:space="preserve">البنك الدولي </w:t>
      </w:r>
      <w:r w:rsidRPr="00BE0D11">
        <w:rPr>
          <w:rFonts w:hint="cs"/>
          <w:sz w:val="26"/>
          <w:szCs w:val="26"/>
          <w:rtl/>
          <w:lang w:val="en-US" w:bidi="ar-SA"/>
        </w:rPr>
        <w:t xml:space="preserve">بقيمة </w:t>
      </w:r>
      <w:r w:rsidR="0096190A" w:rsidRPr="00BE0D11">
        <w:rPr>
          <w:sz w:val="26"/>
          <w:szCs w:val="26"/>
          <w:rtl/>
          <w:lang w:val="en-US" w:bidi="ar-SA"/>
        </w:rPr>
        <w:t xml:space="preserve"> 1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6190A" w:rsidRPr="00BE0D11">
        <w:rPr>
          <w:sz w:val="26"/>
          <w:szCs w:val="26"/>
          <w:rtl/>
          <w:lang w:val="en-US" w:bidi="ar-SA"/>
        </w:rPr>
        <w:t>735</w:t>
      </w:r>
      <w:r w:rsidRPr="00BE0D11">
        <w:rPr>
          <w:rFonts w:hint="cs"/>
          <w:sz w:val="26"/>
          <w:szCs w:val="26"/>
          <w:rtl/>
          <w:lang w:val="en-US" w:bidi="ar-SA"/>
        </w:rPr>
        <w:t>,</w:t>
      </w:r>
      <w:r w:rsidR="0096190A" w:rsidRPr="00BE0D11">
        <w:rPr>
          <w:sz w:val="26"/>
          <w:szCs w:val="26"/>
          <w:rtl/>
          <w:lang w:val="en-US" w:bidi="ar-SA"/>
        </w:rPr>
        <w:t>000 دولار أ</w:t>
      </w:r>
      <w:r w:rsidRPr="00BE0D11">
        <w:rPr>
          <w:sz w:val="26"/>
          <w:szCs w:val="26"/>
          <w:rtl/>
          <w:lang w:val="en-US" w:bidi="ar-SA"/>
        </w:rPr>
        <w:t xml:space="preserve">مريكي؛ </w:t>
      </w:r>
    </w:p>
    <w:p w:rsidR="006E0B47" w:rsidRPr="00BE0D11" w:rsidRDefault="006E0B47" w:rsidP="006E0B47">
      <w:pPr>
        <w:bidi/>
        <w:ind w:left="1260"/>
        <w:rPr>
          <w:sz w:val="26"/>
          <w:szCs w:val="26"/>
          <w:lang w:val="en-US" w:bidi="ar-SA"/>
        </w:rPr>
      </w:pPr>
    </w:p>
    <w:p w:rsidR="00FE13A5" w:rsidRPr="00BE0D11" w:rsidRDefault="0096190A" w:rsidP="00D85444">
      <w:pPr>
        <w:bidi/>
        <w:ind w:left="1260" w:hanging="540"/>
        <w:rPr>
          <w:sz w:val="26"/>
          <w:szCs w:val="26"/>
          <w:lang w:val="en-US" w:bidi="ar-SA"/>
        </w:rPr>
      </w:pPr>
      <w:r w:rsidRPr="00BE0D11">
        <w:rPr>
          <w:sz w:val="26"/>
          <w:szCs w:val="26"/>
          <w:rtl/>
          <w:lang w:val="en-US" w:bidi="ar-SA"/>
        </w:rPr>
        <w:t xml:space="preserve">(ج) </w:t>
      </w:r>
      <w:r w:rsidR="006E0B47" w:rsidRPr="00BE0D11">
        <w:rPr>
          <w:rFonts w:hint="cs"/>
          <w:sz w:val="26"/>
          <w:szCs w:val="26"/>
          <w:rtl/>
          <w:lang w:val="en-US" w:bidi="ar-SA"/>
        </w:rPr>
        <w:t xml:space="preserve">  و</w:t>
      </w:r>
      <w:r w:rsidRPr="00BE0D11">
        <w:rPr>
          <w:sz w:val="26"/>
          <w:szCs w:val="26"/>
          <w:rtl/>
          <w:lang w:val="en-US" w:bidi="ar-SA"/>
        </w:rPr>
        <w:t xml:space="preserve">أن تلاحظ أن مستويات ميزانيات الوحدات الأساسية لعام 2021 </w:t>
      </w:r>
      <w:r w:rsidR="00F203CC" w:rsidRPr="00BE0D11">
        <w:rPr>
          <w:rFonts w:hint="cs"/>
          <w:sz w:val="26"/>
          <w:szCs w:val="26"/>
          <w:rtl/>
          <w:lang w:val="en-US" w:bidi="ar-SA"/>
        </w:rPr>
        <w:t>المذكورة</w:t>
      </w:r>
      <w:r w:rsidRPr="00BE0D11">
        <w:rPr>
          <w:sz w:val="26"/>
          <w:szCs w:val="26"/>
          <w:rtl/>
          <w:lang w:val="en-US" w:bidi="ar-SA"/>
        </w:rPr>
        <w:t xml:space="preserve"> في الفقرة الفرعية (ب) أعلاه يمكن تعديلها على أساس نتائج مناقشة تحليل نظام التكاليف الإدارية وتمويل الوح</w:t>
      </w:r>
      <w:r w:rsidR="00F203CC" w:rsidRPr="00BE0D11">
        <w:rPr>
          <w:sz w:val="26"/>
          <w:szCs w:val="26"/>
          <w:rtl/>
          <w:lang w:val="en-US" w:bidi="ar-SA"/>
        </w:rPr>
        <w:t>دة الأساسية (المقرر 84/61 (ج)</w:t>
      </w:r>
      <w:r w:rsidRPr="00BE0D11">
        <w:rPr>
          <w:sz w:val="26"/>
          <w:szCs w:val="26"/>
          <w:rtl/>
          <w:lang w:val="en-US" w:bidi="ar-SA"/>
        </w:rPr>
        <w:t xml:space="preserve">، في الاجتماع </w:t>
      </w:r>
      <w:r w:rsidR="00F203CC" w:rsidRPr="00BE0D11">
        <w:rPr>
          <w:rFonts w:hint="cs"/>
          <w:sz w:val="26"/>
          <w:szCs w:val="26"/>
          <w:rtl/>
          <w:lang w:val="en-US" w:bidi="ar-SA"/>
        </w:rPr>
        <w:t>السادس والثمانين</w:t>
      </w:r>
      <w:r w:rsidRPr="00BE0D11">
        <w:rPr>
          <w:sz w:val="26"/>
          <w:szCs w:val="26"/>
          <w:rtl/>
          <w:lang w:val="en-US" w:bidi="ar-SA"/>
        </w:rPr>
        <w:t xml:space="preserve"> في مارس</w:t>
      </w:r>
      <w:r w:rsidR="00F203CC" w:rsidRPr="00BE0D11">
        <w:rPr>
          <w:rFonts w:hint="cs"/>
          <w:sz w:val="26"/>
          <w:szCs w:val="26"/>
          <w:rtl/>
          <w:lang w:val="en-US" w:bidi="ar-SA"/>
        </w:rPr>
        <w:t>/ آذار</w:t>
      </w:r>
      <w:r w:rsidRPr="00BE0D11">
        <w:rPr>
          <w:sz w:val="26"/>
          <w:szCs w:val="26"/>
          <w:rtl/>
          <w:lang w:val="en-US" w:bidi="ar-SA"/>
        </w:rPr>
        <w:t xml:space="preserve"> 2021.</w:t>
      </w:r>
    </w:p>
    <w:p w:rsidR="00770A17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/>
          <w:b/>
          <w:bCs/>
          <w:sz w:val="26"/>
          <w:szCs w:val="26"/>
          <w:rtl/>
        </w:rPr>
        <w:tab/>
      </w: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70A17" w:rsidRDefault="00770A17" w:rsidP="00770A17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</w:rPr>
      </w:pPr>
    </w:p>
    <w:p w:rsidR="007E5D09" w:rsidRDefault="007E5D09">
      <w:pPr>
        <w:bidi/>
        <w:jc w:val="center"/>
        <w:rPr>
          <w:rFonts w:cs="Arabic Transparent"/>
          <w:b/>
          <w:bCs/>
          <w:sz w:val="26"/>
          <w:szCs w:val="26"/>
          <w:lang w:val="en-CA" w:bidi="ar-EG"/>
        </w:rPr>
      </w:pPr>
    </w:p>
    <w:p w:rsidR="007E5D09" w:rsidRDefault="007E5D09">
      <w:pPr>
        <w:pStyle w:val="Heading3"/>
        <w:numPr>
          <w:ilvl w:val="0"/>
          <w:numId w:val="0"/>
        </w:numPr>
        <w:ind w:left="1361"/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sectPr w:rsidR="007E5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66" w:rsidRDefault="00472B66">
      <w:r>
        <w:separator/>
      </w:r>
    </w:p>
  </w:endnote>
  <w:endnote w:type="continuationSeparator" w:id="0">
    <w:p w:rsidR="00472B66" w:rsidRDefault="004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20" w:rsidRDefault="002C7A2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30CE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20" w:rsidRDefault="002C7A20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30CEF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20" w:rsidRPr="00252C17" w:rsidRDefault="002C7A20" w:rsidP="00AA1C5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 w:rsidRPr="00252C17"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 w:rsidRPr="00252C17">
      <w:rPr>
        <w:rFonts w:cs="Arabic Transparent"/>
      </w:rPr>
      <w:t xml:space="preserve"> </w:t>
    </w:r>
  </w:p>
  <w:p w:rsidR="002C7A20" w:rsidRDefault="002C7A20" w:rsidP="00AA1C5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 w:rsidRPr="00252C17"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  <w:p w:rsidR="002C7A20" w:rsidRPr="00AA1C5D" w:rsidRDefault="002C7A20" w:rsidP="007B3529">
    <w:pPr>
      <w:pStyle w:val="Footer"/>
      <w:jc w:val="center"/>
    </w:pPr>
  </w:p>
  <w:p w:rsidR="002C7A20" w:rsidRDefault="002C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66" w:rsidRDefault="00472B66">
      <w:r>
        <w:separator/>
      </w:r>
    </w:p>
  </w:footnote>
  <w:footnote w:type="continuationSeparator" w:id="0">
    <w:p w:rsidR="00472B66" w:rsidRDefault="00472B66">
      <w:r>
        <w:continuationSeparator/>
      </w:r>
    </w:p>
  </w:footnote>
  <w:footnote w:id="1">
    <w:p w:rsidR="002C7A20" w:rsidRPr="00510B13" w:rsidRDefault="002C7A20" w:rsidP="00923944">
      <w:pPr>
        <w:pStyle w:val="StyleHeader4Para4Left0Firstline0"/>
        <w:numPr>
          <w:ilvl w:val="0"/>
          <w:numId w:val="0"/>
        </w:numPr>
        <w:bidi/>
        <w:jc w:val="left"/>
        <w:rPr>
          <w:rtl/>
          <w:lang w:val="en-CA" w:bidi="ar-B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</w:p>
  </w:footnote>
  <w:footnote w:id="2">
    <w:p w:rsidR="002C7A20" w:rsidRDefault="002C7A20" w:rsidP="00CD151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Pr="00166D8D">
        <w:rPr>
          <w:rtl/>
          <w:lang w:bidi="ar-SA"/>
        </w:rPr>
        <w:t xml:space="preserve">تغير تخصيص التكاليف الإدارية </w:t>
      </w:r>
      <w:r>
        <w:rPr>
          <w:rFonts w:hint="cs"/>
          <w:rtl/>
          <w:lang w:bidi="ar-SA"/>
        </w:rPr>
        <w:t>لليونديبي</w:t>
      </w:r>
      <w:r w:rsidRPr="00166D8D">
        <w:rPr>
          <w:rtl/>
          <w:lang w:bidi="ar-SA"/>
        </w:rPr>
        <w:t xml:space="preserve"> واليونيدو والبنك الدولي في نوفمبر</w:t>
      </w:r>
      <w:r>
        <w:rPr>
          <w:rFonts w:hint="cs"/>
          <w:rtl/>
          <w:lang w:bidi="ar-SA"/>
        </w:rPr>
        <w:t xml:space="preserve">/ </w:t>
      </w:r>
      <w:r>
        <w:rPr>
          <w:rtl/>
          <w:lang w:bidi="ar-SA"/>
        </w:rPr>
        <w:t>تشرين الثاني</w:t>
      </w:r>
      <w:r w:rsidRPr="00166D8D">
        <w:rPr>
          <w:rtl/>
          <w:lang w:bidi="ar-SA"/>
        </w:rPr>
        <w:t xml:space="preserve"> 1998 (المقرر 26/41) من معدل ثابت قدره 13 في المائة مطبق على جميع </w:t>
      </w:r>
      <w:r>
        <w:rPr>
          <w:rFonts w:hint="cs"/>
          <w:rtl/>
          <w:lang w:bidi="ar-SA"/>
        </w:rPr>
        <w:t>المشروعات</w:t>
      </w:r>
      <w:r w:rsidRPr="00166D8D">
        <w:rPr>
          <w:rtl/>
          <w:lang w:bidi="ar-SA"/>
        </w:rPr>
        <w:t xml:space="preserve"> إلى </w:t>
      </w:r>
      <w:r>
        <w:rPr>
          <w:rFonts w:hint="cs"/>
          <w:rtl/>
          <w:lang w:bidi="ar-SA"/>
        </w:rPr>
        <w:t>نطاق</w:t>
      </w:r>
      <w:r w:rsidRPr="00166D8D">
        <w:rPr>
          <w:rtl/>
          <w:lang w:bidi="ar-SA"/>
        </w:rPr>
        <w:t xml:space="preserve"> متدرج.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>تم تغ</w:t>
      </w:r>
      <w:r>
        <w:rPr>
          <w:rtl/>
          <w:lang w:bidi="ar-SA"/>
        </w:rPr>
        <w:t>يير التكاليف مرة أخرى في ديسمبر</w:t>
      </w:r>
      <w:r w:rsidRPr="00166D8D">
        <w:rPr>
          <w:rtl/>
          <w:lang w:bidi="ar-SA"/>
        </w:rPr>
        <w:t xml:space="preserve">/ كانون الأول 2002 إلى نطاق أقل يتضمن منحة الوحدة الأساسية </w:t>
      </w:r>
      <w:r>
        <w:rPr>
          <w:rFonts w:hint="cs"/>
          <w:rtl/>
          <w:lang w:bidi="ar-SA"/>
        </w:rPr>
        <w:t>وقدرها</w:t>
      </w:r>
      <w:r w:rsidRPr="00166D8D">
        <w:rPr>
          <w:rtl/>
          <w:lang w:bidi="ar-SA"/>
        </w:rPr>
        <w:t xml:space="preserve"> 1</w:t>
      </w:r>
      <w:r>
        <w:rPr>
          <w:rFonts w:hint="cs"/>
          <w:rtl/>
          <w:lang w:bidi="ar-SA"/>
        </w:rPr>
        <w:t>,</w:t>
      </w:r>
      <w:r w:rsidRPr="00166D8D">
        <w:rPr>
          <w:rtl/>
          <w:lang w:bidi="ar-SA"/>
        </w:rPr>
        <w:t xml:space="preserve">5 مليون دولار أمريكي لكل وكالة (المقرر 38/68).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 xml:space="preserve">حدثت زيادات سنوية لمعظم الوكالات منذ الاجتماع السادس والأربعين.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>طلب المقرر 41/94 (د) من الأمانة إجراء استعراض سنوي لنظام التكاليف الإدارية. ومدد المقرر 56/41 عمل المقرر 38/68 ونظام</w:t>
      </w:r>
      <w:r>
        <w:rPr>
          <w:rFonts w:hint="cs"/>
          <w:rtl/>
          <w:lang w:bidi="ar-SA"/>
        </w:rPr>
        <w:t>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</w:t>
      </w:r>
      <w:r w:rsidRPr="00166D8D">
        <w:rPr>
          <w:rtl/>
          <w:lang w:bidi="ar-SA"/>
        </w:rPr>
        <w:t>لتكاليف الإدارية ل</w:t>
      </w:r>
      <w:r>
        <w:rPr>
          <w:rFonts w:hint="cs"/>
          <w:rtl/>
          <w:lang w:bidi="ar-SA"/>
        </w:rPr>
        <w:t xml:space="preserve">كي </w:t>
      </w:r>
      <w:r>
        <w:rPr>
          <w:rtl/>
          <w:lang w:bidi="ar-SA"/>
        </w:rPr>
        <w:t>يطبق على فترة الثلاث</w:t>
      </w:r>
      <w:r>
        <w:rPr>
          <w:rFonts w:hint="cs"/>
          <w:rtl/>
          <w:lang w:bidi="ar-SA"/>
        </w:rPr>
        <w:t xml:space="preserve"> سنوات</w:t>
      </w:r>
      <w:r w:rsidRPr="00166D8D">
        <w:rPr>
          <w:rtl/>
          <w:lang w:bidi="ar-SA"/>
        </w:rPr>
        <w:t xml:space="preserve"> 2009-2011.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>في الاجتماع ا</w:t>
      </w:r>
      <w:r>
        <w:rPr>
          <w:rtl/>
          <w:lang w:bidi="ar-SA"/>
        </w:rPr>
        <w:t xml:space="preserve">لسابع </w:t>
      </w:r>
      <w:r>
        <w:rPr>
          <w:rFonts w:hint="cs"/>
          <w:rtl/>
          <w:lang w:bidi="ar-SA"/>
        </w:rPr>
        <w:t>والستين</w:t>
      </w:r>
      <w:r w:rsidRPr="00166D8D">
        <w:rPr>
          <w:rtl/>
          <w:lang w:bidi="ar-SA"/>
        </w:rPr>
        <w:t xml:space="preserve">، قررت اللجنة تطبيق نظام تكاليف إدارية جديد لفترة السنوات الثلاث 2012-2014 </w:t>
      </w:r>
      <w:r>
        <w:rPr>
          <w:rFonts w:hint="cs"/>
          <w:rtl/>
          <w:lang w:bidi="ar-SA"/>
        </w:rPr>
        <w:t>لليوئنديبي</w:t>
      </w:r>
      <w:r w:rsidRPr="00166D8D">
        <w:rPr>
          <w:rtl/>
          <w:lang w:bidi="ar-SA"/>
        </w:rPr>
        <w:t xml:space="preserve"> </w:t>
      </w:r>
      <w:r>
        <w:rPr>
          <w:rtl/>
          <w:lang w:bidi="ar-SA"/>
        </w:rPr>
        <w:t>واليونيدو والبنك الدولي</w:t>
      </w:r>
      <w:r w:rsidRPr="00166D8D">
        <w:rPr>
          <w:rtl/>
          <w:lang w:bidi="ar-SA"/>
        </w:rPr>
        <w:t>، يتألف من تمويل سنوي للو</w:t>
      </w:r>
      <w:r>
        <w:rPr>
          <w:rtl/>
          <w:lang w:bidi="ar-SA"/>
        </w:rPr>
        <w:t>حدة الأساسية يمكن النظر في زياد</w:t>
      </w:r>
      <w:r>
        <w:rPr>
          <w:rFonts w:hint="cs"/>
          <w:rtl/>
          <w:lang w:bidi="ar-SA"/>
        </w:rPr>
        <w:t>ته</w:t>
      </w:r>
      <w:r>
        <w:rPr>
          <w:rtl/>
          <w:lang w:bidi="ar-SA"/>
        </w:rPr>
        <w:t xml:space="preserve"> سنوي</w:t>
      </w:r>
      <w:r>
        <w:rPr>
          <w:rFonts w:hint="cs"/>
          <w:rtl/>
          <w:lang w:bidi="ar-SA"/>
        </w:rPr>
        <w:t>ا زيادة</w:t>
      </w:r>
      <w:r w:rsidRPr="00166D8D">
        <w:rPr>
          <w:rtl/>
          <w:lang w:bidi="ar-SA"/>
        </w:rPr>
        <w:t xml:space="preserve"> تصل إلى 0</w:t>
      </w:r>
      <w:r>
        <w:rPr>
          <w:rFonts w:hint="cs"/>
          <w:rtl/>
          <w:lang w:bidi="ar-SA"/>
        </w:rPr>
        <w:t>,</w:t>
      </w:r>
      <w:r w:rsidRPr="00166D8D">
        <w:rPr>
          <w:rtl/>
          <w:lang w:bidi="ar-SA"/>
        </w:rPr>
        <w:t xml:space="preserve">7 </w:t>
      </w:r>
      <w:r>
        <w:rPr>
          <w:rtl/>
          <w:lang w:bidi="ar-SA"/>
        </w:rPr>
        <w:t>في المائة تخضع للمراجعة السنوية، و</w:t>
      </w:r>
      <w:r w:rsidRPr="00166D8D">
        <w:rPr>
          <w:rtl/>
          <w:lang w:bidi="ar-SA"/>
        </w:rPr>
        <w:t xml:space="preserve">تطبيق رسوم الوكالة التالية على أساس التمويل لكل وكالة: رسوم وكالة بنسبة 7 في </w:t>
      </w:r>
      <w:r>
        <w:rPr>
          <w:rtl/>
          <w:lang w:bidi="ar-SA"/>
        </w:rPr>
        <w:t>المائة للمشروعات التي تزيد تكلف</w:t>
      </w:r>
      <w:r>
        <w:rPr>
          <w:rFonts w:hint="cs"/>
          <w:rtl/>
          <w:lang w:bidi="ar-SA"/>
        </w:rPr>
        <w:t>ة المشروع فيها</w:t>
      </w:r>
      <w:r w:rsidRPr="00166D8D">
        <w:rPr>
          <w:rtl/>
          <w:lang w:bidi="ar-SA"/>
        </w:rPr>
        <w:t xml:space="preserve"> عن 250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000 دولار أمريكي</w:t>
      </w:r>
      <w:r w:rsidRPr="00166D8D">
        <w:rPr>
          <w:rtl/>
          <w:lang w:bidi="ar-SA"/>
        </w:rPr>
        <w:t xml:space="preserve">، </w:t>
      </w:r>
      <w:r>
        <w:rPr>
          <w:rFonts w:hint="cs"/>
          <w:rtl/>
          <w:lang w:bidi="ar-SA"/>
        </w:rPr>
        <w:t>وكذلك</w:t>
      </w:r>
      <w:r w:rsidRPr="00166D8D">
        <w:rPr>
          <w:rtl/>
          <w:lang w:bidi="ar-SA"/>
        </w:rPr>
        <w:t xml:space="preserve"> مشروعات</w:t>
      </w:r>
      <w:r>
        <w:rPr>
          <w:rtl/>
          <w:lang w:bidi="ar-SA"/>
        </w:rPr>
        <w:t xml:space="preserve"> التعزيز المؤسسي وإعداد المشروع</w:t>
      </w:r>
      <w:r w:rsidRPr="00166D8D">
        <w:rPr>
          <w:rtl/>
          <w:lang w:bidi="ar-SA"/>
        </w:rPr>
        <w:t xml:space="preserve">؛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 xml:space="preserve">رسوم وكالة بنسبة 9 في المائة </w:t>
      </w:r>
      <w:r>
        <w:rPr>
          <w:rFonts w:hint="cs"/>
          <w:rtl/>
          <w:lang w:bidi="ar-SA"/>
        </w:rPr>
        <w:t>للمشروعات</w:t>
      </w:r>
      <w:r w:rsidRPr="00166D8D">
        <w:rPr>
          <w:rtl/>
          <w:lang w:bidi="ar-SA"/>
        </w:rPr>
        <w:t xml:space="preserve"> التي تبلغ تكلفة المشروع فيها أو تقل عن 250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000 دولار أمريكي</w:t>
      </w:r>
      <w:r w:rsidRPr="00166D8D">
        <w:rPr>
          <w:rtl/>
          <w:lang w:bidi="ar-SA"/>
        </w:rPr>
        <w:t xml:space="preserve">؛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>رسم وكالة لا يزيد عن 6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5 في المائة</w:t>
      </w:r>
      <w:r w:rsidRPr="00166D8D">
        <w:rPr>
          <w:rtl/>
          <w:lang w:bidi="ar-SA"/>
        </w:rPr>
        <w:t xml:space="preserve">، يتم تحديده على أساس كل حالة على حدة </w:t>
      </w:r>
      <w:r>
        <w:rPr>
          <w:rFonts w:hint="cs"/>
          <w:rtl/>
          <w:lang w:bidi="ar-SA"/>
        </w:rPr>
        <w:t>للمشروعات</w:t>
      </w:r>
      <w:r w:rsidRPr="00166D8D">
        <w:rPr>
          <w:rtl/>
          <w:lang w:bidi="ar-SA"/>
        </w:rPr>
        <w:t xml:space="preserve"> في قطاع الإنتاج (المقرر 67/15 (ب)).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في الاجتماع الثالث والسبعين</w:t>
      </w:r>
      <w:r w:rsidRPr="00166D8D">
        <w:rPr>
          <w:rtl/>
          <w:lang w:bidi="ar-SA"/>
        </w:rPr>
        <w:t xml:space="preserve">، قررت اللجنة تطبيق نظام التكاليف الإدارية الحالي </w:t>
      </w:r>
      <w:r>
        <w:rPr>
          <w:rFonts w:hint="cs"/>
          <w:rtl/>
          <w:lang w:bidi="ar-SA"/>
        </w:rPr>
        <w:t>ل</w:t>
      </w:r>
      <w:r w:rsidRPr="00166D8D">
        <w:rPr>
          <w:rtl/>
          <w:lang w:bidi="ar-SA"/>
        </w:rPr>
        <w:t>لوكالات الثنائية والمنفذة خلال فترة الثلاث سنوات 2015-201</w:t>
      </w:r>
      <w:r>
        <w:rPr>
          <w:rtl/>
          <w:lang w:bidi="ar-SA"/>
        </w:rPr>
        <w:t xml:space="preserve">7؛ </w:t>
      </w:r>
      <w:r>
        <w:rPr>
          <w:rFonts w:hint="cs"/>
          <w:rtl/>
          <w:lang w:bidi="ar-SA"/>
        </w:rPr>
        <w:t>و</w:t>
      </w:r>
      <w:r w:rsidRPr="00166D8D">
        <w:rPr>
          <w:rtl/>
          <w:lang w:bidi="ar-SA"/>
        </w:rPr>
        <w:t>استعراض</w:t>
      </w:r>
      <w:r>
        <w:rPr>
          <w:rFonts w:hint="cs"/>
          <w:rtl/>
          <w:lang w:bidi="ar-SA"/>
        </w:rPr>
        <w:t xml:space="preserve"> </w:t>
      </w:r>
      <w:r w:rsidRPr="00166D8D">
        <w:rPr>
          <w:rtl/>
          <w:lang w:bidi="ar-SA"/>
        </w:rPr>
        <w:t>نظام التكاليف الإدارية وميزانية تمويل وح</w:t>
      </w:r>
      <w:r>
        <w:rPr>
          <w:rtl/>
          <w:lang w:bidi="ar-SA"/>
        </w:rPr>
        <w:t xml:space="preserve">دته الأساسية في الاجتماع الأول </w:t>
      </w:r>
      <w:r>
        <w:rPr>
          <w:rFonts w:hint="cs"/>
          <w:rtl/>
          <w:lang w:bidi="ar-SA"/>
        </w:rPr>
        <w:t xml:space="preserve">من </w:t>
      </w:r>
      <w:r w:rsidRPr="00166D8D">
        <w:rPr>
          <w:rtl/>
          <w:lang w:bidi="ar-SA"/>
        </w:rPr>
        <w:t xml:space="preserve">عام 2017 (المقرر 73/62 (ب) و (ج)).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في الاجتماع التاسع والسبعين</w:t>
      </w:r>
      <w:r w:rsidRPr="00166D8D">
        <w:rPr>
          <w:rtl/>
          <w:lang w:bidi="ar-SA"/>
        </w:rPr>
        <w:t xml:space="preserve">، قررت اللجنة تطبيق نظام التكاليف الإدارية الحالي </w:t>
      </w:r>
      <w:r>
        <w:rPr>
          <w:rFonts w:hint="cs"/>
          <w:rtl/>
          <w:lang w:bidi="ar-SA"/>
        </w:rPr>
        <w:t>ل</w:t>
      </w:r>
      <w:r w:rsidRPr="00166D8D">
        <w:rPr>
          <w:rtl/>
          <w:lang w:bidi="ar-SA"/>
        </w:rPr>
        <w:t xml:space="preserve">لوكالات المنفذة خلال فترة الثلاث سنوات 2018 </w:t>
      </w:r>
      <w:r>
        <w:rPr>
          <w:rFonts w:hint="cs"/>
          <w:rtl/>
          <w:lang w:bidi="ar-SA"/>
        </w:rPr>
        <w:t xml:space="preserve">- </w:t>
      </w:r>
      <w:r>
        <w:rPr>
          <w:rtl/>
          <w:lang w:bidi="ar-SA"/>
        </w:rPr>
        <w:t>2020</w:t>
      </w:r>
      <w:r w:rsidRPr="00166D8D">
        <w:rPr>
          <w:rtl/>
          <w:lang w:bidi="ar-SA"/>
        </w:rPr>
        <w:t>؛ وأن تط</w:t>
      </w:r>
      <w:r>
        <w:rPr>
          <w:rFonts w:hint="cs"/>
          <w:rtl/>
          <w:lang w:bidi="ar-SA"/>
        </w:rPr>
        <w:t>ا</w:t>
      </w:r>
      <w:r w:rsidRPr="00166D8D">
        <w:rPr>
          <w:rtl/>
          <w:lang w:bidi="ar-SA"/>
        </w:rPr>
        <w:t xml:space="preserve">لب برنامج </w:t>
      </w:r>
      <w:r>
        <w:rPr>
          <w:rFonts w:hint="cs"/>
          <w:rtl/>
          <w:lang w:bidi="ar-SA"/>
        </w:rPr>
        <w:t>اليوئنديبي واليونيدو</w:t>
      </w:r>
      <w:r w:rsidRPr="00166D8D">
        <w:rPr>
          <w:rtl/>
          <w:lang w:bidi="ar-SA"/>
        </w:rPr>
        <w:t xml:space="preserve"> والبنك الدولي 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تقديم تقاريره</w:t>
      </w:r>
      <w:r>
        <w:rPr>
          <w:rFonts w:hint="cs"/>
          <w:rtl/>
          <w:lang w:bidi="ar-SA"/>
        </w:rPr>
        <w:t>م</w:t>
      </w:r>
      <w:r w:rsidRPr="00166D8D">
        <w:rPr>
          <w:rtl/>
          <w:lang w:bidi="ar-SA"/>
        </w:rPr>
        <w:t xml:space="preserve"> السنوية عن تمويل الوحدة الأساسية باستخدام </w:t>
      </w:r>
      <w:r>
        <w:rPr>
          <w:rFonts w:hint="cs"/>
          <w:rtl/>
          <w:lang w:bidi="ar-SA"/>
        </w:rPr>
        <w:t>النسق</w:t>
      </w:r>
      <w:r w:rsidRPr="00CD1513">
        <w:rPr>
          <w:rtl/>
          <w:lang w:bidi="ar-SA"/>
        </w:rPr>
        <w:t xml:space="preserve"> </w:t>
      </w:r>
      <w:r w:rsidRPr="00166D8D">
        <w:rPr>
          <w:rtl/>
          <w:lang w:bidi="ar-SA"/>
        </w:rPr>
        <w:t xml:space="preserve">المنقح </w:t>
      </w:r>
      <w:r>
        <w:rPr>
          <w:rFonts w:hint="cs"/>
          <w:rtl/>
          <w:lang w:bidi="ar-SA"/>
        </w:rPr>
        <w:t>ل</w:t>
      </w:r>
      <w:r w:rsidRPr="00166D8D">
        <w:rPr>
          <w:rtl/>
          <w:lang w:bidi="ar-SA"/>
        </w:rPr>
        <w:t>لإبلاغ (المقرر 79/41 (ج) و (هـ)).</w:t>
      </w:r>
    </w:p>
    <w:p w:rsidR="002C7A20" w:rsidRDefault="002C7A20" w:rsidP="00252C17">
      <w:pPr>
        <w:pStyle w:val="FootnoteText"/>
        <w:bidi/>
        <w:rPr>
          <w:rtl/>
          <w:lang w:bidi="ar-SA"/>
        </w:rPr>
      </w:pPr>
    </w:p>
  </w:footnote>
  <w:footnote w:id="3">
    <w:p w:rsidR="002C7A20" w:rsidRDefault="002C7A20" w:rsidP="00697A8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المرفق الثامن عشر بالوثيقة </w:t>
      </w:r>
      <w:r w:rsidRPr="00E2441A">
        <w:t>UNEP/OzL.Pro/ExCom/79/51</w:t>
      </w:r>
    </w:p>
  </w:footnote>
  <w:footnote w:id="4">
    <w:p w:rsidR="002C7A20" w:rsidRDefault="002C7A20" w:rsidP="007B7535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F462C9">
        <w:rPr>
          <w:rtl/>
          <w:lang w:bidi="ar-SA"/>
        </w:rPr>
        <w:t>في خمس مناسبات على م</w:t>
      </w:r>
      <w:r>
        <w:rPr>
          <w:rtl/>
          <w:lang w:bidi="ar-SA"/>
        </w:rPr>
        <w:t xml:space="preserve">دى </w:t>
      </w:r>
      <w:r>
        <w:rPr>
          <w:rFonts w:hint="cs"/>
          <w:rtl/>
          <w:lang w:bidi="ar-SA"/>
        </w:rPr>
        <w:t xml:space="preserve">الثماني </w:t>
      </w:r>
      <w:r>
        <w:rPr>
          <w:rtl/>
          <w:lang w:bidi="ar-SA"/>
        </w:rPr>
        <w:t>سنوات الماضية</w:t>
      </w:r>
      <w:r w:rsidRPr="00F462C9">
        <w:rPr>
          <w:rtl/>
          <w:lang w:bidi="ar-SA"/>
        </w:rPr>
        <w:t xml:space="preserve">، تجاوز مستوى تكاليف الوحدة الأساسية أكثر من </w:t>
      </w:r>
      <w:r>
        <w:rPr>
          <w:rFonts w:hint="cs"/>
          <w:rtl/>
          <w:lang w:bidi="ar-SA"/>
        </w:rPr>
        <w:t>800,000</w:t>
      </w:r>
      <w:r w:rsidRPr="00F462C9">
        <w:rPr>
          <w:rtl/>
          <w:lang w:bidi="ar-SA"/>
        </w:rPr>
        <w:t xml:space="preserve"> دولار أمريكي: 837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220 دولار أمريكي في عام 2012</w:t>
      </w:r>
      <w:r w:rsidRPr="00F462C9">
        <w:rPr>
          <w:rtl/>
          <w:lang w:bidi="ar-SA"/>
        </w:rPr>
        <w:t>، و 849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676 دولار أمريكي في عام 2013</w:t>
      </w:r>
      <w:r w:rsidRPr="00F462C9">
        <w:rPr>
          <w:rtl/>
          <w:lang w:bidi="ar-SA"/>
        </w:rPr>
        <w:t>، و 929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036 دولار أمريكي في عام 2017</w:t>
      </w:r>
      <w:r w:rsidRPr="00F462C9">
        <w:rPr>
          <w:rtl/>
          <w:lang w:bidi="ar-SA"/>
        </w:rPr>
        <w:t>، و 1</w:t>
      </w:r>
      <w:r>
        <w:rPr>
          <w:rFonts w:hint="cs"/>
          <w:rtl/>
          <w:lang w:bidi="ar-SA"/>
        </w:rPr>
        <w:t>,</w:t>
      </w:r>
      <w:r w:rsidRPr="00F462C9">
        <w:rPr>
          <w:rtl/>
          <w:lang w:bidi="ar-SA"/>
        </w:rPr>
        <w:t>053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880 دولار أمريكي في عام 2018</w:t>
      </w:r>
      <w:r w:rsidRPr="00F462C9">
        <w:rPr>
          <w:rtl/>
          <w:lang w:bidi="ar-SA"/>
        </w:rPr>
        <w:t>، و 904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918 دولار أمريكي</w:t>
      </w:r>
      <w:r w:rsidRPr="00F462C9">
        <w:rPr>
          <w:rtl/>
          <w:lang w:bidi="ar-SA"/>
        </w:rPr>
        <w:t xml:space="preserve"> في عام 2019.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في عام 2020</w:t>
      </w:r>
      <w:r w:rsidRPr="00F462C9">
        <w:rPr>
          <w:rtl/>
          <w:lang w:bidi="ar-SA"/>
        </w:rPr>
        <w:t xml:space="preserve">، سيتجاوز </w:t>
      </w:r>
      <w:r>
        <w:rPr>
          <w:rFonts w:hint="cs"/>
          <w:rtl/>
          <w:lang w:bidi="ar-SA"/>
        </w:rPr>
        <w:t>اليوئنديبي</w:t>
      </w:r>
      <w:r w:rsidRPr="00F462C9">
        <w:rPr>
          <w:rtl/>
          <w:lang w:bidi="ar-SA"/>
        </w:rPr>
        <w:t xml:space="preserve"> تكاليفه </w:t>
      </w:r>
      <w:r>
        <w:rPr>
          <w:rFonts w:hint="cs"/>
          <w:rtl/>
          <w:lang w:bidi="ar-SA"/>
        </w:rPr>
        <w:t>بحوالي</w:t>
      </w:r>
      <w:r w:rsidRPr="00F462C9">
        <w:rPr>
          <w:rtl/>
          <w:lang w:bidi="ar-SA"/>
        </w:rPr>
        <w:t xml:space="preserve"> 803</w:t>
      </w:r>
      <w:r>
        <w:rPr>
          <w:rFonts w:hint="cs"/>
          <w:rtl/>
          <w:lang w:bidi="ar-SA"/>
        </w:rPr>
        <w:t>,</w:t>
      </w:r>
      <w:r>
        <w:rPr>
          <w:rtl/>
          <w:lang w:bidi="ar-SA"/>
        </w:rPr>
        <w:t>638 دولار أمريكي</w:t>
      </w:r>
      <w:r w:rsidRPr="00F462C9">
        <w:rPr>
          <w:rtl/>
          <w:lang w:bidi="ar-SA"/>
        </w:rPr>
        <w:t xml:space="preserve"> (حوالي 38 في المائة </w:t>
      </w:r>
      <w:r>
        <w:rPr>
          <w:rFonts w:hint="cs"/>
          <w:rtl/>
          <w:lang w:bidi="ar-SA"/>
        </w:rPr>
        <w:t>زيادة عن</w:t>
      </w:r>
      <w:r w:rsidRPr="00F462C9">
        <w:rPr>
          <w:rtl/>
          <w:lang w:bidi="ar-SA"/>
        </w:rPr>
        <w:t xml:space="preserve"> الميزانية).</w:t>
      </w:r>
    </w:p>
  </w:footnote>
  <w:footnote w:id="5">
    <w:p w:rsidR="002C7A20" w:rsidRDefault="002C7A20" w:rsidP="00271AD7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271AD7">
        <w:rPr>
          <w:rtl/>
          <w:lang w:bidi="ar-SA"/>
        </w:rPr>
        <w:t xml:space="preserve">لم يكن لدى اليونيدو قط نظام محاسبة </w:t>
      </w:r>
      <w:r>
        <w:rPr>
          <w:rFonts w:hint="cs"/>
          <w:rtl/>
          <w:lang w:bidi="ar-SA"/>
        </w:rPr>
        <w:t xml:space="preserve">مركزي </w:t>
      </w:r>
      <w:r w:rsidRPr="00271AD7">
        <w:rPr>
          <w:rtl/>
          <w:lang w:bidi="ar-SA"/>
        </w:rPr>
        <w:t xml:space="preserve">مناسب </w:t>
      </w:r>
      <w:r>
        <w:rPr>
          <w:rFonts w:hint="cs"/>
          <w:rtl/>
          <w:lang w:bidi="ar-SA"/>
        </w:rPr>
        <w:t>ل</w:t>
      </w:r>
      <w:r w:rsidRPr="00271AD7">
        <w:rPr>
          <w:rtl/>
          <w:lang w:bidi="ar-SA"/>
        </w:rPr>
        <w:t xml:space="preserve">لتكلفة </w:t>
      </w:r>
      <w:r>
        <w:rPr>
          <w:rFonts w:hint="cs"/>
          <w:rtl/>
          <w:lang w:bidi="ar-SA"/>
        </w:rPr>
        <w:t>يستطيع</w:t>
      </w:r>
      <w:r w:rsidRPr="00271AD7">
        <w:rPr>
          <w:rtl/>
          <w:lang w:bidi="ar-SA"/>
        </w:rPr>
        <w:t xml:space="preserve"> أن ييسر الإبلاغ على أساس البيانات الفعلية مع متابعة مراجعة الحسابات. </w:t>
      </w:r>
      <w:r>
        <w:rPr>
          <w:rFonts w:hint="cs"/>
          <w:rtl/>
          <w:lang w:bidi="ar-SA"/>
        </w:rPr>
        <w:t>وأفادت</w:t>
      </w:r>
      <w:r w:rsidRPr="00271AD7">
        <w:rPr>
          <w:rtl/>
          <w:lang w:bidi="ar-SA"/>
        </w:rPr>
        <w:t xml:space="preserve"> </w:t>
      </w:r>
      <w:r>
        <w:rPr>
          <w:rtl/>
          <w:lang w:bidi="ar-SA"/>
        </w:rPr>
        <w:t>اليونيدو</w:t>
      </w:r>
      <w:r w:rsidRPr="00271AD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</w:t>
      </w:r>
      <w:r w:rsidRPr="00271AD7">
        <w:rPr>
          <w:rtl/>
          <w:lang w:bidi="ar-SA"/>
        </w:rPr>
        <w:t>أن المواءمة قد أُنشئت في عام 2017 ل</w:t>
      </w:r>
      <w:r>
        <w:rPr>
          <w:rFonts w:hint="cs"/>
          <w:rtl/>
          <w:lang w:bidi="ar-SA"/>
        </w:rPr>
        <w:t>كي تبين</w:t>
      </w:r>
      <w:r>
        <w:rPr>
          <w:rtl/>
          <w:lang w:bidi="ar-SA"/>
        </w:rPr>
        <w:t xml:space="preserve"> إجمالي التكاليف الإدارية</w:t>
      </w:r>
      <w:r w:rsidRPr="00271AD7">
        <w:rPr>
          <w:rtl/>
          <w:lang w:bidi="ar-SA"/>
        </w:rPr>
        <w:t>، بما في ذ</w:t>
      </w:r>
      <w:r>
        <w:rPr>
          <w:rtl/>
          <w:lang w:bidi="ar-SA"/>
        </w:rPr>
        <w:t>لك التكاليف التي قد يُطلق عليها</w:t>
      </w:r>
      <w:r w:rsidRPr="00271AD7">
        <w:rPr>
          <w:rtl/>
          <w:lang w:bidi="ar-SA"/>
        </w:rPr>
        <w:t>،</w:t>
      </w:r>
      <w:r>
        <w:rPr>
          <w:rtl/>
          <w:lang w:bidi="ar-SA"/>
        </w:rPr>
        <w:t xml:space="preserve"> وفقًا لمنهجية اليونيدو الحالية</w:t>
      </w:r>
      <w:r w:rsidRPr="00271AD7">
        <w:rPr>
          <w:rtl/>
          <w:lang w:bidi="ar-SA"/>
        </w:rPr>
        <w:t>، التكاليف الإدارية المحتملة المتعلقة بالمشروع.</w:t>
      </w:r>
    </w:p>
  </w:footnote>
  <w:footnote w:id="6">
    <w:p w:rsidR="002C7A20" w:rsidRDefault="002C7A20" w:rsidP="007C18BA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2D71BC">
        <w:rPr>
          <w:rtl/>
          <w:lang w:bidi="ar-SA"/>
        </w:rPr>
        <w:t xml:space="preserve">طُلب </w:t>
      </w:r>
      <w:r>
        <w:rPr>
          <w:rFonts w:hint="cs"/>
          <w:rtl/>
          <w:lang w:bidi="ar-SA"/>
        </w:rPr>
        <w:t>من</w:t>
      </w:r>
      <w:r w:rsidRPr="002D71BC">
        <w:rPr>
          <w:rtl/>
          <w:lang w:bidi="ar-SA"/>
        </w:rPr>
        <w:t xml:space="preserve"> اليونيدو أن </w:t>
      </w:r>
      <w:r>
        <w:rPr>
          <w:rtl/>
          <w:lang w:bidi="ar-SA"/>
        </w:rPr>
        <w:t>تقدم افتراض</w:t>
      </w:r>
      <w:r>
        <w:rPr>
          <w:rFonts w:hint="cs"/>
          <w:rtl/>
          <w:lang w:bidi="ar-SA"/>
        </w:rPr>
        <w:t>ا</w:t>
      </w:r>
      <w:r w:rsidRPr="002D71BC">
        <w:rPr>
          <w:rtl/>
          <w:lang w:bidi="ar-SA"/>
        </w:rPr>
        <w:t xml:space="preserve"> لنم</w:t>
      </w:r>
      <w:r>
        <w:rPr>
          <w:rtl/>
          <w:lang w:bidi="ar-SA"/>
        </w:rPr>
        <w:t>وذج التكاليف الإدارية الخاص بها</w:t>
      </w:r>
      <w:r w:rsidRPr="002D71BC">
        <w:rPr>
          <w:rtl/>
          <w:lang w:bidi="ar-SA"/>
        </w:rPr>
        <w:t>، وفي الطلبات المستقبلية لتمويل الوحدة الأساسية لتقديم معلومات التكلفة الإدارية التي تميز الأنشطة المتعلقة بالمشروع</w:t>
      </w:r>
      <w:r>
        <w:rPr>
          <w:rtl/>
          <w:lang w:bidi="ar-SA"/>
        </w:rPr>
        <w:t xml:space="preserve"> عن التكاليف الإدارية. وبعد ذلك، من خلال المقرر 59/28 (ج)، أح</w:t>
      </w:r>
      <w:r>
        <w:rPr>
          <w:rFonts w:hint="cs"/>
          <w:rtl/>
          <w:lang w:bidi="ar-SA"/>
        </w:rPr>
        <w:t>ي</w:t>
      </w:r>
      <w:r w:rsidRPr="002D71BC">
        <w:rPr>
          <w:rtl/>
          <w:lang w:bidi="ar-SA"/>
        </w:rPr>
        <w:t xml:space="preserve">طت اللجنة التنفيذية علما بمنهجية تحديد التكاليف المتعلقة بالمشروع في تقرير اليونيدو السنوي عن التكاليف الإدارية </w:t>
      </w:r>
      <w:r w:rsidRPr="00E2441A">
        <w:t>(UNEP/OzL.Pro/ExCom/60/51)</w:t>
      </w:r>
      <w:r w:rsidRPr="002D71BC">
        <w:rPr>
          <w:rtl/>
          <w:lang w:bidi="ar-SA"/>
        </w:rPr>
        <w:t>.</w:t>
      </w:r>
    </w:p>
  </w:footnote>
  <w:footnote w:id="7">
    <w:p w:rsidR="002C7A20" w:rsidRDefault="002C7A20" w:rsidP="002A355A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للبنك الدولي</w:t>
      </w:r>
      <w:r w:rsidRPr="002D71BC">
        <w:rPr>
          <w:rtl/>
          <w:lang w:bidi="ar-SA"/>
        </w:rPr>
        <w:t xml:space="preserve">، يعني بند الميزانية هذا أن رسوم المشروع المستلمة </w:t>
      </w:r>
      <w:r>
        <w:rPr>
          <w:rFonts w:hint="cs"/>
          <w:rtl/>
          <w:lang w:bidi="ar-SA"/>
        </w:rPr>
        <w:t xml:space="preserve">للمشروعات </w:t>
      </w:r>
      <w:r w:rsidRPr="002D71BC">
        <w:rPr>
          <w:rtl/>
          <w:lang w:bidi="ar-SA"/>
        </w:rPr>
        <w:t>المعتمدة يتم تحويلها إلى فرق المشروع</w:t>
      </w:r>
      <w:r>
        <w:rPr>
          <w:rFonts w:hint="cs"/>
          <w:rtl/>
          <w:lang w:bidi="ar-SA"/>
        </w:rPr>
        <w:t xml:space="preserve"> من أجل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</w:t>
      </w:r>
      <w:r w:rsidRPr="002D71BC">
        <w:rPr>
          <w:rtl/>
          <w:lang w:bidi="ar-SA"/>
        </w:rPr>
        <w:t xml:space="preserve">لإشراف على المشروع وإدارته. </w:t>
      </w:r>
      <w:r>
        <w:rPr>
          <w:rFonts w:hint="cs"/>
          <w:rtl/>
          <w:lang w:bidi="ar-SA"/>
        </w:rPr>
        <w:t>و</w:t>
      </w:r>
      <w:r w:rsidRPr="002D71BC">
        <w:rPr>
          <w:rtl/>
          <w:lang w:bidi="ar-SA"/>
        </w:rPr>
        <w:t>يتم تعيين فرق الم</w:t>
      </w:r>
      <w:r>
        <w:rPr>
          <w:rtl/>
          <w:lang w:bidi="ar-SA"/>
        </w:rPr>
        <w:t xml:space="preserve">شروع </w:t>
      </w:r>
      <w:r>
        <w:rPr>
          <w:rFonts w:hint="cs"/>
          <w:rtl/>
          <w:lang w:bidi="ar-SA"/>
        </w:rPr>
        <w:t>حسب</w:t>
      </w:r>
      <w:r>
        <w:rPr>
          <w:rtl/>
          <w:lang w:bidi="ar-SA"/>
        </w:rPr>
        <w:t xml:space="preserve"> ما يعرف باسم "المناطق"</w:t>
      </w:r>
      <w:r w:rsidRPr="002D71BC">
        <w:rPr>
          <w:rtl/>
          <w:lang w:bidi="ar-SA"/>
        </w:rPr>
        <w:t>، أي الذراع التشغيلية للبنك الدولي.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20" w:rsidRDefault="002C7A20" w:rsidP="00252C17">
    <w:pPr>
      <w:jc w:val="right"/>
    </w:pPr>
    <w:fldSimple w:instr=" DOCPROPERTY &quot;Document number&quot;  \* MERGEFORMAT ">
      <w:r>
        <w:t>UNEP/OzL.Pro/ExCom/86/37</w:t>
      </w:r>
    </w:fldSimple>
  </w:p>
  <w:p w:rsidR="002C7A20" w:rsidRDefault="002C7A20"/>
  <w:p w:rsidR="002C7A20" w:rsidRDefault="002C7A2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20" w:rsidRDefault="002C7A20" w:rsidP="00252C17">
    <w:pPr>
      <w:jc w:val="left"/>
    </w:pPr>
    <w:fldSimple w:instr=" DOCPROPERTY &quot;Document number&quot;  \* MERGEFORMAT ">
      <w:r>
        <w:t>UNEP/OzL.Pro/ExCom/86/37</w:t>
      </w:r>
    </w:fldSimple>
  </w:p>
  <w:p w:rsidR="002C7A20" w:rsidRDefault="002C7A20"/>
  <w:p w:rsidR="002C7A20" w:rsidRDefault="002C7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20" w:rsidRDefault="002C7A20"/>
  <w:p w:rsidR="002C7A20" w:rsidRDefault="002C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052D5101"/>
    <w:multiLevelType w:val="hybridMultilevel"/>
    <w:tmpl w:val="D01C6D0E"/>
    <w:lvl w:ilvl="0" w:tplc="CB7E4682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0414"/>
    <w:multiLevelType w:val="hybridMultilevel"/>
    <w:tmpl w:val="9B942BCA"/>
    <w:lvl w:ilvl="0" w:tplc="6368F9D8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8F5"/>
    <w:multiLevelType w:val="hybridMultilevel"/>
    <w:tmpl w:val="9BEEA4B8"/>
    <w:lvl w:ilvl="0" w:tplc="CB7E468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00F"/>
    <w:multiLevelType w:val="hybridMultilevel"/>
    <w:tmpl w:val="985C85C6"/>
    <w:lvl w:ilvl="0" w:tplc="6C0A333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F365A8F"/>
    <w:multiLevelType w:val="hybridMultilevel"/>
    <w:tmpl w:val="9536C3A2"/>
    <w:lvl w:ilvl="0" w:tplc="EBDABAA4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1FF"/>
    <w:multiLevelType w:val="hybridMultilevel"/>
    <w:tmpl w:val="6EA6669E"/>
    <w:lvl w:ilvl="0" w:tplc="63CAB24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9" w15:restartNumberingAfterBreak="0">
    <w:nsid w:val="34747181"/>
    <w:multiLevelType w:val="hybridMultilevel"/>
    <w:tmpl w:val="722A473C"/>
    <w:lvl w:ilvl="0" w:tplc="F364C392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DB4"/>
    <w:multiLevelType w:val="hybridMultilevel"/>
    <w:tmpl w:val="128CDD9C"/>
    <w:lvl w:ilvl="0" w:tplc="CB7E4682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F554623"/>
    <w:multiLevelType w:val="hybridMultilevel"/>
    <w:tmpl w:val="E80463C4"/>
    <w:lvl w:ilvl="0" w:tplc="CB7E4682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75F17EE"/>
    <w:multiLevelType w:val="hybridMultilevel"/>
    <w:tmpl w:val="ADB0C498"/>
    <w:lvl w:ilvl="0" w:tplc="CB7E468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60FE"/>
    <w:multiLevelType w:val="hybridMultilevel"/>
    <w:tmpl w:val="10503510"/>
    <w:lvl w:ilvl="0" w:tplc="288601D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42FB9"/>
    <w:multiLevelType w:val="hybridMultilevel"/>
    <w:tmpl w:val="0D98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249"/>
    <w:multiLevelType w:val="hybridMultilevel"/>
    <w:tmpl w:val="9EE416E2"/>
    <w:lvl w:ilvl="0" w:tplc="787C9856">
      <w:start w:val="1"/>
      <w:numFmt w:val="decimal"/>
      <w:lvlText w:val="(%1)"/>
      <w:lvlJc w:val="left"/>
      <w:pPr>
        <w:ind w:left="17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8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7"/>
    <w:rsid w:val="00005F17"/>
    <w:rsid w:val="00013372"/>
    <w:rsid w:val="00031430"/>
    <w:rsid w:val="0004254A"/>
    <w:rsid w:val="00055AA2"/>
    <w:rsid w:val="000861FE"/>
    <w:rsid w:val="000A1F3C"/>
    <w:rsid w:val="000A6F27"/>
    <w:rsid w:val="000B17BD"/>
    <w:rsid w:val="000C2FE8"/>
    <w:rsid w:val="000C468C"/>
    <w:rsid w:val="000C668E"/>
    <w:rsid w:val="000C7FB4"/>
    <w:rsid w:val="000D3F69"/>
    <w:rsid w:val="000D4901"/>
    <w:rsid w:val="000F611B"/>
    <w:rsid w:val="00105222"/>
    <w:rsid w:val="00112B2A"/>
    <w:rsid w:val="00116281"/>
    <w:rsid w:val="00136739"/>
    <w:rsid w:val="001478EE"/>
    <w:rsid w:val="00166D8D"/>
    <w:rsid w:val="001B1C6C"/>
    <w:rsid w:val="001B29F3"/>
    <w:rsid w:val="001B36A2"/>
    <w:rsid w:val="001B7CDA"/>
    <w:rsid w:val="001D13F4"/>
    <w:rsid w:val="001D2F7C"/>
    <w:rsid w:val="001D6FC9"/>
    <w:rsid w:val="001F1B00"/>
    <w:rsid w:val="001F68E2"/>
    <w:rsid w:val="001F7B15"/>
    <w:rsid w:val="00213EE3"/>
    <w:rsid w:val="00217E4F"/>
    <w:rsid w:val="002466DF"/>
    <w:rsid w:val="00252A83"/>
    <w:rsid w:val="00252C17"/>
    <w:rsid w:val="00255329"/>
    <w:rsid w:val="00271AD7"/>
    <w:rsid w:val="00276AF4"/>
    <w:rsid w:val="00283A0A"/>
    <w:rsid w:val="002933D8"/>
    <w:rsid w:val="002A355A"/>
    <w:rsid w:val="002A42BA"/>
    <w:rsid w:val="002B6EAA"/>
    <w:rsid w:val="002C7A20"/>
    <w:rsid w:val="002D1BE1"/>
    <w:rsid w:val="002D3A7A"/>
    <w:rsid w:val="002D71BC"/>
    <w:rsid w:val="002E7EF7"/>
    <w:rsid w:val="002F22AA"/>
    <w:rsid w:val="002F505F"/>
    <w:rsid w:val="00304DAB"/>
    <w:rsid w:val="00312439"/>
    <w:rsid w:val="0031396D"/>
    <w:rsid w:val="003263B5"/>
    <w:rsid w:val="00342A44"/>
    <w:rsid w:val="00347954"/>
    <w:rsid w:val="00362885"/>
    <w:rsid w:val="00371975"/>
    <w:rsid w:val="00372507"/>
    <w:rsid w:val="00374283"/>
    <w:rsid w:val="003758D4"/>
    <w:rsid w:val="00377F43"/>
    <w:rsid w:val="0038182C"/>
    <w:rsid w:val="00385B1C"/>
    <w:rsid w:val="00385E85"/>
    <w:rsid w:val="00395E73"/>
    <w:rsid w:val="003A080C"/>
    <w:rsid w:val="003B295C"/>
    <w:rsid w:val="003C0ECD"/>
    <w:rsid w:val="003D0A36"/>
    <w:rsid w:val="003F2852"/>
    <w:rsid w:val="003F3E8D"/>
    <w:rsid w:val="00411B1B"/>
    <w:rsid w:val="00417513"/>
    <w:rsid w:val="00431A38"/>
    <w:rsid w:val="004440FA"/>
    <w:rsid w:val="004655CA"/>
    <w:rsid w:val="00472B66"/>
    <w:rsid w:val="004873AD"/>
    <w:rsid w:val="004C5B74"/>
    <w:rsid w:val="004D7EA2"/>
    <w:rsid w:val="004F677D"/>
    <w:rsid w:val="00510B13"/>
    <w:rsid w:val="005165F9"/>
    <w:rsid w:val="00520A73"/>
    <w:rsid w:val="0052641E"/>
    <w:rsid w:val="00532BD7"/>
    <w:rsid w:val="0053532A"/>
    <w:rsid w:val="00542477"/>
    <w:rsid w:val="00545423"/>
    <w:rsid w:val="00552EB0"/>
    <w:rsid w:val="00561813"/>
    <w:rsid w:val="0057185C"/>
    <w:rsid w:val="00597042"/>
    <w:rsid w:val="005A2CB7"/>
    <w:rsid w:val="005A79B3"/>
    <w:rsid w:val="005C7D4A"/>
    <w:rsid w:val="005E5D6B"/>
    <w:rsid w:val="005F2F7B"/>
    <w:rsid w:val="0060141D"/>
    <w:rsid w:val="006067CC"/>
    <w:rsid w:val="00610197"/>
    <w:rsid w:val="00610D10"/>
    <w:rsid w:val="0062274B"/>
    <w:rsid w:val="00637504"/>
    <w:rsid w:val="0064558A"/>
    <w:rsid w:val="00651D7B"/>
    <w:rsid w:val="0065321C"/>
    <w:rsid w:val="00662A73"/>
    <w:rsid w:val="00667B8E"/>
    <w:rsid w:val="00697A88"/>
    <w:rsid w:val="006D0AED"/>
    <w:rsid w:val="006D0C38"/>
    <w:rsid w:val="006E0B47"/>
    <w:rsid w:val="006E3B88"/>
    <w:rsid w:val="006E553C"/>
    <w:rsid w:val="006F2A2C"/>
    <w:rsid w:val="006F7D78"/>
    <w:rsid w:val="0070065B"/>
    <w:rsid w:val="007170BF"/>
    <w:rsid w:val="00753B43"/>
    <w:rsid w:val="00760F6C"/>
    <w:rsid w:val="00770A17"/>
    <w:rsid w:val="00786775"/>
    <w:rsid w:val="007B3529"/>
    <w:rsid w:val="007B7535"/>
    <w:rsid w:val="007C049A"/>
    <w:rsid w:val="007C18BA"/>
    <w:rsid w:val="007C269A"/>
    <w:rsid w:val="007D313E"/>
    <w:rsid w:val="007D58BA"/>
    <w:rsid w:val="007E5D09"/>
    <w:rsid w:val="007F011D"/>
    <w:rsid w:val="007F3C64"/>
    <w:rsid w:val="00817104"/>
    <w:rsid w:val="00824C60"/>
    <w:rsid w:val="008347C5"/>
    <w:rsid w:val="00840016"/>
    <w:rsid w:val="008466AF"/>
    <w:rsid w:val="008708D8"/>
    <w:rsid w:val="0087448D"/>
    <w:rsid w:val="00891B45"/>
    <w:rsid w:val="00892AC1"/>
    <w:rsid w:val="008966B2"/>
    <w:rsid w:val="008A0D97"/>
    <w:rsid w:val="008B279B"/>
    <w:rsid w:val="008C18B3"/>
    <w:rsid w:val="008C30F7"/>
    <w:rsid w:val="008D6B5F"/>
    <w:rsid w:val="008D6BC1"/>
    <w:rsid w:val="00914CFA"/>
    <w:rsid w:val="00920CBB"/>
    <w:rsid w:val="00923397"/>
    <w:rsid w:val="00923944"/>
    <w:rsid w:val="00925D46"/>
    <w:rsid w:val="009314B3"/>
    <w:rsid w:val="009363E5"/>
    <w:rsid w:val="0096190A"/>
    <w:rsid w:val="009B60C8"/>
    <w:rsid w:val="009C0D11"/>
    <w:rsid w:val="00A156EF"/>
    <w:rsid w:val="00A23CF1"/>
    <w:rsid w:val="00A44778"/>
    <w:rsid w:val="00A52AF5"/>
    <w:rsid w:val="00A54FC6"/>
    <w:rsid w:val="00A5706A"/>
    <w:rsid w:val="00A6525A"/>
    <w:rsid w:val="00A70D3D"/>
    <w:rsid w:val="00AA1C5D"/>
    <w:rsid w:val="00AB4886"/>
    <w:rsid w:val="00AC1660"/>
    <w:rsid w:val="00AC4C33"/>
    <w:rsid w:val="00AD44FF"/>
    <w:rsid w:val="00AD5161"/>
    <w:rsid w:val="00B01CAA"/>
    <w:rsid w:val="00B11DB6"/>
    <w:rsid w:val="00B40E87"/>
    <w:rsid w:val="00B71FA2"/>
    <w:rsid w:val="00B72370"/>
    <w:rsid w:val="00B80B99"/>
    <w:rsid w:val="00B81E83"/>
    <w:rsid w:val="00B85A40"/>
    <w:rsid w:val="00B913DA"/>
    <w:rsid w:val="00BD1DF2"/>
    <w:rsid w:val="00BE0D11"/>
    <w:rsid w:val="00C015C6"/>
    <w:rsid w:val="00C01DD5"/>
    <w:rsid w:val="00C02DF3"/>
    <w:rsid w:val="00C07333"/>
    <w:rsid w:val="00C13434"/>
    <w:rsid w:val="00C3045D"/>
    <w:rsid w:val="00C40459"/>
    <w:rsid w:val="00C6195E"/>
    <w:rsid w:val="00C93DA4"/>
    <w:rsid w:val="00CD1513"/>
    <w:rsid w:val="00CD3D98"/>
    <w:rsid w:val="00CD7222"/>
    <w:rsid w:val="00CF6BF7"/>
    <w:rsid w:val="00D30CEF"/>
    <w:rsid w:val="00D45968"/>
    <w:rsid w:val="00D50384"/>
    <w:rsid w:val="00D738BF"/>
    <w:rsid w:val="00D81AA8"/>
    <w:rsid w:val="00D85444"/>
    <w:rsid w:val="00D95724"/>
    <w:rsid w:val="00D96E15"/>
    <w:rsid w:val="00DA78F0"/>
    <w:rsid w:val="00DB3848"/>
    <w:rsid w:val="00DD1600"/>
    <w:rsid w:val="00DF5695"/>
    <w:rsid w:val="00DF6889"/>
    <w:rsid w:val="00E1360E"/>
    <w:rsid w:val="00E13873"/>
    <w:rsid w:val="00E26748"/>
    <w:rsid w:val="00E6598E"/>
    <w:rsid w:val="00E868E7"/>
    <w:rsid w:val="00EA5514"/>
    <w:rsid w:val="00EC108E"/>
    <w:rsid w:val="00EC6806"/>
    <w:rsid w:val="00ED2909"/>
    <w:rsid w:val="00ED67F5"/>
    <w:rsid w:val="00EE4298"/>
    <w:rsid w:val="00EF7857"/>
    <w:rsid w:val="00F203CC"/>
    <w:rsid w:val="00F21705"/>
    <w:rsid w:val="00F25FC3"/>
    <w:rsid w:val="00F311C3"/>
    <w:rsid w:val="00F440F8"/>
    <w:rsid w:val="00F462C9"/>
    <w:rsid w:val="00F514FF"/>
    <w:rsid w:val="00FB7203"/>
    <w:rsid w:val="00FE13A5"/>
    <w:rsid w:val="00FE5408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4E480"/>
  <w15:docId w15:val="{31D0019D-7461-4B24-BFAD-74E6C2F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6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5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B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B13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510B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as\Desktop\A86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UNEP/OzL.Pro/ExCom/86/37</Document_x0020_Number>
    <DocumentType xmlns="48d2d36d-b4e3-478b-a344-cdbeebaca89a">Pre-session</DocumentType>
    <Posted_x0020_after_x0020_IAP xmlns="aa4c1d13-0b99-429d-b494-d0ce00f216e9">true</Posted_x0020_after_x0020_I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883A2F638749AF5FF074293958A6" ma:contentTypeVersion="3" ma:contentTypeDescription="Create a new document." ma:contentTypeScope="" ma:versionID="464fd1e75774c9ff4a81e8c270c69a25">
  <xsd:schema xmlns:xsd="http://www.w3.org/2001/XMLSchema" xmlns:p="http://schemas.microsoft.com/office/2006/metadata/properties" xmlns:ns2="ca155cdd-9bf1-4174-8a2d-8747f528ddda" xmlns:ns3="48d2d36d-b4e3-478b-a344-cdbeebaca89a" xmlns:ns4="aa4c1d13-0b99-429d-b494-d0ce00f216e9" targetNamespace="http://schemas.microsoft.com/office/2006/metadata/properties" ma:root="true" ma:fieldsID="2cef33d72b2107f4bb3954eae7fad257" ns2:_="" ns3:_="" ns4:_="">
    <xsd:import namespace="ca155cdd-9bf1-4174-8a2d-8747f528ddda"/>
    <xsd:import namespace="48d2d36d-b4e3-478b-a344-cdbeebaca89a"/>
    <xsd:import namespace="aa4c1d13-0b99-429d-b494-d0ce00f216e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aa4c1d13-0b99-429d-b494-d0ce00f216e9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DCEE-13C2-492E-975F-FCF92FF01755}"/>
</file>

<file path=customXml/itemProps2.xml><?xml version="1.0" encoding="utf-8"?>
<ds:datastoreItem xmlns:ds="http://schemas.openxmlformats.org/officeDocument/2006/customXml" ds:itemID="{8E280854-9A2F-48B1-9FD3-50C6B0F4CE94}"/>
</file>

<file path=customXml/itemProps3.xml><?xml version="1.0" encoding="utf-8"?>
<ds:datastoreItem xmlns:ds="http://schemas.openxmlformats.org/officeDocument/2006/customXml" ds:itemID="{89B5F3B9-EBBC-47EC-850C-9FD60E055899}"/>
</file>

<file path=customXml/itemProps4.xml><?xml version="1.0" encoding="utf-8"?>
<ds:datastoreItem xmlns:ds="http://schemas.openxmlformats.org/officeDocument/2006/customXml" ds:itemID="{7D456414-36CA-46DD-A78C-6018A7D17C77}"/>
</file>

<file path=docProps/app.xml><?xml version="1.0" encoding="utf-8"?>
<Properties xmlns="http://schemas.openxmlformats.org/officeDocument/2006/extended-properties" xmlns:vt="http://schemas.openxmlformats.org/officeDocument/2006/docPropsVTypes">
  <Template>A86-template - with footnote</Template>
  <TotalTime>226</TotalTime>
  <Pages>11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تكاليف الوحدة الأساسية لبرنامج الأمم المتحدة الإنمائي ومنظمة الأمم المتحدة للتنمية الصناعية  والبنك الدولي  </vt:lpstr>
    </vt:vector>
  </TitlesOfParts>
  <Company>UNMFS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تكاليف الوحدة الأساسية لبرنامج الأمم المتحدة الإنمائي ومنظمة الأمم المتحدة للتنمية الصناعية  والبنك الدولي  </dc:title>
  <dc:creator>Yas</dc:creator>
  <cp:lastModifiedBy>HB</cp:lastModifiedBy>
  <cp:revision>194</cp:revision>
  <cp:lastPrinted>2001-05-26T16:40:00Z</cp:lastPrinted>
  <dcterms:created xsi:type="dcterms:W3CDTF">2020-10-23T16:45:00Z</dcterms:created>
  <dcterms:modified xsi:type="dcterms:W3CDTF">2020-11-10T05:38:00Z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UNEP/OzL.Pro/ExCom/86/37</vt:lpwstr>
  </property>
  <property fmtid="{D5CDD505-2E9C-101B-9397-08002B2CF9AE}" pid="3" name="Revision date">
    <vt:lpwstr>10/20/2020</vt:lpwstr>
  </property>
  <property fmtid="{D5CDD505-2E9C-101B-9397-08002B2CF9AE}" pid="4" name="ContentTypeId">
    <vt:lpwstr>0x010100003C883A2F638749AF5FF074293958A6</vt:lpwstr>
  </property>
</Properties>
</file>