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A214" w14:textId="77777777" w:rsidR="007E5D09" w:rsidRPr="00591557" w:rsidRDefault="007E5D09">
      <w:pPr>
        <w:pStyle w:val="StyleHeader4Para4Left0Firstline0"/>
        <w:numPr>
          <w:ilvl w:val="0"/>
          <w:numId w:val="0"/>
        </w:numPr>
        <w:rPr>
          <w:sz w:val="18"/>
          <w:szCs w:val="18"/>
          <w:lang w:val="en-US"/>
        </w:rPr>
      </w:pPr>
    </w:p>
    <w:p w14:paraId="3F9A39D5" w14:textId="77777777" w:rsidR="00D74CD2" w:rsidRPr="00591557" w:rsidRDefault="00D74CD2" w:rsidP="00D74CD2">
      <w:pPr>
        <w:bidi/>
        <w:jc w:val="center"/>
        <w:rPr>
          <w:b/>
          <w:sz w:val="30"/>
          <w:szCs w:val="26"/>
        </w:rPr>
      </w:pPr>
      <w:bookmarkStart w:id="0" w:name="_GoBack"/>
      <w:r w:rsidRPr="00591557">
        <w:rPr>
          <w:b/>
          <w:bCs/>
          <w:sz w:val="30"/>
          <w:szCs w:val="26"/>
          <w:rtl/>
          <w:lang w:bidi="ar-SA"/>
        </w:rPr>
        <w:t>المرفق الأول</w:t>
      </w:r>
    </w:p>
    <w:bookmarkEnd w:id="0"/>
    <w:p w14:paraId="1AA97C52" w14:textId="77777777" w:rsidR="00D74CD2" w:rsidRPr="00591557" w:rsidRDefault="00D74CD2" w:rsidP="00D74CD2">
      <w:pPr>
        <w:jc w:val="center"/>
        <w:rPr>
          <w:b/>
          <w:sz w:val="30"/>
          <w:szCs w:val="26"/>
          <w:rtl/>
          <w:lang w:val="en-US" w:bidi="ar-BH"/>
        </w:rPr>
      </w:pPr>
    </w:p>
    <w:p w14:paraId="61435F82" w14:textId="77777777" w:rsidR="0071170D" w:rsidRDefault="00D74CD2" w:rsidP="00D74CD2">
      <w:pPr>
        <w:bidi/>
        <w:jc w:val="center"/>
        <w:rPr>
          <w:b/>
          <w:bCs/>
          <w:sz w:val="30"/>
          <w:szCs w:val="26"/>
          <w:lang w:bidi="ar"/>
        </w:rPr>
      </w:pPr>
      <w:r w:rsidRPr="00591557">
        <w:rPr>
          <w:b/>
          <w:bCs/>
          <w:sz w:val="30"/>
          <w:szCs w:val="26"/>
          <w:rtl/>
          <w:lang w:bidi="ar-SA"/>
        </w:rPr>
        <w:t xml:space="preserve">معلومات أساسية عن المرحلة الثانية من خطة إدارة إزالة المواد الهيدروكلوروفلوروكربونية في الصين </w:t>
      </w:r>
      <w:r w:rsidRPr="00591557">
        <w:rPr>
          <w:b/>
          <w:bCs/>
          <w:sz w:val="30"/>
          <w:szCs w:val="26"/>
          <w:rtl/>
          <w:lang w:bidi="ar"/>
        </w:rPr>
        <w:t>(</w:t>
      </w:r>
      <w:r w:rsidRPr="00591557">
        <w:rPr>
          <w:b/>
          <w:bCs/>
          <w:sz w:val="30"/>
          <w:szCs w:val="26"/>
          <w:rtl/>
          <w:lang w:bidi="ar-SA"/>
        </w:rPr>
        <w:t xml:space="preserve">من </w:t>
      </w:r>
    </w:p>
    <w:p w14:paraId="73130464" w14:textId="1E69F0B0" w:rsidR="00D74CD2" w:rsidRPr="00591557" w:rsidRDefault="00D74CD2" w:rsidP="0071170D">
      <w:pPr>
        <w:bidi/>
        <w:jc w:val="center"/>
        <w:rPr>
          <w:b/>
          <w:sz w:val="30"/>
          <w:szCs w:val="26"/>
        </w:rPr>
      </w:pPr>
      <w:r w:rsidRPr="00591557">
        <w:rPr>
          <w:b/>
          <w:bCs/>
          <w:sz w:val="30"/>
          <w:szCs w:val="26"/>
          <w:rtl/>
          <w:lang w:bidi="ar-SA"/>
        </w:rPr>
        <w:t>الاجتماع السادس والسبعين إلى الاجتماع الثالث والثمانين</w:t>
      </w:r>
      <w:r w:rsidRPr="00591557">
        <w:rPr>
          <w:b/>
          <w:bCs/>
          <w:sz w:val="30"/>
          <w:szCs w:val="26"/>
          <w:rtl/>
          <w:lang w:bidi="ar"/>
        </w:rPr>
        <w:t>)</w:t>
      </w:r>
    </w:p>
    <w:p w14:paraId="3B9C6FC8" w14:textId="70B3FAAE" w:rsidR="00D74CD2" w:rsidRDefault="00D74CD2" w:rsidP="00D74CD2">
      <w:pPr>
        <w:rPr>
          <w:sz w:val="30"/>
          <w:szCs w:val="26"/>
        </w:rPr>
      </w:pPr>
    </w:p>
    <w:p w14:paraId="43A4DA19" w14:textId="77777777" w:rsidR="0071170D" w:rsidRPr="00591557" w:rsidRDefault="0071170D" w:rsidP="00D74CD2">
      <w:pPr>
        <w:rPr>
          <w:sz w:val="30"/>
          <w:szCs w:val="26"/>
        </w:rPr>
      </w:pPr>
    </w:p>
    <w:p w14:paraId="7B792471" w14:textId="77777777" w:rsidR="00D74CD2" w:rsidRPr="00591557" w:rsidRDefault="00D74CD2" w:rsidP="00D74CD2">
      <w:pPr>
        <w:bidi/>
        <w:rPr>
          <w:sz w:val="30"/>
          <w:szCs w:val="26"/>
          <w:u w:val="single"/>
        </w:rPr>
      </w:pPr>
      <w:r w:rsidRPr="00591557">
        <w:rPr>
          <w:sz w:val="30"/>
          <w:szCs w:val="26"/>
          <w:u w:val="single"/>
          <w:rtl/>
          <w:lang w:bidi="ar-SA"/>
        </w:rPr>
        <w:t>الموافقة على المرحلة الثانية من خط إدارة إزالة المواد الهيدروكلوروفلوروكربونية للصين</w:t>
      </w:r>
    </w:p>
    <w:p w14:paraId="71780C9E" w14:textId="77777777" w:rsidR="00D74CD2" w:rsidRPr="00591557" w:rsidRDefault="00D74CD2" w:rsidP="00D74CD2">
      <w:pPr>
        <w:rPr>
          <w:sz w:val="30"/>
          <w:szCs w:val="26"/>
          <w:lang w:val="en-US"/>
        </w:rPr>
      </w:pPr>
    </w:p>
    <w:p w14:paraId="2588F61F" w14:textId="77777777" w:rsidR="00D74CD2" w:rsidRPr="00591557" w:rsidRDefault="00D74CD2" w:rsidP="00D74CD2">
      <w:pPr>
        <w:bidi/>
        <w:rPr>
          <w:i/>
          <w:sz w:val="30"/>
          <w:szCs w:val="26"/>
        </w:rPr>
      </w:pPr>
      <w:r w:rsidRPr="00591557">
        <w:rPr>
          <w:sz w:val="30"/>
          <w:szCs w:val="26"/>
          <w:rtl/>
          <w:lang w:bidi="ar-SA"/>
        </w:rPr>
        <w:t>الاجتماع السادس والسبعون</w:t>
      </w:r>
    </w:p>
    <w:p w14:paraId="1256CC52" w14:textId="77777777" w:rsidR="00D74CD2" w:rsidRPr="00591557" w:rsidRDefault="00D74CD2" w:rsidP="00D74CD2">
      <w:pPr>
        <w:rPr>
          <w:sz w:val="30"/>
          <w:szCs w:val="26"/>
        </w:rPr>
      </w:pPr>
    </w:p>
    <w:p w14:paraId="26E91D17" w14:textId="77777777" w:rsidR="00D74CD2" w:rsidRPr="00591557" w:rsidRDefault="00D74CD2" w:rsidP="006C70C2">
      <w:pPr>
        <w:pStyle w:val="Heading1"/>
        <w:numPr>
          <w:ilvl w:val="0"/>
          <w:numId w:val="46"/>
        </w:numPr>
        <w:bidi/>
        <w:rPr>
          <w:sz w:val="30"/>
          <w:szCs w:val="26"/>
        </w:rPr>
      </w:pPr>
      <w:r w:rsidRPr="00591557">
        <w:rPr>
          <w:sz w:val="30"/>
          <w:szCs w:val="26"/>
          <w:rtl/>
          <w:lang w:bidi="ar-SA"/>
        </w:rPr>
        <w:t>في الاجتماع السادس والسبعين، وافقت اللجنة التنفيذية من حيث المبدأ على ما يلي</w:t>
      </w:r>
      <w:r w:rsidRPr="00591557">
        <w:rPr>
          <w:sz w:val="30"/>
          <w:szCs w:val="26"/>
          <w:rtl/>
          <w:lang w:bidi="ar"/>
        </w:rPr>
        <w:t>:</w:t>
      </w:r>
    </w:p>
    <w:p w14:paraId="580DB0C7" w14:textId="77777777" w:rsidR="00D74CD2" w:rsidRPr="00591557" w:rsidRDefault="00D74CD2" w:rsidP="00D74CD2">
      <w:pPr>
        <w:pStyle w:val="Heading2"/>
        <w:numPr>
          <w:ilvl w:val="1"/>
          <w:numId w:val="1"/>
        </w:numPr>
        <w:bidi/>
        <w:rPr>
          <w:sz w:val="30"/>
          <w:szCs w:val="26"/>
        </w:rPr>
      </w:pPr>
      <w:r w:rsidRPr="00591557">
        <w:rPr>
          <w:sz w:val="30"/>
          <w:szCs w:val="26"/>
          <w:rtl/>
          <w:lang w:bidi="ar-SA"/>
        </w:rPr>
        <w:t xml:space="preserve">خطة قطاع المذيبات للفترة </w:t>
      </w:r>
      <w:r w:rsidRPr="00591557">
        <w:rPr>
          <w:sz w:val="30"/>
          <w:szCs w:val="26"/>
          <w:rtl/>
          <w:lang w:bidi="ar"/>
        </w:rPr>
        <w:t xml:space="preserve">2016-2026 </w:t>
      </w:r>
      <w:r w:rsidRPr="00591557">
        <w:rPr>
          <w:sz w:val="30"/>
          <w:szCs w:val="26"/>
          <w:rtl/>
          <w:lang w:bidi="ar-SA"/>
        </w:rPr>
        <w:t xml:space="preserve">لتحقيق الإزالة الكاملة لجميع المواد الهيدروكلورفلوروكربونية في هذا القطاع بمبلغ قدره </w:t>
      </w:r>
      <w:r w:rsidRPr="00591557">
        <w:rPr>
          <w:sz w:val="30"/>
          <w:szCs w:val="26"/>
          <w:rtl/>
          <w:lang w:bidi="ar"/>
        </w:rPr>
        <w:t xml:space="preserve">44.8 </w:t>
      </w:r>
      <w:r w:rsidRPr="00591557">
        <w:rPr>
          <w:sz w:val="30"/>
          <w:szCs w:val="26"/>
          <w:rtl/>
          <w:lang w:bidi="ar-SA"/>
        </w:rPr>
        <w:t>مليون دولار أمريكي بالإضافة إلى تكاليف دعم الوكالة؛</w:t>
      </w:r>
    </w:p>
    <w:p w14:paraId="2043AFB1" w14:textId="6496DF9A" w:rsidR="00D74CD2" w:rsidRPr="00591557" w:rsidRDefault="00D74CD2" w:rsidP="00D74CD2">
      <w:pPr>
        <w:pStyle w:val="Heading2"/>
        <w:numPr>
          <w:ilvl w:val="1"/>
          <w:numId w:val="1"/>
        </w:numPr>
        <w:bidi/>
        <w:rPr>
          <w:sz w:val="30"/>
          <w:szCs w:val="26"/>
        </w:rPr>
      </w:pPr>
      <w:r w:rsidRPr="00591557">
        <w:rPr>
          <w:sz w:val="30"/>
          <w:szCs w:val="26"/>
          <w:rtl/>
          <w:lang w:bidi="ar-SA"/>
        </w:rPr>
        <w:t xml:space="preserve">قطاع خدمة التبريد وتكييف الهواء وبرنامج للتمكين للفترة من </w:t>
      </w:r>
      <w:r w:rsidRPr="00591557">
        <w:rPr>
          <w:sz w:val="30"/>
          <w:szCs w:val="26"/>
          <w:rtl/>
          <w:lang w:bidi="ar"/>
        </w:rPr>
        <w:t xml:space="preserve">2016 </w:t>
      </w:r>
      <w:r w:rsidRPr="00591557">
        <w:rPr>
          <w:sz w:val="30"/>
          <w:szCs w:val="26"/>
          <w:rtl/>
          <w:lang w:bidi="ar-SA"/>
        </w:rPr>
        <w:t xml:space="preserve">الى </w:t>
      </w:r>
      <w:r w:rsidRPr="00591557">
        <w:rPr>
          <w:sz w:val="30"/>
          <w:szCs w:val="26"/>
          <w:rtl/>
          <w:lang w:bidi="ar"/>
        </w:rPr>
        <w:t xml:space="preserve">2020 </w:t>
      </w:r>
      <w:r w:rsidRPr="00591557">
        <w:rPr>
          <w:sz w:val="30"/>
          <w:szCs w:val="26"/>
          <w:rtl/>
          <w:lang w:bidi="ar-SA"/>
        </w:rPr>
        <w:t xml:space="preserve">لخفض استهلاك الهيدروكلوروفلوروكربون بمقدار </w:t>
      </w:r>
      <w:r w:rsidRPr="00591557">
        <w:rPr>
          <w:sz w:val="30"/>
          <w:szCs w:val="26"/>
          <w:rtl/>
          <w:lang w:bidi="ar"/>
        </w:rPr>
        <w:t xml:space="preserve">734.0 </w:t>
      </w:r>
      <w:r w:rsidRPr="00591557">
        <w:rPr>
          <w:sz w:val="30"/>
          <w:szCs w:val="26"/>
          <w:rtl/>
          <w:lang w:bidi="ar-SA"/>
        </w:rPr>
        <w:t xml:space="preserve">طنا من قدرات استنفاد الأوزون بمبلغ قدره </w:t>
      </w:r>
      <w:r w:rsidRPr="00591557">
        <w:rPr>
          <w:sz w:val="30"/>
          <w:szCs w:val="26"/>
          <w:rtl/>
          <w:lang w:bidi="ar"/>
        </w:rPr>
        <w:t xml:space="preserve">20.29 </w:t>
      </w:r>
      <w:r w:rsidRPr="00591557">
        <w:rPr>
          <w:sz w:val="30"/>
          <w:szCs w:val="26"/>
          <w:rtl/>
          <w:lang w:bidi="ar-SA"/>
        </w:rPr>
        <w:t>مليون دولار أمريكي بالإضافة إلى تكاليف دعم الوكالة</w:t>
      </w:r>
      <w:r w:rsidR="00FA6941" w:rsidRPr="00591557">
        <w:rPr>
          <w:rFonts w:hint="cs"/>
          <w:sz w:val="30"/>
          <w:szCs w:val="26"/>
          <w:rtl/>
          <w:lang w:bidi="ar"/>
        </w:rPr>
        <w:t>.</w:t>
      </w:r>
    </w:p>
    <w:p w14:paraId="72CC83EC" w14:textId="77777777" w:rsidR="00DF2474" w:rsidRDefault="00DF2474" w:rsidP="00DF2474">
      <w:pPr>
        <w:bidi/>
        <w:rPr>
          <w:i/>
          <w:iCs/>
          <w:sz w:val="30"/>
          <w:szCs w:val="26"/>
          <w:rtl/>
          <w:lang w:bidi="ar"/>
        </w:rPr>
      </w:pPr>
    </w:p>
    <w:p w14:paraId="5FB7D445" w14:textId="7FF4F0F2" w:rsidR="00D74CD2" w:rsidRPr="00591557" w:rsidRDefault="00D74CD2" w:rsidP="00DF2474">
      <w:pPr>
        <w:bidi/>
        <w:rPr>
          <w:i/>
          <w:sz w:val="30"/>
          <w:szCs w:val="26"/>
        </w:rPr>
      </w:pPr>
      <w:r w:rsidRPr="00591557">
        <w:rPr>
          <w:i/>
          <w:iCs/>
          <w:sz w:val="30"/>
          <w:szCs w:val="26"/>
          <w:rtl/>
          <w:lang w:bidi="ar-SA"/>
        </w:rPr>
        <w:t>الاجتماع السابع والسبعون</w:t>
      </w:r>
    </w:p>
    <w:p w14:paraId="2A573309" w14:textId="77777777" w:rsidR="00D74CD2" w:rsidRPr="00591557" w:rsidRDefault="00D74CD2" w:rsidP="00D74CD2">
      <w:pPr>
        <w:rPr>
          <w:sz w:val="30"/>
          <w:szCs w:val="26"/>
          <w:lang w:val="en-US"/>
        </w:rPr>
      </w:pPr>
    </w:p>
    <w:p w14:paraId="6E4D9D2F" w14:textId="77777777" w:rsidR="00D74CD2" w:rsidRPr="00591557" w:rsidRDefault="00D74CD2" w:rsidP="00D74CD2">
      <w:pPr>
        <w:pStyle w:val="Heading1"/>
        <w:bidi/>
        <w:rPr>
          <w:sz w:val="30"/>
          <w:szCs w:val="26"/>
        </w:rPr>
      </w:pPr>
      <w:r w:rsidRPr="00591557">
        <w:rPr>
          <w:sz w:val="30"/>
          <w:szCs w:val="26"/>
          <w:rtl/>
          <w:lang w:bidi="ar-SA"/>
        </w:rPr>
        <w:t xml:space="preserve">وافقت اللجنة التنفيذية، في اجتماعها السابع والسبعين، من حيث المبدأ، على المرحلة الثانية من خطة إدارة إزالة المواد الهيدروكلوروفلوروكربونية للصين للفترة من </w:t>
      </w:r>
      <w:r w:rsidRPr="00591557">
        <w:rPr>
          <w:sz w:val="30"/>
          <w:szCs w:val="26"/>
          <w:rtl/>
          <w:lang w:bidi="ar"/>
        </w:rPr>
        <w:t xml:space="preserve">2016 </w:t>
      </w:r>
      <w:r w:rsidRPr="00591557">
        <w:rPr>
          <w:sz w:val="30"/>
          <w:szCs w:val="26"/>
          <w:rtl/>
          <w:lang w:bidi="ar-SA"/>
        </w:rPr>
        <w:t xml:space="preserve">إلى </w:t>
      </w:r>
      <w:r w:rsidRPr="00591557">
        <w:rPr>
          <w:sz w:val="30"/>
          <w:szCs w:val="26"/>
          <w:rtl/>
          <w:lang w:bidi="ar"/>
        </w:rPr>
        <w:t xml:space="preserve">2026 </w:t>
      </w:r>
      <w:r w:rsidRPr="00591557">
        <w:rPr>
          <w:sz w:val="30"/>
          <w:szCs w:val="26"/>
          <w:rtl/>
          <w:lang w:bidi="ar-SA"/>
        </w:rPr>
        <w:t xml:space="preserve">بمبلغ </w:t>
      </w:r>
      <w:r w:rsidRPr="00591557">
        <w:rPr>
          <w:sz w:val="30"/>
          <w:szCs w:val="26"/>
          <w:rtl/>
          <w:lang w:bidi="ar"/>
        </w:rPr>
        <w:t xml:space="preserve">500,100,000 </w:t>
      </w:r>
      <w:r w:rsidRPr="00591557">
        <w:rPr>
          <w:sz w:val="30"/>
          <w:szCs w:val="26"/>
          <w:rtl/>
          <w:lang w:bidi="ar-SA"/>
        </w:rPr>
        <w:t xml:space="preserve">بالإضافة إلى تكاليف دعم الوكالة، لتخفيض استهلاك الهيدروكلوروفلوروكربون بنسبة </w:t>
      </w:r>
      <w:r w:rsidRPr="00591557">
        <w:rPr>
          <w:sz w:val="30"/>
          <w:szCs w:val="26"/>
          <w:rtl/>
          <w:lang w:bidi="ar"/>
        </w:rPr>
        <w:t xml:space="preserve">37.6 </w:t>
      </w:r>
      <w:r w:rsidRPr="00591557">
        <w:rPr>
          <w:sz w:val="30"/>
          <w:szCs w:val="26"/>
          <w:rtl/>
          <w:lang w:bidi="ar-SA"/>
        </w:rPr>
        <w:t>في المائة من خط الأساس</w:t>
      </w:r>
      <w:r w:rsidRPr="00591557">
        <w:rPr>
          <w:sz w:val="30"/>
          <w:szCs w:val="26"/>
          <w:rtl/>
          <w:lang w:bidi="ar"/>
        </w:rPr>
        <w:t xml:space="preserve">. </w:t>
      </w:r>
      <w:r w:rsidRPr="00591557">
        <w:rPr>
          <w:sz w:val="30"/>
          <w:szCs w:val="26"/>
          <w:rtl/>
          <w:lang w:bidi="ar-SA"/>
        </w:rPr>
        <w:t>وتضمنت المرحلة الثانية الخطط القطاعية التالية</w:t>
      </w:r>
      <w:r w:rsidRPr="00591557">
        <w:rPr>
          <w:sz w:val="30"/>
          <w:szCs w:val="26"/>
          <w:rtl/>
          <w:lang w:bidi="ar"/>
        </w:rPr>
        <w:t>:</w:t>
      </w:r>
    </w:p>
    <w:p w14:paraId="329407C4" w14:textId="77777777" w:rsidR="00D74CD2" w:rsidRPr="00591557" w:rsidRDefault="00D74CD2" w:rsidP="00D74CD2">
      <w:pPr>
        <w:pStyle w:val="Heading2"/>
        <w:numPr>
          <w:ilvl w:val="1"/>
          <w:numId w:val="1"/>
        </w:numPr>
        <w:bidi/>
        <w:rPr>
          <w:sz w:val="30"/>
          <w:szCs w:val="26"/>
        </w:rPr>
      </w:pPr>
      <w:r w:rsidRPr="00591557">
        <w:rPr>
          <w:sz w:val="30"/>
          <w:szCs w:val="26"/>
          <w:rtl/>
          <w:lang w:bidi="ar-SA"/>
        </w:rPr>
        <w:t xml:space="preserve">خطة قطاع التبريد وتكييف الهواء الصناعي والتجاري لتخفيض استهلاك الهيدروكلوروفلوروكربون بنسبة </w:t>
      </w:r>
      <w:r w:rsidRPr="00591557">
        <w:rPr>
          <w:sz w:val="30"/>
          <w:szCs w:val="26"/>
          <w:rtl/>
          <w:lang w:bidi="ar"/>
        </w:rPr>
        <w:t xml:space="preserve">33 </w:t>
      </w:r>
      <w:r w:rsidRPr="00591557">
        <w:rPr>
          <w:sz w:val="30"/>
          <w:szCs w:val="26"/>
          <w:rtl/>
          <w:lang w:bidi="ar-SA"/>
        </w:rPr>
        <w:t xml:space="preserve">في المائة بحلول عام </w:t>
      </w:r>
      <w:r w:rsidRPr="00591557">
        <w:rPr>
          <w:sz w:val="30"/>
          <w:szCs w:val="26"/>
          <w:rtl/>
          <w:lang w:bidi="ar"/>
        </w:rPr>
        <w:t>2020</w:t>
      </w:r>
      <w:r w:rsidRPr="00591557">
        <w:rPr>
          <w:sz w:val="30"/>
          <w:szCs w:val="26"/>
          <w:rtl/>
          <w:lang w:bidi="ar-SA"/>
        </w:rPr>
        <w:t xml:space="preserve">؛ </w:t>
      </w:r>
    </w:p>
    <w:p w14:paraId="73FAAF0F" w14:textId="77777777" w:rsidR="00D74CD2" w:rsidRPr="00591557" w:rsidRDefault="00D74CD2" w:rsidP="00D74CD2">
      <w:pPr>
        <w:pStyle w:val="Heading2"/>
        <w:numPr>
          <w:ilvl w:val="1"/>
          <w:numId w:val="1"/>
        </w:numPr>
        <w:bidi/>
        <w:rPr>
          <w:sz w:val="30"/>
          <w:szCs w:val="26"/>
        </w:rPr>
      </w:pPr>
      <w:r w:rsidRPr="00591557">
        <w:rPr>
          <w:sz w:val="30"/>
          <w:szCs w:val="26"/>
          <w:rtl/>
          <w:lang w:bidi="ar-SA"/>
        </w:rPr>
        <w:t xml:space="preserve">خطة قطاع التبريد وتكييف الهواء الصناعي والتجاري لتخفيض استهلاك الهيدروكلوروفلوروكربون بنسبة </w:t>
      </w:r>
      <w:r w:rsidRPr="00591557">
        <w:rPr>
          <w:sz w:val="30"/>
          <w:szCs w:val="26"/>
          <w:rtl/>
          <w:lang w:bidi="ar"/>
        </w:rPr>
        <w:t xml:space="preserve">45 </w:t>
      </w:r>
      <w:r w:rsidRPr="00591557">
        <w:rPr>
          <w:sz w:val="30"/>
          <w:szCs w:val="26"/>
          <w:rtl/>
          <w:lang w:bidi="ar-SA"/>
        </w:rPr>
        <w:t xml:space="preserve">في المائة بحلول عام </w:t>
      </w:r>
      <w:r w:rsidRPr="00591557">
        <w:rPr>
          <w:sz w:val="30"/>
          <w:szCs w:val="26"/>
          <w:rtl/>
          <w:lang w:bidi="ar"/>
        </w:rPr>
        <w:t>2020</w:t>
      </w:r>
      <w:r w:rsidRPr="00591557">
        <w:rPr>
          <w:sz w:val="30"/>
          <w:szCs w:val="26"/>
          <w:rtl/>
          <w:lang w:bidi="ar-SA"/>
        </w:rPr>
        <w:t xml:space="preserve">؛ </w:t>
      </w:r>
    </w:p>
    <w:p w14:paraId="731ACFE0" w14:textId="3C65FDCA" w:rsidR="00D74CD2" w:rsidRPr="00591557" w:rsidRDefault="00F34270" w:rsidP="00D74CD2">
      <w:pPr>
        <w:pStyle w:val="Heading2"/>
        <w:numPr>
          <w:ilvl w:val="1"/>
          <w:numId w:val="1"/>
        </w:numPr>
        <w:bidi/>
        <w:rPr>
          <w:sz w:val="30"/>
          <w:szCs w:val="26"/>
        </w:rPr>
      </w:pPr>
      <w:r w:rsidRPr="00591557">
        <w:rPr>
          <w:rFonts w:hint="cs"/>
          <w:sz w:val="30"/>
          <w:szCs w:val="26"/>
          <w:rtl/>
          <w:lang w:bidi="ar-SA"/>
        </w:rPr>
        <w:t>خطة</w:t>
      </w:r>
      <w:r w:rsidR="00D74CD2" w:rsidRPr="00591557">
        <w:rPr>
          <w:sz w:val="30"/>
          <w:szCs w:val="26"/>
          <w:rtl/>
          <w:lang w:bidi="ar-SA"/>
        </w:rPr>
        <w:t xml:space="preserve"> قطاع رغاوي البوليسترين الجامدة</w:t>
      </w:r>
      <w:r w:rsidR="00591557">
        <w:rPr>
          <w:sz w:val="30"/>
          <w:szCs w:val="26"/>
          <w:rtl/>
          <w:lang w:bidi="ar"/>
        </w:rPr>
        <w:t xml:space="preserve"> </w:t>
      </w:r>
      <w:r w:rsidR="00D74CD2" w:rsidRPr="00591557">
        <w:rPr>
          <w:sz w:val="30"/>
          <w:szCs w:val="26"/>
          <w:rtl/>
          <w:lang w:bidi="ar-SA"/>
        </w:rPr>
        <w:t xml:space="preserve">وقطاع رغاوي البوليستيرين المسحوبة بالضغط لتحقيق التخلص الكامل من المواد الهيدروكلوروفلوروكربونية في هذين القطاعين بحلول عام </w:t>
      </w:r>
      <w:r w:rsidR="00D74CD2" w:rsidRPr="00591557">
        <w:rPr>
          <w:sz w:val="30"/>
          <w:szCs w:val="26"/>
          <w:rtl/>
          <w:lang w:bidi="ar"/>
        </w:rPr>
        <w:t>2026</w:t>
      </w:r>
      <w:r w:rsidR="00D74CD2" w:rsidRPr="00591557">
        <w:rPr>
          <w:sz w:val="30"/>
          <w:szCs w:val="26"/>
          <w:rtl/>
          <w:lang w:bidi="ar-SA"/>
        </w:rPr>
        <w:t>؛</w:t>
      </w:r>
    </w:p>
    <w:p w14:paraId="66A5C746" w14:textId="6AFD1A75" w:rsidR="00D74CD2" w:rsidRPr="00591557" w:rsidRDefault="00D74CD2" w:rsidP="00D74CD2">
      <w:pPr>
        <w:pStyle w:val="Heading2"/>
        <w:numPr>
          <w:ilvl w:val="1"/>
          <w:numId w:val="1"/>
        </w:numPr>
        <w:bidi/>
        <w:rPr>
          <w:sz w:val="30"/>
          <w:szCs w:val="26"/>
        </w:rPr>
      </w:pPr>
      <w:r w:rsidRPr="00591557">
        <w:rPr>
          <w:sz w:val="30"/>
          <w:szCs w:val="26"/>
          <w:rtl/>
          <w:lang w:bidi="ar-SA"/>
        </w:rPr>
        <w:t>كانت خطة قطاع المذيبات وقطاع خدمة التبريد وتكييف الهواء ومكون البرنامج التمكيني، التي تمت الموافقة عليها في الاجتماع السادس والسبعين، مكونات من المرحلة الثانية من خطة إدارة إزالة المواد الهيدروكلوروفلوروكربونية</w:t>
      </w:r>
      <w:r w:rsidRPr="00591557">
        <w:rPr>
          <w:sz w:val="30"/>
          <w:szCs w:val="26"/>
          <w:rtl/>
          <w:lang w:bidi="ar"/>
        </w:rPr>
        <w:t xml:space="preserve">. </w:t>
      </w:r>
    </w:p>
    <w:p w14:paraId="6039799C" w14:textId="77777777" w:rsidR="0071170D" w:rsidRDefault="0071170D">
      <w:pPr>
        <w:jc w:val="left"/>
        <w:rPr>
          <w:i/>
          <w:iCs/>
          <w:sz w:val="30"/>
          <w:szCs w:val="26"/>
          <w:rtl/>
          <w:lang w:bidi="ar"/>
        </w:rPr>
      </w:pPr>
      <w:r>
        <w:rPr>
          <w:i/>
          <w:iCs/>
          <w:sz w:val="30"/>
          <w:szCs w:val="26"/>
          <w:rtl/>
          <w:lang w:bidi="ar"/>
        </w:rPr>
        <w:br w:type="page"/>
      </w:r>
    </w:p>
    <w:p w14:paraId="00DAAEDC" w14:textId="264FD8B6" w:rsidR="00D74CD2" w:rsidRPr="00591557" w:rsidRDefault="00D74CD2" w:rsidP="00D74CD2">
      <w:pPr>
        <w:bidi/>
        <w:rPr>
          <w:i/>
          <w:sz w:val="30"/>
          <w:szCs w:val="26"/>
        </w:rPr>
      </w:pPr>
      <w:r w:rsidRPr="00591557">
        <w:rPr>
          <w:i/>
          <w:iCs/>
          <w:sz w:val="30"/>
          <w:szCs w:val="26"/>
          <w:rtl/>
          <w:lang w:bidi="ar-SA"/>
        </w:rPr>
        <w:lastRenderedPageBreak/>
        <w:t>الاجتماع التاسع والسبعون</w:t>
      </w:r>
    </w:p>
    <w:p w14:paraId="6072ED03" w14:textId="77777777" w:rsidR="00D74CD2" w:rsidRPr="00591557" w:rsidRDefault="00D74CD2" w:rsidP="00D74CD2">
      <w:pPr>
        <w:rPr>
          <w:sz w:val="30"/>
          <w:szCs w:val="26"/>
        </w:rPr>
      </w:pPr>
    </w:p>
    <w:p w14:paraId="33FB63AF" w14:textId="228B1863" w:rsidR="00D74CD2" w:rsidRPr="00591557" w:rsidRDefault="00D74CD2" w:rsidP="00D74CD2">
      <w:pPr>
        <w:pStyle w:val="Heading1"/>
        <w:bidi/>
        <w:rPr>
          <w:sz w:val="30"/>
          <w:szCs w:val="26"/>
        </w:rPr>
      </w:pPr>
      <w:r w:rsidRPr="00591557">
        <w:rPr>
          <w:sz w:val="30"/>
          <w:szCs w:val="26"/>
          <w:rtl/>
          <w:lang w:bidi="ar-SA"/>
        </w:rPr>
        <w:t xml:space="preserve">خلال الاجتماع التاسع والسبعين، وافقت </w:t>
      </w:r>
      <w:r w:rsidR="00B803EF" w:rsidRPr="00591557">
        <w:rPr>
          <w:sz w:val="30"/>
          <w:szCs w:val="26"/>
          <w:rtl/>
          <w:lang w:bidi="ar-SA"/>
        </w:rPr>
        <w:t xml:space="preserve">اللجنة التنفيذية </w:t>
      </w:r>
      <w:r w:rsidRPr="00591557">
        <w:rPr>
          <w:sz w:val="30"/>
          <w:szCs w:val="26"/>
          <w:rtl/>
          <w:lang w:bidi="ar-SA"/>
        </w:rPr>
        <w:t xml:space="preserve">على الاتفاق </w:t>
      </w:r>
      <w:r w:rsidR="00B803EF" w:rsidRPr="00591557">
        <w:rPr>
          <w:rFonts w:hint="cs"/>
          <w:sz w:val="30"/>
          <w:szCs w:val="26"/>
          <w:rtl/>
          <w:lang w:bidi="ar-SA"/>
        </w:rPr>
        <w:t xml:space="preserve">المبرم </w:t>
      </w:r>
      <w:r w:rsidRPr="00591557">
        <w:rPr>
          <w:sz w:val="30"/>
          <w:szCs w:val="26"/>
          <w:rtl/>
          <w:lang w:bidi="ar-SA"/>
        </w:rPr>
        <w:t xml:space="preserve">بين حكومة الصين واللجنة التنفيذية لتنفيذ المرحلة الثانية من خطة إدارة إزالة المواد الهيدروكلوروفلوروكربونية، وحددت تكاليف دعم الوكالة لكل من اليوئنديبي واليونيدو والبنك الدولي بنسبة </w:t>
      </w:r>
      <w:r w:rsidRPr="00591557">
        <w:rPr>
          <w:sz w:val="30"/>
          <w:szCs w:val="26"/>
          <w:rtl/>
          <w:lang w:bidi="ar"/>
        </w:rPr>
        <w:t xml:space="preserve">6.5 </w:t>
      </w:r>
      <w:r w:rsidRPr="00591557">
        <w:rPr>
          <w:sz w:val="30"/>
          <w:szCs w:val="26"/>
          <w:rtl/>
          <w:lang w:bidi="ar-SA"/>
        </w:rPr>
        <w:t>في المائة على أساس الفهم بأنه من الممكن إعادة النظر في هذه التكاليف خلال الاجتماع الحادي والثمانين</w:t>
      </w:r>
      <w:r w:rsidR="00A55C5D" w:rsidRPr="00591557">
        <w:rPr>
          <w:rFonts w:hint="cs"/>
          <w:sz w:val="30"/>
          <w:szCs w:val="26"/>
          <w:rtl/>
          <w:lang w:bidi="ar-SA"/>
        </w:rPr>
        <w:t>،</w:t>
      </w:r>
      <w:r w:rsidRPr="00591557">
        <w:rPr>
          <w:sz w:val="30"/>
          <w:szCs w:val="26"/>
          <w:rtl/>
          <w:lang w:bidi="ar-SA"/>
        </w:rPr>
        <w:t xml:space="preserve"> وأبقت على مستوى تكاليف دعم الوكالة للوكالات الثنائية واليونيب بموجب نظام التكاليف الإدارية الحالي</w:t>
      </w:r>
      <w:r w:rsidRPr="00591557">
        <w:rPr>
          <w:sz w:val="30"/>
          <w:szCs w:val="26"/>
          <w:rtl/>
          <w:lang w:bidi="ar"/>
        </w:rPr>
        <w:t>.</w:t>
      </w:r>
    </w:p>
    <w:p w14:paraId="4E2BFC7A" w14:textId="77777777" w:rsidR="00D74CD2" w:rsidRPr="00591557" w:rsidRDefault="00D74CD2" w:rsidP="00D74CD2">
      <w:pPr>
        <w:keepNext/>
        <w:keepLines/>
        <w:bidi/>
        <w:rPr>
          <w:i/>
          <w:sz w:val="30"/>
          <w:szCs w:val="26"/>
        </w:rPr>
      </w:pPr>
      <w:r w:rsidRPr="00591557">
        <w:rPr>
          <w:i/>
          <w:iCs/>
          <w:sz w:val="30"/>
          <w:szCs w:val="26"/>
          <w:rtl/>
          <w:lang w:bidi="ar-SA"/>
        </w:rPr>
        <w:t>الاجتماع الثاني والثمانون</w:t>
      </w:r>
    </w:p>
    <w:p w14:paraId="0881AE3D" w14:textId="77777777" w:rsidR="00D74CD2" w:rsidRPr="00591557" w:rsidRDefault="00D74CD2" w:rsidP="00D74CD2">
      <w:pPr>
        <w:keepNext/>
        <w:keepLines/>
        <w:rPr>
          <w:sz w:val="30"/>
          <w:szCs w:val="26"/>
        </w:rPr>
      </w:pPr>
    </w:p>
    <w:p w14:paraId="72060C6F" w14:textId="4A0041D2" w:rsidR="00D74CD2" w:rsidRPr="00591557" w:rsidRDefault="00D74CD2" w:rsidP="00D74CD2">
      <w:pPr>
        <w:pStyle w:val="Heading1"/>
        <w:keepNext/>
        <w:keepLines/>
        <w:bidi/>
        <w:rPr>
          <w:sz w:val="30"/>
          <w:szCs w:val="26"/>
        </w:rPr>
      </w:pPr>
      <w:r w:rsidRPr="00591557">
        <w:rPr>
          <w:sz w:val="30"/>
          <w:szCs w:val="26"/>
          <w:rtl/>
          <w:lang w:bidi="ar-SA"/>
        </w:rPr>
        <w:t xml:space="preserve">خلال الاجتماع الثاني والثمانين، نيابة عن حكومة الصين، قدم اليوئنديبي واليونيب واليونيدو والبنك الدولي وحكومتا ألمانيا واليابان طلبات للحصول على الشرائح التالية من المرحلة الثانية من خطة إدارة إزالة المواد الهيدروكلوروفلوروكربونية، بقيمة </w:t>
      </w:r>
      <w:r w:rsidRPr="00591557">
        <w:rPr>
          <w:sz w:val="30"/>
          <w:szCs w:val="26"/>
          <w:rtl/>
          <w:lang w:bidi="ar"/>
        </w:rPr>
        <w:t xml:space="preserve">29,199,492 </w:t>
      </w:r>
      <w:r w:rsidRPr="00591557">
        <w:rPr>
          <w:sz w:val="30"/>
          <w:szCs w:val="26"/>
          <w:rtl/>
          <w:lang w:bidi="ar-SA"/>
        </w:rPr>
        <w:t>دولار أمريكي</w:t>
      </w:r>
      <w:r w:rsidRPr="00591557">
        <w:rPr>
          <w:sz w:val="30"/>
          <w:szCs w:val="26"/>
          <w:rtl/>
          <w:lang w:bidi="ar"/>
        </w:rPr>
        <w:t>:</w:t>
      </w:r>
      <w:r w:rsidR="0086320A" w:rsidRPr="00591557">
        <w:rPr>
          <w:rStyle w:val="FootnoteReference"/>
          <w:sz w:val="30"/>
          <w:szCs w:val="26"/>
          <w:rtl/>
          <w:lang w:bidi="ar"/>
        </w:rPr>
        <w:footnoteReference w:id="1"/>
      </w:r>
      <w:r w:rsidRPr="00591557">
        <w:rPr>
          <w:sz w:val="30"/>
          <w:szCs w:val="26"/>
          <w:rtl/>
          <w:lang w:bidi="ar-SA"/>
        </w:rPr>
        <w:t xml:space="preserve"> والشريحة الثانية من خطة قطاع رغاوي بوليوريتان </w:t>
      </w:r>
      <w:r w:rsidRPr="00591557">
        <w:rPr>
          <w:sz w:val="30"/>
          <w:szCs w:val="26"/>
          <w:rtl/>
          <w:lang w:bidi="ar"/>
        </w:rPr>
        <w:t>(</w:t>
      </w:r>
      <w:r w:rsidRPr="00591557">
        <w:rPr>
          <w:sz w:val="30"/>
          <w:szCs w:val="26"/>
        </w:rPr>
        <w:t>10,600,000</w:t>
      </w:r>
      <w:r w:rsidRPr="00591557">
        <w:rPr>
          <w:sz w:val="30"/>
          <w:szCs w:val="26"/>
          <w:rtl/>
          <w:lang w:bidi="ar-SA"/>
        </w:rPr>
        <w:t xml:space="preserve"> دولار أمريكي</w:t>
      </w:r>
      <w:r w:rsidRPr="00591557">
        <w:rPr>
          <w:sz w:val="30"/>
          <w:szCs w:val="26"/>
          <w:rtl/>
          <w:lang w:bidi="ar"/>
        </w:rPr>
        <w:t>)</w:t>
      </w:r>
      <w:r w:rsidRPr="00591557">
        <w:rPr>
          <w:sz w:val="30"/>
          <w:szCs w:val="26"/>
          <w:rtl/>
          <w:lang w:bidi="ar-SA"/>
        </w:rPr>
        <w:t xml:space="preserve">، والشريحة الثالثة من </w:t>
      </w:r>
      <w:r w:rsidR="00A55C5D" w:rsidRPr="00591557">
        <w:rPr>
          <w:rFonts w:hint="cs"/>
          <w:sz w:val="30"/>
          <w:szCs w:val="26"/>
          <w:rtl/>
          <w:lang w:bidi="ar-SA"/>
        </w:rPr>
        <w:t xml:space="preserve">خطة </w:t>
      </w:r>
      <w:r w:rsidRPr="00591557">
        <w:rPr>
          <w:sz w:val="30"/>
          <w:szCs w:val="26"/>
          <w:rtl/>
          <w:lang w:bidi="ar-SA"/>
        </w:rPr>
        <w:t xml:space="preserve">رغاوي البوليسترين المسحوبة بالضغط </w:t>
      </w:r>
      <w:r w:rsidRPr="00591557">
        <w:rPr>
          <w:sz w:val="30"/>
          <w:szCs w:val="26"/>
          <w:rtl/>
          <w:lang w:bidi="ar"/>
        </w:rPr>
        <w:t xml:space="preserve">(8,000,000 </w:t>
      </w:r>
      <w:r w:rsidRPr="00591557">
        <w:rPr>
          <w:sz w:val="30"/>
          <w:szCs w:val="26"/>
          <w:rtl/>
          <w:lang w:bidi="ar-SA"/>
        </w:rPr>
        <w:t>دولار أمريكي</w:t>
      </w:r>
      <w:r w:rsidRPr="00591557">
        <w:rPr>
          <w:sz w:val="30"/>
          <w:szCs w:val="26"/>
          <w:rtl/>
          <w:lang w:bidi="ar"/>
        </w:rPr>
        <w:t>)</w:t>
      </w:r>
      <w:r w:rsidRPr="00591557">
        <w:rPr>
          <w:sz w:val="30"/>
          <w:szCs w:val="26"/>
          <w:rtl/>
          <w:lang w:bidi="ar-SA"/>
        </w:rPr>
        <w:t xml:space="preserve">، وخطط قطاعات التبريد وتكييف الهواء الصناعية والتجارية </w:t>
      </w:r>
      <w:r w:rsidRPr="00591557">
        <w:rPr>
          <w:sz w:val="30"/>
          <w:szCs w:val="26"/>
          <w:rtl/>
          <w:lang w:bidi="ar"/>
        </w:rPr>
        <w:t xml:space="preserve">(12,000,000 </w:t>
      </w:r>
      <w:r w:rsidRPr="00591557">
        <w:rPr>
          <w:sz w:val="30"/>
          <w:szCs w:val="26"/>
          <w:rtl/>
          <w:lang w:bidi="ar-SA"/>
        </w:rPr>
        <w:t>دولار أمريكي</w:t>
      </w:r>
      <w:r w:rsidRPr="00591557">
        <w:rPr>
          <w:sz w:val="30"/>
          <w:szCs w:val="26"/>
          <w:rtl/>
          <w:lang w:bidi="ar"/>
        </w:rPr>
        <w:t xml:space="preserve">) </w:t>
      </w:r>
      <w:r w:rsidRPr="00591557">
        <w:rPr>
          <w:sz w:val="30"/>
          <w:szCs w:val="26"/>
          <w:rtl/>
          <w:lang w:bidi="ar-SA"/>
        </w:rPr>
        <w:t>والمذيبات</w:t>
      </w:r>
      <w:r w:rsidR="00591557">
        <w:rPr>
          <w:sz w:val="30"/>
          <w:szCs w:val="26"/>
          <w:rtl/>
          <w:lang w:bidi="ar"/>
        </w:rPr>
        <w:t xml:space="preserve"> </w:t>
      </w:r>
      <w:r w:rsidRPr="00591557">
        <w:rPr>
          <w:sz w:val="30"/>
          <w:szCs w:val="26"/>
          <w:rtl/>
          <w:lang w:bidi="ar"/>
        </w:rPr>
        <w:t xml:space="preserve">(5,549,492 </w:t>
      </w:r>
      <w:r w:rsidRPr="00591557">
        <w:rPr>
          <w:sz w:val="30"/>
          <w:szCs w:val="26"/>
          <w:rtl/>
          <w:lang w:bidi="ar-SA"/>
        </w:rPr>
        <w:t>دولار</w:t>
      </w:r>
      <w:r w:rsidR="00A55C5D" w:rsidRPr="00591557">
        <w:rPr>
          <w:rFonts w:hint="cs"/>
          <w:sz w:val="30"/>
          <w:szCs w:val="26"/>
          <w:rtl/>
          <w:lang w:bidi="ar-SA"/>
        </w:rPr>
        <w:t>ا</w:t>
      </w:r>
      <w:r w:rsidRPr="00591557">
        <w:rPr>
          <w:sz w:val="30"/>
          <w:szCs w:val="26"/>
          <w:rtl/>
          <w:lang w:bidi="ar-SA"/>
        </w:rPr>
        <w:t xml:space="preserve"> أمريكي</w:t>
      </w:r>
      <w:r w:rsidR="00A55C5D" w:rsidRPr="00591557">
        <w:rPr>
          <w:rFonts w:hint="cs"/>
          <w:sz w:val="30"/>
          <w:szCs w:val="26"/>
          <w:rtl/>
          <w:lang w:bidi="ar-SA"/>
        </w:rPr>
        <w:t>ا</w:t>
      </w:r>
      <w:r w:rsidRPr="00591557">
        <w:rPr>
          <w:sz w:val="30"/>
          <w:szCs w:val="26"/>
          <w:rtl/>
          <w:lang w:bidi="ar"/>
        </w:rPr>
        <w:t xml:space="preserve">) </w:t>
      </w:r>
      <w:r w:rsidRPr="00591557">
        <w:rPr>
          <w:sz w:val="30"/>
          <w:szCs w:val="26"/>
          <w:rtl/>
          <w:lang w:bidi="ar-SA"/>
        </w:rPr>
        <w:t xml:space="preserve">وقطاع خدمة التبريد وتكييف الهواء والبرنامج التمكيني </w:t>
      </w:r>
      <w:r w:rsidRPr="00591557">
        <w:rPr>
          <w:sz w:val="30"/>
          <w:szCs w:val="26"/>
          <w:rtl/>
          <w:lang w:bidi="ar"/>
        </w:rPr>
        <w:t>(3,850,000</w:t>
      </w:r>
      <w:r w:rsidR="00591557">
        <w:rPr>
          <w:sz w:val="30"/>
          <w:szCs w:val="26"/>
          <w:rtl/>
          <w:lang w:bidi="ar"/>
        </w:rPr>
        <w:t xml:space="preserve"> </w:t>
      </w:r>
      <w:r w:rsidRPr="00591557">
        <w:rPr>
          <w:sz w:val="30"/>
          <w:szCs w:val="26"/>
          <w:rtl/>
          <w:lang w:bidi="ar-SA"/>
        </w:rPr>
        <w:t>دولار أمريكي</w:t>
      </w:r>
      <w:r w:rsidRPr="00591557">
        <w:rPr>
          <w:sz w:val="30"/>
          <w:szCs w:val="26"/>
          <w:rtl/>
          <w:lang w:bidi="ar"/>
        </w:rPr>
        <w:t xml:space="preserve">). </w:t>
      </w:r>
      <w:r w:rsidRPr="00591557">
        <w:rPr>
          <w:sz w:val="30"/>
          <w:szCs w:val="26"/>
          <w:rtl/>
          <w:lang w:bidi="ar-SA"/>
        </w:rPr>
        <w:t xml:space="preserve">وتضمن الطلب تقرير تحقق مستقل من إنتاج واستهلاك الهيدروكلوروفلوروكربون في عام </w:t>
      </w:r>
      <w:r w:rsidRPr="00591557">
        <w:rPr>
          <w:sz w:val="30"/>
          <w:szCs w:val="26"/>
          <w:rtl/>
          <w:lang w:bidi="ar"/>
        </w:rPr>
        <w:t>2017 (</w:t>
      </w:r>
      <w:r w:rsidRPr="00591557">
        <w:rPr>
          <w:sz w:val="30"/>
          <w:szCs w:val="26"/>
          <w:rtl/>
          <w:lang w:bidi="ar-SA"/>
        </w:rPr>
        <w:t>مقدم من البنك الدولي</w:t>
      </w:r>
      <w:r w:rsidRPr="00591557">
        <w:rPr>
          <w:sz w:val="30"/>
          <w:szCs w:val="26"/>
          <w:rtl/>
          <w:lang w:bidi="ar"/>
        </w:rPr>
        <w:t>)</w:t>
      </w:r>
      <w:r w:rsidRPr="00591557">
        <w:rPr>
          <w:sz w:val="30"/>
          <w:szCs w:val="26"/>
          <w:rtl/>
          <w:lang w:bidi="ar-SA"/>
        </w:rPr>
        <w:t xml:space="preserve">، وتقارير التنفيذ السنوية التي تغطي الأنشطة التي اضطلع بها حتى الآن وخطط التنفيذ السنوية للأنشطة التي ستنفذ في الفترة </w:t>
      </w:r>
      <w:r w:rsidRPr="00591557">
        <w:rPr>
          <w:sz w:val="30"/>
          <w:szCs w:val="26"/>
          <w:rtl/>
          <w:lang w:bidi="ar"/>
        </w:rPr>
        <w:t>2018-2019.</w:t>
      </w:r>
    </w:p>
    <w:p w14:paraId="6D17F9F4" w14:textId="07DE9C38" w:rsidR="00D74CD2" w:rsidRPr="00591557" w:rsidRDefault="00D74CD2" w:rsidP="00D74CD2">
      <w:pPr>
        <w:pStyle w:val="Heading1"/>
        <w:bidi/>
        <w:rPr>
          <w:sz w:val="30"/>
          <w:szCs w:val="26"/>
        </w:rPr>
      </w:pPr>
      <w:r w:rsidRPr="00591557">
        <w:rPr>
          <w:sz w:val="30"/>
          <w:szCs w:val="26"/>
          <w:rtl/>
          <w:lang w:bidi="ar-SA"/>
        </w:rPr>
        <w:t>وعقب استعراض الوثائق ذات الصلة بطلبات الشريحة الثالثة لكل من خطط قطاعات رغاوي البوليسترين المسحوبة بالضغط وخدمة المذيبات والتبريد، خلصت الأمانة الى أن</w:t>
      </w:r>
      <w:r w:rsidR="00A55C5D" w:rsidRPr="00591557">
        <w:rPr>
          <w:rFonts w:hint="cs"/>
          <w:sz w:val="30"/>
          <w:szCs w:val="26"/>
          <w:rtl/>
          <w:lang w:bidi="ar-SA"/>
        </w:rPr>
        <w:t>ها</w:t>
      </w:r>
      <w:r w:rsidRPr="00591557">
        <w:rPr>
          <w:sz w:val="30"/>
          <w:szCs w:val="26"/>
          <w:rtl/>
          <w:lang w:bidi="ar-SA"/>
        </w:rPr>
        <w:t xml:space="preserve"> جميعها جديرة بتقديم طلباتها للنظر </w:t>
      </w:r>
      <w:r w:rsidR="00A55C5D" w:rsidRPr="00591557">
        <w:rPr>
          <w:rFonts w:hint="cs"/>
          <w:sz w:val="30"/>
          <w:szCs w:val="26"/>
          <w:rtl/>
          <w:lang w:bidi="ar-SA"/>
        </w:rPr>
        <w:t xml:space="preserve">فيها </w:t>
      </w:r>
      <w:r w:rsidRPr="00591557">
        <w:rPr>
          <w:sz w:val="30"/>
          <w:szCs w:val="26"/>
          <w:rtl/>
          <w:lang w:bidi="ar-SA"/>
        </w:rPr>
        <w:t>في الاجتماع الثاني والثمانين</w:t>
      </w:r>
      <w:r w:rsidRPr="00591557">
        <w:rPr>
          <w:sz w:val="30"/>
          <w:szCs w:val="26"/>
          <w:rtl/>
          <w:lang w:bidi="ar"/>
        </w:rPr>
        <w:t xml:space="preserve">. </w:t>
      </w:r>
      <w:r w:rsidRPr="00591557">
        <w:rPr>
          <w:sz w:val="30"/>
          <w:szCs w:val="26"/>
          <w:rtl/>
          <w:lang w:bidi="ar-SA"/>
        </w:rPr>
        <w:t>ومع ذلك، لم يكن هذا هو الحال بالنسبة للشريحة الثانية من خطة قطاع البوليوريثان، حيث لم تُصرف أي مدفوعات من الشريحة الأولى في وقت التقديم</w:t>
      </w:r>
      <w:r w:rsidRPr="00591557">
        <w:rPr>
          <w:sz w:val="30"/>
          <w:szCs w:val="26"/>
          <w:rtl/>
          <w:lang w:bidi="ar"/>
        </w:rPr>
        <w:t xml:space="preserve">. </w:t>
      </w:r>
    </w:p>
    <w:p w14:paraId="4BDCFAC1" w14:textId="7DB78542" w:rsidR="00D74CD2" w:rsidRPr="00591557" w:rsidRDefault="00D74CD2" w:rsidP="00D74CD2">
      <w:pPr>
        <w:pStyle w:val="Heading1"/>
        <w:bidi/>
        <w:rPr>
          <w:sz w:val="30"/>
          <w:szCs w:val="26"/>
        </w:rPr>
      </w:pPr>
      <w:r w:rsidRPr="00591557">
        <w:rPr>
          <w:sz w:val="30"/>
          <w:szCs w:val="26"/>
          <w:rtl/>
          <w:lang w:bidi="ar-SA"/>
        </w:rPr>
        <w:t>ولدى مناقشة طلبات الشرائح، أعرب الكثير من أعضاء اللجنة عن قلق بالغ إزاء الموافقة على تمويل إضافي في ذلك الاجتماع بالنظر الى عدم إيضا</w:t>
      </w:r>
      <w:r w:rsidR="00502558" w:rsidRPr="00591557">
        <w:rPr>
          <w:rFonts w:hint="cs"/>
          <w:sz w:val="30"/>
          <w:szCs w:val="26"/>
          <w:rtl/>
          <w:lang w:bidi="ar-SA"/>
        </w:rPr>
        <w:t>ح</w:t>
      </w:r>
      <w:r w:rsidRPr="00591557">
        <w:rPr>
          <w:sz w:val="30"/>
          <w:szCs w:val="26"/>
          <w:rtl/>
          <w:lang w:bidi="ar-SA"/>
        </w:rPr>
        <w:t xml:space="preserve"> أمر انبعاثات الكلوروفلوروكربون</w:t>
      </w:r>
      <w:r w:rsidRPr="00591557">
        <w:rPr>
          <w:sz w:val="30"/>
          <w:szCs w:val="26"/>
          <w:rtl/>
          <w:lang w:bidi="ar"/>
        </w:rPr>
        <w:t xml:space="preserve">-11 </w:t>
      </w:r>
      <w:r w:rsidRPr="00591557">
        <w:rPr>
          <w:sz w:val="30"/>
          <w:szCs w:val="26"/>
          <w:rtl/>
          <w:lang w:bidi="ar-SA"/>
        </w:rPr>
        <w:t>في شرق آسيا</w:t>
      </w:r>
      <w:r w:rsidRPr="00591557">
        <w:rPr>
          <w:sz w:val="30"/>
          <w:szCs w:val="26"/>
          <w:rtl/>
          <w:lang w:bidi="ar"/>
        </w:rPr>
        <w:t xml:space="preserve">. </w:t>
      </w:r>
      <w:r w:rsidRPr="00591557">
        <w:rPr>
          <w:sz w:val="30"/>
          <w:szCs w:val="26"/>
          <w:rtl/>
          <w:lang w:bidi="ar-SA"/>
        </w:rPr>
        <w:t xml:space="preserve">وعملاً بالمقرر </w:t>
      </w:r>
      <w:r w:rsidRPr="00591557">
        <w:rPr>
          <w:sz w:val="30"/>
          <w:szCs w:val="26"/>
          <w:rtl/>
          <w:lang w:bidi="ar"/>
        </w:rPr>
        <w:t>3/</w:t>
      </w:r>
      <w:r w:rsidRPr="00591557">
        <w:rPr>
          <w:sz w:val="30"/>
          <w:szCs w:val="26"/>
        </w:rPr>
        <w:t>XXX</w:t>
      </w:r>
      <w:r w:rsidRPr="00591557">
        <w:rPr>
          <w:sz w:val="30"/>
          <w:szCs w:val="26"/>
          <w:rtl/>
          <w:lang w:bidi="ar-SA"/>
        </w:rPr>
        <w:t>،</w:t>
      </w:r>
      <w:r w:rsidR="00502558" w:rsidRPr="00591557">
        <w:rPr>
          <w:rStyle w:val="FootnoteReference"/>
          <w:sz w:val="30"/>
          <w:szCs w:val="26"/>
          <w:rtl/>
          <w:lang w:bidi="ar"/>
        </w:rPr>
        <w:footnoteReference w:id="2"/>
      </w:r>
      <w:r w:rsidRPr="00591557">
        <w:rPr>
          <w:sz w:val="30"/>
          <w:szCs w:val="26"/>
          <w:rtl/>
          <w:lang w:bidi="ar-SA"/>
        </w:rPr>
        <w:t xml:space="preserve"> طُلب المزيد من المعلومات عن سبب انبعاثات الكلوروفلوروكربون</w:t>
      </w:r>
      <w:r w:rsidRPr="00591557">
        <w:rPr>
          <w:sz w:val="30"/>
          <w:szCs w:val="26"/>
          <w:rtl/>
          <w:lang w:bidi="ar"/>
        </w:rPr>
        <w:t>-11</w:t>
      </w:r>
      <w:r w:rsidRPr="00591557">
        <w:rPr>
          <w:sz w:val="30"/>
          <w:szCs w:val="26"/>
          <w:rtl/>
          <w:lang w:bidi="ar-SA"/>
        </w:rPr>
        <w:t>، واقترح إرجاء طلبات التمويل المقدمة إلى اجتماع لاحق، عندما تتوافر معلومات إضافية</w:t>
      </w:r>
      <w:r w:rsidRPr="00591557">
        <w:rPr>
          <w:sz w:val="30"/>
          <w:szCs w:val="26"/>
          <w:rtl/>
          <w:lang w:bidi="ar"/>
        </w:rPr>
        <w:t xml:space="preserve">. </w:t>
      </w:r>
      <w:r w:rsidRPr="00591557">
        <w:rPr>
          <w:sz w:val="30"/>
          <w:szCs w:val="26"/>
          <w:rtl/>
          <w:lang w:bidi="ar-SA"/>
        </w:rPr>
        <w:t xml:space="preserve">وفي غضون ذلك، ما زالت الصين تحتفظ بأكثر من </w:t>
      </w:r>
      <w:r w:rsidRPr="00591557">
        <w:rPr>
          <w:sz w:val="30"/>
          <w:szCs w:val="26"/>
          <w:rtl/>
          <w:lang w:bidi="ar"/>
        </w:rPr>
        <w:t xml:space="preserve">100 </w:t>
      </w:r>
      <w:r w:rsidRPr="00591557">
        <w:rPr>
          <w:sz w:val="30"/>
          <w:szCs w:val="26"/>
          <w:rtl/>
          <w:lang w:bidi="ar-SA"/>
        </w:rPr>
        <w:t>مليون دولار أمريكي لم تصرف بعد للمنشئات المستفيدة، ولذا فإن إرجاء طلبات التمويل لن يكون له أي أثر كبير</w:t>
      </w:r>
      <w:r w:rsidRPr="00591557">
        <w:rPr>
          <w:sz w:val="30"/>
          <w:szCs w:val="26"/>
          <w:rtl/>
          <w:lang w:bidi="ar"/>
        </w:rPr>
        <w:t xml:space="preserve">. </w:t>
      </w:r>
      <w:r w:rsidRPr="00591557">
        <w:rPr>
          <w:sz w:val="30"/>
          <w:szCs w:val="26"/>
          <w:rtl/>
          <w:lang w:bidi="ar-SA"/>
        </w:rPr>
        <w:t>وكان من المهم أن يُظهر للمجتمع الدولي أن الصندوق المتعدد الأطراف يأخذ مسألة الانبعاثات غير القانونية للكلوروفلوروكربون</w:t>
      </w:r>
      <w:r w:rsidRPr="00591557">
        <w:rPr>
          <w:sz w:val="30"/>
          <w:szCs w:val="26"/>
          <w:rtl/>
          <w:lang w:bidi="ar"/>
        </w:rPr>
        <w:t xml:space="preserve">-11 </w:t>
      </w:r>
      <w:r w:rsidRPr="00591557">
        <w:rPr>
          <w:sz w:val="30"/>
          <w:szCs w:val="26"/>
          <w:rtl/>
          <w:lang w:bidi="ar-SA"/>
        </w:rPr>
        <w:t>على محمل الجد</w:t>
      </w:r>
      <w:r w:rsidR="00DE3E58" w:rsidRPr="00591557">
        <w:rPr>
          <w:rFonts w:hint="cs"/>
          <w:sz w:val="30"/>
          <w:szCs w:val="26"/>
          <w:rtl/>
          <w:lang w:bidi="ar-SA"/>
        </w:rPr>
        <w:t>،</w:t>
      </w:r>
      <w:r w:rsidRPr="00591557">
        <w:rPr>
          <w:sz w:val="30"/>
          <w:szCs w:val="26"/>
          <w:rtl/>
          <w:lang w:bidi="ar-SA"/>
        </w:rPr>
        <w:t xml:space="preserve"> إلاّ أن أي قرار بإرجاء التمويل لم يمس أي إجراءات أخرى تتخذها الصين</w:t>
      </w:r>
      <w:r w:rsidRPr="00591557">
        <w:rPr>
          <w:sz w:val="30"/>
          <w:szCs w:val="26"/>
          <w:rtl/>
          <w:lang w:bidi="ar"/>
        </w:rPr>
        <w:t>.</w:t>
      </w:r>
    </w:p>
    <w:p w14:paraId="778C945A" w14:textId="4D67874C" w:rsidR="00D74CD2" w:rsidRPr="00591557" w:rsidRDefault="00D74CD2" w:rsidP="00D74CD2">
      <w:pPr>
        <w:pStyle w:val="Heading1"/>
        <w:bidi/>
        <w:rPr>
          <w:sz w:val="30"/>
          <w:szCs w:val="26"/>
        </w:rPr>
      </w:pPr>
      <w:r w:rsidRPr="00591557">
        <w:rPr>
          <w:sz w:val="30"/>
          <w:szCs w:val="26"/>
          <w:rtl/>
          <w:lang w:bidi="ar-SA"/>
        </w:rPr>
        <w:t xml:space="preserve">وقال أعضاء آخرون إنه ينبغي توخي الحذر، وينبغي لأي قرار يتخذ لإرجاء التمويل المطلوب ألا يعرض للخطر هدف الخفض لعام </w:t>
      </w:r>
      <w:r w:rsidRPr="00591557">
        <w:rPr>
          <w:sz w:val="30"/>
          <w:szCs w:val="26"/>
          <w:rtl/>
          <w:lang w:bidi="ar"/>
        </w:rPr>
        <w:t xml:space="preserve">2020 </w:t>
      </w:r>
      <w:r w:rsidR="00DE3E58" w:rsidRPr="00591557">
        <w:rPr>
          <w:rFonts w:hint="cs"/>
          <w:sz w:val="30"/>
          <w:szCs w:val="26"/>
          <w:rtl/>
          <w:lang w:bidi="ar-SA"/>
        </w:rPr>
        <w:t>المتعلق با</w:t>
      </w:r>
      <w:r w:rsidRPr="00591557">
        <w:rPr>
          <w:sz w:val="30"/>
          <w:szCs w:val="26"/>
          <w:rtl/>
          <w:lang w:bidi="ar-SA"/>
        </w:rPr>
        <w:t>لصين</w:t>
      </w:r>
      <w:r w:rsidRPr="00591557">
        <w:rPr>
          <w:sz w:val="30"/>
          <w:szCs w:val="26"/>
          <w:rtl/>
          <w:lang w:bidi="ar"/>
        </w:rPr>
        <w:t xml:space="preserve">. </w:t>
      </w:r>
      <w:r w:rsidRPr="00591557">
        <w:rPr>
          <w:sz w:val="30"/>
          <w:szCs w:val="26"/>
          <w:rtl/>
          <w:lang w:bidi="ar-SA"/>
        </w:rPr>
        <w:t>وسئُل عما إذا كانت الأموال قد حولت بالفعل الى حكومة الصين أو إذا كان بعضها مازال لدى الوكالات المنفذة، وعن التأثير الذي يمكن أن يحدث في حالة إرجاء الطلب الحالي للتمويل</w:t>
      </w:r>
      <w:r w:rsidRPr="00591557">
        <w:rPr>
          <w:sz w:val="30"/>
          <w:szCs w:val="26"/>
          <w:rtl/>
          <w:lang w:bidi="ar"/>
        </w:rPr>
        <w:t xml:space="preserve">. </w:t>
      </w:r>
      <w:r w:rsidRPr="00591557">
        <w:rPr>
          <w:sz w:val="30"/>
          <w:szCs w:val="26"/>
          <w:rtl/>
          <w:lang w:bidi="ar-SA"/>
        </w:rPr>
        <w:t>وكانت التحقيقات الجارية عن أسباب انبعاثات الكلوروفلوروكربون</w:t>
      </w:r>
      <w:r w:rsidRPr="00591557">
        <w:rPr>
          <w:sz w:val="30"/>
          <w:szCs w:val="26"/>
          <w:rtl/>
          <w:lang w:bidi="ar"/>
        </w:rPr>
        <w:t xml:space="preserve">-11 </w:t>
      </w:r>
      <w:r w:rsidRPr="00591557">
        <w:rPr>
          <w:sz w:val="30"/>
          <w:szCs w:val="26"/>
          <w:rtl/>
          <w:lang w:bidi="ar-SA"/>
        </w:rPr>
        <w:t>تعني أن على اللجنة التنفيذية أن تتخذ جانب الحذر لدى التوصل الى الاستنتاجات</w:t>
      </w:r>
      <w:r w:rsidRPr="00591557">
        <w:rPr>
          <w:sz w:val="30"/>
          <w:szCs w:val="26"/>
          <w:rtl/>
          <w:lang w:bidi="ar"/>
        </w:rPr>
        <w:t xml:space="preserve">. </w:t>
      </w:r>
      <w:r w:rsidRPr="00591557">
        <w:rPr>
          <w:sz w:val="30"/>
          <w:szCs w:val="26"/>
          <w:rtl/>
          <w:lang w:bidi="ar-SA"/>
        </w:rPr>
        <w:t>وقد يستغرق الأمر عدة سنوات الى أن يتم تجميع المعلومات ذات الصلة، ومن المهم تلقي إيضاحات عن نوع المعلومات اللازمة وتحديد جدول زمني لتجميعها</w:t>
      </w:r>
      <w:r w:rsidRPr="00591557">
        <w:rPr>
          <w:sz w:val="30"/>
          <w:szCs w:val="26"/>
          <w:rtl/>
          <w:lang w:bidi="ar"/>
        </w:rPr>
        <w:t>.</w:t>
      </w:r>
    </w:p>
    <w:p w14:paraId="67244385" w14:textId="77777777" w:rsidR="00D74CD2" w:rsidRPr="00591557" w:rsidRDefault="00D74CD2" w:rsidP="00D74CD2">
      <w:pPr>
        <w:pStyle w:val="Heading1"/>
        <w:bidi/>
        <w:rPr>
          <w:sz w:val="30"/>
          <w:szCs w:val="26"/>
        </w:rPr>
      </w:pPr>
      <w:r w:rsidRPr="00591557">
        <w:rPr>
          <w:sz w:val="30"/>
          <w:szCs w:val="26"/>
          <w:rtl/>
          <w:lang w:bidi="ar-SA"/>
        </w:rPr>
        <w:t xml:space="preserve">وعقب المداولات بشأن هذه المسألة ضمن فريق الاتصال، قررت اللجنة ما يلي </w:t>
      </w:r>
      <w:r w:rsidRPr="00591557">
        <w:rPr>
          <w:sz w:val="30"/>
          <w:szCs w:val="26"/>
          <w:rtl/>
          <w:lang w:bidi="ar"/>
        </w:rPr>
        <w:t>(</w:t>
      </w:r>
      <w:r w:rsidRPr="00591557">
        <w:rPr>
          <w:sz w:val="30"/>
          <w:szCs w:val="26"/>
          <w:rtl/>
          <w:lang w:bidi="ar-SA"/>
        </w:rPr>
        <w:t xml:space="preserve">المقرر </w:t>
      </w:r>
      <w:r w:rsidRPr="00591557">
        <w:rPr>
          <w:sz w:val="30"/>
          <w:szCs w:val="26"/>
          <w:rtl/>
          <w:lang w:bidi="ar"/>
        </w:rPr>
        <w:t>82/71):</w:t>
      </w:r>
    </w:p>
    <w:p w14:paraId="753F24D9" w14:textId="17BE4BE6" w:rsidR="00D74CD2" w:rsidRPr="00591557" w:rsidRDefault="00D74CD2" w:rsidP="00D74CD2">
      <w:pPr>
        <w:pStyle w:val="Heading2"/>
        <w:numPr>
          <w:ilvl w:val="1"/>
          <w:numId w:val="1"/>
        </w:numPr>
        <w:bidi/>
        <w:rPr>
          <w:sz w:val="30"/>
          <w:szCs w:val="26"/>
        </w:rPr>
      </w:pPr>
      <w:r w:rsidRPr="00591557">
        <w:rPr>
          <w:sz w:val="30"/>
          <w:szCs w:val="26"/>
          <w:rtl/>
          <w:lang w:bidi="ar-SA"/>
        </w:rPr>
        <w:lastRenderedPageBreak/>
        <w:t>أن تطلب من حكومة الصين من خلال الوكالة المنفذة المعنية أن تقدم، في الاجتماع الثالث والثمانين ما يلي</w:t>
      </w:r>
      <w:r w:rsidRPr="00591557">
        <w:rPr>
          <w:sz w:val="30"/>
          <w:szCs w:val="26"/>
          <w:rtl/>
          <w:lang w:bidi="ar"/>
        </w:rPr>
        <w:t>:</w:t>
      </w:r>
    </w:p>
    <w:p w14:paraId="12758961" w14:textId="13FED576" w:rsidR="00D74CD2" w:rsidRPr="00591557" w:rsidRDefault="00D74CD2" w:rsidP="00FA6941">
      <w:pPr>
        <w:pStyle w:val="Heading3"/>
        <w:numPr>
          <w:ilvl w:val="2"/>
          <w:numId w:val="45"/>
        </w:numPr>
        <w:bidi/>
        <w:rPr>
          <w:sz w:val="30"/>
          <w:szCs w:val="26"/>
        </w:rPr>
      </w:pPr>
      <w:r w:rsidRPr="00591557">
        <w:rPr>
          <w:sz w:val="30"/>
          <w:szCs w:val="26"/>
          <w:rtl/>
          <w:lang w:bidi="ar-SA"/>
        </w:rPr>
        <w:t xml:space="preserve">استعراضا للنظم الحالية للرصد والإبلاغ والتحقق والإنفاذ إعمالا للاتفاقات </w:t>
      </w:r>
      <w:r w:rsidR="00072A97" w:rsidRPr="00591557">
        <w:rPr>
          <w:rFonts w:hint="cs"/>
          <w:sz w:val="30"/>
          <w:szCs w:val="26"/>
          <w:rtl/>
          <w:lang w:bidi="ar-SA"/>
        </w:rPr>
        <w:t xml:space="preserve">المبرمة </w:t>
      </w:r>
      <w:r w:rsidRPr="00591557">
        <w:rPr>
          <w:sz w:val="30"/>
          <w:szCs w:val="26"/>
          <w:rtl/>
          <w:lang w:bidi="ar-SA"/>
        </w:rPr>
        <w:t>مع اللجنة التنفيذية بشأن خطة إدارة إزالة المواد الهيدروكلوروفلوروكربونية وخطة إدارة إزالة إنتاج المواد الهيدروكلوروفلوروكربونية في البلد، بما في ذلك معلومات عن الهيكل التنظيمي والقدرات على المستوي</w:t>
      </w:r>
      <w:r w:rsidR="00072A97" w:rsidRPr="00591557">
        <w:rPr>
          <w:rFonts w:hint="cs"/>
          <w:sz w:val="30"/>
          <w:szCs w:val="26"/>
          <w:rtl/>
          <w:lang w:bidi="ar-SA"/>
        </w:rPr>
        <w:t>ين</w:t>
      </w:r>
      <w:r w:rsidRPr="00591557">
        <w:rPr>
          <w:sz w:val="30"/>
          <w:szCs w:val="26"/>
          <w:rtl/>
          <w:lang w:bidi="ar-SA"/>
        </w:rPr>
        <w:t xml:space="preserve"> الوطني والمحلي التي تبين كيفية ضمان الاستدامة الطويلة الأجل لإزالة المواد الهيدروكلوروفلوروكربونية في قطاع</w:t>
      </w:r>
      <w:r w:rsidR="00072A97" w:rsidRPr="00591557">
        <w:rPr>
          <w:rFonts w:hint="cs"/>
          <w:sz w:val="30"/>
          <w:szCs w:val="26"/>
          <w:rtl/>
          <w:lang w:bidi="ar-SA"/>
        </w:rPr>
        <w:t>ي</w:t>
      </w:r>
      <w:r w:rsidRPr="00591557">
        <w:rPr>
          <w:sz w:val="30"/>
          <w:szCs w:val="26"/>
          <w:rtl/>
          <w:lang w:bidi="ar-SA"/>
        </w:rPr>
        <w:t xml:space="preserve"> الاستهلاك والإنتاج، والجهود التي تبذل لمعالجة أي اتجار غير قانوني بهذه المواد؛</w:t>
      </w:r>
    </w:p>
    <w:p w14:paraId="4223FB1F" w14:textId="77777777" w:rsidR="00D74CD2" w:rsidRPr="00591557" w:rsidRDefault="00D74CD2" w:rsidP="00FA6941">
      <w:pPr>
        <w:pStyle w:val="Heading3"/>
        <w:numPr>
          <w:ilvl w:val="2"/>
          <w:numId w:val="45"/>
        </w:numPr>
        <w:bidi/>
        <w:rPr>
          <w:sz w:val="30"/>
          <w:szCs w:val="26"/>
        </w:rPr>
      </w:pPr>
      <w:r w:rsidRPr="00591557">
        <w:rPr>
          <w:sz w:val="30"/>
          <w:szCs w:val="26"/>
          <w:rtl/>
          <w:lang w:bidi="ar-SA"/>
        </w:rPr>
        <w:t xml:space="preserve">تقريرا مرحليا عن الإجراءات التي اتخذت بغرض تعزيز التشريعات الخاصة بالمواد المستنفدة للأوزون وتنفيذها في الصين؛ </w:t>
      </w:r>
    </w:p>
    <w:p w14:paraId="7965A688" w14:textId="490773F8" w:rsidR="00D74CD2" w:rsidRPr="00591557" w:rsidRDefault="006A065E" w:rsidP="00D74CD2">
      <w:pPr>
        <w:pStyle w:val="Heading2"/>
        <w:numPr>
          <w:ilvl w:val="1"/>
          <w:numId w:val="1"/>
        </w:numPr>
        <w:bidi/>
        <w:rPr>
          <w:sz w:val="30"/>
          <w:szCs w:val="26"/>
        </w:rPr>
      </w:pPr>
      <w:r w:rsidRPr="00591557">
        <w:rPr>
          <w:rFonts w:hint="cs"/>
          <w:sz w:val="30"/>
          <w:szCs w:val="26"/>
          <w:rtl/>
          <w:lang w:bidi="ar-SA"/>
        </w:rPr>
        <w:t xml:space="preserve">النظر </w:t>
      </w:r>
      <w:r w:rsidR="00D74CD2" w:rsidRPr="00591557">
        <w:rPr>
          <w:sz w:val="30"/>
          <w:szCs w:val="26"/>
          <w:rtl/>
          <w:lang w:bidi="ar-SA"/>
        </w:rPr>
        <w:t>في طلبات التمويل الخاصة بالشرائح التالية من المرحلة الثانية خلال الاجتماع الثالث والثمانين</w:t>
      </w:r>
      <w:r w:rsidR="00D74CD2" w:rsidRPr="00591557">
        <w:rPr>
          <w:sz w:val="30"/>
          <w:szCs w:val="26"/>
          <w:rtl/>
          <w:lang w:bidi="ar"/>
        </w:rPr>
        <w:t xml:space="preserve">. </w:t>
      </w:r>
    </w:p>
    <w:p w14:paraId="4BB29A2E" w14:textId="77777777" w:rsidR="00D74CD2" w:rsidRPr="00591557" w:rsidRDefault="00D74CD2" w:rsidP="00D74CD2">
      <w:pPr>
        <w:bidi/>
        <w:rPr>
          <w:i/>
          <w:sz w:val="30"/>
          <w:szCs w:val="26"/>
        </w:rPr>
      </w:pPr>
      <w:r w:rsidRPr="00591557">
        <w:rPr>
          <w:i/>
          <w:iCs/>
          <w:sz w:val="30"/>
          <w:szCs w:val="26"/>
          <w:rtl/>
          <w:lang w:bidi="ar-SA"/>
        </w:rPr>
        <w:t>الاجتماع الثالث والثمانون</w:t>
      </w:r>
    </w:p>
    <w:p w14:paraId="1DD1AA69" w14:textId="77777777" w:rsidR="00D74CD2" w:rsidRPr="00591557" w:rsidRDefault="00D74CD2" w:rsidP="00D74CD2">
      <w:pPr>
        <w:rPr>
          <w:sz w:val="30"/>
          <w:szCs w:val="26"/>
        </w:rPr>
      </w:pPr>
    </w:p>
    <w:p w14:paraId="0F832D81" w14:textId="569341A7" w:rsidR="00D74CD2" w:rsidRPr="00591557" w:rsidRDefault="00D74CD2" w:rsidP="00D74CD2">
      <w:pPr>
        <w:pStyle w:val="Heading1"/>
        <w:bidi/>
        <w:rPr>
          <w:sz w:val="30"/>
          <w:szCs w:val="26"/>
        </w:rPr>
      </w:pPr>
      <w:r w:rsidRPr="00591557">
        <w:rPr>
          <w:sz w:val="30"/>
          <w:szCs w:val="26"/>
          <w:rtl/>
          <w:lang w:bidi="ar-SA"/>
        </w:rPr>
        <w:t xml:space="preserve">استجابة للمقرر </w:t>
      </w:r>
      <w:r w:rsidRPr="00591557">
        <w:rPr>
          <w:sz w:val="30"/>
          <w:szCs w:val="26"/>
          <w:rtl/>
          <w:lang w:bidi="ar"/>
        </w:rPr>
        <w:t>82/71</w:t>
      </w:r>
      <w:r w:rsidRPr="00591557">
        <w:rPr>
          <w:sz w:val="30"/>
          <w:szCs w:val="26"/>
          <w:rtl/>
          <w:lang w:bidi="ar-SA"/>
        </w:rPr>
        <w:t>، قدم برنامج الأمم المتحدة الإنمائي، نيابة عن حكومة الصين، تقرير</w:t>
      </w:r>
      <w:r w:rsidR="00410D77" w:rsidRPr="00591557">
        <w:rPr>
          <w:rFonts w:hint="cs"/>
          <w:sz w:val="30"/>
          <w:szCs w:val="26"/>
          <w:rtl/>
          <w:lang w:bidi="ar-SA"/>
        </w:rPr>
        <w:t>ا</w:t>
      </w:r>
      <w:r w:rsidRPr="00591557">
        <w:rPr>
          <w:sz w:val="30"/>
          <w:szCs w:val="26"/>
          <w:rtl/>
          <w:lang w:bidi="ar-SA"/>
        </w:rPr>
        <w:t xml:space="preserve"> عن نظم الرصد والإبلاغ والتحقق والإنفاذ الحالية والتقرير المرحلي عن الإجراءات المتخذة بهدف تعزيز التشريعات المتعلقة بالإجراءات المتخذة بهدف تعزيز التشريعات المتعلقة بالمواد المستنفدة للأوزون</w:t>
      </w:r>
      <w:r w:rsidRPr="00591557">
        <w:rPr>
          <w:sz w:val="30"/>
          <w:szCs w:val="26"/>
          <w:rtl/>
          <w:lang w:bidi="ar"/>
        </w:rPr>
        <w:t>.</w:t>
      </w:r>
      <w:r w:rsidR="00554A4D" w:rsidRPr="00591557">
        <w:rPr>
          <w:rStyle w:val="FootnoteReference"/>
          <w:sz w:val="30"/>
          <w:szCs w:val="26"/>
          <w:rtl/>
          <w:lang w:bidi="ar"/>
        </w:rPr>
        <w:footnoteReference w:id="3"/>
      </w:r>
      <w:r w:rsidR="00591557">
        <w:rPr>
          <w:sz w:val="30"/>
          <w:szCs w:val="26"/>
          <w:rtl/>
          <w:lang w:bidi="ar"/>
        </w:rPr>
        <w:t xml:space="preserve"> </w:t>
      </w:r>
      <w:r w:rsidRPr="00591557">
        <w:rPr>
          <w:sz w:val="30"/>
          <w:szCs w:val="26"/>
          <w:rtl/>
          <w:lang w:bidi="ar-SA"/>
        </w:rPr>
        <w:t xml:space="preserve">وإضافة إلى ذلك، أعاد اليوئنديبي واليونيب واليونيدو والبنك الدولي وحكومتا ألمانيا واليابان تقديم طلبات لتمويل الشريحة الثالثة من خطط قطاع رغاوي البوليسترين والتبريد الصناعي والتجاري والمذيبات والخدمة، والشريحة الثانية </w:t>
      </w:r>
      <w:r w:rsidR="00072A97" w:rsidRPr="00591557">
        <w:rPr>
          <w:rFonts w:hint="cs"/>
          <w:sz w:val="30"/>
          <w:szCs w:val="26"/>
          <w:rtl/>
          <w:lang w:bidi="ar-SA"/>
        </w:rPr>
        <w:t xml:space="preserve">من </w:t>
      </w:r>
      <w:r w:rsidRPr="00591557">
        <w:rPr>
          <w:sz w:val="30"/>
          <w:szCs w:val="26"/>
          <w:rtl/>
          <w:lang w:bidi="ar-SA"/>
        </w:rPr>
        <w:t>خطة قطاع رغاوي البوليوريثان المرتبطة بالمرحلة الثانية من خطة إدارة إزالة المواد الهيدروكلوروفلوروكربونية للصين</w:t>
      </w:r>
      <w:r w:rsidRPr="00591557">
        <w:rPr>
          <w:sz w:val="30"/>
          <w:szCs w:val="26"/>
          <w:rtl/>
          <w:lang w:bidi="ar"/>
        </w:rPr>
        <w:t xml:space="preserve">. </w:t>
      </w:r>
    </w:p>
    <w:p w14:paraId="3675598C" w14:textId="45B2BF2B" w:rsidR="00D74CD2" w:rsidRPr="00591557" w:rsidRDefault="00D74CD2" w:rsidP="00D74CD2">
      <w:pPr>
        <w:pStyle w:val="Heading1"/>
        <w:bidi/>
        <w:rPr>
          <w:sz w:val="30"/>
          <w:szCs w:val="26"/>
        </w:rPr>
      </w:pPr>
      <w:r w:rsidRPr="00591557">
        <w:rPr>
          <w:sz w:val="30"/>
          <w:szCs w:val="26"/>
          <w:rtl/>
          <w:lang w:bidi="ar-SA"/>
        </w:rPr>
        <w:t>وعقب استعراض إعادة تقديم خطط القطاعات والوثائق ذات الصلة، خلصت الأمانة الى أن</w:t>
      </w:r>
      <w:r w:rsidR="00072A97" w:rsidRPr="00591557">
        <w:rPr>
          <w:rFonts w:hint="cs"/>
          <w:sz w:val="30"/>
          <w:szCs w:val="26"/>
          <w:rtl/>
          <w:lang w:bidi="ar-SA"/>
        </w:rPr>
        <w:t>ها</w:t>
      </w:r>
      <w:r w:rsidRPr="00591557">
        <w:rPr>
          <w:sz w:val="30"/>
          <w:szCs w:val="26"/>
          <w:rtl/>
          <w:lang w:bidi="ar-SA"/>
        </w:rPr>
        <w:t xml:space="preserve"> جميعها جديرة بتقديم طلباتها للنظر فيها خلال الاجتماع الثالث والثمانين، باستثناء طلب الشريحة الثانية </w:t>
      </w:r>
      <w:r w:rsidR="00072A97" w:rsidRPr="00591557">
        <w:rPr>
          <w:rFonts w:hint="cs"/>
          <w:sz w:val="30"/>
          <w:szCs w:val="26"/>
          <w:rtl/>
          <w:lang w:bidi="ar-SA"/>
        </w:rPr>
        <w:t xml:space="preserve">من </w:t>
      </w:r>
      <w:r w:rsidRPr="00591557">
        <w:rPr>
          <w:sz w:val="30"/>
          <w:szCs w:val="26"/>
          <w:rtl/>
          <w:lang w:bidi="ar-SA"/>
        </w:rPr>
        <w:t>خطة قطاع رغاوي البوليوريثان</w:t>
      </w:r>
      <w:r w:rsidR="00705A1E" w:rsidRPr="00591557">
        <w:rPr>
          <w:rFonts w:hint="cs"/>
          <w:sz w:val="30"/>
          <w:szCs w:val="26"/>
          <w:rtl/>
          <w:lang w:bidi="ar-SA"/>
        </w:rPr>
        <w:t>،</w:t>
      </w:r>
      <w:r w:rsidRPr="00591557">
        <w:rPr>
          <w:sz w:val="30"/>
          <w:szCs w:val="26"/>
          <w:rtl/>
          <w:lang w:bidi="ar"/>
        </w:rPr>
        <w:t xml:space="preserve"> </w:t>
      </w:r>
      <w:r w:rsidR="00705A1E" w:rsidRPr="00591557">
        <w:rPr>
          <w:rFonts w:hint="cs"/>
          <w:sz w:val="30"/>
          <w:szCs w:val="26"/>
          <w:rtl/>
          <w:lang w:bidi="ar-SA"/>
        </w:rPr>
        <w:t xml:space="preserve">حيث إنه </w:t>
      </w:r>
      <w:r w:rsidRPr="00591557">
        <w:rPr>
          <w:sz w:val="30"/>
          <w:szCs w:val="26"/>
          <w:rtl/>
          <w:lang w:bidi="ar-SA"/>
        </w:rPr>
        <w:t>لم يستوف متطلبات الصرف، ونتيجة لذلك لم يتم تقديم طلب الشريحة هذا</w:t>
      </w:r>
      <w:r w:rsidRPr="00591557">
        <w:rPr>
          <w:sz w:val="30"/>
          <w:szCs w:val="26"/>
          <w:rtl/>
          <w:lang w:bidi="ar"/>
        </w:rPr>
        <w:t>.</w:t>
      </w:r>
    </w:p>
    <w:p w14:paraId="4EF925BA" w14:textId="6F23E08E" w:rsidR="00D74CD2" w:rsidRPr="00591557" w:rsidRDefault="00D74CD2" w:rsidP="00D74CD2">
      <w:pPr>
        <w:pStyle w:val="Heading1"/>
        <w:bidi/>
        <w:rPr>
          <w:sz w:val="30"/>
          <w:szCs w:val="26"/>
        </w:rPr>
      </w:pPr>
      <w:r w:rsidRPr="00591557">
        <w:rPr>
          <w:sz w:val="30"/>
          <w:szCs w:val="26"/>
          <w:rtl/>
          <w:lang w:bidi="ar-SA"/>
        </w:rPr>
        <w:t>وعند مناقشة طلبات الشرائح، أفادت عضو في اللجنة أنه في ضوء مسألة الزيادة الكبيرة في انبعاثات الكلوروفلوروكربون</w:t>
      </w:r>
      <w:r w:rsidRPr="00591557">
        <w:rPr>
          <w:sz w:val="30"/>
          <w:szCs w:val="26"/>
          <w:rtl/>
          <w:lang w:bidi="ar"/>
        </w:rPr>
        <w:t xml:space="preserve">-11 </w:t>
      </w:r>
      <w:r w:rsidRPr="00591557">
        <w:rPr>
          <w:sz w:val="30"/>
          <w:szCs w:val="26"/>
          <w:rtl/>
          <w:lang w:bidi="ar-SA"/>
        </w:rPr>
        <w:t xml:space="preserve">من الصين، فإن وفدها لديه مخاوف </w:t>
      </w:r>
      <w:r w:rsidR="00705A1E" w:rsidRPr="00591557">
        <w:rPr>
          <w:rFonts w:hint="cs"/>
          <w:sz w:val="30"/>
          <w:szCs w:val="26"/>
          <w:rtl/>
          <w:lang w:bidi="ar-SA"/>
        </w:rPr>
        <w:t>إزاء</w:t>
      </w:r>
      <w:r w:rsidRPr="00591557">
        <w:rPr>
          <w:sz w:val="30"/>
          <w:szCs w:val="26"/>
          <w:rtl/>
          <w:lang w:bidi="ar-SA"/>
        </w:rPr>
        <w:t xml:space="preserve"> استدامة التخفيضات في المواد المستنفدة للأوزون المحققة باستخدام التمويل من الصندوق المتعدد الأطراف، وأشارت أيضاً إلى أن بلدها غير قادر، في الوقت الراهن، على دعم تمويل المشروع للصين؛ وبالإضافة إلى ذلك، أفادت أنه قد يكون ثمة حاجة للتعويض عن الضرر البيئي الذي تسببت به الانبعاثات غير المتوقعة</w:t>
      </w:r>
      <w:r w:rsidRPr="00591557">
        <w:rPr>
          <w:sz w:val="30"/>
          <w:szCs w:val="26"/>
          <w:rtl/>
          <w:lang w:bidi="ar"/>
        </w:rPr>
        <w:t xml:space="preserve">. </w:t>
      </w:r>
      <w:r w:rsidRPr="00591557">
        <w:rPr>
          <w:sz w:val="30"/>
          <w:szCs w:val="26"/>
          <w:rtl/>
          <w:lang w:bidi="ar-SA"/>
        </w:rPr>
        <w:t xml:space="preserve">وأيّد ممثل آخر هذا الموقف، قائلاً إنه إلى أن يتم توضيح الأمر، فإن بلده غير قادر على الموافقة على شرائح جديدة لخطة إدارة إزالة المواد الهيدروكلوروفلوروكربونية، لأن ذلك </w:t>
      </w:r>
      <w:r w:rsidR="00705A1E" w:rsidRPr="00591557">
        <w:rPr>
          <w:rFonts w:hint="cs"/>
          <w:sz w:val="30"/>
          <w:szCs w:val="26"/>
          <w:rtl/>
          <w:lang w:bidi="ar-SA"/>
        </w:rPr>
        <w:t xml:space="preserve">من شأنه أن </w:t>
      </w:r>
      <w:r w:rsidRPr="00591557">
        <w:rPr>
          <w:sz w:val="30"/>
          <w:szCs w:val="26"/>
          <w:rtl/>
          <w:lang w:bidi="ar-SA"/>
        </w:rPr>
        <w:t>يقوض مصداقية بروتوكول مونتريال</w:t>
      </w:r>
      <w:r w:rsidRPr="00591557">
        <w:rPr>
          <w:sz w:val="30"/>
          <w:szCs w:val="26"/>
          <w:rtl/>
          <w:lang w:bidi="ar"/>
        </w:rPr>
        <w:t>.</w:t>
      </w:r>
    </w:p>
    <w:p w14:paraId="4729308E" w14:textId="77777777" w:rsidR="00D74CD2" w:rsidRPr="00591557" w:rsidRDefault="00D74CD2" w:rsidP="00D74CD2">
      <w:pPr>
        <w:pStyle w:val="Heading1"/>
        <w:bidi/>
        <w:rPr>
          <w:sz w:val="30"/>
          <w:szCs w:val="26"/>
        </w:rPr>
      </w:pPr>
      <w:r w:rsidRPr="00591557">
        <w:rPr>
          <w:sz w:val="30"/>
          <w:szCs w:val="26"/>
          <w:rtl/>
          <w:lang w:bidi="ar-SA"/>
        </w:rPr>
        <w:t xml:space="preserve">وعقب المناقشة، أجّلت اللجنة التنفيذية إلى الاجتماع الرابع والثمانين مسألة النظر في تنقيح الاتفاق للمرحلة الثانية من خطة إدارة إزالة المواد الهيدروكلوروفلوروكربونية للصين وطلبات تمويل الشريحة الثالثة لخطط قطاعات رغاوي البوليسترين والتبريد الصناعي والتجاري وخدمة التبريد والمذيبات في إطار المرحلة الثانية من خطة إدارة إزالة المواد الهيدروكلوروفلوروكربونية </w:t>
      </w:r>
      <w:r w:rsidRPr="00591557">
        <w:rPr>
          <w:sz w:val="30"/>
          <w:szCs w:val="26"/>
          <w:rtl/>
          <w:lang w:bidi="ar"/>
        </w:rPr>
        <w:t>(</w:t>
      </w:r>
      <w:r w:rsidRPr="00591557">
        <w:rPr>
          <w:sz w:val="30"/>
          <w:szCs w:val="26"/>
          <w:rtl/>
          <w:lang w:bidi="ar-SA"/>
        </w:rPr>
        <w:t xml:space="preserve">المقرر </w:t>
      </w:r>
      <w:r w:rsidRPr="00591557">
        <w:rPr>
          <w:sz w:val="30"/>
          <w:szCs w:val="26"/>
          <w:rtl/>
          <w:lang w:bidi="ar"/>
        </w:rPr>
        <w:t>83/55).</w:t>
      </w:r>
    </w:p>
    <w:p w14:paraId="12388537" w14:textId="77777777" w:rsidR="00D74CD2" w:rsidRPr="00591557" w:rsidRDefault="00D74CD2" w:rsidP="00D74CD2">
      <w:pPr>
        <w:rPr>
          <w:sz w:val="30"/>
          <w:szCs w:val="26"/>
        </w:rPr>
      </w:pPr>
    </w:p>
    <w:p w14:paraId="1D5B495A" w14:textId="77777777" w:rsidR="00D74CD2" w:rsidRPr="00591557" w:rsidRDefault="00D74CD2" w:rsidP="00D74CD2">
      <w:pPr>
        <w:rPr>
          <w:sz w:val="30"/>
          <w:szCs w:val="26"/>
        </w:rPr>
      </w:pPr>
    </w:p>
    <w:p w14:paraId="5219C847" w14:textId="77777777" w:rsidR="00D74CD2" w:rsidRPr="00591557" w:rsidRDefault="00D74CD2" w:rsidP="00D74CD2">
      <w:pPr>
        <w:pStyle w:val="StyleHeader4Para4Left0Firstline0"/>
        <w:numPr>
          <w:ilvl w:val="0"/>
          <w:numId w:val="0"/>
        </w:numPr>
        <w:rPr>
          <w:sz w:val="26"/>
          <w:szCs w:val="26"/>
        </w:rPr>
        <w:sectPr w:rsidR="00D74CD2" w:rsidRPr="00591557" w:rsidSect="002312BC">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pgNumType w:start="1"/>
          <w:cols w:space="720"/>
          <w:docGrid w:linePitch="299"/>
        </w:sectPr>
      </w:pPr>
    </w:p>
    <w:p w14:paraId="22C77A16" w14:textId="77777777" w:rsidR="007E5D09" w:rsidRPr="00591557" w:rsidRDefault="007E5D09" w:rsidP="008647F7">
      <w:pPr>
        <w:bidi/>
        <w:jc w:val="center"/>
        <w:rPr>
          <w:sz w:val="30"/>
          <w:szCs w:val="26"/>
          <w:rtl/>
          <w:lang w:val="en-CA"/>
        </w:rPr>
      </w:pPr>
    </w:p>
    <w:sectPr w:rsidR="007E5D09" w:rsidRPr="00591557">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4A07" w14:textId="77777777" w:rsidR="009B6C54" w:rsidRDefault="009B6C54">
      <w:r>
        <w:separator/>
      </w:r>
    </w:p>
  </w:endnote>
  <w:endnote w:type="continuationSeparator" w:id="0">
    <w:p w14:paraId="649ECE2B" w14:textId="77777777" w:rsidR="009B6C54" w:rsidRDefault="009B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2A65" w14:textId="44A6410B" w:rsidR="00D74CD2" w:rsidRPr="0033525D" w:rsidRDefault="00D74CD2">
    <w:pPr>
      <w:bidi/>
      <w:jc w:val="center"/>
    </w:pPr>
    <w:r>
      <w:fldChar w:fldCharType="begin"/>
    </w:r>
    <w:r>
      <w:instrText xml:space="preserve"> PAGE </w:instrText>
    </w:r>
    <w:r>
      <w:fldChar w:fldCharType="separate"/>
    </w:r>
    <w:r w:rsidR="00505A86">
      <w:rPr>
        <w:noProof/>
        <w:rtl/>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207059"/>
      <w:docPartObj>
        <w:docPartGallery w:val="Page Numbers (Bottom of Page)"/>
        <w:docPartUnique/>
      </w:docPartObj>
    </w:sdtPr>
    <w:sdtEndPr>
      <w:rPr>
        <w:noProof/>
      </w:rPr>
    </w:sdtEndPr>
    <w:sdtContent>
      <w:p w14:paraId="705793BF" w14:textId="39D21E2C" w:rsidR="0071170D" w:rsidRDefault="0071170D">
        <w:pPr>
          <w:pStyle w:val="Footer"/>
          <w:jc w:val="center"/>
        </w:pPr>
        <w:r>
          <w:fldChar w:fldCharType="begin"/>
        </w:r>
        <w:r>
          <w:instrText xml:space="preserve"> PAGE   \* MERGEFORMAT </w:instrText>
        </w:r>
        <w:r>
          <w:fldChar w:fldCharType="separate"/>
        </w:r>
        <w:r w:rsidR="00505A86">
          <w:rPr>
            <w:noProof/>
          </w:rPr>
          <w:t>1</w:t>
        </w:r>
        <w:r>
          <w:rPr>
            <w:noProof/>
          </w:rPr>
          <w:fldChar w:fldCharType="end"/>
        </w:r>
      </w:p>
    </w:sdtContent>
  </w:sdt>
  <w:p w14:paraId="7F6F375A" w14:textId="1DC03748" w:rsidR="00D74CD2" w:rsidRPr="0071170D" w:rsidRDefault="00D74CD2" w:rsidP="007117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7867" w14:textId="77777777" w:rsidR="00D74CD2" w:rsidRDefault="00D74CD2" w:rsidP="00CD0D75">
    <w:pPr>
      <w:jc w:val="center"/>
      <w:rPr>
        <w:sz w:val="18"/>
        <w:szCs w:val="18"/>
      </w:rPr>
    </w:pPr>
  </w:p>
  <w:p w14:paraId="4583C396" w14:textId="77777777" w:rsidR="00D74CD2" w:rsidRDefault="00D74CD2" w:rsidP="00CD0D75">
    <w:pPr>
      <w:jc w:val="center"/>
      <w:rPr>
        <w:sz w:val="18"/>
        <w:szCs w:val="18"/>
      </w:rPr>
    </w:pPr>
  </w:p>
  <w:p w14:paraId="6AF325DC" w14:textId="77777777" w:rsidR="00D74CD2" w:rsidRDefault="00D74CD2" w:rsidP="00CD0D75">
    <w:pP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C7AB" w14:textId="753DE39A" w:rsidR="00C024FA" w:rsidRDefault="00C024FA">
    <w:pPr>
      <w:jc w:val="center"/>
    </w:pPr>
    <w:r>
      <w:fldChar w:fldCharType="begin"/>
    </w:r>
    <w:r>
      <w:instrText xml:space="preserve"> PAGE </w:instrText>
    </w:r>
    <w:r>
      <w:fldChar w:fldCharType="separate"/>
    </w:r>
    <w:r w:rsidR="008647F7">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52F2" w14:textId="77777777" w:rsidR="00C024FA" w:rsidRDefault="00C024FA">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14:paraId="3E0709EA" w14:textId="50FA3008" w:rsidR="00C024FA" w:rsidRDefault="00C024FA">
        <w:pPr>
          <w:pStyle w:val="Footer"/>
          <w:jc w:val="center"/>
        </w:pPr>
        <w:r>
          <w:fldChar w:fldCharType="begin"/>
        </w:r>
        <w:r>
          <w:instrText xml:space="preserve"> PAGE   \* MERGEFORMAT </w:instrText>
        </w:r>
        <w:r>
          <w:fldChar w:fldCharType="separate"/>
        </w:r>
        <w:r w:rsidR="00505A86">
          <w:rPr>
            <w:noProof/>
          </w:rPr>
          <w:t>1</w:t>
        </w:r>
        <w:r>
          <w:rPr>
            <w:noProof/>
          </w:rPr>
          <w:fldChar w:fldCharType="end"/>
        </w:r>
      </w:p>
    </w:sdtContent>
  </w:sdt>
  <w:p w14:paraId="2F1433E5" w14:textId="77777777" w:rsidR="00C024FA" w:rsidRDefault="00C024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B701" w14:textId="77777777" w:rsidR="009B6C54" w:rsidRDefault="009B6C54">
      <w:r>
        <w:separator/>
      </w:r>
    </w:p>
  </w:footnote>
  <w:footnote w:type="continuationSeparator" w:id="0">
    <w:p w14:paraId="6B1B9928" w14:textId="77777777" w:rsidR="009B6C54" w:rsidRDefault="009B6C54">
      <w:r>
        <w:continuationSeparator/>
      </w:r>
    </w:p>
  </w:footnote>
  <w:footnote w:id="1">
    <w:p w14:paraId="60031A5C" w14:textId="7CA6324E" w:rsidR="0086320A" w:rsidRDefault="0086320A" w:rsidP="0086320A">
      <w:pPr>
        <w:pStyle w:val="FootnoteText"/>
        <w:bidi/>
        <w:rPr>
          <w:rtl/>
          <w:lang w:bidi="ar-EG"/>
        </w:rPr>
      </w:pPr>
      <w:r>
        <w:rPr>
          <w:rStyle w:val="FootnoteReference"/>
        </w:rPr>
        <w:footnoteRef/>
      </w:r>
      <w:r>
        <w:t xml:space="preserve"> </w:t>
      </w:r>
      <w:r w:rsidRPr="0086320A">
        <w:rPr>
          <w:rtl/>
          <w:lang w:bidi="ar-EG"/>
        </w:rPr>
        <w:t>لم يقدم طلب الشريحة الثالثة لخطة قطاع أجهزة تكييف هواء الغرف (18,000,000 دولار أمريكي) لأن مستوى صرف الأموال الموافق عليها للشريحة الثانية لم يصل الى نسبة العشرين في المائة.</w:t>
      </w:r>
    </w:p>
  </w:footnote>
  <w:footnote w:id="2">
    <w:p w14:paraId="5A44B256" w14:textId="39F37257" w:rsidR="00502558" w:rsidRDefault="00502558" w:rsidP="00502558">
      <w:pPr>
        <w:pStyle w:val="FootnoteText"/>
        <w:bidi/>
        <w:rPr>
          <w:rtl/>
          <w:lang w:bidi="ar-EG"/>
        </w:rPr>
      </w:pPr>
      <w:r>
        <w:rPr>
          <w:rStyle w:val="FootnoteReference"/>
        </w:rPr>
        <w:footnoteRef/>
      </w:r>
      <w:r>
        <w:t xml:space="preserve"> </w:t>
      </w:r>
      <w:r w:rsidRPr="00502558">
        <w:rPr>
          <w:rtl/>
        </w:rPr>
        <w:t>الانبعاثات غير المتوقعة للكلوروفلوروكربون-11.</w:t>
      </w:r>
    </w:p>
  </w:footnote>
  <w:footnote w:id="3">
    <w:p w14:paraId="1415C522" w14:textId="476D0E02" w:rsidR="00554A4D" w:rsidRPr="00554A4D" w:rsidRDefault="00554A4D" w:rsidP="00554A4D">
      <w:pPr>
        <w:pStyle w:val="FootnoteText"/>
        <w:bidi/>
        <w:rPr>
          <w:rtl/>
          <w:lang w:val="en-US" w:bidi="ar-EG"/>
        </w:rPr>
      </w:pPr>
      <w:r>
        <w:rPr>
          <w:rStyle w:val="FootnoteReference"/>
        </w:rPr>
        <w:footnoteRef/>
      </w:r>
      <w:r w:rsidR="00591557">
        <w:rPr>
          <w:rtl/>
        </w:rPr>
        <w:t xml:space="preserve"> </w:t>
      </w:r>
      <w:r>
        <w:rPr>
          <w:rFonts w:hint="cs"/>
          <w:rtl/>
          <w:lang w:val="en-US" w:bidi="ar-EG"/>
        </w:rPr>
        <w:t xml:space="preserve"> الوثيقة </w:t>
      </w:r>
      <w:r w:rsidRPr="009423E0">
        <w:t>UNEP/OzL.Pro/ExCom/83/11/Add.1</w:t>
      </w:r>
      <w:r>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1F84" w14:textId="6A4183DF" w:rsidR="00D74CD2" w:rsidRPr="0033525D" w:rsidRDefault="00260B4C" w:rsidP="00063FF2">
    <w:pPr>
      <w:bidi/>
      <w:jc w:val="left"/>
    </w:pPr>
    <w:fldSimple w:instr=" DOCPROPERTY  &quot;Document number&quot;  \* MERGEFORMAT ">
      <w:r w:rsidR="00F3244F">
        <w:t>UNEP/OzL.Pro/ExCom/86/21/Add.1</w:t>
      </w:r>
    </w:fldSimple>
  </w:p>
  <w:p w14:paraId="32F4261C" w14:textId="204B0977" w:rsidR="00D74CD2" w:rsidRDefault="0071170D" w:rsidP="0071170D">
    <w:pPr>
      <w:jc w:val="right"/>
    </w:pPr>
    <w:r>
      <w:t>Annex I</w:t>
    </w:r>
  </w:p>
  <w:p w14:paraId="5B66E0C1" w14:textId="77777777" w:rsidR="00D74CD2" w:rsidRPr="0033525D" w:rsidRDefault="00D74C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F3F1" w14:textId="554FECDD" w:rsidR="0071170D" w:rsidRPr="0033525D" w:rsidRDefault="0071170D" w:rsidP="0071170D">
    <w:pPr>
      <w:bidi/>
      <w:jc w:val="right"/>
    </w:pPr>
    <w:fldSimple w:instr=" DOCPROPERTY  &quot;Document number&quot;  \* MERGEFORMAT ">
      <w:r w:rsidR="00F3244F">
        <w:t>UNEP/OzL.Pro/ExCom/86/21/Add.1</w:t>
      </w:r>
    </w:fldSimple>
  </w:p>
  <w:p w14:paraId="0A480774" w14:textId="374CF1C9" w:rsidR="0071170D" w:rsidRDefault="0071170D">
    <w:pPr>
      <w:pStyle w:val="Header"/>
    </w:pPr>
    <w:r>
      <w:t>Annex I</w:t>
    </w:r>
  </w:p>
  <w:p w14:paraId="29FCEDD0" w14:textId="77777777" w:rsidR="0071170D" w:rsidRDefault="007117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3063" w14:textId="77777777" w:rsidR="00D74CD2" w:rsidRDefault="00D74CD2" w:rsidP="00A72E31">
    <w:pPr>
      <w:pStyle w:val="Header"/>
      <w:bidi/>
      <w:jc w:val="right"/>
    </w:pPr>
    <w:r>
      <w:t>UNEP/OzL.Pro/ExCom/82/45</w:t>
    </w:r>
  </w:p>
  <w:p w14:paraId="64F3117E" w14:textId="77777777" w:rsidR="00D74CD2" w:rsidRDefault="00D74CD2" w:rsidP="00A72E31">
    <w:pPr>
      <w:pStyle w:val="Header"/>
      <w:bidi/>
      <w:jc w:val="right"/>
    </w:pPr>
    <w:r>
      <w:rPr>
        <w:rtl/>
        <w:lang w:bidi="ar-SA"/>
      </w:rPr>
      <w:t>المرفق الأول</w:t>
    </w:r>
  </w:p>
  <w:p w14:paraId="5BF2EC35" w14:textId="77777777" w:rsidR="00D74CD2" w:rsidRDefault="00D74CD2" w:rsidP="00A72E31">
    <w:pPr>
      <w:pStyle w:val="Header"/>
      <w:jc w:val="right"/>
    </w:pPr>
  </w:p>
  <w:p w14:paraId="115C9A81" w14:textId="77777777" w:rsidR="00D74CD2" w:rsidRDefault="00D74CD2" w:rsidP="00A72E31">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CF21" w14:textId="0F86B8FF" w:rsidR="00C024FA" w:rsidRDefault="00260B4C" w:rsidP="0071170D">
    <w:pPr>
      <w:jc w:val="right"/>
    </w:pPr>
    <w:fldSimple w:instr=" DOCPROPERTY &quot;Document number&quot;  \* MERGEFORMAT ">
      <w:r w:rsidR="0071170D">
        <w:t>UNEP/OzL.Pro/ExCom/85/21</w:t>
      </w:r>
    </w:fldSimple>
  </w:p>
  <w:p w14:paraId="656421D1" w14:textId="16BF7030" w:rsidR="00C024FA" w:rsidRDefault="0071170D" w:rsidP="0071170D">
    <w:pPr>
      <w:jc w:val="right"/>
    </w:pPr>
    <w:r>
      <w:t>Annex II</w:t>
    </w:r>
  </w:p>
  <w:p w14:paraId="4D72404B" w14:textId="77777777" w:rsidR="00C024FA" w:rsidRDefault="00C024F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246E" w14:textId="7F52BE00" w:rsidR="00C024FA" w:rsidRDefault="00260B4C" w:rsidP="0071170D">
    <w:pPr>
      <w:jc w:val="left"/>
    </w:pPr>
    <w:fldSimple w:instr=" DOCPROPERTY &quot;Document number&quot;  \* MERGEFORMAT ">
      <w:r w:rsidR="0071170D">
        <w:t>UNEP/OzL.Pro/ExCom/85/21</w:t>
      </w:r>
    </w:fldSimple>
  </w:p>
  <w:p w14:paraId="5E678718" w14:textId="7A8F1DAF" w:rsidR="00C024FA" w:rsidRDefault="0071170D">
    <w:r>
      <w:t>Annex II</w:t>
    </w:r>
  </w:p>
  <w:p w14:paraId="44B69CBA" w14:textId="77777777" w:rsidR="00C024FA" w:rsidRDefault="00C024F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BB77" w14:textId="62DDC3FC" w:rsidR="00C024FA" w:rsidRDefault="00260B4C">
    <w:pPr>
      <w:jc w:val="left"/>
    </w:pPr>
    <w:fldSimple w:instr=" DOCPROPERTY &quot;Document number&quot;  \* MERGEFORMAT ">
      <w:r w:rsidR="0071170D">
        <w:t>UNEP/OzL.Pro/ExCom/85/21</w:t>
      </w:r>
    </w:fldSimple>
  </w:p>
  <w:p w14:paraId="75A09B25" w14:textId="43C3A7AE" w:rsidR="00C024FA" w:rsidRDefault="0071170D">
    <w:r>
      <w:t>Annex II</w:t>
    </w:r>
  </w:p>
  <w:p w14:paraId="2D6CCF42" w14:textId="77777777" w:rsidR="00C024FA" w:rsidRDefault="00C024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DB475A4"/>
    <w:lvl w:ilvl="0">
      <w:start w:val="1"/>
      <w:numFmt w:val="decimal"/>
      <w:pStyle w:val="Heading1"/>
      <w:lvlText w:val="%1."/>
      <w:lvlJc w:val="left"/>
      <w:pPr>
        <w:tabs>
          <w:tab w:val="num" w:pos="0"/>
        </w:tabs>
        <w:ind w:left="0" w:firstLine="0"/>
      </w:pPr>
      <w:rPr>
        <w:rFonts w:hint="default"/>
      </w:rPr>
    </w:lvl>
    <w:lvl w:ilvl="1">
      <w:start w:val="1"/>
      <w:numFmt w:val="arabicAbjad"/>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F42CF"/>
    <w:multiLevelType w:val="hybridMultilevel"/>
    <w:tmpl w:val="89BC60A8"/>
    <w:lvl w:ilvl="0" w:tplc="5608E004">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10CDD"/>
    <w:multiLevelType w:val="hybridMultilevel"/>
    <w:tmpl w:val="6B32E48E"/>
    <w:lvl w:ilvl="0" w:tplc="B5D6576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4822C7"/>
    <w:multiLevelType w:val="hybridMultilevel"/>
    <w:tmpl w:val="BD2A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D814A6B"/>
    <w:multiLevelType w:val="hybridMultilevel"/>
    <w:tmpl w:val="5B46E9BC"/>
    <w:lvl w:ilvl="0" w:tplc="9E28CE14">
      <w:start w:val="1"/>
      <w:numFmt w:val="upperRoman"/>
      <w:lvlText w:val="%1."/>
      <w:lvlJc w:val="left"/>
      <w:pPr>
        <w:ind w:left="1080" w:hanging="720"/>
      </w:pPr>
      <w:rPr>
        <w:rFonts w:eastAsia="SimSun" w:cs="Times New Roman" w:hint="default"/>
        <w:color w:val="00000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9" w15:restartNumberingAfterBreak="0">
    <w:nsid w:val="45CC6A6B"/>
    <w:multiLevelType w:val="hybridMultilevel"/>
    <w:tmpl w:val="F7DEB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E0C81"/>
    <w:multiLevelType w:val="hybridMultilevel"/>
    <w:tmpl w:val="CC322EE2"/>
    <w:lvl w:ilvl="0" w:tplc="08090001">
      <w:start w:val="1"/>
      <w:numFmt w:val="bullet"/>
      <w:lvlText w:val=""/>
      <w:lvlJc w:val="left"/>
      <w:pPr>
        <w:ind w:left="-2526" w:hanging="360"/>
      </w:pPr>
      <w:rPr>
        <w:rFonts w:ascii="Symbol" w:hAnsi="Symbol" w:hint="default"/>
      </w:rPr>
    </w:lvl>
    <w:lvl w:ilvl="1" w:tplc="08090003">
      <w:start w:val="1"/>
      <w:numFmt w:val="bullet"/>
      <w:lvlText w:val="o"/>
      <w:lvlJc w:val="left"/>
      <w:pPr>
        <w:ind w:left="-1806" w:hanging="360"/>
      </w:pPr>
      <w:rPr>
        <w:rFonts w:ascii="Courier New" w:hAnsi="Courier New" w:hint="default"/>
      </w:rPr>
    </w:lvl>
    <w:lvl w:ilvl="2" w:tplc="08090005">
      <w:start w:val="1"/>
      <w:numFmt w:val="bullet"/>
      <w:lvlText w:val=""/>
      <w:lvlJc w:val="left"/>
      <w:pPr>
        <w:ind w:left="-1086" w:hanging="360"/>
      </w:pPr>
      <w:rPr>
        <w:rFonts w:ascii="Wingdings" w:hAnsi="Wingdings" w:hint="default"/>
      </w:rPr>
    </w:lvl>
    <w:lvl w:ilvl="3" w:tplc="08090001">
      <w:start w:val="1"/>
      <w:numFmt w:val="bullet"/>
      <w:lvlText w:val=""/>
      <w:lvlJc w:val="left"/>
      <w:pPr>
        <w:ind w:left="-366" w:hanging="360"/>
      </w:pPr>
      <w:rPr>
        <w:rFonts w:ascii="Symbol" w:hAnsi="Symbol" w:hint="default"/>
      </w:rPr>
    </w:lvl>
    <w:lvl w:ilvl="4" w:tplc="08090003">
      <w:start w:val="1"/>
      <w:numFmt w:val="bullet"/>
      <w:lvlText w:val="o"/>
      <w:lvlJc w:val="left"/>
      <w:pPr>
        <w:ind w:left="354" w:hanging="360"/>
      </w:pPr>
      <w:rPr>
        <w:rFonts w:ascii="Courier New" w:hAnsi="Courier New" w:hint="default"/>
      </w:rPr>
    </w:lvl>
    <w:lvl w:ilvl="5" w:tplc="08090005">
      <w:start w:val="1"/>
      <w:numFmt w:val="bullet"/>
      <w:lvlText w:val=""/>
      <w:lvlJc w:val="left"/>
      <w:pPr>
        <w:ind w:left="1074" w:hanging="360"/>
      </w:pPr>
      <w:rPr>
        <w:rFonts w:ascii="Wingdings" w:hAnsi="Wingdings" w:hint="default"/>
      </w:rPr>
    </w:lvl>
    <w:lvl w:ilvl="6" w:tplc="08090001" w:tentative="1">
      <w:start w:val="1"/>
      <w:numFmt w:val="bullet"/>
      <w:lvlText w:val=""/>
      <w:lvlJc w:val="left"/>
      <w:pPr>
        <w:ind w:left="1794" w:hanging="360"/>
      </w:pPr>
      <w:rPr>
        <w:rFonts w:ascii="Symbol" w:hAnsi="Symbol" w:hint="default"/>
      </w:rPr>
    </w:lvl>
    <w:lvl w:ilvl="7" w:tplc="08090003" w:tentative="1">
      <w:start w:val="1"/>
      <w:numFmt w:val="bullet"/>
      <w:lvlText w:val="o"/>
      <w:lvlJc w:val="left"/>
      <w:pPr>
        <w:ind w:left="2514" w:hanging="360"/>
      </w:pPr>
      <w:rPr>
        <w:rFonts w:ascii="Courier New" w:hAnsi="Courier New" w:hint="default"/>
      </w:rPr>
    </w:lvl>
    <w:lvl w:ilvl="8" w:tplc="08090005" w:tentative="1">
      <w:start w:val="1"/>
      <w:numFmt w:val="bullet"/>
      <w:lvlText w:val=""/>
      <w:lvlJc w:val="left"/>
      <w:pPr>
        <w:ind w:left="3234"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8783F7C"/>
    <w:multiLevelType w:val="multilevel"/>
    <w:tmpl w:val="98A4482C"/>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5E9B2301"/>
    <w:multiLevelType w:val="hybridMultilevel"/>
    <w:tmpl w:val="1988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EA6EA3"/>
    <w:multiLevelType w:val="hybridMultilevel"/>
    <w:tmpl w:val="56FEB6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15619"/>
    <w:multiLevelType w:val="multilevel"/>
    <w:tmpl w:val="A6CEDB7E"/>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6152505A"/>
    <w:multiLevelType w:val="hybridMultilevel"/>
    <w:tmpl w:val="8C4CA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CE4315"/>
    <w:multiLevelType w:val="multilevel"/>
    <w:tmpl w:val="9C0AB5C4"/>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decimal"/>
      <w:lvlText w:val="&quot;%3&quot;"/>
      <w:lvlJc w:val="right"/>
      <w:pPr>
        <w:tabs>
          <w:tab w:val="num" w:pos="0"/>
        </w:tabs>
        <w:ind w:left="2160" w:hanging="720"/>
      </w:pPr>
      <w:rPr>
        <w:rFonts w:hint="default"/>
        <w:caps w:val="0"/>
        <w:smallCaps w:val="0"/>
        <w:strike w:val="0"/>
        <w:dstrike w:val="0"/>
        <w:outline w:val="0"/>
        <w:emboss w:val="0"/>
        <w:imprint w:val="0"/>
        <w:spacing w:val="0"/>
        <w:w w:val="100"/>
        <w:kern w:val="0"/>
        <w:position w:val="0"/>
        <w:vertAlign w:val="baseline"/>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0"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79F63CC"/>
    <w:multiLevelType w:val="hybridMultilevel"/>
    <w:tmpl w:val="CDA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E7006"/>
    <w:multiLevelType w:val="multilevel"/>
    <w:tmpl w:val="B914D880"/>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22"/>
  </w:num>
  <w:num w:numId="19">
    <w:abstractNumId w:val="33"/>
  </w:num>
  <w:num w:numId="20">
    <w:abstractNumId w:val="17"/>
  </w:num>
  <w:num w:numId="21">
    <w:abstractNumId w:val="11"/>
  </w:num>
  <w:num w:numId="22">
    <w:abstractNumId w:val="15"/>
  </w:num>
  <w:num w:numId="23">
    <w:abstractNumId w:val="30"/>
  </w:num>
  <w:num w:numId="24">
    <w:abstractNumId w:val="25"/>
  </w:num>
  <w:num w:numId="25">
    <w:abstractNumId w:val="32"/>
  </w:num>
  <w:num w:numId="26">
    <w:abstractNumId w:val="27"/>
  </w:num>
  <w:num w:numId="27">
    <w:abstractNumId w:val="13"/>
  </w:num>
  <w:num w:numId="28">
    <w:abstractNumId w:val="23"/>
  </w:num>
  <w:num w:numId="29">
    <w:abstractNumId w:val="18"/>
  </w:num>
  <w:num w:numId="30">
    <w:abstractNumId w:val="26"/>
  </w:num>
  <w:num w:numId="31">
    <w:abstractNumId w:val="20"/>
  </w:num>
  <w:num w:numId="32">
    <w:abstractNumId w:val="28"/>
  </w:num>
  <w:num w:numId="33">
    <w:abstractNumId w:val="16"/>
  </w:num>
  <w:num w:numId="34">
    <w:abstractNumId w:val="24"/>
  </w:num>
  <w:num w:numId="35">
    <w:abstractNumId w:val="19"/>
  </w:num>
  <w:num w:numId="36">
    <w:abstractNumId w:val="31"/>
  </w:num>
  <w:num w:numId="37">
    <w:abstractNumId w:val="1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D6"/>
    <w:rsid w:val="0000128F"/>
    <w:rsid w:val="00013372"/>
    <w:rsid w:val="000377F3"/>
    <w:rsid w:val="0004254A"/>
    <w:rsid w:val="00045A77"/>
    <w:rsid w:val="00072A97"/>
    <w:rsid w:val="000861FE"/>
    <w:rsid w:val="000C1F10"/>
    <w:rsid w:val="000C2FE8"/>
    <w:rsid w:val="000F611B"/>
    <w:rsid w:val="0015206D"/>
    <w:rsid w:val="00232872"/>
    <w:rsid w:val="00260B4C"/>
    <w:rsid w:val="00271EAE"/>
    <w:rsid w:val="002C359A"/>
    <w:rsid w:val="002E7EF7"/>
    <w:rsid w:val="002F505F"/>
    <w:rsid w:val="00304DAB"/>
    <w:rsid w:val="003263B5"/>
    <w:rsid w:val="003379A2"/>
    <w:rsid w:val="003C540E"/>
    <w:rsid w:val="003E6729"/>
    <w:rsid w:val="003F2852"/>
    <w:rsid w:val="00410D77"/>
    <w:rsid w:val="00412FD6"/>
    <w:rsid w:val="00496BC0"/>
    <w:rsid w:val="004C5B74"/>
    <w:rsid w:val="005008FC"/>
    <w:rsid w:val="00502558"/>
    <w:rsid w:val="00505A86"/>
    <w:rsid w:val="00532BD7"/>
    <w:rsid w:val="00554A4D"/>
    <w:rsid w:val="0056147F"/>
    <w:rsid w:val="00591557"/>
    <w:rsid w:val="005C7D4A"/>
    <w:rsid w:val="00631E20"/>
    <w:rsid w:val="00662A73"/>
    <w:rsid w:val="006A065E"/>
    <w:rsid w:val="006C70C2"/>
    <w:rsid w:val="006F2A2C"/>
    <w:rsid w:val="006F7D78"/>
    <w:rsid w:val="00705A1E"/>
    <w:rsid w:val="0071170D"/>
    <w:rsid w:val="0071354C"/>
    <w:rsid w:val="00725038"/>
    <w:rsid w:val="00786775"/>
    <w:rsid w:val="007D74CB"/>
    <w:rsid w:val="007E5D09"/>
    <w:rsid w:val="0086320A"/>
    <w:rsid w:val="008647F7"/>
    <w:rsid w:val="008E0483"/>
    <w:rsid w:val="009B6C54"/>
    <w:rsid w:val="00A44778"/>
    <w:rsid w:val="00A54FC6"/>
    <w:rsid w:val="00A55C5D"/>
    <w:rsid w:val="00AB4886"/>
    <w:rsid w:val="00B11DB6"/>
    <w:rsid w:val="00B40E87"/>
    <w:rsid w:val="00B803EF"/>
    <w:rsid w:val="00B81E83"/>
    <w:rsid w:val="00B94006"/>
    <w:rsid w:val="00BB445E"/>
    <w:rsid w:val="00C024FA"/>
    <w:rsid w:val="00D74CD2"/>
    <w:rsid w:val="00D958B0"/>
    <w:rsid w:val="00DE3E58"/>
    <w:rsid w:val="00DF2474"/>
    <w:rsid w:val="00E1360E"/>
    <w:rsid w:val="00EC108E"/>
    <w:rsid w:val="00F311C3"/>
    <w:rsid w:val="00F32389"/>
    <w:rsid w:val="00F3244F"/>
    <w:rsid w:val="00F34270"/>
    <w:rsid w:val="00FA6941"/>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D1BC8"/>
  <w15:docId w15:val="{9A3D5116-DE85-46C4-91B6-2A782D75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1 Char"/>
    <w:basedOn w:val="Normal"/>
    <w:next w:val="Normal"/>
    <w:link w:val="Heading2Char"/>
    <w:uiPriority w:val="9"/>
    <w:qFormat/>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uiPriority w:val="99"/>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ListParagraph">
    <w:name w:val="List Paragraph"/>
    <w:aliases w:val="Bullet OSM,Bullets,CORE-1.1.1,Dot pt,Heading 2_sj,List Paragraph (numbered (a)),List Paragraph1,List Paragraph11,Numbered Para 1,Proposal Bullet List,Report Para,Resume Title,TOC style,Table,WB Para,WinDForce-Letter,bullets,d_bodyb,lp1,L"/>
    <w:basedOn w:val="Normal"/>
    <w:link w:val="ListParagraphChar"/>
    <w:uiPriority w:val="34"/>
    <w:qFormat/>
    <w:rsid w:val="0056147F"/>
    <w:pPr>
      <w:ind w:left="720"/>
      <w:contextualSpacing/>
    </w:pPr>
    <w:rPr>
      <w:sz w:val="22"/>
      <w:szCs w:val="22"/>
      <w:lang w:bidi="ar-SA"/>
    </w:rPr>
  </w:style>
  <w:style w:type="table" w:customStyle="1" w:styleId="TableGrid10">
    <w:name w:val="Table Grid1"/>
    <w:basedOn w:val="TableNormal"/>
    <w:next w:val="TableGrid"/>
    <w:uiPriority w:val="59"/>
    <w:rsid w:val="00561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 Char Char"/>
    <w:basedOn w:val="Normal"/>
    <w:link w:val="FootnoteTextChar"/>
    <w:uiPriority w:val="99"/>
    <w:unhideWhenUsed/>
    <w:qFormat/>
    <w:rsid w:val="0056147F"/>
    <w:rPr>
      <w:sz w:val="20"/>
      <w:lang w:bidi="ar-SA"/>
    </w:rPr>
  </w:style>
  <w:style w:type="character" w:customStyle="1" w:styleId="FootnoteTextChar">
    <w:name w:val="Footnote Text Char"/>
    <w:aliases w:val="Char1 Char,Char1 Char Char Char"/>
    <w:basedOn w:val="DefaultParagraphFont"/>
    <w:link w:val="FootnoteText"/>
    <w:uiPriority w:val="99"/>
    <w:rsid w:val="0056147F"/>
    <w:rPr>
      <w:lang w:val="en-GB"/>
    </w:rPr>
  </w:style>
  <w:style w:type="character" w:styleId="FootnoteReference">
    <w:name w:val="footnote reference"/>
    <w:aliases w:val="ftref,16 Point,Superscript 6 Point,Superscript 6 Point + 11 pt,BVI fnr,BVI fnr Car Car,BVI fnr Car,BVI fnr Car Car Car Car,Footnote text"/>
    <w:basedOn w:val="DefaultParagraphFont"/>
    <w:uiPriority w:val="99"/>
    <w:unhideWhenUsed/>
    <w:rsid w:val="0056147F"/>
    <w:rPr>
      <w:vertAlign w:val="superscript"/>
    </w:rPr>
  </w:style>
  <w:style w:type="character" w:customStyle="1" w:styleId="ListParagraphChar">
    <w:name w:val="List Paragraph Char"/>
    <w:aliases w:val="Bullet OSM Char,Bullets Char,CORE-1.1.1 Char,Dot pt Char,Heading 2_sj Char,List Paragraph (numbered (a)) Char,List Paragraph1 Char,List Paragraph11 Char,Numbered Para 1 Char,Proposal Bullet List Char,Report Para Char,TOC style Char"/>
    <w:link w:val="ListParagraph"/>
    <w:uiPriority w:val="34"/>
    <w:qFormat/>
    <w:rsid w:val="00C024FA"/>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C024FA"/>
    <w:rPr>
      <w:sz w:val="24"/>
      <w:lang w:val="en-GB" w:bidi="ar-DZ"/>
    </w:rPr>
  </w:style>
  <w:style w:type="paragraph" w:styleId="NormalWeb">
    <w:name w:val="Normal (Web)"/>
    <w:basedOn w:val="Normal"/>
    <w:uiPriority w:val="99"/>
    <w:semiHidden/>
    <w:unhideWhenUsed/>
    <w:rsid w:val="00C024FA"/>
    <w:rPr>
      <w:rFonts w:eastAsia="SimSun"/>
      <w:szCs w:val="24"/>
      <w:lang w:bidi="ar-SA"/>
    </w:rPr>
  </w:style>
  <w:style w:type="paragraph" w:styleId="Revision">
    <w:name w:val="Revision"/>
    <w:hidden/>
    <w:uiPriority w:val="99"/>
    <w:semiHidden/>
    <w:rsid w:val="00C024FA"/>
    <w:rPr>
      <w:rFonts w:eastAsia="SimSun"/>
      <w:sz w:val="22"/>
      <w:szCs w:val="22"/>
      <w:lang w:val="en-GB"/>
    </w:rPr>
  </w:style>
  <w:style w:type="character" w:customStyle="1" w:styleId="HeaderChar">
    <w:name w:val="Header Char"/>
    <w:link w:val="Header"/>
    <w:uiPriority w:val="99"/>
    <w:locked/>
    <w:rsid w:val="00D74CD2"/>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Desktop\UNEP,%20May%202020\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ca155cdd-9bf1-4174-8a2d-8747f528ddda">UNEP/OzL.Pro/ExCom/86/21/Add.1</Document_x0020_Number>
    <DocumentType xmlns="48d2d36d-b4e3-478b-a344-cdbeebaca89a">Pre-session</DocumentType>
    <Posted_x0020_after_x0020_IAP xmlns="aa4c1d13-0b99-429d-b494-d0ce00f216e9">true</Posted_x0020_after_x0020_IA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3C883A2F638749AF5FF074293958A6" ma:contentTypeVersion="3" ma:contentTypeDescription="Create a new document." ma:contentTypeScope="" ma:versionID="464fd1e75774c9ff4a81e8c270c69a25">
  <xsd:schema xmlns:xsd="http://www.w3.org/2001/XMLSchema" xmlns:p="http://schemas.microsoft.com/office/2006/metadata/properties" xmlns:ns2="ca155cdd-9bf1-4174-8a2d-8747f528ddda" xmlns:ns3="48d2d36d-b4e3-478b-a344-cdbeebaca89a" xmlns:ns4="aa4c1d13-0b99-429d-b494-d0ce00f216e9" targetNamespace="http://schemas.microsoft.com/office/2006/metadata/properties" ma:root="true" ma:fieldsID="2cef33d72b2107f4bb3954eae7fad257" ns2:_="" ns3:_="" ns4:_="">
    <xsd:import namespace="ca155cdd-9bf1-4174-8a2d-8747f528ddda"/>
    <xsd:import namespace="48d2d36d-b4e3-478b-a344-cdbeebaca89a"/>
    <xsd:import namespace="aa4c1d13-0b99-429d-b494-d0ce00f216e9"/>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a4c1d13-0b99-429d-b494-d0ce00f216e9"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21E0B8-4439-45B7-842B-028A49130AC7}"/>
</file>

<file path=customXml/itemProps2.xml><?xml version="1.0" encoding="utf-8"?>
<ds:datastoreItem xmlns:ds="http://schemas.openxmlformats.org/officeDocument/2006/customXml" ds:itemID="{80E821BD-3BC3-44CE-9902-31E55232D986}"/>
</file>

<file path=customXml/itemProps3.xml><?xml version="1.0" encoding="utf-8"?>
<ds:datastoreItem xmlns:ds="http://schemas.openxmlformats.org/officeDocument/2006/customXml" ds:itemID="{A9D4AB02-8C96-47B4-A138-3D8AECAC818D}"/>
</file>

<file path=customXml/itemProps4.xml><?xml version="1.0" encoding="utf-8"?>
<ds:datastoreItem xmlns:ds="http://schemas.openxmlformats.org/officeDocument/2006/customXml" ds:itemID="{B81BBFF6-F2DF-4F7E-B5F6-950DB1F8A9F0}"/>
</file>

<file path=docProps/app.xml><?xml version="1.0" encoding="utf-8"?>
<Properties xmlns="http://schemas.openxmlformats.org/officeDocument/2006/extended-properties" xmlns:vt="http://schemas.openxmlformats.org/officeDocument/2006/docPropsVTypes">
  <Template>A85-template - with footnote</Template>
  <TotalTime>48</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المرفق الأول</vt:lpstr>
    </vt:vector>
  </TitlesOfParts>
  <Company>UNMFS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تقارير عن المشروعات التي لديها متطلبات إبلاغ محددة - إضافة p2</dc:title>
  <dc:creator>Fathi</dc:creator>
  <cp:lastModifiedBy>HB</cp:lastModifiedBy>
  <cp:revision>28</cp:revision>
  <cp:lastPrinted>2020-05-27T15:16:00Z</cp:lastPrinted>
  <dcterms:created xsi:type="dcterms:W3CDTF">2020-05-27T15:01:00Z</dcterms:created>
  <dcterms:modified xsi:type="dcterms:W3CDTF">2020-12-08T20:12:00Z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UNEP/OzL.Pro/ExCom/86/21/Add.1</vt:lpwstr>
  </property>
  <property fmtid="{D5CDD505-2E9C-101B-9397-08002B2CF9AE}" pid="3" name="Revision date">
    <vt:lpwstr>11/6/2020</vt:lpwstr>
  </property>
  <property fmtid="{D5CDD505-2E9C-101B-9397-08002B2CF9AE}" pid="4" name="ContentTypeId">
    <vt:lpwstr>0x010100003C883A2F638749AF5FF074293958A6</vt:lpwstr>
  </property>
</Properties>
</file>