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bookmarkStart w:id="0" w:name="_GoBack"/>
            <w:bookmarkEnd w:id="0"/>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46D9442D" wp14:editId="181941C6">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1BFD1117" wp14:editId="56854FC2">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BF7168" w:rsidP="00280F18">
            <w:pPr>
              <w:rPr>
                <w:rtl/>
              </w:rPr>
            </w:pPr>
            <w:r>
              <w:fldChar w:fldCharType="begin"/>
            </w:r>
            <w:r>
              <w:instrText xml:space="preserve"> DOCPROPERTY "Document number"  \* MERGEFORMAT </w:instrText>
            </w:r>
            <w:r>
              <w:fldChar w:fldCharType="separate"/>
            </w:r>
            <w:r w:rsidR="00C73769">
              <w:t>UNEP/OzL.Pro/ExCom/86/</w:t>
            </w:r>
            <w:r w:rsidR="00280F18">
              <w:t>5</w:t>
            </w:r>
            <w:r>
              <w:fldChar w:fldCharType="end"/>
            </w:r>
          </w:p>
          <w:p w:rsidR="00662A73" w:rsidRPr="003F73BA" w:rsidRDefault="00662A73" w:rsidP="00280F18">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BD4929">
              <w:rPr>
                <w:lang w:val="en-US"/>
              </w:rPr>
              <w:t>5 November</w:t>
            </w:r>
            <w:r w:rsidR="00BD4929" w:rsidRPr="00BD4929">
              <w:t xml:space="preserve"> 2020</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A156EF">
        <w:rPr>
          <w:rFonts w:hint="cs"/>
          <w:sz w:val="28"/>
          <w:szCs w:val="28"/>
          <w:rtl/>
          <w:lang w:val="en-US" w:eastAsia="en-CA"/>
        </w:rPr>
        <w:t>ساد</w:t>
      </w:r>
      <w:r w:rsidR="00F311C3">
        <w:rPr>
          <w:rFonts w:hint="cs"/>
          <w:sz w:val="28"/>
          <w:szCs w:val="28"/>
          <w:rtl/>
          <w:lang w:val="en-US" w:eastAsia="en-CA"/>
        </w:rPr>
        <w:t>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 xml:space="preserve">2 إلى </w:t>
      </w:r>
      <w:r w:rsidR="00D95724">
        <w:rPr>
          <w:rFonts w:hint="cs"/>
          <w:sz w:val="28"/>
          <w:szCs w:val="28"/>
          <w:rtl/>
        </w:rPr>
        <w:t xml:space="preserve">6 </w:t>
      </w:r>
      <w:r w:rsidR="00A156EF">
        <w:rPr>
          <w:rFonts w:hint="cs"/>
          <w:sz w:val="28"/>
          <w:szCs w:val="28"/>
          <w:rtl/>
        </w:rPr>
        <w:t>ن</w:t>
      </w:r>
      <w:r w:rsidR="003263B5">
        <w:rPr>
          <w:rFonts w:hint="cs"/>
          <w:sz w:val="28"/>
          <w:szCs w:val="28"/>
          <w:rtl/>
        </w:rPr>
        <w:t>و</w:t>
      </w:r>
      <w:r w:rsidR="00A156EF">
        <w:rPr>
          <w:rFonts w:hint="cs"/>
          <w:sz w:val="28"/>
          <w:szCs w:val="28"/>
          <w:rtl/>
        </w:rPr>
        <w:t>فمبر</w:t>
      </w:r>
      <w:r w:rsidR="003263B5" w:rsidRPr="00532BD7">
        <w:rPr>
          <w:rFonts w:hint="cs"/>
          <w:sz w:val="28"/>
          <w:szCs w:val="28"/>
          <w:rtl/>
        </w:rPr>
        <w:t>/</w:t>
      </w:r>
      <w:r w:rsidR="00A156EF">
        <w:rPr>
          <w:rFonts w:hint="cs"/>
          <w:sz w:val="28"/>
          <w:szCs w:val="28"/>
          <w:rtl/>
        </w:rPr>
        <w:t>تشرين الثاني</w:t>
      </w:r>
      <w:r w:rsidR="003263B5" w:rsidRPr="00532BD7">
        <w:rPr>
          <w:rFonts w:hint="cs"/>
          <w:sz w:val="28"/>
          <w:szCs w:val="28"/>
          <w:rtl/>
        </w:rPr>
        <w:t xml:space="preserve"> 2020</w:t>
      </w:r>
    </w:p>
    <w:p w:rsidR="007E5D09" w:rsidRPr="00532BD7" w:rsidRDefault="003263B5" w:rsidP="00BD4929">
      <w:pPr>
        <w:pStyle w:val="0Heading0"/>
        <w:bidi/>
        <w:ind w:left="4"/>
        <w:rPr>
          <w:sz w:val="28"/>
          <w:szCs w:val="28"/>
        </w:rPr>
      </w:pPr>
      <w:r>
        <w:rPr>
          <w:rFonts w:hint="cs"/>
          <w:sz w:val="28"/>
          <w:szCs w:val="28"/>
          <w:rtl/>
        </w:rPr>
        <w:t>مؤجل: من</w:t>
      </w:r>
      <w:r w:rsidR="00E1360E">
        <w:rPr>
          <w:rFonts w:hint="cs"/>
          <w:sz w:val="28"/>
          <w:szCs w:val="28"/>
          <w:rtl/>
        </w:rPr>
        <w:t xml:space="preserve"> </w:t>
      </w:r>
      <w:r w:rsidR="00D95724">
        <w:rPr>
          <w:rFonts w:hint="cs"/>
          <w:sz w:val="28"/>
          <w:szCs w:val="28"/>
          <w:rtl/>
        </w:rPr>
        <w:t>8</w:t>
      </w:r>
      <w:r w:rsidR="00E1360E">
        <w:rPr>
          <w:rFonts w:hint="cs"/>
          <w:sz w:val="28"/>
          <w:szCs w:val="28"/>
          <w:rtl/>
        </w:rPr>
        <w:t xml:space="preserve"> إلى </w:t>
      </w:r>
      <w:r w:rsidR="00D95724">
        <w:rPr>
          <w:rFonts w:hint="cs"/>
          <w:sz w:val="28"/>
          <w:szCs w:val="28"/>
          <w:rtl/>
        </w:rPr>
        <w:t>12</w:t>
      </w:r>
      <w:r w:rsidR="00013372">
        <w:rPr>
          <w:sz w:val="28"/>
          <w:szCs w:val="28"/>
        </w:rPr>
        <w:t xml:space="preserve"> </w:t>
      </w:r>
      <w:r w:rsidR="00A44778">
        <w:rPr>
          <w:rFonts w:hint="cs"/>
          <w:sz w:val="28"/>
          <w:szCs w:val="28"/>
          <w:rtl/>
        </w:rPr>
        <w:t xml:space="preserve"> </w:t>
      </w:r>
      <w:r w:rsidR="00A156EF">
        <w:rPr>
          <w:rFonts w:hint="cs"/>
          <w:sz w:val="28"/>
          <w:szCs w:val="28"/>
          <w:rtl/>
        </w:rPr>
        <w:t>مارس</w:t>
      </w:r>
      <w:r w:rsidR="006F2A2C" w:rsidRPr="00532BD7">
        <w:rPr>
          <w:rFonts w:hint="cs"/>
          <w:sz w:val="28"/>
          <w:szCs w:val="28"/>
          <w:rtl/>
        </w:rPr>
        <w:t xml:space="preserve">/ </w:t>
      </w:r>
      <w:r w:rsidR="00A156EF">
        <w:rPr>
          <w:rFonts w:hint="cs"/>
          <w:sz w:val="28"/>
          <w:szCs w:val="28"/>
          <w:rtl/>
        </w:rPr>
        <w:t>آذار</w:t>
      </w:r>
      <w:r w:rsidR="00BD4929">
        <w:rPr>
          <w:rFonts w:hint="cs"/>
          <w:sz w:val="28"/>
          <w:szCs w:val="28"/>
          <w:rtl/>
        </w:rPr>
        <w:t xml:space="preserve">2021 </w:t>
      </w:r>
      <w:r w:rsidR="00BD4929">
        <w:rPr>
          <w:rStyle w:val="FootnoteReference"/>
          <w:sz w:val="28"/>
          <w:szCs w:val="28"/>
        </w:rPr>
        <w:footnoteReference w:id="1"/>
      </w:r>
    </w:p>
    <w:p w:rsidR="00FE13A5" w:rsidRDefault="00FE13A5" w:rsidP="00FE13A5">
      <w:pPr>
        <w:pStyle w:val="StyleHeader4Para4Left0Firstline0"/>
        <w:numPr>
          <w:ilvl w:val="0"/>
          <w:numId w:val="0"/>
        </w:numPr>
      </w:pPr>
    </w:p>
    <w:p w:rsidR="007E5D09" w:rsidRPr="00280F18" w:rsidRDefault="00280F18" w:rsidP="00280F18">
      <w:pPr>
        <w:pStyle w:val="StyleHeader4Para4Left0Firstline0"/>
        <w:numPr>
          <w:ilvl w:val="0"/>
          <w:numId w:val="0"/>
        </w:numPr>
        <w:bidi/>
        <w:jc w:val="center"/>
        <w:rPr>
          <w:b/>
          <w:bCs/>
          <w:sz w:val="32"/>
          <w:szCs w:val="32"/>
          <w:rtl/>
        </w:rPr>
      </w:pPr>
      <w:r w:rsidRPr="00280F18">
        <w:rPr>
          <w:rFonts w:hint="cs"/>
          <w:b/>
          <w:bCs/>
          <w:sz w:val="32"/>
          <w:szCs w:val="32"/>
          <w:rtl/>
        </w:rPr>
        <w:t>الحسابات النهائية لعام 2019</w:t>
      </w:r>
    </w:p>
    <w:p w:rsidR="00280F18" w:rsidRPr="00280F18" w:rsidRDefault="00280F18" w:rsidP="00280F18">
      <w:pPr>
        <w:pStyle w:val="StyleHeader4Para4Left0Firstline0"/>
        <w:numPr>
          <w:ilvl w:val="0"/>
          <w:numId w:val="0"/>
        </w:numPr>
        <w:bidi/>
        <w:jc w:val="left"/>
        <w:rPr>
          <w:b/>
          <w:bCs/>
          <w:sz w:val="28"/>
          <w:szCs w:val="28"/>
          <w:rtl/>
        </w:rPr>
      </w:pPr>
      <w:r w:rsidRPr="00280F18">
        <w:rPr>
          <w:rFonts w:hint="cs"/>
          <w:b/>
          <w:bCs/>
          <w:sz w:val="28"/>
          <w:szCs w:val="28"/>
          <w:rtl/>
        </w:rPr>
        <w:t>مقدمة</w:t>
      </w:r>
    </w:p>
    <w:p w:rsidR="00280F18" w:rsidRDefault="00280F18" w:rsidP="00280F18">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1</w:t>
      </w:r>
      <w:r>
        <w:rPr>
          <w:rFonts w:hint="cs"/>
          <w:sz w:val="26"/>
          <w:szCs w:val="26"/>
          <w:rtl/>
        </w:rPr>
        <w:tab/>
        <w:t>تعرض هذه الوثيقة الحسابا النهائية للصندوق المتعدد الأطراف للسنة المنتهية في 31 ديسمبر/كانون الأول 2019. ويتألف المرفق الأول بهذه الوثيقة من الجداول التالية:</w:t>
      </w:r>
    </w:p>
    <w:p w:rsidR="00280F18" w:rsidRDefault="00867296" w:rsidP="00280F18">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r>
      <w:r w:rsidR="00280F18">
        <w:rPr>
          <w:rFonts w:hint="cs"/>
          <w:sz w:val="26"/>
          <w:szCs w:val="26"/>
          <w:rtl/>
        </w:rPr>
        <w:t>الجدول 1-1</w:t>
      </w:r>
      <w:r w:rsidR="00280F18">
        <w:rPr>
          <w:rFonts w:hint="cs"/>
          <w:sz w:val="26"/>
          <w:szCs w:val="26"/>
          <w:rtl/>
        </w:rPr>
        <w:tab/>
        <w:t xml:space="preserve">بيان الإيرادات والنفقات لعام 2019 </w:t>
      </w:r>
    </w:p>
    <w:p w:rsidR="00280F18" w:rsidRDefault="00867296" w:rsidP="00280F18">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r>
      <w:r w:rsidR="00280F18">
        <w:rPr>
          <w:rFonts w:hint="cs"/>
          <w:sz w:val="26"/>
          <w:szCs w:val="26"/>
          <w:rtl/>
        </w:rPr>
        <w:t>الجدول 1-2</w:t>
      </w:r>
      <w:r w:rsidR="00280F18">
        <w:rPr>
          <w:rFonts w:hint="cs"/>
          <w:sz w:val="26"/>
          <w:szCs w:val="26"/>
          <w:rtl/>
        </w:rPr>
        <w:tab/>
        <w:t xml:space="preserve">بيان الوضع المالى لعام 2019 </w:t>
      </w:r>
    </w:p>
    <w:p w:rsidR="00280F18" w:rsidRDefault="00867296" w:rsidP="00280F18">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r>
      <w:r w:rsidR="00280F18">
        <w:rPr>
          <w:rFonts w:hint="cs"/>
          <w:sz w:val="26"/>
          <w:szCs w:val="26"/>
          <w:rtl/>
        </w:rPr>
        <w:t>الجدول 1-3</w:t>
      </w:r>
      <w:r w:rsidR="00280F18">
        <w:rPr>
          <w:rFonts w:hint="cs"/>
          <w:sz w:val="26"/>
          <w:szCs w:val="26"/>
          <w:rtl/>
        </w:rPr>
        <w:tab/>
        <w:t xml:space="preserve">نفقات الأمانة لعام 2019 </w:t>
      </w:r>
    </w:p>
    <w:p w:rsidR="00280F18" w:rsidRDefault="00867296" w:rsidP="00280F18">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r>
      <w:r w:rsidR="00280F18">
        <w:rPr>
          <w:rFonts w:hint="cs"/>
          <w:sz w:val="26"/>
          <w:szCs w:val="26"/>
          <w:rtl/>
        </w:rPr>
        <w:t>الجدول 1-4</w:t>
      </w:r>
      <w:r w:rsidR="00280F18">
        <w:rPr>
          <w:rFonts w:hint="cs"/>
          <w:sz w:val="26"/>
          <w:szCs w:val="26"/>
          <w:rtl/>
        </w:rPr>
        <w:tab/>
        <w:t xml:space="preserve">الحسابات الفرعية للأنشطة التى يديرها اليونديبي للفترة 1991-2019 </w:t>
      </w:r>
    </w:p>
    <w:p w:rsidR="00867296" w:rsidRDefault="00867296" w:rsidP="00867296">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r>
      <w:r w:rsidR="00280F18">
        <w:rPr>
          <w:rFonts w:hint="cs"/>
          <w:sz w:val="26"/>
          <w:szCs w:val="26"/>
          <w:rtl/>
        </w:rPr>
        <w:t>الجدول 1-5</w:t>
      </w:r>
      <w:r w:rsidR="00280F18">
        <w:rPr>
          <w:rFonts w:hint="cs"/>
          <w:sz w:val="26"/>
          <w:szCs w:val="26"/>
          <w:rtl/>
        </w:rPr>
        <w:tab/>
      </w:r>
      <w:r>
        <w:rPr>
          <w:sz w:val="26"/>
          <w:szCs w:val="26"/>
          <w:rtl/>
        </w:rPr>
        <w:t xml:space="preserve">الحسابات الفرعية للأنشطة التى يديرها </w:t>
      </w:r>
      <w:r>
        <w:rPr>
          <w:rFonts w:hint="cs"/>
          <w:sz w:val="26"/>
          <w:szCs w:val="26"/>
          <w:rtl/>
        </w:rPr>
        <w:t>اليونيب</w:t>
      </w:r>
      <w:r>
        <w:rPr>
          <w:sz w:val="26"/>
          <w:szCs w:val="26"/>
          <w:rtl/>
        </w:rPr>
        <w:t xml:space="preserve"> للفترة 1991-2019</w:t>
      </w:r>
    </w:p>
    <w:p w:rsidR="00867296" w:rsidRDefault="00867296" w:rsidP="00867296">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t>الجدول 1-6</w:t>
      </w:r>
      <w:r>
        <w:rPr>
          <w:rFonts w:hint="cs"/>
          <w:sz w:val="26"/>
          <w:szCs w:val="26"/>
          <w:rtl/>
        </w:rPr>
        <w:tab/>
      </w:r>
      <w:r>
        <w:rPr>
          <w:sz w:val="26"/>
          <w:szCs w:val="26"/>
          <w:rtl/>
        </w:rPr>
        <w:t xml:space="preserve">الحسابات الفرعية للأنشطة التى </w:t>
      </w:r>
      <w:r>
        <w:rPr>
          <w:rFonts w:hint="cs"/>
          <w:sz w:val="26"/>
          <w:szCs w:val="26"/>
          <w:rtl/>
        </w:rPr>
        <w:t>ت</w:t>
      </w:r>
      <w:r>
        <w:rPr>
          <w:sz w:val="26"/>
          <w:szCs w:val="26"/>
          <w:rtl/>
        </w:rPr>
        <w:t xml:space="preserve">ديرها </w:t>
      </w:r>
      <w:r>
        <w:rPr>
          <w:rFonts w:hint="cs"/>
          <w:sz w:val="26"/>
          <w:szCs w:val="26"/>
          <w:rtl/>
        </w:rPr>
        <w:t>اليونيدو</w:t>
      </w:r>
      <w:r>
        <w:rPr>
          <w:sz w:val="26"/>
          <w:szCs w:val="26"/>
          <w:rtl/>
        </w:rPr>
        <w:t xml:space="preserve"> للفترة 1991-2019</w:t>
      </w:r>
    </w:p>
    <w:p w:rsidR="00867296" w:rsidRDefault="00867296" w:rsidP="00867296">
      <w:pPr>
        <w:pStyle w:val="StyleHeader4Para4Left0Firstline0"/>
        <w:numPr>
          <w:ilvl w:val="0"/>
          <w:numId w:val="0"/>
        </w:numPr>
        <w:tabs>
          <w:tab w:val="clear" w:pos="2880"/>
          <w:tab w:val="clear" w:pos="5760"/>
          <w:tab w:val="left" w:pos="0"/>
        </w:tabs>
        <w:bidi/>
        <w:jc w:val="left"/>
        <w:rPr>
          <w:sz w:val="26"/>
          <w:szCs w:val="26"/>
          <w:rtl/>
        </w:rPr>
      </w:pPr>
      <w:r>
        <w:rPr>
          <w:rFonts w:hint="cs"/>
          <w:sz w:val="26"/>
          <w:szCs w:val="26"/>
          <w:rtl/>
        </w:rPr>
        <w:tab/>
        <w:t>الجدول 1-7</w:t>
      </w:r>
      <w:r>
        <w:rPr>
          <w:rFonts w:hint="cs"/>
          <w:sz w:val="26"/>
          <w:szCs w:val="26"/>
          <w:rtl/>
        </w:rPr>
        <w:tab/>
      </w:r>
      <w:r>
        <w:rPr>
          <w:sz w:val="26"/>
          <w:szCs w:val="26"/>
          <w:rtl/>
        </w:rPr>
        <w:t xml:space="preserve">الحسابات الفرعية للأنشطة التى يديرها </w:t>
      </w:r>
      <w:r>
        <w:rPr>
          <w:rFonts w:hint="cs"/>
          <w:sz w:val="26"/>
          <w:szCs w:val="26"/>
          <w:rtl/>
        </w:rPr>
        <w:t>البنك الدولى</w:t>
      </w:r>
      <w:r>
        <w:rPr>
          <w:sz w:val="26"/>
          <w:szCs w:val="26"/>
          <w:rtl/>
        </w:rPr>
        <w:t xml:space="preserve"> للفترة 1991-2019</w:t>
      </w:r>
    </w:p>
    <w:p w:rsidR="00280F18" w:rsidRPr="00280F18" w:rsidRDefault="00867296" w:rsidP="00BD4929">
      <w:pPr>
        <w:pStyle w:val="StyleHeader4Para4Left0Firstline0"/>
        <w:keepNext/>
        <w:keepLines/>
        <w:numPr>
          <w:ilvl w:val="0"/>
          <w:numId w:val="0"/>
        </w:numPr>
        <w:tabs>
          <w:tab w:val="clear" w:pos="2880"/>
          <w:tab w:val="clear" w:pos="5760"/>
          <w:tab w:val="left" w:pos="0"/>
        </w:tabs>
        <w:bidi/>
        <w:rPr>
          <w:sz w:val="26"/>
          <w:szCs w:val="26"/>
        </w:rPr>
      </w:pPr>
      <w:r>
        <w:rPr>
          <w:rFonts w:hint="cs"/>
          <w:sz w:val="26"/>
          <w:szCs w:val="26"/>
          <w:rtl/>
        </w:rPr>
        <w:lastRenderedPageBreak/>
        <w:t>2</w:t>
      </w:r>
      <w:r>
        <w:rPr>
          <w:rFonts w:hint="cs"/>
          <w:sz w:val="26"/>
          <w:szCs w:val="26"/>
          <w:rtl/>
        </w:rPr>
        <w:tab/>
        <w:t xml:space="preserve">يوفر الجدول 1-1 معلومات عن المساهمات المتفق عليها بموجب فئة الإيرادات. ويبين </w:t>
      </w:r>
      <w:r w:rsidR="00B4600D">
        <w:rPr>
          <w:rFonts w:hint="cs"/>
          <w:sz w:val="26"/>
          <w:szCs w:val="26"/>
          <w:rtl/>
        </w:rPr>
        <w:t>مكاسب</w:t>
      </w:r>
      <w:r>
        <w:rPr>
          <w:rFonts w:hint="cs"/>
          <w:sz w:val="26"/>
          <w:szCs w:val="26"/>
          <w:rtl/>
        </w:rPr>
        <w:t xml:space="preserve"> آلية معدل الصرف الثابتة بمبلغ 935 507 دولار أمريكي في عام 2019 بالمقارنة بمكسب يبلغ 302 907 1 دولار أمريكي في عام 2018، ويرجع ذلك لمعدل صرف دولار الولايات المتحدة في عام 2019 بالمقارنة بالعملات الأخرى. </w:t>
      </w:r>
      <w:r w:rsidR="00280F18">
        <w:rPr>
          <w:rFonts w:hint="cs"/>
          <w:sz w:val="26"/>
          <w:szCs w:val="26"/>
          <w:rtl/>
        </w:rPr>
        <w:tab/>
      </w:r>
      <w:r>
        <w:rPr>
          <w:rFonts w:hint="cs"/>
          <w:sz w:val="26"/>
          <w:szCs w:val="26"/>
          <w:rtl/>
        </w:rPr>
        <w:t xml:space="preserve">ويوفر </w:t>
      </w:r>
    </w:p>
    <w:p w:rsidR="007E5D09" w:rsidRDefault="00867296" w:rsidP="00BD4929">
      <w:pPr>
        <w:pStyle w:val="StyleHeader4Para4Left0Firstline0"/>
        <w:keepNext/>
        <w:keepLines/>
        <w:numPr>
          <w:ilvl w:val="0"/>
          <w:numId w:val="0"/>
        </w:numPr>
        <w:bidi/>
        <w:jc w:val="left"/>
        <w:rPr>
          <w:sz w:val="26"/>
          <w:szCs w:val="26"/>
          <w:rtl/>
        </w:rPr>
      </w:pPr>
      <w:r w:rsidRPr="00867296">
        <w:rPr>
          <w:rFonts w:hint="cs"/>
          <w:sz w:val="26"/>
          <w:szCs w:val="26"/>
          <w:rtl/>
        </w:rPr>
        <w:t>الجدول</w:t>
      </w:r>
      <w:r w:rsidR="00A977C5">
        <w:rPr>
          <w:rFonts w:hint="cs"/>
          <w:sz w:val="26"/>
          <w:szCs w:val="26"/>
          <w:rtl/>
        </w:rPr>
        <w:t xml:space="preserve"> أيضا البيانات المجمعة عن نفقات الأمانة والوكالات المنفذة؛ ورصيد الصندوق الصافى في نهاية عام 2019.</w:t>
      </w:r>
    </w:p>
    <w:p w:rsidR="00A977C5" w:rsidRDefault="007E4A4C" w:rsidP="002D3546">
      <w:pPr>
        <w:pStyle w:val="StyleHeader4Para4Left0Firstline0"/>
        <w:numPr>
          <w:ilvl w:val="0"/>
          <w:numId w:val="0"/>
        </w:numPr>
        <w:tabs>
          <w:tab w:val="clear" w:pos="2880"/>
          <w:tab w:val="clear" w:pos="5760"/>
          <w:tab w:val="left" w:pos="0"/>
        </w:tabs>
        <w:bidi/>
        <w:rPr>
          <w:sz w:val="26"/>
          <w:szCs w:val="26"/>
          <w:rtl/>
        </w:rPr>
      </w:pPr>
      <w:r>
        <w:rPr>
          <w:rFonts w:hint="cs"/>
          <w:sz w:val="26"/>
          <w:szCs w:val="26"/>
          <w:rtl/>
        </w:rPr>
        <w:t>3</w:t>
      </w:r>
      <w:r w:rsidR="00A977C5">
        <w:rPr>
          <w:rFonts w:hint="cs"/>
          <w:sz w:val="26"/>
          <w:szCs w:val="26"/>
          <w:rtl/>
        </w:rPr>
        <w:tab/>
      </w:r>
      <w:r w:rsidR="002D3546">
        <w:rPr>
          <w:rFonts w:hint="cs"/>
          <w:sz w:val="26"/>
          <w:szCs w:val="26"/>
          <w:rtl/>
        </w:rPr>
        <w:t xml:space="preserve">يعرض الجدول 1-2 حالة التعهدات الطوعية الواردة التى بلغت 287 451 27 </w:t>
      </w:r>
      <w:r w:rsidR="002D3546">
        <w:rPr>
          <w:sz w:val="26"/>
          <w:szCs w:val="26"/>
          <w:rtl/>
        </w:rPr>
        <w:t>دولار أمريكي</w:t>
      </w:r>
      <w:r w:rsidR="002D3546">
        <w:rPr>
          <w:rFonts w:hint="cs"/>
          <w:sz w:val="26"/>
          <w:szCs w:val="26"/>
          <w:rtl/>
        </w:rPr>
        <w:t xml:space="preserve">. هذا بعد خفض المجموع التجميعى الوارد البالغ 014 117 211 </w:t>
      </w:r>
      <w:r w:rsidR="002D3546">
        <w:rPr>
          <w:sz w:val="26"/>
          <w:szCs w:val="26"/>
          <w:rtl/>
        </w:rPr>
        <w:t>دولار أمريكي</w:t>
      </w:r>
      <w:r w:rsidR="002D3546">
        <w:rPr>
          <w:rFonts w:hint="cs"/>
          <w:sz w:val="26"/>
          <w:szCs w:val="26"/>
          <w:rtl/>
        </w:rPr>
        <w:t xml:space="preserve"> بمبلغ 727 665 183 </w:t>
      </w:r>
      <w:r w:rsidR="002D3546">
        <w:rPr>
          <w:sz w:val="26"/>
          <w:szCs w:val="26"/>
          <w:rtl/>
        </w:rPr>
        <w:t>دولار أمريكي</w:t>
      </w:r>
      <w:r w:rsidR="002D3546">
        <w:rPr>
          <w:rFonts w:hint="cs"/>
          <w:sz w:val="26"/>
          <w:szCs w:val="26"/>
          <w:rtl/>
        </w:rPr>
        <w:t xml:space="preserve"> على أنه مخصص للحسابات المشبوهة تمشيا مع معايير الحسابات الدولية للقطاع العام.</w:t>
      </w:r>
    </w:p>
    <w:p w:rsidR="002D3546" w:rsidRDefault="007E4A4C" w:rsidP="003817FB">
      <w:pPr>
        <w:pStyle w:val="StyleHeader4Para4Left0Firstline0"/>
        <w:numPr>
          <w:ilvl w:val="0"/>
          <w:numId w:val="0"/>
        </w:numPr>
        <w:tabs>
          <w:tab w:val="clear" w:pos="2880"/>
          <w:tab w:val="clear" w:pos="5760"/>
          <w:tab w:val="left" w:pos="0"/>
        </w:tabs>
        <w:bidi/>
        <w:rPr>
          <w:sz w:val="26"/>
          <w:szCs w:val="26"/>
          <w:rtl/>
        </w:rPr>
      </w:pPr>
      <w:r>
        <w:rPr>
          <w:rFonts w:hint="cs"/>
          <w:sz w:val="26"/>
          <w:szCs w:val="26"/>
          <w:rtl/>
        </w:rPr>
        <w:t>4</w:t>
      </w:r>
      <w:r w:rsidR="002D3546">
        <w:rPr>
          <w:rFonts w:hint="cs"/>
          <w:sz w:val="26"/>
          <w:szCs w:val="26"/>
          <w:rtl/>
        </w:rPr>
        <w:tab/>
      </w:r>
      <w:r w:rsidR="00075407">
        <w:rPr>
          <w:rFonts w:hint="cs"/>
          <w:sz w:val="26"/>
          <w:szCs w:val="26"/>
          <w:rtl/>
          <w:lang w:bidi="ar-EG"/>
        </w:rPr>
        <w:t xml:space="preserve">يعرض الجدول 1-3 النفقات الفعلية لميزانية الأمانة في عام 2019 </w:t>
      </w:r>
      <w:r w:rsidR="00A6199F">
        <w:rPr>
          <w:rFonts w:hint="cs"/>
          <w:sz w:val="26"/>
          <w:szCs w:val="26"/>
          <w:rtl/>
          <w:lang w:bidi="ar-EG"/>
        </w:rPr>
        <w:t xml:space="preserve">كما وافق عليها المقرر 82/6(ب)(1) والمقرر 82/85(و) وميزانية الرصد والتقييم كما وافق عليها المقرر 82/10(ب). وبالرغم من أن الرصيد غير المنصرف هو 471 806 1 </w:t>
      </w:r>
      <w:r w:rsidR="00A6199F">
        <w:rPr>
          <w:sz w:val="26"/>
          <w:szCs w:val="26"/>
          <w:rtl/>
        </w:rPr>
        <w:t>دولار أمريكي</w:t>
      </w:r>
      <w:r w:rsidR="00A6199F">
        <w:rPr>
          <w:rFonts w:hint="cs"/>
          <w:sz w:val="26"/>
          <w:szCs w:val="26"/>
          <w:rtl/>
        </w:rPr>
        <w:t xml:space="preserve">، فإن مبلغ 262 782 1 </w:t>
      </w:r>
      <w:r w:rsidR="00A6199F">
        <w:rPr>
          <w:sz w:val="26"/>
          <w:szCs w:val="26"/>
          <w:rtl/>
        </w:rPr>
        <w:t>دولار أمريكي</w:t>
      </w:r>
      <w:r w:rsidR="00A6199F">
        <w:rPr>
          <w:rFonts w:hint="cs"/>
          <w:sz w:val="26"/>
          <w:szCs w:val="26"/>
          <w:rtl/>
        </w:rPr>
        <w:t xml:space="preserve"> (أي، 073 735 1 </w:t>
      </w:r>
      <w:r w:rsidR="00A6199F">
        <w:rPr>
          <w:sz w:val="26"/>
          <w:szCs w:val="26"/>
          <w:rtl/>
        </w:rPr>
        <w:t>دولار أمريكي</w:t>
      </w:r>
      <w:r w:rsidR="00A6199F">
        <w:rPr>
          <w:rFonts w:hint="cs"/>
          <w:sz w:val="26"/>
          <w:szCs w:val="26"/>
          <w:rtl/>
        </w:rPr>
        <w:t xml:space="preserve"> من ميزانية الأمانة ومبلغ 189 47 </w:t>
      </w:r>
      <w:r w:rsidR="00A6199F">
        <w:rPr>
          <w:sz w:val="26"/>
          <w:szCs w:val="26"/>
          <w:rtl/>
        </w:rPr>
        <w:t>دولار أمريكي</w:t>
      </w:r>
      <w:r w:rsidR="00A6199F">
        <w:rPr>
          <w:rFonts w:hint="cs"/>
          <w:sz w:val="26"/>
          <w:szCs w:val="26"/>
          <w:rtl/>
        </w:rPr>
        <w:t xml:space="preserve"> من ميزانية الرصد والتقييم) يعاد إلى الصندوق في الاجتماع السادس والثمانين؛ </w:t>
      </w:r>
      <w:r w:rsidR="003817FB">
        <w:rPr>
          <w:rFonts w:hint="cs"/>
          <w:sz w:val="26"/>
          <w:szCs w:val="26"/>
          <w:rtl/>
        </w:rPr>
        <w:t>إن الأرصدة البالغة</w:t>
      </w:r>
      <w:r w:rsidR="00A6199F">
        <w:rPr>
          <w:rFonts w:hint="cs"/>
          <w:sz w:val="26"/>
          <w:szCs w:val="26"/>
          <w:rtl/>
        </w:rPr>
        <w:t xml:space="preserve"> 209 24 </w:t>
      </w:r>
      <w:r w:rsidR="00A6199F">
        <w:rPr>
          <w:sz w:val="26"/>
          <w:szCs w:val="26"/>
          <w:rtl/>
        </w:rPr>
        <w:t>دولار أمريكي</w:t>
      </w:r>
      <w:r w:rsidR="00A6199F">
        <w:rPr>
          <w:rFonts w:hint="cs"/>
          <w:sz w:val="26"/>
          <w:szCs w:val="26"/>
          <w:rtl/>
        </w:rPr>
        <w:t xml:space="preserve"> </w:t>
      </w:r>
      <w:r w:rsidR="003817FB">
        <w:rPr>
          <w:rFonts w:hint="cs"/>
          <w:sz w:val="26"/>
          <w:szCs w:val="26"/>
          <w:rtl/>
        </w:rPr>
        <w:t>ت</w:t>
      </w:r>
      <w:r w:rsidR="00A6199F">
        <w:rPr>
          <w:rFonts w:hint="cs"/>
          <w:sz w:val="26"/>
          <w:szCs w:val="26"/>
          <w:rtl/>
        </w:rPr>
        <w:t xml:space="preserve">تألف من تعهدات عام 2019 بموجب ميزانية الأمانة التى </w:t>
      </w:r>
      <w:r w:rsidR="003817FB">
        <w:rPr>
          <w:rFonts w:hint="cs"/>
          <w:sz w:val="26"/>
          <w:szCs w:val="26"/>
          <w:rtl/>
        </w:rPr>
        <w:t>س</w:t>
      </w:r>
      <w:r w:rsidR="00A6199F">
        <w:rPr>
          <w:rFonts w:hint="cs"/>
          <w:sz w:val="26"/>
          <w:szCs w:val="26"/>
          <w:rtl/>
        </w:rPr>
        <w:t>تنفق وتسجل في عام 2020.</w:t>
      </w:r>
    </w:p>
    <w:p w:rsidR="00663C7D" w:rsidRDefault="00663C7D" w:rsidP="00663C7D">
      <w:pPr>
        <w:pStyle w:val="StyleHeader4Para4Left0Firstline0"/>
        <w:numPr>
          <w:ilvl w:val="0"/>
          <w:numId w:val="0"/>
        </w:numPr>
        <w:tabs>
          <w:tab w:val="clear" w:pos="2880"/>
          <w:tab w:val="clear" w:pos="5760"/>
          <w:tab w:val="left" w:pos="0"/>
        </w:tabs>
        <w:bidi/>
        <w:rPr>
          <w:sz w:val="26"/>
          <w:szCs w:val="26"/>
          <w:rtl/>
        </w:rPr>
      </w:pPr>
      <w:r>
        <w:rPr>
          <w:rFonts w:hint="cs"/>
          <w:sz w:val="26"/>
          <w:szCs w:val="26"/>
          <w:rtl/>
        </w:rPr>
        <w:t>5</w:t>
      </w:r>
      <w:r>
        <w:rPr>
          <w:rFonts w:hint="cs"/>
          <w:sz w:val="26"/>
          <w:szCs w:val="26"/>
          <w:rtl/>
        </w:rPr>
        <w:tab/>
        <w:t xml:space="preserve">تحتوى الجداول من 1-4 إلى 1-7 الحسابات الختامية للوكالات المنفذة المقدمة إلى أمين الخزانة بحلول نهاية سبتمبر/أيلول 2020. وبما أن الحسابات الختامية للوكالات المنفذة قدمت بعد غلق حسابات </w:t>
      </w:r>
      <w:r w:rsidR="00AE6AFF">
        <w:rPr>
          <w:rFonts w:hint="cs"/>
          <w:sz w:val="26"/>
          <w:szCs w:val="26"/>
          <w:rtl/>
        </w:rPr>
        <w:t>اليونيب لعام 2019، تم تسجيل الحسابات المؤقتة فقط المقدمة من الوكالات المنفذة في يناير/كانون الثانى 2020 في الحسابات الختامية لليونيب. ويبين الجدول 1 الفرق بين الحسابات المؤقتة والختامية لعام 2019 عن الإيرادات والنفقات المجمعة وسوف تسجل في حسابات عام 2020.</w:t>
      </w:r>
    </w:p>
    <w:p w:rsidR="00E56627" w:rsidRPr="0086353B" w:rsidRDefault="00E56627" w:rsidP="00E56627">
      <w:pPr>
        <w:pStyle w:val="StyleHeader4Para4Left0Firstline0"/>
        <w:numPr>
          <w:ilvl w:val="0"/>
          <w:numId w:val="0"/>
        </w:numPr>
        <w:tabs>
          <w:tab w:val="clear" w:pos="2880"/>
          <w:tab w:val="clear" w:pos="5760"/>
          <w:tab w:val="left" w:pos="0"/>
        </w:tabs>
        <w:bidi/>
        <w:rPr>
          <w:b/>
          <w:bCs/>
          <w:sz w:val="24"/>
          <w:szCs w:val="24"/>
          <w:rtl/>
        </w:rPr>
      </w:pPr>
      <w:r w:rsidRPr="0086353B">
        <w:rPr>
          <w:rFonts w:hint="cs"/>
          <w:b/>
          <w:bCs/>
          <w:sz w:val="24"/>
          <w:szCs w:val="24"/>
          <w:rtl/>
        </w:rPr>
        <w:t xml:space="preserve">الجدول 1. الفرق بين الحسابات المؤقتة والختامية بشأن الإيرادات والمصروفات المجمعة (دولار أمريكي) </w:t>
      </w:r>
      <w:r w:rsidR="0086353B" w:rsidRPr="0086353B">
        <w:rPr>
          <w:rFonts w:hint="cs"/>
          <w:b/>
          <w:bCs/>
          <w:sz w:val="24"/>
          <w:szCs w:val="24"/>
          <w:rtl/>
        </w:rPr>
        <w:t>[بالنسبة لرقم مختلف، إذا كان الرقم الأصلى صحيحا، يمكن تضمين علامة لشرح لماذا اختلف عن الجدول]</w:t>
      </w:r>
    </w:p>
    <w:tbl>
      <w:tblPr>
        <w:bidiVisual/>
        <w:tblW w:w="9356" w:type="dxa"/>
        <w:tblInd w:w="-5" w:type="dxa"/>
        <w:tblLook w:val="04A0" w:firstRow="1" w:lastRow="0" w:firstColumn="1" w:lastColumn="0" w:noHBand="0" w:noVBand="1"/>
      </w:tblPr>
      <w:tblGrid>
        <w:gridCol w:w="2439"/>
        <w:gridCol w:w="12"/>
        <w:gridCol w:w="2330"/>
        <w:gridCol w:w="8"/>
        <w:gridCol w:w="2338"/>
        <w:gridCol w:w="2229"/>
      </w:tblGrid>
      <w:tr w:rsidR="00AC47E7" w:rsidTr="00AC47E7">
        <w:tc>
          <w:tcPr>
            <w:tcW w:w="2439" w:type="dxa"/>
            <w:tcBorders>
              <w:top w:val="single" w:sz="4" w:space="0" w:color="auto"/>
              <w:left w:val="single" w:sz="4" w:space="0" w:color="auto"/>
              <w:bottom w:val="single" w:sz="4" w:space="0" w:color="auto"/>
              <w:right w:val="single" w:sz="4" w:space="0" w:color="auto"/>
            </w:tcBorders>
            <w:vAlign w:val="center"/>
            <w:hideMark/>
          </w:tcPr>
          <w:p w:rsidR="00AC47E7" w:rsidRDefault="00AC47E7" w:rsidP="00AC47E7">
            <w:pPr>
              <w:widowControl w:val="0"/>
              <w:bidi/>
              <w:jc w:val="left"/>
              <w:rPr>
                <w:rFonts w:eastAsia="MS Mincho"/>
                <w:b/>
                <w:bCs/>
                <w:sz w:val="21"/>
                <w:szCs w:val="21"/>
                <w:lang w:val="en-US" w:eastAsia="ja-JP"/>
              </w:rPr>
            </w:pPr>
            <w:r>
              <w:rPr>
                <w:rFonts w:eastAsia="MS Mincho" w:hint="cs"/>
                <w:b/>
                <w:bCs/>
                <w:sz w:val="21"/>
                <w:szCs w:val="21"/>
                <w:rtl/>
                <w:lang w:eastAsia="ja-JP"/>
              </w:rPr>
              <w:t>الوكالة</w:t>
            </w:r>
          </w:p>
        </w:tc>
        <w:tc>
          <w:tcPr>
            <w:tcW w:w="2342" w:type="dxa"/>
            <w:gridSpan w:val="2"/>
            <w:tcBorders>
              <w:top w:val="single" w:sz="4" w:space="0" w:color="auto"/>
              <w:left w:val="nil"/>
              <w:bottom w:val="single" w:sz="4" w:space="0" w:color="auto"/>
              <w:right w:val="single" w:sz="4" w:space="0" w:color="auto"/>
            </w:tcBorders>
            <w:hideMark/>
          </w:tcPr>
          <w:p w:rsidR="00AC47E7" w:rsidRDefault="00AC47E7">
            <w:pPr>
              <w:keepNext/>
              <w:jc w:val="center"/>
              <w:rPr>
                <w:rFonts w:eastAsia="MS Mincho"/>
                <w:b/>
                <w:bCs/>
                <w:sz w:val="21"/>
                <w:szCs w:val="21"/>
                <w:lang w:val="en-US" w:eastAsia="ja-JP"/>
              </w:rPr>
            </w:pPr>
            <w:r>
              <w:rPr>
                <w:rFonts w:eastAsia="MS Mincho" w:hint="cs"/>
                <w:b/>
                <w:bCs/>
                <w:sz w:val="21"/>
                <w:szCs w:val="21"/>
                <w:rtl/>
                <w:lang w:eastAsia="ja-JP"/>
              </w:rPr>
              <w:t>المؤقتة</w:t>
            </w:r>
          </w:p>
        </w:tc>
        <w:tc>
          <w:tcPr>
            <w:tcW w:w="2346" w:type="dxa"/>
            <w:gridSpan w:val="2"/>
            <w:tcBorders>
              <w:top w:val="single" w:sz="4" w:space="0" w:color="auto"/>
              <w:left w:val="nil"/>
              <w:bottom w:val="single" w:sz="4" w:space="0" w:color="auto"/>
              <w:right w:val="single" w:sz="4" w:space="0" w:color="auto"/>
            </w:tcBorders>
            <w:hideMark/>
          </w:tcPr>
          <w:p w:rsidR="00AC47E7" w:rsidRDefault="00AC47E7">
            <w:pPr>
              <w:keepNext/>
              <w:jc w:val="center"/>
              <w:rPr>
                <w:rFonts w:eastAsia="MS Mincho"/>
                <w:b/>
                <w:bCs/>
                <w:sz w:val="21"/>
                <w:szCs w:val="21"/>
                <w:lang w:val="en-US" w:eastAsia="ja-JP"/>
              </w:rPr>
            </w:pPr>
            <w:r>
              <w:rPr>
                <w:rFonts w:eastAsia="MS Mincho" w:hint="cs"/>
                <w:b/>
                <w:bCs/>
                <w:sz w:val="21"/>
                <w:szCs w:val="21"/>
                <w:rtl/>
                <w:lang w:eastAsia="ja-JP"/>
              </w:rPr>
              <w:t>الختامية</w:t>
            </w:r>
          </w:p>
        </w:tc>
        <w:tc>
          <w:tcPr>
            <w:tcW w:w="2229" w:type="dxa"/>
            <w:tcBorders>
              <w:top w:val="single" w:sz="4" w:space="0" w:color="auto"/>
              <w:left w:val="nil"/>
              <w:bottom w:val="single" w:sz="4" w:space="0" w:color="auto"/>
              <w:right w:val="single" w:sz="4" w:space="0" w:color="auto"/>
            </w:tcBorders>
            <w:hideMark/>
          </w:tcPr>
          <w:p w:rsidR="00AC47E7" w:rsidRDefault="00AC47E7">
            <w:pPr>
              <w:keepNext/>
              <w:jc w:val="center"/>
              <w:rPr>
                <w:rFonts w:eastAsia="MS Mincho"/>
                <w:b/>
                <w:bCs/>
                <w:sz w:val="21"/>
                <w:szCs w:val="21"/>
                <w:lang w:val="en-US" w:eastAsia="ja-JP"/>
              </w:rPr>
            </w:pPr>
            <w:r>
              <w:rPr>
                <w:rFonts w:eastAsia="MS Mincho" w:hint="cs"/>
                <w:b/>
                <w:bCs/>
                <w:sz w:val="21"/>
                <w:szCs w:val="21"/>
                <w:rtl/>
                <w:lang w:eastAsia="ja-JP"/>
              </w:rPr>
              <w:t>الفرق</w:t>
            </w:r>
          </w:p>
        </w:tc>
      </w:tr>
      <w:tr w:rsidR="00AC47E7" w:rsidTr="00AC47E7">
        <w:tc>
          <w:tcPr>
            <w:tcW w:w="9356" w:type="dxa"/>
            <w:gridSpan w:val="6"/>
            <w:tcBorders>
              <w:top w:val="nil"/>
              <w:left w:val="single" w:sz="4" w:space="0" w:color="auto"/>
              <w:bottom w:val="single" w:sz="4" w:space="0" w:color="auto"/>
              <w:right w:val="single" w:sz="4" w:space="0" w:color="auto"/>
            </w:tcBorders>
            <w:vAlign w:val="center"/>
            <w:hideMark/>
          </w:tcPr>
          <w:p w:rsidR="00AC47E7" w:rsidRPr="00AC47E7" w:rsidRDefault="00AC47E7" w:rsidP="00AC47E7">
            <w:pPr>
              <w:bidi/>
              <w:jc w:val="left"/>
              <w:rPr>
                <w:bCs/>
                <w:sz w:val="21"/>
                <w:szCs w:val="21"/>
              </w:rPr>
            </w:pPr>
            <w:r w:rsidRPr="00AC47E7">
              <w:rPr>
                <w:rFonts w:eastAsia="MS Mincho" w:hint="cs"/>
                <w:bCs/>
                <w:sz w:val="21"/>
                <w:szCs w:val="21"/>
                <w:rtl/>
                <w:lang w:eastAsia="ja-JP"/>
              </w:rPr>
              <w:t>الإيرادات</w:t>
            </w:r>
          </w:p>
        </w:tc>
      </w:tr>
      <w:tr w:rsidR="00AC47E7" w:rsidTr="00AC47E7">
        <w:tc>
          <w:tcPr>
            <w:tcW w:w="2439" w:type="dxa"/>
            <w:tcBorders>
              <w:top w:val="nil"/>
              <w:left w:val="single" w:sz="4" w:space="0" w:color="auto"/>
              <w:bottom w:val="single" w:sz="4" w:space="0" w:color="auto"/>
              <w:right w:val="single" w:sz="4" w:space="0" w:color="auto"/>
            </w:tcBorders>
            <w:vAlign w:val="center"/>
            <w:hideMark/>
          </w:tcPr>
          <w:p w:rsidR="00AC47E7" w:rsidRDefault="00AC47E7" w:rsidP="00AC47E7">
            <w:pPr>
              <w:widowControl w:val="0"/>
              <w:bidi/>
              <w:jc w:val="left"/>
              <w:rPr>
                <w:rFonts w:eastAsia="MS Mincho"/>
                <w:sz w:val="21"/>
                <w:szCs w:val="21"/>
                <w:lang w:val="en-US" w:eastAsia="ja-JP"/>
              </w:rPr>
            </w:pPr>
            <w:r>
              <w:rPr>
                <w:rFonts w:eastAsia="MS Mincho" w:hint="cs"/>
                <w:sz w:val="21"/>
                <w:szCs w:val="21"/>
                <w:rtl/>
                <w:lang w:eastAsia="ja-JP"/>
              </w:rPr>
              <w:t>يونديبي</w:t>
            </w:r>
          </w:p>
        </w:tc>
        <w:tc>
          <w:tcPr>
            <w:tcW w:w="2342"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951,119,410</w:t>
            </w:r>
          </w:p>
        </w:tc>
        <w:tc>
          <w:tcPr>
            <w:tcW w:w="2346"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952,422,161</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1,302,751</w:t>
            </w:r>
          </w:p>
        </w:tc>
      </w:tr>
      <w:tr w:rsidR="00AC47E7" w:rsidTr="00AC47E7">
        <w:tc>
          <w:tcPr>
            <w:tcW w:w="2439" w:type="dxa"/>
            <w:tcBorders>
              <w:top w:val="nil"/>
              <w:left w:val="single" w:sz="4" w:space="0" w:color="auto"/>
              <w:bottom w:val="single" w:sz="4" w:space="0" w:color="auto"/>
              <w:right w:val="single" w:sz="4" w:space="0" w:color="auto"/>
            </w:tcBorders>
            <w:vAlign w:val="center"/>
            <w:hideMark/>
          </w:tcPr>
          <w:p w:rsidR="00AC47E7" w:rsidRDefault="00AC47E7" w:rsidP="00AC47E7">
            <w:pPr>
              <w:widowControl w:val="0"/>
              <w:bidi/>
              <w:jc w:val="left"/>
              <w:rPr>
                <w:rFonts w:eastAsia="MS Mincho"/>
                <w:sz w:val="21"/>
                <w:szCs w:val="21"/>
                <w:lang w:val="en-US" w:eastAsia="ja-JP"/>
              </w:rPr>
            </w:pPr>
            <w:r>
              <w:rPr>
                <w:rFonts w:eastAsia="MS Mincho" w:hint="cs"/>
                <w:sz w:val="21"/>
                <w:szCs w:val="21"/>
                <w:rtl/>
                <w:lang w:eastAsia="ja-JP"/>
              </w:rPr>
              <w:t>يونيب</w:t>
            </w:r>
          </w:p>
        </w:tc>
        <w:tc>
          <w:tcPr>
            <w:tcW w:w="2342"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363,443,997</w:t>
            </w:r>
          </w:p>
        </w:tc>
        <w:tc>
          <w:tcPr>
            <w:tcW w:w="2346"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363,443,997</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w:t>
            </w:r>
          </w:p>
        </w:tc>
      </w:tr>
      <w:tr w:rsidR="00AC47E7" w:rsidTr="00AC47E7">
        <w:tc>
          <w:tcPr>
            <w:tcW w:w="2439" w:type="dxa"/>
            <w:tcBorders>
              <w:top w:val="nil"/>
              <w:left w:val="single" w:sz="4" w:space="0" w:color="auto"/>
              <w:bottom w:val="single" w:sz="4" w:space="0" w:color="auto"/>
              <w:right w:val="single" w:sz="4" w:space="0" w:color="auto"/>
            </w:tcBorders>
            <w:vAlign w:val="center"/>
            <w:hideMark/>
          </w:tcPr>
          <w:p w:rsidR="00AC47E7" w:rsidRDefault="00AC47E7" w:rsidP="00AC47E7">
            <w:pPr>
              <w:bidi/>
              <w:jc w:val="left"/>
              <w:rPr>
                <w:rFonts w:eastAsia="MS Mincho"/>
                <w:sz w:val="21"/>
                <w:szCs w:val="21"/>
                <w:lang w:val="en-US" w:eastAsia="ja-JP"/>
              </w:rPr>
            </w:pPr>
            <w:r>
              <w:rPr>
                <w:rFonts w:eastAsia="MS Mincho" w:hint="cs"/>
                <w:sz w:val="21"/>
                <w:szCs w:val="21"/>
                <w:rtl/>
                <w:lang w:eastAsia="ja-JP"/>
              </w:rPr>
              <w:t>يونيدو</w:t>
            </w:r>
          </w:p>
        </w:tc>
        <w:tc>
          <w:tcPr>
            <w:tcW w:w="2342"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955,892,312</w:t>
            </w:r>
          </w:p>
        </w:tc>
        <w:tc>
          <w:tcPr>
            <w:tcW w:w="2346"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955,892,312</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w:t>
            </w:r>
          </w:p>
        </w:tc>
      </w:tr>
      <w:tr w:rsidR="00AC47E7" w:rsidTr="00AC47E7">
        <w:tc>
          <w:tcPr>
            <w:tcW w:w="2439" w:type="dxa"/>
            <w:tcBorders>
              <w:top w:val="nil"/>
              <w:left w:val="single" w:sz="4" w:space="0" w:color="auto"/>
              <w:bottom w:val="single" w:sz="4" w:space="0" w:color="auto"/>
              <w:right w:val="single" w:sz="4" w:space="0" w:color="auto"/>
            </w:tcBorders>
            <w:vAlign w:val="center"/>
            <w:hideMark/>
          </w:tcPr>
          <w:p w:rsidR="00AC47E7" w:rsidRDefault="00AC47E7" w:rsidP="00AC47E7">
            <w:pPr>
              <w:bidi/>
              <w:jc w:val="left"/>
              <w:rPr>
                <w:rFonts w:eastAsia="MS Mincho"/>
                <w:sz w:val="21"/>
                <w:szCs w:val="21"/>
                <w:lang w:val="en-US" w:eastAsia="ja-JP"/>
              </w:rPr>
            </w:pPr>
            <w:r>
              <w:rPr>
                <w:rFonts w:eastAsia="MS Mincho" w:hint="cs"/>
                <w:sz w:val="21"/>
                <w:szCs w:val="21"/>
                <w:rtl/>
                <w:lang w:eastAsia="ja-JP"/>
              </w:rPr>
              <w:t>البنك الدولى</w:t>
            </w:r>
          </w:p>
        </w:tc>
        <w:tc>
          <w:tcPr>
            <w:tcW w:w="2342"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1,295,721,928</w:t>
            </w:r>
          </w:p>
        </w:tc>
        <w:tc>
          <w:tcPr>
            <w:tcW w:w="2346"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1,295,721,928</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w:t>
            </w:r>
          </w:p>
        </w:tc>
      </w:tr>
      <w:tr w:rsidR="00AC47E7" w:rsidTr="00AC47E7">
        <w:tc>
          <w:tcPr>
            <w:tcW w:w="9356" w:type="dxa"/>
            <w:gridSpan w:val="6"/>
            <w:tcBorders>
              <w:top w:val="nil"/>
              <w:left w:val="single" w:sz="4" w:space="0" w:color="auto"/>
              <w:bottom w:val="single" w:sz="4" w:space="0" w:color="auto"/>
              <w:right w:val="single" w:sz="4" w:space="0" w:color="auto"/>
            </w:tcBorders>
            <w:hideMark/>
          </w:tcPr>
          <w:p w:rsidR="00AC47E7" w:rsidRPr="00AC47E7" w:rsidRDefault="00AC47E7" w:rsidP="00AC47E7">
            <w:pPr>
              <w:bidi/>
              <w:jc w:val="left"/>
              <w:rPr>
                <w:bCs/>
                <w:sz w:val="21"/>
                <w:szCs w:val="21"/>
              </w:rPr>
            </w:pPr>
            <w:r w:rsidRPr="00AC47E7">
              <w:rPr>
                <w:rFonts w:eastAsia="MS Mincho" w:hint="cs"/>
                <w:bCs/>
                <w:sz w:val="21"/>
                <w:szCs w:val="21"/>
                <w:rtl/>
                <w:lang w:eastAsia="ja-JP"/>
              </w:rPr>
              <w:t>النفقات</w:t>
            </w:r>
          </w:p>
        </w:tc>
      </w:tr>
      <w:tr w:rsidR="00AC47E7" w:rsidTr="00CC4C55">
        <w:tc>
          <w:tcPr>
            <w:tcW w:w="2451" w:type="dxa"/>
            <w:gridSpan w:val="2"/>
            <w:tcBorders>
              <w:top w:val="nil"/>
              <w:left w:val="single" w:sz="4" w:space="0" w:color="auto"/>
              <w:bottom w:val="single" w:sz="4" w:space="0" w:color="auto"/>
              <w:right w:val="single" w:sz="4" w:space="0" w:color="auto"/>
            </w:tcBorders>
            <w:vAlign w:val="center"/>
            <w:hideMark/>
          </w:tcPr>
          <w:p w:rsidR="00AC47E7" w:rsidRDefault="00AC47E7">
            <w:pPr>
              <w:widowControl w:val="0"/>
              <w:bidi/>
              <w:jc w:val="left"/>
              <w:rPr>
                <w:rFonts w:eastAsia="MS Mincho"/>
                <w:sz w:val="21"/>
                <w:szCs w:val="21"/>
                <w:lang w:val="en-US" w:eastAsia="ja-JP"/>
              </w:rPr>
            </w:pPr>
            <w:r>
              <w:rPr>
                <w:rFonts w:eastAsia="MS Mincho" w:hint="cs"/>
                <w:sz w:val="21"/>
                <w:szCs w:val="21"/>
                <w:rtl/>
                <w:lang w:eastAsia="ja-JP"/>
              </w:rPr>
              <w:t>يونديبي</w:t>
            </w:r>
          </w:p>
        </w:tc>
        <w:tc>
          <w:tcPr>
            <w:tcW w:w="2338"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879,741,391</w:t>
            </w:r>
          </w:p>
        </w:tc>
        <w:tc>
          <w:tcPr>
            <w:tcW w:w="2338"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880,148,749</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407,358</w:t>
            </w:r>
          </w:p>
        </w:tc>
      </w:tr>
      <w:tr w:rsidR="00AC47E7" w:rsidTr="00CC4C55">
        <w:tc>
          <w:tcPr>
            <w:tcW w:w="2451" w:type="dxa"/>
            <w:gridSpan w:val="2"/>
            <w:tcBorders>
              <w:top w:val="nil"/>
              <w:left w:val="single" w:sz="4" w:space="0" w:color="auto"/>
              <w:bottom w:val="single" w:sz="4" w:space="0" w:color="auto"/>
              <w:right w:val="single" w:sz="4" w:space="0" w:color="auto"/>
            </w:tcBorders>
            <w:vAlign w:val="center"/>
            <w:hideMark/>
          </w:tcPr>
          <w:p w:rsidR="00AC47E7" w:rsidRDefault="00AC47E7">
            <w:pPr>
              <w:widowControl w:val="0"/>
              <w:bidi/>
              <w:jc w:val="left"/>
              <w:rPr>
                <w:rFonts w:eastAsia="MS Mincho"/>
                <w:sz w:val="21"/>
                <w:szCs w:val="21"/>
                <w:lang w:val="en-US" w:eastAsia="ja-JP"/>
              </w:rPr>
            </w:pPr>
            <w:r>
              <w:rPr>
                <w:rFonts w:eastAsia="MS Mincho" w:hint="cs"/>
                <w:sz w:val="21"/>
                <w:szCs w:val="21"/>
                <w:rtl/>
                <w:lang w:eastAsia="ja-JP"/>
              </w:rPr>
              <w:t>يونيب</w:t>
            </w:r>
          </w:p>
        </w:tc>
        <w:tc>
          <w:tcPr>
            <w:tcW w:w="2338"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314,407,373</w:t>
            </w:r>
          </w:p>
        </w:tc>
        <w:tc>
          <w:tcPr>
            <w:tcW w:w="2338"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314,407,373</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w:t>
            </w:r>
          </w:p>
        </w:tc>
      </w:tr>
      <w:tr w:rsidR="00AC47E7" w:rsidTr="00CC4C55">
        <w:tc>
          <w:tcPr>
            <w:tcW w:w="2451" w:type="dxa"/>
            <w:gridSpan w:val="2"/>
            <w:tcBorders>
              <w:top w:val="nil"/>
              <w:left w:val="single" w:sz="4" w:space="0" w:color="auto"/>
              <w:bottom w:val="single" w:sz="4" w:space="0" w:color="auto"/>
              <w:right w:val="single" w:sz="4" w:space="0" w:color="auto"/>
            </w:tcBorders>
            <w:vAlign w:val="center"/>
            <w:hideMark/>
          </w:tcPr>
          <w:p w:rsidR="00AC47E7" w:rsidRDefault="00AC47E7">
            <w:pPr>
              <w:bidi/>
              <w:jc w:val="left"/>
              <w:rPr>
                <w:rFonts w:eastAsia="MS Mincho"/>
                <w:sz w:val="21"/>
                <w:szCs w:val="21"/>
                <w:lang w:val="en-US" w:eastAsia="ja-JP"/>
              </w:rPr>
            </w:pPr>
            <w:r>
              <w:rPr>
                <w:rFonts w:eastAsia="MS Mincho" w:hint="cs"/>
                <w:sz w:val="21"/>
                <w:szCs w:val="21"/>
                <w:rtl/>
                <w:lang w:eastAsia="ja-JP"/>
              </w:rPr>
              <w:t>يونيدو</w:t>
            </w:r>
          </w:p>
        </w:tc>
        <w:tc>
          <w:tcPr>
            <w:tcW w:w="2338"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838,168,033</w:t>
            </w:r>
          </w:p>
        </w:tc>
        <w:tc>
          <w:tcPr>
            <w:tcW w:w="2338" w:type="dxa"/>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837,599,049</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(568,984)</w:t>
            </w:r>
          </w:p>
        </w:tc>
      </w:tr>
      <w:tr w:rsidR="00AC47E7" w:rsidTr="00CC4C55">
        <w:tc>
          <w:tcPr>
            <w:tcW w:w="2451" w:type="dxa"/>
            <w:gridSpan w:val="2"/>
            <w:tcBorders>
              <w:top w:val="nil"/>
              <w:left w:val="single" w:sz="4" w:space="0" w:color="auto"/>
              <w:bottom w:val="single" w:sz="4" w:space="0" w:color="auto"/>
              <w:right w:val="single" w:sz="4" w:space="0" w:color="auto"/>
            </w:tcBorders>
            <w:vAlign w:val="center"/>
            <w:hideMark/>
          </w:tcPr>
          <w:p w:rsidR="00AC47E7" w:rsidRDefault="00AC47E7">
            <w:pPr>
              <w:bidi/>
              <w:jc w:val="left"/>
              <w:rPr>
                <w:rFonts w:eastAsia="MS Mincho"/>
                <w:sz w:val="21"/>
                <w:szCs w:val="21"/>
                <w:lang w:val="en-US" w:eastAsia="ja-JP"/>
              </w:rPr>
            </w:pPr>
            <w:r>
              <w:rPr>
                <w:rFonts w:eastAsia="MS Mincho" w:hint="cs"/>
                <w:sz w:val="21"/>
                <w:szCs w:val="21"/>
                <w:rtl/>
                <w:lang w:eastAsia="ja-JP"/>
              </w:rPr>
              <w:t>البنك الدولى</w:t>
            </w:r>
          </w:p>
        </w:tc>
        <w:tc>
          <w:tcPr>
            <w:tcW w:w="2338" w:type="dxa"/>
            <w:gridSpan w:val="2"/>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1,250,892,519</w:t>
            </w:r>
          </w:p>
        </w:tc>
        <w:tc>
          <w:tcPr>
            <w:tcW w:w="2338" w:type="dxa"/>
            <w:tcBorders>
              <w:top w:val="nil"/>
              <w:left w:val="nil"/>
              <w:bottom w:val="single" w:sz="4" w:space="0" w:color="auto"/>
              <w:right w:val="single" w:sz="4" w:space="0" w:color="auto"/>
            </w:tcBorders>
            <w:vAlign w:val="center"/>
            <w:hideMark/>
          </w:tcPr>
          <w:p w:rsidR="00AC47E7" w:rsidRDefault="00AC47E7">
            <w:pPr>
              <w:jc w:val="center"/>
              <w:rPr>
                <w:sz w:val="21"/>
                <w:szCs w:val="21"/>
              </w:rPr>
            </w:pPr>
            <w:r>
              <w:rPr>
                <w:sz w:val="21"/>
                <w:szCs w:val="21"/>
              </w:rPr>
              <w:t>1,250,892,519</w:t>
            </w:r>
          </w:p>
        </w:tc>
        <w:tc>
          <w:tcPr>
            <w:tcW w:w="2229" w:type="dxa"/>
            <w:tcBorders>
              <w:top w:val="nil"/>
              <w:left w:val="nil"/>
              <w:bottom w:val="single" w:sz="4" w:space="0" w:color="auto"/>
              <w:right w:val="single" w:sz="4" w:space="0" w:color="auto"/>
            </w:tcBorders>
            <w:vAlign w:val="center"/>
            <w:hideMark/>
          </w:tcPr>
          <w:p w:rsidR="00AC47E7" w:rsidRDefault="00AC47E7">
            <w:pPr>
              <w:jc w:val="center"/>
              <w:rPr>
                <w:sz w:val="21"/>
                <w:szCs w:val="21"/>
                <w:highlight w:val="yellow"/>
              </w:rPr>
            </w:pPr>
            <w:r>
              <w:rPr>
                <w:sz w:val="21"/>
                <w:szCs w:val="21"/>
              </w:rPr>
              <w:t>-</w:t>
            </w:r>
          </w:p>
        </w:tc>
      </w:tr>
    </w:tbl>
    <w:p w:rsidR="0086353B" w:rsidRDefault="0086353B" w:rsidP="0086353B">
      <w:pPr>
        <w:pStyle w:val="StyleHeader4Para4Left0Firstline0"/>
        <w:numPr>
          <w:ilvl w:val="0"/>
          <w:numId w:val="0"/>
        </w:numPr>
        <w:tabs>
          <w:tab w:val="clear" w:pos="2880"/>
          <w:tab w:val="clear" w:pos="5760"/>
          <w:tab w:val="left" w:pos="0"/>
        </w:tabs>
        <w:bidi/>
        <w:rPr>
          <w:sz w:val="26"/>
          <w:szCs w:val="26"/>
          <w:rtl/>
          <w:lang w:bidi="ar-EG"/>
        </w:rPr>
      </w:pPr>
    </w:p>
    <w:p w:rsidR="007E4A4C" w:rsidRPr="007E4A4C" w:rsidRDefault="007E4A4C" w:rsidP="007E4A4C">
      <w:pPr>
        <w:pStyle w:val="StyleHeader4Para4Left0Firstline0"/>
        <w:numPr>
          <w:ilvl w:val="0"/>
          <w:numId w:val="0"/>
        </w:numPr>
        <w:tabs>
          <w:tab w:val="clear" w:pos="2880"/>
          <w:tab w:val="clear" w:pos="5760"/>
          <w:tab w:val="left" w:pos="0"/>
        </w:tabs>
        <w:bidi/>
        <w:rPr>
          <w:b/>
          <w:bCs/>
          <w:sz w:val="26"/>
          <w:szCs w:val="26"/>
          <w:rtl/>
          <w:lang w:bidi="ar-EG"/>
        </w:rPr>
      </w:pPr>
      <w:r w:rsidRPr="007E4A4C">
        <w:rPr>
          <w:rFonts w:hint="cs"/>
          <w:b/>
          <w:bCs/>
          <w:sz w:val="26"/>
          <w:szCs w:val="26"/>
          <w:rtl/>
          <w:lang w:bidi="ar-EG"/>
        </w:rPr>
        <w:t xml:space="preserve">تقرير مجلس </w:t>
      </w:r>
      <w:r w:rsidRPr="00724CF5">
        <w:rPr>
          <w:rFonts w:hint="cs"/>
          <w:b/>
          <w:bCs/>
          <w:sz w:val="26"/>
          <w:szCs w:val="26"/>
          <w:rtl/>
          <w:lang w:bidi="ar-EG"/>
        </w:rPr>
        <w:t>مراجعى حسابات الأمم المتحدة</w:t>
      </w:r>
      <w:r w:rsidRPr="007E4A4C">
        <w:rPr>
          <w:rFonts w:hint="cs"/>
          <w:b/>
          <w:bCs/>
          <w:sz w:val="26"/>
          <w:szCs w:val="26"/>
          <w:rtl/>
          <w:lang w:bidi="ar-EG"/>
        </w:rPr>
        <w:t xml:space="preserve"> بشأن حسابات الصندوق للعام المنتهى في 31 ديسمبر/كانون الأول 2019 </w:t>
      </w:r>
    </w:p>
    <w:p w:rsidR="007E4A4C" w:rsidRDefault="007E4A4C" w:rsidP="003B7B83">
      <w:pPr>
        <w:pStyle w:val="StyleHeader4Para4Left0Firstline0"/>
        <w:numPr>
          <w:ilvl w:val="0"/>
          <w:numId w:val="0"/>
        </w:numPr>
        <w:tabs>
          <w:tab w:val="clear" w:pos="2880"/>
          <w:tab w:val="clear" w:pos="5760"/>
          <w:tab w:val="left" w:pos="0"/>
        </w:tabs>
        <w:bidi/>
        <w:rPr>
          <w:sz w:val="26"/>
          <w:szCs w:val="26"/>
          <w:rtl/>
          <w:lang w:val="en-US" w:bidi="ar-EG"/>
        </w:rPr>
      </w:pPr>
      <w:r>
        <w:rPr>
          <w:rFonts w:hint="cs"/>
          <w:sz w:val="26"/>
          <w:szCs w:val="26"/>
          <w:rtl/>
          <w:lang w:bidi="ar-EG"/>
        </w:rPr>
        <w:t>6</w:t>
      </w:r>
      <w:r>
        <w:rPr>
          <w:rFonts w:hint="cs"/>
          <w:sz w:val="26"/>
          <w:szCs w:val="26"/>
          <w:rtl/>
          <w:lang w:bidi="ar-EG"/>
        </w:rPr>
        <w:tab/>
      </w:r>
      <w:r w:rsidR="00724CF5">
        <w:rPr>
          <w:rFonts w:hint="cs"/>
          <w:sz w:val="26"/>
          <w:szCs w:val="26"/>
          <w:rtl/>
          <w:lang w:bidi="ar-EG"/>
        </w:rPr>
        <w:t xml:space="preserve">تم الانتهاء من تقرير </w:t>
      </w:r>
      <w:r w:rsidR="00724CF5">
        <w:rPr>
          <w:sz w:val="26"/>
          <w:szCs w:val="26"/>
          <w:rtl/>
          <w:lang w:bidi="ar-EG"/>
        </w:rPr>
        <w:t>مراجعى حسابات الأمم المتحدة</w:t>
      </w:r>
      <w:r w:rsidR="00724CF5">
        <w:rPr>
          <w:rFonts w:hint="cs"/>
          <w:sz w:val="26"/>
          <w:szCs w:val="26"/>
          <w:rtl/>
          <w:lang w:bidi="ar-EG"/>
        </w:rPr>
        <w:t xml:space="preserve"> بشأن حسابات الصندوق للعام المنتهى في 31 ديسمبر/كانون الأول 2019 (</w:t>
      </w:r>
      <w:r w:rsidR="00724CF5">
        <w:rPr>
          <w:sz w:val="26"/>
          <w:szCs w:val="26"/>
          <w:lang w:val="en-US" w:bidi="ar-EG"/>
        </w:rPr>
        <w:t>A/75/5/Add.7</w:t>
      </w:r>
      <w:r w:rsidR="00724CF5">
        <w:rPr>
          <w:rFonts w:hint="cs"/>
          <w:sz w:val="26"/>
          <w:szCs w:val="26"/>
          <w:rtl/>
          <w:lang w:val="en-US" w:bidi="ar-EG"/>
        </w:rPr>
        <w:t>)</w:t>
      </w:r>
      <w:r w:rsidR="00724CF5">
        <w:rPr>
          <w:rStyle w:val="FootnoteReference"/>
          <w:sz w:val="26"/>
          <w:szCs w:val="26"/>
          <w:rtl/>
          <w:lang w:val="en-US" w:bidi="ar-EG"/>
        </w:rPr>
        <w:footnoteReference w:id="2"/>
      </w:r>
      <w:r w:rsidR="00724CF5">
        <w:rPr>
          <w:rFonts w:hint="cs"/>
          <w:sz w:val="26"/>
          <w:szCs w:val="26"/>
          <w:rtl/>
          <w:lang w:val="en-US" w:bidi="ar-EG"/>
        </w:rPr>
        <w:t xml:space="preserve"> وقدم إلى المدير التنفيذي لليونيب. </w:t>
      </w:r>
      <w:r w:rsidR="002E3425">
        <w:rPr>
          <w:rFonts w:hint="cs"/>
          <w:sz w:val="26"/>
          <w:szCs w:val="26"/>
          <w:rtl/>
          <w:lang w:val="en-US" w:bidi="ar-EG"/>
        </w:rPr>
        <w:t xml:space="preserve">وشمل التقرير قسما بشأن </w:t>
      </w:r>
      <w:r w:rsidR="002E3425">
        <w:rPr>
          <w:rFonts w:hint="cs"/>
          <w:sz w:val="26"/>
          <w:szCs w:val="26"/>
          <w:rtl/>
          <w:lang w:val="en-US" w:bidi="ar-EG"/>
        </w:rPr>
        <w:lastRenderedPageBreak/>
        <w:t xml:space="preserve">البيانات المالية للصندوق. إن تقرير المراجعة لليونيب غير مؤهل وليس </w:t>
      </w:r>
      <w:r w:rsidR="003B7B83">
        <w:rPr>
          <w:rFonts w:hint="cs"/>
          <w:sz w:val="26"/>
          <w:szCs w:val="26"/>
          <w:rtl/>
          <w:lang w:val="en-US" w:bidi="ar-EG"/>
        </w:rPr>
        <w:t>له</w:t>
      </w:r>
      <w:r w:rsidR="002E3425">
        <w:rPr>
          <w:rFonts w:hint="cs"/>
          <w:sz w:val="26"/>
          <w:szCs w:val="26"/>
          <w:rtl/>
          <w:lang w:val="en-US" w:bidi="ar-EG"/>
        </w:rPr>
        <w:t xml:space="preserve"> علاقة </w:t>
      </w:r>
      <w:r w:rsidR="003B7B83">
        <w:rPr>
          <w:rFonts w:hint="cs"/>
          <w:sz w:val="26"/>
          <w:szCs w:val="26"/>
          <w:rtl/>
          <w:lang w:val="en-US" w:bidi="ar-EG"/>
        </w:rPr>
        <w:t>ب</w:t>
      </w:r>
      <w:r w:rsidR="002E3425">
        <w:rPr>
          <w:rFonts w:hint="cs"/>
          <w:sz w:val="26"/>
          <w:szCs w:val="26"/>
          <w:rtl/>
          <w:lang w:val="en-US" w:bidi="ar-EG"/>
        </w:rPr>
        <w:t xml:space="preserve">ملاحظات المراجعة </w:t>
      </w:r>
      <w:r w:rsidR="003B7B83">
        <w:rPr>
          <w:rFonts w:hint="cs"/>
          <w:sz w:val="26"/>
          <w:szCs w:val="26"/>
          <w:rtl/>
          <w:lang w:val="en-US" w:bidi="ar-EG"/>
        </w:rPr>
        <w:t xml:space="preserve">في </w:t>
      </w:r>
      <w:r w:rsidR="002E3425">
        <w:rPr>
          <w:rFonts w:hint="cs"/>
          <w:sz w:val="26"/>
          <w:szCs w:val="26"/>
          <w:rtl/>
          <w:lang w:val="en-US" w:bidi="ar-EG"/>
        </w:rPr>
        <w:t>الصندوق المتعدد الأطراف.</w:t>
      </w:r>
    </w:p>
    <w:p w:rsidR="002E3425" w:rsidRPr="002E3425" w:rsidRDefault="002E3425" w:rsidP="002E3425">
      <w:pPr>
        <w:pStyle w:val="StyleHeader4Para4Left0Firstline0"/>
        <w:numPr>
          <w:ilvl w:val="0"/>
          <w:numId w:val="0"/>
        </w:numPr>
        <w:tabs>
          <w:tab w:val="clear" w:pos="2880"/>
          <w:tab w:val="clear" w:pos="5760"/>
          <w:tab w:val="left" w:pos="0"/>
        </w:tabs>
        <w:bidi/>
        <w:rPr>
          <w:b/>
          <w:bCs/>
          <w:sz w:val="28"/>
          <w:szCs w:val="28"/>
          <w:rtl/>
          <w:lang w:val="en-US" w:bidi="ar-EG"/>
        </w:rPr>
      </w:pPr>
      <w:r w:rsidRPr="002E3425">
        <w:rPr>
          <w:rFonts w:hint="cs"/>
          <w:b/>
          <w:bCs/>
          <w:sz w:val="28"/>
          <w:szCs w:val="28"/>
          <w:rtl/>
          <w:lang w:val="en-US" w:bidi="ar-EG"/>
        </w:rPr>
        <w:t>التوصية</w:t>
      </w:r>
    </w:p>
    <w:p w:rsidR="002E3425" w:rsidRDefault="002E3425" w:rsidP="002E3425">
      <w:pPr>
        <w:pStyle w:val="StyleHeader4Para4Left0Firstline0"/>
        <w:numPr>
          <w:ilvl w:val="0"/>
          <w:numId w:val="0"/>
        </w:numPr>
        <w:tabs>
          <w:tab w:val="clear" w:pos="2880"/>
          <w:tab w:val="clear" w:pos="5760"/>
          <w:tab w:val="left" w:pos="0"/>
        </w:tabs>
        <w:bidi/>
        <w:rPr>
          <w:sz w:val="26"/>
          <w:szCs w:val="26"/>
          <w:rtl/>
          <w:lang w:val="en-US" w:bidi="ar-EG"/>
        </w:rPr>
      </w:pPr>
      <w:r>
        <w:rPr>
          <w:rFonts w:hint="cs"/>
          <w:sz w:val="26"/>
          <w:szCs w:val="26"/>
          <w:rtl/>
          <w:lang w:val="en-US" w:bidi="ar-EG"/>
        </w:rPr>
        <w:t>7</w:t>
      </w:r>
      <w:r>
        <w:rPr>
          <w:rFonts w:hint="cs"/>
          <w:sz w:val="26"/>
          <w:szCs w:val="26"/>
          <w:rtl/>
          <w:lang w:val="en-US" w:bidi="ar-EG"/>
        </w:rPr>
        <w:tab/>
        <w:t>قد ترغب اللجنة التنفيذية:</w:t>
      </w:r>
    </w:p>
    <w:p w:rsidR="002E3425" w:rsidRDefault="002E3425" w:rsidP="00BB66A8">
      <w:pPr>
        <w:pStyle w:val="StyleHeader4Para4Left0Firstline0"/>
        <w:numPr>
          <w:ilvl w:val="0"/>
          <w:numId w:val="0"/>
        </w:numPr>
        <w:tabs>
          <w:tab w:val="clear" w:pos="2880"/>
          <w:tab w:val="clear" w:pos="5760"/>
          <w:tab w:val="left" w:pos="0"/>
        </w:tabs>
        <w:bidi/>
        <w:ind w:left="720" w:hanging="1440"/>
        <w:rPr>
          <w:sz w:val="26"/>
          <w:szCs w:val="26"/>
          <w:rtl/>
          <w:lang w:val="en-US" w:bidi="ar-EG"/>
        </w:rPr>
      </w:pPr>
      <w:r>
        <w:rPr>
          <w:rFonts w:hint="cs"/>
          <w:sz w:val="26"/>
          <w:szCs w:val="26"/>
          <w:rtl/>
          <w:lang w:val="en-US" w:bidi="ar-EG"/>
        </w:rPr>
        <w:tab/>
        <w:t>(أ)</w:t>
      </w:r>
      <w:r>
        <w:rPr>
          <w:rFonts w:hint="cs"/>
          <w:sz w:val="26"/>
          <w:szCs w:val="26"/>
          <w:rtl/>
          <w:lang w:val="en-US" w:bidi="ar-EG"/>
        </w:rPr>
        <w:tab/>
        <w:t xml:space="preserve">أن تحاط علما بالبيانات المالية النهائية المراجعة للصندوق المتعدد الأطراف حتى 31 ديسمبر/كانون الأول 2019 الذى أعد بناء على معايير الحسابات الدولية للقطاع العام الواردة في الوثيقة </w:t>
      </w:r>
      <w:r w:rsidR="00BB66A8">
        <w:rPr>
          <w:sz w:val="26"/>
          <w:szCs w:val="26"/>
          <w:lang w:val="en-US" w:bidi="ar-EG"/>
        </w:rPr>
        <w:t>UNEP</w:t>
      </w:r>
      <w:r>
        <w:rPr>
          <w:sz w:val="26"/>
          <w:szCs w:val="26"/>
          <w:lang w:val="en-US" w:bidi="ar-EG"/>
        </w:rPr>
        <w:t>/</w:t>
      </w:r>
      <w:r w:rsidR="00BB66A8">
        <w:rPr>
          <w:sz w:val="26"/>
          <w:szCs w:val="26"/>
          <w:lang w:val="en-US" w:bidi="ar-EG"/>
        </w:rPr>
        <w:t>OzL</w:t>
      </w:r>
      <w:r>
        <w:rPr>
          <w:sz w:val="26"/>
          <w:szCs w:val="26"/>
          <w:lang w:val="en-US" w:bidi="ar-EG"/>
        </w:rPr>
        <w:t>.Pro/ExCom/</w:t>
      </w:r>
      <w:r w:rsidR="00BB66A8">
        <w:rPr>
          <w:sz w:val="26"/>
          <w:szCs w:val="26"/>
          <w:lang w:val="en-US" w:bidi="ar-EG"/>
        </w:rPr>
        <w:t>86/5</w:t>
      </w:r>
      <w:r w:rsidR="00BB66A8">
        <w:rPr>
          <w:rFonts w:hint="cs"/>
          <w:sz w:val="26"/>
          <w:szCs w:val="26"/>
          <w:rtl/>
          <w:lang w:val="en-US" w:bidi="ar-EG"/>
        </w:rPr>
        <w:t>؛</w:t>
      </w:r>
    </w:p>
    <w:p w:rsidR="00BB66A8" w:rsidRDefault="00BB66A8" w:rsidP="00BB66A8">
      <w:pPr>
        <w:pStyle w:val="StyleHeader4Para4Left0Firstline0"/>
        <w:numPr>
          <w:ilvl w:val="0"/>
          <w:numId w:val="0"/>
        </w:numPr>
        <w:tabs>
          <w:tab w:val="clear" w:pos="2880"/>
          <w:tab w:val="clear" w:pos="5760"/>
          <w:tab w:val="left" w:pos="0"/>
        </w:tabs>
        <w:bidi/>
        <w:ind w:left="720" w:hanging="1440"/>
        <w:rPr>
          <w:sz w:val="26"/>
          <w:szCs w:val="26"/>
          <w:rtl/>
          <w:lang w:val="en-US" w:bidi="ar-EG"/>
        </w:rPr>
      </w:pPr>
      <w:r>
        <w:rPr>
          <w:rFonts w:hint="cs"/>
          <w:sz w:val="26"/>
          <w:szCs w:val="26"/>
          <w:rtl/>
          <w:lang w:val="en-US" w:bidi="ar-EG"/>
        </w:rPr>
        <w:tab/>
        <w:t>(ب)</w:t>
      </w:r>
      <w:r>
        <w:rPr>
          <w:rFonts w:hint="cs"/>
          <w:sz w:val="26"/>
          <w:szCs w:val="26"/>
          <w:rtl/>
          <w:lang w:val="en-US" w:bidi="ar-EG"/>
        </w:rPr>
        <w:tab/>
        <w:t xml:space="preserve">أن تطلب من أمين الخزانة أن يسجل في حسابات عام 2020 للصندوق المتعدد الأطراف الفرق بين تنفيذ البيانات المالية لعام 2019 المؤقتة للوكالات اللمنفذة وبياناتها النهائية لعام 2019 كما وردت في الجدول 1 بالوثيقة </w:t>
      </w:r>
      <w:r>
        <w:rPr>
          <w:sz w:val="26"/>
          <w:szCs w:val="26"/>
          <w:lang w:val="en-US" w:bidi="ar-EG"/>
        </w:rPr>
        <w:t>UNEP/OzL.Pro/ExCom/86/5</w:t>
      </w:r>
      <w:r>
        <w:rPr>
          <w:rFonts w:hint="cs"/>
          <w:sz w:val="26"/>
          <w:szCs w:val="26"/>
          <w:rtl/>
          <w:lang w:val="en-US" w:bidi="ar-EG"/>
        </w:rPr>
        <w:t>.</w:t>
      </w:r>
    </w:p>
    <w:p w:rsidR="00BB66A8" w:rsidRDefault="00BB66A8" w:rsidP="00BB66A8">
      <w:pPr>
        <w:pStyle w:val="StyleHeader4Para4Left0Firstline0"/>
        <w:numPr>
          <w:ilvl w:val="0"/>
          <w:numId w:val="0"/>
        </w:numPr>
        <w:tabs>
          <w:tab w:val="clear" w:pos="2880"/>
          <w:tab w:val="clear" w:pos="5760"/>
          <w:tab w:val="left" w:pos="0"/>
        </w:tabs>
        <w:bidi/>
        <w:ind w:left="720" w:hanging="1440"/>
        <w:rPr>
          <w:sz w:val="26"/>
          <w:szCs w:val="26"/>
          <w:rtl/>
          <w:lang w:val="en-US" w:bidi="ar-EG"/>
        </w:rPr>
      </w:pPr>
    </w:p>
    <w:p w:rsidR="007E5D09" w:rsidRDefault="00E1360E">
      <w:pPr>
        <w:pStyle w:val="Heading3"/>
        <w:numPr>
          <w:ilvl w:val="0"/>
          <w:numId w:val="0"/>
        </w:numPr>
        <w:ind w:left="1361"/>
        <w:sectPr w:rsidR="007E5D09">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r>
        <w:br w:type="page"/>
      </w:r>
    </w:p>
    <w:p w:rsidR="007E5D09" w:rsidRDefault="00E1360E">
      <w:pPr>
        <w:tabs>
          <w:tab w:val="left" w:pos="4095"/>
          <w:tab w:val="center" w:pos="4680"/>
        </w:tabs>
        <w:bidi/>
        <w:jc w:val="left"/>
        <w:rPr>
          <w:rFonts w:cs="Arabic Transparent"/>
          <w:b/>
          <w:bCs/>
          <w:sz w:val="26"/>
          <w:szCs w:val="26"/>
          <w:lang w:val="en-CA"/>
        </w:rPr>
      </w:pPr>
      <w:r>
        <w:rPr>
          <w:rFonts w:cs="Arabic Transparent"/>
          <w:b/>
          <w:bCs/>
          <w:sz w:val="26"/>
          <w:szCs w:val="26"/>
          <w:rtl/>
        </w:rPr>
        <w:lastRenderedPageBreak/>
        <w:tab/>
      </w:r>
    </w:p>
    <w:p w:rsidR="007E5D09" w:rsidRDefault="00E1360E" w:rsidP="00BD4929">
      <w:pPr>
        <w:tabs>
          <w:tab w:val="left" w:pos="4095"/>
          <w:tab w:val="center" w:pos="4680"/>
        </w:tabs>
        <w:bidi/>
        <w:jc w:val="left"/>
        <w:rPr>
          <w:rFonts w:cs="Arabic Transparent"/>
          <w:b/>
          <w:bCs/>
          <w:sz w:val="26"/>
          <w:szCs w:val="26"/>
          <w:lang w:val="en-CA" w:bidi="ar-EG"/>
        </w:rPr>
      </w:pPr>
      <w:r>
        <w:rPr>
          <w:rFonts w:cs="Arabic Transparent"/>
          <w:b/>
          <w:bCs/>
          <w:sz w:val="26"/>
          <w:szCs w:val="26"/>
          <w:rtl/>
        </w:rPr>
        <w:tab/>
      </w:r>
    </w:p>
    <w:p w:rsidR="007E5D09" w:rsidRDefault="007E5D09">
      <w:pPr>
        <w:bidi/>
        <w:jc w:val="center"/>
        <w:rPr>
          <w:rFonts w:cs="Arabic Transparent"/>
          <w:b/>
          <w:bCs/>
          <w:sz w:val="26"/>
          <w:szCs w:val="26"/>
          <w:lang w:val="en-CA" w:bidi="ar-EG"/>
        </w:rPr>
      </w:pPr>
    </w:p>
    <w:p w:rsidR="007E5D09" w:rsidRDefault="007E5D09">
      <w:pPr>
        <w:pStyle w:val="Heading3"/>
        <w:numPr>
          <w:ilvl w:val="0"/>
          <w:numId w:val="0"/>
        </w:numPr>
        <w:ind w:left="1361"/>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rPr>
          <w:rtl/>
        </w:rPr>
      </w:pPr>
    </w:p>
    <w:p w:rsidR="007E5D09" w:rsidRDefault="007E5D09">
      <w:pPr>
        <w:pStyle w:val="StyleHeader4Para4Left0Firstline0"/>
        <w:numPr>
          <w:ilvl w:val="0"/>
          <w:numId w:val="0"/>
        </w:num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p w:rsidR="007E5D09" w:rsidRDefault="007E5D09">
      <w:pPr>
        <w:rPr>
          <w:rtl/>
          <w:lang w:val="en-CA"/>
        </w:rPr>
      </w:pPr>
    </w:p>
    <w:sectPr w:rsidR="007E5D09">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8" w:rsidRDefault="00BF7168">
      <w:r>
        <w:separator/>
      </w:r>
    </w:p>
  </w:endnote>
  <w:endnote w:type="continuationSeparator" w:id="0">
    <w:p w:rsidR="00BF7168" w:rsidRDefault="00BF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Akhbar MT">
    <w:altName w:val="Times New Roman"/>
    <w:panose1 w:val="00000000000000000000"/>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E1360E">
    <w:pPr>
      <w:pStyle w:val="Footer"/>
      <w:jc w:val="center"/>
    </w:pPr>
    <w:r>
      <w:rPr>
        <w:rStyle w:val="PageNumber"/>
      </w:rPr>
      <w:fldChar w:fldCharType="begin"/>
    </w:r>
    <w:r>
      <w:rPr>
        <w:rStyle w:val="PageNumber"/>
      </w:rPr>
      <w:instrText xml:space="preserve"> PAGE </w:instrText>
    </w:r>
    <w:r>
      <w:rPr>
        <w:rStyle w:val="PageNumber"/>
      </w:rPr>
      <w:fldChar w:fldCharType="separate"/>
    </w:r>
    <w:r w:rsidR="000D52F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E1360E">
    <w:pPr>
      <w:jc w:val="center"/>
    </w:pPr>
    <w:r>
      <w:rPr>
        <w:rStyle w:val="PageNumber"/>
      </w:rPr>
      <w:fldChar w:fldCharType="begin"/>
    </w:r>
    <w:r>
      <w:rPr>
        <w:rStyle w:val="PageNumber"/>
      </w:rPr>
      <w:instrText xml:space="preserve"> PAGE </w:instrText>
    </w:r>
    <w:r>
      <w:rPr>
        <w:rStyle w:val="PageNumber"/>
      </w:rPr>
      <w:fldChar w:fldCharType="separate"/>
    </w:r>
    <w:r w:rsidR="000D52F7">
      <w:rPr>
        <w:rStyle w:val="PageNumber"/>
        <w:noProof/>
      </w:rPr>
      <w:t>3</w:t>
    </w:r>
    <w:r>
      <w:rPr>
        <w:rStyle w:val="PageNumber"/>
      </w:rPr>
      <w:fldChar w:fldCharType="end"/>
    </w:r>
  </w:p>
  <w:p w:rsidR="007E5D09" w:rsidRDefault="007E5D0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Pr="00BD4929" w:rsidRDefault="00E1360E">
    <w:pPr>
      <w:pBdr>
        <w:top w:val="single" w:sz="4" w:space="1" w:color="auto"/>
        <w:left w:val="single" w:sz="4" w:space="0" w:color="auto"/>
        <w:bottom w:val="single" w:sz="4" w:space="1" w:color="auto"/>
        <w:right w:val="single" w:sz="4" w:space="0" w:color="auto"/>
      </w:pBdr>
      <w:bidi/>
      <w:jc w:val="center"/>
      <w:rPr>
        <w:rFonts w:cs="Arabic Transparent"/>
        <w:rtl/>
      </w:rPr>
    </w:pPr>
    <w:r w:rsidRPr="00BD4929">
      <w:rPr>
        <w:rFonts w:cs="Arabic Transparent" w:hint="cs"/>
        <w:rtl/>
      </w:rPr>
      <w:t>إن وثائق ما قبل دورات اللجنة التنفيذية للصندوق المتعدد الأطراف لتنفيذ بروتوكول مونتريال</w:t>
    </w:r>
    <w:r w:rsidRPr="00BD4929">
      <w:rPr>
        <w:rFonts w:cs="Arabic Transparent"/>
      </w:rPr>
      <w:t xml:space="preserve"> </w:t>
    </w:r>
  </w:p>
  <w:p w:rsidR="007E5D09" w:rsidRDefault="00E1360E">
    <w:pPr>
      <w:pBdr>
        <w:top w:val="single" w:sz="4" w:space="1" w:color="auto"/>
        <w:left w:val="single" w:sz="4" w:space="0" w:color="auto"/>
        <w:bottom w:val="single" w:sz="4" w:space="1" w:color="auto"/>
        <w:right w:val="single" w:sz="4" w:space="0" w:color="auto"/>
      </w:pBdr>
      <w:bidi/>
      <w:jc w:val="center"/>
      <w:rPr>
        <w:rFonts w:cs="Arabic Transparent"/>
      </w:rPr>
    </w:pPr>
    <w:r w:rsidRPr="00BD4929">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E1360E">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E1360E">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7E5D09" w:rsidRDefault="00E1360E">
        <w:pPr>
          <w:pStyle w:val="Footer"/>
          <w:jc w:val="center"/>
        </w:pPr>
        <w:r>
          <w:fldChar w:fldCharType="begin"/>
        </w:r>
        <w:r>
          <w:instrText xml:space="preserve"> PAGE   \* MERGEFORMAT </w:instrText>
        </w:r>
        <w:r>
          <w:fldChar w:fldCharType="separate"/>
        </w:r>
        <w:r w:rsidR="000D52F7">
          <w:rPr>
            <w:noProof/>
          </w:rPr>
          <w:t>1</w:t>
        </w:r>
        <w:r>
          <w:rPr>
            <w:noProof/>
          </w:rPr>
          <w:fldChar w:fldCharType="end"/>
        </w:r>
      </w:p>
    </w:sdtContent>
  </w:sdt>
  <w:p w:rsidR="007E5D09" w:rsidRDefault="007E5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8" w:rsidRDefault="00BF7168">
      <w:r>
        <w:separator/>
      </w:r>
    </w:p>
  </w:footnote>
  <w:footnote w:type="continuationSeparator" w:id="0">
    <w:p w:rsidR="00BF7168" w:rsidRDefault="00BF7168">
      <w:r>
        <w:continuationSeparator/>
      </w:r>
    </w:p>
  </w:footnote>
  <w:footnote w:id="1">
    <w:p w:rsidR="00BD4929" w:rsidRPr="00BD4929" w:rsidRDefault="00BD4929" w:rsidP="00BD4929">
      <w:pPr>
        <w:pStyle w:val="FootnoteText"/>
        <w:jc w:val="right"/>
        <w:rPr>
          <w:rtl/>
          <w:lang w:val="en-US" w:bidi="ar-SY"/>
        </w:rPr>
      </w:pPr>
      <w:r>
        <w:rPr>
          <w:rFonts w:hint="cs"/>
          <w:rtl/>
          <w:lang w:bidi="ar-BH"/>
        </w:rPr>
        <w:t>.</w:t>
      </w:r>
      <w:r>
        <w:rPr>
          <w:rStyle w:val="FootnoteReference"/>
        </w:rPr>
        <w:footnoteRef/>
      </w:r>
      <w:r>
        <w:rPr>
          <w:rFonts w:hint="cs"/>
          <w:rtl/>
          <w:lang w:bidi="ar-BH"/>
        </w:rPr>
        <w:t xml:space="preserve"> بسبب </w:t>
      </w:r>
      <w:r>
        <w:rPr>
          <w:rFonts w:hint="cs"/>
          <w:rtl/>
          <w:lang w:val="en-CA" w:bidi="ar-BH"/>
        </w:rPr>
        <w:t>فيروس كورونا (كوفيد-19)</w:t>
      </w:r>
      <w:r>
        <w:t xml:space="preserve"> </w:t>
      </w:r>
      <w:r>
        <w:rPr>
          <w:rFonts w:hint="cs"/>
          <w:rtl/>
          <w:lang w:val="en-US" w:bidi="ar-SY"/>
        </w:rPr>
        <w:t>.</w:t>
      </w:r>
    </w:p>
  </w:footnote>
  <w:footnote w:id="2">
    <w:p w:rsidR="00724CF5" w:rsidRPr="00724CF5" w:rsidRDefault="00724CF5" w:rsidP="00724CF5">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https;//undocs.org/en/A/75/5/Add.7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7168" w:rsidP="00075407">
    <w:pPr>
      <w:jc w:val="right"/>
    </w:pPr>
    <w:r>
      <w:fldChar w:fldCharType="begin"/>
    </w:r>
    <w:r>
      <w:instrText xml:space="preserve"> DOCPROPERTY "Document number"  \* MERGEFORMAT </w:instrText>
    </w:r>
    <w:r>
      <w:fldChar w:fldCharType="separate"/>
    </w:r>
    <w:r w:rsidR="00C73769">
      <w:t>UNEP/OzL.Pro/ExCom/86/</w:t>
    </w:r>
    <w:r w:rsidR="00075407">
      <w:t>5</w:t>
    </w:r>
    <w:r>
      <w:fldChar w:fldCharType="end"/>
    </w:r>
  </w:p>
  <w:p w:rsidR="007E5D09" w:rsidRDefault="007E5D09"/>
  <w:p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7168" w:rsidP="00075407">
    <w:pPr>
      <w:jc w:val="left"/>
    </w:pPr>
    <w:r>
      <w:fldChar w:fldCharType="begin"/>
    </w:r>
    <w:r>
      <w:instrText xml:space="preserve"> DOCPROPERTY "Document number"  \* MERGEFORMAT </w:instrText>
    </w:r>
    <w:r>
      <w:fldChar w:fldCharType="separate"/>
    </w:r>
    <w:r w:rsidR="00C73769">
      <w:t>UNEP/OzL.Pro/ExCom/86/</w:t>
    </w:r>
    <w:r w:rsidR="00075407">
      <w:t>5</w:t>
    </w:r>
    <w:r>
      <w:fldChar w:fldCharType="end"/>
    </w:r>
  </w:p>
  <w:p w:rsidR="007E5D09" w:rsidRDefault="007E5D09"/>
  <w:p w:rsidR="007E5D09" w:rsidRDefault="007E5D0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7168">
    <w:r>
      <w:fldChar w:fldCharType="begin"/>
    </w:r>
    <w:r>
      <w:instrText xml:space="preserve"> DOCPROPERTY "Document number"  \* MERGEFORMAT </w:instrText>
    </w:r>
    <w:r>
      <w:fldChar w:fldCharType="separate"/>
    </w:r>
    <w:r w:rsidR="00C73769">
      <w:t>UNEP/OzL.Pro/ExCom/86/1</w:t>
    </w:r>
    <w:r>
      <w:fldChar w:fldCharType="end"/>
    </w:r>
  </w:p>
  <w:p w:rsidR="007E5D09" w:rsidRDefault="007E5D09"/>
  <w:p w:rsidR="007E5D09" w:rsidRDefault="007E5D0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7168">
    <w:pPr>
      <w:jc w:val="right"/>
    </w:pPr>
    <w:r>
      <w:fldChar w:fldCharType="begin"/>
    </w:r>
    <w:r>
      <w:instrText xml:space="preserve"> DOCPROPERTY "Document number"  \* MERGEFORMAT </w:instrText>
    </w:r>
    <w:r>
      <w:fldChar w:fldCharType="separate"/>
    </w:r>
    <w:r w:rsidR="00C73769">
      <w:t>UNEP/OzL.Pro/ExCom/86/1</w:t>
    </w:r>
    <w:r>
      <w:fldChar w:fldCharType="end"/>
    </w:r>
  </w:p>
  <w:p w:rsidR="007E5D09" w:rsidRDefault="007E5D09"/>
  <w:p w:rsidR="007E5D09" w:rsidRDefault="007E5D0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7168" w:rsidP="00075407">
    <w:pPr>
      <w:jc w:val="left"/>
    </w:pPr>
    <w:r>
      <w:fldChar w:fldCharType="begin"/>
    </w:r>
    <w:r>
      <w:instrText xml:space="preserve"> DOCPROPERTY "Document number"  \* MERGEFORMAT </w:instrText>
    </w:r>
    <w:r>
      <w:fldChar w:fldCharType="separate"/>
    </w:r>
    <w:r w:rsidR="00C73769">
      <w:t>UNEP/OzL.Pro/ExCom/86/</w:t>
    </w:r>
    <w:r w:rsidR="00075407">
      <w:t>5</w:t>
    </w:r>
    <w:r>
      <w:fldChar w:fldCharType="end"/>
    </w:r>
  </w:p>
  <w:p w:rsidR="007E5D09" w:rsidRDefault="007E5D09"/>
  <w:p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4"/>
  </w:num>
  <w:num w:numId="21">
    <w:abstractNumId w:val="11"/>
  </w:num>
  <w:num w:numId="22">
    <w:abstractNumId w:val="13"/>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69"/>
    <w:rsid w:val="00013372"/>
    <w:rsid w:val="0004254A"/>
    <w:rsid w:val="00075407"/>
    <w:rsid w:val="000861FE"/>
    <w:rsid w:val="000C2FE8"/>
    <w:rsid w:val="000C668E"/>
    <w:rsid w:val="000D52F7"/>
    <w:rsid w:val="000F611B"/>
    <w:rsid w:val="0025490F"/>
    <w:rsid w:val="00265F09"/>
    <w:rsid w:val="00280F18"/>
    <w:rsid w:val="002D3546"/>
    <w:rsid w:val="002E3425"/>
    <w:rsid w:val="002E7EF7"/>
    <w:rsid w:val="002F505F"/>
    <w:rsid w:val="00304DAB"/>
    <w:rsid w:val="003263B5"/>
    <w:rsid w:val="003817FB"/>
    <w:rsid w:val="003B7B83"/>
    <w:rsid w:val="003F2852"/>
    <w:rsid w:val="00474FC1"/>
    <w:rsid w:val="004C5B74"/>
    <w:rsid w:val="0050258C"/>
    <w:rsid w:val="00532BD7"/>
    <w:rsid w:val="005C7D4A"/>
    <w:rsid w:val="00637504"/>
    <w:rsid w:val="00662A73"/>
    <w:rsid w:val="00663C7D"/>
    <w:rsid w:val="006F2A2C"/>
    <w:rsid w:val="006F7D78"/>
    <w:rsid w:val="00724CF5"/>
    <w:rsid w:val="00786775"/>
    <w:rsid w:val="007E4A4C"/>
    <w:rsid w:val="007E5D09"/>
    <w:rsid w:val="0086353B"/>
    <w:rsid w:val="00867296"/>
    <w:rsid w:val="00A156EF"/>
    <w:rsid w:val="00A44778"/>
    <w:rsid w:val="00A54FC6"/>
    <w:rsid w:val="00A6199F"/>
    <w:rsid w:val="00A977C5"/>
    <w:rsid w:val="00AB4886"/>
    <w:rsid w:val="00AC47E7"/>
    <w:rsid w:val="00AD5161"/>
    <w:rsid w:val="00AE6AFF"/>
    <w:rsid w:val="00B11DB6"/>
    <w:rsid w:val="00B40E87"/>
    <w:rsid w:val="00B4600D"/>
    <w:rsid w:val="00B81E83"/>
    <w:rsid w:val="00BB66A8"/>
    <w:rsid w:val="00BD4929"/>
    <w:rsid w:val="00BF7168"/>
    <w:rsid w:val="00C34F3F"/>
    <w:rsid w:val="00C73769"/>
    <w:rsid w:val="00D95724"/>
    <w:rsid w:val="00DB3848"/>
    <w:rsid w:val="00E1360E"/>
    <w:rsid w:val="00E56627"/>
    <w:rsid w:val="00EC108E"/>
    <w:rsid w:val="00F311C3"/>
    <w:rsid w:val="00FE1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324C6-F28A-4EB5-B3B8-33E003E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724CF5"/>
    <w:rPr>
      <w:sz w:val="20"/>
    </w:rPr>
  </w:style>
  <w:style w:type="character" w:customStyle="1" w:styleId="FootnoteTextChar">
    <w:name w:val="Footnote Text Char"/>
    <w:basedOn w:val="DefaultParagraphFont"/>
    <w:link w:val="FootnoteText"/>
    <w:uiPriority w:val="99"/>
    <w:semiHidden/>
    <w:rsid w:val="00724CF5"/>
    <w:rPr>
      <w:lang w:val="en-GB" w:bidi="ar-DZ"/>
    </w:rPr>
  </w:style>
  <w:style w:type="character" w:styleId="FootnoteReference">
    <w:name w:val="footnote reference"/>
    <w:basedOn w:val="DefaultParagraphFont"/>
    <w:uiPriority w:val="99"/>
    <w:semiHidden/>
    <w:unhideWhenUsed/>
    <w:rsid w:val="00724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3058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NXPPAZ3T\A86-template%20-%20with%20footno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UNEP/OzL.Pro/ExCom/86/5</Document_x0020_Number>
    <DocumentType xmlns="48d2d36d-b4e3-478b-a344-cdbeebaca89a">Pre-session</DocumentType>
    <Posted_x0020_after_x0020_IAP xmlns="aa4c1d13-0b99-429d-b494-d0ce00f216e9">true</Posted_x0020_after_x0020_IAP>
  </documentManagement>
</p:properties>
</file>

<file path=customXml/itemProps1.xml><?xml version="1.0" encoding="utf-8"?>
<ds:datastoreItem xmlns:ds="http://schemas.openxmlformats.org/officeDocument/2006/customXml" ds:itemID="{B5FF68E6-1904-4450-B7D9-7F211FEED96A}"/>
</file>

<file path=customXml/itemProps2.xml><?xml version="1.0" encoding="utf-8"?>
<ds:datastoreItem xmlns:ds="http://schemas.openxmlformats.org/officeDocument/2006/customXml" ds:itemID="{A2C10731-344E-4F08-93B7-105C09F4140F}"/>
</file>

<file path=customXml/itemProps3.xml><?xml version="1.0" encoding="utf-8"?>
<ds:datastoreItem xmlns:ds="http://schemas.openxmlformats.org/officeDocument/2006/customXml" ds:itemID="{CE693BBC-AA0D-4FB1-AC09-5911FB9CDE0D}"/>
</file>

<file path=customXml/itemProps4.xml><?xml version="1.0" encoding="utf-8"?>
<ds:datastoreItem xmlns:ds="http://schemas.openxmlformats.org/officeDocument/2006/customXml" ds:itemID="{9A023E61-48CE-4E37-A3BC-6B8348278D1F}"/>
</file>

<file path=docProps/app.xml><?xml version="1.0" encoding="utf-8"?>
<Properties xmlns="http://schemas.openxmlformats.org/officeDocument/2006/extended-properties" xmlns:vt="http://schemas.openxmlformats.org/officeDocument/2006/docPropsVTypes">
  <Template>A86-template - with footnote (1)</Template>
  <TotalTime>103</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الحسابات النهائية لعام 2019</vt:lpstr>
    </vt:vector>
  </TitlesOfParts>
  <Company>UNMFS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الحسابات النهائية لعام 2019</dc:title>
  <dc:creator>mahmoud bakr</dc:creator>
  <cp:lastModifiedBy>HB</cp:lastModifiedBy>
  <cp:revision>16</cp:revision>
  <cp:lastPrinted>2001-05-26T16:40:00Z</cp:lastPrinted>
  <dcterms:created xsi:type="dcterms:W3CDTF">2020-11-13T09:48:00Z</dcterms:created>
  <dcterms:modified xsi:type="dcterms:W3CDTF">2020-11-27T21:28:00Z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UNEP/OzL.Pro/ExCom/86/5</vt:lpwstr>
  </property>
  <property fmtid="{D5CDD505-2E9C-101B-9397-08002B2CF9AE}" pid="3" name="Revision date">
    <vt:lpwstr>11/5/2020</vt:lpwstr>
  </property>
  <property fmtid="{D5CDD505-2E9C-101B-9397-08002B2CF9AE}" pid="4" name="ContentTypeId">
    <vt:lpwstr>0x010100003C883A2F638749AF5FF074293958A6</vt:lpwstr>
  </property>
</Properties>
</file>