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4" w:type="dxa"/>
        <w:tblInd w:w="-432" w:type="dxa"/>
        <w:tblLayout w:type="fixed"/>
        <w:tblLook w:val="0000" w:firstRow="0" w:lastRow="0" w:firstColumn="0" w:lastColumn="0" w:noHBand="0" w:noVBand="0"/>
      </w:tblPr>
      <w:tblGrid>
        <w:gridCol w:w="2070"/>
        <w:gridCol w:w="4424"/>
        <w:gridCol w:w="4590"/>
      </w:tblGrid>
      <w:tr w:rsidR="0087455A" w14:paraId="56E951C1" w14:textId="77777777">
        <w:trPr>
          <w:trHeight w:val="720"/>
        </w:trPr>
        <w:tc>
          <w:tcPr>
            <w:tcW w:w="6494" w:type="dxa"/>
            <w:gridSpan w:val="2"/>
            <w:tcBorders>
              <w:bottom w:val="single" w:sz="18" w:space="0" w:color="auto"/>
            </w:tcBorders>
          </w:tcPr>
          <w:p w14:paraId="1C1A7D54" w14:textId="77777777" w:rsidR="0087455A" w:rsidRDefault="0024162E">
            <w:pPr>
              <w:rPr>
                <w:rFonts w:ascii="Univers" w:hAnsi="Univers"/>
                <w:b/>
                <w:sz w:val="28"/>
                <w:szCs w:val="28"/>
                <w:lang w:val="es-MX"/>
              </w:rPr>
            </w:pPr>
            <w:r>
              <w:rPr>
                <w:rFonts w:ascii="Univers" w:hAnsi="Univers"/>
                <w:b/>
                <w:sz w:val="28"/>
                <w:szCs w:val="28"/>
                <w:lang w:val="es-MX"/>
              </w:rPr>
              <w:t>NACIONES</w:t>
            </w:r>
          </w:p>
          <w:p w14:paraId="3F46CAAB"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14:paraId="19D9E315"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B44C79" w14:paraId="4B26F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FF22AA2" w14:textId="77777777" w:rsidR="0087455A" w:rsidRDefault="0024162E">
            <w:pPr>
              <w:spacing w:before="120"/>
            </w:pPr>
            <w:r>
              <w:rPr>
                <w:noProof/>
                <w:lang w:val="en-CA" w:eastAsia="en-CA"/>
              </w:rPr>
              <w:drawing>
                <wp:anchor distT="0" distB="0" distL="114300" distR="114300" simplePos="0" relativeHeight="251660288" behindDoc="0" locked="0" layoutInCell="1" allowOverlap="1" wp14:anchorId="0EB30CBC" wp14:editId="05FC3A6E">
                  <wp:simplePos x="0" y="0"/>
                  <wp:positionH relativeFrom="column">
                    <wp:posOffset>-19050</wp:posOffset>
                  </wp:positionH>
                  <wp:positionV relativeFrom="paragraph">
                    <wp:posOffset>963930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385A2EEE" wp14:editId="76C7374D">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185A7AAC"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6220C896"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1EBC13DC"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3052B1F2"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6F814E47" w14:textId="77777777" w:rsidR="0087455A" w:rsidRDefault="0087455A" w:rsidP="00074310">
            <w:pPr>
              <w:spacing w:before="720"/>
              <w:rPr>
                <w:lang w:val="es-ES"/>
              </w:rPr>
            </w:pPr>
          </w:p>
        </w:tc>
        <w:tc>
          <w:tcPr>
            <w:tcW w:w="4590" w:type="dxa"/>
            <w:tcBorders>
              <w:top w:val="nil"/>
              <w:left w:val="nil"/>
              <w:bottom w:val="single" w:sz="36" w:space="0" w:color="auto"/>
              <w:right w:val="nil"/>
            </w:tcBorders>
          </w:tcPr>
          <w:p w14:paraId="4EA4F0EE" w14:textId="77777777" w:rsidR="0087455A" w:rsidRDefault="0087455A">
            <w:pPr>
              <w:rPr>
                <w:lang w:val="es-ES"/>
              </w:rPr>
            </w:pPr>
          </w:p>
          <w:p w14:paraId="28BBAD1C" w14:textId="77777777" w:rsidR="0087455A" w:rsidRDefault="0024162E">
            <w:pPr>
              <w:rPr>
                <w:lang w:val="es-ES"/>
              </w:rPr>
            </w:pPr>
            <w:r>
              <w:rPr>
                <w:lang w:val="es-ES"/>
              </w:rPr>
              <w:t>Distr.</w:t>
            </w:r>
          </w:p>
          <w:p w14:paraId="42ECCC0F" w14:textId="77777777" w:rsidR="0087455A" w:rsidRDefault="0024162E">
            <w:pPr>
              <w:rPr>
                <w:lang w:val="es-ES"/>
              </w:rPr>
            </w:pPr>
            <w:r>
              <w:rPr>
                <w:lang w:val="es-ES"/>
              </w:rPr>
              <w:t>GENERAL</w:t>
            </w:r>
          </w:p>
          <w:p w14:paraId="115D40D5" w14:textId="77777777" w:rsidR="0087455A" w:rsidRDefault="0087455A">
            <w:pPr>
              <w:rPr>
                <w:lang w:val="es-ES"/>
              </w:rPr>
            </w:pPr>
          </w:p>
          <w:p w14:paraId="418CD5A4" w14:textId="77777777" w:rsidR="0087455A" w:rsidRDefault="0024162E">
            <w:pPr>
              <w:rPr>
                <w:lang w:val="es-ES"/>
              </w:rPr>
            </w:pPr>
            <w:r>
              <w:fldChar w:fldCharType="begin"/>
            </w:r>
            <w:r>
              <w:rPr>
                <w:lang w:val="es-ES"/>
              </w:rPr>
              <w:instrText xml:space="preserve"> DOCPROPERTY "Document number"  \* MERGEFORMAT </w:instrText>
            </w:r>
            <w:r>
              <w:fldChar w:fldCharType="separate"/>
            </w:r>
            <w:r w:rsidR="00074310">
              <w:rPr>
                <w:lang w:val="es-ES"/>
              </w:rPr>
              <w:t>UNEP/OzL.Pro/ExCom/85/41</w:t>
            </w:r>
            <w:r>
              <w:fldChar w:fldCharType="end"/>
            </w:r>
          </w:p>
          <w:p w14:paraId="52ECB923" w14:textId="77777777" w:rsidR="00114CAA" w:rsidRDefault="00074310">
            <w:pPr>
              <w:rPr>
                <w:caps/>
                <w:lang w:val="es-ES"/>
              </w:rPr>
            </w:pPr>
            <w:r>
              <w:rPr>
                <w:caps/>
                <w:lang w:val="es-ES"/>
              </w:rPr>
              <w:fldChar w:fldCharType="begin"/>
            </w:r>
            <w:r>
              <w:rPr>
                <w:caps/>
                <w:lang w:val="es-ES"/>
              </w:rPr>
              <w:instrText xml:space="preserve"> DOCPROPERTY "Revision date"  \* MERGEFORMAT </w:instrText>
            </w:r>
            <w:r>
              <w:rPr>
                <w:caps/>
                <w:lang w:val="es-ES"/>
              </w:rPr>
              <w:fldChar w:fldCharType="separate"/>
            </w:r>
            <w:r>
              <w:rPr>
                <w:caps/>
                <w:lang w:val="es-ES"/>
              </w:rPr>
              <w:t xml:space="preserve">30 </w:t>
            </w:r>
            <w:r w:rsidRPr="00074310">
              <w:rPr>
                <w:lang w:val="es-ES"/>
              </w:rPr>
              <w:t>de abril de</w:t>
            </w:r>
            <w:r>
              <w:rPr>
                <w:caps/>
                <w:lang w:val="es-ES"/>
              </w:rPr>
              <w:t xml:space="preserve"> 2020</w:t>
            </w:r>
            <w:r>
              <w:rPr>
                <w:caps/>
                <w:lang w:val="es-ES"/>
              </w:rPr>
              <w:fldChar w:fldCharType="end"/>
            </w:r>
          </w:p>
          <w:p w14:paraId="5E875545" w14:textId="77777777" w:rsidR="00074310" w:rsidRDefault="00074310">
            <w:pPr>
              <w:rPr>
                <w:lang w:val="es-MX"/>
              </w:rPr>
            </w:pPr>
          </w:p>
          <w:p w14:paraId="08DF24F1" w14:textId="77777777" w:rsidR="0087455A" w:rsidRDefault="0024162E">
            <w:pPr>
              <w:rPr>
                <w:lang w:val="es-MX"/>
              </w:rPr>
            </w:pPr>
            <w:r>
              <w:rPr>
                <w:lang w:val="es-MX"/>
              </w:rPr>
              <w:t xml:space="preserve">ESPAÑOL </w:t>
            </w:r>
          </w:p>
          <w:p w14:paraId="7398E21A" w14:textId="77777777" w:rsidR="0087455A" w:rsidRDefault="0024162E">
            <w:pPr>
              <w:rPr>
                <w:lang w:val="es-ES"/>
              </w:rPr>
            </w:pPr>
            <w:r>
              <w:rPr>
                <w:lang w:val="es-ES"/>
              </w:rPr>
              <w:t xml:space="preserve">ORIGINAL: </w:t>
            </w:r>
            <w:r>
              <w:rPr>
                <w:lang w:val="es-MX"/>
              </w:rPr>
              <w:t>INGLÉS</w:t>
            </w:r>
          </w:p>
        </w:tc>
      </w:tr>
    </w:tbl>
    <w:p w14:paraId="307568B6"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233ED4B4" w14:textId="77777777" w:rsidR="00106F6E" w:rsidRDefault="00106F6E" w:rsidP="001F4047">
      <w:pPr>
        <w:jc w:val="left"/>
        <w:rPr>
          <w:lang w:val="es-ES"/>
        </w:rPr>
      </w:pPr>
      <w:r>
        <w:rPr>
          <w:lang w:val="es-ES"/>
        </w:rPr>
        <w:t xml:space="preserve">Octogésima </w:t>
      </w:r>
      <w:r w:rsidR="0092685B">
        <w:rPr>
          <w:lang w:val="es-ES"/>
        </w:rPr>
        <w:t>quint</w:t>
      </w:r>
      <w:r w:rsidR="003863A4">
        <w:rPr>
          <w:lang w:val="es-ES"/>
        </w:rPr>
        <w:t>a Reunión</w:t>
      </w:r>
      <w:r w:rsidR="003863A4">
        <w:rPr>
          <w:lang w:val="es-ES"/>
        </w:rPr>
        <w:br/>
        <w:t xml:space="preserve">Montreal, </w:t>
      </w:r>
      <w:r w:rsidR="0092685B">
        <w:rPr>
          <w:lang w:val="es-ES"/>
        </w:rPr>
        <w:t>25</w:t>
      </w:r>
      <w:r w:rsidR="003863A4">
        <w:rPr>
          <w:lang w:val="es-ES"/>
        </w:rPr>
        <w:t xml:space="preserve"> </w:t>
      </w:r>
      <w:r>
        <w:rPr>
          <w:lang w:val="es-ES"/>
        </w:rPr>
        <w:t xml:space="preserve">– </w:t>
      </w:r>
      <w:r w:rsidR="003863A4">
        <w:rPr>
          <w:lang w:val="es-ES"/>
        </w:rPr>
        <w:t>2</w:t>
      </w:r>
      <w:r w:rsidR="0092685B">
        <w:rPr>
          <w:lang w:val="es-ES"/>
        </w:rPr>
        <w:t>9</w:t>
      </w:r>
      <w:r>
        <w:rPr>
          <w:lang w:val="es-ES"/>
        </w:rPr>
        <w:t xml:space="preserve"> de </w:t>
      </w:r>
      <w:r w:rsidR="0092685B">
        <w:rPr>
          <w:lang w:val="es-ES"/>
        </w:rPr>
        <w:t>mayo</w:t>
      </w:r>
      <w:r w:rsidR="001C2D22">
        <w:rPr>
          <w:lang w:val="es-ES"/>
        </w:rPr>
        <w:t xml:space="preserve"> de 20</w:t>
      </w:r>
      <w:r w:rsidR="0092685B">
        <w:rPr>
          <w:lang w:val="es-ES"/>
        </w:rPr>
        <w:t>20</w:t>
      </w:r>
    </w:p>
    <w:p w14:paraId="3C72B4EA" w14:textId="77777777" w:rsidR="0092685B" w:rsidRDefault="00C40E04" w:rsidP="001F4047">
      <w:pPr>
        <w:jc w:val="left"/>
        <w:rPr>
          <w:lang w:val="es-ES"/>
        </w:rPr>
      </w:pPr>
      <w:r>
        <w:rPr>
          <w:lang w:val="es-ES"/>
        </w:rPr>
        <w:t>Pospuesta: 19 – 22 de julio de 2020*</w:t>
      </w:r>
    </w:p>
    <w:p w14:paraId="7FAB0AE2" w14:textId="77777777" w:rsidR="0087455A" w:rsidRDefault="0087455A">
      <w:pPr>
        <w:pStyle w:val="Heading3"/>
        <w:numPr>
          <w:ilvl w:val="0"/>
          <w:numId w:val="0"/>
        </w:numPr>
        <w:spacing w:after="0"/>
        <w:rPr>
          <w:lang w:val="es-ES"/>
        </w:rPr>
      </w:pPr>
    </w:p>
    <w:p w14:paraId="5FCD73DD" w14:textId="77777777" w:rsidR="00AD6E24" w:rsidRPr="00AD6E24" w:rsidRDefault="00AD6E24" w:rsidP="00AD6E24">
      <w:pPr>
        <w:rPr>
          <w:lang w:val="es-ES"/>
        </w:rPr>
      </w:pPr>
    </w:p>
    <w:p w14:paraId="67E2D78C" w14:textId="73D833D0" w:rsidR="00074310" w:rsidRDefault="00074310" w:rsidP="00AD6E24">
      <w:pPr>
        <w:jc w:val="center"/>
        <w:rPr>
          <w:b/>
          <w:lang w:val="fr-CA"/>
        </w:rPr>
      </w:pPr>
    </w:p>
    <w:p w14:paraId="484899AA" w14:textId="77777777" w:rsidR="00B44C79" w:rsidRDefault="00B44C79" w:rsidP="00AD6E24">
      <w:pPr>
        <w:jc w:val="center"/>
        <w:rPr>
          <w:b/>
          <w:lang w:val="fr-CA"/>
        </w:rPr>
      </w:pPr>
    </w:p>
    <w:p w14:paraId="04741624" w14:textId="331A9CC7" w:rsidR="00AD6E24" w:rsidRDefault="00AD6E24" w:rsidP="00AD6E24">
      <w:pPr>
        <w:jc w:val="center"/>
        <w:rPr>
          <w:b/>
          <w:lang w:val="es-ES"/>
        </w:rPr>
      </w:pPr>
      <w:r w:rsidRPr="001C20F6">
        <w:rPr>
          <w:b/>
          <w:lang w:val="es-ES"/>
        </w:rPr>
        <w:t>PROPUESTA DE PROYECTO: PERÚ</w:t>
      </w:r>
    </w:p>
    <w:p w14:paraId="1EFD3B49" w14:textId="77777777" w:rsidR="00B44C79" w:rsidRPr="001C20F6" w:rsidRDefault="00B44C79" w:rsidP="00AD6E24">
      <w:pPr>
        <w:jc w:val="center"/>
        <w:rPr>
          <w:b/>
          <w:lang w:val="es-ES"/>
        </w:rPr>
      </w:pPr>
    </w:p>
    <w:p w14:paraId="7482155A" w14:textId="77777777" w:rsidR="00AD6E24" w:rsidRPr="001C20F6" w:rsidRDefault="00AD6E24" w:rsidP="00AD6E24">
      <w:pPr>
        <w:rPr>
          <w:lang w:val="es-ES"/>
        </w:rPr>
      </w:pPr>
    </w:p>
    <w:p w14:paraId="3D7A1954" w14:textId="77777777" w:rsidR="00AD6E24" w:rsidRPr="001C20F6" w:rsidRDefault="00AD6E24" w:rsidP="00074310">
      <w:pPr>
        <w:jc w:val="left"/>
        <w:rPr>
          <w:lang w:val="es-ES"/>
        </w:rPr>
      </w:pPr>
    </w:p>
    <w:p w14:paraId="102A7A45" w14:textId="48DE2BE7" w:rsidR="00AD6E24" w:rsidRPr="001C20F6" w:rsidRDefault="00AD6E24" w:rsidP="002736E7">
      <w:pPr>
        <w:ind w:firstLine="720"/>
        <w:rPr>
          <w:lang w:val="es-ES"/>
        </w:rPr>
      </w:pPr>
      <w:r w:rsidRPr="001C20F6">
        <w:rPr>
          <w:lang w:val="es-ES"/>
        </w:rPr>
        <w:t>Este documento consta de los comentarios y la recomendación de la Secretaría de la siguiente pr</w:t>
      </w:r>
      <w:r w:rsidR="00B44C79">
        <w:rPr>
          <w:lang w:val="es-ES"/>
        </w:rPr>
        <w:t>o</w:t>
      </w:r>
      <w:r w:rsidRPr="001C20F6">
        <w:rPr>
          <w:lang w:val="es-ES"/>
        </w:rPr>
        <w:t xml:space="preserve">puesta de proyecto: </w:t>
      </w:r>
    </w:p>
    <w:p w14:paraId="48A158DF" w14:textId="77777777" w:rsidR="00AD6E24" w:rsidRPr="001C20F6" w:rsidRDefault="00AD6E24" w:rsidP="00AD6E24">
      <w:pPr>
        <w:rPr>
          <w:lang w:val="es-ES"/>
        </w:rPr>
      </w:pPr>
    </w:p>
    <w:p w14:paraId="70DB3881" w14:textId="77777777" w:rsidR="00AD6E24" w:rsidRPr="001C20F6" w:rsidRDefault="00AD6E24" w:rsidP="00AD6E24">
      <w:pPr>
        <w:rPr>
          <w:u w:val="single"/>
          <w:lang w:val="es-ES"/>
        </w:rPr>
      </w:pPr>
      <w:r w:rsidRPr="001C20F6">
        <w:rPr>
          <w:u w:val="single"/>
          <w:lang w:val="es-ES"/>
        </w:rPr>
        <w:t>Eliminación</w:t>
      </w:r>
    </w:p>
    <w:p w14:paraId="2513905F" w14:textId="77777777" w:rsidR="00AD6E24" w:rsidRPr="001C20F6" w:rsidRDefault="00AD6E24" w:rsidP="00AD6E24">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71"/>
      </w:tblGrid>
      <w:tr w:rsidR="00AD6E24" w:rsidRPr="001C20F6" w14:paraId="709BE76B" w14:textId="77777777" w:rsidTr="00AD6E24">
        <w:tc>
          <w:tcPr>
            <w:tcW w:w="7479" w:type="dxa"/>
          </w:tcPr>
          <w:p w14:paraId="7A964860" w14:textId="77777777" w:rsidR="00AD6E24" w:rsidRPr="001C20F6" w:rsidRDefault="00AD6E24" w:rsidP="002736E7">
            <w:pPr>
              <w:pStyle w:val="ListParagraph"/>
              <w:numPr>
                <w:ilvl w:val="0"/>
                <w:numId w:val="21"/>
              </w:numPr>
              <w:ind w:hanging="830"/>
            </w:pPr>
            <w:r w:rsidRPr="001C20F6">
              <w:t>Plan de gestión de la eliminación de los HCFC (etapa II, segundo tramo)</w:t>
            </w:r>
          </w:p>
        </w:tc>
        <w:tc>
          <w:tcPr>
            <w:tcW w:w="1871" w:type="dxa"/>
          </w:tcPr>
          <w:p w14:paraId="72639018" w14:textId="77777777" w:rsidR="00AD6E24" w:rsidRPr="001C20F6" w:rsidRDefault="00AD6E24" w:rsidP="002736E7">
            <w:pPr>
              <w:jc w:val="right"/>
              <w:rPr>
                <w:lang w:val="es-ES"/>
              </w:rPr>
            </w:pPr>
            <w:r w:rsidRPr="001C20F6">
              <w:rPr>
                <w:lang w:val="es-ES"/>
              </w:rPr>
              <w:t>PNUD y PNUMA</w:t>
            </w:r>
          </w:p>
        </w:tc>
      </w:tr>
    </w:tbl>
    <w:p w14:paraId="2809FA12" w14:textId="77777777" w:rsidR="00AD6E24" w:rsidRPr="001C20F6" w:rsidRDefault="00AD6E24" w:rsidP="00AD6E24">
      <w:pPr>
        <w:rPr>
          <w:lang w:val="es-ES"/>
        </w:rPr>
      </w:pPr>
    </w:p>
    <w:p w14:paraId="21CB444E" w14:textId="77777777" w:rsidR="00AD6E24" w:rsidRPr="001C20F6" w:rsidRDefault="00AD6E24" w:rsidP="00AD6E24">
      <w:pPr>
        <w:rPr>
          <w:lang w:val="es-ES"/>
        </w:rPr>
      </w:pPr>
    </w:p>
    <w:p w14:paraId="0E082DEB" w14:textId="77777777" w:rsidR="00AD6E24" w:rsidRPr="001C20F6" w:rsidRDefault="00AD6E24" w:rsidP="00AD6E24">
      <w:pPr>
        <w:rPr>
          <w:lang w:val="es-ES"/>
        </w:rPr>
      </w:pPr>
    </w:p>
    <w:p w14:paraId="6AD65215" w14:textId="77777777" w:rsidR="00AD6E24" w:rsidRPr="001C20F6" w:rsidRDefault="00AD6E24" w:rsidP="00AD6E24">
      <w:pPr>
        <w:rPr>
          <w:lang w:val="es-ES"/>
        </w:rPr>
      </w:pPr>
    </w:p>
    <w:p w14:paraId="3B17D4EF" w14:textId="77777777" w:rsidR="00AD6E24" w:rsidRPr="001C20F6" w:rsidRDefault="00AD6E24" w:rsidP="00AD6E24">
      <w:pPr>
        <w:rPr>
          <w:lang w:val="es-ES"/>
        </w:rPr>
      </w:pPr>
    </w:p>
    <w:p w14:paraId="1C509E7B" w14:textId="77777777" w:rsidR="00AD6E24" w:rsidRPr="001C20F6" w:rsidRDefault="00AD6E24" w:rsidP="00AD6E24">
      <w:pPr>
        <w:rPr>
          <w:lang w:val="es-ES"/>
        </w:rPr>
      </w:pPr>
    </w:p>
    <w:p w14:paraId="5BDC9D5D" w14:textId="77777777" w:rsidR="00AD6E24" w:rsidRPr="001C20F6" w:rsidRDefault="00AD6E24" w:rsidP="00AD6E24">
      <w:pPr>
        <w:rPr>
          <w:lang w:val="es-ES"/>
        </w:rPr>
      </w:pPr>
    </w:p>
    <w:p w14:paraId="398DD9F8" w14:textId="77777777" w:rsidR="00AD6E24" w:rsidRPr="001C20F6" w:rsidRDefault="00AD6E24" w:rsidP="00AD6E24">
      <w:pPr>
        <w:rPr>
          <w:lang w:val="es-ES"/>
        </w:rPr>
      </w:pPr>
    </w:p>
    <w:p w14:paraId="11EFC920" w14:textId="77777777" w:rsidR="001857B2" w:rsidRPr="001C20F6" w:rsidRDefault="001857B2" w:rsidP="00AD6E24">
      <w:pPr>
        <w:rPr>
          <w:lang w:val="es-ES"/>
        </w:rPr>
      </w:pPr>
    </w:p>
    <w:p w14:paraId="370395C9" w14:textId="77777777" w:rsidR="001857B2" w:rsidRPr="001C20F6" w:rsidRDefault="001857B2" w:rsidP="00AD6E24">
      <w:pPr>
        <w:rPr>
          <w:lang w:val="es-ES"/>
        </w:rPr>
      </w:pPr>
    </w:p>
    <w:p w14:paraId="1F960C99" w14:textId="77777777" w:rsidR="001857B2" w:rsidRPr="001C20F6" w:rsidRDefault="001857B2" w:rsidP="00AD6E24">
      <w:pPr>
        <w:rPr>
          <w:lang w:val="es-ES"/>
        </w:rPr>
      </w:pPr>
    </w:p>
    <w:p w14:paraId="5A6E157C" w14:textId="77777777" w:rsidR="00074310" w:rsidRPr="001C20F6" w:rsidRDefault="00074310" w:rsidP="00AD6E24">
      <w:pPr>
        <w:rPr>
          <w:lang w:val="es-ES"/>
        </w:rPr>
      </w:pPr>
    </w:p>
    <w:p w14:paraId="4C3B0FF6" w14:textId="77777777" w:rsidR="00AD6E24" w:rsidRPr="001C20F6" w:rsidRDefault="00AD6E24" w:rsidP="00AD6E24">
      <w:pPr>
        <w:rPr>
          <w:lang w:val="es-ES"/>
        </w:rPr>
      </w:pPr>
    </w:p>
    <w:p w14:paraId="10E02903" w14:textId="77777777" w:rsidR="00AD6E24" w:rsidRPr="001C20F6" w:rsidRDefault="00AD6E24" w:rsidP="00AD6E24">
      <w:pPr>
        <w:rPr>
          <w:lang w:val="es-ES"/>
        </w:rPr>
      </w:pPr>
    </w:p>
    <w:p w14:paraId="02920700" w14:textId="77777777" w:rsidR="00AD6E24" w:rsidRPr="001C20F6" w:rsidRDefault="00AD6E24" w:rsidP="00AD6E24">
      <w:pPr>
        <w:rPr>
          <w:lang w:val="es-ES"/>
        </w:rPr>
      </w:pPr>
    </w:p>
    <w:p w14:paraId="3723333D" w14:textId="77777777" w:rsidR="00074310" w:rsidRPr="001C20F6" w:rsidRDefault="00074310" w:rsidP="00AD6E24">
      <w:pPr>
        <w:rPr>
          <w:lang w:val="es-ES"/>
        </w:rPr>
      </w:pPr>
    </w:p>
    <w:p w14:paraId="5C717364" w14:textId="77777777" w:rsidR="00AD6E24" w:rsidRPr="001C20F6" w:rsidRDefault="00AD6E24" w:rsidP="00AD6E24">
      <w:pPr>
        <w:rPr>
          <w:lang w:val="es-ES"/>
        </w:rPr>
      </w:pPr>
    </w:p>
    <w:p w14:paraId="0764B812" w14:textId="5660D7BF" w:rsidR="00AD6E24" w:rsidRPr="00FE3307" w:rsidRDefault="00AD6E24" w:rsidP="00074310">
      <w:pPr>
        <w:pStyle w:val="StyleHeader4Para4Left0Firstline0"/>
        <w:numPr>
          <w:ilvl w:val="0"/>
          <w:numId w:val="0"/>
        </w:numPr>
      </w:pPr>
      <w:r w:rsidRPr="001C20F6">
        <w:rPr>
          <w:lang w:val="es-ES"/>
        </w:rPr>
        <w:t>* Debido al coronavirus (COVID-19)</w:t>
      </w:r>
      <w:r>
        <w:br w:type="page"/>
      </w:r>
    </w:p>
    <w:p w14:paraId="3DF63DDE" w14:textId="77777777" w:rsidR="00AD6E24" w:rsidRPr="00074310" w:rsidRDefault="00AD6E24" w:rsidP="00AD6E24">
      <w:pPr>
        <w:pStyle w:val="StyleHeader4Para4Left0Firstline0"/>
        <w:numPr>
          <w:ilvl w:val="0"/>
          <w:numId w:val="0"/>
        </w:numPr>
        <w:spacing w:after="0"/>
        <w:jc w:val="center"/>
        <w:rPr>
          <w:b/>
          <w:sz w:val="22"/>
          <w:lang w:val="fr-CA"/>
        </w:rPr>
      </w:pPr>
      <w:r w:rsidRPr="00074310">
        <w:rPr>
          <w:b/>
          <w:sz w:val="22"/>
          <w:lang w:val="fr-CA"/>
        </w:rPr>
        <w:lastRenderedPageBreak/>
        <w:t>HOJA DE EVALUACIÓN DE PROYECTO – PROYECTOS PLURIANUALES</w:t>
      </w:r>
    </w:p>
    <w:p w14:paraId="2AB03163" w14:textId="77777777" w:rsidR="00AD6E24" w:rsidRPr="00074310" w:rsidRDefault="00AD6E24" w:rsidP="00AD6E24">
      <w:pPr>
        <w:pStyle w:val="StyleHeader4Para4Left0Firstline0"/>
        <w:numPr>
          <w:ilvl w:val="0"/>
          <w:numId w:val="0"/>
        </w:numPr>
        <w:spacing w:after="80"/>
        <w:jc w:val="center"/>
        <w:rPr>
          <w:b/>
          <w:sz w:val="22"/>
        </w:rPr>
      </w:pPr>
      <w:r w:rsidRPr="00074310">
        <w:rPr>
          <w:b/>
          <w:sz w:val="22"/>
        </w:rPr>
        <w:t>Perú</w:t>
      </w:r>
    </w:p>
    <w:tbl>
      <w:tblPr>
        <w:tblStyle w:val="TableGrid"/>
        <w:tblW w:w="9986"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6"/>
        <w:gridCol w:w="2497"/>
        <w:gridCol w:w="2496"/>
        <w:gridCol w:w="2497"/>
      </w:tblGrid>
      <w:tr w:rsidR="00AD6E24" w:rsidRPr="00DB2303" w14:paraId="3D2CD654" w14:textId="77777777" w:rsidTr="002736E7">
        <w:trPr>
          <w:trHeight w:val="244"/>
        </w:trPr>
        <w:tc>
          <w:tcPr>
            <w:tcW w:w="2496" w:type="dxa"/>
            <w:shd w:val="clear" w:color="auto" w:fill="auto"/>
          </w:tcPr>
          <w:p w14:paraId="44635E3C" w14:textId="77777777" w:rsidR="00AD6E24" w:rsidRPr="00DB2303" w:rsidRDefault="00AD6E24" w:rsidP="002736E7">
            <w:pPr>
              <w:spacing w:after="80"/>
              <w:jc w:val="left"/>
              <w:rPr>
                <w:b/>
                <w:sz w:val="16"/>
                <w:szCs w:val="16"/>
              </w:rPr>
            </w:pPr>
            <w:r>
              <w:rPr>
                <w:b/>
                <w:sz w:val="16"/>
                <w:szCs w:val="16"/>
              </w:rPr>
              <w:t>I) TÍTULO DEL PROYECTO</w:t>
            </w:r>
          </w:p>
        </w:tc>
        <w:tc>
          <w:tcPr>
            <w:tcW w:w="2497" w:type="dxa"/>
            <w:shd w:val="clear" w:color="auto" w:fill="auto"/>
          </w:tcPr>
          <w:p w14:paraId="3322F146" w14:textId="77777777" w:rsidR="00AD6E24" w:rsidRPr="00DB2303" w:rsidRDefault="00AD6E24" w:rsidP="002736E7">
            <w:pPr>
              <w:spacing w:after="80"/>
              <w:ind w:right="-107"/>
              <w:jc w:val="center"/>
              <w:rPr>
                <w:b/>
                <w:sz w:val="16"/>
                <w:szCs w:val="16"/>
              </w:rPr>
            </w:pPr>
            <w:r>
              <w:rPr>
                <w:b/>
                <w:sz w:val="16"/>
                <w:szCs w:val="16"/>
              </w:rPr>
              <w:t>ORGANISMO</w:t>
            </w:r>
          </w:p>
        </w:tc>
        <w:tc>
          <w:tcPr>
            <w:tcW w:w="2496" w:type="dxa"/>
          </w:tcPr>
          <w:p w14:paraId="5E8EDD39" w14:textId="77777777" w:rsidR="00AD6E24" w:rsidRPr="00074310" w:rsidRDefault="00AD6E24" w:rsidP="002736E7">
            <w:pPr>
              <w:spacing w:after="80"/>
              <w:ind w:right="-107"/>
              <w:jc w:val="center"/>
              <w:rPr>
                <w:b/>
                <w:sz w:val="16"/>
                <w:szCs w:val="16"/>
                <w:lang w:val="fr-CA"/>
              </w:rPr>
            </w:pPr>
            <w:r w:rsidRPr="00074310">
              <w:rPr>
                <w:b/>
                <w:sz w:val="16"/>
                <w:szCs w:val="16"/>
                <w:lang w:val="fr-CA"/>
              </w:rPr>
              <w:t>REUNIÓN EN QUE SE APROBÓ</w:t>
            </w:r>
          </w:p>
        </w:tc>
        <w:tc>
          <w:tcPr>
            <w:tcW w:w="2497" w:type="dxa"/>
          </w:tcPr>
          <w:p w14:paraId="29C9C8E6" w14:textId="77777777" w:rsidR="00AD6E24" w:rsidRPr="00DB2303" w:rsidRDefault="00AD6E24" w:rsidP="002736E7">
            <w:pPr>
              <w:spacing w:after="80"/>
              <w:ind w:right="-107"/>
              <w:jc w:val="center"/>
              <w:rPr>
                <w:b/>
                <w:sz w:val="16"/>
                <w:szCs w:val="16"/>
              </w:rPr>
            </w:pPr>
            <w:r>
              <w:rPr>
                <w:b/>
                <w:sz w:val="16"/>
                <w:szCs w:val="16"/>
              </w:rPr>
              <w:t>MEDIDA DE CONTROL</w:t>
            </w:r>
          </w:p>
        </w:tc>
      </w:tr>
      <w:tr w:rsidR="00AD6E24" w:rsidRPr="001C20F6" w14:paraId="421F1D2F" w14:textId="77777777" w:rsidTr="002736E7">
        <w:trPr>
          <w:trHeight w:val="244"/>
        </w:trPr>
        <w:tc>
          <w:tcPr>
            <w:tcW w:w="2496" w:type="dxa"/>
            <w:shd w:val="clear" w:color="auto" w:fill="auto"/>
          </w:tcPr>
          <w:p w14:paraId="7C2725E2" w14:textId="77777777" w:rsidR="00AD6E24" w:rsidRPr="001C20F6" w:rsidRDefault="00AD6E24" w:rsidP="002736E7">
            <w:pPr>
              <w:spacing w:after="80"/>
              <w:jc w:val="center"/>
              <w:rPr>
                <w:sz w:val="16"/>
                <w:szCs w:val="16"/>
                <w:lang w:val="es-ES"/>
              </w:rPr>
            </w:pPr>
            <w:r w:rsidRPr="001C20F6">
              <w:rPr>
                <w:sz w:val="16"/>
                <w:szCs w:val="16"/>
                <w:lang w:val="es-ES"/>
              </w:rPr>
              <w:t>Plan de gestión de la eliminación de los HCFC (etapa II)</w:t>
            </w:r>
          </w:p>
        </w:tc>
        <w:tc>
          <w:tcPr>
            <w:tcW w:w="2497" w:type="dxa"/>
            <w:shd w:val="clear" w:color="auto" w:fill="auto"/>
          </w:tcPr>
          <w:p w14:paraId="04E55959" w14:textId="77777777" w:rsidR="00AD6E24" w:rsidRPr="001C20F6" w:rsidRDefault="00AD6E24" w:rsidP="002736E7">
            <w:pPr>
              <w:spacing w:after="80"/>
              <w:jc w:val="center"/>
              <w:rPr>
                <w:sz w:val="16"/>
                <w:szCs w:val="16"/>
                <w:lang w:val="es-ES"/>
              </w:rPr>
            </w:pPr>
            <w:r w:rsidRPr="001C20F6">
              <w:rPr>
                <w:sz w:val="16"/>
                <w:szCs w:val="16"/>
                <w:lang w:val="es-ES"/>
              </w:rPr>
              <w:t xml:space="preserve">PNUD (principal) PNUMA </w:t>
            </w:r>
          </w:p>
        </w:tc>
        <w:tc>
          <w:tcPr>
            <w:tcW w:w="2496" w:type="dxa"/>
          </w:tcPr>
          <w:p w14:paraId="6DA163C0" w14:textId="77777777" w:rsidR="00AD6E24" w:rsidRPr="001C20F6" w:rsidRDefault="00AD6E24" w:rsidP="002736E7">
            <w:pPr>
              <w:spacing w:after="80"/>
              <w:jc w:val="center"/>
              <w:rPr>
                <w:sz w:val="16"/>
                <w:szCs w:val="16"/>
                <w:lang w:val="es-ES"/>
              </w:rPr>
            </w:pPr>
            <w:r w:rsidRPr="001C20F6">
              <w:rPr>
                <w:sz w:val="16"/>
                <w:szCs w:val="16"/>
                <w:lang w:val="es-ES"/>
              </w:rPr>
              <w:t>80ª</w:t>
            </w:r>
          </w:p>
        </w:tc>
        <w:tc>
          <w:tcPr>
            <w:tcW w:w="2497" w:type="dxa"/>
          </w:tcPr>
          <w:p w14:paraId="637CB455" w14:textId="77777777" w:rsidR="00AD6E24" w:rsidRPr="001C20F6" w:rsidRDefault="00AD6E24" w:rsidP="002736E7">
            <w:pPr>
              <w:spacing w:after="80"/>
              <w:jc w:val="center"/>
              <w:rPr>
                <w:sz w:val="16"/>
                <w:szCs w:val="16"/>
                <w:lang w:val="es-ES"/>
              </w:rPr>
            </w:pPr>
            <w:r w:rsidRPr="001C20F6">
              <w:rPr>
                <w:sz w:val="16"/>
                <w:szCs w:val="16"/>
                <w:lang w:val="es-ES"/>
              </w:rPr>
              <w:t>67,5% en 2025</w:t>
            </w:r>
          </w:p>
        </w:tc>
      </w:tr>
    </w:tbl>
    <w:p w14:paraId="3EAF7B07" w14:textId="77777777" w:rsidR="00AD6E24" w:rsidRPr="001C20F6" w:rsidRDefault="00AD6E24" w:rsidP="00AD6E24">
      <w:pPr>
        <w:pStyle w:val="StyleHeader4Para4Left0Firstline0"/>
        <w:numPr>
          <w:ilvl w:val="0"/>
          <w:numId w:val="0"/>
        </w:numPr>
        <w:spacing w:after="0"/>
        <w:jc w:val="center"/>
        <w:rPr>
          <w:sz w:val="16"/>
          <w:szCs w:val="16"/>
          <w:lang w:val="es-ES"/>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AD6E24" w:rsidRPr="001C20F6" w14:paraId="0CF96A51" w14:textId="77777777" w:rsidTr="002736E7">
        <w:trPr>
          <w:trHeight w:val="240"/>
        </w:trPr>
        <w:tc>
          <w:tcPr>
            <w:tcW w:w="5200" w:type="dxa"/>
            <w:shd w:val="clear" w:color="auto" w:fill="auto"/>
          </w:tcPr>
          <w:p w14:paraId="6D0F850C" w14:textId="77777777" w:rsidR="00AD6E24" w:rsidRPr="001C20F6" w:rsidRDefault="00AD6E24" w:rsidP="002736E7">
            <w:pPr>
              <w:pStyle w:val="StyleHeader4Para4Left0Firstline0"/>
              <w:numPr>
                <w:ilvl w:val="0"/>
                <w:numId w:val="0"/>
              </w:numPr>
              <w:spacing w:after="60"/>
              <w:jc w:val="left"/>
              <w:rPr>
                <w:b/>
                <w:sz w:val="16"/>
                <w:szCs w:val="16"/>
                <w:lang w:val="es-ES"/>
              </w:rPr>
            </w:pPr>
            <w:r w:rsidRPr="001C20F6">
              <w:rPr>
                <w:b/>
                <w:sz w:val="16"/>
                <w:szCs w:val="16"/>
                <w:lang w:val="es-ES"/>
              </w:rPr>
              <w:t>II) DATOS MÁS RECIENTES CON ARREGLO AL ARTÍCULO 7 (Grupo I del Anexo C)</w:t>
            </w:r>
          </w:p>
        </w:tc>
        <w:tc>
          <w:tcPr>
            <w:tcW w:w="2400" w:type="dxa"/>
            <w:shd w:val="clear" w:color="auto" w:fill="auto"/>
          </w:tcPr>
          <w:p w14:paraId="076FFE78"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Año: 2019</w:t>
            </w:r>
          </w:p>
        </w:tc>
        <w:tc>
          <w:tcPr>
            <w:tcW w:w="2400" w:type="dxa"/>
            <w:shd w:val="clear" w:color="auto" w:fill="auto"/>
          </w:tcPr>
          <w:p w14:paraId="6E8204A7"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16,26 (toneladas PAO)</w:t>
            </w:r>
          </w:p>
        </w:tc>
      </w:tr>
    </w:tbl>
    <w:p w14:paraId="57704B6A" w14:textId="77777777" w:rsidR="00AD6E24" w:rsidRPr="001C20F6" w:rsidRDefault="00AD6E24" w:rsidP="00AD6E24">
      <w:pPr>
        <w:pStyle w:val="StyleHeader4Para4Left0Firstline0"/>
        <w:numPr>
          <w:ilvl w:val="0"/>
          <w:numId w:val="0"/>
        </w:numPr>
        <w:spacing w:after="0"/>
        <w:jc w:val="center"/>
        <w:rPr>
          <w:sz w:val="16"/>
          <w:szCs w:val="16"/>
          <w:lang w:val="es-ES"/>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838"/>
        <w:gridCol w:w="851"/>
        <w:gridCol w:w="708"/>
        <w:gridCol w:w="851"/>
        <w:gridCol w:w="1276"/>
        <w:gridCol w:w="850"/>
        <w:gridCol w:w="709"/>
        <w:gridCol w:w="992"/>
        <w:gridCol w:w="857"/>
        <w:gridCol w:w="1068"/>
      </w:tblGrid>
      <w:tr w:rsidR="00AD6E24" w:rsidRPr="001C20F6" w14:paraId="19900B9E" w14:textId="77777777" w:rsidTr="002736E7">
        <w:trPr>
          <w:trHeight w:val="240"/>
        </w:trPr>
        <w:tc>
          <w:tcPr>
            <w:tcW w:w="8075" w:type="dxa"/>
            <w:gridSpan w:val="8"/>
            <w:shd w:val="clear" w:color="auto" w:fill="auto"/>
          </w:tcPr>
          <w:p w14:paraId="0A09FEDF" w14:textId="77777777" w:rsidR="00AD6E24" w:rsidRPr="001C20F6" w:rsidRDefault="00AD6E24" w:rsidP="002736E7">
            <w:pPr>
              <w:pStyle w:val="StyleHeader4Para4Left0Firstline0"/>
              <w:numPr>
                <w:ilvl w:val="0"/>
                <w:numId w:val="0"/>
              </w:numPr>
              <w:spacing w:after="60"/>
              <w:jc w:val="left"/>
              <w:rPr>
                <w:b/>
                <w:sz w:val="16"/>
                <w:szCs w:val="16"/>
                <w:lang w:val="es-ES"/>
              </w:rPr>
            </w:pPr>
            <w:r w:rsidRPr="001C20F6">
              <w:rPr>
                <w:b/>
                <w:sz w:val="16"/>
                <w:szCs w:val="16"/>
                <w:lang w:val="es-ES"/>
              </w:rPr>
              <w:t>III) DATOS SECTORIALES DEL PROGRAMA DE PAÍS MÁS RECIENTES (toneladas PAO)</w:t>
            </w:r>
          </w:p>
        </w:tc>
        <w:tc>
          <w:tcPr>
            <w:tcW w:w="1925" w:type="dxa"/>
            <w:gridSpan w:val="2"/>
            <w:shd w:val="clear" w:color="auto" w:fill="auto"/>
          </w:tcPr>
          <w:p w14:paraId="3C8370ED" w14:textId="77777777" w:rsidR="00AD6E24" w:rsidRPr="001C20F6" w:rsidRDefault="00AD6E24" w:rsidP="002736E7">
            <w:pPr>
              <w:pStyle w:val="StyleHeader4Para4Left0Firstline0"/>
              <w:numPr>
                <w:ilvl w:val="0"/>
                <w:numId w:val="0"/>
              </w:numPr>
              <w:spacing w:after="60"/>
              <w:jc w:val="right"/>
              <w:rPr>
                <w:b/>
                <w:sz w:val="16"/>
                <w:szCs w:val="16"/>
                <w:highlight w:val="yellow"/>
                <w:lang w:val="es-ES"/>
              </w:rPr>
            </w:pPr>
            <w:r w:rsidRPr="001C20F6">
              <w:rPr>
                <w:b/>
                <w:sz w:val="16"/>
                <w:szCs w:val="16"/>
                <w:lang w:val="es-ES"/>
              </w:rPr>
              <w:t>Año: 2019</w:t>
            </w:r>
          </w:p>
        </w:tc>
      </w:tr>
      <w:tr w:rsidR="00AD6E24" w:rsidRPr="001C20F6" w14:paraId="2B9D1B71" w14:textId="77777777" w:rsidTr="002736E7">
        <w:trPr>
          <w:trHeight w:val="240"/>
        </w:trPr>
        <w:tc>
          <w:tcPr>
            <w:tcW w:w="1838" w:type="dxa"/>
            <w:shd w:val="clear" w:color="auto" w:fill="auto"/>
          </w:tcPr>
          <w:p w14:paraId="461A65DE"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Sustancias químicas</w:t>
            </w:r>
          </w:p>
        </w:tc>
        <w:tc>
          <w:tcPr>
            <w:tcW w:w="851" w:type="dxa"/>
            <w:shd w:val="clear" w:color="auto" w:fill="auto"/>
          </w:tcPr>
          <w:p w14:paraId="7DC2DBB3"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Aerosoles</w:t>
            </w:r>
          </w:p>
        </w:tc>
        <w:tc>
          <w:tcPr>
            <w:tcW w:w="708" w:type="dxa"/>
            <w:shd w:val="clear" w:color="auto" w:fill="auto"/>
          </w:tcPr>
          <w:p w14:paraId="37734B01"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Espumas</w:t>
            </w:r>
          </w:p>
        </w:tc>
        <w:tc>
          <w:tcPr>
            <w:tcW w:w="851" w:type="dxa"/>
            <w:shd w:val="clear" w:color="auto" w:fill="auto"/>
          </w:tcPr>
          <w:p w14:paraId="5D112B45"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Lucha contra incendios</w:t>
            </w:r>
          </w:p>
        </w:tc>
        <w:tc>
          <w:tcPr>
            <w:tcW w:w="2126" w:type="dxa"/>
            <w:gridSpan w:val="2"/>
            <w:shd w:val="clear" w:color="auto" w:fill="auto"/>
          </w:tcPr>
          <w:p w14:paraId="76B5E1F6"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Refrigeración</w:t>
            </w:r>
          </w:p>
        </w:tc>
        <w:tc>
          <w:tcPr>
            <w:tcW w:w="709" w:type="dxa"/>
            <w:shd w:val="clear" w:color="auto" w:fill="auto"/>
          </w:tcPr>
          <w:p w14:paraId="3AAA89C9"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Disolventes</w:t>
            </w:r>
          </w:p>
        </w:tc>
        <w:tc>
          <w:tcPr>
            <w:tcW w:w="992" w:type="dxa"/>
            <w:shd w:val="clear" w:color="auto" w:fill="auto"/>
          </w:tcPr>
          <w:p w14:paraId="3B74C1C1"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Agentes de procesos</w:t>
            </w:r>
          </w:p>
        </w:tc>
        <w:tc>
          <w:tcPr>
            <w:tcW w:w="857" w:type="dxa"/>
            <w:shd w:val="clear" w:color="auto" w:fill="auto"/>
          </w:tcPr>
          <w:p w14:paraId="0939EBDF"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Uso en lab.</w:t>
            </w:r>
          </w:p>
        </w:tc>
        <w:tc>
          <w:tcPr>
            <w:tcW w:w="1068" w:type="dxa"/>
            <w:shd w:val="clear" w:color="auto" w:fill="auto"/>
          </w:tcPr>
          <w:p w14:paraId="0E1A8CED"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Consumo total del sector</w:t>
            </w:r>
          </w:p>
        </w:tc>
      </w:tr>
      <w:tr w:rsidR="00AD6E24" w:rsidRPr="001C20F6" w14:paraId="6B027945" w14:textId="77777777" w:rsidTr="002736E7">
        <w:trPr>
          <w:trHeight w:val="240"/>
        </w:trPr>
        <w:tc>
          <w:tcPr>
            <w:tcW w:w="4248" w:type="dxa"/>
            <w:gridSpan w:val="4"/>
            <w:shd w:val="clear" w:color="auto" w:fill="auto"/>
          </w:tcPr>
          <w:p w14:paraId="4532927F"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 xml:space="preserve"> </w:t>
            </w:r>
          </w:p>
        </w:tc>
        <w:tc>
          <w:tcPr>
            <w:tcW w:w="1276" w:type="dxa"/>
            <w:shd w:val="clear" w:color="auto" w:fill="auto"/>
          </w:tcPr>
          <w:p w14:paraId="402AE0D0"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Fabricación</w:t>
            </w:r>
          </w:p>
        </w:tc>
        <w:tc>
          <w:tcPr>
            <w:tcW w:w="850" w:type="dxa"/>
            <w:shd w:val="clear" w:color="auto" w:fill="auto"/>
          </w:tcPr>
          <w:p w14:paraId="47FF5AC3"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Mantenimiento</w:t>
            </w:r>
          </w:p>
        </w:tc>
        <w:tc>
          <w:tcPr>
            <w:tcW w:w="3626" w:type="dxa"/>
            <w:gridSpan w:val="4"/>
            <w:shd w:val="clear" w:color="auto" w:fill="auto"/>
          </w:tcPr>
          <w:p w14:paraId="2A49C475" w14:textId="77777777" w:rsidR="00AD6E24" w:rsidRPr="001C20F6" w:rsidRDefault="00AD6E24" w:rsidP="002736E7">
            <w:pPr>
              <w:pStyle w:val="StyleHeader4Para4Left0Firstline0"/>
              <w:numPr>
                <w:ilvl w:val="0"/>
                <w:numId w:val="0"/>
              </w:numPr>
              <w:spacing w:after="60"/>
              <w:jc w:val="center"/>
              <w:rPr>
                <w:sz w:val="16"/>
                <w:szCs w:val="16"/>
                <w:lang w:val="es-ES"/>
              </w:rPr>
            </w:pPr>
          </w:p>
        </w:tc>
      </w:tr>
      <w:tr w:rsidR="00AD6E24" w:rsidRPr="001C20F6" w14:paraId="0C5C6A2C" w14:textId="77777777" w:rsidTr="002736E7">
        <w:trPr>
          <w:trHeight w:val="240"/>
        </w:trPr>
        <w:tc>
          <w:tcPr>
            <w:tcW w:w="1838" w:type="dxa"/>
            <w:shd w:val="clear" w:color="auto" w:fill="auto"/>
          </w:tcPr>
          <w:p w14:paraId="58F331D1" w14:textId="77777777" w:rsidR="00AD6E24" w:rsidRPr="001C20F6" w:rsidRDefault="00AD6E24" w:rsidP="002736E7">
            <w:pPr>
              <w:pStyle w:val="StyleHeader4Para4Left0Firstline0"/>
              <w:numPr>
                <w:ilvl w:val="0"/>
                <w:numId w:val="0"/>
              </w:numPr>
              <w:spacing w:after="60"/>
              <w:jc w:val="left"/>
              <w:rPr>
                <w:sz w:val="16"/>
                <w:szCs w:val="16"/>
                <w:lang w:val="es-ES"/>
              </w:rPr>
            </w:pPr>
            <w:r w:rsidRPr="001C20F6">
              <w:rPr>
                <w:sz w:val="16"/>
                <w:szCs w:val="16"/>
                <w:lang w:val="es-ES"/>
              </w:rPr>
              <w:t>HCFC-22</w:t>
            </w:r>
          </w:p>
        </w:tc>
        <w:tc>
          <w:tcPr>
            <w:tcW w:w="851" w:type="dxa"/>
            <w:shd w:val="clear" w:color="auto" w:fill="auto"/>
          </w:tcPr>
          <w:p w14:paraId="04CB128B"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708" w:type="dxa"/>
            <w:shd w:val="clear" w:color="auto" w:fill="auto"/>
          </w:tcPr>
          <w:p w14:paraId="7D931C62"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1" w:type="dxa"/>
            <w:shd w:val="clear" w:color="auto" w:fill="auto"/>
          </w:tcPr>
          <w:p w14:paraId="0FB4DD28"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276" w:type="dxa"/>
            <w:shd w:val="clear" w:color="auto" w:fill="auto"/>
          </w:tcPr>
          <w:p w14:paraId="2894FD42"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0" w:type="dxa"/>
            <w:shd w:val="clear" w:color="auto" w:fill="auto"/>
          </w:tcPr>
          <w:p w14:paraId="76C48984"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16,10</w:t>
            </w:r>
          </w:p>
        </w:tc>
        <w:tc>
          <w:tcPr>
            <w:tcW w:w="709" w:type="dxa"/>
            <w:shd w:val="clear" w:color="auto" w:fill="auto"/>
          </w:tcPr>
          <w:p w14:paraId="6CDC8429"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992" w:type="dxa"/>
            <w:shd w:val="clear" w:color="auto" w:fill="auto"/>
          </w:tcPr>
          <w:p w14:paraId="62C718CC"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7" w:type="dxa"/>
            <w:shd w:val="clear" w:color="auto" w:fill="auto"/>
          </w:tcPr>
          <w:p w14:paraId="0B0F265A"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068" w:type="dxa"/>
            <w:shd w:val="clear" w:color="auto" w:fill="auto"/>
          </w:tcPr>
          <w:p w14:paraId="5F3EEECF"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16,10</w:t>
            </w:r>
          </w:p>
        </w:tc>
      </w:tr>
      <w:tr w:rsidR="00AD6E24" w:rsidRPr="001C20F6" w14:paraId="46D84F44" w14:textId="77777777" w:rsidTr="002736E7">
        <w:trPr>
          <w:trHeight w:val="240"/>
        </w:trPr>
        <w:tc>
          <w:tcPr>
            <w:tcW w:w="1838" w:type="dxa"/>
            <w:shd w:val="clear" w:color="auto" w:fill="auto"/>
          </w:tcPr>
          <w:p w14:paraId="5061CDD6" w14:textId="77777777" w:rsidR="00AD6E24" w:rsidRPr="001C20F6" w:rsidRDefault="00AD6E24" w:rsidP="002736E7">
            <w:pPr>
              <w:pStyle w:val="StyleHeader4Para4Left0Firstline0"/>
              <w:numPr>
                <w:ilvl w:val="0"/>
                <w:numId w:val="0"/>
              </w:numPr>
              <w:spacing w:after="60"/>
              <w:jc w:val="left"/>
              <w:rPr>
                <w:sz w:val="16"/>
                <w:szCs w:val="16"/>
                <w:lang w:val="es-ES"/>
              </w:rPr>
            </w:pPr>
            <w:r w:rsidRPr="001C20F6">
              <w:rPr>
                <w:sz w:val="16"/>
                <w:szCs w:val="16"/>
                <w:lang w:val="es-ES"/>
              </w:rPr>
              <w:t>HCFC-124</w:t>
            </w:r>
          </w:p>
        </w:tc>
        <w:tc>
          <w:tcPr>
            <w:tcW w:w="851" w:type="dxa"/>
            <w:shd w:val="clear" w:color="auto" w:fill="auto"/>
          </w:tcPr>
          <w:p w14:paraId="532258E4"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708" w:type="dxa"/>
            <w:shd w:val="clear" w:color="auto" w:fill="auto"/>
          </w:tcPr>
          <w:p w14:paraId="67B90DF9"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1" w:type="dxa"/>
            <w:shd w:val="clear" w:color="auto" w:fill="auto"/>
          </w:tcPr>
          <w:p w14:paraId="4159FFEB"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276" w:type="dxa"/>
            <w:shd w:val="clear" w:color="auto" w:fill="auto"/>
          </w:tcPr>
          <w:p w14:paraId="34BBBAE1"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0" w:type="dxa"/>
            <w:shd w:val="clear" w:color="auto" w:fill="auto"/>
          </w:tcPr>
          <w:p w14:paraId="20FD21C8"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0,00</w:t>
            </w:r>
          </w:p>
        </w:tc>
        <w:tc>
          <w:tcPr>
            <w:tcW w:w="709" w:type="dxa"/>
            <w:shd w:val="clear" w:color="auto" w:fill="auto"/>
          </w:tcPr>
          <w:p w14:paraId="2A05B98B"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992" w:type="dxa"/>
            <w:shd w:val="clear" w:color="auto" w:fill="auto"/>
          </w:tcPr>
          <w:p w14:paraId="38ABD2B4"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7" w:type="dxa"/>
            <w:shd w:val="clear" w:color="auto" w:fill="auto"/>
          </w:tcPr>
          <w:p w14:paraId="32BF08A0"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068" w:type="dxa"/>
            <w:shd w:val="clear" w:color="auto" w:fill="auto"/>
          </w:tcPr>
          <w:p w14:paraId="65BAB5AB"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0,00</w:t>
            </w:r>
          </w:p>
        </w:tc>
      </w:tr>
      <w:tr w:rsidR="00AD6E24" w:rsidRPr="001C20F6" w14:paraId="17051B64" w14:textId="77777777" w:rsidTr="002736E7">
        <w:trPr>
          <w:trHeight w:val="240"/>
        </w:trPr>
        <w:tc>
          <w:tcPr>
            <w:tcW w:w="1838" w:type="dxa"/>
            <w:shd w:val="clear" w:color="auto" w:fill="auto"/>
          </w:tcPr>
          <w:p w14:paraId="7365BDFD" w14:textId="77777777" w:rsidR="00AD6E24" w:rsidRPr="001C20F6" w:rsidRDefault="00AD6E24" w:rsidP="002736E7">
            <w:pPr>
              <w:pStyle w:val="StyleHeader4Para4Left0Firstline0"/>
              <w:numPr>
                <w:ilvl w:val="0"/>
                <w:numId w:val="0"/>
              </w:numPr>
              <w:spacing w:after="60"/>
              <w:jc w:val="left"/>
              <w:rPr>
                <w:sz w:val="16"/>
                <w:szCs w:val="16"/>
                <w:lang w:val="es-ES"/>
              </w:rPr>
            </w:pPr>
            <w:r w:rsidRPr="001C20F6">
              <w:rPr>
                <w:sz w:val="16"/>
                <w:szCs w:val="16"/>
                <w:lang w:val="es-ES"/>
              </w:rPr>
              <w:t>HCFC-141b</w:t>
            </w:r>
          </w:p>
        </w:tc>
        <w:tc>
          <w:tcPr>
            <w:tcW w:w="851" w:type="dxa"/>
            <w:shd w:val="clear" w:color="auto" w:fill="auto"/>
          </w:tcPr>
          <w:p w14:paraId="21368E65"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708" w:type="dxa"/>
            <w:shd w:val="clear" w:color="auto" w:fill="auto"/>
          </w:tcPr>
          <w:p w14:paraId="4501795B"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1" w:type="dxa"/>
            <w:shd w:val="clear" w:color="auto" w:fill="auto"/>
          </w:tcPr>
          <w:p w14:paraId="64996888"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276" w:type="dxa"/>
            <w:shd w:val="clear" w:color="auto" w:fill="auto"/>
          </w:tcPr>
          <w:p w14:paraId="6C4C0664"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0" w:type="dxa"/>
            <w:shd w:val="clear" w:color="auto" w:fill="auto"/>
          </w:tcPr>
          <w:p w14:paraId="3B9E1421"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0,00</w:t>
            </w:r>
          </w:p>
        </w:tc>
        <w:tc>
          <w:tcPr>
            <w:tcW w:w="709" w:type="dxa"/>
            <w:shd w:val="clear" w:color="auto" w:fill="auto"/>
          </w:tcPr>
          <w:p w14:paraId="3A76FBBF"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992" w:type="dxa"/>
            <w:shd w:val="clear" w:color="auto" w:fill="auto"/>
          </w:tcPr>
          <w:p w14:paraId="01A4AC5A"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7" w:type="dxa"/>
            <w:shd w:val="clear" w:color="auto" w:fill="auto"/>
          </w:tcPr>
          <w:p w14:paraId="2574A3A2"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068" w:type="dxa"/>
            <w:shd w:val="clear" w:color="auto" w:fill="auto"/>
          </w:tcPr>
          <w:p w14:paraId="06B63468"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0,00</w:t>
            </w:r>
          </w:p>
        </w:tc>
      </w:tr>
      <w:tr w:rsidR="00AD6E24" w:rsidRPr="001C20F6" w14:paraId="1E72DC18" w14:textId="77777777" w:rsidTr="002736E7">
        <w:trPr>
          <w:trHeight w:val="241"/>
        </w:trPr>
        <w:tc>
          <w:tcPr>
            <w:tcW w:w="1838" w:type="dxa"/>
            <w:shd w:val="clear" w:color="auto" w:fill="auto"/>
          </w:tcPr>
          <w:p w14:paraId="39F87D7E" w14:textId="77777777" w:rsidR="00AD6E24" w:rsidRPr="001C20F6" w:rsidRDefault="00AD6E24" w:rsidP="002736E7">
            <w:pPr>
              <w:pStyle w:val="StyleHeader4Para4Left0Firstline0"/>
              <w:numPr>
                <w:ilvl w:val="0"/>
                <w:numId w:val="0"/>
              </w:numPr>
              <w:spacing w:after="0"/>
              <w:jc w:val="left"/>
              <w:rPr>
                <w:sz w:val="16"/>
                <w:szCs w:val="16"/>
                <w:lang w:val="es-ES"/>
              </w:rPr>
            </w:pPr>
            <w:r w:rsidRPr="001C20F6">
              <w:rPr>
                <w:sz w:val="16"/>
                <w:szCs w:val="16"/>
                <w:lang w:val="es-ES"/>
              </w:rPr>
              <w:t xml:space="preserve">HCFC-141b en polioles premezclados importados </w:t>
            </w:r>
          </w:p>
          <w:p w14:paraId="0CF328C6" w14:textId="77777777" w:rsidR="00AD6E24" w:rsidRPr="001C20F6" w:rsidRDefault="00AD6E24" w:rsidP="002736E7">
            <w:pPr>
              <w:pStyle w:val="StyleHeader4Para4Left0Firstline0"/>
              <w:numPr>
                <w:ilvl w:val="0"/>
                <w:numId w:val="0"/>
              </w:numPr>
              <w:spacing w:after="60"/>
              <w:jc w:val="left"/>
              <w:rPr>
                <w:sz w:val="16"/>
                <w:szCs w:val="16"/>
                <w:lang w:val="es-ES"/>
              </w:rPr>
            </w:pPr>
            <w:r w:rsidRPr="001C20F6">
              <w:rPr>
                <w:sz w:val="16"/>
                <w:szCs w:val="16"/>
                <w:lang w:val="es-ES"/>
              </w:rPr>
              <w:t xml:space="preserve"> </w:t>
            </w:r>
          </w:p>
        </w:tc>
        <w:tc>
          <w:tcPr>
            <w:tcW w:w="851" w:type="dxa"/>
            <w:shd w:val="clear" w:color="auto" w:fill="auto"/>
          </w:tcPr>
          <w:p w14:paraId="676FF591"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708" w:type="dxa"/>
            <w:shd w:val="clear" w:color="auto" w:fill="auto"/>
          </w:tcPr>
          <w:p w14:paraId="4D2C9A03"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14,63</w:t>
            </w:r>
          </w:p>
        </w:tc>
        <w:tc>
          <w:tcPr>
            <w:tcW w:w="851" w:type="dxa"/>
            <w:shd w:val="clear" w:color="auto" w:fill="auto"/>
          </w:tcPr>
          <w:p w14:paraId="431D32DE"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276" w:type="dxa"/>
            <w:shd w:val="clear" w:color="auto" w:fill="auto"/>
          </w:tcPr>
          <w:p w14:paraId="523536F4"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0" w:type="dxa"/>
            <w:shd w:val="clear" w:color="auto" w:fill="auto"/>
          </w:tcPr>
          <w:p w14:paraId="5E8A1358"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709" w:type="dxa"/>
            <w:shd w:val="clear" w:color="auto" w:fill="auto"/>
          </w:tcPr>
          <w:p w14:paraId="7214F59A"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992" w:type="dxa"/>
            <w:shd w:val="clear" w:color="auto" w:fill="auto"/>
          </w:tcPr>
          <w:p w14:paraId="291EFE99"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7" w:type="dxa"/>
            <w:shd w:val="clear" w:color="auto" w:fill="auto"/>
          </w:tcPr>
          <w:p w14:paraId="2519EB8E"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068" w:type="dxa"/>
            <w:shd w:val="clear" w:color="auto" w:fill="auto"/>
          </w:tcPr>
          <w:p w14:paraId="6E6E745C"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14,63</w:t>
            </w:r>
          </w:p>
        </w:tc>
      </w:tr>
      <w:tr w:rsidR="00AD6E24" w:rsidRPr="001C20F6" w14:paraId="5CC49311" w14:textId="77777777" w:rsidTr="002736E7">
        <w:trPr>
          <w:trHeight w:val="240"/>
        </w:trPr>
        <w:tc>
          <w:tcPr>
            <w:tcW w:w="1838" w:type="dxa"/>
            <w:shd w:val="clear" w:color="auto" w:fill="auto"/>
          </w:tcPr>
          <w:p w14:paraId="37724323" w14:textId="77777777" w:rsidR="00AD6E24" w:rsidRPr="001C20F6" w:rsidRDefault="00AD6E24" w:rsidP="002736E7">
            <w:pPr>
              <w:pStyle w:val="StyleHeader4Para4Left0Firstline0"/>
              <w:numPr>
                <w:ilvl w:val="0"/>
                <w:numId w:val="0"/>
              </w:numPr>
              <w:spacing w:after="60"/>
              <w:jc w:val="left"/>
              <w:rPr>
                <w:sz w:val="16"/>
                <w:szCs w:val="16"/>
                <w:lang w:val="es-ES"/>
              </w:rPr>
            </w:pPr>
            <w:r w:rsidRPr="001C20F6">
              <w:rPr>
                <w:sz w:val="16"/>
                <w:szCs w:val="16"/>
                <w:lang w:val="es-ES"/>
              </w:rPr>
              <w:t>HCFC-142b</w:t>
            </w:r>
          </w:p>
        </w:tc>
        <w:tc>
          <w:tcPr>
            <w:tcW w:w="851" w:type="dxa"/>
            <w:shd w:val="clear" w:color="auto" w:fill="auto"/>
          </w:tcPr>
          <w:p w14:paraId="358654F5"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708" w:type="dxa"/>
            <w:shd w:val="clear" w:color="auto" w:fill="auto"/>
          </w:tcPr>
          <w:p w14:paraId="7D75FA2A"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1" w:type="dxa"/>
            <w:shd w:val="clear" w:color="auto" w:fill="auto"/>
          </w:tcPr>
          <w:p w14:paraId="320B222F"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276" w:type="dxa"/>
            <w:shd w:val="clear" w:color="auto" w:fill="auto"/>
          </w:tcPr>
          <w:p w14:paraId="702B218A"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0" w:type="dxa"/>
            <w:shd w:val="clear" w:color="auto" w:fill="auto"/>
          </w:tcPr>
          <w:p w14:paraId="41B29B60"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0,16</w:t>
            </w:r>
          </w:p>
        </w:tc>
        <w:tc>
          <w:tcPr>
            <w:tcW w:w="709" w:type="dxa"/>
            <w:shd w:val="clear" w:color="auto" w:fill="auto"/>
          </w:tcPr>
          <w:p w14:paraId="7BFF8F9B"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992" w:type="dxa"/>
            <w:shd w:val="clear" w:color="auto" w:fill="auto"/>
          </w:tcPr>
          <w:p w14:paraId="1635366E"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857" w:type="dxa"/>
            <w:shd w:val="clear" w:color="auto" w:fill="auto"/>
          </w:tcPr>
          <w:p w14:paraId="1275DD06" w14:textId="77777777" w:rsidR="00AD6E24" w:rsidRPr="001C20F6" w:rsidRDefault="00AD6E24" w:rsidP="002736E7">
            <w:pPr>
              <w:pStyle w:val="StyleHeader4Para4Left0Firstline0"/>
              <w:numPr>
                <w:ilvl w:val="0"/>
                <w:numId w:val="0"/>
              </w:numPr>
              <w:spacing w:after="60"/>
              <w:jc w:val="right"/>
              <w:rPr>
                <w:sz w:val="16"/>
                <w:szCs w:val="16"/>
                <w:lang w:val="es-ES"/>
              </w:rPr>
            </w:pPr>
          </w:p>
        </w:tc>
        <w:tc>
          <w:tcPr>
            <w:tcW w:w="1068" w:type="dxa"/>
            <w:shd w:val="clear" w:color="auto" w:fill="auto"/>
          </w:tcPr>
          <w:p w14:paraId="4EACF876"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0,16</w:t>
            </w:r>
          </w:p>
        </w:tc>
      </w:tr>
    </w:tbl>
    <w:p w14:paraId="7C4AE8F6" w14:textId="77777777" w:rsidR="00AD6E24" w:rsidRPr="001C20F6" w:rsidRDefault="00AD6E24" w:rsidP="00AD6E24">
      <w:pPr>
        <w:pStyle w:val="StyleHeader4Para4Left0Firstline0"/>
        <w:numPr>
          <w:ilvl w:val="0"/>
          <w:numId w:val="0"/>
        </w:numPr>
        <w:spacing w:after="0"/>
        <w:jc w:val="center"/>
        <w:rPr>
          <w:sz w:val="16"/>
          <w:szCs w:val="16"/>
          <w:lang w:val="es-ES"/>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10"/>
        <w:gridCol w:w="783"/>
        <w:gridCol w:w="5624"/>
        <w:gridCol w:w="783"/>
      </w:tblGrid>
      <w:tr w:rsidR="00AD6E24" w:rsidRPr="001C20F6" w14:paraId="5C7FC24E" w14:textId="77777777" w:rsidTr="002736E7">
        <w:trPr>
          <w:trHeight w:val="240"/>
        </w:trPr>
        <w:tc>
          <w:tcPr>
            <w:tcW w:w="0" w:type="auto"/>
            <w:gridSpan w:val="4"/>
            <w:shd w:val="clear" w:color="auto" w:fill="auto"/>
          </w:tcPr>
          <w:p w14:paraId="60D813E2" w14:textId="77777777" w:rsidR="00AD6E24" w:rsidRPr="001C20F6" w:rsidRDefault="00AD6E24" w:rsidP="002736E7">
            <w:pPr>
              <w:pStyle w:val="StyleHeader4Para4Left0Firstline0"/>
              <w:numPr>
                <w:ilvl w:val="0"/>
                <w:numId w:val="0"/>
              </w:numPr>
              <w:spacing w:after="60"/>
              <w:jc w:val="left"/>
              <w:rPr>
                <w:b/>
                <w:sz w:val="16"/>
                <w:szCs w:val="16"/>
                <w:lang w:val="es-ES"/>
              </w:rPr>
            </w:pPr>
            <w:r w:rsidRPr="001C20F6">
              <w:rPr>
                <w:b/>
                <w:sz w:val="16"/>
                <w:szCs w:val="16"/>
                <w:lang w:val="es-ES"/>
              </w:rPr>
              <w:t>IV) DATOS DE CONSUMO (toneladas PAO)</w:t>
            </w:r>
          </w:p>
        </w:tc>
      </w:tr>
      <w:tr w:rsidR="00AD6E24" w:rsidRPr="001C20F6" w14:paraId="6D9471F5" w14:textId="77777777" w:rsidTr="002736E7">
        <w:trPr>
          <w:trHeight w:val="240"/>
        </w:trPr>
        <w:tc>
          <w:tcPr>
            <w:tcW w:w="0" w:type="auto"/>
            <w:shd w:val="clear" w:color="auto" w:fill="auto"/>
          </w:tcPr>
          <w:p w14:paraId="2C4E182F"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Nivel básico en 2009 - 2010:</w:t>
            </w:r>
          </w:p>
        </w:tc>
        <w:tc>
          <w:tcPr>
            <w:tcW w:w="0" w:type="auto"/>
            <w:shd w:val="clear" w:color="auto" w:fill="auto"/>
          </w:tcPr>
          <w:p w14:paraId="4B02817D"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26,88</w:t>
            </w:r>
          </w:p>
        </w:tc>
        <w:tc>
          <w:tcPr>
            <w:tcW w:w="0" w:type="auto"/>
            <w:shd w:val="clear" w:color="auto" w:fill="auto"/>
          </w:tcPr>
          <w:p w14:paraId="3A2E7E03"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Punto de partida para las reducciones acumuladas sostenidas:</w:t>
            </w:r>
          </w:p>
        </w:tc>
        <w:tc>
          <w:tcPr>
            <w:tcW w:w="0" w:type="auto"/>
            <w:shd w:val="clear" w:color="auto" w:fill="auto"/>
          </w:tcPr>
          <w:p w14:paraId="24A51E9F"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54,79</w:t>
            </w:r>
          </w:p>
        </w:tc>
      </w:tr>
      <w:tr w:rsidR="00AD6E24" w:rsidRPr="00B44C79" w14:paraId="48DB69F4" w14:textId="77777777" w:rsidTr="002736E7">
        <w:trPr>
          <w:trHeight w:val="240"/>
        </w:trPr>
        <w:tc>
          <w:tcPr>
            <w:tcW w:w="0" w:type="auto"/>
            <w:gridSpan w:val="4"/>
            <w:shd w:val="clear" w:color="auto" w:fill="auto"/>
          </w:tcPr>
          <w:p w14:paraId="72E4A6AF" w14:textId="77777777" w:rsidR="00AD6E24" w:rsidRPr="001C20F6" w:rsidRDefault="00AD6E24" w:rsidP="002736E7">
            <w:pPr>
              <w:pStyle w:val="StyleHeader4Para4Left0Firstline0"/>
              <w:numPr>
                <w:ilvl w:val="0"/>
                <w:numId w:val="0"/>
              </w:numPr>
              <w:spacing w:after="60"/>
              <w:jc w:val="center"/>
              <w:rPr>
                <w:b/>
                <w:sz w:val="16"/>
                <w:szCs w:val="16"/>
                <w:lang w:val="es-ES"/>
              </w:rPr>
            </w:pPr>
            <w:r w:rsidRPr="001C20F6">
              <w:rPr>
                <w:b/>
                <w:sz w:val="16"/>
                <w:szCs w:val="16"/>
                <w:lang w:val="es-ES"/>
              </w:rPr>
              <w:t>CONSUMO ADMISIBLE PARA LA FINANCIACIÓN (toneladas PAO)</w:t>
            </w:r>
          </w:p>
        </w:tc>
      </w:tr>
      <w:tr w:rsidR="00AD6E24" w:rsidRPr="001C20F6" w14:paraId="50359ED7" w14:textId="77777777" w:rsidTr="002736E7">
        <w:trPr>
          <w:trHeight w:val="240"/>
        </w:trPr>
        <w:tc>
          <w:tcPr>
            <w:tcW w:w="0" w:type="auto"/>
            <w:shd w:val="clear" w:color="auto" w:fill="auto"/>
          </w:tcPr>
          <w:p w14:paraId="247CA283"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Ya aprobado:</w:t>
            </w:r>
          </w:p>
        </w:tc>
        <w:tc>
          <w:tcPr>
            <w:tcW w:w="0" w:type="auto"/>
            <w:shd w:val="clear" w:color="auto" w:fill="auto"/>
          </w:tcPr>
          <w:p w14:paraId="5C735281"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18,14</w:t>
            </w:r>
          </w:p>
        </w:tc>
        <w:tc>
          <w:tcPr>
            <w:tcW w:w="0" w:type="auto"/>
            <w:shd w:val="clear" w:color="auto" w:fill="auto"/>
          </w:tcPr>
          <w:p w14:paraId="4F3113AD" w14:textId="77777777" w:rsidR="00AD6E24" w:rsidRPr="001C20F6" w:rsidRDefault="00AD6E24" w:rsidP="002736E7">
            <w:pPr>
              <w:pStyle w:val="StyleHeader4Para4Left0Firstline0"/>
              <w:numPr>
                <w:ilvl w:val="0"/>
                <w:numId w:val="0"/>
              </w:numPr>
              <w:spacing w:after="60"/>
              <w:jc w:val="center"/>
              <w:rPr>
                <w:sz w:val="16"/>
                <w:szCs w:val="16"/>
                <w:lang w:val="es-ES"/>
              </w:rPr>
            </w:pPr>
            <w:r w:rsidRPr="001C20F6">
              <w:rPr>
                <w:sz w:val="16"/>
                <w:szCs w:val="16"/>
                <w:lang w:val="es-ES"/>
              </w:rPr>
              <w:t>Restante:</w:t>
            </w:r>
          </w:p>
        </w:tc>
        <w:tc>
          <w:tcPr>
            <w:tcW w:w="0" w:type="auto"/>
            <w:shd w:val="clear" w:color="auto" w:fill="auto"/>
          </w:tcPr>
          <w:p w14:paraId="28CCB482" w14:textId="77777777" w:rsidR="00AD6E24" w:rsidRPr="001C20F6" w:rsidRDefault="00AD6E24" w:rsidP="002736E7">
            <w:pPr>
              <w:pStyle w:val="StyleHeader4Para4Left0Firstline0"/>
              <w:numPr>
                <w:ilvl w:val="0"/>
                <w:numId w:val="0"/>
              </w:numPr>
              <w:spacing w:after="60"/>
              <w:jc w:val="right"/>
              <w:rPr>
                <w:sz w:val="16"/>
                <w:szCs w:val="16"/>
                <w:lang w:val="es-ES"/>
              </w:rPr>
            </w:pPr>
            <w:r w:rsidRPr="001C20F6">
              <w:rPr>
                <w:sz w:val="16"/>
                <w:szCs w:val="16"/>
                <w:lang w:val="es-ES"/>
              </w:rPr>
              <w:t>36,65</w:t>
            </w:r>
          </w:p>
        </w:tc>
      </w:tr>
    </w:tbl>
    <w:p w14:paraId="341B801D" w14:textId="77777777" w:rsidR="00AD6E24" w:rsidRPr="001C20F6" w:rsidRDefault="00AD6E24" w:rsidP="00AD6E24">
      <w:pPr>
        <w:pStyle w:val="StyleHeader4Para4Left0Firstline0"/>
        <w:numPr>
          <w:ilvl w:val="0"/>
          <w:numId w:val="0"/>
        </w:numPr>
        <w:spacing w:after="0"/>
        <w:jc w:val="center"/>
        <w:rPr>
          <w:sz w:val="16"/>
          <w:szCs w:val="16"/>
          <w:lang w:val="es-ES"/>
        </w:rPr>
      </w:pPr>
    </w:p>
    <w:tbl>
      <w:tblPr>
        <w:tblStyle w:val="TableGrid"/>
        <w:tblW w:w="99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94"/>
        <w:gridCol w:w="2718"/>
        <w:gridCol w:w="926"/>
        <w:gridCol w:w="923"/>
        <w:gridCol w:w="926"/>
        <w:gridCol w:w="922"/>
        <w:gridCol w:w="923"/>
        <w:gridCol w:w="926"/>
        <w:gridCol w:w="927"/>
      </w:tblGrid>
      <w:tr w:rsidR="00AD6E24" w:rsidRPr="001C20F6" w14:paraId="323BA5A9" w14:textId="77777777" w:rsidTr="002736E7">
        <w:trPr>
          <w:trHeight w:val="261"/>
        </w:trPr>
        <w:tc>
          <w:tcPr>
            <w:tcW w:w="3472" w:type="dxa"/>
            <w:gridSpan w:val="2"/>
            <w:shd w:val="clear" w:color="auto" w:fill="auto"/>
          </w:tcPr>
          <w:p w14:paraId="1E0EA27E" w14:textId="77777777" w:rsidR="00AD6E24" w:rsidRPr="001C20F6" w:rsidRDefault="00AD6E24" w:rsidP="002736E7">
            <w:pPr>
              <w:spacing w:after="60"/>
              <w:jc w:val="left"/>
              <w:rPr>
                <w:b/>
                <w:sz w:val="16"/>
                <w:szCs w:val="16"/>
                <w:lang w:val="es-ES"/>
              </w:rPr>
            </w:pPr>
            <w:r w:rsidRPr="001C20F6">
              <w:rPr>
                <w:b/>
                <w:sz w:val="16"/>
                <w:szCs w:val="16"/>
                <w:lang w:val="es-ES"/>
              </w:rPr>
              <w:t>V) PLAN ADMINISTRATIVO</w:t>
            </w:r>
          </w:p>
        </w:tc>
        <w:tc>
          <w:tcPr>
            <w:tcW w:w="930" w:type="dxa"/>
          </w:tcPr>
          <w:p w14:paraId="327C79F7" w14:textId="77777777" w:rsidR="00AD6E24" w:rsidRPr="001C20F6" w:rsidRDefault="00AD6E24" w:rsidP="002736E7">
            <w:pPr>
              <w:spacing w:after="60"/>
              <w:jc w:val="center"/>
              <w:rPr>
                <w:b/>
                <w:sz w:val="16"/>
                <w:szCs w:val="16"/>
                <w:lang w:val="es-ES"/>
              </w:rPr>
            </w:pPr>
            <w:r w:rsidRPr="001C20F6">
              <w:rPr>
                <w:b/>
                <w:sz w:val="16"/>
                <w:szCs w:val="16"/>
                <w:lang w:val="es-ES"/>
              </w:rPr>
              <w:t>2020</w:t>
            </w:r>
          </w:p>
        </w:tc>
        <w:tc>
          <w:tcPr>
            <w:tcW w:w="931" w:type="dxa"/>
          </w:tcPr>
          <w:p w14:paraId="6C5FC96D" w14:textId="77777777" w:rsidR="00AD6E24" w:rsidRPr="001C20F6" w:rsidRDefault="00AD6E24" w:rsidP="002736E7">
            <w:pPr>
              <w:spacing w:after="60"/>
              <w:jc w:val="center"/>
              <w:rPr>
                <w:b/>
                <w:sz w:val="16"/>
                <w:szCs w:val="16"/>
                <w:lang w:val="es-ES"/>
              </w:rPr>
            </w:pPr>
            <w:r w:rsidRPr="001C20F6">
              <w:rPr>
                <w:b/>
                <w:sz w:val="16"/>
                <w:szCs w:val="16"/>
                <w:lang w:val="es-ES"/>
              </w:rPr>
              <w:t>2021</w:t>
            </w:r>
          </w:p>
        </w:tc>
        <w:tc>
          <w:tcPr>
            <w:tcW w:w="930" w:type="dxa"/>
          </w:tcPr>
          <w:p w14:paraId="31BF4C7D" w14:textId="77777777" w:rsidR="00AD6E24" w:rsidRPr="001C20F6" w:rsidRDefault="00AD6E24" w:rsidP="002736E7">
            <w:pPr>
              <w:spacing w:after="60"/>
              <w:jc w:val="center"/>
              <w:rPr>
                <w:b/>
                <w:sz w:val="16"/>
                <w:szCs w:val="16"/>
                <w:lang w:val="es-ES"/>
              </w:rPr>
            </w:pPr>
            <w:r w:rsidRPr="001C20F6">
              <w:rPr>
                <w:b/>
                <w:sz w:val="16"/>
                <w:szCs w:val="16"/>
                <w:lang w:val="es-ES"/>
              </w:rPr>
              <w:t>2022</w:t>
            </w:r>
          </w:p>
        </w:tc>
        <w:tc>
          <w:tcPr>
            <w:tcW w:w="930" w:type="dxa"/>
          </w:tcPr>
          <w:p w14:paraId="12E634D9" w14:textId="77777777" w:rsidR="00AD6E24" w:rsidRPr="001C20F6" w:rsidRDefault="00AD6E24" w:rsidP="002736E7">
            <w:pPr>
              <w:spacing w:after="60"/>
              <w:jc w:val="center"/>
              <w:rPr>
                <w:b/>
                <w:sz w:val="16"/>
                <w:szCs w:val="16"/>
                <w:lang w:val="es-ES"/>
              </w:rPr>
            </w:pPr>
            <w:r w:rsidRPr="001C20F6">
              <w:rPr>
                <w:b/>
                <w:sz w:val="16"/>
                <w:szCs w:val="16"/>
                <w:lang w:val="es-ES"/>
              </w:rPr>
              <w:t>2023</w:t>
            </w:r>
          </w:p>
        </w:tc>
        <w:tc>
          <w:tcPr>
            <w:tcW w:w="931" w:type="dxa"/>
          </w:tcPr>
          <w:p w14:paraId="24862FB7" w14:textId="77777777" w:rsidR="00AD6E24" w:rsidRPr="001C20F6" w:rsidRDefault="00AD6E24" w:rsidP="002736E7">
            <w:pPr>
              <w:spacing w:after="60"/>
              <w:jc w:val="center"/>
              <w:rPr>
                <w:b/>
                <w:sz w:val="16"/>
                <w:szCs w:val="16"/>
                <w:lang w:val="es-ES"/>
              </w:rPr>
            </w:pPr>
            <w:r w:rsidRPr="001C20F6">
              <w:rPr>
                <w:b/>
                <w:sz w:val="16"/>
                <w:szCs w:val="16"/>
                <w:lang w:val="es-ES"/>
              </w:rPr>
              <w:t>2024</w:t>
            </w:r>
          </w:p>
        </w:tc>
        <w:tc>
          <w:tcPr>
            <w:tcW w:w="930" w:type="dxa"/>
          </w:tcPr>
          <w:p w14:paraId="4AE152E0" w14:textId="77777777" w:rsidR="00AD6E24" w:rsidRPr="001C20F6" w:rsidRDefault="00AD6E24" w:rsidP="002736E7">
            <w:pPr>
              <w:spacing w:after="60"/>
              <w:jc w:val="center"/>
              <w:rPr>
                <w:b/>
                <w:sz w:val="16"/>
                <w:szCs w:val="16"/>
                <w:lang w:val="es-ES"/>
              </w:rPr>
            </w:pPr>
            <w:r w:rsidRPr="001C20F6">
              <w:rPr>
                <w:b/>
                <w:sz w:val="16"/>
                <w:szCs w:val="16"/>
                <w:lang w:val="es-ES"/>
              </w:rPr>
              <w:t>2025</w:t>
            </w:r>
          </w:p>
        </w:tc>
        <w:tc>
          <w:tcPr>
            <w:tcW w:w="931" w:type="dxa"/>
            <w:shd w:val="clear" w:color="auto" w:fill="auto"/>
          </w:tcPr>
          <w:p w14:paraId="41353B95" w14:textId="77777777" w:rsidR="00AD6E24" w:rsidRPr="001C20F6" w:rsidRDefault="00AD6E24" w:rsidP="002736E7">
            <w:pPr>
              <w:spacing w:after="60"/>
              <w:jc w:val="center"/>
              <w:rPr>
                <w:b/>
                <w:sz w:val="16"/>
                <w:szCs w:val="16"/>
                <w:lang w:val="es-ES"/>
              </w:rPr>
            </w:pPr>
            <w:r w:rsidRPr="001C20F6">
              <w:rPr>
                <w:b/>
                <w:sz w:val="16"/>
                <w:szCs w:val="16"/>
                <w:lang w:val="es-ES"/>
              </w:rPr>
              <w:t>Total</w:t>
            </w:r>
          </w:p>
        </w:tc>
      </w:tr>
      <w:tr w:rsidR="00AD6E24" w:rsidRPr="001C20F6" w14:paraId="3568EBCA" w14:textId="77777777" w:rsidTr="002736E7">
        <w:trPr>
          <w:trHeight w:val="261"/>
        </w:trPr>
        <w:tc>
          <w:tcPr>
            <w:tcW w:w="0" w:type="auto"/>
            <w:vMerge w:val="restart"/>
            <w:shd w:val="clear" w:color="auto" w:fill="auto"/>
          </w:tcPr>
          <w:p w14:paraId="354F18C4" w14:textId="77777777" w:rsidR="00AD6E24" w:rsidRPr="001C20F6" w:rsidRDefault="00AD6E24" w:rsidP="002736E7">
            <w:pPr>
              <w:spacing w:after="60"/>
              <w:jc w:val="center"/>
              <w:rPr>
                <w:sz w:val="16"/>
                <w:szCs w:val="16"/>
                <w:lang w:val="es-ES"/>
              </w:rPr>
            </w:pPr>
            <w:r w:rsidRPr="001C20F6">
              <w:rPr>
                <w:sz w:val="16"/>
                <w:szCs w:val="16"/>
                <w:lang w:val="es-ES"/>
              </w:rPr>
              <w:t>PNUD</w:t>
            </w:r>
          </w:p>
        </w:tc>
        <w:tc>
          <w:tcPr>
            <w:tcW w:w="2759" w:type="dxa"/>
            <w:shd w:val="clear" w:color="auto" w:fill="auto"/>
          </w:tcPr>
          <w:p w14:paraId="3675DEE9" w14:textId="77777777" w:rsidR="00AD6E24" w:rsidRPr="001C20F6" w:rsidRDefault="00AD6E24" w:rsidP="002736E7">
            <w:pPr>
              <w:spacing w:after="60"/>
              <w:jc w:val="left"/>
              <w:rPr>
                <w:sz w:val="16"/>
                <w:szCs w:val="16"/>
                <w:lang w:val="es-ES"/>
              </w:rPr>
            </w:pPr>
            <w:r w:rsidRPr="001C20F6">
              <w:rPr>
                <w:sz w:val="16"/>
                <w:szCs w:val="16"/>
                <w:lang w:val="es-ES"/>
              </w:rPr>
              <w:t>Eliminación de SAO (toneladas PAO)</w:t>
            </w:r>
          </w:p>
        </w:tc>
        <w:tc>
          <w:tcPr>
            <w:tcW w:w="930" w:type="dxa"/>
          </w:tcPr>
          <w:p w14:paraId="62F563F7" w14:textId="77777777" w:rsidR="00AD6E24" w:rsidRPr="001C20F6" w:rsidRDefault="00AD6E24" w:rsidP="002736E7">
            <w:pPr>
              <w:spacing w:after="60"/>
              <w:jc w:val="right"/>
              <w:rPr>
                <w:sz w:val="16"/>
                <w:szCs w:val="16"/>
                <w:lang w:val="es-ES"/>
              </w:rPr>
            </w:pPr>
            <w:r w:rsidRPr="001C20F6">
              <w:rPr>
                <w:sz w:val="16"/>
                <w:szCs w:val="16"/>
                <w:lang w:val="es-ES"/>
              </w:rPr>
              <w:t>2,44</w:t>
            </w:r>
          </w:p>
        </w:tc>
        <w:tc>
          <w:tcPr>
            <w:tcW w:w="931" w:type="dxa"/>
          </w:tcPr>
          <w:p w14:paraId="7B08D3F7"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0" w:type="dxa"/>
          </w:tcPr>
          <w:p w14:paraId="1CB8B7BF" w14:textId="77777777" w:rsidR="00AD6E24" w:rsidRPr="001C20F6" w:rsidRDefault="00AD6E24" w:rsidP="002736E7">
            <w:pPr>
              <w:spacing w:after="60"/>
              <w:jc w:val="right"/>
              <w:rPr>
                <w:sz w:val="16"/>
                <w:szCs w:val="16"/>
                <w:lang w:val="es-ES"/>
              </w:rPr>
            </w:pPr>
            <w:r w:rsidRPr="001C20F6">
              <w:rPr>
                <w:sz w:val="16"/>
                <w:szCs w:val="16"/>
                <w:lang w:val="es-ES"/>
              </w:rPr>
              <w:t>4,89</w:t>
            </w:r>
          </w:p>
        </w:tc>
        <w:tc>
          <w:tcPr>
            <w:tcW w:w="930" w:type="dxa"/>
          </w:tcPr>
          <w:p w14:paraId="756DEE87"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1" w:type="dxa"/>
          </w:tcPr>
          <w:p w14:paraId="1564B093"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0" w:type="dxa"/>
          </w:tcPr>
          <w:p w14:paraId="52D6B0DF" w14:textId="77777777" w:rsidR="00AD6E24" w:rsidRPr="001C20F6" w:rsidRDefault="00AD6E24" w:rsidP="002736E7">
            <w:pPr>
              <w:spacing w:after="60"/>
              <w:jc w:val="right"/>
              <w:rPr>
                <w:sz w:val="16"/>
                <w:szCs w:val="16"/>
                <w:lang w:val="es-ES"/>
              </w:rPr>
            </w:pPr>
            <w:r w:rsidRPr="001C20F6">
              <w:rPr>
                <w:sz w:val="16"/>
                <w:szCs w:val="16"/>
                <w:lang w:val="es-ES"/>
              </w:rPr>
              <w:t>1,22</w:t>
            </w:r>
          </w:p>
        </w:tc>
        <w:tc>
          <w:tcPr>
            <w:tcW w:w="931" w:type="dxa"/>
            <w:shd w:val="clear" w:color="auto" w:fill="auto"/>
          </w:tcPr>
          <w:p w14:paraId="114C4111" w14:textId="77777777" w:rsidR="00AD6E24" w:rsidRPr="001C20F6" w:rsidRDefault="00AD6E24" w:rsidP="002736E7">
            <w:pPr>
              <w:spacing w:after="60"/>
              <w:jc w:val="right"/>
              <w:rPr>
                <w:sz w:val="16"/>
                <w:szCs w:val="16"/>
                <w:lang w:val="es-ES"/>
              </w:rPr>
            </w:pPr>
            <w:r w:rsidRPr="001C20F6">
              <w:rPr>
                <w:sz w:val="16"/>
                <w:szCs w:val="16"/>
                <w:lang w:val="es-ES"/>
              </w:rPr>
              <w:t>8,55</w:t>
            </w:r>
          </w:p>
        </w:tc>
      </w:tr>
      <w:tr w:rsidR="00AD6E24" w:rsidRPr="001C20F6" w14:paraId="7D515F5A" w14:textId="77777777" w:rsidTr="002736E7">
        <w:trPr>
          <w:trHeight w:val="261"/>
        </w:trPr>
        <w:tc>
          <w:tcPr>
            <w:tcW w:w="0" w:type="auto"/>
            <w:vMerge/>
            <w:shd w:val="clear" w:color="auto" w:fill="auto"/>
          </w:tcPr>
          <w:p w14:paraId="152A6A38" w14:textId="77777777" w:rsidR="00AD6E24" w:rsidRPr="001C20F6" w:rsidRDefault="00AD6E24" w:rsidP="002736E7">
            <w:pPr>
              <w:spacing w:after="60"/>
              <w:jc w:val="center"/>
              <w:rPr>
                <w:sz w:val="16"/>
                <w:szCs w:val="16"/>
                <w:lang w:val="es-ES"/>
              </w:rPr>
            </w:pPr>
          </w:p>
        </w:tc>
        <w:tc>
          <w:tcPr>
            <w:tcW w:w="2759" w:type="dxa"/>
            <w:shd w:val="clear" w:color="auto" w:fill="auto"/>
          </w:tcPr>
          <w:p w14:paraId="1739A4E9" w14:textId="77777777" w:rsidR="00AD6E24" w:rsidRPr="001C20F6" w:rsidRDefault="00AD6E24" w:rsidP="002736E7">
            <w:pPr>
              <w:spacing w:after="60"/>
              <w:jc w:val="left"/>
              <w:rPr>
                <w:sz w:val="16"/>
                <w:szCs w:val="16"/>
                <w:lang w:val="es-ES"/>
              </w:rPr>
            </w:pPr>
            <w:r w:rsidRPr="001C20F6">
              <w:rPr>
                <w:sz w:val="16"/>
                <w:szCs w:val="16"/>
                <w:lang w:val="es-ES"/>
              </w:rPr>
              <w:t>Financiación ($EUA)</w:t>
            </w:r>
          </w:p>
        </w:tc>
        <w:tc>
          <w:tcPr>
            <w:tcW w:w="930" w:type="dxa"/>
          </w:tcPr>
          <w:p w14:paraId="19784BD3" w14:textId="77777777" w:rsidR="00AD6E24" w:rsidRPr="001C20F6" w:rsidRDefault="00AD6E24" w:rsidP="002736E7">
            <w:pPr>
              <w:spacing w:after="60"/>
              <w:jc w:val="right"/>
              <w:rPr>
                <w:sz w:val="16"/>
                <w:szCs w:val="16"/>
                <w:lang w:val="es-ES"/>
              </w:rPr>
            </w:pPr>
            <w:r w:rsidRPr="001C20F6">
              <w:rPr>
                <w:sz w:val="16"/>
                <w:szCs w:val="16"/>
                <w:lang w:val="es-ES"/>
              </w:rPr>
              <w:t>249.738</w:t>
            </w:r>
          </w:p>
        </w:tc>
        <w:tc>
          <w:tcPr>
            <w:tcW w:w="931" w:type="dxa"/>
          </w:tcPr>
          <w:p w14:paraId="37019493"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0" w:type="dxa"/>
          </w:tcPr>
          <w:p w14:paraId="52ADAAB6" w14:textId="77777777" w:rsidR="00AD6E24" w:rsidRPr="001C20F6" w:rsidRDefault="00AD6E24" w:rsidP="002736E7">
            <w:pPr>
              <w:spacing w:after="60"/>
              <w:jc w:val="right"/>
              <w:rPr>
                <w:sz w:val="16"/>
                <w:szCs w:val="16"/>
                <w:lang w:val="es-ES"/>
              </w:rPr>
            </w:pPr>
            <w:r w:rsidRPr="001C20F6">
              <w:rPr>
                <w:sz w:val="16"/>
                <w:szCs w:val="16"/>
                <w:lang w:val="es-ES"/>
              </w:rPr>
              <w:t>499.476</w:t>
            </w:r>
          </w:p>
        </w:tc>
        <w:tc>
          <w:tcPr>
            <w:tcW w:w="930" w:type="dxa"/>
          </w:tcPr>
          <w:p w14:paraId="6B7AE3C1"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1" w:type="dxa"/>
          </w:tcPr>
          <w:p w14:paraId="64804292"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0" w:type="dxa"/>
          </w:tcPr>
          <w:p w14:paraId="2786C4C4" w14:textId="77777777" w:rsidR="00AD6E24" w:rsidRPr="001C20F6" w:rsidRDefault="00AD6E24" w:rsidP="002736E7">
            <w:pPr>
              <w:spacing w:after="60"/>
              <w:jc w:val="right"/>
              <w:rPr>
                <w:sz w:val="16"/>
                <w:szCs w:val="16"/>
                <w:lang w:val="es-ES"/>
              </w:rPr>
            </w:pPr>
            <w:r w:rsidRPr="001C20F6">
              <w:rPr>
                <w:sz w:val="16"/>
                <w:szCs w:val="16"/>
                <w:lang w:val="es-ES"/>
              </w:rPr>
              <w:t>124.869</w:t>
            </w:r>
          </w:p>
        </w:tc>
        <w:tc>
          <w:tcPr>
            <w:tcW w:w="931" w:type="dxa"/>
            <w:shd w:val="clear" w:color="auto" w:fill="auto"/>
          </w:tcPr>
          <w:p w14:paraId="783751FD" w14:textId="77777777" w:rsidR="00AD6E24" w:rsidRPr="001C20F6" w:rsidRDefault="00AD6E24" w:rsidP="002736E7">
            <w:pPr>
              <w:spacing w:after="60"/>
              <w:jc w:val="right"/>
              <w:rPr>
                <w:sz w:val="16"/>
                <w:szCs w:val="16"/>
                <w:lang w:val="es-ES"/>
              </w:rPr>
            </w:pPr>
            <w:r w:rsidRPr="001C20F6">
              <w:rPr>
                <w:sz w:val="16"/>
                <w:szCs w:val="16"/>
                <w:lang w:val="es-ES"/>
              </w:rPr>
              <w:t>874.083</w:t>
            </w:r>
          </w:p>
        </w:tc>
      </w:tr>
      <w:tr w:rsidR="00AD6E24" w:rsidRPr="001C20F6" w14:paraId="01345D8E" w14:textId="77777777" w:rsidTr="002736E7">
        <w:trPr>
          <w:trHeight w:val="261"/>
        </w:trPr>
        <w:tc>
          <w:tcPr>
            <w:tcW w:w="0" w:type="auto"/>
            <w:vMerge w:val="restart"/>
            <w:shd w:val="clear" w:color="auto" w:fill="auto"/>
          </w:tcPr>
          <w:p w14:paraId="35C3F70F" w14:textId="77777777" w:rsidR="00AD6E24" w:rsidRPr="001C20F6" w:rsidRDefault="00AD6E24" w:rsidP="002736E7">
            <w:pPr>
              <w:spacing w:after="60"/>
              <w:jc w:val="center"/>
              <w:rPr>
                <w:sz w:val="16"/>
                <w:szCs w:val="16"/>
                <w:lang w:val="es-ES"/>
              </w:rPr>
            </w:pPr>
            <w:r w:rsidRPr="001C20F6">
              <w:rPr>
                <w:sz w:val="16"/>
                <w:szCs w:val="16"/>
                <w:lang w:val="es-ES"/>
              </w:rPr>
              <w:t>PNUMA</w:t>
            </w:r>
          </w:p>
        </w:tc>
        <w:tc>
          <w:tcPr>
            <w:tcW w:w="2759" w:type="dxa"/>
            <w:shd w:val="clear" w:color="auto" w:fill="auto"/>
          </w:tcPr>
          <w:p w14:paraId="39E9BB90" w14:textId="77777777" w:rsidR="00AD6E24" w:rsidRPr="001C20F6" w:rsidRDefault="00AD6E24" w:rsidP="002736E7">
            <w:pPr>
              <w:spacing w:after="60"/>
              <w:jc w:val="left"/>
              <w:rPr>
                <w:sz w:val="16"/>
                <w:szCs w:val="16"/>
                <w:lang w:val="es-ES"/>
              </w:rPr>
            </w:pPr>
            <w:r w:rsidRPr="001C20F6">
              <w:rPr>
                <w:sz w:val="16"/>
                <w:szCs w:val="16"/>
                <w:lang w:val="es-ES"/>
              </w:rPr>
              <w:t>Eliminación de SAO (toneladas PAO)</w:t>
            </w:r>
          </w:p>
        </w:tc>
        <w:tc>
          <w:tcPr>
            <w:tcW w:w="930" w:type="dxa"/>
          </w:tcPr>
          <w:p w14:paraId="56CD573B" w14:textId="77777777" w:rsidR="00AD6E24" w:rsidRPr="001C20F6" w:rsidRDefault="00AD6E24" w:rsidP="002736E7">
            <w:pPr>
              <w:spacing w:after="60"/>
              <w:jc w:val="right"/>
              <w:rPr>
                <w:sz w:val="16"/>
                <w:szCs w:val="16"/>
                <w:lang w:val="es-ES"/>
              </w:rPr>
            </w:pPr>
            <w:r w:rsidRPr="001C20F6">
              <w:rPr>
                <w:sz w:val="16"/>
                <w:szCs w:val="16"/>
                <w:lang w:val="es-ES"/>
              </w:rPr>
              <w:t>0,44</w:t>
            </w:r>
          </w:p>
        </w:tc>
        <w:tc>
          <w:tcPr>
            <w:tcW w:w="931" w:type="dxa"/>
          </w:tcPr>
          <w:p w14:paraId="1E985D0F"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0" w:type="dxa"/>
          </w:tcPr>
          <w:p w14:paraId="5636CE22" w14:textId="77777777" w:rsidR="00AD6E24" w:rsidRPr="001C20F6" w:rsidRDefault="00AD6E24" w:rsidP="002736E7">
            <w:pPr>
              <w:spacing w:after="60"/>
              <w:jc w:val="right"/>
              <w:rPr>
                <w:sz w:val="16"/>
                <w:szCs w:val="16"/>
                <w:lang w:val="es-ES"/>
              </w:rPr>
            </w:pPr>
            <w:r w:rsidRPr="001C20F6">
              <w:rPr>
                <w:sz w:val="16"/>
                <w:szCs w:val="16"/>
                <w:lang w:val="es-ES"/>
              </w:rPr>
              <w:t>0,87</w:t>
            </w:r>
          </w:p>
        </w:tc>
        <w:tc>
          <w:tcPr>
            <w:tcW w:w="930" w:type="dxa"/>
          </w:tcPr>
          <w:p w14:paraId="0F8EC559"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1" w:type="dxa"/>
          </w:tcPr>
          <w:p w14:paraId="73359662"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0" w:type="dxa"/>
          </w:tcPr>
          <w:p w14:paraId="69D73080" w14:textId="77777777" w:rsidR="00AD6E24" w:rsidRPr="001C20F6" w:rsidRDefault="00AD6E24" w:rsidP="002736E7">
            <w:pPr>
              <w:spacing w:after="60"/>
              <w:jc w:val="right"/>
              <w:rPr>
                <w:sz w:val="16"/>
                <w:szCs w:val="16"/>
                <w:lang w:val="es-ES"/>
              </w:rPr>
            </w:pPr>
            <w:r w:rsidRPr="001C20F6">
              <w:rPr>
                <w:sz w:val="16"/>
                <w:szCs w:val="16"/>
                <w:lang w:val="es-ES"/>
              </w:rPr>
              <w:t>0,22</w:t>
            </w:r>
          </w:p>
        </w:tc>
        <w:tc>
          <w:tcPr>
            <w:tcW w:w="931" w:type="dxa"/>
            <w:shd w:val="clear" w:color="auto" w:fill="auto"/>
          </w:tcPr>
          <w:p w14:paraId="7F6C84EC" w14:textId="77777777" w:rsidR="00AD6E24" w:rsidRPr="001C20F6" w:rsidRDefault="00AD6E24" w:rsidP="002736E7">
            <w:pPr>
              <w:spacing w:after="60"/>
              <w:jc w:val="right"/>
              <w:rPr>
                <w:sz w:val="16"/>
                <w:szCs w:val="16"/>
                <w:lang w:val="es-ES"/>
              </w:rPr>
            </w:pPr>
            <w:r w:rsidRPr="001C20F6">
              <w:rPr>
                <w:sz w:val="16"/>
                <w:szCs w:val="16"/>
                <w:lang w:val="es-ES"/>
              </w:rPr>
              <w:t>1,53</w:t>
            </w:r>
          </w:p>
        </w:tc>
      </w:tr>
      <w:tr w:rsidR="00AD6E24" w:rsidRPr="001C20F6" w14:paraId="11B60CB9" w14:textId="77777777" w:rsidTr="002736E7">
        <w:trPr>
          <w:trHeight w:val="261"/>
        </w:trPr>
        <w:tc>
          <w:tcPr>
            <w:tcW w:w="0" w:type="auto"/>
            <w:vMerge/>
            <w:shd w:val="clear" w:color="auto" w:fill="auto"/>
          </w:tcPr>
          <w:p w14:paraId="50F5C1F7" w14:textId="77777777" w:rsidR="00AD6E24" w:rsidRPr="001C20F6" w:rsidRDefault="00AD6E24" w:rsidP="002736E7">
            <w:pPr>
              <w:spacing w:after="60"/>
              <w:jc w:val="center"/>
              <w:rPr>
                <w:sz w:val="16"/>
                <w:szCs w:val="16"/>
                <w:lang w:val="es-ES"/>
              </w:rPr>
            </w:pPr>
          </w:p>
        </w:tc>
        <w:tc>
          <w:tcPr>
            <w:tcW w:w="2759" w:type="dxa"/>
            <w:shd w:val="clear" w:color="auto" w:fill="auto"/>
          </w:tcPr>
          <w:p w14:paraId="7F1EEF1A" w14:textId="77777777" w:rsidR="00AD6E24" w:rsidRPr="001C20F6" w:rsidRDefault="00AD6E24" w:rsidP="002736E7">
            <w:pPr>
              <w:spacing w:after="60"/>
              <w:jc w:val="left"/>
              <w:rPr>
                <w:sz w:val="16"/>
                <w:szCs w:val="16"/>
                <w:lang w:val="es-ES"/>
              </w:rPr>
            </w:pPr>
            <w:r w:rsidRPr="001C20F6">
              <w:rPr>
                <w:sz w:val="16"/>
                <w:szCs w:val="16"/>
                <w:lang w:val="es-ES"/>
              </w:rPr>
              <w:t>Financiación ($EUA)</w:t>
            </w:r>
          </w:p>
        </w:tc>
        <w:tc>
          <w:tcPr>
            <w:tcW w:w="930" w:type="dxa"/>
          </w:tcPr>
          <w:p w14:paraId="60C7C3F6" w14:textId="77777777" w:rsidR="00AD6E24" w:rsidRPr="001C20F6" w:rsidRDefault="00AD6E24" w:rsidP="002736E7">
            <w:pPr>
              <w:spacing w:after="60"/>
              <w:jc w:val="right"/>
              <w:rPr>
                <w:sz w:val="16"/>
                <w:szCs w:val="16"/>
                <w:lang w:val="es-ES"/>
              </w:rPr>
            </w:pPr>
            <w:r w:rsidRPr="001C20F6">
              <w:rPr>
                <w:sz w:val="16"/>
                <w:szCs w:val="16"/>
                <w:lang w:val="es-ES"/>
              </w:rPr>
              <w:t xml:space="preserve">47.088 </w:t>
            </w:r>
          </w:p>
        </w:tc>
        <w:tc>
          <w:tcPr>
            <w:tcW w:w="931" w:type="dxa"/>
          </w:tcPr>
          <w:p w14:paraId="6AB59699"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0" w:type="dxa"/>
          </w:tcPr>
          <w:p w14:paraId="535F4A71" w14:textId="77777777" w:rsidR="00AD6E24" w:rsidRPr="001C20F6" w:rsidRDefault="00AD6E24" w:rsidP="002736E7">
            <w:pPr>
              <w:spacing w:after="60"/>
              <w:jc w:val="right"/>
              <w:rPr>
                <w:sz w:val="16"/>
                <w:szCs w:val="16"/>
                <w:lang w:val="es-ES"/>
              </w:rPr>
            </w:pPr>
            <w:r w:rsidRPr="001C20F6">
              <w:rPr>
                <w:sz w:val="16"/>
                <w:szCs w:val="16"/>
                <w:lang w:val="es-ES"/>
              </w:rPr>
              <w:t>94.016</w:t>
            </w:r>
          </w:p>
        </w:tc>
        <w:tc>
          <w:tcPr>
            <w:tcW w:w="930" w:type="dxa"/>
          </w:tcPr>
          <w:p w14:paraId="09B7A93F"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1" w:type="dxa"/>
          </w:tcPr>
          <w:p w14:paraId="65E48158" w14:textId="77777777" w:rsidR="00AD6E24" w:rsidRPr="001C20F6" w:rsidRDefault="00AD6E24" w:rsidP="002736E7">
            <w:pPr>
              <w:spacing w:after="60"/>
              <w:jc w:val="right"/>
              <w:rPr>
                <w:sz w:val="16"/>
                <w:szCs w:val="16"/>
                <w:lang w:val="es-ES"/>
              </w:rPr>
            </w:pPr>
            <w:r w:rsidRPr="001C20F6">
              <w:rPr>
                <w:sz w:val="16"/>
                <w:szCs w:val="16"/>
                <w:lang w:val="es-ES"/>
              </w:rPr>
              <w:t>0</w:t>
            </w:r>
          </w:p>
        </w:tc>
        <w:tc>
          <w:tcPr>
            <w:tcW w:w="930" w:type="dxa"/>
          </w:tcPr>
          <w:p w14:paraId="0A42F44C" w14:textId="77777777" w:rsidR="00AD6E24" w:rsidRPr="001C20F6" w:rsidRDefault="00AD6E24" w:rsidP="002736E7">
            <w:pPr>
              <w:spacing w:after="60"/>
              <w:jc w:val="right"/>
              <w:rPr>
                <w:sz w:val="16"/>
                <w:szCs w:val="16"/>
                <w:lang w:val="es-ES"/>
              </w:rPr>
            </w:pPr>
            <w:r w:rsidRPr="001C20F6">
              <w:rPr>
                <w:sz w:val="16"/>
                <w:szCs w:val="16"/>
                <w:lang w:val="es-ES"/>
              </w:rPr>
              <w:t>23.504</w:t>
            </w:r>
          </w:p>
        </w:tc>
        <w:tc>
          <w:tcPr>
            <w:tcW w:w="931" w:type="dxa"/>
            <w:shd w:val="clear" w:color="auto" w:fill="auto"/>
          </w:tcPr>
          <w:p w14:paraId="45A2CD98" w14:textId="77777777" w:rsidR="00AD6E24" w:rsidRPr="001C20F6" w:rsidRDefault="00AD6E24" w:rsidP="002736E7">
            <w:pPr>
              <w:spacing w:after="60"/>
              <w:jc w:val="right"/>
              <w:rPr>
                <w:sz w:val="16"/>
                <w:szCs w:val="16"/>
                <w:lang w:val="es-ES"/>
              </w:rPr>
            </w:pPr>
            <w:r w:rsidRPr="001C20F6">
              <w:rPr>
                <w:sz w:val="16"/>
                <w:szCs w:val="16"/>
                <w:lang w:val="es-ES"/>
              </w:rPr>
              <w:t>164.608</w:t>
            </w:r>
          </w:p>
        </w:tc>
      </w:tr>
    </w:tbl>
    <w:p w14:paraId="1012DA25" w14:textId="77777777" w:rsidR="00AD6E24" w:rsidRPr="001C20F6" w:rsidRDefault="00AD6E24" w:rsidP="00AD6E24">
      <w:pPr>
        <w:pStyle w:val="StyleHeader4Para4Left0Firstline0"/>
        <w:numPr>
          <w:ilvl w:val="0"/>
          <w:numId w:val="0"/>
        </w:numPr>
        <w:spacing w:after="0"/>
        <w:jc w:val="center"/>
        <w:rPr>
          <w:sz w:val="16"/>
          <w:szCs w:val="16"/>
          <w:lang w:val="es-ES"/>
        </w:rPr>
      </w:pPr>
    </w:p>
    <w:tbl>
      <w:tblPr>
        <w:tblStyle w:val="TableGrid"/>
        <w:tblW w:w="534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715"/>
        <w:gridCol w:w="720"/>
        <w:gridCol w:w="1411"/>
        <w:gridCol w:w="756"/>
        <w:gridCol w:w="590"/>
        <w:gridCol w:w="763"/>
        <w:gridCol w:w="773"/>
        <w:gridCol w:w="617"/>
        <w:gridCol w:w="773"/>
        <w:gridCol w:w="610"/>
        <w:gridCol w:w="630"/>
        <w:gridCol w:w="770"/>
        <w:gridCol w:w="858"/>
      </w:tblGrid>
      <w:tr w:rsidR="00AD6E24" w:rsidRPr="001C20F6" w14:paraId="4C046FD3" w14:textId="77777777" w:rsidTr="002736E7">
        <w:tc>
          <w:tcPr>
            <w:tcW w:w="2846" w:type="dxa"/>
            <w:gridSpan w:val="3"/>
            <w:shd w:val="clear" w:color="auto" w:fill="auto"/>
          </w:tcPr>
          <w:p w14:paraId="3E47751D" w14:textId="77777777" w:rsidR="00AD6E24" w:rsidRPr="001C20F6" w:rsidRDefault="00AD6E24" w:rsidP="002736E7">
            <w:pPr>
              <w:spacing w:after="60"/>
              <w:jc w:val="left"/>
              <w:rPr>
                <w:b/>
                <w:sz w:val="16"/>
                <w:szCs w:val="16"/>
                <w:lang w:val="es-ES"/>
              </w:rPr>
            </w:pPr>
            <w:r w:rsidRPr="001C20F6">
              <w:rPr>
                <w:b/>
                <w:sz w:val="16"/>
                <w:szCs w:val="16"/>
                <w:lang w:val="es-ES"/>
              </w:rPr>
              <w:t xml:space="preserve"> VI) DATOS DEL PROYECTO</w:t>
            </w:r>
          </w:p>
        </w:tc>
        <w:tc>
          <w:tcPr>
            <w:tcW w:w="756" w:type="dxa"/>
            <w:shd w:val="clear" w:color="auto" w:fill="auto"/>
          </w:tcPr>
          <w:p w14:paraId="5664B1CD" w14:textId="77777777" w:rsidR="00AD6E24" w:rsidRPr="001C20F6" w:rsidRDefault="00AD6E24" w:rsidP="002736E7">
            <w:pPr>
              <w:jc w:val="center"/>
              <w:rPr>
                <w:b/>
                <w:bCs/>
                <w:color w:val="000000"/>
                <w:sz w:val="16"/>
                <w:szCs w:val="16"/>
                <w:lang w:val="es-ES"/>
              </w:rPr>
            </w:pPr>
            <w:r w:rsidRPr="001C20F6">
              <w:rPr>
                <w:b/>
                <w:bCs/>
                <w:color w:val="000000"/>
                <w:sz w:val="16"/>
                <w:szCs w:val="16"/>
                <w:lang w:val="es-ES"/>
              </w:rPr>
              <w:t>2017</w:t>
            </w:r>
          </w:p>
        </w:tc>
        <w:tc>
          <w:tcPr>
            <w:tcW w:w="590" w:type="dxa"/>
            <w:shd w:val="clear" w:color="auto" w:fill="auto"/>
          </w:tcPr>
          <w:p w14:paraId="7005DE43" w14:textId="77777777" w:rsidR="00AD6E24" w:rsidRPr="001C20F6" w:rsidRDefault="00AD6E24" w:rsidP="002736E7">
            <w:pPr>
              <w:jc w:val="center"/>
              <w:rPr>
                <w:b/>
                <w:bCs/>
                <w:color w:val="000000"/>
                <w:sz w:val="16"/>
                <w:szCs w:val="16"/>
                <w:lang w:val="es-ES"/>
              </w:rPr>
            </w:pPr>
            <w:r w:rsidRPr="001C20F6">
              <w:rPr>
                <w:b/>
                <w:bCs/>
                <w:color w:val="000000"/>
                <w:sz w:val="16"/>
                <w:szCs w:val="16"/>
                <w:lang w:val="es-ES"/>
              </w:rPr>
              <w:t>2018</w:t>
            </w:r>
          </w:p>
        </w:tc>
        <w:tc>
          <w:tcPr>
            <w:tcW w:w="763" w:type="dxa"/>
            <w:shd w:val="clear" w:color="auto" w:fill="auto"/>
          </w:tcPr>
          <w:p w14:paraId="2C2C938C" w14:textId="77777777" w:rsidR="00AD6E24" w:rsidRPr="001C20F6" w:rsidRDefault="00AD6E24" w:rsidP="002736E7">
            <w:pPr>
              <w:jc w:val="center"/>
              <w:rPr>
                <w:b/>
                <w:bCs/>
                <w:color w:val="000000"/>
                <w:sz w:val="16"/>
                <w:szCs w:val="16"/>
                <w:lang w:val="es-ES"/>
              </w:rPr>
            </w:pPr>
            <w:r w:rsidRPr="001C20F6">
              <w:rPr>
                <w:b/>
                <w:bCs/>
                <w:color w:val="000000"/>
                <w:sz w:val="16"/>
                <w:szCs w:val="16"/>
                <w:lang w:val="es-ES"/>
              </w:rPr>
              <w:t>2019</w:t>
            </w:r>
          </w:p>
        </w:tc>
        <w:tc>
          <w:tcPr>
            <w:tcW w:w="773" w:type="dxa"/>
            <w:shd w:val="clear" w:color="auto" w:fill="auto"/>
          </w:tcPr>
          <w:p w14:paraId="45252838" w14:textId="77777777" w:rsidR="00AD6E24" w:rsidRPr="001C20F6" w:rsidRDefault="00AD6E24" w:rsidP="002736E7">
            <w:pPr>
              <w:jc w:val="center"/>
              <w:rPr>
                <w:b/>
                <w:bCs/>
                <w:color w:val="000000"/>
                <w:sz w:val="16"/>
                <w:szCs w:val="16"/>
                <w:lang w:val="es-ES"/>
              </w:rPr>
            </w:pPr>
            <w:r w:rsidRPr="001C20F6">
              <w:rPr>
                <w:b/>
                <w:bCs/>
                <w:color w:val="000000"/>
                <w:sz w:val="16"/>
                <w:szCs w:val="16"/>
                <w:lang w:val="es-ES"/>
              </w:rPr>
              <w:t>2020*</w:t>
            </w:r>
          </w:p>
        </w:tc>
        <w:tc>
          <w:tcPr>
            <w:tcW w:w="617" w:type="dxa"/>
            <w:shd w:val="clear" w:color="auto" w:fill="auto"/>
          </w:tcPr>
          <w:p w14:paraId="3D84B553" w14:textId="77777777" w:rsidR="00AD6E24" w:rsidRPr="001C20F6" w:rsidRDefault="00AD6E24" w:rsidP="002736E7">
            <w:pPr>
              <w:jc w:val="center"/>
              <w:rPr>
                <w:b/>
                <w:bCs/>
                <w:color w:val="000000"/>
                <w:sz w:val="16"/>
                <w:szCs w:val="16"/>
                <w:lang w:val="es-ES"/>
              </w:rPr>
            </w:pPr>
            <w:r w:rsidRPr="001C20F6">
              <w:rPr>
                <w:b/>
                <w:bCs/>
                <w:color w:val="000000"/>
                <w:sz w:val="16"/>
                <w:szCs w:val="16"/>
                <w:lang w:val="es-ES"/>
              </w:rPr>
              <w:t>2021</w:t>
            </w:r>
          </w:p>
        </w:tc>
        <w:tc>
          <w:tcPr>
            <w:tcW w:w="773" w:type="dxa"/>
            <w:shd w:val="clear" w:color="auto" w:fill="auto"/>
          </w:tcPr>
          <w:p w14:paraId="272D07D9" w14:textId="77777777" w:rsidR="00AD6E24" w:rsidRPr="001C20F6" w:rsidRDefault="00AD6E24" w:rsidP="002736E7">
            <w:pPr>
              <w:jc w:val="center"/>
              <w:rPr>
                <w:b/>
                <w:bCs/>
                <w:color w:val="000000"/>
                <w:sz w:val="16"/>
                <w:szCs w:val="16"/>
                <w:lang w:val="es-ES"/>
              </w:rPr>
            </w:pPr>
            <w:r w:rsidRPr="001C20F6">
              <w:rPr>
                <w:b/>
                <w:bCs/>
                <w:color w:val="000000"/>
                <w:sz w:val="16"/>
                <w:szCs w:val="16"/>
                <w:lang w:val="es-ES"/>
              </w:rPr>
              <w:t>2022</w:t>
            </w:r>
          </w:p>
        </w:tc>
        <w:tc>
          <w:tcPr>
            <w:tcW w:w="610" w:type="dxa"/>
            <w:shd w:val="clear" w:color="auto" w:fill="auto"/>
          </w:tcPr>
          <w:p w14:paraId="0592C961" w14:textId="77777777" w:rsidR="00AD6E24" w:rsidRPr="001C20F6" w:rsidRDefault="00AD6E24" w:rsidP="002736E7">
            <w:pPr>
              <w:jc w:val="center"/>
              <w:rPr>
                <w:b/>
                <w:bCs/>
                <w:color w:val="000000"/>
                <w:sz w:val="16"/>
                <w:szCs w:val="16"/>
                <w:lang w:val="es-ES"/>
              </w:rPr>
            </w:pPr>
            <w:r w:rsidRPr="001C20F6">
              <w:rPr>
                <w:b/>
                <w:bCs/>
                <w:color w:val="000000"/>
                <w:sz w:val="16"/>
                <w:szCs w:val="16"/>
                <w:lang w:val="es-ES"/>
              </w:rPr>
              <w:t>2023</w:t>
            </w:r>
          </w:p>
        </w:tc>
        <w:tc>
          <w:tcPr>
            <w:tcW w:w="630" w:type="dxa"/>
            <w:shd w:val="clear" w:color="auto" w:fill="auto"/>
          </w:tcPr>
          <w:p w14:paraId="6B4454E5" w14:textId="77777777" w:rsidR="00AD6E24" w:rsidRPr="001C20F6" w:rsidRDefault="00AD6E24" w:rsidP="002736E7">
            <w:pPr>
              <w:jc w:val="center"/>
              <w:rPr>
                <w:b/>
                <w:bCs/>
                <w:color w:val="000000"/>
                <w:sz w:val="16"/>
                <w:szCs w:val="16"/>
                <w:lang w:val="es-ES"/>
              </w:rPr>
            </w:pPr>
            <w:r w:rsidRPr="001C20F6">
              <w:rPr>
                <w:b/>
                <w:bCs/>
                <w:color w:val="000000"/>
                <w:sz w:val="16"/>
                <w:szCs w:val="16"/>
                <w:lang w:val="es-ES"/>
              </w:rPr>
              <w:t>2024</w:t>
            </w:r>
          </w:p>
        </w:tc>
        <w:tc>
          <w:tcPr>
            <w:tcW w:w="770" w:type="dxa"/>
            <w:shd w:val="clear" w:color="auto" w:fill="auto"/>
          </w:tcPr>
          <w:p w14:paraId="3779BA0C" w14:textId="77777777" w:rsidR="00AD6E24" w:rsidRPr="001C20F6" w:rsidRDefault="00AD6E24" w:rsidP="002736E7">
            <w:pPr>
              <w:jc w:val="center"/>
              <w:rPr>
                <w:b/>
                <w:bCs/>
                <w:color w:val="000000"/>
                <w:sz w:val="16"/>
                <w:szCs w:val="16"/>
                <w:lang w:val="es-ES"/>
              </w:rPr>
            </w:pPr>
            <w:r w:rsidRPr="001C20F6">
              <w:rPr>
                <w:b/>
                <w:bCs/>
                <w:color w:val="000000"/>
                <w:sz w:val="16"/>
                <w:szCs w:val="16"/>
                <w:lang w:val="es-ES"/>
              </w:rPr>
              <w:t>2025</w:t>
            </w:r>
          </w:p>
        </w:tc>
        <w:tc>
          <w:tcPr>
            <w:tcW w:w="858" w:type="dxa"/>
            <w:shd w:val="clear" w:color="auto" w:fill="auto"/>
          </w:tcPr>
          <w:p w14:paraId="53E324B7" w14:textId="77777777" w:rsidR="00AD6E24" w:rsidRPr="001C20F6" w:rsidRDefault="00AD6E24" w:rsidP="002736E7">
            <w:pPr>
              <w:spacing w:after="60"/>
              <w:jc w:val="center"/>
              <w:rPr>
                <w:b/>
                <w:sz w:val="16"/>
                <w:szCs w:val="16"/>
                <w:lang w:val="es-ES"/>
              </w:rPr>
            </w:pPr>
            <w:r w:rsidRPr="001C20F6">
              <w:rPr>
                <w:b/>
                <w:sz w:val="16"/>
                <w:szCs w:val="16"/>
                <w:lang w:val="es-ES"/>
              </w:rPr>
              <w:t>Total</w:t>
            </w:r>
          </w:p>
        </w:tc>
      </w:tr>
      <w:tr w:rsidR="00AD6E24" w:rsidRPr="001C20F6" w14:paraId="1E691B84" w14:textId="77777777" w:rsidTr="002736E7">
        <w:tc>
          <w:tcPr>
            <w:tcW w:w="2846" w:type="dxa"/>
            <w:gridSpan w:val="3"/>
            <w:shd w:val="clear" w:color="auto" w:fill="auto"/>
          </w:tcPr>
          <w:p w14:paraId="6142C858" w14:textId="77777777" w:rsidR="00AD6E24" w:rsidRPr="001C20F6" w:rsidRDefault="00AD6E24" w:rsidP="002736E7">
            <w:pPr>
              <w:spacing w:after="60"/>
              <w:jc w:val="left"/>
              <w:rPr>
                <w:sz w:val="16"/>
                <w:szCs w:val="16"/>
                <w:lang w:val="es-ES"/>
              </w:rPr>
            </w:pPr>
            <w:r w:rsidRPr="001C20F6">
              <w:rPr>
                <w:sz w:val="16"/>
                <w:szCs w:val="16"/>
                <w:lang w:val="es-ES"/>
              </w:rPr>
              <w:t>Límites de consumo establecidos en el Protocolo de Montreal</w:t>
            </w:r>
          </w:p>
        </w:tc>
        <w:tc>
          <w:tcPr>
            <w:tcW w:w="756" w:type="dxa"/>
          </w:tcPr>
          <w:p w14:paraId="5A0CB7E0" w14:textId="77777777" w:rsidR="00AD6E24" w:rsidRPr="001C20F6" w:rsidRDefault="00AD6E24" w:rsidP="002736E7">
            <w:pPr>
              <w:jc w:val="right"/>
              <w:rPr>
                <w:color w:val="000000"/>
                <w:sz w:val="16"/>
                <w:szCs w:val="16"/>
                <w:lang w:val="es-ES"/>
              </w:rPr>
            </w:pPr>
            <w:r w:rsidRPr="001C20F6">
              <w:rPr>
                <w:color w:val="000000"/>
                <w:sz w:val="16"/>
                <w:szCs w:val="16"/>
                <w:lang w:val="es-ES"/>
              </w:rPr>
              <w:t>24,19</w:t>
            </w:r>
          </w:p>
        </w:tc>
        <w:tc>
          <w:tcPr>
            <w:tcW w:w="590" w:type="dxa"/>
          </w:tcPr>
          <w:p w14:paraId="34F6F966" w14:textId="77777777" w:rsidR="00AD6E24" w:rsidRPr="001C20F6" w:rsidRDefault="00AD6E24" w:rsidP="002736E7">
            <w:pPr>
              <w:jc w:val="right"/>
              <w:rPr>
                <w:color w:val="000000"/>
                <w:sz w:val="16"/>
                <w:szCs w:val="16"/>
                <w:lang w:val="es-ES"/>
              </w:rPr>
            </w:pPr>
            <w:r w:rsidRPr="001C20F6">
              <w:rPr>
                <w:color w:val="000000"/>
                <w:sz w:val="16"/>
                <w:szCs w:val="16"/>
                <w:lang w:val="es-ES"/>
              </w:rPr>
              <w:t>24,19</w:t>
            </w:r>
          </w:p>
        </w:tc>
        <w:tc>
          <w:tcPr>
            <w:tcW w:w="763" w:type="dxa"/>
          </w:tcPr>
          <w:p w14:paraId="01CA7C8D" w14:textId="77777777" w:rsidR="00AD6E24" w:rsidRPr="001C20F6" w:rsidRDefault="00AD6E24" w:rsidP="002736E7">
            <w:pPr>
              <w:jc w:val="right"/>
              <w:rPr>
                <w:color w:val="000000"/>
                <w:sz w:val="16"/>
                <w:szCs w:val="16"/>
                <w:lang w:val="es-ES"/>
              </w:rPr>
            </w:pPr>
            <w:r w:rsidRPr="001C20F6">
              <w:rPr>
                <w:color w:val="000000"/>
                <w:sz w:val="16"/>
                <w:szCs w:val="16"/>
                <w:lang w:val="es-ES"/>
              </w:rPr>
              <w:t>24,19</w:t>
            </w:r>
          </w:p>
        </w:tc>
        <w:tc>
          <w:tcPr>
            <w:tcW w:w="773" w:type="dxa"/>
          </w:tcPr>
          <w:p w14:paraId="5018CD11"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617" w:type="dxa"/>
            <w:shd w:val="clear" w:color="auto" w:fill="auto"/>
          </w:tcPr>
          <w:p w14:paraId="627FE695"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773" w:type="dxa"/>
          </w:tcPr>
          <w:p w14:paraId="5FBDD810"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610" w:type="dxa"/>
            <w:shd w:val="clear" w:color="auto" w:fill="auto"/>
          </w:tcPr>
          <w:p w14:paraId="1116DA46"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630" w:type="dxa"/>
            <w:shd w:val="clear" w:color="auto" w:fill="auto"/>
          </w:tcPr>
          <w:p w14:paraId="34C05798"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770" w:type="dxa"/>
            <w:shd w:val="clear" w:color="auto" w:fill="auto"/>
          </w:tcPr>
          <w:p w14:paraId="51ED237B" w14:textId="77777777" w:rsidR="00AD6E24" w:rsidRPr="001C20F6" w:rsidRDefault="00AD6E24" w:rsidP="002736E7">
            <w:pPr>
              <w:jc w:val="right"/>
              <w:rPr>
                <w:color w:val="000000"/>
                <w:sz w:val="16"/>
                <w:szCs w:val="16"/>
                <w:lang w:val="es-ES"/>
              </w:rPr>
            </w:pPr>
            <w:r w:rsidRPr="001C20F6">
              <w:rPr>
                <w:color w:val="000000"/>
                <w:sz w:val="16"/>
                <w:szCs w:val="16"/>
                <w:lang w:val="es-ES"/>
              </w:rPr>
              <w:t>8,74</w:t>
            </w:r>
          </w:p>
        </w:tc>
        <w:tc>
          <w:tcPr>
            <w:tcW w:w="858" w:type="dxa"/>
            <w:shd w:val="clear" w:color="auto" w:fill="auto"/>
          </w:tcPr>
          <w:p w14:paraId="1177078B" w14:textId="77777777" w:rsidR="00AD6E24" w:rsidRPr="001C20F6" w:rsidRDefault="00AD6E24" w:rsidP="002736E7">
            <w:pPr>
              <w:jc w:val="right"/>
              <w:rPr>
                <w:color w:val="000000"/>
                <w:sz w:val="16"/>
                <w:szCs w:val="16"/>
                <w:lang w:val="es-ES"/>
              </w:rPr>
            </w:pPr>
            <w:r w:rsidRPr="001C20F6">
              <w:rPr>
                <w:color w:val="000000"/>
                <w:sz w:val="16"/>
                <w:szCs w:val="16"/>
                <w:lang w:val="es-ES"/>
              </w:rPr>
              <w:t>nc</w:t>
            </w:r>
          </w:p>
        </w:tc>
      </w:tr>
      <w:tr w:rsidR="00AD6E24" w:rsidRPr="001C20F6" w14:paraId="584BC53E" w14:textId="77777777" w:rsidTr="002736E7">
        <w:tc>
          <w:tcPr>
            <w:tcW w:w="2846" w:type="dxa"/>
            <w:gridSpan w:val="3"/>
            <w:shd w:val="clear" w:color="auto" w:fill="auto"/>
          </w:tcPr>
          <w:p w14:paraId="41515D63" w14:textId="77777777" w:rsidR="00AD6E24" w:rsidRPr="001C20F6" w:rsidRDefault="00AD6E24" w:rsidP="002736E7">
            <w:pPr>
              <w:spacing w:after="60"/>
              <w:jc w:val="left"/>
              <w:rPr>
                <w:sz w:val="16"/>
                <w:szCs w:val="16"/>
                <w:lang w:val="es-ES"/>
              </w:rPr>
            </w:pPr>
            <w:r w:rsidRPr="001C20F6">
              <w:rPr>
                <w:sz w:val="16"/>
                <w:szCs w:val="16"/>
                <w:lang w:val="es-ES"/>
              </w:rPr>
              <w:t>Consumo máximo permitido (toneladas PAO)</w:t>
            </w:r>
          </w:p>
        </w:tc>
        <w:tc>
          <w:tcPr>
            <w:tcW w:w="756" w:type="dxa"/>
          </w:tcPr>
          <w:p w14:paraId="69786EE9" w14:textId="77777777" w:rsidR="00AD6E24" w:rsidRPr="001C20F6" w:rsidRDefault="00AD6E24" w:rsidP="002736E7">
            <w:pPr>
              <w:jc w:val="right"/>
              <w:rPr>
                <w:color w:val="000000"/>
                <w:sz w:val="16"/>
                <w:szCs w:val="16"/>
                <w:lang w:val="es-ES"/>
              </w:rPr>
            </w:pPr>
            <w:r w:rsidRPr="001C20F6">
              <w:rPr>
                <w:color w:val="000000"/>
                <w:sz w:val="16"/>
                <w:szCs w:val="16"/>
                <w:lang w:val="es-ES"/>
              </w:rPr>
              <w:t>24,19</w:t>
            </w:r>
          </w:p>
        </w:tc>
        <w:tc>
          <w:tcPr>
            <w:tcW w:w="590" w:type="dxa"/>
          </w:tcPr>
          <w:p w14:paraId="4C43D994" w14:textId="77777777" w:rsidR="00AD6E24" w:rsidRPr="001C20F6" w:rsidRDefault="00AD6E24" w:rsidP="002736E7">
            <w:pPr>
              <w:jc w:val="right"/>
              <w:rPr>
                <w:color w:val="000000"/>
                <w:sz w:val="16"/>
                <w:szCs w:val="16"/>
                <w:lang w:val="es-ES"/>
              </w:rPr>
            </w:pPr>
            <w:r w:rsidRPr="001C20F6">
              <w:rPr>
                <w:color w:val="000000"/>
                <w:sz w:val="16"/>
                <w:szCs w:val="16"/>
                <w:lang w:val="es-ES"/>
              </w:rPr>
              <w:t>24,19</w:t>
            </w:r>
          </w:p>
        </w:tc>
        <w:tc>
          <w:tcPr>
            <w:tcW w:w="763" w:type="dxa"/>
          </w:tcPr>
          <w:p w14:paraId="61FEE30C" w14:textId="77777777" w:rsidR="00AD6E24" w:rsidRPr="001C20F6" w:rsidRDefault="00AD6E24" w:rsidP="002736E7">
            <w:pPr>
              <w:jc w:val="right"/>
              <w:rPr>
                <w:color w:val="000000"/>
                <w:sz w:val="16"/>
                <w:szCs w:val="16"/>
                <w:lang w:val="es-ES"/>
              </w:rPr>
            </w:pPr>
            <w:r w:rsidRPr="001C20F6">
              <w:rPr>
                <w:color w:val="000000"/>
                <w:sz w:val="16"/>
                <w:szCs w:val="16"/>
                <w:lang w:val="es-ES"/>
              </w:rPr>
              <w:t>24,19</w:t>
            </w:r>
          </w:p>
        </w:tc>
        <w:tc>
          <w:tcPr>
            <w:tcW w:w="773" w:type="dxa"/>
          </w:tcPr>
          <w:p w14:paraId="0A592CDD"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617" w:type="dxa"/>
            <w:shd w:val="clear" w:color="auto" w:fill="auto"/>
          </w:tcPr>
          <w:p w14:paraId="1A1AC42C"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773" w:type="dxa"/>
          </w:tcPr>
          <w:p w14:paraId="0FE49412"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610" w:type="dxa"/>
            <w:shd w:val="clear" w:color="auto" w:fill="auto"/>
          </w:tcPr>
          <w:p w14:paraId="4F111FF9"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630" w:type="dxa"/>
            <w:shd w:val="clear" w:color="auto" w:fill="auto"/>
          </w:tcPr>
          <w:p w14:paraId="5F047E74" w14:textId="77777777" w:rsidR="00AD6E24" w:rsidRPr="001C20F6" w:rsidRDefault="00AD6E24" w:rsidP="002736E7">
            <w:pPr>
              <w:jc w:val="right"/>
              <w:rPr>
                <w:color w:val="000000"/>
                <w:sz w:val="16"/>
                <w:szCs w:val="16"/>
                <w:lang w:val="es-ES"/>
              </w:rPr>
            </w:pPr>
            <w:r w:rsidRPr="001C20F6">
              <w:rPr>
                <w:color w:val="000000"/>
                <w:sz w:val="16"/>
                <w:szCs w:val="16"/>
                <w:lang w:val="es-ES"/>
              </w:rPr>
              <w:t>17,47</w:t>
            </w:r>
          </w:p>
        </w:tc>
        <w:tc>
          <w:tcPr>
            <w:tcW w:w="770" w:type="dxa"/>
            <w:shd w:val="clear" w:color="auto" w:fill="auto"/>
          </w:tcPr>
          <w:p w14:paraId="4A7410AA" w14:textId="77777777" w:rsidR="00AD6E24" w:rsidRPr="001C20F6" w:rsidRDefault="00AD6E24" w:rsidP="002736E7">
            <w:pPr>
              <w:jc w:val="right"/>
              <w:rPr>
                <w:color w:val="000000"/>
                <w:sz w:val="16"/>
                <w:szCs w:val="16"/>
                <w:lang w:val="es-ES"/>
              </w:rPr>
            </w:pPr>
            <w:r w:rsidRPr="001C20F6">
              <w:rPr>
                <w:color w:val="000000"/>
                <w:sz w:val="16"/>
                <w:szCs w:val="16"/>
                <w:lang w:val="es-ES"/>
              </w:rPr>
              <w:t>8,74</w:t>
            </w:r>
          </w:p>
        </w:tc>
        <w:tc>
          <w:tcPr>
            <w:tcW w:w="858" w:type="dxa"/>
            <w:shd w:val="clear" w:color="auto" w:fill="auto"/>
          </w:tcPr>
          <w:p w14:paraId="61B03281" w14:textId="77777777" w:rsidR="00AD6E24" w:rsidRPr="001C20F6" w:rsidRDefault="00AD6E24" w:rsidP="002736E7">
            <w:pPr>
              <w:jc w:val="right"/>
              <w:rPr>
                <w:color w:val="000000"/>
                <w:sz w:val="16"/>
                <w:szCs w:val="16"/>
                <w:lang w:val="es-ES"/>
              </w:rPr>
            </w:pPr>
            <w:r w:rsidRPr="001C20F6">
              <w:rPr>
                <w:color w:val="000000"/>
                <w:sz w:val="16"/>
                <w:szCs w:val="16"/>
                <w:lang w:val="es-ES"/>
              </w:rPr>
              <w:t>nc</w:t>
            </w:r>
          </w:p>
          <w:p w14:paraId="3F8E7C85" w14:textId="77777777" w:rsidR="00AD6E24" w:rsidRPr="001C20F6" w:rsidRDefault="00AD6E24" w:rsidP="002736E7">
            <w:pPr>
              <w:rPr>
                <w:sz w:val="16"/>
                <w:szCs w:val="16"/>
                <w:lang w:val="es-ES" w:bidi="th-TH"/>
              </w:rPr>
            </w:pPr>
          </w:p>
        </w:tc>
      </w:tr>
      <w:tr w:rsidR="00AD6E24" w:rsidRPr="001C20F6" w14:paraId="658130DE" w14:textId="77777777" w:rsidTr="002736E7">
        <w:tc>
          <w:tcPr>
            <w:tcW w:w="715" w:type="dxa"/>
            <w:vMerge w:val="restart"/>
            <w:shd w:val="clear" w:color="auto" w:fill="auto"/>
          </w:tcPr>
          <w:p w14:paraId="6DDACDF0" w14:textId="77777777" w:rsidR="00AD6E24" w:rsidRPr="001C20F6" w:rsidRDefault="00AD6E24" w:rsidP="002736E7">
            <w:pPr>
              <w:spacing w:after="60"/>
              <w:jc w:val="left"/>
              <w:rPr>
                <w:sz w:val="16"/>
                <w:szCs w:val="16"/>
                <w:lang w:val="es-ES"/>
              </w:rPr>
            </w:pPr>
            <w:r w:rsidRPr="001C20F6">
              <w:rPr>
                <w:sz w:val="16"/>
                <w:szCs w:val="16"/>
                <w:lang w:val="es-ES"/>
              </w:rPr>
              <w:t>Financiación acordada ($EUA)</w:t>
            </w:r>
          </w:p>
        </w:tc>
        <w:tc>
          <w:tcPr>
            <w:tcW w:w="720" w:type="dxa"/>
            <w:vMerge w:val="restart"/>
            <w:vAlign w:val="center"/>
          </w:tcPr>
          <w:p w14:paraId="7E1B5809" w14:textId="77777777" w:rsidR="00AD6E24" w:rsidRPr="001C20F6" w:rsidRDefault="00AD6E24" w:rsidP="002736E7">
            <w:pPr>
              <w:jc w:val="right"/>
              <w:rPr>
                <w:color w:val="000000"/>
                <w:sz w:val="16"/>
                <w:szCs w:val="16"/>
                <w:lang w:val="es-ES"/>
              </w:rPr>
            </w:pPr>
            <w:r w:rsidRPr="001C20F6">
              <w:rPr>
                <w:color w:val="000000"/>
                <w:sz w:val="16"/>
                <w:szCs w:val="16"/>
                <w:lang w:val="es-ES"/>
              </w:rPr>
              <w:t>PNUD</w:t>
            </w:r>
          </w:p>
        </w:tc>
        <w:tc>
          <w:tcPr>
            <w:tcW w:w="1411" w:type="dxa"/>
            <w:shd w:val="clear" w:color="auto" w:fill="auto"/>
          </w:tcPr>
          <w:p w14:paraId="7A0D482D" w14:textId="77777777" w:rsidR="00AD6E24" w:rsidRPr="001C20F6" w:rsidRDefault="00AD6E24" w:rsidP="002736E7">
            <w:pPr>
              <w:spacing w:after="60"/>
              <w:jc w:val="left"/>
              <w:rPr>
                <w:sz w:val="16"/>
                <w:szCs w:val="16"/>
                <w:lang w:val="es-ES"/>
              </w:rPr>
            </w:pPr>
            <w:r w:rsidRPr="001C20F6">
              <w:rPr>
                <w:sz w:val="16"/>
                <w:szCs w:val="16"/>
                <w:lang w:val="es-ES"/>
              </w:rPr>
              <w:t>Costos del proyecto</w:t>
            </w:r>
          </w:p>
        </w:tc>
        <w:tc>
          <w:tcPr>
            <w:tcW w:w="756" w:type="dxa"/>
          </w:tcPr>
          <w:p w14:paraId="6A96F0BD" w14:textId="77777777" w:rsidR="00AD6E24" w:rsidRPr="001C20F6" w:rsidRDefault="00AD6E24" w:rsidP="002736E7">
            <w:pPr>
              <w:jc w:val="right"/>
              <w:rPr>
                <w:color w:val="000000"/>
                <w:sz w:val="16"/>
                <w:szCs w:val="16"/>
                <w:lang w:val="es-ES"/>
              </w:rPr>
            </w:pPr>
            <w:r w:rsidRPr="001C20F6">
              <w:rPr>
                <w:color w:val="000000"/>
                <w:sz w:val="16"/>
                <w:szCs w:val="16"/>
                <w:lang w:val="es-ES"/>
              </w:rPr>
              <w:t>350.100</w:t>
            </w:r>
          </w:p>
        </w:tc>
        <w:tc>
          <w:tcPr>
            <w:tcW w:w="590" w:type="dxa"/>
            <w:shd w:val="clear" w:color="auto" w:fill="auto"/>
          </w:tcPr>
          <w:p w14:paraId="3B9E6F62"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63" w:type="dxa"/>
          </w:tcPr>
          <w:p w14:paraId="4823CB95" w14:textId="77777777" w:rsidR="00AD6E24" w:rsidRPr="001C20F6" w:rsidRDefault="00AD6E24" w:rsidP="002736E7">
            <w:pPr>
              <w:jc w:val="right"/>
              <w:rPr>
                <w:color w:val="000000"/>
                <w:sz w:val="16"/>
                <w:szCs w:val="16"/>
                <w:lang w:val="es-ES"/>
              </w:rPr>
            </w:pPr>
            <w:bookmarkStart w:id="0" w:name="_Hlk33191288"/>
            <w:r w:rsidRPr="001C20F6">
              <w:rPr>
                <w:color w:val="000000"/>
                <w:sz w:val="16"/>
                <w:szCs w:val="16"/>
                <w:lang w:val="es-ES"/>
              </w:rPr>
              <w:t>233.400</w:t>
            </w:r>
            <w:bookmarkEnd w:id="0"/>
          </w:p>
        </w:tc>
        <w:tc>
          <w:tcPr>
            <w:tcW w:w="773" w:type="dxa"/>
          </w:tcPr>
          <w:p w14:paraId="2045E9D3"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17" w:type="dxa"/>
            <w:shd w:val="clear" w:color="auto" w:fill="auto"/>
          </w:tcPr>
          <w:p w14:paraId="3527FD33"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3" w:type="dxa"/>
            <w:shd w:val="clear" w:color="auto" w:fill="auto"/>
          </w:tcPr>
          <w:p w14:paraId="5A29542F" w14:textId="77777777" w:rsidR="00AD6E24" w:rsidRPr="001C20F6" w:rsidRDefault="00AD6E24" w:rsidP="002736E7">
            <w:pPr>
              <w:jc w:val="right"/>
              <w:rPr>
                <w:color w:val="000000"/>
                <w:sz w:val="16"/>
                <w:szCs w:val="16"/>
                <w:lang w:val="es-ES"/>
              </w:rPr>
            </w:pPr>
            <w:r w:rsidRPr="001C20F6">
              <w:rPr>
                <w:color w:val="000000"/>
                <w:sz w:val="16"/>
                <w:szCs w:val="16"/>
                <w:lang w:val="es-ES"/>
              </w:rPr>
              <w:t>466.800</w:t>
            </w:r>
          </w:p>
        </w:tc>
        <w:tc>
          <w:tcPr>
            <w:tcW w:w="610" w:type="dxa"/>
            <w:shd w:val="clear" w:color="auto" w:fill="auto"/>
          </w:tcPr>
          <w:p w14:paraId="7E8F73ED" w14:textId="77777777" w:rsidR="00AD6E24" w:rsidRPr="001C20F6" w:rsidRDefault="00AD6E24" w:rsidP="002736E7">
            <w:pPr>
              <w:jc w:val="right"/>
              <w:rPr>
                <w:color w:val="000000"/>
                <w:sz w:val="16"/>
                <w:szCs w:val="16"/>
                <w:highlight w:val="darkYellow"/>
                <w:lang w:val="es-ES"/>
              </w:rPr>
            </w:pPr>
            <w:r w:rsidRPr="001C20F6">
              <w:rPr>
                <w:color w:val="000000"/>
                <w:sz w:val="16"/>
                <w:szCs w:val="16"/>
                <w:lang w:val="es-ES"/>
              </w:rPr>
              <w:t>0</w:t>
            </w:r>
          </w:p>
        </w:tc>
        <w:tc>
          <w:tcPr>
            <w:tcW w:w="630" w:type="dxa"/>
            <w:shd w:val="clear" w:color="auto" w:fill="auto"/>
          </w:tcPr>
          <w:p w14:paraId="605F37AB"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0" w:type="dxa"/>
            <w:shd w:val="clear" w:color="auto" w:fill="auto"/>
          </w:tcPr>
          <w:p w14:paraId="3FE77C9A" w14:textId="77777777" w:rsidR="00AD6E24" w:rsidRPr="001C20F6" w:rsidRDefault="00AD6E24" w:rsidP="002736E7">
            <w:pPr>
              <w:jc w:val="right"/>
              <w:rPr>
                <w:color w:val="000000"/>
                <w:sz w:val="16"/>
                <w:szCs w:val="16"/>
                <w:lang w:val="es-ES"/>
              </w:rPr>
            </w:pPr>
            <w:r w:rsidRPr="001C20F6">
              <w:rPr>
                <w:color w:val="000000"/>
                <w:sz w:val="16"/>
                <w:szCs w:val="16"/>
                <w:lang w:val="es-ES"/>
              </w:rPr>
              <w:t>116.700</w:t>
            </w:r>
          </w:p>
        </w:tc>
        <w:tc>
          <w:tcPr>
            <w:tcW w:w="858" w:type="dxa"/>
          </w:tcPr>
          <w:p w14:paraId="2EA405D9" w14:textId="77777777" w:rsidR="00AD6E24" w:rsidRPr="001C20F6" w:rsidRDefault="00AD6E24" w:rsidP="002736E7">
            <w:pPr>
              <w:jc w:val="right"/>
              <w:rPr>
                <w:color w:val="000000"/>
                <w:sz w:val="16"/>
                <w:szCs w:val="16"/>
                <w:lang w:val="es-ES"/>
              </w:rPr>
            </w:pPr>
            <w:r w:rsidRPr="001C20F6">
              <w:rPr>
                <w:color w:val="000000"/>
                <w:sz w:val="16"/>
                <w:szCs w:val="16"/>
                <w:lang w:val="es-ES"/>
              </w:rPr>
              <w:t>1.167.000</w:t>
            </w:r>
          </w:p>
        </w:tc>
      </w:tr>
      <w:tr w:rsidR="00AD6E24" w:rsidRPr="001C20F6" w14:paraId="3AB6F20D" w14:textId="77777777" w:rsidTr="002736E7">
        <w:tc>
          <w:tcPr>
            <w:tcW w:w="715" w:type="dxa"/>
            <w:vMerge/>
            <w:shd w:val="clear" w:color="auto" w:fill="auto"/>
          </w:tcPr>
          <w:p w14:paraId="283CA917" w14:textId="77777777" w:rsidR="00AD6E24" w:rsidRPr="001C20F6" w:rsidRDefault="00AD6E24" w:rsidP="002736E7">
            <w:pPr>
              <w:spacing w:after="60"/>
              <w:jc w:val="center"/>
              <w:rPr>
                <w:sz w:val="16"/>
                <w:szCs w:val="16"/>
                <w:lang w:val="es-ES"/>
              </w:rPr>
            </w:pPr>
          </w:p>
        </w:tc>
        <w:tc>
          <w:tcPr>
            <w:tcW w:w="720" w:type="dxa"/>
            <w:vMerge/>
            <w:vAlign w:val="center"/>
          </w:tcPr>
          <w:p w14:paraId="3A2F952C" w14:textId="77777777" w:rsidR="00AD6E24" w:rsidRPr="001C20F6" w:rsidRDefault="00AD6E24" w:rsidP="002736E7">
            <w:pPr>
              <w:spacing w:after="60"/>
              <w:jc w:val="center"/>
              <w:rPr>
                <w:sz w:val="16"/>
                <w:szCs w:val="16"/>
                <w:lang w:val="es-ES"/>
              </w:rPr>
            </w:pPr>
          </w:p>
        </w:tc>
        <w:tc>
          <w:tcPr>
            <w:tcW w:w="1411" w:type="dxa"/>
            <w:shd w:val="clear" w:color="auto" w:fill="auto"/>
          </w:tcPr>
          <w:p w14:paraId="4E7A8D34" w14:textId="77777777" w:rsidR="00AD6E24" w:rsidRPr="001C20F6" w:rsidRDefault="00AD6E24" w:rsidP="002736E7">
            <w:pPr>
              <w:spacing w:after="60"/>
              <w:jc w:val="left"/>
              <w:rPr>
                <w:sz w:val="16"/>
                <w:szCs w:val="16"/>
                <w:lang w:val="es-ES"/>
              </w:rPr>
            </w:pPr>
            <w:r w:rsidRPr="001C20F6">
              <w:rPr>
                <w:sz w:val="16"/>
                <w:szCs w:val="16"/>
                <w:lang w:val="es-ES"/>
              </w:rPr>
              <w:t>Gastos de apoyo</w:t>
            </w:r>
          </w:p>
        </w:tc>
        <w:tc>
          <w:tcPr>
            <w:tcW w:w="756" w:type="dxa"/>
          </w:tcPr>
          <w:p w14:paraId="4E87E406" w14:textId="77777777" w:rsidR="00AD6E24" w:rsidRPr="001C20F6" w:rsidRDefault="00AD6E24" w:rsidP="002736E7">
            <w:pPr>
              <w:spacing w:after="60"/>
              <w:jc w:val="right"/>
              <w:rPr>
                <w:sz w:val="16"/>
                <w:szCs w:val="16"/>
                <w:lang w:val="es-ES"/>
              </w:rPr>
            </w:pPr>
            <w:r w:rsidRPr="001C20F6">
              <w:rPr>
                <w:color w:val="000000"/>
                <w:sz w:val="16"/>
                <w:szCs w:val="16"/>
                <w:lang w:val="es-ES"/>
              </w:rPr>
              <w:t>24.507</w:t>
            </w:r>
          </w:p>
        </w:tc>
        <w:tc>
          <w:tcPr>
            <w:tcW w:w="590" w:type="dxa"/>
            <w:shd w:val="clear" w:color="auto" w:fill="auto"/>
          </w:tcPr>
          <w:p w14:paraId="4E4395BE"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63" w:type="dxa"/>
          </w:tcPr>
          <w:p w14:paraId="11D47284" w14:textId="77777777" w:rsidR="00AD6E24" w:rsidRPr="001C20F6" w:rsidRDefault="00AD6E24" w:rsidP="002736E7">
            <w:pPr>
              <w:jc w:val="right"/>
              <w:rPr>
                <w:color w:val="000000"/>
                <w:sz w:val="16"/>
                <w:szCs w:val="16"/>
                <w:lang w:val="es-ES"/>
              </w:rPr>
            </w:pPr>
            <w:r w:rsidRPr="001C20F6">
              <w:rPr>
                <w:color w:val="000000"/>
                <w:sz w:val="16"/>
                <w:szCs w:val="16"/>
                <w:lang w:val="es-ES"/>
              </w:rPr>
              <w:t>16.338</w:t>
            </w:r>
          </w:p>
        </w:tc>
        <w:tc>
          <w:tcPr>
            <w:tcW w:w="773" w:type="dxa"/>
          </w:tcPr>
          <w:p w14:paraId="1E39F94A"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17" w:type="dxa"/>
            <w:shd w:val="clear" w:color="auto" w:fill="auto"/>
          </w:tcPr>
          <w:p w14:paraId="311D3C5D"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3" w:type="dxa"/>
            <w:shd w:val="clear" w:color="auto" w:fill="auto"/>
          </w:tcPr>
          <w:p w14:paraId="49A18344" w14:textId="77777777" w:rsidR="00AD6E24" w:rsidRPr="001C20F6" w:rsidRDefault="00AD6E24" w:rsidP="002736E7">
            <w:pPr>
              <w:jc w:val="right"/>
              <w:rPr>
                <w:color w:val="000000"/>
                <w:sz w:val="16"/>
                <w:szCs w:val="16"/>
                <w:lang w:val="es-ES"/>
              </w:rPr>
            </w:pPr>
            <w:r w:rsidRPr="001C20F6">
              <w:rPr>
                <w:color w:val="000000"/>
                <w:sz w:val="16"/>
                <w:szCs w:val="16"/>
                <w:lang w:val="es-ES"/>
              </w:rPr>
              <w:t>32.676</w:t>
            </w:r>
          </w:p>
        </w:tc>
        <w:tc>
          <w:tcPr>
            <w:tcW w:w="610" w:type="dxa"/>
            <w:shd w:val="clear" w:color="auto" w:fill="auto"/>
          </w:tcPr>
          <w:p w14:paraId="5435AC7B"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30" w:type="dxa"/>
            <w:shd w:val="clear" w:color="auto" w:fill="auto"/>
          </w:tcPr>
          <w:p w14:paraId="2A26D04A"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0" w:type="dxa"/>
            <w:shd w:val="clear" w:color="auto" w:fill="auto"/>
          </w:tcPr>
          <w:p w14:paraId="2E11660C" w14:textId="77777777" w:rsidR="00AD6E24" w:rsidRPr="001C20F6" w:rsidRDefault="00AD6E24" w:rsidP="002736E7">
            <w:pPr>
              <w:jc w:val="right"/>
              <w:rPr>
                <w:color w:val="000000"/>
                <w:sz w:val="16"/>
                <w:szCs w:val="16"/>
                <w:lang w:val="es-ES"/>
              </w:rPr>
            </w:pPr>
            <w:r w:rsidRPr="001C20F6">
              <w:rPr>
                <w:color w:val="000000"/>
                <w:sz w:val="16"/>
                <w:szCs w:val="16"/>
                <w:lang w:val="es-ES"/>
              </w:rPr>
              <w:t>8.169</w:t>
            </w:r>
          </w:p>
        </w:tc>
        <w:tc>
          <w:tcPr>
            <w:tcW w:w="858" w:type="dxa"/>
          </w:tcPr>
          <w:p w14:paraId="6C84B8EB" w14:textId="77777777" w:rsidR="00AD6E24" w:rsidRPr="001C20F6" w:rsidRDefault="00AD6E24" w:rsidP="002736E7">
            <w:pPr>
              <w:jc w:val="right"/>
              <w:rPr>
                <w:color w:val="000000"/>
                <w:sz w:val="16"/>
                <w:szCs w:val="16"/>
                <w:lang w:val="es-ES"/>
              </w:rPr>
            </w:pPr>
            <w:r w:rsidRPr="001C20F6">
              <w:rPr>
                <w:color w:val="000000"/>
                <w:sz w:val="16"/>
                <w:szCs w:val="16"/>
                <w:lang w:val="es-ES"/>
              </w:rPr>
              <w:t>81.690</w:t>
            </w:r>
          </w:p>
        </w:tc>
      </w:tr>
      <w:tr w:rsidR="00AD6E24" w:rsidRPr="001C20F6" w14:paraId="725428B9" w14:textId="77777777" w:rsidTr="002736E7">
        <w:tc>
          <w:tcPr>
            <w:tcW w:w="715" w:type="dxa"/>
            <w:vMerge/>
            <w:shd w:val="clear" w:color="auto" w:fill="auto"/>
          </w:tcPr>
          <w:p w14:paraId="1770BF1B" w14:textId="77777777" w:rsidR="00AD6E24" w:rsidRPr="001C20F6" w:rsidRDefault="00AD6E24" w:rsidP="002736E7">
            <w:pPr>
              <w:spacing w:after="60"/>
              <w:jc w:val="center"/>
              <w:rPr>
                <w:sz w:val="16"/>
                <w:szCs w:val="16"/>
                <w:lang w:val="es-ES"/>
              </w:rPr>
            </w:pPr>
          </w:p>
        </w:tc>
        <w:tc>
          <w:tcPr>
            <w:tcW w:w="720" w:type="dxa"/>
            <w:vMerge w:val="restart"/>
            <w:vAlign w:val="center"/>
          </w:tcPr>
          <w:p w14:paraId="5B60353D" w14:textId="77777777" w:rsidR="00AD6E24" w:rsidRPr="001C20F6" w:rsidRDefault="00AD6E24" w:rsidP="002736E7">
            <w:pPr>
              <w:jc w:val="right"/>
              <w:rPr>
                <w:color w:val="000000"/>
                <w:sz w:val="16"/>
                <w:szCs w:val="16"/>
                <w:lang w:val="es-ES"/>
              </w:rPr>
            </w:pPr>
            <w:r w:rsidRPr="001C20F6">
              <w:rPr>
                <w:color w:val="000000"/>
                <w:sz w:val="16"/>
                <w:szCs w:val="16"/>
                <w:lang w:val="es-ES"/>
              </w:rPr>
              <w:t>PNUMA</w:t>
            </w:r>
          </w:p>
        </w:tc>
        <w:tc>
          <w:tcPr>
            <w:tcW w:w="1411" w:type="dxa"/>
            <w:shd w:val="clear" w:color="auto" w:fill="auto"/>
          </w:tcPr>
          <w:p w14:paraId="14E75B7A" w14:textId="77777777" w:rsidR="00AD6E24" w:rsidRPr="001C20F6" w:rsidRDefault="00AD6E24" w:rsidP="002736E7">
            <w:pPr>
              <w:spacing w:after="60"/>
              <w:jc w:val="left"/>
              <w:rPr>
                <w:sz w:val="16"/>
                <w:szCs w:val="16"/>
                <w:lang w:val="es-ES"/>
              </w:rPr>
            </w:pPr>
            <w:r w:rsidRPr="001C20F6">
              <w:rPr>
                <w:sz w:val="16"/>
                <w:szCs w:val="16"/>
                <w:lang w:val="es-ES"/>
              </w:rPr>
              <w:t>Costos del proyecto</w:t>
            </w:r>
          </w:p>
        </w:tc>
        <w:tc>
          <w:tcPr>
            <w:tcW w:w="756" w:type="dxa"/>
          </w:tcPr>
          <w:p w14:paraId="0AAD0388" w14:textId="77777777" w:rsidR="00AD6E24" w:rsidRPr="001C20F6" w:rsidRDefault="00AD6E24" w:rsidP="002736E7">
            <w:pPr>
              <w:jc w:val="right"/>
              <w:rPr>
                <w:color w:val="000000"/>
                <w:sz w:val="16"/>
                <w:szCs w:val="16"/>
                <w:lang w:val="es-ES"/>
              </w:rPr>
            </w:pPr>
            <w:r w:rsidRPr="001C20F6">
              <w:rPr>
                <w:color w:val="000000"/>
                <w:sz w:val="16"/>
                <w:szCs w:val="16"/>
                <w:lang w:val="es-ES"/>
              </w:rPr>
              <w:t>62.400</w:t>
            </w:r>
          </w:p>
        </w:tc>
        <w:tc>
          <w:tcPr>
            <w:tcW w:w="590" w:type="dxa"/>
            <w:shd w:val="clear" w:color="auto" w:fill="auto"/>
          </w:tcPr>
          <w:p w14:paraId="2A6D3254"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63" w:type="dxa"/>
          </w:tcPr>
          <w:p w14:paraId="3A3083A7" w14:textId="77777777" w:rsidR="00AD6E24" w:rsidRPr="001C20F6" w:rsidRDefault="00AD6E24" w:rsidP="002736E7">
            <w:pPr>
              <w:jc w:val="right"/>
              <w:rPr>
                <w:color w:val="000000"/>
                <w:sz w:val="16"/>
                <w:szCs w:val="16"/>
                <w:lang w:val="es-ES"/>
              </w:rPr>
            </w:pPr>
            <w:r w:rsidRPr="001C20F6">
              <w:rPr>
                <w:color w:val="000000"/>
                <w:sz w:val="16"/>
                <w:szCs w:val="16"/>
                <w:lang w:val="es-ES"/>
              </w:rPr>
              <w:t>41.600</w:t>
            </w:r>
          </w:p>
        </w:tc>
        <w:tc>
          <w:tcPr>
            <w:tcW w:w="773" w:type="dxa"/>
          </w:tcPr>
          <w:p w14:paraId="72376DEA"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17" w:type="dxa"/>
            <w:shd w:val="clear" w:color="auto" w:fill="auto"/>
          </w:tcPr>
          <w:p w14:paraId="53809874"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3" w:type="dxa"/>
            <w:shd w:val="clear" w:color="auto" w:fill="auto"/>
          </w:tcPr>
          <w:p w14:paraId="07656A18" w14:textId="77777777" w:rsidR="00AD6E24" w:rsidRPr="001C20F6" w:rsidRDefault="00AD6E24" w:rsidP="002736E7">
            <w:pPr>
              <w:jc w:val="right"/>
              <w:rPr>
                <w:color w:val="000000"/>
                <w:sz w:val="16"/>
                <w:szCs w:val="16"/>
                <w:lang w:val="es-ES"/>
              </w:rPr>
            </w:pPr>
            <w:r w:rsidRPr="001C20F6">
              <w:rPr>
                <w:color w:val="000000"/>
                <w:sz w:val="16"/>
                <w:szCs w:val="16"/>
                <w:lang w:val="es-ES"/>
              </w:rPr>
              <w:t>83.200</w:t>
            </w:r>
          </w:p>
        </w:tc>
        <w:tc>
          <w:tcPr>
            <w:tcW w:w="610" w:type="dxa"/>
            <w:shd w:val="clear" w:color="auto" w:fill="auto"/>
          </w:tcPr>
          <w:p w14:paraId="58A3C6ED"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30" w:type="dxa"/>
            <w:shd w:val="clear" w:color="auto" w:fill="auto"/>
          </w:tcPr>
          <w:p w14:paraId="1E135262"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0" w:type="dxa"/>
            <w:shd w:val="clear" w:color="auto" w:fill="auto"/>
          </w:tcPr>
          <w:p w14:paraId="664C3CBC" w14:textId="77777777" w:rsidR="00AD6E24" w:rsidRPr="001C20F6" w:rsidRDefault="00AD6E24" w:rsidP="002736E7">
            <w:pPr>
              <w:jc w:val="right"/>
              <w:rPr>
                <w:color w:val="000000"/>
                <w:sz w:val="16"/>
                <w:szCs w:val="16"/>
                <w:lang w:val="es-ES"/>
              </w:rPr>
            </w:pPr>
            <w:r w:rsidRPr="001C20F6">
              <w:rPr>
                <w:color w:val="000000"/>
                <w:sz w:val="16"/>
                <w:szCs w:val="16"/>
                <w:lang w:val="es-ES"/>
              </w:rPr>
              <w:t>20.800</w:t>
            </w:r>
          </w:p>
        </w:tc>
        <w:tc>
          <w:tcPr>
            <w:tcW w:w="858" w:type="dxa"/>
          </w:tcPr>
          <w:p w14:paraId="15C2EEE9" w14:textId="77777777" w:rsidR="00AD6E24" w:rsidRPr="001C20F6" w:rsidRDefault="00AD6E24" w:rsidP="002736E7">
            <w:pPr>
              <w:jc w:val="right"/>
              <w:rPr>
                <w:color w:val="000000"/>
                <w:sz w:val="16"/>
                <w:szCs w:val="16"/>
                <w:lang w:val="es-ES"/>
              </w:rPr>
            </w:pPr>
            <w:r w:rsidRPr="001C20F6">
              <w:rPr>
                <w:color w:val="000000"/>
                <w:sz w:val="16"/>
                <w:szCs w:val="16"/>
                <w:lang w:val="es-ES"/>
              </w:rPr>
              <w:t>208.000</w:t>
            </w:r>
          </w:p>
        </w:tc>
      </w:tr>
      <w:tr w:rsidR="00AD6E24" w:rsidRPr="001C20F6" w14:paraId="5084A5D5" w14:textId="77777777" w:rsidTr="002736E7">
        <w:trPr>
          <w:trHeight w:val="46"/>
        </w:trPr>
        <w:tc>
          <w:tcPr>
            <w:tcW w:w="715" w:type="dxa"/>
            <w:vMerge/>
            <w:shd w:val="clear" w:color="auto" w:fill="auto"/>
          </w:tcPr>
          <w:p w14:paraId="21AB375F" w14:textId="77777777" w:rsidR="00AD6E24" w:rsidRPr="001C20F6" w:rsidRDefault="00AD6E24" w:rsidP="002736E7">
            <w:pPr>
              <w:spacing w:after="60"/>
              <w:jc w:val="center"/>
              <w:rPr>
                <w:sz w:val="16"/>
                <w:szCs w:val="16"/>
                <w:lang w:val="es-ES"/>
              </w:rPr>
            </w:pPr>
          </w:p>
        </w:tc>
        <w:tc>
          <w:tcPr>
            <w:tcW w:w="720" w:type="dxa"/>
            <w:vMerge/>
            <w:vAlign w:val="center"/>
          </w:tcPr>
          <w:p w14:paraId="4077FC39" w14:textId="77777777" w:rsidR="00AD6E24" w:rsidRPr="001C20F6" w:rsidRDefault="00AD6E24" w:rsidP="002736E7">
            <w:pPr>
              <w:spacing w:after="60"/>
              <w:jc w:val="center"/>
              <w:rPr>
                <w:sz w:val="16"/>
                <w:szCs w:val="16"/>
                <w:lang w:val="es-ES"/>
              </w:rPr>
            </w:pPr>
          </w:p>
        </w:tc>
        <w:tc>
          <w:tcPr>
            <w:tcW w:w="1411" w:type="dxa"/>
            <w:shd w:val="clear" w:color="auto" w:fill="auto"/>
          </w:tcPr>
          <w:p w14:paraId="5613DFD6" w14:textId="77777777" w:rsidR="00AD6E24" w:rsidRPr="001C20F6" w:rsidRDefault="00AD6E24" w:rsidP="002736E7">
            <w:pPr>
              <w:spacing w:after="60"/>
              <w:jc w:val="left"/>
              <w:rPr>
                <w:sz w:val="16"/>
                <w:szCs w:val="16"/>
                <w:lang w:val="es-ES"/>
              </w:rPr>
            </w:pPr>
            <w:r w:rsidRPr="001C20F6">
              <w:rPr>
                <w:sz w:val="16"/>
                <w:szCs w:val="16"/>
                <w:lang w:val="es-ES"/>
              </w:rPr>
              <w:t>Gastos de apoyo</w:t>
            </w:r>
          </w:p>
        </w:tc>
        <w:tc>
          <w:tcPr>
            <w:tcW w:w="756" w:type="dxa"/>
          </w:tcPr>
          <w:p w14:paraId="537EF95F" w14:textId="77777777" w:rsidR="00AD6E24" w:rsidRPr="001C20F6" w:rsidRDefault="00AD6E24" w:rsidP="002736E7">
            <w:pPr>
              <w:spacing w:after="60"/>
              <w:jc w:val="right"/>
              <w:rPr>
                <w:sz w:val="16"/>
                <w:szCs w:val="16"/>
                <w:lang w:val="es-ES"/>
              </w:rPr>
            </w:pPr>
            <w:r w:rsidRPr="001C20F6">
              <w:rPr>
                <w:color w:val="000000"/>
                <w:sz w:val="16"/>
                <w:szCs w:val="16"/>
                <w:lang w:val="es-ES"/>
              </w:rPr>
              <w:t>8.112</w:t>
            </w:r>
          </w:p>
        </w:tc>
        <w:tc>
          <w:tcPr>
            <w:tcW w:w="590" w:type="dxa"/>
            <w:shd w:val="clear" w:color="auto" w:fill="auto"/>
          </w:tcPr>
          <w:p w14:paraId="4931892D"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63" w:type="dxa"/>
          </w:tcPr>
          <w:p w14:paraId="0C68711F" w14:textId="77777777" w:rsidR="00AD6E24" w:rsidRPr="001C20F6" w:rsidRDefault="00AD6E24" w:rsidP="002736E7">
            <w:pPr>
              <w:jc w:val="right"/>
              <w:rPr>
                <w:color w:val="000000"/>
                <w:sz w:val="16"/>
                <w:szCs w:val="16"/>
                <w:lang w:val="es-ES"/>
              </w:rPr>
            </w:pPr>
            <w:r w:rsidRPr="001C20F6">
              <w:rPr>
                <w:color w:val="000000"/>
                <w:sz w:val="16"/>
                <w:szCs w:val="16"/>
                <w:lang w:val="es-ES"/>
              </w:rPr>
              <w:t>5.408</w:t>
            </w:r>
          </w:p>
        </w:tc>
        <w:tc>
          <w:tcPr>
            <w:tcW w:w="773" w:type="dxa"/>
          </w:tcPr>
          <w:p w14:paraId="1DC869B6"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17" w:type="dxa"/>
            <w:shd w:val="clear" w:color="auto" w:fill="auto"/>
          </w:tcPr>
          <w:p w14:paraId="2C8C2E7B"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3" w:type="dxa"/>
            <w:shd w:val="clear" w:color="auto" w:fill="auto"/>
          </w:tcPr>
          <w:p w14:paraId="18DFE37A" w14:textId="77777777" w:rsidR="00AD6E24" w:rsidRPr="001C20F6" w:rsidRDefault="00AD6E24" w:rsidP="002736E7">
            <w:pPr>
              <w:spacing w:after="60"/>
              <w:jc w:val="right"/>
              <w:rPr>
                <w:sz w:val="16"/>
                <w:szCs w:val="16"/>
                <w:lang w:val="es-ES"/>
              </w:rPr>
            </w:pPr>
            <w:r w:rsidRPr="001C20F6">
              <w:rPr>
                <w:color w:val="000000"/>
                <w:sz w:val="16"/>
                <w:szCs w:val="16"/>
                <w:lang w:val="es-ES"/>
              </w:rPr>
              <w:t>10.816</w:t>
            </w:r>
          </w:p>
        </w:tc>
        <w:tc>
          <w:tcPr>
            <w:tcW w:w="610" w:type="dxa"/>
            <w:shd w:val="clear" w:color="auto" w:fill="auto"/>
          </w:tcPr>
          <w:p w14:paraId="60267B09"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30" w:type="dxa"/>
            <w:shd w:val="clear" w:color="auto" w:fill="auto"/>
          </w:tcPr>
          <w:p w14:paraId="3F4AFF8E"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0" w:type="dxa"/>
            <w:shd w:val="clear" w:color="auto" w:fill="auto"/>
          </w:tcPr>
          <w:p w14:paraId="3B3ACB05" w14:textId="77777777" w:rsidR="00AD6E24" w:rsidRPr="001C20F6" w:rsidRDefault="00AD6E24" w:rsidP="002736E7">
            <w:pPr>
              <w:jc w:val="right"/>
              <w:rPr>
                <w:color w:val="000000"/>
                <w:sz w:val="16"/>
                <w:szCs w:val="16"/>
                <w:lang w:val="es-ES"/>
              </w:rPr>
            </w:pPr>
            <w:r w:rsidRPr="001C20F6">
              <w:rPr>
                <w:color w:val="000000"/>
                <w:sz w:val="16"/>
                <w:szCs w:val="16"/>
                <w:lang w:val="es-ES"/>
              </w:rPr>
              <w:t>2 704</w:t>
            </w:r>
          </w:p>
        </w:tc>
        <w:tc>
          <w:tcPr>
            <w:tcW w:w="858" w:type="dxa"/>
          </w:tcPr>
          <w:p w14:paraId="598B4FE3" w14:textId="77777777" w:rsidR="00AD6E24" w:rsidRPr="001C20F6" w:rsidRDefault="00AD6E24" w:rsidP="002736E7">
            <w:pPr>
              <w:jc w:val="right"/>
              <w:rPr>
                <w:color w:val="000000"/>
                <w:sz w:val="16"/>
                <w:szCs w:val="16"/>
                <w:lang w:val="es-ES"/>
              </w:rPr>
            </w:pPr>
            <w:r w:rsidRPr="001C20F6">
              <w:rPr>
                <w:color w:val="000000"/>
                <w:sz w:val="16"/>
                <w:szCs w:val="16"/>
                <w:lang w:val="es-ES"/>
              </w:rPr>
              <w:t>27.040</w:t>
            </w:r>
          </w:p>
        </w:tc>
      </w:tr>
      <w:tr w:rsidR="00AD6E24" w:rsidRPr="001C20F6" w14:paraId="7965DCC4" w14:textId="77777777" w:rsidTr="002736E7">
        <w:trPr>
          <w:trHeight w:val="197"/>
        </w:trPr>
        <w:tc>
          <w:tcPr>
            <w:tcW w:w="1435" w:type="dxa"/>
            <w:gridSpan w:val="2"/>
            <w:vMerge w:val="restart"/>
            <w:shd w:val="clear" w:color="auto" w:fill="auto"/>
          </w:tcPr>
          <w:p w14:paraId="0BDACB93" w14:textId="77777777" w:rsidR="00AD6E24" w:rsidRPr="001C20F6" w:rsidRDefault="00AD6E24" w:rsidP="002736E7">
            <w:pPr>
              <w:spacing w:after="60"/>
              <w:jc w:val="left"/>
              <w:rPr>
                <w:sz w:val="16"/>
                <w:szCs w:val="16"/>
                <w:lang w:val="es-ES"/>
              </w:rPr>
            </w:pPr>
            <w:r w:rsidRPr="001C20F6">
              <w:rPr>
                <w:sz w:val="16"/>
                <w:szCs w:val="16"/>
                <w:lang w:val="es-ES"/>
              </w:rPr>
              <w:t>Fondos aprobados por el Comité Ejecutivo ($EUA)</w:t>
            </w:r>
          </w:p>
        </w:tc>
        <w:tc>
          <w:tcPr>
            <w:tcW w:w="1411" w:type="dxa"/>
            <w:shd w:val="clear" w:color="auto" w:fill="auto"/>
          </w:tcPr>
          <w:p w14:paraId="63C08F28" w14:textId="77777777" w:rsidR="00AD6E24" w:rsidRPr="001C20F6" w:rsidRDefault="00AD6E24" w:rsidP="002736E7">
            <w:pPr>
              <w:spacing w:after="60"/>
              <w:jc w:val="left"/>
              <w:rPr>
                <w:sz w:val="16"/>
                <w:szCs w:val="16"/>
                <w:lang w:val="es-ES"/>
              </w:rPr>
            </w:pPr>
            <w:r w:rsidRPr="001C20F6">
              <w:rPr>
                <w:sz w:val="16"/>
                <w:szCs w:val="16"/>
                <w:lang w:val="es-ES"/>
              </w:rPr>
              <w:t>Costos del proyecto</w:t>
            </w:r>
          </w:p>
        </w:tc>
        <w:tc>
          <w:tcPr>
            <w:tcW w:w="756" w:type="dxa"/>
          </w:tcPr>
          <w:p w14:paraId="6D40D9AE" w14:textId="77777777" w:rsidR="00AD6E24" w:rsidRPr="001C20F6" w:rsidRDefault="00AD6E24" w:rsidP="002736E7">
            <w:pPr>
              <w:jc w:val="right"/>
              <w:rPr>
                <w:color w:val="000000"/>
                <w:sz w:val="16"/>
                <w:szCs w:val="16"/>
                <w:lang w:val="es-ES"/>
              </w:rPr>
            </w:pPr>
            <w:r w:rsidRPr="001C20F6">
              <w:rPr>
                <w:color w:val="000000"/>
                <w:sz w:val="16"/>
                <w:szCs w:val="16"/>
                <w:lang w:val="es-ES"/>
              </w:rPr>
              <w:t>412.500</w:t>
            </w:r>
          </w:p>
        </w:tc>
        <w:tc>
          <w:tcPr>
            <w:tcW w:w="590" w:type="dxa"/>
            <w:shd w:val="clear" w:color="auto" w:fill="auto"/>
          </w:tcPr>
          <w:p w14:paraId="6BEBD47B"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63" w:type="dxa"/>
            <w:shd w:val="clear" w:color="auto" w:fill="auto"/>
          </w:tcPr>
          <w:p w14:paraId="51435EA8"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3" w:type="dxa"/>
            <w:shd w:val="clear" w:color="auto" w:fill="auto"/>
          </w:tcPr>
          <w:p w14:paraId="20932322"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17" w:type="dxa"/>
          </w:tcPr>
          <w:p w14:paraId="47B7897F"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3" w:type="dxa"/>
          </w:tcPr>
          <w:p w14:paraId="6722A52D"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10" w:type="dxa"/>
            <w:shd w:val="clear" w:color="auto" w:fill="auto"/>
          </w:tcPr>
          <w:p w14:paraId="37279999"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30" w:type="dxa"/>
            <w:shd w:val="clear" w:color="auto" w:fill="auto"/>
          </w:tcPr>
          <w:p w14:paraId="053C4BCA"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0" w:type="dxa"/>
          </w:tcPr>
          <w:p w14:paraId="7534499D"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858" w:type="dxa"/>
          </w:tcPr>
          <w:p w14:paraId="71F905F1" w14:textId="77777777" w:rsidR="00AD6E24" w:rsidRPr="001C20F6" w:rsidRDefault="00AD6E24" w:rsidP="002736E7">
            <w:pPr>
              <w:jc w:val="right"/>
              <w:rPr>
                <w:color w:val="000000"/>
                <w:sz w:val="16"/>
                <w:szCs w:val="16"/>
                <w:lang w:val="es-ES"/>
              </w:rPr>
            </w:pPr>
            <w:r w:rsidRPr="001C20F6">
              <w:rPr>
                <w:color w:val="000000"/>
                <w:sz w:val="16"/>
                <w:szCs w:val="16"/>
                <w:lang w:val="es-ES"/>
              </w:rPr>
              <w:t>412.500</w:t>
            </w:r>
          </w:p>
        </w:tc>
      </w:tr>
      <w:tr w:rsidR="00AD6E24" w:rsidRPr="001C20F6" w14:paraId="093DC8A8" w14:textId="77777777" w:rsidTr="002736E7">
        <w:tc>
          <w:tcPr>
            <w:tcW w:w="1435" w:type="dxa"/>
            <w:gridSpan w:val="2"/>
            <w:vMerge/>
            <w:shd w:val="clear" w:color="auto" w:fill="auto"/>
          </w:tcPr>
          <w:p w14:paraId="53D352E6" w14:textId="77777777" w:rsidR="00AD6E24" w:rsidRPr="001C20F6" w:rsidRDefault="00AD6E24" w:rsidP="002736E7">
            <w:pPr>
              <w:spacing w:after="60"/>
              <w:jc w:val="left"/>
              <w:rPr>
                <w:sz w:val="16"/>
                <w:szCs w:val="16"/>
                <w:lang w:val="es-ES"/>
              </w:rPr>
            </w:pPr>
          </w:p>
        </w:tc>
        <w:tc>
          <w:tcPr>
            <w:tcW w:w="1411" w:type="dxa"/>
            <w:shd w:val="clear" w:color="auto" w:fill="auto"/>
          </w:tcPr>
          <w:p w14:paraId="6D201998" w14:textId="77777777" w:rsidR="00AD6E24" w:rsidRPr="001C20F6" w:rsidRDefault="00AD6E24" w:rsidP="002736E7">
            <w:pPr>
              <w:spacing w:after="60"/>
              <w:jc w:val="left"/>
              <w:rPr>
                <w:sz w:val="16"/>
                <w:szCs w:val="16"/>
                <w:lang w:val="es-ES"/>
              </w:rPr>
            </w:pPr>
            <w:r w:rsidRPr="001C20F6">
              <w:rPr>
                <w:sz w:val="16"/>
                <w:szCs w:val="16"/>
                <w:lang w:val="es-ES"/>
              </w:rPr>
              <w:t>Gastos de apoyo</w:t>
            </w:r>
          </w:p>
        </w:tc>
        <w:tc>
          <w:tcPr>
            <w:tcW w:w="756" w:type="dxa"/>
          </w:tcPr>
          <w:p w14:paraId="0382C679" w14:textId="77777777" w:rsidR="00AD6E24" w:rsidRPr="001C20F6" w:rsidRDefault="00AD6E24" w:rsidP="002736E7">
            <w:pPr>
              <w:jc w:val="right"/>
              <w:rPr>
                <w:color w:val="000000"/>
                <w:sz w:val="16"/>
                <w:szCs w:val="16"/>
                <w:lang w:val="es-ES"/>
              </w:rPr>
            </w:pPr>
            <w:r w:rsidRPr="001C20F6">
              <w:rPr>
                <w:color w:val="000000"/>
                <w:sz w:val="16"/>
                <w:szCs w:val="16"/>
                <w:lang w:val="es-ES"/>
              </w:rPr>
              <w:t>32 619</w:t>
            </w:r>
          </w:p>
        </w:tc>
        <w:tc>
          <w:tcPr>
            <w:tcW w:w="590" w:type="dxa"/>
            <w:shd w:val="clear" w:color="auto" w:fill="auto"/>
          </w:tcPr>
          <w:p w14:paraId="4B04B2F3"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63" w:type="dxa"/>
            <w:shd w:val="clear" w:color="auto" w:fill="auto"/>
          </w:tcPr>
          <w:p w14:paraId="0E51E773"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3" w:type="dxa"/>
            <w:shd w:val="clear" w:color="auto" w:fill="auto"/>
          </w:tcPr>
          <w:p w14:paraId="7728F214"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17" w:type="dxa"/>
          </w:tcPr>
          <w:p w14:paraId="78DBD828"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3" w:type="dxa"/>
          </w:tcPr>
          <w:p w14:paraId="25007024"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10" w:type="dxa"/>
            <w:shd w:val="clear" w:color="auto" w:fill="auto"/>
          </w:tcPr>
          <w:p w14:paraId="1CDAE76D"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630" w:type="dxa"/>
            <w:shd w:val="clear" w:color="auto" w:fill="auto"/>
          </w:tcPr>
          <w:p w14:paraId="14ED0BFA"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0" w:type="dxa"/>
          </w:tcPr>
          <w:p w14:paraId="64F14551"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858" w:type="dxa"/>
          </w:tcPr>
          <w:p w14:paraId="16FD29EB" w14:textId="77777777" w:rsidR="00AD6E24" w:rsidRPr="001C20F6" w:rsidRDefault="00AD6E24" w:rsidP="002736E7">
            <w:pPr>
              <w:jc w:val="right"/>
              <w:rPr>
                <w:color w:val="000000"/>
                <w:sz w:val="16"/>
                <w:szCs w:val="16"/>
                <w:lang w:val="es-ES"/>
              </w:rPr>
            </w:pPr>
            <w:r w:rsidRPr="001C20F6">
              <w:rPr>
                <w:color w:val="000000"/>
                <w:sz w:val="16"/>
                <w:szCs w:val="16"/>
                <w:lang w:val="es-ES"/>
              </w:rPr>
              <w:t>32.619</w:t>
            </w:r>
          </w:p>
        </w:tc>
      </w:tr>
      <w:tr w:rsidR="00AD6E24" w:rsidRPr="001C20F6" w14:paraId="0E592205" w14:textId="77777777" w:rsidTr="002736E7">
        <w:trPr>
          <w:trHeight w:val="393"/>
        </w:trPr>
        <w:tc>
          <w:tcPr>
            <w:tcW w:w="1435" w:type="dxa"/>
            <w:gridSpan w:val="2"/>
            <w:vMerge w:val="restart"/>
            <w:shd w:val="clear" w:color="auto" w:fill="auto"/>
          </w:tcPr>
          <w:p w14:paraId="224795EC" w14:textId="77777777" w:rsidR="00AD6E24" w:rsidRPr="001C20F6" w:rsidRDefault="00AD6E24" w:rsidP="002736E7">
            <w:pPr>
              <w:spacing w:after="60"/>
              <w:jc w:val="left"/>
              <w:rPr>
                <w:sz w:val="16"/>
                <w:szCs w:val="16"/>
                <w:lang w:val="es-ES"/>
              </w:rPr>
            </w:pPr>
            <w:r w:rsidRPr="001C20F6">
              <w:rPr>
                <w:sz w:val="16"/>
                <w:szCs w:val="16"/>
                <w:lang w:val="es-ES"/>
              </w:rPr>
              <w:t>Total de fondos cuya aprobación se solicita en la reunión en cuso ($EUA)</w:t>
            </w:r>
          </w:p>
        </w:tc>
        <w:tc>
          <w:tcPr>
            <w:tcW w:w="1411" w:type="dxa"/>
            <w:shd w:val="clear" w:color="auto" w:fill="auto"/>
          </w:tcPr>
          <w:p w14:paraId="2F4F3DC0" w14:textId="77777777" w:rsidR="00AD6E24" w:rsidRPr="001C20F6" w:rsidRDefault="00AD6E24" w:rsidP="002736E7">
            <w:pPr>
              <w:spacing w:after="60"/>
              <w:jc w:val="left"/>
              <w:rPr>
                <w:sz w:val="16"/>
                <w:szCs w:val="16"/>
                <w:lang w:val="es-ES"/>
              </w:rPr>
            </w:pPr>
            <w:r w:rsidRPr="001C20F6">
              <w:rPr>
                <w:sz w:val="16"/>
                <w:szCs w:val="16"/>
                <w:lang w:val="es-ES"/>
              </w:rPr>
              <w:t>Costos del proyecto</w:t>
            </w:r>
          </w:p>
        </w:tc>
        <w:tc>
          <w:tcPr>
            <w:tcW w:w="756" w:type="dxa"/>
          </w:tcPr>
          <w:p w14:paraId="0E00BF60" w14:textId="77777777" w:rsidR="00AD6E24" w:rsidRPr="001C20F6" w:rsidRDefault="00AD6E24" w:rsidP="002736E7">
            <w:pPr>
              <w:jc w:val="right"/>
              <w:rPr>
                <w:color w:val="000000"/>
                <w:sz w:val="16"/>
                <w:szCs w:val="16"/>
                <w:lang w:val="es-ES"/>
              </w:rPr>
            </w:pPr>
          </w:p>
        </w:tc>
        <w:tc>
          <w:tcPr>
            <w:tcW w:w="590" w:type="dxa"/>
            <w:shd w:val="clear" w:color="auto" w:fill="auto"/>
          </w:tcPr>
          <w:p w14:paraId="4DBA8A6F" w14:textId="77777777" w:rsidR="00AD6E24" w:rsidRPr="001C20F6" w:rsidRDefault="00AD6E24" w:rsidP="002736E7">
            <w:pPr>
              <w:jc w:val="right"/>
              <w:rPr>
                <w:color w:val="000000"/>
                <w:sz w:val="16"/>
                <w:szCs w:val="16"/>
                <w:lang w:val="es-ES"/>
              </w:rPr>
            </w:pPr>
          </w:p>
        </w:tc>
        <w:tc>
          <w:tcPr>
            <w:tcW w:w="763" w:type="dxa"/>
            <w:shd w:val="clear" w:color="auto" w:fill="auto"/>
          </w:tcPr>
          <w:p w14:paraId="085DA5E2" w14:textId="77777777" w:rsidR="00AD6E24" w:rsidRPr="001C20F6" w:rsidRDefault="00AD6E24" w:rsidP="002736E7">
            <w:pPr>
              <w:jc w:val="right"/>
              <w:rPr>
                <w:color w:val="000000"/>
                <w:sz w:val="16"/>
                <w:szCs w:val="16"/>
                <w:lang w:val="es-ES"/>
              </w:rPr>
            </w:pPr>
          </w:p>
        </w:tc>
        <w:tc>
          <w:tcPr>
            <w:tcW w:w="773" w:type="dxa"/>
            <w:shd w:val="clear" w:color="auto" w:fill="auto"/>
          </w:tcPr>
          <w:p w14:paraId="0BB1959D" w14:textId="77777777" w:rsidR="00AD6E24" w:rsidRPr="001C20F6" w:rsidRDefault="00AD6E24" w:rsidP="002736E7">
            <w:pPr>
              <w:jc w:val="right"/>
              <w:rPr>
                <w:color w:val="000000"/>
                <w:sz w:val="16"/>
                <w:szCs w:val="16"/>
                <w:lang w:val="es-ES"/>
              </w:rPr>
            </w:pPr>
            <w:r w:rsidRPr="001C20F6">
              <w:rPr>
                <w:color w:val="000000"/>
                <w:sz w:val="16"/>
                <w:szCs w:val="16"/>
                <w:lang w:val="es-ES"/>
              </w:rPr>
              <w:t>275.000</w:t>
            </w:r>
          </w:p>
        </w:tc>
        <w:tc>
          <w:tcPr>
            <w:tcW w:w="617" w:type="dxa"/>
          </w:tcPr>
          <w:p w14:paraId="36C55897" w14:textId="77777777" w:rsidR="00AD6E24" w:rsidRPr="001C20F6" w:rsidRDefault="00AD6E24" w:rsidP="002736E7">
            <w:pPr>
              <w:jc w:val="right"/>
              <w:rPr>
                <w:color w:val="000000"/>
                <w:sz w:val="16"/>
                <w:szCs w:val="16"/>
                <w:lang w:val="es-ES"/>
              </w:rPr>
            </w:pPr>
            <w:r w:rsidRPr="001C20F6">
              <w:rPr>
                <w:color w:val="000000"/>
                <w:sz w:val="16"/>
                <w:szCs w:val="16"/>
                <w:lang w:val="es-ES"/>
              </w:rPr>
              <w:t>0</w:t>
            </w:r>
          </w:p>
        </w:tc>
        <w:tc>
          <w:tcPr>
            <w:tcW w:w="773" w:type="dxa"/>
          </w:tcPr>
          <w:p w14:paraId="4BE4674E" w14:textId="77777777" w:rsidR="00AD6E24" w:rsidRPr="001C20F6" w:rsidRDefault="00AD6E24" w:rsidP="002736E7">
            <w:pPr>
              <w:jc w:val="right"/>
              <w:rPr>
                <w:color w:val="000000"/>
                <w:sz w:val="16"/>
                <w:szCs w:val="16"/>
                <w:lang w:val="es-ES"/>
              </w:rPr>
            </w:pPr>
          </w:p>
        </w:tc>
        <w:tc>
          <w:tcPr>
            <w:tcW w:w="610" w:type="dxa"/>
            <w:shd w:val="clear" w:color="auto" w:fill="auto"/>
          </w:tcPr>
          <w:p w14:paraId="145BFBFF" w14:textId="77777777" w:rsidR="00AD6E24" w:rsidRPr="001C20F6" w:rsidRDefault="00AD6E24" w:rsidP="002736E7">
            <w:pPr>
              <w:jc w:val="right"/>
              <w:rPr>
                <w:color w:val="000000"/>
                <w:sz w:val="16"/>
                <w:szCs w:val="16"/>
                <w:lang w:val="es-ES"/>
              </w:rPr>
            </w:pPr>
          </w:p>
        </w:tc>
        <w:tc>
          <w:tcPr>
            <w:tcW w:w="630" w:type="dxa"/>
            <w:shd w:val="clear" w:color="auto" w:fill="auto"/>
          </w:tcPr>
          <w:p w14:paraId="27DF2541" w14:textId="77777777" w:rsidR="00AD6E24" w:rsidRPr="001C20F6" w:rsidRDefault="00AD6E24" w:rsidP="002736E7">
            <w:pPr>
              <w:jc w:val="right"/>
              <w:rPr>
                <w:color w:val="000000"/>
                <w:sz w:val="16"/>
                <w:szCs w:val="16"/>
                <w:lang w:val="es-ES"/>
              </w:rPr>
            </w:pPr>
          </w:p>
        </w:tc>
        <w:tc>
          <w:tcPr>
            <w:tcW w:w="770" w:type="dxa"/>
          </w:tcPr>
          <w:p w14:paraId="36A4EA42" w14:textId="77777777" w:rsidR="00AD6E24" w:rsidRPr="001C20F6" w:rsidRDefault="00AD6E24" w:rsidP="002736E7">
            <w:pPr>
              <w:jc w:val="right"/>
              <w:rPr>
                <w:color w:val="000000"/>
                <w:sz w:val="16"/>
                <w:szCs w:val="16"/>
                <w:lang w:val="es-ES"/>
              </w:rPr>
            </w:pPr>
          </w:p>
        </w:tc>
        <w:tc>
          <w:tcPr>
            <w:tcW w:w="858" w:type="dxa"/>
            <w:shd w:val="clear" w:color="auto" w:fill="auto"/>
          </w:tcPr>
          <w:p w14:paraId="6FBBAFEE" w14:textId="77777777" w:rsidR="00AD6E24" w:rsidRPr="001C20F6" w:rsidRDefault="00AD6E24" w:rsidP="002736E7">
            <w:pPr>
              <w:jc w:val="right"/>
              <w:rPr>
                <w:color w:val="000000"/>
                <w:sz w:val="16"/>
                <w:szCs w:val="16"/>
                <w:lang w:val="es-ES"/>
              </w:rPr>
            </w:pPr>
            <w:r w:rsidRPr="001C20F6">
              <w:rPr>
                <w:color w:val="000000"/>
                <w:sz w:val="16"/>
                <w:szCs w:val="16"/>
                <w:lang w:val="es-ES"/>
              </w:rPr>
              <w:t>275.000</w:t>
            </w:r>
          </w:p>
        </w:tc>
      </w:tr>
      <w:tr w:rsidR="00AD6E24" w:rsidRPr="001C20F6" w14:paraId="59DADE22" w14:textId="77777777" w:rsidTr="002736E7">
        <w:trPr>
          <w:trHeight w:val="393"/>
        </w:trPr>
        <w:tc>
          <w:tcPr>
            <w:tcW w:w="1435" w:type="dxa"/>
            <w:gridSpan w:val="2"/>
            <w:vMerge/>
            <w:shd w:val="clear" w:color="auto" w:fill="auto"/>
          </w:tcPr>
          <w:p w14:paraId="0C7AC44E" w14:textId="77777777" w:rsidR="00AD6E24" w:rsidRPr="001C20F6" w:rsidRDefault="00AD6E24" w:rsidP="002736E7">
            <w:pPr>
              <w:spacing w:after="60"/>
              <w:jc w:val="left"/>
              <w:rPr>
                <w:sz w:val="16"/>
                <w:szCs w:val="16"/>
                <w:lang w:val="es-ES"/>
              </w:rPr>
            </w:pPr>
          </w:p>
        </w:tc>
        <w:tc>
          <w:tcPr>
            <w:tcW w:w="1411" w:type="dxa"/>
            <w:shd w:val="clear" w:color="auto" w:fill="auto"/>
          </w:tcPr>
          <w:p w14:paraId="5CC99770" w14:textId="77777777" w:rsidR="00AD6E24" w:rsidRPr="001C20F6" w:rsidRDefault="00AD6E24" w:rsidP="002736E7">
            <w:pPr>
              <w:spacing w:after="60"/>
              <w:jc w:val="left"/>
              <w:rPr>
                <w:sz w:val="16"/>
                <w:szCs w:val="16"/>
                <w:lang w:val="es-ES"/>
              </w:rPr>
            </w:pPr>
            <w:r w:rsidRPr="001C20F6">
              <w:rPr>
                <w:sz w:val="16"/>
                <w:szCs w:val="16"/>
                <w:lang w:val="es-ES"/>
              </w:rPr>
              <w:t>Gastos de apoyo</w:t>
            </w:r>
          </w:p>
        </w:tc>
        <w:tc>
          <w:tcPr>
            <w:tcW w:w="756" w:type="dxa"/>
          </w:tcPr>
          <w:p w14:paraId="3CC378E2" w14:textId="77777777" w:rsidR="00AD6E24" w:rsidRPr="001C20F6" w:rsidRDefault="00AD6E24" w:rsidP="002736E7">
            <w:pPr>
              <w:jc w:val="right"/>
              <w:rPr>
                <w:color w:val="000000"/>
                <w:sz w:val="16"/>
                <w:szCs w:val="16"/>
                <w:lang w:val="es-ES"/>
              </w:rPr>
            </w:pPr>
          </w:p>
        </w:tc>
        <w:tc>
          <w:tcPr>
            <w:tcW w:w="590" w:type="dxa"/>
            <w:shd w:val="clear" w:color="auto" w:fill="auto"/>
          </w:tcPr>
          <w:p w14:paraId="32013DBC" w14:textId="77777777" w:rsidR="00AD6E24" w:rsidRPr="001C20F6" w:rsidRDefault="00AD6E24" w:rsidP="002736E7">
            <w:pPr>
              <w:jc w:val="right"/>
              <w:rPr>
                <w:color w:val="000000"/>
                <w:sz w:val="16"/>
                <w:szCs w:val="16"/>
                <w:lang w:val="es-ES"/>
              </w:rPr>
            </w:pPr>
          </w:p>
        </w:tc>
        <w:tc>
          <w:tcPr>
            <w:tcW w:w="763" w:type="dxa"/>
            <w:shd w:val="clear" w:color="auto" w:fill="auto"/>
          </w:tcPr>
          <w:p w14:paraId="74AA21A5" w14:textId="77777777" w:rsidR="00AD6E24" w:rsidRPr="001C20F6" w:rsidRDefault="00AD6E24" w:rsidP="002736E7">
            <w:pPr>
              <w:jc w:val="right"/>
              <w:rPr>
                <w:color w:val="000000"/>
                <w:sz w:val="16"/>
                <w:szCs w:val="16"/>
                <w:lang w:val="es-ES"/>
              </w:rPr>
            </w:pPr>
          </w:p>
        </w:tc>
        <w:tc>
          <w:tcPr>
            <w:tcW w:w="773" w:type="dxa"/>
            <w:shd w:val="clear" w:color="auto" w:fill="auto"/>
          </w:tcPr>
          <w:p w14:paraId="3DD9BAAA" w14:textId="77777777" w:rsidR="00AD6E24" w:rsidRPr="001C20F6" w:rsidRDefault="00AD6E24" w:rsidP="002736E7">
            <w:pPr>
              <w:jc w:val="right"/>
              <w:rPr>
                <w:color w:val="000000"/>
                <w:sz w:val="16"/>
                <w:szCs w:val="16"/>
                <w:lang w:val="es-ES"/>
              </w:rPr>
            </w:pPr>
            <w:r w:rsidRPr="001C20F6">
              <w:rPr>
                <w:color w:val="000000"/>
                <w:sz w:val="16"/>
                <w:szCs w:val="16"/>
                <w:lang w:val="es-ES"/>
              </w:rPr>
              <w:t>21.746</w:t>
            </w:r>
          </w:p>
        </w:tc>
        <w:tc>
          <w:tcPr>
            <w:tcW w:w="617" w:type="dxa"/>
          </w:tcPr>
          <w:p w14:paraId="64DAF22F" w14:textId="77777777" w:rsidR="00AD6E24" w:rsidRPr="001C20F6" w:rsidRDefault="00AD6E24" w:rsidP="002736E7">
            <w:pPr>
              <w:jc w:val="right"/>
              <w:rPr>
                <w:color w:val="000000"/>
                <w:sz w:val="16"/>
                <w:szCs w:val="16"/>
                <w:lang w:val="es-ES"/>
              </w:rPr>
            </w:pPr>
          </w:p>
        </w:tc>
        <w:tc>
          <w:tcPr>
            <w:tcW w:w="773" w:type="dxa"/>
          </w:tcPr>
          <w:p w14:paraId="3E89DA87" w14:textId="77777777" w:rsidR="00AD6E24" w:rsidRPr="001C20F6" w:rsidRDefault="00AD6E24" w:rsidP="002736E7">
            <w:pPr>
              <w:jc w:val="right"/>
              <w:rPr>
                <w:color w:val="000000"/>
                <w:sz w:val="16"/>
                <w:szCs w:val="16"/>
                <w:lang w:val="es-ES"/>
              </w:rPr>
            </w:pPr>
          </w:p>
        </w:tc>
        <w:tc>
          <w:tcPr>
            <w:tcW w:w="610" w:type="dxa"/>
            <w:shd w:val="clear" w:color="auto" w:fill="auto"/>
          </w:tcPr>
          <w:p w14:paraId="499144A2" w14:textId="77777777" w:rsidR="00AD6E24" w:rsidRPr="001C20F6" w:rsidRDefault="00AD6E24" w:rsidP="002736E7">
            <w:pPr>
              <w:jc w:val="right"/>
              <w:rPr>
                <w:color w:val="000000"/>
                <w:sz w:val="16"/>
                <w:szCs w:val="16"/>
                <w:lang w:val="es-ES"/>
              </w:rPr>
            </w:pPr>
          </w:p>
        </w:tc>
        <w:tc>
          <w:tcPr>
            <w:tcW w:w="630" w:type="dxa"/>
            <w:shd w:val="clear" w:color="auto" w:fill="auto"/>
          </w:tcPr>
          <w:p w14:paraId="6502E1A7" w14:textId="77777777" w:rsidR="00AD6E24" w:rsidRPr="001C20F6" w:rsidRDefault="00AD6E24" w:rsidP="002736E7">
            <w:pPr>
              <w:jc w:val="right"/>
              <w:rPr>
                <w:color w:val="000000"/>
                <w:sz w:val="16"/>
                <w:szCs w:val="16"/>
                <w:lang w:val="es-ES"/>
              </w:rPr>
            </w:pPr>
          </w:p>
        </w:tc>
        <w:tc>
          <w:tcPr>
            <w:tcW w:w="770" w:type="dxa"/>
          </w:tcPr>
          <w:p w14:paraId="3A97A59A" w14:textId="77777777" w:rsidR="00AD6E24" w:rsidRPr="001C20F6" w:rsidRDefault="00AD6E24" w:rsidP="002736E7">
            <w:pPr>
              <w:jc w:val="right"/>
              <w:rPr>
                <w:color w:val="000000"/>
                <w:sz w:val="16"/>
                <w:szCs w:val="16"/>
                <w:lang w:val="es-ES"/>
              </w:rPr>
            </w:pPr>
          </w:p>
        </w:tc>
        <w:tc>
          <w:tcPr>
            <w:tcW w:w="858" w:type="dxa"/>
            <w:shd w:val="clear" w:color="auto" w:fill="auto"/>
          </w:tcPr>
          <w:p w14:paraId="66B8C7EE" w14:textId="77777777" w:rsidR="00AD6E24" w:rsidRPr="001C20F6" w:rsidRDefault="00AD6E24" w:rsidP="002736E7">
            <w:pPr>
              <w:jc w:val="right"/>
              <w:rPr>
                <w:color w:val="000000"/>
                <w:sz w:val="16"/>
                <w:szCs w:val="16"/>
                <w:lang w:val="es-ES"/>
              </w:rPr>
            </w:pPr>
            <w:r w:rsidRPr="001C20F6">
              <w:rPr>
                <w:color w:val="000000"/>
                <w:sz w:val="16"/>
                <w:szCs w:val="16"/>
                <w:lang w:val="es-ES"/>
              </w:rPr>
              <w:t>21.746</w:t>
            </w:r>
          </w:p>
        </w:tc>
      </w:tr>
    </w:tbl>
    <w:tbl>
      <w:tblPr>
        <w:tblStyle w:val="TableGrid"/>
        <w:tblpPr w:leftFromText="180" w:rightFromText="180" w:vertAnchor="text" w:horzAnchor="margin" w:tblpY="229"/>
        <w:tblW w:w="534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55"/>
        <w:gridCol w:w="6731"/>
      </w:tblGrid>
      <w:tr w:rsidR="00074310" w:rsidRPr="001C20F6" w14:paraId="0EE47841" w14:textId="77777777" w:rsidTr="00074310">
        <w:trPr>
          <w:trHeight w:val="240"/>
        </w:trPr>
        <w:tc>
          <w:tcPr>
            <w:tcW w:w="1630" w:type="pct"/>
            <w:tcBorders>
              <w:top w:val="single" w:sz="4" w:space="0" w:color="666699"/>
              <w:left w:val="single" w:sz="4" w:space="0" w:color="666699"/>
              <w:bottom w:val="single" w:sz="4" w:space="0" w:color="666699"/>
              <w:right w:val="single" w:sz="4" w:space="0" w:color="666699"/>
            </w:tcBorders>
          </w:tcPr>
          <w:p w14:paraId="3C88B50A" w14:textId="77777777" w:rsidR="00074310" w:rsidRPr="001C20F6" w:rsidRDefault="00074310" w:rsidP="00074310">
            <w:pPr>
              <w:jc w:val="center"/>
              <w:rPr>
                <w:b/>
                <w:bCs/>
                <w:sz w:val="16"/>
                <w:szCs w:val="16"/>
                <w:lang w:val="es-ES"/>
              </w:rPr>
            </w:pPr>
            <w:r w:rsidRPr="001C20F6">
              <w:rPr>
                <w:b/>
                <w:bCs/>
                <w:sz w:val="16"/>
                <w:szCs w:val="16"/>
                <w:lang w:val="es-ES"/>
              </w:rPr>
              <w:t>Recomendación de la Secretaría</w:t>
            </w:r>
          </w:p>
        </w:tc>
        <w:tc>
          <w:tcPr>
            <w:tcW w:w="3370" w:type="pct"/>
            <w:tcBorders>
              <w:top w:val="single" w:sz="4" w:space="0" w:color="666699"/>
              <w:left w:val="single" w:sz="4" w:space="0" w:color="666699"/>
              <w:bottom w:val="single" w:sz="4" w:space="0" w:color="666699"/>
              <w:right w:val="single" w:sz="4" w:space="0" w:color="666699"/>
            </w:tcBorders>
          </w:tcPr>
          <w:p w14:paraId="63960FAE" w14:textId="77777777" w:rsidR="00074310" w:rsidRPr="001C20F6" w:rsidRDefault="00074310" w:rsidP="00074310">
            <w:pPr>
              <w:jc w:val="center"/>
              <w:rPr>
                <w:sz w:val="16"/>
                <w:szCs w:val="16"/>
                <w:lang w:val="es-ES"/>
              </w:rPr>
            </w:pPr>
            <w:r w:rsidRPr="001C20F6">
              <w:rPr>
                <w:sz w:val="16"/>
                <w:szCs w:val="16"/>
                <w:lang w:val="es-ES"/>
              </w:rPr>
              <w:t>Aprobación general</w:t>
            </w:r>
          </w:p>
        </w:tc>
      </w:tr>
    </w:tbl>
    <w:p w14:paraId="6DE61A9F" w14:textId="77777777" w:rsidR="00AD6E24" w:rsidRPr="001C20F6" w:rsidRDefault="00074310" w:rsidP="00AD6E24">
      <w:pPr>
        <w:spacing w:after="60"/>
        <w:jc w:val="left"/>
        <w:rPr>
          <w:sz w:val="16"/>
          <w:szCs w:val="16"/>
          <w:lang w:val="es-ES"/>
        </w:rPr>
      </w:pPr>
      <w:r w:rsidRPr="001C20F6">
        <w:rPr>
          <w:sz w:val="16"/>
          <w:szCs w:val="16"/>
          <w:lang w:val="es-ES"/>
        </w:rPr>
        <w:t xml:space="preserve"> </w:t>
      </w:r>
      <w:r w:rsidR="00AD6E24" w:rsidRPr="001C20F6">
        <w:rPr>
          <w:sz w:val="16"/>
          <w:szCs w:val="16"/>
          <w:lang w:val="es-ES"/>
        </w:rPr>
        <w:t>*La presentación del segundo tramo estaba prevista para 2019.</w:t>
      </w:r>
    </w:p>
    <w:p w14:paraId="2F982AC4" w14:textId="77777777" w:rsidR="00AD6E24" w:rsidRPr="001C20F6" w:rsidRDefault="00AD6E24" w:rsidP="00AD6E24">
      <w:pPr>
        <w:jc w:val="left"/>
        <w:rPr>
          <w:sz w:val="16"/>
          <w:szCs w:val="16"/>
          <w:lang w:val="es-ES"/>
        </w:rPr>
      </w:pPr>
    </w:p>
    <w:p w14:paraId="7BAD7558" w14:textId="77777777" w:rsidR="00AD6E24" w:rsidRPr="001C20F6" w:rsidRDefault="00AD6E24" w:rsidP="00AD6E24">
      <w:pPr>
        <w:rPr>
          <w:lang w:val="es-ES"/>
        </w:rPr>
      </w:pPr>
      <w:r w:rsidRPr="001C20F6">
        <w:rPr>
          <w:lang w:val="es-ES"/>
        </w:rPr>
        <w:br w:type="page"/>
      </w:r>
    </w:p>
    <w:p w14:paraId="487BB07F" w14:textId="77777777" w:rsidR="00AD6E24" w:rsidRPr="00FE3307" w:rsidRDefault="00AD6E24" w:rsidP="00AD6E24">
      <w:pPr>
        <w:jc w:val="center"/>
        <w:rPr>
          <w:b/>
        </w:rPr>
      </w:pPr>
      <w:r>
        <w:rPr>
          <w:b/>
        </w:rPr>
        <w:lastRenderedPageBreak/>
        <w:t>DESCRIPCIÓN DEL PROYECTO</w:t>
      </w:r>
    </w:p>
    <w:p w14:paraId="4C2ED7F8" w14:textId="77777777" w:rsidR="00AD6E24" w:rsidRPr="00FE3307" w:rsidRDefault="00AD6E24" w:rsidP="00AD6E24">
      <w:pPr>
        <w:rPr>
          <w:lang w:val="en-CA"/>
        </w:rPr>
      </w:pPr>
    </w:p>
    <w:p w14:paraId="3C202B26" w14:textId="77777777" w:rsidR="00AD6E24" w:rsidRPr="001C20F6" w:rsidRDefault="00AD6E24" w:rsidP="00AD6E24">
      <w:pPr>
        <w:pStyle w:val="Heading1"/>
        <w:rPr>
          <w:lang w:val="es-ES"/>
        </w:rPr>
      </w:pPr>
      <w:r w:rsidRPr="001C20F6">
        <w:rPr>
          <w:lang w:val="es-ES"/>
        </w:rPr>
        <w:t>En nombre del Gobierno de Perú, el PNUD, en calidad de organismo de ejecución principal, presenta una solicitud de financiación para el segundo tramo de la etapa II del plan de gestión de la eliminación de los HCFC, por un costo total de 296.746 $EUA, desglosado en 233.400 $EUA, más 16.338 $EUA de gastos de apoyo al organismo para el PNUD, y 41.600 $EUA, más 5.408 $EUA de gastos de apoyo al organismo para el PNUMA.</w:t>
      </w:r>
      <w:r w:rsidRPr="001C20F6">
        <w:rPr>
          <w:rStyle w:val="FootnoteReference"/>
          <w:lang w:val="es-ES"/>
        </w:rPr>
        <w:footnoteReference w:id="1"/>
      </w:r>
      <w:r w:rsidRPr="001C20F6">
        <w:rPr>
          <w:lang w:val="es-ES"/>
        </w:rPr>
        <w:t xml:space="preserve"> En la documentación presentada se incluye un informe sobre la marcha de las actividades de ejecución del primer tramo, el informe de verificación sobre el consumo de HCFC para 2017-2019 y el plan de ejecución del tramo para 2020-2021.</w:t>
      </w:r>
    </w:p>
    <w:p w14:paraId="3924136B" w14:textId="77777777" w:rsidR="00AD6E24" w:rsidRPr="001C20F6" w:rsidRDefault="00AD6E24" w:rsidP="00AD6E24">
      <w:pPr>
        <w:rPr>
          <w:u w:val="single"/>
          <w:lang w:val="es-ES"/>
        </w:rPr>
      </w:pPr>
      <w:r w:rsidRPr="001C20F6">
        <w:rPr>
          <w:u w:val="single"/>
          <w:lang w:val="es-ES"/>
        </w:rPr>
        <w:t>Informe sobre el consumo de HCFC</w:t>
      </w:r>
    </w:p>
    <w:p w14:paraId="3809B5B4" w14:textId="77777777" w:rsidR="00AD6E24" w:rsidRPr="001C20F6" w:rsidRDefault="00AD6E24" w:rsidP="00AD6E24">
      <w:pPr>
        <w:rPr>
          <w:lang w:val="es-ES"/>
        </w:rPr>
      </w:pPr>
    </w:p>
    <w:p w14:paraId="678C9F51" w14:textId="77777777" w:rsidR="00AD6E24" w:rsidRPr="001C20F6" w:rsidRDefault="00AD6E24" w:rsidP="00AD6E24">
      <w:pPr>
        <w:pStyle w:val="Heading1"/>
        <w:rPr>
          <w:lang w:val="es-ES"/>
        </w:rPr>
      </w:pPr>
      <w:r w:rsidRPr="001C20F6">
        <w:rPr>
          <w:lang w:val="es-ES"/>
        </w:rPr>
        <w:t>El Gobierno de Perú notificó un consumo de 16,26 toneladas PAO de HCFC en 2019, un 40 porciento inferior al nivel básico de referencia de HCFC para el cumplimiento. En el Cuadro 1 se indica el consumo de HCFC entre 2015 y 2019.</w:t>
      </w:r>
    </w:p>
    <w:p w14:paraId="18C8D9F8" w14:textId="77777777" w:rsidR="00AD6E24" w:rsidRPr="001C20F6" w:rsidRDefault="00AD6E24" w:rsidP="00AD6E24">
      <w:pPr>
        <w:rPr>
          <w:b/>
          <w:lang w:val="es-ES"/>
        </w:rPr>
      </w:pPr>
      <w:r w:rsidRPr="001C20F6">
        <w:rPr>
          <w:b/>
          <w:lang w:val="es-ES"/>
        </w:rPr>
        <w:t>Cuadro 1. Consumo de HCFC en Perú (datos 2015-2019, conforme al Artículo 7)</w:t>
      </w:r>
    </w:p>
    <w:tbl>
      <w:tblPr>
        <w:tblW w:w="5000" w:type="pct"/>
        <w:tblLayout w:type="fixed"/>
        <w:tblLook w:val="04A0" w:firstRow="1" w:lastRow="0" w:firstColumn="1" w:lastColumn="0" w:noHBand="0" w:noVBand="1"/>
      </w:tblPr>
      <w:tblGrid>
        <w:gridCol w:w="3146"/>
        <w:gridCol w:w="1034"/>
        <w:gridCol w:w="1034"/>
        <w:gridCol w:w="1034"/>
        <w:gridCol w:w="1034"/>
        <w:gridCol w:w="1034"/>
        <w:gridCol w:w="1034"/>
      </w:tblGrid>
      <w:tr w:rsidR="00AD6E24" w:rsidRPr="001C20F6" w14:paraId="1EA0F3D9" w14:textId="77777777" w:rsidTr="002736E7">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C5EB604" w14:textId="77777777" w:rsidR="00AD6E24" w:rsidRPr="001C20F6" w:rsidRDefault="00AD6E24" w:rsidP="002736E7">
            <w:pPr>
              <w:widowControl w:val="0"/>
              <w:jc w:val="left"/>
              <w:rPr>
                <w:b/>
                <w:bCs/>
                <w:color w:val="000000"/>
                <w:sz w:val="20"/>
                <w:szCs w:val="20"/>
                <w:lang w:val="es-ES"/>
              </w:rPr>
            </w:pPr>
            <w:r w:rsidRPr="001C20F6">
              <w:rPr>
                <w:b/>
                <w:bCs/>
                <w:color w:val="000000"/>
                <w:sz w:val="20"/>
                <w:szCs w:val="20"/>
                <w:lang w:val="es-ES"/>
              </w:rPr>
              <w:t>HCFC</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087996C4" w14:textId="77777777" w:rsidR="00AD6E24" w:rsidRPr="001C20F6" w:rsidRDefault="00AD6E24" w:rsidP="002736E7">
            <w:pPr>
              <w:widowControl w:val="0"/>
              <w:jc w:val="center"/>
              <w:rPr>
                <w:b/>
                <w:bCs/>
                <w:color w:val="000000"/>
                <w:sz w:val="20"/>
                <w:szCs w:val="20"/>
                <w:lang w:val="es-ES"/>
              </w:rPr>
            </w:pPr>
            <w:r w:rsidRPr="001C20F6">
              <w:rPr>
                <w:b/>
                <w:bCs/>
                <w:color w:val="000000"/>
                <w:sz w:val="20"/>
                <w:szCs w:val="20"/>
                <w:lang w:val="es-ES"/>
              </w:rPr>
              <w:t>2015</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3B99927A" w14:textId="77777777" w:rsidR="00AD6E24" w:rsidRPr="001C20F6" w:rsidRDefault="00AD6E24" w:rsidP="002736E7">
            <w:pPr>
              <w:widowControl w:val="0"/>
              <w:jc w:val="center"/>
              <w:rPr>
                <w:b/>
                <w:bCs/>
                <w:color w:val="000000"/>
                <w:sz w:val="20"/>
                <w:szCs w:val="20"/>
                <w:lang w:val="es-ES"/>
              </w:rPr>
            </w:pPr>
            <w:r w:rsidRPr="001C20F6">
              <w:rPr>
                <w:b/>
                <w:bCs/>
                <w:color w:val="000000"/>
                <w:sz w:val="20"/>
                <w:szCs w:val="20"/>
                <w:lang w:val="es-ES"/>
              </w:rPr>
              <w:t>2016</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0D9531C8" w14:textId="77777777" w:rsidR="00AD6E24" w:rsidRPr="001C20F6" w:rsidRDefault="00AD6E24" w:rsidP="002736E7">
            <w:pPr>
              <w:widowControl w:val="0"/>
              <w:jc w:val="center"/>
              <w:rPr>
                <w:b/>
                <w:bCs/>
                <w:color w:val="000000"/>
                <w:sz w:val="20"/>
                <w:szCs w:val="20"/>
                <w:lang w:val="es-ES"/>
              </w:rPr>
            </w:pPr>
            <w:r w:rsidRPr="001C20F6">
              <w:rPr>
                <w:b/>
                <w:bCs/>
                <w:color w:val="000000"/>
                <w:sz w:val="20"/>
                <w:szCs w:val="20"/>
                <w:lang w:val="es-ES"/>
              </w:rPr>
              <w:t>2017</w:t>
            </w:r>
          </w:p>
        </w:tc>
        <w:tc>
          <w:tcPr>
            <w:tcW w:w="553" w:type="pct"/>
            <w:tcBorders>
              <w:top w:val="single" w:sz="4" w:space="0" w:color="auto"/>
              <w:left w:val="nil"/>
              <w:bottom w:val="single" w:sz="4" w:space="0" w:color="auto"/>
              <w:right w:val="single" w:sz="4" w:space="0" w:color="auto"/>
            </w:tcBorders>
          </w:tcPr>
          <w:p w14:paraId="2FA388DE" w14:textId="77777777" w:rsidR="00AD6E24" w:rsidRPr="001C20F6" w:rsidRDefault="00AD6E24" w:rsidP="002736E7">
            <w:pPr>
              <w:widowControl w:val="0"/>
              <w:jc w:val="center"/>
              <w:rPr>
                <w:b/>
                <w:bCs/>
                <w:color w:val="000000"/>
                <w:sz w:val="20"/>
                <w:szCs w:val="20"/>
                <w:lang w:val="es-ES"/>
              </w:rPr>
            </w:pPr>
            <w:r w:rsidRPr="001C20F6">
              <w:rPr>
                <w:b/>
                <w:bCs/>
                <w:color w:val="000000"/>
                <w:sz w:val="20"/>
                <w:szCs w:val="20"/>
                <w:lang w:val="es-ES"/>
              </w:rPr>
              <w:t>2018</w:t>
            </w:r>
          </w:p>
        </w:tc>
        <w:tc>
          <w:tcPr>
            <w:tcW w:w="553" w:type="pct"/>
            <w:tcBorders>
              <w:top w:val="single" w:sz="4" w:space="0" w:color="auto"/>
              <w:left w:val="single" w:sz="4" w:space="0" w:color="auto"/>
              <w:bottom w:val="single" w:sz="4" w:space="0" w:color="auto"/>
              <w:right w:val="single" w:sz="4" w:space="0" w:color="auto"/>
            </w:tcBorders>
          </w:tcPr>
          <w:p w14:paraId="2FC683DE" w14:textId="77777777" w:rsidR="00AD6E24" w:rsidRPr="001C20F6" w:rsidRDefault="00AD6E24" w:rsidP="002736E7">
            <w:pPr>
              <w:widowControl w:val="0"/>
              <w:jc w:val="center"/>
              <w:rPr>
                <w:b/>
                <w:bCs/>
                <w:color w:val="000000"/>
                <w:sz w:val="20"/>
                <w:szCs w:val="20"/>
                <w:lang w:val="es-ES"/>
              </w:rPr>
            </w:pPr>
            <w:r w:rsidRPr="001C20F6">
              <w:rPr>
                <w:b/>
                <w:bCs/>
                <w:color w:val="000000"/>
                <w:sz w:val="20"/>
                <w:szCs w:val="20"/>
                <w:lang w:val="es-ES"/>
              </w:rPr>
              <w:t>2019</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D9F9B" w14:textId="77777777" w:rsidR="00AD6E24" w:rsidRPr="001C20F6" w:rsidRDefault="00AD6E24" w:rsidP="002736E7">
            <w:pPr>
              <w:widowControl w:val="0"/>
              <w:jc w:val="center"/>
              <w:rPr>
                <w:b/>
                <w:bCs/>
                <w:color w:val="000000"/>
                <w:sz w:val="20"/>
                <w:szCs w:val="20"/>
                <w:lang w:val="es-ES"/>
              </w:rPr>
            </w:pPr>
            <w:r w:rsidRPr="001C20F6">
              <w:rPr>
                <w:b/>
                <w:bCs/>
                <w:color w:val="000000"/>
                <w:sz w:val="20"/>
                <w:szCs w:val="20"/>
                <w:lang w:val="es-ES"/>
              </w:rPr>
              <w:t>Nivel básico</w:t>
            </w:r>
          </w:p>
        </w:tc>
      </w:tr>
      <w:tr w:rsidR="00AD6E24" w:rsidRPr="001C20F6" w14:paraId="560B49BC" w14:textId="77777777" w:rsidTr="002736E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FB78D19" w14:textId="77777777" w:rsidR="00AD6E24" w:rsidRPr="001C20F6" w:rsidRDefault="00AD6E24" w:rsidP="002736E7">
            <w:pPr>
              <w:widowControl w:val="0"/>
              <w:jc w:val="left"/>
              <w:rPr>
                <w:b/>
                <w:bCs/>
                <w:color w:val="000000"/>
                <w:sz w:val="20"/>
                <w:szCs w:val="20"/>
                <w:lang w:val="es-ES"/>
              </w:rPr>
            </w:pPr>
            <w:r w:rsidRPr="001C20F6">
              <w:rPr>
                <w:b/>
                <w:bCs/>
                <w:color w:val="000000"/>
                <w:sz w:val="20"/>
                <w:szCs w:val="20"/>
                <w:lang w:val="es-ES"/>
              </w:rPr>
              <w:t>Toneladas métricas</w:t>
            </w:r>
          </w:p>
        </w:tc>
        <w:tc>
          <w:tcPr>
            <w:tcW w:w="553" w:type="pct"/>
            <w:tcBorders>
              <w:top w:val="nil"/>
              <w:left w:val="nil"/>
              <w:bottom w:val="single" w:sz="4" w:space="0" w:color="auto"/>
              <w:right w:val="single" w:sz="4" w:space="0" w:color="auto"/>
            </w:tcBorders>
            <w:shd w:val="clear" w:color="auto" w:fill="auto"/>
            <w:noWrap/>
            <w:vAlign w:val="center"/>
            <w:hideMark/>
          </w:tcPr>
          <w:p w14:paraId="5FACB393" w14:textId="77777777" w:rsidR="00AD6E24" w:rsidRPr="001C20F6" w:rsidRDefault="00AD6E24" w:rsidP="002736E7">
            <w:pPr>
              <w:widowControl w:val="0"/>
              <w:jc w:val="center"/>
              <w:rPr>
                <w:b/>
                <w:bCs/>
                <w:color w:val="000000"/>
                <w:sz w:val="20"/>
                <w:szCs w:val="20"/>
                <w:lang w:val="es-ES"/>
              </w:rPr>
            </w:pPr>
          </w:p>
        </w:tc>
        <w:tc>
          <w:tcPr>
            <w:tcW w:w="553" w:type="pct"/>
            <w:tcBorders>
              <w:top w:val="nil"/>
              <w:left w:val="nil"/>
              <w:bottom w:val="single" w:sz="4" w:space="0" w:color="auto"/>
              <w:right w:val="single" w:sz="4" w:space="0" w:color="auto"/>
            </w:tcBorders>
            <w:shd w:val="clear" w:color="auto" w:fill="auto"/>
            <w:noWrap/>
            <w:vAlign w:val="center"/>
            <w:hideMark/>
          </w:tcPr>
          <w:p w14:paraId="7F71F0C8" w14:textId="77777777" w:rsidR="00AD6E24" w:rsidRPr="001C20F6" w:rsidRDefault="00AD6E24" w:rsidP="002736E7">
            <w:pPr>
              <w:widowControl w:val="0"/>
              <w:jc w:val="center"/>
              <w:rPr>
                <w:b/>
                <w:bCs/>
                <w:color w:val="000000"/>
                <w:sz w:val="20"/>
                <w:szCs w:val="20"/>
                <w:lang w:val="es-ES"/>
              </w:rPr>
            </w:pPr>
          </w:p>
        </w:tc>
        <w:tc>
          <w:tcPr>
            <w:tcW w:w="553" w:type="pct"/>
            <w:tcBorders>
              <w:top w:val="nil"/>
              <w:left w:val="nil"/>
              <w:bottom w:val="single" w:sz="4" w:space="0" w:color="auto"/>
              <w:right w:val="single" w:sz="4" w:space="0" w:color="auto"/>
            </w:tcBorders>
            <w:shd w:val="clear" w:color="auto" w:fill="auto"/>
            <w:noWrap/>
            <w:vAlign w:val="center"/>
            <w:hideMark/>
          </w:tcPr>
          <w:p w14:paraId="512F1574" w14:textId="77777777" w:rsidR="00AD6E24" w:rsidRPr="001C20F6" w:rsidRDefault="00AD6E24" w:rsidP="002736E7">
            <w:pPr>
              <w:widowControl w:val="0"/>
              <w:jc w:val="center"/>
              <w:rPr>
                <w:b/>
                <w:bCs/>
                <w:color w:val="000000"/>
                <w:sz w:val="20"/>
                <w:szCs w:val="20"/>
                <w:lang w:val="es-ES"/>
              </w:rPr>
            </w:pPr>
          </w:p>
        </w:tc>
        <w:tc>
          <w:tcPr>
            <w:tcW w:w="553" w:type="pct"/>
            <w:tcBorders>
              <w:top w:val="single" w:sz="4" w:space="0" w:color="auto"/>
              <w:left w:val="nil"/>
              <w:bottom w:val="single" w:sz="4" w:space="0" w:color="auto"/>
              <w:right w:val="single" w:sz="4" w:space="0" w:color="auto"/>
            </w:tcBorders>
          </w:tcPr>
          <w:p w14:paraId="1656D318" w14:textId="77777777" w:rsidR="00AD6E24" w:rsidRPr="001C20F6" w:rsidRDefault="00AD6E24" w:rsidP="002736E7">
            <w:pPr>
              <w:widowControl w:val="0"/>
              <w:jc w:val="center"/>
              <w:rPr>
                <w:b/>
                <w:bCs/>
                <w:color w:val="000000"/>
                <w:sz w:val="20"/>
                <w:szCs w:val="20"/>
                <w:lang w:val="es-ES"/>
              </w:rPr>
            </w:pPr>
          </w:p>
        </w:tc>
        <w:tc>
          <w:tcPr>
            <w:tcW w:w="553" w:type="pct"/>
            <w:tcBorders>
              <w:top w:val="nil"/>
              <w:left w:val="single" w:sz="4" w:space="0" w:color="auto"/>
              <w:bottom w:val="single" w:sz="4" w:space="0" w:color="auto"/>
              <w:right w:val="single" w:sz="4" w:space="0" w:color="auto"/>
            </w:tcBorders>
          </w:tcPr>
          <w:p w14:paraId="1BECEBEE" w14:textId="77777777" w:rsidR="00AD6E24" w:rsidRPr="001C20F6" w:rsidRDefault="00AD6E24" w:rsidP="002736E7">
            <w:pPr>
              <w:widowControl w:val="0"/>
              <w:jc w:val="center"/>
              <w:rPr>
                <w:b/>
                <w:bCs/>
                <w:color w:val="000000"/>
                <w:sz w:val="20"/>
                <w:szCs w:val="20"/>
                <w:lang w:val="es-ES"/>
              </w:rPr>
            </w:pP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6B23C361" w14:textId="77777777" w:rsidR="00AD6E24" w:rsidRPr="001C20F6" w:rsidRDefault="00AD6E24" w:rsidP="002736E7">
            <w:pPr>
              <w:widowControl w:val="0"/>
              <w:jc w:val="center"/>
              <w:rPr>
                <w:b/>
                <w:bCs/>
                <w:color w:val="000000"/>
                <w:sz w:val="20"/>
                <w:szCs w:val="20"/>
                <w:lang w:val="es-ES"/>
              </w:rPr>
            </w:pPr>
          </w:p>
        </w:tc>
      </w:tr>
      <w:tr w:rsidR="00AD6E24" w:rsidRPr="001C20F6" w14:paraId="0B8A7DFE" w14:textId="77777777" w:rsidTr="002736E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A18A7E9"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HCFC-22</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6EEE5DB9"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374,91</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498E785E"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369,91</w:t>
            </w:r>
          </w:p>
        </w:tc>
        <w:tc>
          <w:tcPr>
            <w:tcW w:w="553" w:type="pct"/>
            <w:tcBorders>
              <w:top w:val="nil"/>
              <w:left w:val="nil"/>
              <w:bottom w:val="single" w:sz="4" w:space="0" w:color="auto"/>
              <w:right w:val="single" w:sz="4" w:space="0" w:color="auto"/>
            </w:tcBorders>
            <w:shd w:val="clear" w:color="auto" w:fill="auto"/>
            <w:noWrap/>
            <w:tcMar>
              <w:left w:w="0" w:type="dxa"/>
              <w:right w:w="187" w:type="dxa"/>
            </w:tcMar>
            <w:vAlign w:val="center"/>
          </w:tcPr>
          <w:p w14:paraId="79AC9938"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401,40</w:t>
            </w:r>
          </w:p>
        </w:tc>
        <w:tc>
          <w:tcPr>
            <w:tcW w:w="553" w:type="pct"/>
            <w:tcBorders>
              <w:top w:val="single" w:sz="4" w:space="0" w:color="auto"/>
              <w:left w:val="nil"/>
              <w:bottom w:val="single" w:sz="4" w:space="0" w:color="auto"/>
              <w:right w:val="single" w:sz="4" w:space="0" w:color="auto"/>
            </w:tcBorders>
            <w:tcMar>
              <w:left w:w="0" w:type="dxa"/>
              <w:right w:w="187" w:type="dxa"/>
            </w:tcMar>
          </w:tcPr>
          <w:p w14:paraId="6D7EE8D6"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358,52</w:t>
            </w:r>
          </w:p>
        </w:tc>
        <w:tc>
          <w:tcPr>
            <w:tcW w:w="553" w:type="pct"/>
            <w:tcBorders>
              <w:top w:val="nil"/>
              <w:left w:val="single" w:sz="4" w:space="0" w:color="auto"/>
              <w:bottom w:val="single" w:sz="4" w:space="0" w:color="auto"/>
              <w:right w:val="single" w:sz="4" w:space="0" w:color="auto"/>
            </w:tcBorders>
            <w:tcMar>
              <w:left w:w="0" w:type="dxa"/>
              <w:right w:w="187" w:type="dxa"/>
            </w:tcMar>
          </w:tcPr>
          <w:p w14:paraId="38B73E5F"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292,76</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68E09A40"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433,29</w:t>
            </w:r>
          </w:p>
        </w:tc>
      </w:tr>
      <w:tr w:rsidR="00AD6E24" w:rsidRPr="001C20F6" w14:paraId="59F3BF4F" w14:textId="77777777" w:rsidTr="002736E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B102C99"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HCFC-123*</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168BD3AF"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2,98</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0D449BD9"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1,29</w:t>
            </w:r>
          </w:p>
        </w:tc>
        <w:tc>
          <w:tcPr>
            <w:tcW w:w="553" w:type="pct"/>
            <w:tcBorders>
              <w:top w:val="nil"/>
              <w:left w:val="nil"/>
              <w:bottom w:val="single" w:sz="4" w:space="0" w:color="auto"/>
              <w:right w:val="single" w:sz="4" w:space="0" w:color="auto"/>
            </w:tcBorders>
            <w:shd w:val="clear" w:color="auto" w:fill="auto"/>
            <w:noWrap/>
            <w:tcMar>
              <w:left w:w="0" w:type="dxa"/>
              <w:right w:w="187" w:type="dxa"/>
            </w:tcMar>
            <w:vAlign w:val="center"/>
          </w:tcPr>
          <w:p w14:paraId="1C1B7AF2"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nil"/>
              <w:bottom w:val="single" w:sz="4" w:space="0" w:color="auto"/>
              <w:right w:val="single" w:sz="4" w:space="0" w:color="auto"/>
            </w:tcBorders>
            <w:tcMar>
              <w:left w:w="0" w:type="dxa"/>
              <w:right w:w="187" w:type="dxa"/>
            </w:tcMar>
          </w:tcPr>
          <w:p w14:paraId="654868B5"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nil"/>
              <w:left w:val="single" w:sz="4" w:space="0" w:color="auto"/>
              <w:bottom w:val="single" w:sz="4" w:space="0" w:color="auto"/>
              <w:right w:val="single" w:sz="4" w:space="0" w:color="auto"/>
            </w:tcBorders>
            <w:tcMar>
              <w:left w:w="0" w:type="dxa"/>
              <w:right w:w="187" w:type="dxa"/>
            </w:tcMar>
          </w:tcPr>
          <w:p w14:paraId="25E5DCF2"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7E59E6AF"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0,00</w:t>
            </w:r>
          </w:p>
        </w:tc>
      </w:tr>
      <w:tr w:rsidR="00AD6E24" w:rsidRPr="001C20F6" w14:paraId="2AA3213B" w14:textId="77777777" w:rsidTr="002736E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6FF1DBA"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HCFC-124</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34245538"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0,28</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70E60781"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0,27</w:t>
            </w:r>
          </w:p>
        </w:tc>
        <w:tc>
          <w:tcPr>
            <w:tcW w:w="553" w:type="pct"/>
            <w:tcBorders>
              <w:top w:val="nil"/>
              <w:left w:val="nil"/>
              <w:bottom w:val="single" w:sz="4" w:space="0" w:color="auto"/>
              <w:right w:val="single" w:sz="4" w:space="0" w:color="auto"/>
            </w:tcBorders>
            <w:shd w:val="clear" w:color="auto" w:fill="auto"/>
            <w:noWrap/>
            <w:tcMar>
              <w:left w:w="0" w:type="dxa"/>
              <w:right w:w="187" w:type="dxa"/>
            </w:tcMar>
            <w:vAlign w:val="center"/>
          </w:tcPr>
          <w:p w14:paraId="43BAC89D"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0,20</w:t>
            </w:r>
          </w:p>
        </w:tc>
        <w:tc>
          <w:tcPr>
            <w:tcW w:w="553" w:type="pct"/>
            <w:tcBorders>
              <w:top w:val="single" w:sz="4" w:space="0" w:color="auto"/>
              <w:left w:val="nil"/>
              <w:bottom w:val="single" w:sz="4" w:space="0" w:color="auto"/>
              <w:right w:val="single" w:sz="4" w:space="0" w:color="auto"/>
            </w:tcBorders>
            <w:tcMar>
              <w:left w:w="0" w:type="dxa"/>
              <w:right w:w="187" w:type="dxa"/>
            </w:tcMar>
          </w:tcPr>
          <w:p w14:paraId="6FAF0679"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0,34</w:t>
            </w:r>
          </w:p>
        </w:tc>
        <w:tc>
          <w:tcPr>
            <w:tcW w:w="553" w:type="pct"/>
            <w:tcBorders>
              <w:top w:val="nil"/>
              <w:left w:val="single" w:sz="4" w:space="0" w:color="auto"/>
              <w:bottom w:val="single" w:sz="4" w:space="0" w:color="auto"/>
              <w:right w:val="single" w:sz="4" w:space="0" w:color="auto"/>
            </w:tcBorders>
            <w:tcMar>
              <w:left w:w="0" w:type="dxa"/>
              <w:right w:w="187" w:type="dxa"/>
            </w:tcMar>
          </w:tcPr>
          <w:p w14:paraId="28984F30"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7622A865"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2,77</w:t>
            </w:r>
          </w:p>
        </w:tc>
      </w:tr>
      <w:tr w:rsidR="00AD6E24" w:rsidRPr="001C20F6" w14:paraId="5EC6845E" w14:textId="77777777" w:rsidTr="002736E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F3E95B2"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HCFC-141b</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2F01AF86"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17,62</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6EB763B2"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13,13</w:t>
            </w:r>
          </w:p>
        </w:tc>
        <w:tc>
          <w:tcPr>
            <w:tcW w:w="553" w:type="pct"/>
            <w:tcBorders>
              <w:top w:val="nil"/>
              <w:left w:val="nil"/>
              <w:bottom w:val="single" w:sz="4" w:space="0" w:color="auto"/>
              <w:right w:val="single" w:sz="4" w:space="0" w:color="auto"/>
            </w:tcBorders>
            <w:shd w:val="clear" w:color="auto" w:fill="auto"/>
            <w:noWrap/>
            <w:tcMar>
              <w:left w:w="0" w:type="dxa"/>
              <w:right w:w="187" w:type="dxa"/>
            </w:tcMar>
            <w:vAlign w:val="center"/>
          </w:tcPr>
          <w:p w14:paraId="0C789077"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nil"/>
              <w:bottom w:val="single" w:sz="4" w:space="0" w:color="auto"/>
              <w:right w:val="single" w:sz="4" w:space="0" w:color="auto"/>
            </w:tcBorders>
            <w:tcMar>
              <w:left w:w="0" w:type="dxa"/>
              <w:right w:w="187" w:type="dxa"/>
            </w:tcMar>
          </w:tcPr>
          <w:p w14:paraId="084ACED2"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nil"/>
              <w:left w:val="single" w:sz="4" w:space="0" w:color="auto"/>
              <w:bottom w:val="single" w:sz="4" w:space="0" w:color="auto"/>
              <w:right w:val="single" w:sz="4" w:space="0" w:color="auto"/>
            </w:tcBorders>
            <w:tcMar>
              <w:left w:w="0" w:type="dxa"/>
              <w:right w:w="187" w:type="dxa"/>
            </w:tcMar>
          </w:tcPr>
          <w:p w14:paraId="38ECFA7F"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7652BA6B"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16,25</w:t>
            </w:r>
          </w:p>
        </w:tc>
      </w:tr>
      <w:tr w:rsidR="00AD6E24" w:rsidRPr="001C20F6" w14:paraId="7FD69CB1" w14:textId="77777777" w:rsidTr="002736E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0D100C4"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HCFC-142b</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6D1700EB"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3,00</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268B2D89"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6,03</w:t>
            </w:r>
          </w:p>
        </w:tc>
        <w:tc>
          <w:tcPr>
            <w:tcW w:w="553" w:type="pct"/>
            <w:tcBorders>
              <w:top w:val="nil"/>
              <w:left w:val="nil"/>
              <w:bottom w:val="single" w:sz="4" w:space="0" w:color="auto"/>
              <w:right w:val="single" w:sz="4" w:space="0" w:color="auto"/>
            </w:tcBorders>
            <w:shd w:val="clear" w:color="auto" w:fill="auto"/>
            <w:noWrap/>
            <w:tcMar>
              <w:left w:w="0" w:type="dxa"/>
              <w:right w:w="187" w:type="dxa"/>
            </w:tcMar>
            <w:vAlign w:val="center"/>
          </w:tcPr>
          <w:p w14:paraId="445EB105"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3,74</w:t>
            </w:r>
          </w:p>
        </w:tc>
        <w:tc>
          <w:tcPr>
            <w:tcW w:w="553" w:type="pct"/>
            <w:tcBorders>
              <w:top w:val="single" w:sz="4" w:space="0" w:color="auto"/>
              <w:left w:val="nil"/>
              <w:bottom w:val="single" w:sz="4" w:space="0" w:color="auto"/>
              <w:right w:val="single" w:sz="4" w:space="0" w:color="auto"/>
            </w:tcBorders>
            <w:tcMar>
              <w:left w:w="0" w:type="dxa"/>
              <w:right w:w="187" w:type="dxa"/>
            </w:tcMar>
          </w:tcPr>
          <w:p w14:paraId="7FB9D4E5"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1,78</w:t>
            </w:r>
          </w:p>
        </w:tc>
        <w:tc>
          <w:tcPr>
            <w:tcW w:w="553" w:type="pct"/>
            <w:tcBorders>
              <w:top w:val="nil"/>
              <w:left w:val="single" w:sz="4" w:space="0" w:color="auto"/>
              <w:bottom w:val="single" w:sz="4" w:space="0" w:color="auto"/>
              <w:right w:val="single" w:sz="4" w:space="0" w:color="auto"/>
            </w:tcBorders>
            <w:tcMar>
              <w:left w:w="0" w:type="dxa"/>
              <w:right w:w="187" w:type="dxa"/>
            </w:tcMar>
          </w:tcPr>
          <w:p w14:paraId="17294B5B"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2,41</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263CA6C5"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18,15</w:t>
            </w:r>
          </w:p>
        </w:tc>
      </w:tr>
      <w:tr w:rsidR="00AD6E24" w:rsidRPr="001C20F6" w14:paraId="1CFA7646" w14:textId="77777777" w:rsidTr="002736E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7463D4A" w14:textId="77777777" w:rsidR="00AD6E24" w:rsidRPr="001C20F6" w:rsidRDefault="00AD6E24" w:rsidP="002736E7">
            <w:pPr>
              <w:jc w:val="left"/>
              <w:rPr>
                <w:rFonts w:eastAsiaTheme="minorHAnsi"/>
                <w:b/>
                <w:color w:val="000000"/>
                <w:sz w:val="20"/>
                <w:szCs w:val="20"/>
                <w:lang w:val="es-ES"/>
              </w:rPr>
            </w:pPr>
            <w:r w:rsidRPr="001C20F6">
              <w:rPr>
                <w:b/>
                <w:color w:val="000000"/>
                <w:sz w:val="20"/>
                <w:szCs w:val="20"/>
                <w:lang w:val="es-ES"/>
              </w:rPr>
              <w:t>Total (tm)</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0CAA3DFE" w14:textId="77777777" w:rsidR="00AD6E24" w:rsidRPr="001C20F6" w:rsidRDefault="00AD6E24" w:rsidP="002736E7">
            <w:pPr>
              <w:keepNext/>
              <w:jc w:val="right"/>
              <w:rPr>
                <w:b/>
                <w:color w:val="000000"/>
                <w:sz w:val="19"/>
                <w:szCs w:val="19"/>
                <w:lang w:val="es-ES"/>
              </w:rPr>
            </w:pPr>
            <w:r w:rsidRPr="001C20F6">
              <w:rPr>
                <w:b/>
                <w:color w:val="000000"/>
                <w:sz w:val="19"/>
                <w:szCs w:val="19"/>
                <w:lang w:val="es-ES"/>
              </w:rPr>
              <w:t>398,78</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7A18E148" w14:textId="77777777" w:rsidR="00AD6E24" w:rsidRPr="001C20F6" w:rsidRDefault="00AD6E24" w:rsidP="002736E7">
            <w:pPr>
              <w:keepNext/>
              <w:jc w:val="right"/>
              <w:rPr>
                <w:b/>
                <w:bCs/>
                <w:color w:val="000000"/>
                <w:sz w:val="19"/>
                <w:szCs w:val="19"/>
                <w:lang w:val="es-ES"/>
              </w:rPr>
            </w:pPr>
            <w:r w:rsidRPr="001C20F6">
              <w:rPr>
                <w:b/>
                <w:bCs/>
                <w:color w:val="000000"/>
                <w:sz w:val="19"/>
                <w:szCs w:val="19"/>
                <w:lang w:val="es-ES"/>
              </w:rPr>
              <w:t>390,63</w:t>
            </w:r>
          </w:p>
        </w:tc>
        <w:tc>
          <w:tcPr>
            <w:tcW w:w="553" w:type="pct"/>
            <w:tcBorders>
              <w:top w:val="nil"/>
              <w:left w:val="nil"/>
              <w:bottom w:val="single" w:sz="4" w:space="0" w:color="auto"/>
              <w:right w:val="single" w:sz="4" w:space="0" w:color="auto"/>
            </w:tcBorders>
            <w:shd w:val="clear" w:color="auto" w:fill="auto"/>
            <w:noWrap/>
            <w:tcMar>
              <w:left w:w="0" w:type="dxa"/>
              <w:right w:w="187" w:type="dxa"/>
            </w:tcMar>
            <w:vAlign w:val="center"/>
          </w:tcPr>
          <w:p w14:paraId="27878736" w14:textId="77777777" w:rsidR="00AD6E24" w:rsidRPr="001C20F6" w:rsidRDefault="00AD6E24" w:rsidP="002736E7">
            <w:pPr>
              <w:widowControl w:val="0"/>
              <w:jc w:val="right"/>
              <w:rPr>
                <w:b/>
                <w:color w:val="000000"/>
                <w:sz w:val="20"/>
                <w:szCs w:val="20"/>
                <w:lang w:val="es-ES"/>
              </w:rPr>
            </w:pPr>
            <w:r w:rsidRPr="001C20F6">
              <w:rPr>
                <w:b/>
                <w:color w:val="000000"/>
                <w:sz w:val="20"/>
                <w:szCs w:val="20"/>
                <w:lang w:val="es-ES"/>
              </w:rPr>
              <w:t>405,34</w:t>
            </w:r>
          </w:p>
        </w:tc>
        <w:tc>
          <w:tcPr>
            <w:tcW w:w="553" w:type="pct"/>
            <w:tcBorders>
              <w:top w:val="single" w:sz="4" w:space="0" w:color="auto"/>
              <w:left w:val="nil"/>
              <w:bottom w:val="single" w:sz="4" w:space="0" w:color="auto"/>
              <w:right w:val="single" w:sz="4" w:space="0" w:color="auto"/>
            </w:tcBorders>
            <w:tcMar>
              <w:left w:w="0" w:type="dxa"/>
              <w:right w:w="187" w:type="dxa"/>
            </w:tcMar>
          </w:tcPr>
          <w:p w14:paraId="155AE66E" w14:textId="77777777" w:rsidR="00AD6E24" w:rsidRPr="001C20F6" w:rsidRDefault="00AD6E24" w:rsidP="002736E7">
            <w:pPr>
              <w:widowControl w:val="0"/>
              <w:jc w:val="right"/>
              <w:rPr>
                <w:b/>
                <w:color w:val="000000"/>
                <w:sz w:val="20"/>
                <w:szCs w:val="20"/>
                <w:lang w:val="es-ES"/>
              </w:rPr>
            </w:pPr>
            <w:r w:rsidRPr="001C20F6">
              <w:rPr>
                <w:b/>
                <w:color w:val="000000"/>
                <w:sz w:val="20"/>
                <w:szCs w:val="20"/>
                <w:lang w:val="es-ES"/>
              </w:rPr>
              <w:t>360,64</w:t>
            </w:r>
          </w:p>
        </w:tc>
        <w:tc>
          <w:tcPr>
            <w:tcW w:w="553" w:type="pct"/>
            <w:tcBorders>
              <w:top w:val="nil"/>
              <w:left w:val="single" w:sz="4" w:space="0" w:color="auto"/>
              <w:bottom w:val="single" w:sz="4" w:space="0" w:color="auto"/>
              <w:right w:val="single" w:sz="4" w:space="0" w:color="auto"/>
            </w:tcBorders>
            <w:tcMar>
              <w:left w:w="0" w:type="dxa"/>
              <w:right w:w="187" w:type="dxa"/>
            </w:tcMar>
          </w:tcPr>
          <w:p w14:paraId="5B46CC32" w14:textId="77777777" w:rsidR="00AD6E24" w:rsidRPr="001C20F6" w:rsidRDefault="00AD6E24" w:rsidP="002736E7">
            <w:pPr>
              <w:widowControl w:val="0"/>
              <w:jc w:val="right"/>
              <w:rPr>
                <w:b/>
                <w:color w:val="000000"/>
                <w:sz w:val="20"/>
                <w:szCs w:val="20"/>
                <w:lang w:val="es-ES"/>
              </w:rPr>
            </w:pPr>
            <w:r w:rsidRPr="001C20F6">
              <w:rPr>
                <w:b/>
                <w:color w:val="000000"/>
                <w:sz w:val="20"/>
                <w:szCs w:val="20"/>
                <w:lang w:val="es-ES"/>
              </w:rPr>
              <w:t>295,17</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461489E2" w14:textId="77777777" w:rsidR="00AD6E24" w:rsidRPr="001C20F6" w:rsidRDefault="00AD6E24" w:rsidP="002736E7">
            <w:pPr>
              <w:keepNext/>
              <w:jc w:val="right"/>
              <w:rPr>
                <w:b/>
                <w:bCs/>
                <w:color w:val="000000"/>
                <w:sz w:val="19"/>
                <w:szCs w:val="19"/>
                <w:lang w:val="es-ES"/>
              </w:rPr>
            </w:pPr>
            <w:r w:rsidRPr="001C20F6">
              <w:rPr>
                <w:b/>
                <w:bCs/>
                <w:color w:val="000000"/>
                <w:sz w:val="19"/>
                <w:szCs w:val="19"/>
                <w:lang w:val="es-ES"/>
              </w:rPr>
              <w:t>470,46</w:t>
            </w:r>
          </w:p>
        </w:tc>
      </w:tr>
      <w:tr w:rsidR="00AD6E24" w:rsidRPr="001C20F6" w14:paraId="15C235E1" w14:textId="77777777" w:rsidTr="002736E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F9826BB" w14:textId="77777777" w:rsidR="00AD6E24" w:rsidRPr="001C20F6" w:rsidRDefault="00AD6E24" w:rsidP="002736E7">
            <w:pPr>
              <w:jc w:val="left"/>
              <w:rPr>
                <w:b/>
                <w:bCs/>
                <w:color w:val="000000"/>
                <w:sz w:val="20"/>
                <w:szCs w:val="20"/>
                <w:highlight w:val="magenta"/>
                <w:lang w:val="es-ES"/>
              </w:rPr>
            </w:pPr>
            <w:r w:rsidRPr="001C20F6">
              <w:rPr>
                <w:color w:val="000000"/>
                <w:sz w:val="20"/>
                <w:szCs w:val="20"/>
                <w:lang w:val="es-ES"/>
              </w:rPr>
              <w:t>HCFC-141b en polioles premezclados importados</w:t>
            </w:r>
            <w:r w:rsidRPr="001C20F6">
              <w:rPr>
                <w:sz w:val="20"/>
                <w:szCs w:val="20"/>
                <w:lang w:val="es-ES"/>
              </w:rPr>
              <w:t>**</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1B12C2D4"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295,58</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39C91243"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217,67</w:t>
            </w:r>
          </w:p>
        </w:tc>
        <w:tc>
          <w:tcPr>
            <w:tcW w:w="553" w:type="pct"/>
            <w:tcBorders>
              <w:top w:val="nil"/>
              <w:left w:val="nil"/>
              <w:bottom w:val="single" w:sz="4" w:space="0" w:color="auto"/>
              <w:right w:val="single" w:sz="4" w:space="0" w:color="auto"/>
            </w:tcBorders>
            <w:shd w:val="clear" w:color="auto" w:fill="auto"/>
            <w:noWrap/>
            <w:tcMar>
              <w:left w:w="0" w:type="dxa"/>
              <w:right w:w="187" w:type="dxa"/>
            </w:tcMar>
          </w:tcPr>
          <w:p w14:paraId="71CE669C" w14:textId="77777777" w:rsidR="00AD6E24" w:rsidRPr="001C20F6" w:rsidRDefault="00AD6E24" w:rsidP="002736E7">
            <w:pPr>
              <w:jc w:val="right"/>
              <w:rPr>
                <w:color w:val="000000"/>
                <w:sz w:val="20"/>
                <w:szCs w:val="20"/>
                <w:lang w:val="es-ES"/>
              </w:rPr>
            </w:pPr>
            <w:r w:rsidRPr="001C20F6">
              <w:rPr>
                <w:color w:val="000000"/>
                <w:sz w:val="20"/>
                <w:szCs w:val="20"/>
                <w:lang w:val="es-ES"/>
              </w:rPr>
              <w:t>381,25</w:t>
            </w:r>
          </w:p>
        </w:tc>
        <w:tc>
          <w:tcPr>
            <w:tcW w:w="553" w:type="pct"/>
            <w:tcBorders>
              <w:top w:val="single" w:sz="4" w:space="0" w:color="auto"/>
              <w:left w:val="nil"/>
              <w:bottom w:val="single" w:sz="4" w:space="0" w:color="auto"/>
              <w:right w:val="single" w:sz="4" w:space="0" w:color="auto"/>
            </w:tcBorders>
            <w:tcMar>
              <w:left w:w="0" w:type="dxa"/>
              <w:right w:w="187" w:type="dxa"/>
            </w:tcMar>
          </w:tcPr>
          <w:p w14:paraId="16435973" w14:textId="77777777" w:rsidR="00AD6E24" w:rsidRPr="001C20F6" w:rsidRDefault="00AD6E24" w:rsidP="002736E7">
            <w:pPr>
              <w:jc w:val="right"/>
              <w:rPr>
                <w:color w:val="000000"/>
                <w:sz w:val="20"/>
                <w:szCs w:val="20"/>
                <w:lang w:val="es-ES"/>
              </w:rPr>
            </w:pPr>
            <w:r w:rsidRPr="001C20F6">
              <w:rPr>
                <w:color w:val="000000"/>
                <w:sz w:val="20"/>
                <w:szCs w:val="20"/>
                <w:lang w:val="es-ES"/>
              </w:rPr>
              <w:t>266,22</w:t>
            </w:r>
          </w:p>
        </w:tc>
        <w:tc>
          <w:tcPr>
            <w:tcW w:w="553" w:type="pct"/>
            <w:tcBorders>
              <w:top w:val="nil"/>
              <w:left w:val="single" w:sz="4" w:space="0" w:color="auto"/>
              <w:bottom w:val="single" w:sz="4" w:space="0" w:color="auto"/>
              <w:right w:val="single" w:sz="4" w:space="0" w:color="auto"/>
            </w:tcBorders>
            <w:tcMar>
              <w:left w:w="0" w:type="dxa"/>
              <w:right w:w="187" w:type="dxa"/>
            </w:tcMar>
          </w:tcPr>
          <w:p w14:paraId="30CB3E1C" w14:textId="77777777" w:rsidR="00AD6E24" w:rsidRPr="001C20F6" w:rsidRDefault="00AD6E24" w:rsidP="002736E7">
            <w:pPr>
              <w:jc w:val="right"/>
              <w:rPr>
                <w:sz w:val="20"/>
                <w:szCs w:val="20"/>
                <w:lang w:val="es-ES"/>
              </w:rPr>
            </w:pPr>
            <w:r w:rsidRPr="001C20F6">
              <w:rPr>
                <w:sz w:val="20"/>
                <w:szCs w:val="20"/>
                <w:lang w:val="es-ES"/>
              </w:rPr>
              <w:t>132,96</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tcPr>
          <w:p w14:paraId="001A8DE5" w14:textId="77777777" w:rsidR="00AD6E24" w:rsidRPr="001C20F6" w:rsidRDefault="00AD6E24" w:rsidP="002736E7">
            <w:pPr>
              <w:keepNext/>
              <w:jc w:val="right"/>
              <w:rPr>
                <w:bCs/>
                <w:color w:val="000000"/>
                <w:sz w:val="19"/>
                <w:szCs w:val="19"/>
                <w:lang w:val="es-ES"/>
              </w:rPr>
            </w:pPr>
            <w:r w:rsidRPr="001C20F6">
              <w:rPr>
                <w:bCs/>
                <w:color w:val="000000"/>
                <w:sz w:val="19"/>
                <w:szCs w:val="19"/>
                <w:lang w:val="es-ES"/>
              </w:rPr>
              <w:t>nc</w:t>
            </w:r>
          </w:p>
        </w:tc>
      </w:tr>
      <w:tr w:rsidR="00AD6E24" w:rsidRPr="001C20F6" w14:paraId="43D5F856" w14:textId="77777777" w:rsidTr="002736E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699A83E" w14:textId="77777777" w:rsidR="00AD6E24" w:rsidRPr="001C20F6" w:rsidRDefault="00AD6E24" w:rsidP="002736E7">
            <w:pPr>
              <w:widowControl w:val="0"/>
              <w:jc w:val="left"/>
              <w:rPr>
                <w:b/>
                <w:bCs/>
                <w:color w:val="000000"/>
                <w:sz w:val="20"/>
                <w:szCs w:val="20"/>
                <w:lang w:val="es-ES"/>
              </w:rPr>
            </w:pPr>
            <w:r w:rsidRPr="001C20F6">
              <w:rPr>
                <w:b/>
                <w:bCs/>
                <w:color w:val="000000"/>
                <w:sz w:val="20"/>
                <w:szCs w:val="20"/>
                <w:lang w:val="es-ES"/>
              </w:rPr>
              <w:t>Toneladas PAO</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hideMark/>
          </w:tcPr>
          <w:p w14:paraId="5FD840DF" w14:textId="77777777" w:rsidR="00AD6E24" w:rsidRPr="001C20F6" w:rsidRDefault="00AD6E24" w:rsidP="002736E7">
            <w:pPr>
              <w:widowControl w:val="0"/>
              <w:jc w:val="right"/>
              <w:rPr>
                <w:color w:val="000000"/>
                <w:sz w:val="19"/>
                <w:szCs w:val="19"/>
                <w:lang w:val="es-ES"/>
              </w:rPr>
            </w:pP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hideMark/>
          </w:tcPr>
          <w:p w14:paraId="063DA214" w14:textId="77777777" w:rsidR="00AD6E24" w:rsidRPr="001C20F6" w:rsidRDefault="00AD6E24" w:rsidP="002736E7">
            <w:pPr>
              <w:widowControl w:val="0"/>
              <w:jc w:val="right"/>
              <w:rPr>
                <w:bCs/>
                <w:color w:val="000000"/>
                <w:sz w:val="19"/>
                <w:szCs w:val="19"/>
                <w:lang w:val="es-ES" w:eastAsia="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057F7E6F" w14:textId="77777777" w:rsidR="00AD6E24" w:rsidRPr="001C20F6" w:rsidRDefault="00AD6E24" w:rsidP="002736E7">
            <w:pPr>
              <w:widowControl w:val="0"/>
              <w:jc w:val="right"/>
              <w:rPr>
                <w:color w:val="000000"/>
                <w:sz w:val="20"/>
                <w:szCs w:val="20"/>
                <w:lang w:val="es-ES"/>
              </w:rPr>
            </w:pP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07221F66" w14:textId="77777777" w:rsidR="00AD6E24" w:rsidRPr="001C20F6" w:rsidRDefault="00AD6E24" w:rsidP="002736E7">
            <w:pPr>
              <w:widowControl w:val="0"/>
              <w:jc w:val="right"/>
              <w:rPr>
                <w:color w:val="000000"/>
                <w:sz w:val="20"/>
                <w:szCs w:val="20"/>
                <w:lang w:val="es-ES"/>
              </w:rPr>
            </w:pP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431B52F0" w14:textId="77777777" w:rsidR="00AD6E24" w:rsidRPr="001C20F6" w:rsidRDefault="00AD6E24" w:rsidP="002736E7">
            <w:pPr>
              <w:widowControl w:val="0"/>
              <w:jc w:val="right"/>
              <w:rPr>
                <w:color w:val="000000"/>
                <w:sz w:val="20"/>
                <w:szCs w:val="20"/>
                <w:lang w:val="es-ES"/>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hideMark/>
          </w:tcPr>
          <w:p w14:paraId="0A499496" w14:textId="77777777" w:rsidR="00AD6E24" w:rsidRPr="001C20F6" w:rsidRDefault="00AD6E24" w:rsidP="002736E7">
            <w:pPr>
              <w:widowControl w:val="0"/>
              <w:jc w:val="right"/>
              <w:rPr>
                <w:bCs/>
                <w:color w:val="000000"/>
                <w:sz w:val="19"/>
                <w:szCs w:val="19"/>
                <w:lang w:val="es-ES" w:eastAsia="en-CA"/>
              </w:rPr>
            </w:pPr>
          </w:p>
        </w:tc>
      </w:tr>
      <w:tr w:rsidR="00AD6E24" w:rsidRPr="001C20F6" w14:paraId="7DEF5BB1" w14:textId="77777777" w:rsidTr="002736E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2A4DDC7"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HCFC-22</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vAlign w:val="bottom"/>
          </w:tcPr>
          <w:p w14:paraId="09DCC94D"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20,62</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762356AE"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20,35</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44C13B86"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22,08</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44156B02"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19,72</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04B6F1B7"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16,10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79639F9E"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23,85</w:t>
            </w:r>
          </w:p>
        </w:tc>
      </w:tr>
      <w:tr w:rsidR="00AD6E24" w:rsidRPr="001C20F6" w14:paraId="6202D3D6" w14:textId="77777777" w:rsidTr="002736E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29D99B3"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HCFC-123*</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vAlign w:val="bottom"/>
          </w:tcPr>
          <w:p w14:paraId="531E405E"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0,06</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4A9835E8"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0,03</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4C58E45D"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093DB0E2"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1EB79390"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03A4BD67"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0,00</w:t>
            </w:r>
          </w:p>
        </w:tc>
      </w:tr>
      <w:tr w:rsidR="00AD6E24" w:rsidRPr="001C20F6" w14:paraId="21EA5E04" w14:textId="77777777" w:rsidTr="002736E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1859428"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HCFC-124</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vAlign w:val="bottom"/>
          </w:tcPr>
          <w:p w14:paraId="1C918D16"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0,01</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16DE5492"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0,01</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6A5F14C4"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5CAC9817"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0,01</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645391FB"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75142C09"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0,06</w:t>
            </w:r>
          </w:p>
        </w:tc>
      </w:tr>
      <w:tr w:rsidR="00AD6E24" w:rsidRPr="001C20F6" w14:paraId="7D079F65" w14:textId="77777777" w:rsidTr="002736E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72585F6"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HCFC-141b</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vAlign w:val="bottom"/>
          </w:tcPr>
          <w:p w14:paraId="35910549"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1,94</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17848FF9"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1,44</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5393FDC0"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6F7A94BA"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4CA88593"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781948B7"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1,79</w:t>
            </w:r>
          </w:p>
        </w:tc>
      </w:tr>
      <w:tr w:rsidR="00AD6E24" w:rsidRPr="001C20F6" w14:paraId="04326594" w14:textId="77777777" w:rsidTr="002736E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87ADCE7" w14:textId="77777777" w:rsidR="00AD6E24" w:rsidRPr="001C20F6" w:rsidRDefault="00AD6E24" w:rsidP="002736E7">
            <w:pPr>
              <w:widowControl w:val="0"/>
              <w:jc w:val="left"/>
              <w:rPr>
                <w:color w:val="000000"/>
                <w:sz w:val="20"/>
                <w:szCs w:val="20"/>
                <w:lang w:val="es-ES"/>
              </w:rPr>
            </w:pPr>
            <w:r w:rsidRPr="001C20F6">
              <w:rPr>
                <w:color w:val="000000"/>
                <w:sz w:val="20"/>
                <w:szCs w:val="20"/>
                <w:lang w:val="es-ES"/>
              </w:rPr>
              <w:t>HCFC-142b</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vAlign w:val="bottom"/>
          </w:tcPr>
          <w:p w14:paraId="0C796376"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0,19</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27E95BAB"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0,39</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3E6E72A2"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0,24</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2E307D94"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0,12</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154E709C" w14:textId="77777777" w:rsidR="00AD6E24" w:rsidRPr="001C20F6" w:rsidRDefault="00AD6E24" w:rsidP="002736E7">
            <w:pPr>
              <w:widowControl w:val="0"/>
              <w:jc w:val="right"/>
              <w:rPr>
                <w:color w:val="000000"/>
                <w:sz w:val="20"/>
                <w:szCs w:val="20"/>
                <w:lang w:val="es-ES"/>
              </w:rPr>
            </w:pPr>
            <w:r w:rsidRPr="001C20F6">
              <w:rPr>
                <w:color w:val="000000"/>
                <w:sz w:val="20"/>
                <w:szCs w:val="20"/>
                <w:lang w:val="es-ES"/>
              </w:rPr>
              <w:t>0,16</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7D42BBFA"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1,18</w:t>
            </w:r>
          </w:p>
        </w:tc>
      </w:tr>
      <w:tr w:rsidR="00AD6E24" w:rsidRPr="001C20F6" w14:paraId="096DFF94" w14:textId="77777777" w:rsidTr="002736E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C6F86B4" w14:textId="77777777" w:rsidR="00AD6E24" w:rsidRPr="001C20F6" w:rsidRDefault="00AD6E24" w:rsidP="002736E7">
            <w:pPr>
              <w:jc w:val="left"/>
              <w:rPr>
                <w:rFonts w:eastAsiaTheme="minorHAnsi"/>
                <w:b/>
                <w:sz w:val="20"/>
                <w:szCs w:val="20"/>
                <w:lang w:val="es-ES"/>
              </w:rPr>
            </w:pPr>
            <w:r w:rsidRPr="001C20F6">
              <w:rPr>
                <w:b/>
                <w:sz w:val="20"/>
                <w:szCs w:val="20"/>
                <w:lang w:val="es-ES"/>
              </w:rPr>
              <w:t>Total (toneladas PAO)</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vAlign w:val="bottom"/>
          </w:tcPr>
          <w:p w14:paraId="7D8F7A1C" w14:textId="77777777" w:rsidR="00AD6E24" w:rsidRPr="001C20F6" w:rsidRDefault="00AD6E24" w:rsidP="002736E7">
            <w:pPr>
              <w:widowControl w:val="0"/>
              <w:jc w:val="right"/>
              <w:rPr>
                <w:b/>
                <w:bCs/>
                <w:color w:val="000000"/>
                <w:sz w:val="19"/>
                <w:szCs w:val="19"/>
                <w:lang w:val="es-ES"/>
              </w:rPr>
            </w:pPr>
            <w:r w:rsidRPr="001C20F6">
              <w:rPr>
                <w:b/>
                <w:bCs/>
                <w:color w:val="000000"/>
                <w:sz w:val="19"/>
                <w:szCs w:val="19"/>
                <w:lang w:val="es-ES"/>
              </w:rPr>
              <w:t>22,82</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044C7265" w14:textId="77777777" w:rsidR="00AD6E24" w:rsidRPr="001C20F6" w:rsidRDefault="00AD6E24" w:rsidP="002736E7">
            <w:pPr>
              <w:widowControl w:val="0"/>
              <w:jc w:val="right"/>
              <w:rPr>
                <w:b/>
                <w:bCs/>
                <w:color w:val="000000"/>
                <w:sz w:val="19"/>
                <w:szCs w:val="19"/>
                <w:lang w:val="es-ES"/>
              </w:rPr>
            </w:pPr>
            <w:r w:rsidRPr="001C20F6">
              <w:rPr>
                <w:b/>
                <w:bCs/>
                <w:color w:val="000000"/>
                <w:sz w:val="19"/>
                <w:szCs w:val="19"/>
                <w:lang w:val="es-ES"/>
              </w:rPr>
              <w:t>22,21</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03CD47AA" w14:textId="77777777" w:rsidR="00AD6E24" w:rsidRPr="001C20F6" w:rsidRDefault="00AD6E24" w:rsidP="002736E7">
            <w:pPr>
              <w:widowControl w:val="0"/>
              <w:jc w:val="right"/>
              <w:rPr>
                <w:b/>
                <w:color w:val="000000"/>
                <w:sz w:val="20"/>
                <w:szCs w:val="20"/>
                <w:lang w:val="es-ES"/>
              </w:rPr>
            </w:pPr>
            <w:r w:rsidRPr="001C20F6">
              <w:rPr>
                <w:b/>
                <w:color w:val="000000"/>
                <w:sz w:val="20"/>
                <w:szCs w:val="20"/>
                <w:lang w:val="es-ES"/>
              </w:rPr>
              <w:t>22,32</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7542F65B" w14:textId="77777777" w:rsidR="00AD6E24" w:rsidRPr="001C20F6" w:rsidRDefault="00AD6E24" w:rsidP="002736E7">
            <w:pPr>
              <w:jc w:val="right"/>
              <w:rPr>
                <w:b/>
                <w:color w:val="000000"/>
                <w:sz w:val="20"/>
                <w:szCs w:val="20"/>
                <w:lang w:val="es-ES"/>
              </w:rPr>
            </w:pPr>
            <w:r w:rsidRPr="001C20F6">
              <w:rPr>
                <w:b/>
                <w:color w:val="000000"/>
                <w:sz w:val="20"/>
                <w:szCs w:val="20"/>
                <w:lang w:val="es-ES"/>
              </w:rPr>
              <w:t>19,84</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24F20AB4" w14:textId="77777777" w:rsidR="00AD6E24" w:rsidRPr="001C20F6" w:rsidRDefault="00AD6E24" w:rsidP="002736E7">
            <w:pPr>
              <w:jc w:val="right"/>
              <w:rPr>
                <w:b/>
                <w:color w:val="000000"/>
                <w:sz w:val="20"/>
                <w:szCs w:val="20"/>
                <w:lang w:val="es-ES"/>
              </w:rPr>
            </w:pPr>
            <w:r w:rsidRPr="001C20F6">
              <w:rPr>
                <w:b/>
                <w:color w:val="000000"/>
                <w:sz w:val="20"/>
                <w:szCs w:val="20"/>
                <w:lang w:val="es-ES"/>
              </w:rPr>
              <w:t>16,26</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vAlign w:val="center"/>
          </w:tcPr>
          <w:p w14:paraId="749168CA" w14:textId="77777777" w:rsidR="00AD6E24" w:rsidRPr="001C20F6" w:rsidRDefault="00AD6E24" w:rsidP="002736E7">
            <w:pPr>
              <w:widowControl w:val="0"/>
              <w:jc w:val="right"/>
              <w:rPr>
                <w:b/>
                <w:bCs/>
                <w:color w:val="000000"/>
                <w:sz w:val="19"/>
                <w:szCs w:val="19"/>
                <w:lang w:val="es-ES"/>
              </w:rPr>
            </w:pPr>
            <w:r w:rsidRPr="001C20F6">
              <w:rPr>
                <w:b/>
                <w:bCs/>
                <w:color w:val="000000"/>
                <w:sz w:val="19"/>
                <w:szCs w:val="19"/>
                <w:lang w:val="es-ES"/>
              </w:rPr>
              <w:t>26,88</w:t>
            </w:r>
          </w:p>
        </w:tc>
      </w:tr>
      <w:tr w:rsidR="00AD6E24" w:rsidRPr="001C20F6" w14:paraId="479DF297" w14:textId="77777777" w:rsidTr="002736E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BF27D59" w14:textId="77777777" w:rsidR="00AD6E24" w:rsidRPr="001C20F6" w:rsidRDefault="00AD6E24" w:rsidP="002736E7">
            <w:pPr>
              <w:jc w:val="left"/>
              <w:rPr>
                <w:color w:val="000000"/>
                <w:sz w:val="20"/>
                <w:szCs w:val="20"/>
                <w:highlight w:val="magenta"/>
                <w:lang w:val="es-ES"/>
              </w:rPr>
            </w:pPr>
            <w:r w:rsidRPr="001C20F6">
              <w:rPr>
                <w:color w:val="000000"/>
                <w:sz w:val="20"/>
                <w:szCs w:val="20"/>
                <w:lang w:val="es-ES"/>
              </w:rPr>
              <w:t>HCFC-141b en polioles premezclados importados **</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00BF9C19" w14:textId="77777777" w:rsidR="00AD6E24" w:rsidRPr="001C20F6" w:rsidRDefault="00AD6E24" w:rsidP="002736E7">
            <w:pPr>
              <w:jc w:val="right"/>
              <w:rPr>
                <w:rFonts w:eastAsiaTheme="minorHAnsi"/>
                <w:color w:val="000000"/>
                <w:sz w:val="19"/>
                <w:szCs w:val="19"/>
                <w:lang w:val="es-ES"/>
              </w:rPr>
            </w:pPr>
            <w:r w:rsidRPr="001C20F6">
              <w:rPr>
                <w:color w:val="000000"/>
                <w:sz w:val="19"/>
                <w:szCs w:val="19"/>
                <w:lang w:val="es-ES"/>
              </w:rPr>
              <w:t>32,51</w:t>
            </w:r>
          </w:p>
        </w:tc>
        <w:tc>
          <w:tcPr>
            <w:tcW w:w="553" w:type="pct"/>
            <w:tcBorders>
              <w:top w:val="single" w:sz="4" w:space="0" w:color="auto"/>
              <w:left w:val="single" w:sz="4" w:space="0" w:color="auto"/>
              <w:bottom w:val="single" w:sz="4" w:space="0" w:color="auto"/>
              <w:right w:val="single" w:sz="4" w:space="0" w:color="auto"/>
            </w:tcBorders>
            <w:noWrap/>
            <w:tcMar>
              <w:left w:w="0" w:type="dxa"/>
              <w:right w:w="187" w:type="dxa"/>
            </w:tcMar>
          </w:tcPr>
          <w:p w14:paraId="51D4199D" w14:textId="77777777" w:rsidR="00AD6E24" w:rsidRPr="001C20F6" w:rsidRDefault="00AD6E24" w:rsidP="002736E7">
            <w:pPr>
              <w:jc w:val="right"/>
              <w:rPr>
                <w:sz w:val="19"/>
                <w:szCs w:val="19"/>
                <w:lang w:val="es-ES"/>
              </w:rPr>
            </w:pPr>
            <w:r w:rsidRPr="001C20F6">
              <w:rPr>
                <w:sz w:val="19"/>
                <w:szCs w:val="19"/>
                <w:lang w:val="es-ES"/>
              </w:rPr>
              <w:t>23,94</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tcPr>
          <w:p w14:paraId="50E76E28" w14:textId="77777777" w:rsidR="00AD6E24" w:rsidRPr="001C20F6" w:rsidRDefault="00AD6E24" w:rsidP="002736E7">
            <w:pPr>
              <w:jc w:val="right"/>
              <w:rPr>
                <w:rFonts w:eastAsiaTheme="minorHAnsi"/>
                <w:color w:val="000000"/>
                <w:sz w:val="20"/>
                <w:szCs w:val="20"/>
                <w:lang w:val="es-ES"/>
              </w:rPr>
            </w:pPr>
            <w:r w:rsidRPr="001C20F6">
              <w:rPr>
                <w:color w:val="000000"/>
                <w:sz w:val="20"/>
                <w:szCs w:val="20"/>
                <w:lang w:val="es-ES"/>
              </w:rPr>
              <w:t>41,94</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5979DCD5" w14:textId="77777777" w:rsidR="00AD6E24" w:rsidRPr="001C20F6" w:rsidRDefault="00AD6E24" w:rsidP="002736E7">
            <w:pPr>
              <w:jc w:val="right"/>
              <w:rPr>
                <w:color w:val="000000"/>
                <w:sz w:val="20"/>
                <w:szCs w:val="20"/>
                <w:lang w:val="es-ES"/>
              </w:rPr>
            </w:pPr>
            <w:r w:rsidRPr="001C20F6">
              <w:rPr>
                <w:color w:val="000000"/>
                <w:sz w:val="20"/>
                <w:szCs w:val="20"/>
                <w:lang w:val="es-ES"/>
              </w:rPr>
              <w:t>29,28</w:t>
            </w:r>
          </w:p>
        </w:tc>
        <w:tc>
          <w:tcPr>
            <w:tcW w:w="553" w:type="pct"/>
            <w:tcBorders>
              <w:top w:val="single" w:sz="4" w:space="0" w:color="auto"/>
              <w:left w:val="single" w:sz="4" w:space="0" w:color="auto"/>
              <w:bottom w:val="single" w:sz="4" w:space="0" w:color="auto"/>
              <w:right w:val="single" w:sz="4" w:space="0" w:color="auto"/>
            </w:tcBorders>
            <w:tcMar>
              <w:left w:w="0" w:type="dxa"/>
              <w:right w:w="187" w:type="dxa"/>
            </w:tcMar>
          </w:tcPr>
          <w:p w14:paraId="3319AB3A" w14:textId="77777777" w:rsidR="00AD6E24" w:rsidRPr="001C20F6" w:rsidRDefault="00AD6E24" w:rsidP="002736E7">
            <w:pPr>
              <w:jc w:val="right"/>
              <w:rPr>
                <w:rFonts w:eastAsiaTheme="minorHAnsi"/>
                <w:color w:val="000000"/>
                <w:sz w:val="20"/>
                <w:szCs w:val="20"/>
                <w:lang w:val="es-ES"/>
              </w:rPr>
            </w:pPr>
            <w:r w:rsidRPr="001C20F6">
              <w:rPr>
                <w:color w:val="000000"/>
                <w:sz w:val="20"/>
                <w:szCs w:val="20"/>
                <w:lang w:val="es-ES"/>
              </w:rPr>
              <w:t>14,63</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0" w:type="dxa"/>
              <w:right w:w="187" w:type="dxa"/>
            </w:tcMar>
          </w:tcPr>
          <w:p w14:paraId="7ACA8D5C" w14:textId="77777777" w:rsidR="00AD6E24" w:rsidRPr="001C20F6" w:rsidRDefault="00AD6E24" w:rsidP="002736E7">
            <w:pPr>
              <w:widowControl w:val="0"/>
              <w:jc w:val="right"/>
              <w:rPr>
                <w:bCs/>
                <w:color w:val="000000"/>
                <w:sz w:val="19"/>
                <w:szCs w:val="19"/>
                <w:lang w:val="es-ES"/>
              </w:rPr>
            </w:pPr>
            <w:r w:rsidRPr="001C20F6">
              <w:rPr>
                <w:bCs/>
                <w:color w:val="000000"/>
                <w:sz w:val="19"/>
                <w:szCs w:val="19"/>
                <w:lang w:val="es-ES"/>
              </w:rPr>
              <w:t>27,91***</w:t>
            </w:r>
          </w:p>
        </w:tc>
      </w:tr>
    </w:tbl>
    <w:p w14:paraId="1170618D" w14:textId="77777777" w:rsidR="00AD6E24" w:rsidRPr="001C20F6" w:rsidRDefault="00AD6E24" w:rsidP="00AD6E24">
      <w:pPr>
        <w:rPr>
          <w:sz w:val="19"/>
          <w:szCs w:val="19"/>
          <w:lang w:val="es-ES"/>
        </w:rPr>
      </w:pPr>
      <w:r w:rsidRPr="001C20F6">
        <w:rPr>
          <w:sz w:val="19"/>
          <w:szCs w:val="19"/>
          <w:lang w:val="es-ES"/>
        </w:rPr>
        <w:t>* No se consumió HCFC-123 antes de 2015 y, por tanto, no se incluye ni en el nivel básico de los HCFC ni en el punto de partida para las reducciones acumuladas de consumo de HCFC.</w:t>
      </w:r>
    </w:p>
    <w:p w14:paraId="1F5B17C5" w14:textId="77777777" w:rsidR="00AD6E24" w:rsidRPr="001C20F6" w:rsidRDefault="00AD6E24" w:rsidP="00AD6E24">
      <w:pPr>
        <w:rPr>
          <w:sz w:val="19"/>
          <w:szCs w:val="19"/>
          <w:lang w:val="es-ES"/>
        </w:rPr>
      </w:pPr>
      <w:r w:rsidRPr="001C20F6">
        <w:rPr>
          <w:sz w:val="19"/>
          <w:szCs w:val="19"/>
          <w:lang w:val="es-ES"/>
        </w:rPr>
        <w:t>** Informes de ejecución del programa de país.</w:t>
      </w:r>
    </w:p>
    <w:p w14:paraId="04ABA73A" w14:textId="77777777" w:rsidR="00AD6E24" w:rsidRPr="001C20F6" w:rsidRDefault="00AD6E24" w:rsidP="00AD6E24">
      <w:pPr>
        <w:rPr>
          <w:sz w:val="19"/>
          <w:szCs w:val="19"/>
          <w:lang w:val="es-ES"/>
        </w:rPr>
      </w:pPr>
      <w:r w:rsidRPr="001C20F6">
        <w:rPr>
          <w:sz w:val="19"/>
          <w:szCs w:val="19"/>
          <w:lang w:val="es-ES"/>
        </w:rPr>
        <w:t>*** Punto de partida establecido en el Acuerdo con el Comité Ejecutivo.</w:t>
      </w:r>
    </w:p>
    <w:p w14:paraId="483B1A8F" w14:textId="77777777" w:rsidR="00AD6E24" w:rsidRPr="001C20F6" w:rsidRDefault="00AD6E24" w:rsidP="00AD6E24">
      <w:pPr>
        <w:rPr>
          <w:lang w:val="es-ES"/>
        </w:rPr>
      </w:pPr>
    </w:p>
    <w:p w14:paraId="1E76CC86" w14:textId="77777777" w:rsidR="00AD6E24" w:rsidRPr="001C20F6" w:rsidRDefault="00AD6E24" w:rsidP="00AD6E24">
      <w:pPr>
        <w:pStyle w:val="Heading1"/>
        <w:rPr>
          <w:lang w:val="es-ES"/>
        </w:rPr>
      </w:pPr>
      <w:r w:rsidRPr="001C20F6">
        <w:rPr>
          <w:lang w:val="es-ES"/>
        </w:rPr>
        <w:t xml:space="preserve">El consumo de HCFC en Perú ha disminuido lentamente en los últimos cinco años, debido a la ejecución de las actividades del plan de gestión de la eliminación de los HCFC, incluida la aplicación de los sistema de otorgamiento de licencias y cuotas de importación/exportación, la transición gradual a tecnologías alternativas en el sector de refrigeración y aire acondicionado, y la prohibición de la importación de HCFC-141b puro usado para la limpieza de circuitos de refrigeración, a partir del 1 de enero de 2017. </w:t>
      </w:r>
    </w:p>
    <w:p w14:paraId="4E90EBB9" w14:textId="77777777" w:rsidR="00AD6E24" w:rsidRPr="001C20F6" w:rsidRDefault="00AD6E24" w:rsidP="00AD6E24">
      <w:pPr>
        <w:pStyle w:val="Heading1"/>
        <w:rPr>
          <w:lang w:val="es-ES"/>
        </w:rPr>
      </w:pPr>
      <w:r w:rsidRPr="001C20F6">
        <w:rPr>
          <w:lang w:val="es-ES"/>
        </w:rPr>
        <w:t xml:space="preserve">El aumento del consumo de HCFC-22 y de polioles premezclados que contienen HCFC-141b en 2017 se debió a la reconstrucción de instalaciones destruidas por las inundaciones y los aludes de lodo que sufrieron varias zonas del país. En 2019, la reducción relativamente mayor de HCFC-22 se debió al aumento del precio del refrigerante en comparación con sus alternativas. Por otra parte, la reducción del 50 por ciento </w:t>
      </w:r>
      <w:r w:rsidRPr="001C20F6">
        <w:rPr>
          <w:lang w:val="es-ES"/>
        </w:rPr>
        <w:lastRenderedPageBreak/>
        <w:t xml:space="preserve">del HCFC-141b contenido en los polioles premezclados importados se debió al aumento de las importaciones de sistemas similares basados en agentes espumantes de ciclopentano, HFC y HFO. </w:t>
      </w:r>
    </w:p>
    <w:p w14:paraId="28AFF725" w14:textId="77777777" w:rsidR="00AD6E24" w:rsidRPr="001C20F6" w:rsidRDefault="00AD6E24" w:rsidP="00AD6E24">
      <w:pPr>
        <w:rPr>
          <w:i/>
          <w:lang w:val="es-ES"/>
        </w:rPr>
      </w:pPr>
      <w:r w:rsidRPr="001C20F6">
        <w:rPr>
          <w:i/>
          <w:lang w:val="es-ES"/>
        </w:rPr>
        <w:t>Informe sobre la ejecución del programa de país</w:t>
      </w:r>
    </w:p>
    <w:p w14:paraId="01A8FF3E" w14:textId="77777777" w:rsidR="00AD6E24" w:rsidRPr="001C20F6" w:rsidRDefault="00AD6E24" w:rsidP="00AD6E24">
      <w:pPr>
        <w:rPr>
          <w:lang w:val="es-ES"/>
        </w:rPr>
      </w:pPr>
    </w:p>
    <w:p w14:paraId="4B5494DC" w14:textId="77777777" w:rsidR="00AD6E24" w:rsidRPr="001C20F6" w:rsidRDefault="00AD6E24" w:rsidP="00AD6E24">
      <w:pPr>
        <w:pStyle w:val="Heading1"/>
        <w:rPr>
          <w:lang w:val="es-ES"/>
        </w:rPr>
      </w:pPr>
      <w:r w:rsidRPr="001C20F6">
        <w:rPr>
          <w:lang w:val="es-ES"/>
        </w:rPr>
        <w:t xml:space="preserve">El Gobierno de Perú presentó datos sobre el consumo de HCFC por sectores en el informe de ejecución del programa de país para 2019, que concuerdan con los datos notificados con arreglo al Artículo 7 del Protocolo de Montreal. </w:t>
      </w:r>
    </w:p>
    <w:p w14:paraId="06DFA3A1" w14:textId="77777777" w:rsidR="00AD6E24" w:rsidRPr="001C20F6" w:rsidRDefault="00AD6E24" w:rsidP="00AD6E24">
      <w:pPr>
        <w:rPr>
          <w:i/>
          <w:lang w:val="es-ES"/>
        </w:rPr>
      </w:pPr>
      <w:r w:rsidRPr="001C20F6">
        <w:rPr>
          <w:i/>
          <w:lang w:val="es-ES"/>
        </w:rPr>
        <w:t>Informe de verificación</w:t>
      </w:r>
    </w:p>
    <w:p w14:paraId="4C94FF0D" w14:textId="77777777" w:rsidR="00AD6E24" w:rsidRPr="001C20F6" w:rsidRDefault="00AD6E24" w:rsidP="00AD6E24">
      <w:pPr>
        <w:rPr>
          <w:lang w:val="es-ES"/>
        </w:rPr>
      </w:pPr>
    </w:p>
    <w:p w14:paraId="0B096BF8" w14:textId="77777777" w:rsidR="00AD6E24" w:rsidRPr="001C20F6" w:rsidRDefault="00AD6E24" w:rsidP="00AD6E24">
      <w:pPr>
        <w:pStyle w:val="Heading1"/>
        <w:rPr>
          <w:u w:val="single"/>
          <w:lang w:val="es-ES"/>
        </w:rPr>
      </w:pPr>
      <w:r w:rsidRPr="001C20F6">
        <w:rPr>
          <w:lang w:val="es-ES"/>
        </w:rPr>
        <w:t xml:space="preserve">El informe de verificación confirmó que el Gobierno está aplicando un sistema operativo de concesión de licencias y cuotas de importación y exportación de HCFC y que el consumo total de HCFC notificado con arreglo al Artículo 7 del Protocolo de Montreal para 2017-2019 era correcto (tal como se muestra en el Cuadro 1 anterior). La verificación constató que los mecanismos aplicados por las instituciones para los sistemas de concesión de licencias y cuotas permiten un control adecuado de las importaciones de HCFC, y que el consumo de HCFC en Perú se ha reducido de manera progresiva y sostenible, cumpliendo todos los objetivos de reducción. El informe de verificación recomienda continuar proporcionando formación a los clientes, establecer un criterio para la monitorización de sustancias que se han eliminado (por ejemplo, CFC, HCFC-141b) para garantizar que dichas sustancias no entren en el país, ni en forma pura ni mezclada; y mejorar la sistematización de la información relativa a los polioles premezclados importados que contienen HCFC-141b o cualquier otro agente espumante, con el objetivo de verificar el seguimiento de las tendencias y el uso. El PNUD confirmó que el Gobierno de Perú estaba trabajando con el PNUD y el PNUMA para seguir las recomendaciones obtenidas tras la verificación. </w:t>
      </w:r>
    </w:p>
    <w:p w14:paraId="037FBF32" w14:textId="77777777" w:rsidR="00AD6E24" w:rsidRPr="001C20F6" w:rsidRDefault="00AD6E24" w:rsidP="00AD6E24">
      <w:pPr>
        <w:pStyle w:val="Heading1"/>
        <w:numPr>
          <w:ilvl w:val="0"/>
          <w:numId w:val="0"/>
        </w:numPr>
        <w:rPr>
          <w:u w:val="single"/>
          <w:lang w:val="es-ES"/>
        </w:rPr>
      </w:pPr>
      <w:r w:rsidRPr="001C20F6">
        <w:rPr>
          <w:u w:val="single"/>
          <w:lang w:val="es-ES"/>
        </w:rPr>
        <w:t>Informe sobre la marcha de las actividades de ejecución del primer tramo de la etapa II del plan de gestión de la eliminación de los HCFC</w:t>
      </w:r>
    </w:p>
    <w:p w14:paraId="56D69A2F" w14:textId="77777777" w:rsidR="00AD6E24" w:rsidRPr="001C20F6" w:rsidRDefault="00AD6E24" w:rsidP="00AD6E24">
      <w:pPr>
        <w:keepNext/>
        <w:keepLines/>
        <w:rPr>
          <w:i/>
          <w:lang w:val="es-ES"/>
        </w:rPr>
      </w:pPr>
      <w:r w:rsidRPr="001C20F6">
        <w:rPr>
          <w:i/>
          <w:lang w:val="es-ES"/>
        </w:rPr>
        <w:t>Marco jurídico</w:t>
      </w:r>
    </w:p>
    <w:p w14:paraId="01E5DFAF" w14:textId="77777777" w:rsidR="00AD6E24" w:rsidRPr="001C20F6" w:rsidRDefault="00AD6E24" w:rsidP="00AD6E24">
      <w:pPr>
        <w:keepNext/>
        <w:keepLines/>
        <w:rPr>
          <w:i/>
          <w:lang w:val="es-ES"/>
        </w:rPr>
      </w:pPr>
    </w:p>
    <w:p w14:paraId="6AC2F18C" w14:textId="77777777" w:rsidR="00AD6E24" w:rsidRPr="001C20F6" w:rsidRDefault="00AD6E24" w:rsidP="00AD6E24">
      <w:pPr>
        <w:pStyle w:val="Heading1"/>
        <w:rPr>
          <w:lang w:val="es-ES"/>
        </w:rPr>
      </w:pPr>
      <w:r w:rsidRPr="001C20F6">
        <w:rPr>
          <w:lang w:val="es-ES"/>
        </w:rPr>
        <w:t>El Ministerio de la Producción ha creado un enlace electrónico entre la Dependencia Nacional del Ozono y el departamento de aduanas para cruzar la información sobre las importaciones de HCFC, y la Dependencia Nacional del Ozono ha actualizado la información del portal electrónico del mecanismo de consentimiento fundamentado previo informal desarrollado por el PNUMA para facilitar la cooperación con las Dependencias Nacionales del Ozono de los países vecinos.</w:t>
      </w:r>
    </w:p>
    <w:p w14:paraId="53B971CF" w14:textId="77777777" w:rsidR="00AD6E24" w:rsidRPr="001C20F6" w:rsidRDefault="00AD6E24" w:rsidP="00AD6E24">
      <w:pPr>
        <w:pStyle w:val="Heading1"/>
        <w:rPr>
          <w:lang w:val="es-ES"/>
        </w:rPr>
      </w:pPr>
      <w:r w:rsidRPr="001C20F6">
        <w:rPr>
          <w:lang w:val="es-ES"/>
        </w:rPr>
        <w:t>El Gobierno también ha creado un Comité de Dirección de Proyecto con representantes del Ministerio de la Producción, el PNUD y el sector privado, con el fin de supervisar la ejecución del plan de gestión de la eliminación de los HCFC y garantizar buenos resultados. El Gobierno ha trabajado en coordinación con las instituciones involucradas en el control de las SAO (por ejemplo, el departamento de aduanas y los Ministerios de la Producción y de Agricultura) para garantizar que las medidas definidas sobre las sustancias controladas conforme al Protocolo se cumplen eficazmente, y al mismo tiempo se aplican los criterios regulatorios para el control del comercio en el ámbito nacional. El Gobierno no ha detectado ni el uso ni el almacenamiento de sustancias controladas que ya se hayan eliminado en el país.</w:t>
      </w:r>
    </w:p>
    <w:p w14:paraId="0C4FFCE7" w14:textId="77777777" w:rsidR="00AD6E24" w:rsidRPr="001C20F6" w:rsidRDefault="00AD6E24" w:rsidP="00AD6E24">
      <w:pPr>
        <w:pStyle w:val="Heading1"/>
        <w:rPr>
          <w:lang w:val="es-ES"/>
        </w:rPr>
      </w:pPr>
      <w:r w:rsidRPr="001C20F6">
        <w:rPr>
          <w:lang w:val="es-ES"/>
        </w:rPr>
        <w:t>Con el fin de fortalecer los sectores legal e institucional relativos a la aplicación del Protocolo de Montreal, se han comprado tres identificadores de refrigerantes con capacidades de mezcla de refrigerante para el uso por parte del departamento de aduanas; adicionalmente se ha contratado a un experto internacional para impartir formación sobre el control de los HCFC y HFC,</w:t>
      </w:r>
      <w:r w:rsidRPr="001C20F6">
        <w:rPr>
          <w:rStyle w:val="FootnoteReference"/>
          <w:lang w:val="es-ES"/>
        </w:rPr>
        <w:footnoteReference w:id="2"/>
      </w:r>
      <w:r w:rsidRPr="001C20F6">
        <w:rPr>
          <w:lang w:val="es-ES"/>
        </w:rPr>
        <w:t xml:space="preserve"> para desarrollar el esquema de certificación de competencias laborales de los técnicos de equipos de refrigeración y aire acondicionado, y para preparar una guía para la Dependencia Nacional del Ozono sobre las normas y procedimientos </w:t>
      </w:r>
      <w:r w:rsidRPr="001C20F6">
        <w:rPr>
          <w:lang w:val="es-ES"/>
        </w:rPr>
        <w:lastRenderedPageBreak/>
        <w:t xml:space="preserve">internacionales, los sistemas de certificación, la estandarización de las competencias y las buenas prácticas de los esquemas de certificación aplicados en otros países. </w:t>
      </w:r>
    </w:p>
    <w:p w14:paraId="73A5D034" w14:textId="77777777" w:rsidR="00AD6E24" w:rsidRPr="001C20F6" w:rsidRDefault="00AD6E24" w:rsidP="00AD6E24">
      <w:pPr>
        <w:pStyle w:val="Heading1"/>
        <w:rPr>
          <w:lang w:val="es-ES"/>
        </w:rPr>
      </w:pPr>
      <w:r w:rsidRPr="001C20F6">
        <w:rPr>
          <w:lang w:val="es-ES"/>
        </w:rPr>
        <w:t>Se ha contratado un consultor para colaborar en el desarrollo de normas de seguridad y directrices para la instalación y el mantenimiento de equipo de refrigeración y aire acondicionado con refrigerantes inflamables, y para la celebración de talleres para las principales partes involucradas en la adopción de la norma, incluido el Comité Técnico de la Oficina Nacional de Normas.</w:t>
      </w:r>
    </w:p>
    <w:p w14:paraId="3B315420" w14:textId="77777777" w:rsidR="00AD6E24" w:rsidRPr="001C20F6" w:rsidRDefault="00AD6E24" w:rsidP="00AD6E24">
      <w:pPr>
        <w:keepNext/>
        <w:keepLines/>
        <w:rPr>
          <w:i/>
          <w:lang w:val="es-ES"/>
        </w:rPr>
      </w:pPr>
      <w:r w:rsidRPr="001C20F6">
        <w:rPr>
          <w:i/>
          <w:lang w:val="es-ES"/>
        </w:rPr>
        <w:t>Sector de mantenimiento de equipos de refrigeración</w:t>
      </w:r>
    </w:p>
    <w:p w14:paraId="6E752591" w14:textId="77777777" w:rsidR="00AD6E24" w:rsidRPr="001C20F6" w:rsidRDefault="00AD6E24" w:rsidP="00AD6E24">
      <w:pPr>
        <w:keepNext/>
        <w:keepLines/>
        <w:rPr>
          <w:lang w:val="es-ES"/>
        </w:rPr>
      </w:pPr>
    </w:p>
    <w:p w14:paraId="1F2F12A1" w14:textId="77777777" w:rsidR="00AD6E24" w:rsidRPr="001C20F6" w:rsidRDefault="00AD6E24" w:rsidP="00AD6E24">
      <w:pPr>
        <w:pStyle w:val="Heading1"/>
        <w:keepNext/>
        <w:keepLines/>
        <w:rPr>
          <w:lang w:val="es-ES"/>
        </w:rPr>
      </w:pPr>
      <w:r w:rsidRPr="001C20F6">
        <w:rPr>
          <w:lang w:val="es-ES"/>
        </w:rPr>
        <w:t>Durante el primer tramo de la etapa II del plan de gestión de la eliminación de los HCFC tuvieron lugar las siguientes actividades:</w:t>
      </w:r>
    </w:p>
    <w:p w14:paraId="6BEA7424" w14:textId="77777777" w:rsidR="00AD6E24" w:rsidRPr="001C20F6" w:rsidRDefault="00AD6E24" w:rsidP="00AD6E24">
      <w:pPr>
        <w:pStyle w:val="Heading2"/>
        <w:keepNext/>
        <w:keepLines/>
        <w:widowControl/>
        <w:rPr>
          <w:lang w:val="es-ES"/>
        </w:rPr>
      </w:pPr>
      <w:r w:rsidRPr="001C20F6">
        <w:rPr>
          <w:lang w:val="es-ES"/>
        </w:rPr>
        <w:t>Lanzamiento del proceso de adquisición de 35 conjuntos de juegos de herramientas</w:t>
      </w:r>
      <w:r w:rsidRPr="001C20F6">
        <w:rPr>
          <w:vertAlign w:val="superscript"/>
          <w:lang w:val="es-ES"/>
        </w:rPr>
        <w:footnoteReference w:id="3"/>
      </w:r>
      <w:r w:rsidRPr="001C20F6">
        <w:rPr>
          <w:lang w:val="es-ES"/>
        </w:rPr>
        <w:t xml:space="preserve"> para técnicos de equipos de refrigeración y aire acondicionado y talleres de mantenimiento; preparación del contenido de talleres sobre buenas prácticas de mantenimiento de equipos de refrigeración y procedimientos para el uso de refrigerantes con bajo potencial de calentamiento atmosférico; y formación de 175 técnicos (17 de los cuales eran mujeres) en buenas prácticas de mantenimiento de equipos de refrigeración y uso de refrigerantes con bajo potencial de calentamiento atmosférico;</w:t>
      </w:r>
    </w:p>
    <w:p w14:paraId="1C767820" w14:textId="77777777" w:rsidR="00AD6E24" w:rsidRPr="001C20F6" w:rsidRDefault="00AD6E24" w:rsidP="00AD6E24">
      <w:pPr>
        <w:pStyle w:val="Heading2"/>
        <w:rPr>
          <w:lang w:val="es-ES"/>
        </w:rPr>
      </w:pPr>
      <w:r w:rsidRPr="001C20F6">
        <w:rPr>
          <w:lang w:val="es-ES"/>
        </w:rPr>
        <w:t>Selección de centros de educación técnica para fortalecer la educación formal de los técnicos de refrigeración; asistencia técnica al SENATI (el instituto de formación más representativo del país) para actualizar su oferta de estudios; renovación del equipo de laboratorio del SENATI destinado a fines formativos; y divulgación de información sobre las normas técnicas internacionales de equipos de refrigeración y aire acondicionado que se adoptarán en el país;</w:t>
      </w:r>
    </w:p>
    <w:p w14:paraId="07EB1E99" w14:textId="77777777" w:rsidR="00AD6E24" w:rsidRPr="001C20F6" w:rsidRDefault="00AD6E24" w:rsidP="00AD6E24">
      <w:pPr>
        <w:pStyle w:val="Heading2"/>
        <w:rPr>
          <w:lang w:val="es-ES"/>
        </w:rPr>
      </w:pPr>
      <w:r w:rsidRPr="001C20F6">
        <w:rPr>
          <w:lang w:val="es-ES"/>
        </w:rPr>
        <w:t xml:space="preserve">Celebración de un taller sobre recuperación de refrigerantes, reciclaje y regeneración; visitas técnicas a tres plantas de recuperación de desechos de equipos eléctricos y electrónicos consideradas como centros potenciales para el reciclaje de refrigerantes; preparación de la lista de equipo para cinco centros de recuperación y reciclaje y los criterios para elegir dichos centros; </w:t>
      </w:r>
    </w:p>
    <w:p w14:paraId="6201852F" w14:textId="77777777" w:rsidR="00AD6E24" w:rsidRPr="001C20F6" w:rsidRDefault="00AD6E24" w:rsidP="00AD6E24">
      <w:pPr>
        <w:pStyle w:val="Heading2"/>
        <w:rPr>
          <w:lang w:val="es-ES"/>
        </w:rPr>
      </w:pPr>
      <w:r w:rsidRPr="001C20F6">
        <w:rPr>
          <w:lang w:val="es-ES"/>
        </w:rPr>
        <w:t>Inicio de las consultas preliminares relativas al desarrollo de un proyecto piloto potencial para promocionar el uso de equipos de refrigeración y aire acondicionado que usan refrigerantes con bajo potencial de calentamiento atmosférico en determinados sectores, como el pesquero; y</w:t>
      </w:r>
    </w:p>
    <w:p w14:paraId="6F5F3F5A" w14:textId="77777777" w:rsidR="00AD6E24" w:rsidRPr="001C20F6" w:rsidRDefault="00AD6E24" w:rsidP="00AD6E24">
      <w:pPr>
        <w:pStyle w:val="Heading2"/>
        <w:rPr>
          <w:lang w:val="es-ES"/>
        </w:rPr>
      </w:pPr>
      <w:r w:rsidRPr="001C20F6">
        <w:rPr>
          <w:lang w:val="es-ES"/>
        </w:rPr>
        <w:t>Ejecución de una campaña anual de sensibilización para usuarios finales y encargados de la adopción de decisiones en instituciones gubernamentales sobre el consumo responsable de los HCFC y opciones para el uso de equipos de refrigeración y aire acondicionado con bajo potencial de calentamiento atmosférico; y elaboración de material de sensibilización (como carteles y folletos) para los talleres de servicio y mantenimiento, usuarios finales y proveedores de equipos de refrigeración y aire acondicionado.</w:t>
      </w:r>
    </w:p>
    <w:p w14:paraId="340E5363" w14:textId="77777777" w:rsidR="00AD6E24" w:rsidRPr="001C20F6" w:rsidRDefault="00AD6E24" w:rsidP="002736E7">
      <w:pPr>
        <w:keepNext/>
        <w:keepLines/>
        <w:rPr>
          <w:i/>
          <w:lang w:val="es-ES"/>
        </w:rPr>
      </w:pPr>
      <w:r w:rsidRPr="001C20F6">
        <w:rPr>
          <w:i/>
          <w:lang w:val="es-ES"/>
        </w:rPr>
        <w:lastRenderedPageBreak/>
        <w:t>Unidad de ejecución de proyecto y supervisión</w:t>
      </w:r>
    </w:p>
    <w:p w14:paraId="24A1C1D3" w14:textId="77777777" w:rsidR="002736E7" w:rsidRPr="001C20F6" w:rsidRDefault="002736E7" w:rsidP="002736E7">
      <w:pPr>
        <w:keepNext/>
        <w:keepLines/>
        <w:rPr>
          <w:i/>
          <w:lang w:val="es-ES"/>
        </w:rPr>
      </w:pPr>
    </w:p>
    <w:p w14:paraId="6C9592B7" w14:textId="77777777" w:rsidR="00AD6E24" w:rsidRPr="001C20F6" w:rsidRDefault="00AD6E24" w:rsidP="00AD6E24">
      <w:pPr>
        <w:pStyle w:val="Heading1"/>
        <w:keepNext/>
        <w:keepLines/>
        <w:rPr>
          <w:lang w:val="es-ES"/>
        </w:rPr>
      </w:pPr>
      <w:r w:rsidRPr="001C20F6">
        <w:rPr>
          <w:lang w:val="es-ES"/>
        </w:rPr>
        <w:t>La unidad de ejecución de proyecto y supervisión, creada en el Ministerio de la Producción, depende directamente de la Dependencia Nacional del Ozono, bajo la supervisión y orientación del PNUD. La unidad de ejecución de proyecto y supervisión la encabeza un responsable de proyecto y cuenta con un auxiliar administrativo. El soporte técnico lo proporcionan consultores nacionales y un experto internacional en equipos de refrigeración y aire acondicionado. Los gastos incurridos por la unidad de ejecución de proyecto ascienden a 37.500 $EUA, y se desglosan como sigue: coordinador de proyecto (20.000</w:t>
      </w:r>
      <w:r w:rsidR="002736E7" w:rsidRPr="001C20F6">
        <w:rPr>
          <w:lang w:val="es-ES"/>
        </w:rPr>
        <w:t> </w:t>
      </w:r>
      <w:r w:rsidRPr="001C20F6">
        <w:rPr>
          <w:lang w:val="es-ES"/>
        </w:rPr>
        <w:t>$EUA), asistente de proyecto (10.500 $EUA), y verificación del consumo de HCFC ($7.000</w:t>
      </w:r>
      <w:r w:rsidR="002736E7" w:rsidRPr="001C20F6">
        <w:rPr>
          <w:lang w:val="es-ES"/>
        </w:rPr>
        <w:t> </w:t>
      </w:r>
      <w:r w:rsidRPr="001C20F6">
        <w:rPr>
          <w:lang w:val="es-ES"/>
        </w:rPr>
        <w:t xml:space="preserve">$EUA). </w:t>
      </w:r>
    </w:p>
    <w:p w14:paraId="412A793B" w14:textId="77777777" w:rsidR="00AD6E24" w:rsidRPr="001C20F6" w:rsidRDefault="00AD6E24" w:rsidP="00AD6E24">
      <w:pPr>
        <w:rPr>
          <w:u w:val="single"/>
          <w:lang w:val="es-ES"/>
        </w:rPr>
      </w:pPr>
      <w:r w:rsidRPr="001C20F6">
        <w:rPr>
          <w:u w:val="single"/>
          <w:lang w:val="es-ES"/>
        </w:rPr>
        <w:t>Nivel de desembolso de los fondos</w:t>
      </w:r>
    </w:p>
    <w:p w14:paraId="1579A4ED" w14:textId="77777777" w:rsidR="00AD6E24" w:rsidRPr="001C20F6" w:rsidRDefault="00AD6E24" w:rsidP="00AD6E24">
      <w:pPr>
        <w:rPr>
          <w:lang w:val="es-ES"/>
        </w:rPr>
      </w:pPr>
    </w:p>
    <w:p w14:paraId="76B8DF6D" w14:textId="77777777" w:rsidR="00AD6E24" w:rsidRPr="001C20F6" w:rsidRDefault="00AD6E24" w:rsidP="00AD6E24">
      <w:pPr>
        <w:pStyle w:val="Heading1"/>
        <w:widowControl w:val="0"/>
        <w:rPr>
          <w:lang w:val="es-ES"/>
        </w:rPr>
      </w:pPr>
      <w:r w:rsidRPr="001C20F6">
        <w:rPr>
          <w:lang w:val="es-ES"/>
        </w:rPr>
        <w:t>En marzo de 2020, de los 412.500 $EUA aprobados hasta la fecha (es decir, 350.100 $EUA para el PNUD y 62.400 $EUA para el PNUMA), se habían desembolsado 126.534 $EUA</w:t>
      </w:r>
      <w:r w:rsidR="002736E7" w:rsidRPr="001C20F6">
        <w:rPr>
          <w:lang w:val="es-ES"/>
        </w:rPr>
        <w:t xml:space="preserve"> </w:t>
      </w:r>
      <w:r w:rsidRPr="001C20F6">
        <w:rPr>
          <w:lang w:val="es-ES"/>
        </w:rPr>
        <w:t>(31 por ciento) (a saber, 105.234 $EUA para el PNUD y 21.300 $EUA para el PNUMA). El saldo de 285.966 $EUA se desembolsará en 2020-2021.</w:t>
      </w:r>
    </w:p>
    <w:p w14:paraId="2D6055CE" w14:textId="77777777" w:rsidR="00AD6E24" w:rsidRPr="001C20F6" w:rsidRDefault="00AD6E24" w:rsidP="00AD6E24">
      <w:pPr>
        <w:keepNext/>
        <w:keepLines/>
        <w:rPr>
          <w:u w:val="single"/>
          <w:lang w:val="es-ES"/>
        </w:rPr>
      </w:pPr>
      <w:r w:rsidRPr="001C20F6">
        <w:rPr>
          <w:u w:val="single"/>
          <w:lang w:val="es-ES"/>
        </w:rPr>
        <w:t>Plan de ejecución del segundo tramo de la etapa II del plan de gestión para la eliminación de los HCFC</w:t>
      </w:r>
    </w:p>
    <w:p w14:paraId="63C88764" w14:textId="77777777" w:rsidR="00AD6E24" w:rsidRPr="001C20F6" w:rsidRDefault="00AD6E24" w:rsidP="00AD6E24">
      <w:pPr>
        <w:keepNext/>
        <w:keepLines/>
        <w:rPr>
          <w:lang w:val="es-ES"/>
        </w:rPr>
      </w:pPr>
    </w:p>
    <w:p w14:paraId="1EFEF314" w14:textId="77777777" w:rsidR="00AD6E24" w:rsidRPr="001C20F6" w:rsidRDefault="00AD6E24" w:rsidP="00AD6E24">
      <w:pPr>
        <w:pStyle w:val="Heading1"/>
        <w:keepNext/>
        <w:keepLines/>
        <w:rPr>
          <w:lang w:val="es-ES"/>
        </w:rPr>
      </w:pPr>
      <w:r w:rsidRPr="001C20F6">
        <w:rPr>
          <w:lang w:val="es-ES"/>
        </w:rPr>
        <w:t>Se llevarán a cabo las siguientes actividades entre junio de 2020 y diciembre de 2021:</w:t>
      </w:r>
    </w:p>
    <w:p w14:paraId="35C00163" w14:textId="77777777" w:rsidR="00AD6E24" w:rsidRPr="001C20F6" w:rsidRDefault="00AD6E24" w:rsidP="00AD6E24">
      <w:pPr>
        <w:pStyle w:val="Heading2"/>
        <w:widowControl/>
        <w:rPr>
          <w:lang w:val="es-ES"/>
        </w:rPr>
      </w:pPr>
      <w:r w:rsidRPr="001C20F6">
        <w:rPr>
          <w:i/>
          <w:lang w:val="es-ES"/>
        </w:rPr>
        <w:t>Fortalecimiento de los sectores legal e institucional</w:t>
      </w:r>
      <w:r w:rsidRPr="001C20F6">
        <w:rPr>
          <w:lang w:val="es-ES"/>
        </w:rPr>
        <w:t>: formación de 70 funcionarios de aduanas involucrados en procedimientos de importación de HCFC y equipos que funcionan con HCFC; monitorización de la aplicación del sistemas de concesión de licencias y cuotas de importación/exportación de HCFC; monitorización de la aplicación del código mejorado aduanero armonizado; campaña de sensibilización sobre el proceso de certificación e inicio de la certificación de los técnicos de equipos de refrigeración y aire acondicionado; continuación de la asistencia técnica para la adopción de normas de seguridad para la introducción de equipos de refrigeración y aire acondicionado que funcionan sin SAO o con refrigerantes con bajo potencial de calentamiento atmosférico (incluyendo refrigerantes inflamables), y reproducción de 500 juegos de directrices (PNUMA) (41.600 $EUA);</w:t>
      </w:r>
    </w:p>
    <w:p w14:paraId="2201F282" w14:textId="77777777" w:rsidR="00AD6E24" w:rsidRPr="001C20F6" w:rsidRDefault="00AD6E24" w:rsidP="00AD6E24">
      <w:pPr>
        <w:pStyle w:val="Heading2"/>
        <w:rPr>
          <w:lang w:val="es-ES"/>
        </w:rPr>
      </w:pPr>
      <w:r w:rsidRPr="001C20F6">
        <w:rPr>
          <w:i/>
          <w:lang w:val="es-ES"/>
        </w:rPr>
        <w:t>Formación en buenas prácticas y procedimientos de refrigeración en el uso de refrigerantes con bajo potencial de calentamiento atmosférico</w:t>
      </w:r>
      <w:r w:rsidRPr="001C20F6">
        <w:rPr>
          <w:lang w:val="es-ES"/>
        </w:rPr>
        <w:t xml:space="preserve">: distribución de equipo y herramientas (35 conjuntos de juegos de herramientas para técnicos de refrigeración y aire acondicionado) y celebración de talleres adicionales para un mínimo de 100 técnicos de todo el país sobre buenas prácticas periódicas de mantenimiento y gestión adecuada de refrigerantes con bajo potencial de calentamiento atmosférico durante la instalación y el mantenimiento de equipo de refrigeración y aire acondicionado (PNUD) (51.584 $EUA); </w:t>
      </w:r>
    </w:p>
    <w:p w14:paraId="3FC119E7" w14:textId="77777777" w:rsidR="00AD6E24" w:rsidRPr="001C20F6" w:rsidRDefault="00AD6E24" w:rsidP="00AD6E24">
      <w:pPr>
        <w:pStyle w:val="Heading2"/>
        <w:rPr>
          <w:u w:val="single"/>
          <w:lang w:val="es-ES"/>
        </w:rPr>
      </w:pPr>
      <w:r w:rsidRPr="001C20F6">
        <w:rPr>
          <w:i/>
          <w:lang w:val="es-ES"/>
        </w:rPr>
        <w:t xml:space="preserve">Fortalecimiento de institutos técnicos: </w:t>
      </w:r>
      <w:r w:rsidRPr="001C20F6">
        <w:rPr>
          <w:lang w:val="es-ES"/>
        </w:rPr>
        <w:t>adquisición de instrumentos, equipos y herramientas</w:t>
      </w:r>
      <w:r w:rsidRPr="001C20F6">
        <w:rPr>
          <w:rStyle w:val="FootnoteReference"/>
          <w:lang w:val="es-ES"/>
        </w:rPr>
        <w:footnoteReference w:id="4"/>
      </w:r>
      <w:r w:rsidRPr="001C20F6">
        <w:rPr>
          <w:lang w:val="es-ES"/>
        </w:rPr>
        <w:t xml:space="preserve"> requeridos por los institutos de formación técnica para la formación de técnicos de equipos de refrigeración y aire acondicionado (PNUD) (</w:t>
      </w:r>
      <w:r w:rsidRPr="001C20F6">
        <w:rPr>
          <w:color w:val="000000"/>
          <w:szCs w:val="20"/>
          <w:lang w:val="es-ES"/>
        </w:rPr>
        <w:t>67,333 $EUA</w:t>
      </w:r>
      <w:r w:rsidRPr="001C20F6">
        <w:rPr>
          <w:i/>
          <w:lang w:val="es-ES"/>
        </w:rPr>
        <w:t>)</w:t>
      </w:r>
      <w:r w:rsidRPr="001C20F6">
        <w:rPr>
          <w:lang w:val="es-ES"/>
        </w:rPr>
        <w:t>;</w:t>
      </w:r>
    </w:p>
    <w:p w14:paraId="6E0B80FE" w14:textId="77777777" w:rsidR="00AD6E24" w:rsidRPr="001C20F6" w:rsidRDefault="00AD6E24" w:rsidP="00AD6E24">
      <w:pPr>
        <w:pStyle w:val="Heading2"/>
        <w:rPr>
          <w:lang w:val="es-ES"/>
        </w:rPr>
      </w:pPr>
      <w:r w:rsidRPr="001C20F6">
        <w:rPr>
          <w:i/>
          <w:lang w:val="es-ES"/>
        </w:rPr>
        <w:t>Puesta en marcha de centros de recuperación y reciclaje:</w:t>
      </w:r>
      <w:r w:rsidRPr="001C20F6">
        <w:rPr>
          <w:lang w:val="es-ES"/>
        </w:rPr>
        <w:t xml:space="preserve"> finalización de la adquisición de equipo</w:t>
      </w:r>
      <w:r w:rsidRPr="001C20F6">
        <w:rPr>
          <w:rStyle w:val="FootnoteReference"/>
          <w:lang w:val="es-ES"/>
        </w:rPr>
        <w:footnoteReference w:id="5"/>
      </w:r>
      <w:r w:rsidRPr="001C20F6">
        <w:rPr>
          <w:lang w:val="es-ES"/>
        </w:rPr>
        <w:t xml:space="preserve"> para tres centros de reciclaje en la capital (Lima) y dos en otras ubicaciones, e inicio de operación de los centros (PNUD)</w:t>
      </w:r>
      <w:r w:rsidRPr="001C20F6">
        <w:rPr>
          <w:i/>
          <w:lang w:val="es-ES"/>
        </w:rPr>
        <w:t xml:space="preserve"> </w:t>
      </w:r>
      <w:r w:rsidRPr="001C20F6">
        <w:rPr>
          <w:lang w:val="es-ES"/>
        </w:rPr>
        <w:t xml:space="preserve">(68.550 $EUA); </w:t>
      </w:r>
    </w:p>
    <w:p w14:paraId="4A607474" w14:textId="77777777" w:rsidR="00AD6E24" w:rsidRPr="001C20F6" w:rsidRDefault="00AD6E24" w:rsidP="00AD6E24">
      <w:pPr>
        <w:pStyle w:val="Heading2"/>
        <w:rPr>
          <w:color w:val="000000"/>
          <w:sz w:val="20"/>
          <w:szCs w:val="20"/>
          <w:lang w:val="es-ES"/>
        </w:rPr>
      </w:pPr>
      <w:r w:rsidRPr="001C20F6">
        <w:rPr>
          <w:i/>
          <w:lang w:val="es-ES"/>
        </w:rPr>
        <w:lastRenderedPageBreak/>
        <w:t>Asistencia técnica</w:t>
      </w:r>
      <w:r w:rsidRPr="001C20F6">
        <w:rPr>
          <w:lang w:val="es-ES"/>
        </w:rPr>
        <w:t>:  preparación continua de un proyecto piloto para probar la instalación de equipo con tecnología de bajo potencial de calentamiento atmosférico en un usuario final de refrigeración comercial durante un tramo futuro (PNUD) (5.000 $EUA);</w:t>
      </w:r>
    </w:p>
    <w:p w14:paraId="71605A6F" w14:textId="77777777" w:rsidR="00AD6E24" w:rsidRPr="001C20F6" w:rsidRDefault="00AD6E24" w:rsidP="00AD6E24">
      <w:pPr>
        <w:pStyle w:val="Heading2"/>
        <w:rPr>
          <w:lang w:val="es-ES"/>
        </w:rPr>
      </w:pPr>
      <w:r w:rsidRPr="001C20F6">
        <w:rPr>
          <w:i/>
          <w:lang w:val="es-ES"/>
        </w:rPr>
        <w:t>Promoción de alternativas para la reducción del consumo de HCFC y el uso de equipos de refrigeración y aire acondicionado con refrigerantes con bajo potencial de calentamiento atmosférico en sectores clave</w:t>
      </w:r>
      <w:r w:rsidRPr="001C20F6">
        <w:rPr>
          <w:lang w:val="es-ES"/>
        </w:rPr>
        <w:t>: diseño, reproducción y distribución de material de sensibilización (carteles para talleres de formación y otros actos, folletos técnicos sobre buenas prácticas de refrigeración y aire acondicionado, infografías para fomentar la puesta en marcha de centros de recuperación y reciclaje) con el fin de apoyar la ejecución de las actividades de la etapa II en el sector de mantenimiento de equipos de refrigeración (PNUD) (19.933 $EUA); y</w:t>
      </w:r>
    </w:p>
    <w:p w14:paraId="187A3B6E" w14:textId="77777777" w:rsidR="00AD6E24" w:rsidRPr="001C20F6" w:rsidRDefault="00AD6E24" w:rsidP="00AD6E24">
      <w:pPr>
        <w:pStyle w:val="Heading2"/>
        <w:rPr>
          <w:lang w:val="es-ES"/>
        </w:rPr>
      </w:pPr>
      <w:r w:rsidRPr="001C20F6">
        <w:rPr>
          <w:i/>
          <w:lang w:val="es-ES"/>
        </w:rPr>
        <w:t>Unidad de gestión de proyectos</w:t>
      </w:r>
      <w:r w:rsidRPr="001C20F6">
        <w:rPr>
          <w:lang w:val="es-ES"/>
        </w:rPr>
        <w:t xml:space="preserve">: </w:t>
      </w:r>
      <w:r w:rsidRPr="001C20F6">
        <w:rPr>
          <w:color w:val="000000"/>
          <w:lang w:val="es-ES"/>
        </w:rPr>
        <w:t xml:space="preserve">monitorización de proyectos en el marco del plan de gestión de la eliminación de los HCFC, preparación de informes anuales de progreso, celebración de reuniones para planificar o monitorizar la ejecución de las actividades con las partes implicadas, y verificación </w:t>
      </w:r>
      <w:r w:rsidRPr="001C20F6">
        <w:rPr>
          <w:lang w:val="es-ES"/>
        </w:rPr>
        <w:t>del consumo de HCFC (PNUD) (21.000 $EUA, incluyendo 11.000 $EUA para un coordinador de proyecto, 3.000 $EUA para un asistente de proyecto y 7.000 $EUA para verificación).</w:t>
      </w:r>
    </w:p>
    <w:p w14:paraId="24469C0A" w14:textId="77777777" w:rsidR="001857B2" w:rsidRPr="001C20F6" w:rsidRDefault="001857B2" w:rsidP="001857B2">
      <w:pPr>
        <w:rPr>
          <w:lang w:val="es-ES"/>
        </w:rPr>
      </w:pPr>
    </w:p>
    <w:p w14:paraId="43DD047F" w14:textId="77777777" w:rsidR="00AD6E24" w:rsidRPr="001C20F6" w:rsidRDefault="00AD6E24" w:rsidP="00AD6E24">
      <w:pPr>
        <w:keepNext/>
        <w:keepLines/>
        <w:jc w:val="center"/>
        <w:rPr>
          <w:b/>
          <w:lang w:val="es-ES"/>
        </w:rPr>
      </w:pPr>
      <w:r w:rsidRPr="001C20F6">
        <w:rPr>
          <w:b/>
          <w:lang w:val="es-ES"/>
        </w:rPr>
        <w:t>OBSERVACIONES Y RECOMENDACIÓN DE LA SECRETARÍA</w:t>
      </w:r>
    </w:p>
    <w:p w14:paraId="11026650" w14:textId="77777777" w:rsidR="00AD6E24" w:rsidRPr="001C20F6" w:rsidRDefault="00AD6E24" w:rsidP="00AD6E24">
      <w:pPr>
        <w:keepNext/>
        <w:keepLines/>
        <w:rPr>
          <w:lang w:val="es-ES"/>
        </w:rPr>
      </w:pPr>
    </w:p>
    <w:p w14:paraId="241BCD4D" w14:textId="77777777" w:rsidR="00AD6E24" w:rsidRPr="001C20F6" w:rsidRDefault="00AD6E24" w:rsidP="00AD6E24">
      <w:pPr>
        <w:keepNext/>
        <w:keepLines/>
        <w:rPr>
          <w:b/>
          <w:lang w:val="es-ES"/>
        </w:rPr>
      </w:pPr>
      <w:r w:rsidRPr="001C20F6">
        <w:rPr>
          <w:b/>
          <w:lang w:val="es-ES"/>
        </w:rPr>
        <w:t>OBSERVACIONES</w:t>
      </w:r>
    </w:p>
    <w:p w14:paraId="599FCC54" w14:textId="77777777" w:rsidR="00AD6E24" w:rsidRPr="001C20F6" w:rsidRDefault="00AD6E24" w:rsidP="00AD6E24">
      <w:pPr>
        <w:keepNext/>
        <w:keepLines/>
        <w:rPr>
          <w:lang w:val="es-ES"/>
        </w:rPr>
      </w:pPr>
    </w:p>
    <w:p w14:paraId="626E85AF" w14:textId="77777777" w:rsidR="00AD6E24" w:rsidRPr="001C20F6" w:rsidRDefault="00AD6E24" w:rsidP="00AD6E24">
      <w:pPr>
        <w:keepNext/>
        <w:keepLines/>
        <w:rPr>
          <w:u w:val="single"/>
          <w:lang w:val="es-ES"/>
        </w:rPr>
      </w:pPr>
      <w:r w:rsidRPr="001C20F6">
        <w:rPr>
          <w:u w:val="single"/>
          <w:lang w:val="es-ES"/>
        </w:rPr>
        <w:t>Informe sobre la marcha de las actividades de ejecución del primer tramo del plan de gestión de la eliminación de los HCFC</w:t>
      </w:r>
    </w:p>
    <w:p w14:paraId="450B7C3E" w14:textId="77777777" w:rsidR="00AD6E24" w:rsidRPr="001C20F6" w:rsidRDefault="00AD6E24" w:rsidP="00AD6E24">
      <w:pPr>
        <w:keepNext/>
        <w:keepLines/>
        <w:rPr>
          <w:lang w:val="es-ES"/>
        </w:rPr>
      </w:pPr>
    </w:p>
    <w:p w14:paraId="64AA1F0D" w14:textId="77777777" w:rsidR="00AD6E24" w:rsidRPr="001C20F6" w:rsidRDefault="00AD6E24" w:rsidP="00AD6E24">
      <w:pPr>
        <w:pStyle w:val="Heading1"/>
        <w:keepNext/>
        <w:keepLines/>
        <w:rPr>
          <w:lang w:val="es-ES"/>
        </w:rPr>
      </w:pPr>
      <w:r w:rsidRPr="001C20F6">
        <w:rPr>
          <w:lang w:val="es-ES"/>
        </w:rPr>
        <w:t xml:space="preserve">La Secretaría tomó nota de que la ejecución del primer tramo de la etapa II del plan de gestión de la eliminación de los HCFC se retrasó debido al cambio de personal en la Dirección General del Medio Ambiente. El PNUD confirmó que se han resuelto las cuestiones administrativas y que la ejecución está en marcha dentro del cronograma establecido en el Acuerdo entre el Gobierno de Perú y el Comité Ejecutivo. </w:t>
      </w:r>
    </w:p>
    <w:p w14:paraId="6D762F54" w14:textId="77777777" w:rsidR="00AD6E24" w:rsidRPr="001C20F6" w:rsidRDefault="00AD6E24" w:rsidP="00AD6E24">
      <w:pPr>
        <w:pStyle w:val="Heading1"/>
        <w:numPr>
          <w:ilvl w:val="0"/>
          <w:numId w:val="0"/>
        </w:numPr>
        <w:rPr>
          <w:lang w:val="es-ES"/>
        </w:rPr>
      </w:pPr>
      <w:r w:rsidRPr="001C20F6">
        <w:rPr>
          <w:i/>
          <w:lang w:val="es-ES"/>
        </w:rPr>
        <w:t>Marco jurídico</w:t>
      </w:r>
    </w:p>
    <w:p w14:paraId="6A02A226" w14:textId="77777777" w:rsidR="00AD6E24" w:rsidRPr="001C20F6" w:rsidRDefault="00AD6E24" w:rsidP="00AD6E24">
      <w:pPr>
        <w:pStyle w:val="Heading1"/>
        <w:rPr>
          <w:lang w:val="es-ES"/>
        </w:rPr>
      </w:pPr>
      <w:r w:rsidRPr="001C20F6">
        <w:rPr>
          <w:lang w:val="es-ES"/>
        </w:rPr>
        <w:t>El Gobierno de Perú ha asignado ya cuotas de importación de HCFC para 2020, conforme a los objetivos de control del Protocolo de Montreal.</w:t>
      </w:r>
    </w:p>
    <w:p w14:paraId="021376BB" w14:textId="77777777" w:rsidR="00AD6E24" w:rsidRPr="001C20F6" w:rsidRDefault="00AD6E24" w:rsidP="00AD6E24">
      <w:pPr>
        <w:rPr>
          <w:i/>
          <w:lang w:val="es-ES"/>
        </w:rPr>
      </w:pPr>
      <w:r w:rsidRPr="001C20F6">
        <w:rPr>
          <w:i/>
          <w:lang w:val="es-ES"/>
        </w:rPr>
        <w:t>Espumas de poliuretano</w:t>
      </w:r>
    </w:p>
    <w:p w14:paraId="3FBE9F21" w14:textId="77777777" w:rsidR="00AD6E24" w:rsidRPr="001C20F6" w:rsidRDefault="00AD6E24" w:rsidP="00AD6E24">
      <w:pPr>
        <w:rPr>
          <w:i/>
          <w:lang w:val="es-ES"/>
        </w:rPr>
      </w:pPr>
    </w:p>
    <w:p w14:paraId="0EEB7B80" w14:textId="77777777" w:rsidR="00AD6E24" w:rsidRPr="001C20F6" w:rsidRDefault="00AD6E24" w:rsidP="00AD6E24">
      <w:pPr>
        <w:pStyle w:val="Heading1"/>
        <w:rPr>
          <w:lang w:val="es-ES"/>
        </w:rPr>
      </w:pPr>
      <w:r w:rsidRPr="001C20F6">
        <w:rPr>
          <w:lang w:val="es-ES"/>
        </w:rPr>
        <w:t>En la reunión 80ª, en la aprobación de la etapa II del plan de gestión de la eliminación de los HCFC, el Comité Ejecutivo permitió al Gobierno de Perú la presentación en una reunión futura de un plan sectorial de espumas de poliuretano para la eliminación de HCFC-141b contenido en los polioles premezclados importados, cuando haya tecnologías rentables disponibles en el mercado con bajo potencial de calentamiento atmosférico (decisión 80/59 b) iii)). Tomando nota de que en 2019 aproximadamente el 50 por ciento de los sistemas de polioles premezclados importados eran de HFC, HFO y ciclopentano, el PNUD informó de que el Gobierno estaba considerando no presentar un proyecto de espumas de poliuretano durante la etapa II del plan de gestión de la eliminación de los HCFC.</w:t>
      </w:r>
    </w:p>
    <w:p w14:paraId="7AEDA50E" w14:textId="77777777" w:rsidR="00AD6E24" w:rsidRPr="001C20F6" w:rsidRDefault="00AD6E24" w:rsidP="001C20F6">
      <w:pPr>
        <w:keepNext/>
        <w:keepLines/>
        <w:rPr>
          <w:i/>
          <w:lang w:val="es-ES"/>
        </w:rPr>
      </w:pPr>
      <w:r w:rsidRPr="001C20F6">
        <w:rPr>
          <w:i/>
          <w:lang w:val="es-ES"/>
        </w:rPr>
        <w:lastRenderedPageBreak/>
        <w:t>Sector de mantenimiento de equipos de refrigeración</w:t>
      </w:r>
    </w:p>
    <w:p w14:paraId="09E1F5D6" w14:textId="77777777" w:rsidR="00A5076C" w:rsidRPr="001C20F6" w:rsidRDefault="00A5076C" w:rsidP="001C20F6">
      <w:pPr>
        <w:keepNext/>
        <w:keepLines/>
        <w:rPr>
          <w:i/>
          <w:lang w:val="es-ES"/>
        </w:rPr>
      </w:pPr>
    </w:p>
    <w:p w14:paraId="3CA0CE03" w14:textId="77777777" w:rsidR="00AD6E24" w:rsidRPr="001C20F6" w:rsidRDefault="00AD6E24" w:rsidP="001C20F6">
      <w:pPr>
        <w:pStyle w:val="Heading1"/>
        <w:keepNext/>
        <w:keepLines/>
        <w:rPr>
          <w:lang w:val="es-ES"/>
        </w:rPr>
      </w:pPr>
      <w:r w:rsidRPr="001C20F6">
        <w:rPr>
          <w:lang w:val="es-ES"/>
        </w:rPr>
        <w:t xml:space="preserve">Con la información proporcionada sobre el modo de lograr la autosostenibilidad de la red de recuperación, reciclaje y regeneración, el PNUD explicó que en la primera etapa se pondrían en marcha cinco centros de recuperación y reciclaje, y la capacidad de regeneración solo se consideraría en un futuro para un máximo de dos centros. Según el análisis, el coste estimado de reciclar HCFC de 2,00 $EUA/kg está por debajo del valor de mercado de HCFC-22 virgen de 10 $EUA/kg. El Ministerio de la Producción está seleccionando actualmente cinco centros para la recuperación y el reciclaje mediante un proceso competitivo abierto basado en criterios que incluyen: un mínimo de cinco años de trabajo en el sector de equipos de refrigeración y aire acondicionado, capacidad técnica de operación, capacidad eléctrica suficiente para la operación del equipo de recuperación y reciclaje, disponibilidad de entre 50 y 70 metros cuadrados para el equipo; y voluntad de firmar un acuerdo con la Dependencia Nacional del Ozono para la formación. Los operadores seleccionados no deben tener deudas pendientes con el Gobierno y no se permite la transmisión de determinados costes (arrendamientos y suministros públicos) al establecer el precio del HCFC-22 reciclado. </w:t>
      </w:r>
    </w:p>
    <w:p w14:paraId="000C1692" w14:textId="77777777" w:rsidR="00AD6E24" w:rsidRPr="001C20F6" w:rsidRDefault="00AD6E24" w:rsidP="00AD6E24">
      <w:pPr>
        <w:pStyle w:val="Heading1"/>
        <w:rPr>
          <w:lang w:val="es-ES"/>
        </w:rPr>
      </w:pPr>
      <w:r w:rsidRPr="001C20F6">
        <w:rPr>
          <w:lang w:val="es-ES"/>
        </w:rPr>
        <w:t>Si bien todos los centros recibirán equipo básico, también deberán cofinanciar equipo para la limpieza y la inspección de cilindros, y para el embalaje y el almacenamiento del aceite contaminado; aspiradora de polvo; termómetro digital; y etiquetas para identificar el HCFC-22 reciclado.</w:t>
      </w:r>
    </w:p>
    <w:p w14:paraId="6ACA8B78" w14:textId="77777777" w:rsidR="00AD6E24" w:rsidRPr="001C20F6" w:rsidRDefault="00AD6E24" w:rsidP="00AD6E24">
      <w:pPr>
        <w:pStyle w:val="Heading1"/>
        <w:rPr>
          <w:lang w:val="es-ES"/>
        </w:rPr>
      </w:pPr>
      <w:r w:rsidRPr="001C20F6">
        <w:rPr>
          <w:lang w:val="es-ES"/>
        </w:rPr>
        <w:t>Como respuesta a una pregunta sobre el limitado progreso de la ejecución del proyecto piloto de usuario final, el PNUD informó de que la ejecución del proyecto estaba programada para el cuarto año de la etapa II: el objetivo es dar la prioridad a usuarios con un consumo significativo de HCFC-22 o con grandes cuotas otorgadas. Por ejemplo, las empresas del sector pesquero se han considerado prioritarias, dada su importancia para la economía y la replicabilidad potencial de las intervenciones. Se han mantenido discusiones preliminares con usuarios, especialmente en el sector comercial, que podrían introducir equipo de refrigeración con refrigerantes con bajo potencial de calentamiento atmosférico. Todavía no han tenido lugar discusiones sobre cómo el Gobierno tendría en cuenta la decisión 84/84</w:t>
      </w:r>
      <w:r w:rsidRPr="001C20F6">
        <w:rPr>
          <w:rStyle w:val="FootnoteReference"/>
          <w:lang w:val="es-ES"/>
        </w:rPr>
        <w:footnoteReference w:id="6"/>
      </w:r>
      <w:r w:rsidRPr="001C20F6">
        <w:rPr>
          <w:lang w:val="es-ES"/>
        </w:rPr>
        <w:t xml:space="preserve"> y escalaría la tecnología, pero dichos elementos se considerarán una vez puesto en marcha el proyecto.</w:t>
      </w:r>
    </w:p>
    <w:p w14:paraId="77556FC8" w14:textId="77777777" w:rsidR="00AD6E24" w:rsidRPr="001C20F6" w:rsidRDefault="00AD6E24" w:rsidP="00AD6E24">
      <w:pPr>
        <w:rPr>
          <w:iCs/>
          <w:u w:val="single"/>
          <w:lang w:val="es-ES"/>
        </w:rPr>
      </w:pPr>
      <w:r w:rsidRPr="001C20F6">
        <w:rPr>
          <w:iCs/>
          <w:u w:val="single"/>
          <w:lang w:val="es-ES"/>
        </w:rPr>
        <w:t>Aplicación de políticas de género</w:t>
      </w:r>
      <w:r w:rsidRPr="001C20F6">
        <w:rPr>
          <w:rStyle w:val="FootnoteReference"/>
          <w:iCs/>
          <w:u w:val="single"/>
          <w:lang w:val="es-ES"/>
        </w:rPr>
        <w:footnoteReference w:id="7"/>
      </w:r>
    </w:p>
    <w:p w14:paraId="23AE3695" w14:textId="77777777" w:rsidR="00AD6E24" w:rsidRPr="001C20F6" w:rsidRDefault="00AD6E24" w:rsidP="00AD6E24">
      <w:pPr>
        <w:rPr>
          <w:lang w:val="es-ES"/>
        </w:rPr>
      </w:pPr>
    </w:p>
    <w:p w14:paraId="6D70AD65" w14:textId="77777777" w:rsidR="00AD6E24" w:rsidRPr="001C20F6" w:rsidRDefault="00AD6E24" w:rsidP="00AD6E24">
      <w:pPr>
        <w:pStyle w:val="Heading1"/>
        <w:rPr>
          <w:rFonts w:eastAsia="SimSun"/>
          <w:iCs/>
          <w:lang w:val="es-ES"/>
        </w:rPr>
      </w:pPr>
      <w:r w:rsidRPr="001C20F6">
        <w:rPr>
          <w:lang w:val="es-ES"/>
        </w:rPr>
        <w:t xml:space="preserve">La Secretaría tomó nota de que, durante la ejecución del primer tramo, el Gobierno de Perú y el PNUD formaron a 17 mujeres técnicos, lo que representó el 11 por ciento del personal técnico formado durante este periodo. En consonancia con el mandato de fomentar la igualdad de género, el Gobierno de Perú ha simplificado las cuestiones de género en el trabajo en el marco del Protocolo de Montreal. Algunas de las actividades específicas de género realizadas fueron: talleres/formación específicos para mujeres; esfuerzos para lograr un mayor equilibro de género entre los expertos/formadores contratados y los participantes de formación/talleres; y la introducción de las cuestiones de género en las sesiones de formación y los materiales de formación (presentación de datos desglosados por sexo y gráficos de participación de hombres y mujeres cuando fuera aplicable; presentación de los diferentes efectos de los productos químicos en las mujeres y los hombres). Además, todos los informes informan del progreso/impacto relativo al género en los hombres y las mujeres, y los desafíos respectivos, tanto de manera cuantitativa como cualitativa. </w:t>
      </w:r>
    </w:p>
    <w:p w14:paraId="16B8EF89" w14:textId="77777777" w:rsidR="00AD6E24" w:rsidRPr="001C20F6" w:rsidRDefault="00AD6E24" w:rsidP="00AD6E24">
      <w:pPr>
        <w:keepNext/>
        <w:keepLines/>
        <w:rPr>
          <w:u w:val="single"/>
          <w:lang w:val="es-ES"/>
        </w:rPr>
      </w:pPr>
      <w:r w:rsidRPr="001C20F6">
        <w:rPr>
          <w:u w:val="single"/>
          <w:lang w:val="es-ES"/>
        </w:rPr>
        <w:t xml:space="preserve">Sostenibilidad de la eliminación de los HCFC  </w:t>
      </w:r>
    </w:p>
    <w:p w14:paraId="4FCA075A" w14:textId="77777777" w:rsidR="00AD6E24" w:rsidRPr="001C20F6" w:rsidRDefault="00AD6E24" w:rsidP="00AD6E24">
      <w:pPr>
        <w:keepNext/>
        <w:keepLines/>
        <w:rPr>
          <w:u w:val="single"/>
          <w:lang w:val="es-ES"/>
        </w:rPr>
      </w:pPr>
    </w:p>
    <w:p w14:paraId="1488E476" w14:textId="77777777" w:rsidR="00AD6E24" w:rsidRPr="001C20F6" w:rsidRDefault="00AD6E24" w:rsidP="00AD6E24">
      <w:pPr>
        <w:pStyle w:val="Heading1"/>
        <w:rPr>
          <w:lang w:val="es-ES"/>
        </w:rPr>
      </w:pPr>
      <w:r w:rsidRPr="001C20F6">
        <w:rPr>
          <w:lang w:val="es-ES"/>
        </w:rPr>
        <w:t xml:space="preserve">La prohibición de la importación de HCFC-141b puro desde el 1 de enero de 2017 ha tenido como consecuencia la eliminación del uso de esta sustancia para la limpieza de sistemas de refrigeración y aire </w:t>
      </w:r>
      <w:r w:rsidRPr="001C20F6">
        <w:rPr>
          <w:lang w:val="es-ES"/>
        </w:rPr>
        <w:lastRenderedPageBreak/>
        <w:t>acondicionado en el sector de mantenimiento de dichos sistemas. El Gobierno de Perú también ha trabajado junto con el departamento de aduanas y los institutos de formación técnica para asegurar que la información relativa al Protocolo de Montreal se incluya en los programas periódicos de formación. El departamento de aduanas ha incluido en el programa de su instituto de formación información relevante sobre el Protocolo de Montreal y otros acuerdos medioambientales. En el sector de mantenimiento de equipos de refrigeración, el SENATI ha recibido asistencia técnica para actualizar su cartera de estudios, y además del programa regular sobre las buenas prácticas de mantenimiento que ya ofrecen los institutos de formación técnica, la asociación de técnicos también imparte formación a sus miembros. Estas medidas facilitarán asegurar la sostenibilidad de la eliminación de los HCFC.</w:t>
      </w:r>
    </w:p>
    <w:p w14:paraId="62B13165" w14:textId="77777777" w:rsidR="00AD6E24" w:rsidRPr="001C20F6" w:rsidRDefault="00AD6E24" w:rsidP="00AD6E24">
      <w:pPr>
        <w:rPr>
          <w:u w:val="single"/>
          <w:lang w:val="es-ES"/>
        </w:rPr>
      </w:pPr>
      <w:r w:rsidRPr="001C20F6">
        <w:rPr>
          <w:u w:val="single"/>
          <w:lang w:val="es-ES"/>
        </w:rPr>
        <w:t xml:space="preserve">Conclusión </w:t>
      </w:r>
    </w:p>
    <w:p w14:paraId="42C0E82D" w14:textId="77777777" w:rsidR="00AD6E24" w:rsidRPr="001C20F6" w:rsidRDefault="00AD6E24" w:rsidP="00AD6E24">
      <w:pPr>
        <w:rPr>
          <w:lang w:val="es-ES"/>
        </w:rPr>
      </w:pPr>
    </w:p>
    <w:p w14:paraId="7D97E32E" w14:textId="77777777" w:rsidR="00AD6E24" w:rsidRPr="001C20F6" w:rsidRDefault="00AD6E24" w:rsidP="00AD6E24">
      <w:pPr>
        <w:pStyle w:val="Heading1"/>
        <w:rPr>
          <w:lang w:val="es-ES"/>
        </w:rPr>
      </w:pPr>
      <w:r w:rsidRPr="001C20F6">
        <w:rPr>
          <w:lang w:val="es-ES"/>
        </w:rPr>
        <w:t xml:space="preserve">El sistema de importación, concesión de licencias y cuotas de HCFC establecido por el Gobierno de Perú está operativo y el país está en situación de cumplimiento del Protocolo de Montreal y su Acuerdo con el Comité Ejecutivo. El 1 de enero de 2017 entró en vigor la prohibición de importar HCFC-141b puro. El retraso inicial en la ejecución de la etapa II del plan de gestión de la eliminación de los HCFC ya se ha resuelto. Se ha formado a un total de 175 técnicos en equipos de refrigeración y medio ambiente, se están adquiriendo 35 conjuntos de juegos de herramientas para su distribución a técnicos de diferentes provincias, se están seleccionando cinco centros de recuperación y reciclaje, se han fortalecido tres institutos de formación con asistencia técnica y además recibirán equipos y herramientas, se está desarrollando un esquema de certificación para técnicos y se prevé que entre en funcionamiento en 2020, y también ha comenzado el proceso para la adopción de normas y directrices de seguridad para refrigerantes inflamables. El total de fondos desembolsados ha alcanzado el 31 por ciento. Visto los progresos realizados, la Secretaría recomienda la aprobación del segundo tramo. </w:t>
      </w:r>
    </w:p>
    <w:p w14:paraId="46F35DF0" w14:textId="77777777" w:rsidR="00AD6E24" w:rsidRPr="001C20F6" w:rsidRDefault="00AD6E24" w:rsidP="00AD6E24">
      <w:pPr>
        <w:keepNext/>
        <w:rPr>
          <w:highlight w:val="magenta"/>
          <w:lang w:val="es-ES"/>
        </w:rPr>
      </w:pPr>
      <w:r w:rsidRPr="001C20F6">
        <w:rPr>
          <w:b/>
          <w:lang w:val="es-ES"/>
        </w:rPr>
        <w:t xml:space="preserve">RECOMENDACIÓN </w:t>
      </w:r>
    </w:p>
    <w:p w14:paraId="01678E58" w14:textId="77777777" w:rsidR="00AD6E24" w:rsidRPr="001C20F6" w:rsidRDefault="00AD6E24" w:rsidP="00AD6E24">
      <w:pPr>
        <w:keepNext/>
        <w:rPr>
          <w:lang w:val="es-ES"/>
        </w:rPr>
      </w:pPr>
    </w:p>
    <w:p w14:paraId="7CCC6463" w14:textId="77777777" w:rsidR="00AD6E24" w:rsidRPr="001C20F6" w:rsidRDefault="00AD6E24" w:rsidP="00AD6E24">
      <w:pPr>
        <w:pStyle w:val="Heading1"/>
        <w:keepNext/>
        <w:rPr>
          <w:lang w:val="es-ES"/>
        </w:rPr>
      </w:pPr>
      <w:r w:rsidRPr="001C20F6">
        <w:rPr>
          <w:lang w:val="es-ES"/>
        </w:rPr>
        <w:t>La Secretaría del Fondo recomienda al Comité Ejecutivo tomar nota del informe sobre la marcha de las actividades de ejecución del primer tramo de la etapa II del plan de gestión de la eliminación de los HCFC para Perú; y además recomienda la aprobación general del segundo tramo de la etapa II del plan de gestión de la eliminación de los HCFC, y el plan correspondiente de ejecución del tramo para 2020-2021, con los niveles de financiación que se indican en el cuadro que figura a continuación: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135"/>
        <w:gridCol w:w="1590"/>
        <w:gridCol w:w="1590"/>
        <w:gridCol w:w="1590"/>
      </w:tblGrid>
      <w:tr w:rsidR="00AD6E24" w:rsidRPr="001C20F6" w14:paraId="584CFF2B" w14:textId="77777777" w:rsidTr="002736E7">
        <w:tc>
          <w:tcPr>
            <w:tcW w:w="540" w:type="dxa"/>
          </w:tcPr>
          <w:p w14:paraId="4834206D" w14:textId="77777777" w:rsidR="00AD6E24" w:rsidRPr="001C20F6" w:rsidRDefault="00AD6E24" w:rsidP="002736E7">
            <w:pPr>
              <w:jc w:val="center"/>
              <w:rPr>
                <w:b/>
                <w:bCs/>
                <w:sz w:val="21"/>
                <w:szCs w:val="21"/>
                <w:lang w:val="es-ES"/>
              </w:rPr>
            </w:pPr>
          </w:p>
        </w:tc>
        <w:tc>
          <w:tcPr>
            <w:tcW w:w="4135" w:type="dxa"/>
            <w:vAlign w:val="center"/>
          </w:tcPr>
          <w:p w14:paraId="12CCE1B9" w14:textId="77777777" w:rsidR="00AD6E24" w:rsidRPr="001C20F6" w:rsidRDefault="00AD6E24" w:rsidP="002736E7">
            <w:pPr>
              <w:jc w:val="left"/>
              <w:rPr>
                <w:b/>
                <w:bCs/>
                <w:sz w:val="21"/>
                <w:szCs w:val="21"/>
                <w:lang w:val="es-ES"/>
              </w:rPr>
            </w:pPr>
            <w:r w:rsidRPr="001C20F6">
              <w:rPr>
                <w:b/>
                <w:bCs/>
                <w:sz w:val="21"/>
                <w:szCs w:val="21"/>
                <w:lang w:val="es-ES"/>
              </w:rPr>
              <w:t>Título del proyecto</w:t>
            </w:r>
          </w:p>
        </w:tc>
        <w:tc>
          <w:tcPr>
            <w:tcW w:w="1590" w:type="dxa"/>
            <w:tcMar>
              <w:left w:w="29" w:type="dxa"/>
              <w:right w:w="29" w:type="dxa"/>
            </w:tcMar>
          </w:tcPr>
          <w:p w14:paraId="58FC2DCD" w14:textId="77777777" w:rsidR="00AD6E24" w:rsidRPr="001C20F6" w:rsidRDefault="00AD6E24" w:rsidP="002736E7">
            <w:pPr>
              <w:jc w:val="center"/>
              <w:rPr>
                <w:b/>
                <w:bCs/>
                <w:sz w:val="21"/>
                <w:szCs w:val="21"/>
                <w:lang w:val="es-ES"/>
              </w:rPr>
            </w:pPr>
            <w:r w:rsidRPr="001C20F6">
              <w:rPr>
                <w:b/>
                <w:bCs/>
                <w:sz w:val="21"/>
                <w:szCs w:val="21"/>
                <w:lang w:val="es-ES"/>
              </w:rPr>
              <w:t>Financiación del proyecto ($EUA)</w:t>
            </w:r>
          </w:p>
        </w:tc>
        <w:tc>
          <w:tcPr>
            <w:tcW w:w="1590" w:type="dxa"/>
            <w:tcMar>
              <w:left w:w="29" w:type="dxa"/>
              <w:right w:w="29" w:type="dxa"/>
            </w:tcMar>
          </w:tcPr>
          <w:p w14:paraId="5D760922" w14:textId="77777777" w:rsidR="00AD6E24" w:rsidRPr="001C20F6" w:rsidRDefault="00AD6E24" w:rsidP="002736E7">
            <w:pPr>
              <w:jc w:val="center"/>
              <w:rPr>
                <w:b/>
                <w:bCs/>
                <w:sz w:val="21"/>
                <w:szCs w:val="21"/>
                <w:lang w:val="es-ES"/>
              </w:rPr>
            </w:pPr>
            <w:r w:rsidRPr="001C20F6">
              <w:rPr>
                <w:b/>
                <w:bCs/>
                <w:sz w:val="21"/>
                <w:szCs w:val="21"/>
                <w:lang w:val="es-ES"/>
              </w:rPr>
              <w:t>Gastos de apoyo ($EUA)</w:t>
            </w:r>
          </w:p>
        </w:tc>
        <w:tc>
          <w:tcPr>
            <w:tcW w:w="1590" w:type="dxa"/>
            <w:tcMar>
              <w:left w:w="29" w:type="dxa"/>
              <w:right w:w="29" w:type="dxa"/>
            </w:tcMar>
          </w:tcPr>
          <w:p w14:paraId="14493A44" w14:textId="77777777" w:rsidR="00AD6E24" w:rsidRPr="001C20F6" w:rsidRDefault="00AD6E24" w:rsidP="002736E7">
            <w:pPr>
              <w:jc w:val="center"/>
              <w:rPr>
                <w:b/>
                <w:bCs/>
                <w:sz w:val="21"/>
                <w:szCs w:val="21"/>
                <w:lang w:val="es-ES"/>
              </w:rPr>
            </w:pPr>
            <w:r w:rsidRPr="001C20F6">
              <w:rPr>
                <w:b/>
                <w:bCs/>
                <w:sz w:val="21"/>
                <w:szCs w:val="21"/>
                <w:lang w:val="es-ES"/>
              </w:rPr>
              <w:t>Organismo de ejecución</w:t>
            </w:r>
          </w:p>
        </w:tc>
      </w:tr>
      <w:tr w:rsidR="00AD6E24" w:rsidRPr="001C20F6" w14:paraId="12FC856D" w14:textId="77777777" w:rsidTr="002736E7">
        <w:tc>
          <w:tcPr>
            <w:tcW w:w="540" w:type="dxa"/>
          </w:tcPr>
          <w:p w14:paraId="1CE604DE" w14:textId="77777777" w:rsidR="00AD6E24" w:rsidRPr="001C20F6" w:rsidRDefault="00AD6E24" w:rsidP="002736E7">
            <w:pPr>
              <w:rPr>
                <w:sz w:val="21"/>
                <w:szCs w:val="21"/>
                <w:lang w:val="es-ES"/>
              </w:rPr>
            </w:pPr>
            <w:r w:rsidRPr="001C20F6">
              <w:rPr>
                <w:sz w:val="21"/>
                <w:szCs w:val="21"/>
                <w:lang w:val="es-ES"/>
              </w:rPr>
              <w:t>a)</w:t>
            </w:r>
          </w:p>
        </w:tc>
        <w:tc>
          <w:tcPr>
            <w:tcW w:w="4135" w:type="dxa"/>
            <w:vAlign w:val="center"/>
          </w:tcPr>
          <w:p w14:paraId="3F556FDF" w14:textId="77777777" w:rsidR="00AD6E24" w:rsidRPr="001C20F6" w:rsidRDefault="00AD6E24" w:rsidP="002736E7">
            <w:pPr>
              <w:jc w:val="left"/>
              <w:rPr>
                <w:sz w:val="21"/>
                <w:szCs w:val="21"/>
                <w:lang w:val="es-ES"/>
              </w:rPr>
            </w:pPr>
            <w:r w:rsidRPr="001C20F6">
              <w:rPr>
                <w:sz w:val="21"/>
                <w:szCs w:val="21"/>
                <w:lang w:val="es-ES"/>
              </w:rPr>
              <w:t>Plan de gestión de la eliminación de los HCFC (etapa II, segundo tramo)</w:t>
            </w:r>
          </w:p>
        </w:tc>
        <w:tc>
          <w:tcPr>
            <w:tcW w:w="1590" w:type="dxa"/>
            <w:tcMar>
              <w:left w:w="115" w:type="dxa"/>
              <w:right w:w="216" w:type="dxa"/>
            </w:tcMar>
          </w:tcPr>
          <w:p w14:paraId="4BB192D5" w14:textId="77777777" w:rsidR="00AD6E24" w:rsidRPr="001C20F6" w:rsidRDefault="00AD6E24" w:rsidP="002736E7">
            <w:pPr>
              <w:jc w:val="right"/>
              <w:rPr>
                <w:sz w:val="21"/>
                <w:szCs w:val="21"/>
                <w:highlight w:val="cyan"/>
                <w:lang w:val="es-ES"/>
              </w:rPr>
            </w:pPr>
            <w:r w:rsidRPr="001C20F6">
              <w:rPr>
                <w:sz w:val="21"/>
                <w:szCs w:val="21"/>
                <w:lang w:val="es-ES"/>
              </w:rPr>
              <w:t>233.400</w:t>
            </w:r>
          </w:p>
        </w:tc>
        <w:tc>
          <w:tcPr>
            <w:tcW w:w="1590" w:type="dxa"/>
            <w:tcMar>
              <w:left w:w="115" w:type="dxa"/>
              <w:right w:w="216" w:type="dxa"/>
            </w:tcMar>
          </w:tcPr>
          <w:p w14:paraId="765AC087" w14:textId="77777777" w:rsidR="00AD6E24" w:rsidRPr="001C20F6" w:rsidRDefault="00AD6E24" w:rsidP="002736E7">
            <w:pPr>
              <w:jc w:val="right"/>
              <w:rPr>
                <w:sz w:val="21"/>
                <w:szCs w:val="21"/>
                <w:lang w:val="es-ES"/>
              </w:rPr>
            </w:pPr>
            <w:r w:rsidRPr="001C20F6">
              <w:rPr>
                <w:sz w:val="21"/>
                <w:szCs w:val="21"/>
                <w:lang w:val="es-ES"/>
              </w:rPr>
              <w:t>16.338</w:t>
            </w:r>
          </w:p>
        </w:tc>
        <w:tc>
          <w:tcPr>
            <w:tcW w:w="1590" w:type="dxa"/>
          </w:tcPr>
          <w:p w14:paraId="1299025E" w14:textId="77777777" w:rsidR="00AD6E24" w:rsidRPr="001C20F6" w:rsidRDefault="00AD6E24" w:rsidP="002736E7">
            <w:pPr>
              <w:jc w:val="center"/>
              <w:rPr>
                <w:sz w:val="21"/>
                <w:szCs w:val="21"/>
                <w:lang w:val="es-ES"/>
              </w:rPr>
            </w:pPr>
            <w:r w:rsidRPr="001C20F6">
              <w:rPr>
                <w:sz w:val="21"/>
                <w:szCs w:val="21"/>
                <w:lang w:val="es-ES"/>
              </w:rPr>
              <w:t>PNUD</w:t>
            </w:r>
          </w:p>
        </w:tc>
      </w:tr>
      <w:tr w:rsidR="00AD6E24" w:rsidRPr="001C20F6" w14:paraId="20CC36C8" w14:textId="77777777" w:rsidTr="002736E7">
        <w:tc>
          <w:tcPr>
            <w:tcW w:w="540" w:type="dxa"/>
          </w:tcPr>
          <w:p w14:paraId="7C975FB1" w14:textId="77777777" w:rsidR="00AD6E24" w:rsidRPr="001C20F6" w:rsidRDefault="00AD6E24" w:rsidP="002736E7">
            <w:pPr>
              <w:rPr>
                <w:sz w:val="21"/>
                <w:szCs w:val="21"/>
                <w:lang w:val="es-ES"/>
              </w:rPr>
            </w:pPr>
            <w:r w:rsidRPr="001C20F6">
              <w:rPr>
                <w:sz w:val="21"/>
                <w:szCs w:val="21"/>
                <w:lang w:val="es-ES"/>
              </w:rPr>
              <w:t>b)</w:t>
            </w:r>
          </w:p>
        </w:tc>
        <w:tc>
          <w:tcPr>
            <w:tcW w:w="4135" w:type="dxa"/>
            <w:vAlign w:val="center"/>
          </w:tcPr>
          <w:p w14:paraId="563EF2E0" w14:textId="77777777" w:rsidR="00AD6E24" w:rsidRPr="001C20F6" w:rsidRDefault="00AD6E24" w:rsidP="002736E7">
            <w:pPr>
              <w:jc w:val="left"/>
              <w:rPr>
                <w:sz w:val="21"/>
                <w:szCs w:val="21"/>
                <w:lang w:val="es-ES"/>
              </w:rPr>
            </w:pPr>
            <w:r w:rsidRPr="001C20F6">
              <w:rPr>
                <w:sz w:val="21"/>
                <w:szCs w:val="21"/>
                <w:lang w:val="es-ES"/>
              </w:rPr>
              <w:t>Plan de gestión de la eliminación de los HCFC (etapa II, segundo tramo)</w:t>
            </w:r>
          </w:p>
        </w:tc>
        <w:tc>
          <w:tcPr>
            <w:tcW w:w="1590" w:type="dxa"/>
            <w:tcMar>
              <w:left w:w="115" w:type="dxa"/>
              <w:right w:w="216" w:type="dxa"/>
            </w:tcMar>
          </w:tcPr>
          <w:p w14:paraId="47F852AB" w14:textId="77777777" w:rsidR="00AD6E24" w:rsidRPr="001C20F6" w:rsidRDefault="00AD6E24" w:rsidP="002736E7">
            <w:pPr>
              <w:jc w:val="right"/>
              <w:rPr>
                <w:sz w:val="21"/>
                <w:szCs w:val="21"/>
                <w:highlight w:val="cyan"/>
                <w:lang w:val="es-ES"/>
              </w:rPr>
            </w:pPr>
            <w:r w:rsidRPr="001C20F6">
              <w:rPr>
                <w:sz w:val="21"/>
                <w:szCs w:val="21"/>
                <w:lang w:val="es-ES"/>
              </w:rPr>
              <w:t>41.600</w:t>
            </w:r>
          </w:p>
        </w:tc>
        <w:tc>
          <w:tcPr>
            <w:tcW w:w="1590" w:type="dxa"/>
            <w:tcMar>
              <w:left w:w="115" w:type="dxa"/>
              <w:right w:w="216" w:type="dxa"/>
            </w:tcMar>
          </w:tcPr>
          <w:p w14:paraId="1C88350D" w14:textId="77777777" w:rsidR="00AD6E24" w:rsidRPr="001C20F6" w:rsidRDefault="00AD6E24" w:rsidP="002736E7">
            <w:pPr>
              <w:jc w:val="right"/>
              <w:rPr>
                <w:sz w:val="21"/>
                <w:szCs w:val="21"/>
                <w:lang w:val="es-ES"/>
              </w:rPr>
            </w:pPr>
            <w:r w:rsidRPr="001C20F6">
              <w:rPr>
                <w:sz w:val="21"/>
                <w:szCs w:val="21"/>
                <w:lang w:val="es-ES"/>
              </w:rPr>
              <w:t>5.408</w:t>
            </w:r>
          </w:p>
        </w:tc>
        <w:tc>
          <w:tcPr>
            <w:tcW w:w="1590" w:type="dxa"/>
          </w:tcPr>
          <w:p w14:paraId="3067FFC7" w14:textId="77777777" w:rsidR="00AD6E24" w:rsidRPr="001C20F6" w:rsidRDefault="00AD6E24" w:rsidP="002736E7">
            <w:pPr>
              <w:jc w:val="center"/>
              <w:rPr>
                <w:sz w:val="21"/>
                <w:szCs w:val="21"/>
                <w:lang w:val="es-ES"/>
              </w:rPr>
            </w:pPr>
            <w:r w:rsidRPr="001C20F6">
              <w:rPr>
                <w:sz w:val="21"/>
                <w:szCs w:val="21"/>
                <w:lang w:val="es-ES"/>
              </w:rPr>
              <w:t>PNUMA</w:t>
            </w:r>
          </w:p>
        </w:tc>
      </w:tr>
    </w:tbl>
    <w:p w14:paraId="555E670E" w14:textId="77777777" w:rsidR="00AD6E24" w:rsidRPr="001C20F6" w:rsidRDefault="00AD6E24" w:rsidP="00AD6E24">
      <w:pPr>
        <w:rPr>
          <w:lang w:val="es-ES"/>
        </w:rPr>
      </w:pPr>
    </w:p>
    <w:p w14:paraId="21A45A1B" w14:textId="77777777" w:rsidR="00AD6E24" w:rsidRPr="001C20F6" w:rsidRDefault="00AD6E24" w:rsidP="00AD6E24">
      <w:pPr>
        <w:rPr>
          <w:lang w:val="es-ES"/>
        </w:rPr>
      </w:pPr>
    </w:p>
    <w:p w14:paraId="3921855E" w14:textId="77777777" w:rsidR="00AD6E24" w:rsidRPr="001C20F6" w:rsidRDefault="00AD6E24" w:rsidP="00AD6E24">
      <w:pPr>
        <w:pStyle w:val="Title1"/>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AD6E24" w:rsidRPr="001C20F6" w14:paraId="4CC891C5" w14:textId="77777777" w:rsidTr="002736E7">
        <w:tc>
          <w:tcPr>
            <w:tcW w:w="1871" w:type="dxa"/>
          </w:tcPr>
          <w:p w14:paraId="56062C88" w14:textId="77777777" w:rsidR="00AD6E24" w:rsidRPr="001C20F6" w:rsidRDefault="00AD6E24" w:rsidP="002736E7">
            <w:pPr>
              <w:rPr>
                <w:lang w:val="es-ES"/>
              </w:rPr>
            </w:pPr>
          </w:p>
        </w:tc>
        <w:tc>
          <w:tcPr>
            <w:tcW w:w="1872" w:type="dxa"/>
          </w:tcPr>
          <w:p w14:paraId="45E73EE3" w14:textId="77777777" w:rsidR="00AD6E24" w:rsidRPr="001C20F6" w:rsidRDefault="00AD6E24" w:rsidP="002736E7">
            <w:pPr>
              <w:rPr>
                <w:lang w:val="es-ES"/>
              </w:rPr>
            </w:pPr>
          </w:p>
        </w:tc>
        <w:tc>
          <w:tcPr>
            <w:tcW w:w="1872" w:type="dxa"/>
            <w:tcBorders>
              <w:bottom w:val="single" w:sz="4" w:space="0" w:color="auto"/>
            </w:tcBorders>
          </w:tcPr>
          <w:p w14:paraId="5364705E" w14:textId="77777777" w:rsidR="00AD6E24" w:rsidRPr="001C20F6" w:rsidRDefault="00AD6E24" w:rsidP="002736E7">
            <w:pPr>
              <w:rPr>
                <w:lang w:val="es-ES"/>
              </w:rPr>
            </w:pPr>
          </w:p>
        </w:tc>
        <w:tc>
          <w:tcPr>
            <w:tcW w:w="1872" w:type="dxa"/>
          </w:tcPr>
          <w:p w14:paraId="4F37A130" w14:textId="77777777" w:rsidR="00AD6E24" w:rsidRPr="001C20F6" w:rsidRDefault="00AD6E24" w:rsidP="002736E7">
            <w:pPr>
              <w:rPr>
                <w:lang w:val="es-ES"/>
              </w:rPr>
            </w:pPr>
          </w:p>
        </w:tc>
        <w:tc>
          <w:tcPr>
            <w:tcW w:w="1873" w:type="dxa"/>
          </w:tcPr>
          <w:p w14:paraId="242F7C84" w14:textId="77777777" w:rsidR="00AD6E24" w:rsidRPr="001C20F6" w:rsidRDefault="00AD6E24" w:rsidP="002736E7">
            <w:pPr>
              <w:rPr>
                <w:lang w:val="es-ES"/>
              </w:rPr>
            </w:pPr>
          </w:p>
        </w:tc>
      </w:tr>
    </w:tbl>
    <w:p w14:paraId="458D06C9" w14:textId="77777777" w:rsidR="00AD6E24" w:rsidRPr="001C20F6" w:rsidRDefault="00AD6E24" w:rsidP="00AD6E24">
      <w:pPr>
        <w:rPr>
          <w:lang w:val="es-ES"/>
        </w:rPr>
      </w:pPr>
    </w:p>
    <w:p w14:paraId="4E4A2D27" w14:textId="77777777" w:rsidR="0087455A" w:rsidRDefault="0087455A" w:rsidP="00AD6E24">
      <w:pPr>
        <w:pStyle w:val="Title1"/>
        <w:rPr>
          <w:b w:val="0"/>
          <w:bCs/>
          <w:lang w:val="es-ES"/>
        </w:rPr>
      </w:pPr>
    </w:p>
    <w:sectPr w:rsidR="0087455A" w:rsidSect="00AD6E2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3067E" w14:textId="77777777" w:rsidR="00817193" w:rsidRDefault="00817193">
      <w:r>
        <w:separator/>
      </w:r>
    </w:p>
  </w:endnote>
  <w:endnote w:type="continuationSeparator" w:id="0">
    <w:p w14:paraId="2120666E" w14:textId="77777777" w:rsidR="00817193" w:rsidRDefault="0081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5910" w14:textId="77777777" w:rsidR="002736E7" w:rsidRDefault="002736E7" w:rsidP="001857B2">
    <w:pPr>
      <w:jc w:val="center"/>
    </w:pPr>
    <w:r>
      <w:fldChar w:fldCharType="begin"/>
    </w:r>
    <w:r>
      <w:instrText xml:space="preserve"> PAGE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DE9C" w14:textId="77777777" w:rsidR="002736E7" w:rsidRDefault="002736E7" w:rsidP="001857B2">
    <w:pPr>
      <w:jc w:val="center"/>
    </w:pPr>
    <w:r>
      <w:fldChar w:fldCharType="begin"/>
    </w:r>
    <w:r>
      <w:instrText xml:space="preserve"> PAGE </w:instrText>
    </w:r>
    <w:r>
      <w:fldChar w:fldCharType="separate"/>
    </w:r>
    <w: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9521" w14:textId="77777777" w:rsidR="002736E7" w:rsidRPr="001857B2" w:rsidRDefault="002736E7" w:rsidP="00074310">
    <w:pPr>
      <w:pStyle w:val="Footer"/>
      <w:pBdr>
        <w:top w:val="single" w:sz="4" w:space="1" w:color="auto"/>
        <w:left w:val="single" w:sz="4" w:space="4" w:color="auto"/>
        <w:bottom w:val="single" w:sz="4" w:space="13"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2463C" w14:textId="77777777" w:rsidR="00817193" w:rsidRDefault="00817193">
      <w:r>
        <w:separator/>
      </w:r>
    </w:p>
  </w:footnote>
  <w:footnote w:type="continuationSeparator" w:id="0">
    <w:p w14:paraId="34474167" w14:textId="77777777" w:rsidR="00817193" w:rsidRDefault="00817193">
      <w:r>
        <w:continuationSeparator/>
      </w:r>
    </w:p>
  </w:footnote>
  <w:footnote w:id="1">
    <w:p w14:paraId="1A5953A0" w14:textId="77777777" w:rsidR="002736E7" w:rsidRPr="00FE3307" w:rsidRDefault="002736E7" w:rsidP="00AD6E24">
      <w:pPr>
        <w:pStyle w:val="FootnoteText"/>
      </w:pPr>
      <w:r>
        <w:rPr>
          <w:rStyle w:val="FootnoteReference"/>
        </w:rPr>
        <w:footnoteRef/>
      </w:r>
      <w:r>
        <w:t xml:space="preserve"> Según la carta del 24 de marzo de 2020 del Ministerio de la Producción de Perú al PNUD.</w:t>
      </w:r>
    </w:p>
  </w:footnote>
  <w:footnote w:id="2">
    <w:p w14:paraId="6FE9E77B" w14:textId="77777777" w:rsidR="002736E7" w:rsidRPr="00EB39C3" w:rsidRDefault="002736E7" w:rsidP="00AD6E24">
      <w:pPr>
        <w:pStyle w:val="FootnoteText"/>
      </w:pPr>
      <w:r>
        <w:rPr>
          <w:rStyle w:val="FootnoteReference"/>
        </w:rPr>
        <w:footnoteRef/>
      </w:r>
      <w:r>
        <w:t xml:space="preserve"> Coordinación de esfuerzos con la ejecución de la Actividad de Apoyo de Kigali.</w:t>
      </w:r>
    </w:p>
  </w:footnote>
  <w:footnote w:id="3">
    <w:p w14:paraId="7B624906" w14:textId="77777777" w:rsidR="002736E7" w:rsidRPr="00D04F56" w:rsidRDefault="002736E7" w:rsidP="00AD6E24">
      <w:pPr>
        <w:pStyle w:val="FootnoteText"/>
      </w:pPr>
      <w:r>
        <w:rPr>
          <w:rStyle w:val="FootnoteReference"/>
        </w:rPr>
        <w:footnoteRef/>
      </w:r>
      <w:r>
        <w:t xml:space="preserve"> Para refrigerantes inflamables, más precisamente: estación de carga y bombas de vacío, equipo de soldadura, juegos de mangueras con válvulas de bola, detectores de fugas, manómetro, y balanza de precisión con clip para cartucho.</w:t>
      </w:r>
    </w:p>
  </w:footnote>
  <w:footnote w:id="4">
    <w:p w14:paraId="04986864" w14:textId="77777777" w:rsidR="002736E7" w:rsidRPr="001540F6" w:rsidRDefault="002736E7" w:rsidP="00AD6E24">
      <w:pPr>
        <w:pStyle w:val="FootnoteText"/>
      </w:pPr>
      <w:r>
        <w:rPr>
          <w:rStyle w:val="FootnoteReference"/>
        </w:rPr>
        <w:footnoteRef/>
      </w:r>
      <w:r>
        <w:t xml:space="preserve"> Incluye equipo de recuperación, cilindros, bombas de vacío, módulos de aprendizaje de refrigeración y aire acondicionado, juegos de colectores y mangueras, escalas, equipos de soldadura, detectores de fugas para todos los gases refrigerantes, filtros y otras herramientas.</w:t>
      </w:r>
    </w:p>
  </w:footnote>
  <w:footnote w:id="5">
    <w:p w14:paraId="65E96585" w14:textId="77777777" w:rsidR="002736E7" w:rsidRPr="001540F6" w:rsidRDefault="002736E7" w:rsidP="00AD6E24">
      <w:pPr>
        <w:pStyle w:val="FootnoteText"/>
      </w:pPr>
      <w:r>
        <w:rPr>
          <w:rStyle w:val="FootnoteReference"/>
        </w:rPr>
        <w:footnoteRef/>
      </w:r>
      <w:r>
        <w:t xml:space="preserve"> Incluye equipo de refrigeración y reciclaje, identificadores de refrigerantes, cilindros, bombas de vacío, detectores de fugas y escalas.</w:t>
      </w:r>
    </w:p>
  </w:footnote>
  <w:footnote w:id="6">
    <w:p w14:paraId="45E88B10" w14:textId="77777777" w:rsidR="002736E7" w:rsidRPr="000B0B0C" w:rsidRDefault="002736E7" w:rsidP="00AD6E24">
      <w:pPr>
        <w:pStyle w:val="FootnoteText"/>
      </w:pPr>
      <w:r>
        <w:rPr>
          <w:rStyle w:val="FootnoteReference"/>
        </w:rPr>
        <w:footnoteRef/>
      </w:r>
      <w:r>
        <w:t xml:space="preserve"> En proyectos de demostración y proyectos piloto para usuarios finales con el fin de cambiar a alternativas con nulo o bajo potencial de calentamiento atmosférico y/o reducir el uso de sustancias controladas.</w:t>
      </w:r>
    </w:p>
  </w:footnote>
  <w:footnote w:id="7">
    <w:p w14:paraId="052BC64C" w14:textId="77777777" w:rsidR="002736E7" w:rsidRPr="00E47E79" w:rsidRDefault="002736E7" w:rsidP="00AD6E24">
      <w:pPr>
        <w:pStyle w:val="FootnoteText"/>
      </w:pPr>
      <w:r>
        <w:rPr>
          <w:rStyle w:val="FootnoteReference"/>
        </w:rPr>
        <w:footnoteRef/>
      </w:r>
      <w:r>
        <w:t xml:space="preserve"> La decisión 84/92(d) pidió a los organismos bilaterales y de ejecución la aplicación de la política operacional sobre la incorporación de la perspectiva de género en todo el ciclo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2827" w14:textId="77777777" w:rsidR="002736E7" w:rsidRDefault="00817193" w:rsidP="00AD6E24">
    <w:r>
      <w:fldChar w:fldCharType="begin"/>
    </w:r>
    <w:r>
      <w:instrText xml:space="preserve"> DOCPROPERTY "Document number"  \* MERGEFORMAT </w:instrText>
    </w:r>
    <w:r>
      <w:fldChar w:fldCharType="separate"/>
    </w:r>
    <w:r w:rsidR="002736E7">
      <w:t>UNEP/OzL.Pro/ExCom/85/41</w:t>
    </w:r>
    <w:r>
      <w:fldChar w:fldCharType="end"/>
    </w:r>
  </w:p>
  <w:p w14:paraId="16F35BE1" w14:textId="77777777" w:rsidR="002736E7" w:rsidRDefault="002736E7" w:rsidP="00AD6E24"/>
  <w:p w14:paraId="11187605" w14:textId="77777777" w:rsidR="002736E7" w:rsidRDefault="002736E7" w:rsidP="00AD6E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F32D" w14:textId="77777777" w:rsidR="002736E7" w:rsidRDefault="00817193" w:rsidP="00AD6E24">
    <w:pPr>
      <w:jc w:val="right"/>
    </w:pPr>
    <w:r>
      <w:fldChar w:fldCharType="begin"/>
    </w:r>
    <w:r>
      <w:instrText xml:space="preserve"> DOCPROPERTY "Document number"  \* MERGEFORMAT </w:instrText>
    </w:r>
    <w:r>
      <w:fldChar w:fldCharType="separate"/>
    </w:r>
    <w:r w:rsidR="002736E7">
      <w:t>UNEP/OzL.Pro/ExCom/85/41</w:t>
    </w:r>
    <w:r>
      <w:fldChar w:fldCharType="end"/>
    </w:r>
  </w:p>
  <w:p w14:paraId="61C60B65" w14:textId="77777777" w:rsidR="002736E7" w:rsidRDefault="002736E7">
    <w:pPr>
      <w:pStyle w:val="Header"/>
    </w:pPr>
  </w:p>
  <w:p w14:paraId="05AFF9E3" w14:textId="77777777" w:rsidR="002736E7" w:rsidRDefault="0027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24"/>
    <w:rsid w:val="00074310"/>
    <w:rsid w:val="00106F6E"/>
    <w:rsid w:val="00114CAA"/>
    <w:rsid w:val="001857B2"/>
    <w:rsid w:val="001C20F6"/>
    <w:rsid w:val="001C2D22"/>
    <w:rsid w:val="001F4047"/>
    <w:rsid w:val="00235D4C"/>
    <w:rsid w:val="0024162E"/>
    <w:rsid w:val="002736E7"/>
    <w:rsid w:val="003863A4"/>
    <w:rsid w:val="003B7115"/>
    <w:rsid w:val="00455352"/>
    <w:rsid w:val="00476E28"/>
    <w:rsid w:val="005A6CB8"/>
    <w:rsid w:val="00817193"/>
    <w:rsid w:val="00831BC5"/>
    <w:rsid w:val="0087455A"/>
    <w:rsid w:val="008B12DB"/>
    <w:rsid w:val="0092685B"/>
    <w:rsid w:val="00A5076C"/>
    <w:rsid w:val="00AB56E5"/>
    <w:rsid w:val="00AC4195"/>
    <w:rsid w:val="00AD6E24"/>
    <w:rsid w:val="00B44C79"/>
    <w:rsid w:val="00C14E67"/>
    <w:rsid w:val="00C40E04"/>
    <w:rsid w:val="00CD59A6"/>
    <w:rsid w:val="00DB795B"/>
    <w:rsid w:val="00E17F97"/>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7619E"/>
  <w15:docId w15:val="{A0995DF8-252B-4D59-B18F-4CE8A8D0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AD6E24"/>
    <w:pPr>
      <w:ind w:left="720"/>
      <w:contextualSpacing/>
    </w:pPr>
    <w:rPr>
      <w:lang w:val="es-ES"/>
    </w:rPr>
  </w:style>
  <w:style w:type="paragraph" w:styleId="FootnoteText">
    <w:name w:val="footnote text"/>
    <w:basedOn w:val="Normal"/>
    <w:link w:val="FootnoteTextChar"/>
    <w:uiPriority w:val="99"/>
    <w:unhideWhenUsed/>
    <w:rsid w:val="00AD6E24"/>
    <w:rPr>
      <w:sz w:val="20"/>
      <w:szCs w:val="20"/>
      <w:lang w:val="es-ES"/>
    </w:rPr>
  </w:style>
  <w:style w:type="character" w:customStyle="1" w:styleId="FootnoteTextChar">
    <w:name w:val="Footnote Text Char"/>
    <w:basedOn w:val="DefaultParagraphFont"/>
    <w:link w:val="FootnoteText"/>
    <w:uiPriority w:val="99"/>
    <w:rsid w:val="00AD6E24"/>
    <w:rPr>
      <w:lang w:val="es-ES"/>
    </w:rPr>
  </w:style>
  <w:style w:type="character" w:styleId="FootnoteReference">
    <w:name w:val="footnote reference"/>
    <w:aliases w:val="ftref"/>
    <w:basedOn w:val="DefaultParagraphFont"/>
    <w:uiPriority w:val="99"/>
    <w:unhideWhenUsed/>
    <w:rsid w:val="00AD6E2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D6E2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5555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ive\Google%20Drive\Traducciones\202004%20ONU\es-ES\enviado\S854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7F0387FBADCE48895CD566B8CC264C" ma:contentTypeVersion="1" ma:contentTypeDescription="Create a new document." ma:contentTypeScope="" ma:versionID="6923f52c6458c6a1846340aec431b4a1">
  <xsd:schema xmlns:xsd="http://www.w3.org/2001/XMLSchema" xmlns:p="http://schemas.microsoft.com/office/2006/metadata/properties" xmlns:ns2="e6e1f9e0-8f48-4721-871b-80b3d7694360" targetNamespace="http://schemas.microsoft.com/office/2006/metadata/properties" ma:root="true" ma:fieldsID="a04bb900c1e3e8207ded36cae9e10746"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UNEP/OzL.Pro/ExCom/85/41</Document_x0020_Number>
  </documentManagement>
</p:properties>
</file>

<file path=customXml/itemProps1.xml><?xml version="1.0" encoding="utf-8"?>
<ds:datastoreItem xmlns:ds="http://schemas.openxmlformats.org/officeDocument/2006/customXml" ds:itemID="{1013A29C-9CEC-4ED1-A98B-EE9B6BC24DF7}"/>
</file>

<file path=customXml/itemProps2.xml><?xml version="1.0" encoding="utf-8"?>
<ds:datastoreItem xmlns:ds="http://schemas.openxmlformats.org/officeDocument/2006/customXml" ds:itemID="{8C49694D-C815-48CD-BC02-66F2E3457767}"/>
</file>

<file path=customXml/itemProps3.xml><?xml version="1.0" encoding="utf-8"?>
<ds:datastoreItem xmlns:ds="http://schemas.openxmlformats.org/officeDocument/2006/customXml" ds:itemID="{5F0492D8-9CF6-4BE1-A1B2-3250625E9BB0}"/>
</file>

<file path=customXml/itemProps4.xml><?xml version="1.0" encoding="utf-8"?>
<ds:datastoreItem xmlns:ds="http://schemas.openxmlformats.org/officeDocument/2006/customXml" ds:itemID="{E5F2B6C7-C02B-4284-933A-3BE650DA9FD7}"/>
</file>

<file path=docProps/app.xml><?xml version="1.0" encoding="utf-8"?>
<Properties xmlns="http://schemas.openxmlformats.org/officeDocument/2006/extended-properties" xmlns:vt="http://schemas.openxmlformats.org/officeDocument/2006/docPropsVTypes">
  <Template>S8541</Template>
  <TotalTime>7</TotalTime>
  <Pages>1</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Propuesta de proyecto: Perú </vt:lpstr>
    </vt:vector>
  </TitlesOfParts>
  <Manager/>
  <Company>UNMFS</Company>
  <LinksUpToDate>false</LinksUpToDate>
  <CharactersWithSpaces>25912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Perú </dc:title>
  <dc:subject/>
  <dc:creator>Alejandro Moreno-Ramos</dc:creator>
  <cp:keywords/>
  <dc:description/>
  <cp:lastModifiedBy>Lynda</cp:lastModifiedBy>
  <cp:revision>5</cp:revision>
  <cp:lastPrinted>2001-05-26T16:40:00Z</cp:lastPrinted>
  <dcterms:created xsi:type="dcterms:W3CDTF">2020-05-18T19:45:00Z</dcterms:created>
  <dcterms:modified xsi:type="dcterms:W3CDTF">2020-05-19T14:28:00Z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UNEP/OzL.Pro/ExCom/85/41</vt:lpwstr>
  </property>
  <property fmtid="{D5CDD505-2E9C-101B-9397-08002B2CF9AE}" pid="3" name="Revision date">
    <vt:lpwstr>30 de abril de 2020</vt:lpwstr>
  </property>
  <property fmtid="{D5CDD505-2E9C-101B-9397-08002B2CF9AE}" pid="4" name="ContentTypeId">
    <vt:lpwstr>0x010100BC7F0387FBADCE48895CD566B8CC264C</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