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432" w:type="dxa"/>
        <w:tblLayout w:type="fixed"/>
        <w:tblLook w:val="0000" w:firstRow="0" w:lastRow="0" w:firstColumn="0" w:lastColumn="0" w:noHBand="0" w:noVBand="0"/>
      </w:tblPr>
      <w:tblGrid>
        <w:gridCol w:w="2070"/>
        <w:gridCol w:w="3960"/>
        <w:gridCol w:w="4050"/>
      </w:tblGrid>
      <w:tr w:rsidR="0079355C" w:rsidRPr="00DB24E5" w14:paraId="333F7D47" w14:textId="77777777" w:rsidTr="00A33AC2">
        <w:trPr>
          <w:trHeight w:val="720"/>
        </w:trPr>
        <w:tc>
          <w:tcPr>
            <w:tcW w:w="6030" w:type="dxa"/>
            <w:gridSpan w:val="2"/>
            <w:tcBorders>
              <w:bottom w:val="single" w:sz="18" w:space="0" w:color="auto"/>
            </w:tcBorders>
          </w:tcPr>
          <w:p w14:paraId="5A46B0B7" w14:textId="77777777" w:rsidR="0079355C" w:rsidRPr="00DB24E5" w:rsidRDefault="00A33AC2" w:rsidP="0079355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es-ES"/>
              </w:rPr>
            </w:pPr>
            <w:r w:rsidRPr="00DB24E5">
              <w:rPr>
                <w:rFonts w:ascii="Univers" w:hAnsi="Univers"/>
                <w:b/>
                <w:sz w:val="28"/>
                <w:szCs w:val="28"/>
                <w:lang w:val="es-ES"/>
              </w:rPr>
              <w:t>NACIONES</w:t>
            </w:r>
          </w:p>
          <w:p w14:paraId="453CDE29" w14:textId="592384B2" w:rsidR="00A33AC2" w:rsidRPr="00DB24E5" w:rsidRDefault="00A33AC2" w:rsidP="0079355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s-ES"/>
              </w:rPr>
            </w:pPr>
            <w:r w:rsidRPr="00DB24E5">
              <w:rPr>
                <w:rFonts w:ascii="Univers" w:hAnsi="Univers"/>
                <w:b/>
                <w:sz w:val="28"/>
                <w:szCs w:val="28"/>
                <w:lang w:val="es-ES"/>
              </w:rPr>
              <w:t>UNIDAS</w:t>
            </w:r>
          </w:p>
        </w:tc>
        <w:tc>
          <w:tcPr>
            <w:tcW w:w="4050" w:type="dxa"/>
            <w:tcBorders>
              <w:bottom w:val="single" w:sz="18" w:space="0" w:color="auto"/>
            </w:tcBorders>
          </w:tcPr>
          <w:p w14:paraId="4B23B0B9" w14:textId="77777777" w:rsidR="0079355C" w:rsidRPr="00DB24E5" w:rsidRDefault="0079355C" w:rsidP="0079355C">
            <w:pPr>
              <w:jc w:val="right"/>
              <w:rPr>
                <w:sz w:val="52"/>
                <w:szCs w:val="52"/>
                <w:lang w:val="es-ES"/>
              </w:rPr>
            </w:pPr>
            <w:r w:rsidRPr="00DB24E5">
              <w:rPr>
                <w:rFonts w:ascii="Univers Bold" w:hAnsi="Univers Bold"/>
                <w:b/>
                <w:sz w:val="72"/>
                <w:lang w:val="es-ES"/>
              </w:rPr>
              <w:t>EP</w:t>
            </w:r>
          </w:p>
        </w:tc>
      </w:tr>
      <w:tr w:rsidR="0079355C" w:rsidRPr="00DB24E5" w14:paraId="6939A8D6" w14:textId="77777777" w:rsidTr="00A33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5B5DEFE" w14:textId="77777777" w:rsidR="0079355C" w:rsidRPr="00DB24E5" w:rsidRDefault="0079355C" w:rsidP="0079355C">
            <w:pPr>
              <w:spacing w:before="120"/>
              <w:rPr>
                <w:lang w:val="es-ES"/>
              </w:rPr>
            </w:pPr>
            <w:r w:rsidRPr="00DB24E5">
              <w:rPr>
                <w:noProof/>
                <w:lang w:val="en-US"/>
              </w:rPr>
              <mc:AlternateContent>
                <mc:Choice Requires="wpg">
                  <w:drawing>
                    <wp:anchor distT="0" distB="0" distL="114300" distR="114300" simplePos="0" relativeHeight="251663360" behindDoc="0" locked="0" layoutInCell="1" allowOverlap="1" wp14:anchorId="7DAAC11A" wp14:editId="1ABEFEAE">
                      <wp:simplePos x="0" y="0"/>
                      <wp:positionH relativeFrom="column">
                        <wp:posOffset>2540</wp:posOffset>
                      </wp:positionH>
                      <wp:positionV relativeFrom="paragraph">
                        <wp:posOffset>36195</wp:posOffset>
                      </wp:positionV>
                      <wp:extent cx="844550" cy="1616075"/>
                      <wp:effectExtent l="0" t="0" r="0" b="3175"/>
                      <wp:wrapNone/>
                      <wp:docPr id="3" name="Group 3"/>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4" name="Picture 4"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5" name="Picture 5"/>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254792CA" id="Group 3" o:spid="_x0000_s1026" style="position:absolute;margin-left:.2pt;margin-top:2.85pt;width:66.5pt;height:127.25pt;z-index:251663360"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485emAIAANEHAAAOAAAAZHJzL2Uyb0RvYy54bWzUVdtu2zAMfR+wfxD0&#10;3jr3GEaTYljaYkDXBtv6AYos20KtCyglTv9+lOy4TTpsQ4Fh6EMc6kLy8PBIurjcq5rsBDhp9IIO&#10;zweUCM1NLnW5oA8/rs9SSpxnOme10WJBn4Sjl8uPHy4am4mRqUydCyAYRLussQtaeW+zJHG8Eoq5&#10;c2OFxsXCgGIeh1AmObAGo6s6GQ0Gs6QxkFswXDiHs6t2kS5j/KIQ3N8XhROe1AuK2Hz8QvxuwjdZ&#10;XrCsBGYryTsY7A0oFJMak/ahVswzsgX5KpSSHIwzhT/nRiWmKCQXsQasZjg4qeYGzNbGWsqsKW1P&#10;E1J7wtObw/K73RqIzBd0TIlmClsUs5JxoKaxZYY7bsB+t2voJsp2FKrdF6DCP9ZB9pHUp55UsfeE&#10;42Q6mUynSD3HpeFsOBvMpy3rvMLWvHLj1dXvHZND2iSg68FYyTP8dRyh9YqjP2sJvfwWBO2CqL+K&#10;oRg8bu0ZttMyLzeylv4pShMbF0Dp3VryNbSDZ7onB7pxNSQlOJELx1GbD3dX60BR8A4OrTsL5d0a&#10;/uiINp8rpkvxyVkUONIadifH2+PwKPemlvZa1nVoWLC7KjHhiZh+QVQr1JXhWyW0b08eiBoLNtpV&#10;0jpKIBNqI1BI8CUfYrvx1HtUkwWpfdtwB/wb4kWsLHMehOdVMAvE1M1jb/uFWMAz5lCdQxGSTfPV&#10;5BiYbb2JR+5EhLNxUBuKbT5LgxnT9WIcp3hrtGJMJ/P5KGqxlxRyDM7fCKNIMLAWxBuTsN2tC8hx&#10;62FLwK5NYPTAfsDXNQLhtg1E491ocnqqycjOsa7ekwxH/1GGrQZP5TcajVFy8S6cjwdp+k/lFy9I&#10;fDeiars3LjxML8dov3yJlz8BAAD//wMAUEsDBAoAAAAAAAAAIQB+Fay/EgYAABIGAAAUAAAAZHJz&#10;L21lZGlhL2ltYWdlMS5wbmeJUE5HDQoaCgAAAA1JSERSAAAAwAAAAKoBAwAAAMF90ngAAAABc1JH&#10;QgCuzhzpAAAABGdBTUEAALGPC/xhBQAAACBjSFJNAAB6JgAAgIQAAPoAAACA6AAAdTAAAOpgAAA6&#10;mAAAF3CculE8AAAABlBMVEUAAAD///+l2Z/dAAAACXBIWXMAACHVAAAh1QEEnLSdAAAFaUlEQVRY&#10;w83XPW4cNxQAYI4nEF0EoUoXgojcIKUKJ8xRkhukdCEsZ7NGttwj6CimsAFc6gimoEKluFBhBmHI&#10;vB9yfrSr3gskFubbIfne49+K8spHfOvwcBKSicKcglCcOPnGbRnkSegztPQZ27QLyDJ2hXuRC4gy&#10;SOgFH7oFBOVNFgR+NQevb1sj0ZgZOPNGwsgoIrWb4NOwEsJ6jnC7HSFbAUNSURM870dIuYO/+iQD&#10;yf0IMffQv1j1/I4f4ZB4QOtM/wbb4D4qHnSBN4uKI+zjFcWWDI7YfTANNuFXoWv24b2LEfogaqCY&#10;23DWIEsvVE0/PEvdLxWSnKr3Bf4bLhsop+fFC5eWIartoqpJmwaL+VGK1gxB2yXcjbB8Xp4Ug38J&#10;WEsCkxedPE3gF508V/jq7HJ2hrKp8KFbQDQMj873ywAVw51znEJRc5/6W4b1QA8g99xk7hhuNrxk&#10;BiHq2hEM+k+eXPC8lmX4neEjtRAReBTuR4SseS15BA7In1fQrYvaSSBIZjA8WPxobpWBukgMkv/+&#10;StCPfdfeM0E0qoaHHw5xINB6GlQdlnsgME/4dwWqjCe4tHc82t63YQWEcFl2PFoZK3yNFTRnSqWa&#10;red0j6CT5jB0roEcMkM0HAbuDRRIhCWP4BuUGki0DM5yfBMYhsFyfAS0LjSDKHOwOE0ILkUNfIQs&#10;GbpaJhoulir3CPGiXwBG228Q3vW1fhQ55aRjkBUoV5STNUJ6p+qk6kODgeC85lDIcc65LcD1ueEc&#10;SnbaSRFW55agzfgJKAmiLVBKb1BF5FVHa2VcNhvMovoCsFxO+PkvagAj/z2C9BpkfSOSUc/UW/t0&#10;uN0ahN0DFrBKxhLGYrRI+oaAJVNto2XYt5KXWvRoVwDqZsMg61rAyXBtADAkz1/1DZIRsJ334xNX&#10;AebgHCwvUJw+CH1uwLMEQQUCWYEnA4G3InfpNJQZpAYSNz0xgpoBVFBcqwZxhAFgOIYs1wjvT0AH&#10;4EaQE/QI7/RLKGcIHoEmpwxtNzmTuD5OwF8KZ/tbcwQfEdLbn49Bf0K4fglPfxuA1ffXtaYMPW7q&#10;1ohixbU9Anha7BBfws7hncA4gDQB5Hp3mxA87D5LUA8I+gQ8RgAVAPIEkFL5GCDAbYQrxAKyfPIA&#10;G4QyAXxL3mFp1+kYClWQztoJYCSyUAUtwjAWCiFTBQ2uMzfWHKKViUAfQ8QKehXrbFBt3eC9DUAu&#10;oCPACoYeAQekGyhH0EX1ifJOk7on0DgZRFQ3vOnXXSsqOOeg5uJDBVOPiahwcUH+3sM9L7fTQJcU&#10;L2HMeBReqM+UEwJT/okXdECW4Qe9p5zYTPEd4vuOwJ3BHo+h20Lx3ccrvmX4XjkKBNuD797GPxRB&#10;6BAiQ483ut80Qep2jiYQdgTf3URncVS5iJ2DCY+tDLjL9nGdCayTeC0aehyBhTMiyERNmUiAtxbX&#10;4eEBByBfP4r0mAjcByQu8lAOBLuyxxrSXqPxC4eyJ9iX54A7/R1fLKN6xB1M0PU2zi7z8HaqkdsF&#10;QHOhRg5fmW38cPIOHDnc8fMMHNTLcEpEl2dXMmcxTASogpkBbFW4nQg+l4YJ1pFOo3oAz+6DcNeQ&#10;FWAWXpkRJKWYb69CfDdCvqznAh8a42lX0k98zaH/uXp9Kvx6P8L8l5KvZ890C23X58z3ohEGbGHW&#10;l5iaFtqLeo2aAa7aN3VXmgO+oLwaRLt1MjzT5mO3n+vKmQ0X28j6wBdVPQLfR6JNNojWv2hddzgp&#10;2vIcgY7aLQY5tFBEG23JCqdYbD9RppQkGOdhKuQE+Fso2hPg61tHgL/Qsj4BlHZ1AtS8KDPIqrX3&#10;EvQrwJ+n16B8G/A/W1n3eze3kcAAAAAASUVORK5CYIJQSwMECgAAAAAAAAAhAOCJ3RxtCQAAbQkA&#10;ABQAAABkcnMvbWVkaWEvaW1hZ2UyLnBuZ4lQTkcNChoKAAAADUlIRFIAAADGAAAAsAEDAAAAbi6D&#10;wgAAAAFzUkdCAK7OHOkAAAAEZ0FNQQAAsY8L/GEFAAAAIGNIUk0AAHomAACAhAAA+gAAAIDoAAB1&#10;MAAA6mAAADqYAAAXcJy6UTwAAAAGUExURQAAAP///6XZn90AAAAJcEhZcwAAIdUAACHVAQSctJ0A&#10;AAjESURBVFjDzddPbxvHFQDwNx6b4wPLVZFDCFjlqOgXkJFDGZTVqGiB9FT02FsZ6AOEgg9lENa7&#10;LI3oIpQ99mBEx15zzM2jMAhVwLB67KkZYo3oYiDDqEhX8Hpf35vZlWVHPvVSBaQZ/rgzb9/82TeA&#10;b/gr4f9LfPoGcQD6WqkAQFwrThYVJK/LN/SCtMBCvC5z+qiwQMzSV6Winp0heV5Qc/+5IoVBnNI/&#10;qCuJ+PyKuBQrRfJMo0W8uCI2DZcVD8LdlumlPKJ3x43SdaXG0lzKDsV6zLKkN0V4Vks1EfwFyTm9&#10;zajL81rKsQxx8/1ws5Vc11J4FQMAiAkXRS2exHN6ADgEg1CkUZxLcMWXjAtIud1sUsux/REu6Ae6&#10;QEuvBO3ANPIu/S8CRVDKE1yi3dRRpnafmuBcp6cZYI6ukVmWU7eecp1+44GCcZ0kipwuKBgX7odi&#10;8PjppcwO6IJZkBKMSz9rqSDfyUStdJUEqUB/bh7W8rXcTBbzkASWZK6fKBmlNUoOlh4b0fOljPJF&#10;y+l5vuIBTJ5X0DIHq5k0LIfKGr2mJHig5NBr4XL5KEp23xQHNKMAkpRv1d8TRyxtBWXKgyyKUpxn&#10;Atf+Ti0tFkoCZ/QWiS+S6ZykardppEgsxVbcspTYUjVCo0tzU5JUcAJpOZHTgyC31RrXS0oCz+sB&#10;mPK+CFK2IckxXxQ8r2kAQFcGGjFLXOQ+5poETXY8i/KHJR74Vcz1bVpcOvtFLcs5zotf1nmj+TO3&#10;gqVoy/kcdaniTPwTixNTlo5KdNWMDw29xNNPa+mQGJIjlqmTuPxrLZs9Q+mh1jKa3OAELp/U0mUp&#10;FjQ7BFYbvxWYn4osyPYOrff1Cl3XmrI/oWE4O44yHKQXuPI4LcqkGBtI1/kqip3gGvPiflKg9NXb&#10;WbperSFINiZZlhNT4CpHbdO1vwiSZAXN5YOqT735Jd5xaeFTkmqs4IJkjoLXQoKJN4U3QVqC2kJN&#10;05elUt+ZotBBOrUc8Gjr6haaMkq/I8/xtDLhGqtIdDlJ4BlJm5b/nOSHJCcKgyh4CtWgraj/Mq36&#10;WOSZwgd4RCJINm/TNDiilE7Sz94DSStsXt2XUd46owaw/I0BDbspNVDtiCjvkFBYUoMCMN9yOEJ8&#10;AVUH7i1ZvDikTQS0Y4Eoe0s0F2gh/LUdLiuTzUhakNPHNcttku6QbnvHygckYsHCO3ybLwqyy3JD&#10;zKjhdcl90NqCX7MM1U2opGQ5Z0m5r3/gGe5sR5EstO1BiGKDpLfdIRFKzauURfAahm2WbpCPWXIS&#10;ySL+zbK52YYKDhXlM7+wIFKWkqVDgrWsSfipJekzSZflscri7f/tkYsfoKf6LCdJFLE48peyTZL9&#10;LuHWVlb8nUWF1uQVWZKogoUjkH6T7m4c5MtdkCySRUvHsv0238+f6csbz+qojWBx22+xfLILN1vF&#10;dfLwV9BOWB5Sro2wA8DR9t3TKrX/ei+D5C8Ucf+lbJAY2zlzQw1Rqp8LS0uvv7FPkrX23PtfsXzI&#10;krEMNkY8WVr3vP09P4EuaO68m1laWb0NT/MA5H552OFxXQfJngF+Ao66BHnxQsMWjeua5uh+Nn0M&#10;OBckGqgEMJbHlRfGvmU5mAYRJU16aE2Rp/++lYeAs2N3FmTMW5gk0STqIeDi2O097YCo7rLc5HyW&#10;7ztF2TnO7V7ogJ8Sw25KTZcr1+FcN0IPVbBbKd1c4dwmyz36j+UgTLd0zuIHlDf3jt3nuUmteQHw&#10;la7SC+f7LD+z+zxFqh/T5N0C6uWPa+dHJP6O/ZBlMk7tykFFu+DaFY4lsWOWcamPH1kxoX3p3F1w&#10;rr2y43+S7KM66bVgQJK7jzKSQtnJCckeZru04vq8C7qPwv4m7eQDkmUIGu7yLujus5TCPvmAwuYH&#10;MsTEkQgWcE9+Gko3Xna09y9p95+wVOC+NtSQqeUFy1gGGZ5pz9eEfpShx8dwxIKwlfcq7iesnp8Y&#10;jb3hSJE8z7byOXLXQUZaV4PhkOWF3cjn9OgVUcY9w5JwbG5jteSdIMpgMy3Hw13N4nla5RRciKDX&#10;xWLsMn7Wl2NwOa6glYSoWxtUTbks5agH4PbRbyWzkIMWP9EdnLP0wI2wGCEli/6SBa6cE2csSebG&#10;XIsVas1JmlGqvVrynSrrBqnXoRYjocec9UkU5wYmTzBGTbHNMypMWKR3PbM84AKuS/voJKXmU75T&#10;nJZDredcQfKWuVHt6MyVfKeYlSOqfnwtAntGrIogdmeUfGm4RmJReJiK3Id6x+rRD2zKxSULVXyV&#10;yF0Ql/ibw1CQshhcfSvOQnbQKd/aDkUsb+cp5k/FKYS6ysui1U255lsjF/LLx7KKUkDRaht+YK6R&#10;igNM2pKK9iiTG4qTQ2IVZbgrfazSShhI+TH3RxFQeTXoKhulgp4Un2OcolSCj/sqi9UgQksKLuyy&#10;UBGvfD+BurbMpIRwJLFcRS9cvwN1pWqFyCZcX69ZlB1tQl33OphmO0ktpbajLtS1MlUmmZnVUqTZ&#10;aBuaah2E1a4Wi+CHopYjEqoXolBm/K6qZemESyg5LFQ6CJcltaxo2SkqNlhoYISDnaaONxnV+I5z&#10;TckrpYOyqf2VpxQWkoTPB5IGrDkv0H5IbYGmkeOpavXxZdTUeJyINDyeZrZsziWgYmZ5FtDh4Mg3&#10;UdNXVfwFH2+cRmiipvRruDz+WeP4wBfFgcxMI1kVGo1CC9RdyjQU4LXQAt24PDHKOLRReAY0x8Kq&#10;HWJvzmbxTrD5lXop2ctTJm8K+spJDy7PnC5MrZenQ14cYSpRzuPlzVkzw6YOoVOWefXkylv25pVT&#10;bS0Gm8ogdH96JeqwFSjavsNFV2KL1dakrfmDdOaVqOkbb2TYyF6NmjuwtKyhCaI5B0N80HmTNYlq&#10;oqb2Nc3FMvFNchsp6YeFppNpGSfDa2f0lA/QWX2vV8WGV1Gf+q/KtL4OvycckjfXSBXOyPoa4QUU&#10;316X8PNrJXQRmvzeNembJP4lbxT8n+S/ulMYUt8NIK0AAAAASUVORK5CYIJQSwMEFAAGAAgAAAAh&#10;AKicMcfcAAAABgEAAA8AAABkcnMvZG93bnJldi54bWxMjk1Lw0AURfeC/2F4gjs7+bBVYl5KKeqq&#10;CLZC6W6aeU1CM29CZpqk/97pSpeXezn35MvJtGKg3jWWEeJZBIK4tLrhCuFn9/H0CsJ5xVq1lgnh&#10;Sg6Wxf1drjJtR/6mYesrESDsMoVQe99lUrqyJqPczHbEoTvZ3igfYl9J3asxwE0rkyhaSKMaDg+1&#10;6mhdU3neXgzC56jGVRq/D5vzaX097OZf+01MiI8P0+oNhKfJ/43hph/UoQhOR3th7USL8Bx2CPMX&#10;ELcyTUM+IiSLKAFZ5PK/fvEL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1+POXpgCAADRBwAADgAAAAAAAAAAAAAAAAA6AgAAZHJzL2Uyb0RvYy54&#10;bWxQSwECLQAKAAAAAAAAACEAfhWsvxIGAAASBgAAFAAAAAAAAAAAAAAAAAD+BAAAZHJzL21lZGlh&#10;L2ltYWdlMS5wbmdQSwECLQAKAAAAAAAAACEA4IndHG0JAABtCQAAFAAAAAAAAAAAAAAAAABCCwAA&#10;ZHJzL21lZGlhL2ltYWdlMi5wbmdQSwECLQAUAAYACAAAACEAqJwxx9wAAAAGAQAADwAAAAAAAAAA&#10;AAAAAADhFAAAZHJzL2Rvd25yZXYueG1sUEsBAi0AFAAGAAgAAAAhAC5s8ADFAAAApQEAABkAAAAA&#10;AAAAAAAAAAAA6hUAAGRycy9fcmVscy9lMm9Eb2MueG1sLnJlbHNQSwUGAAAAAAcABwC+AQAA5h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VExvgAAANoAAAAPAAAAZHJzL2Rvd25yZXYueG1sRI/NigIx&#10;EITvC75DaMHbmlFUltEoIgge/QOvzaR3Epx0xiTq+PZmYcFjUVVfUYtV5xrxoBCtZwWjYQGCuPLa&#10;cq3gfNp+/4CICVlj45kUvCjCatn7WmCp/ZMP9DimWmQIxxIVmJTaUspYGXIYh74lzt6vDw5TlqGW&#10;OuAzw10jx0Uxkw4t5wWDLW0MVdfj3Snw1WRft+Z+OQV3uU31ztqbtUoN+t16DiJRlz7h//ZOK5jA&#10;35V8A+TyDQAA//8DAFBLAQItABQABgAIAAAAIQDb4fbL7gAAAIUBAAATAAAAAAAAAAAAAAAAAAAA&#10;AABbQ29udGVudF9UeXBlc10ueG1sUEsBAi0AFAAGAAgAAAAhAFr0LFu/AAAAFQEAAAsAAAAAAAAA&#10;AAAAAAAAHwEAAF9yZWxzLy5yZWxzUEsBAi0AFAAGAAgAAAAhADbxUTG+AAAA2gAAAA8AAAAAAAAA&#10;AAAAAAAABwIAAGRycy9kb3ducmV2LnhtbFBLBQYAAAAAAwADALcAAADyAgAAAAA=&#10;">
                        <v:imagedata r:id="rId10" o:title="UNEP"/>
                      </v:shape>
                      <v:shape id="Picture 5"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F9xQAAANoAAAAPAAAAZHJzL2Rvd25yZXYueG1sRI9Ba8JA&#10;FITvBf/D8gQvRTctKBJdRWwLIvZg9ODxmX0mwezbNLu6aX99Vyj0OMzMN8x82Zla3Kl1lWUFL6ME&#10;BHFudcWFguPhYzgF4TyyxtoyKfgmB8tF72mOqbaB93TPfCEihF2KCkrvm1RKl5dk0I1sQxy9i20N&#10;+ijbQuoWQ4SbWr4myUQarDgulNjQuqT8mt2Mgvdp2H19YnjOJuPzfnv6eQvyeFBq0O9WMxCeOv8f&#10;/mtvtIIxPK7EGyAXvwAAAP//AwBQSwECLQAUAAYACAAAACEA2+H2y+4AAACFAQAAEwAAAAAAAAAA&#10;AAAAAAAAAAAAW0NvbnRlbnRfVHlwZXNdLnhtbFBLAQItABQABgAIAAAAIQBa9CxbvwAAABUBAAAL&#10;AAAAAAAAAAAAAAAAAB8BAABfcmVscy8ucmVsc1BLAQItABQABgAIAAAAIQA2MZF9xQAAANoAAAAP&#10;AAAAAAAAAAAAAAAAAAcCAABkcnMvZG93bnJldi54bWxQSwUGAAAAAAMAAwC3AAAA+QIAAAAA&#10;">
                        <v:imagedata r:id="rId11" o:title=""/>
                      </v:shape>
                    </v:group>
                  </w:pict>
                </mc:Fallback>
              </mc:AlternateContent>
            </w:r>
          </w:p>
        </w:tc>
        <w:tc>
          <w:tcPr>
            <w:tcW w:w="3960" w:type="dxa"/>
            <w:tcBorders>
              <w:top w:val="nil"/>
              <w:left w:val="nil"/>
              <w:bottom w:val="single" w:sz="36" w:space="0" w:color="auto"/>
              <w:right w:val="nil"/>
            </w:tcBorders>
          </w:tcPr>
          <w:p w14:paraId="42A680A6" w14:textId="77777777" w:rsidR="00A33AC2" w:rsidRPr="00DB24E5" w:rsidRDefault="00A33AC2" w:rsidP="0079355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s-ES"/>
              </w:rPr>
            </w:pPr>
          </w:p>
          <w:p w14:paraId="304502DB" w14:textId="77777777" w:rsidR="00A33AC2" w:rsidRPr="00DB24E5" w:rsidRDefault="00A33AC2" w:rsidP="00A33AC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DB24E5">
              <w:rPr>
                <w:rFonts w:ascii="Univers" w:hAnsi="Univers"/>
                <w:b/>
                <w:sz w:val="32"/>
                <w:lang w:val="es-ES"/>
              </w:rPr>
              <w:t xml:space="preserve">Programa de las Naciones Unidas    </w:t>
            </w:r>
          </w:p>
          <w:p w14:paraId="4D3873B7" w14:textId="628B598F" w:rsidR="00A33AC2" w:rsidRPr="00DB24E5" w:rsidRDefault="00A33AC2" w:rsidP="00A33AC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es-ES"/>
              </w:rPr>
            </w:pPr>
            <w:r w:rsidRPr="00DB24E5">
              <w:rPr>
                <w:rFonts w:ascii="Univers" w:hAnsi="Univers"/>
                <w:b/>
                <w:sz w:val="32"/>
                <w:lang w:val="es-ES"/>
              </w:rPr>
              <w:t>para el Medio Ambiente</w:t>
            </w:r>
          </w:p>
          <w:p w14:paraId="0E075816" w14:textId="08E188C3" w:rsidR="0079355C" w:rsidRPr="00DB24E5" w:rsidRDefault="0079355C" w:rsidP="0079355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ES"/>
              </w:rPr>
            </w:pPr>
          </w:p>
          <w:p w14:paraId="4ACAF751" w14:textId="77777777" w:rsidR="0079355C" w:rsidRPr="00DB24E5" w:rsidRDefault="0079355C" w:rsidP="0079355C">
            <w:pPr>
              <w:spacing w:before="720"/>
              <w:ind w:left="158"/>
              <w:rPr>
                <w:lang w:val="es-ES"/>
              </w:rPr>
            </w:pPr>
          </w:p>
        </w:tc>
        <w:tc>
          <w:tcPr>
            <w:tcW w:w="4050" w:type="dxa"/>
            <w:tcBorders>
              <w:top w:val="nil"/>
              <w:left w:val="nil"/>
              <w:bottom w:val="single" w:sz="36" w:space="0" w:color="auto"/>
              <w:right w:val="nil"/>
            </w:tcBorders>
          </w:tcPr>
          <w:p w14:paraId="621A2AC6" w14:textId="77777777" w:rsidR="00F048A9" w:rsidRDefault="00F048A9" w:rsidP="0079355C">
            <w:pPr>
              <w:rPr>
                <w:lang w:val="es-ES"/>
              </w:rPr>
            </w:pPr>
          </w:p>
          <w:p w14:paraId="677EC886" w14:textId="776E6B60" w:rsidR="0079355C" w:rsidRPr="00DB24E5" w:rsidRDefault="0079355C" w:rsidP="0079355C">
            <w:pPr>
              <w:rPr>
                <w:lang w:val="es-ES"/>
              </w:rPr>
            </w:pPr>
            <w:proofErr w:type="spellStart"/>
            <w:r w:rsidRPr="00DB24E5">
              <w:rPr>
                <w:lang w:val="es-ES"/>
              </w:rPr>
              <w:t>Distr</w:t>
            </w:r>
            <w:proofErr w:type="spellEnd"/>
            <w:r w:rsidRPr="00DB24E5">
              <w:rPr>
                <w:lang w:val="es-ES"/>
              </w:rPr>
              <w:t>.</w:t>
            </w:r>
          </w:p>
          <w:p w14:paraId="05DF9E51" w14:textId="77777777" w:rsidR="0079355C" w:rsidRPr="00DB24E5" w:rsidRDefault="0079355C" w:rsidP="0079355C">
            <w:pPr>
              <w:rPr>
                <w:lang w:val="es-ES"/>
              </w:rPr>
            </w:pPr>
            <w:r w:rsidRPr="00DB24E5">
              <w:rPr>
                <w:lang w:val="es-ES"/>
              </w:rPr>
              <w:t>GENERAL</w:t>
            </w:r>
          </w:p>
          <w:p w14:paraId="3757F0EE" w14:textId="77777777" w:rsidR="0079355C" w:rsidRPr="00DB24E5" w:rsidRDefault="0079355C" w:rsidP="0079355C">
            <w:pPr>
              <w:rPr>
                <w:lang w:val="es-ES"/>
              </w:rPr>
            </w:pPr>
          </w:p>
          <w:p w14:paraId="43C2A95C" w14:textId="787CADC1" w:rsidR="0079355C" w:rsidRPr="00DB24E5" w:rsidRDefault="00B7544E" w:rsidP="0079355C">
            <w:pPr>
              <w:rPr>
                <w:lang w:val="es-ES"/>
              </w:rPr>
            </w:pPr>
            <w:r w:rsidRPr="00DB24E5">
              <w:rPr>
                <w:lang w:val="es-ES"/>
              </w:rPr>
              <w:fldChar w:fldCharType="begin"/>
            </w:r>
            <w:r w:rsidRPr="00DB24E5">
              <w:rPr>
                <w:lang w:val="es-ES"/>
              </w:rPr>
              <w:instrText xml:space="preserve"> DOCPROPERTY "Document number"  \* MERGEFORMAT </w:instrText>
            </w:r>
            <w:r w:rsidRPr="00DB24E5">
              <w:rPr>
                <w:lang w:val="es-ES"/>
              </w:rPr>
              <w:fldChar w:fldCharType="separate"/>
            </w:r>
            <w:r w:rsidR="005F47AD">
              <w:rPr>
                <w:lang w:val="es-ES"/>
              </w:rPr>
              <w:t>UNEP/</w:t>
            </w:r>
            <w:proofErr w:type="spellStart"/>
            <w:r w:rsidR="005F47AD">
              <w:rPr>
                <w:lang w:val="es-ES"/>
              </w:rPr>
              <w:t>OzL.Pro</w:t>
            </w:r>
            <w:proofErr w:type="spellEnd"/>
            <w:r w:rsidR="005F47AD">
              <w:rPr>
                <w:lang w:val="es-ES"/>
              </w:rPr>
              <w:t>/</w:t>
            </w:r>
            <w:proofErr w:type="spellStart"/>
            <w:r w:rsidR="005F47AD">
              <w:rPr>
                <w:lang w:val="es-ES"/>
              </w:rPr>
              <w:t>ExCom</w:t>
            </w:r>
            <w:proofErr w:type="spellEnd"/>
            <w:r w:rsidR="005F47AD">
              <w:rPr>
                <w:lang w:val="es-ES"/>
              </w:rPr>
              <w:t>/85/39</w:t>
            </w:r>
            <w:r w:rsidRPr="00DB24E5">
              <w:rPr>
                <w:lang w:val="es-ES"/>
              </w:rPr>
              <w:fldChar w:fldCharType="end"/>
            </w:r>
          </w:p>
          <w:p w14:paraId="1DE81287" w14:textId="39AF462E" w:rsidR="0079355C" w:rsidRPr="00DB24E5" w:rsidRDefault="0079355C" w:rsidP="0079355C">
            <w:pPr>
              <w:rPr>
                <w:lang w:val="es-ES"/>
              </w:rPr>
            </w:pPr>
            <w:r w:rsidRPr="00DB24E5">
              <w:rPr>
                <w:lang w:val="es-ES"/>
              </w:rPr>
              <w:fldChar w:fldCharType="begin"/>
            </w:r>
            <w:r w:rsidRPr="00DB24E5">
              <w:rPr>
                <w:lang w:val="es-ES"/>
              </w:rPr>
              <w:instrText xml:space="preserve"> DOCPROPERTY "Revision date" \@ "d MMMM YYYY"  \* MERGEFORMAT </w:instrText>
            </w:r>
            <w:r w:rsidRPr="00DB24E5">
              <w:rPr>
                <w:lang w:val="es-ES"/>
              </w:rPr>
              <w:fldChar w:fldCharType="separate"/>
            </w:r>
            <w:r w:rsidR="00F048A9">
              <w:rPr>
                <w:lang w:val="es-ES"/>
              </w:rPr>
              <w:t>4 de mayo de 2020</w:t>
            </w:r>
            <w:r w:rsidRPr="00DB24E5">
              <w:rPr>
                <w:lang w:val="es-ES"/>
              </w:rPr>
              <w:fldChar w:fldCharType="end"/>
            </w:r>
          </w:p>
          <w:p w14:paraId="6B1B924B" w14:textId="77777777" w:rsidR="0079355C" w:rsidRPr="00DB24E5" w:rsidRDefault="0079355C" w:rsidP="0079355C">
            <w:pPr>
              <w:rPr>
                <w:caps/>
                <w:lang w:val="es-ES"/>
              </w:rPr>
            </w:pPr>
          </w:p>
          <w:p w14:paraId="026934AD" w14:textId="77777777" w:rsidR="00A33AC2" w:rsidRPr="00DB24E5" w:rsidRDefault="00A33AC2" w:rsidP="0079355C">
            <w:pPr>
              <w:rPr>
                <w:lang w:val="es-ES"/>
              </w:rPr>
            </w:pPr>
            <w:r w:rsidRPr="00DB24E5">
              <w:rPr>
                <w:lang w:val="es-ES"/>
              </w:rPr>
              <w:t>ESPAÑOL</w:t>
            </w:r>
          </w:p>
          <w:p w14:paraId="1BC82B81" w14:textId="1D228E05" w:rsidR="0079355C" w:rsidRPr="00DB24E5" w:rsidRDefault="0079355C" w:rsidP="00A33AC2">
            <w:pPr>
              <w:rPr>
                <w:lang w:val="es-ES"/>
              </w:rPr>
            </w:pPr>
            <w:r w:rsidRPr="00DB24E5">
              <w:rPr>
                <w:lang w:val="es-ES"/>
              </w:rPr>
              <w:t xml:space="preserve">ORIGINAL: </w:t>
            </w:r>
            <w:r w:rsidR="00A33AC2" w:rsidRPr="00DB24E5">
              <w:rPr>
                <w:lang w:val="es-ES"/>
              </w:rPr>
              <w:t>INGLÉS</w:t>
            </w:r>
          </w:p>
        </w:tc>
      </w:tr>
    </w:tbl>
    <w:p w14:paraId="51AF082B" w14:textId="77777777" w:rsidR="00A33AC2" w:rsidRPr="00DB24E5" w:rsidRDefault="00A33AC2" w:rsidP="0079355C">
      <w:pPr>
        <w:jc w:val="left"/>
        <w:rPr>
          <w:lang w:val="es-ES"/>
        </w:rPr>
      </w:pPr>
    </w:p>
    <w:p w14:paraId="640F03B0" w14:textId="793C7523" w:rsidR="0079355C" w:rsidRPr="00DB24E5" w:rsidRDefault="00A33AC2" w:rsidP="0079355C">
      <w:pPr>
        <w:jc w:val="left"/>
        <w:rPr>
          <w:lang w:val="es-ES"/>
        </w:rPr>
      </w:pPr>
      <w:r w:rsidRPr="00DB24E5">
        <w:rPr>
          <w:lang w:val="es-ES"/>
        </w:rPr>
        <w:t xml:space="preserve">COMITÉ EJECUTIVO DEL </w:t>
      </w:r>
      <w:r w:rsidR="0079355C" w:rsidRPr="00DB24E5">
        <w:rPr>
          <w:lang w:val="es-ES"/>
        </w:rPr>
        <w:br/>
        <w:t xml:space="preserve">  </w:t>
      </w:r>
      <w:r w:rsidRPr="00DB24E5">
        <w:rPr>
          <w:lang w:val="es-ES"/>
        </w:rPr>
        <w:t xml:space="preserve">FONDO MULTILATERAL PARA LA </w:t>
      </w:r>
      <w:r w:rsidR="0079355C" w:rsidRPr="00DB24E5">
        <w:rPr>
          <w:lang w:val="es-ES"/>
        </w:rPr>
        <w:br/>
        <w:t xml:space="preserve">  </w:t>
      </w:r>
      <w:r w:rsidRPr="00DB24E5">
        <w:rPr>
          <w:lang w:val="es-ES"/>
        </w:rPr>
        <w:t xml:space="preserve">APLICACIÓN DEL PROTOCOLO DE </w:t>
      </w:r>
      <w:r w:rsidR="0079355C" w:rsidRPr="00DB24E5">
        <w:rPr>
          <w:lang w:val="es-ES"/>
        </w:rPr>
        <w:t>MONTREAL</w:t>
      </w:r>
      <w:r w:rsidRPr="00DB24E5">
        <w:rPr>
          <w:lang w:val="es-ES"/>
        </w:rPr>
        <w:t xml:space="preserve"> </w:t>
      </w:r>
      <w:r w:rsidR="0079355C" w:rsidRPr="00DB24E5">
        <w:rPr>
          <w:lang w:val="es-ES"/>
        </w:rPr>
        <w:br/>
      </w:r>
      <w:r w:rsidRPr="00DB24E5">
        <w:rPr>
          <w:lang w:val="es-ES"/>
        </w:rPr>
        <w:t>Octogésima quinta Reunión</w:t>
      </w:r>
    </w:p>
    <w:p w14:paraId="2F0D70FF" w14:textId="406DD3B1" w:rsidR="0079355C" w:rsidRPr="00DB24E5" w:rsidRDefault="0079355C" w:rsidP="0079355C">
      <w:pPr>
        <w:jc w:val="left"/>
        <w:rPr>
          <w:lang w:val="es-ES"/>
        </w:rPr>
      </w:pPr>
      <w:r w:rsidRPr="00DB24E5">
        <w:rPr>
          <w:lang w:val="es-ES"/>
        </w:rPr>
        <w:t xml:space="preserve">Montreal, 25-29 </w:t>
      </w:r>
      <w:r w:rsidR="00A33AC2" w:rsidRPr="00DB24E5">
        <w:rPr>
          <w:lang w:val="es-ES"/>
        </w:rPr>
        <w:t xml:space="preserve">de mayo de </w:t>
      </w:r>
      <w:r w:rsidRPr="00DB24E5">
        <w:rPr>
          <w:lang w:val="es-ES"/>
        </w:rPr>
        <w:t>2020</w:t>
      </w:r>
    </w:p>
    <w:p w14:paraId="31B4BC5B" w14:textId="7EFD3B8F" w:rsidR="0079355C" w:rsidRPr="00DB24E5" w:rsidRDefault="00A33AC2" w:rsidP="0079355C">
      <w:pPr>
        <w:jc w:val="left"/>
        <w:rPr>
          <w:lang w:val="es-ES"/>
        </w:rPr>
      </w:pPr>
      <w:r w:rsidRPr="00DB24E5">
        <w:rPr>
          <w:lang w:val="es-ES"/>
        </w:rPr>
        <w:t>Pospuesta:</w:t>
      </w:r>
      <w:r w:rsidR="0079355C" w:rsidRPr="00DB24E5">
        <w:rPr>
          <w:lang w:val="es-ES"/>
        </w:rPr>
        <w:t xml:space="preserve"> 19-22 </w:t>
      </w:r>
      <w:r w:rsidRPr="00DB24E5">
        <w:rPr>
          <w:lang w:val="es-ES"/>
        </w:rPr>
        <w:t xml:space="preserve">de julio de </w:t>
      </w:r>
      <w:r w:rsidR="0079355C" w:rsidRPr="00DB24E5">
        <w:rPr>
          <w:lang w:val="es-ES"/>
        </w:rPr>
        <w:t>2020*</w:t>
      </w:r>
    </w:p>
    <w:p w14:paraId="6A39DC99" w14:textId="77777777" w:rsidR="00F205F9" w:rsidRPr="00DB24E5" w:rsidRDefault="00F205F9" w:rsidP="00E40D6A">
      <w:pPr>
        <w:tabs>
          <w:tab w:val="left" w:pos="8280"/>
        </w:tabs>
        <w:rPr>
          <w:lang w:val="es-ES"/>
        </w:rPr>
      </w:pPr>
    </w:p>
    <w:p w14:paraId="48D0D224" w14:textId="77777777" w:rsidR="00F205F9" w:rsidRPr="00DB24E5" w:rsidRDefault="00F205F9" w:rsidP="00DE13AC">
      <w:pPr>
        <w:rPr>
          <w:lang w:val="es-ES"/>
        </w:rPr>
      </w:pPr>
    </w:p>
    <w:p w14:paraId="0E1A92E3" w14:textId="77777777" w:rsidR="00DE13AC" w:rsidRPr="00DB24E5" w:rsidRDefault="00DE13AC" w:rsidP="00DE13AC">
      <w:pPr>
        <w:rPr>
          <w:lang w:val="es-ES"/>
        </w:rPr>
      </w:pPr>
    </w:p>
    <w:p w14:paraId="2C81BFD8" w14:textId="21F40367" w:rsidR="00DE13AC" w:rsidRPr="00DB24E5" w:rsidRDefault="00A33AC2" w:rsidP="00DE13AC">
      <w:pPr>
        <w:jc w:val="center"/>
        <w:rPr>
          <w:b/>
          <w:lang w:val="es-ES"/>
        </w:rPr>
      </w:pPr>
      <w:r w:rsidRPr="00DB24E5">
        <w:rPr>
          <w:b/>
          <w:lang w:val="es-ES"/>
        </w:rPr>
        <w:t>PROPUESTA DE PROYECTO</w:t>
      </w:r>
      <w:r w:rsidR="00DE13AC" w:rsidRPr="00DB24E5">
        <w:rPr>
          <w:b/>
          <w:lang w:val="es-ES"/>
        </w:rPr>
        <w:t>:</w:t>
      </w:r>
      <w:r w:rsidR="00A6655A" w:rsidRPr="00DB24E5">
        <w:rPr>
          <w:b/>
          <w:lang w:val="es-ES"/>
        </w:rPr>
        <w:t xml:space="preserve"> </w:t>
      </w:r>
      <w:r w:rsidR="00DE13AC" w:rsidRPr="00DB24E5">
        <w:rPr>
          <w:b/>
          <w:lang w:val="es-ES"/>
        </w:rPr>
        <w:t>MONTENEGRO</w:t>
      </w:r>
    </w:p>
    <w:p w14:paraId="08A98FD9" w14:textId="77777777" w:rsidR="00DE13AC" w:rsidRPr="00DB24E5" w:rsidRDefault="00DE13AC" w:rsidP="00DE13AC">
      <w:pPr>
        <w:rPr>
          <w:lang w:val="es-ES"/>
        </w:rPr>
      </w:pPr>
    </w:p>
    <w:p w14:paraId="6C002B28" w14:textId="77777777" w:rsidR="00DE13AC" w:rsidRPr="00DB24E5" w:rsidRDefault="00DE13AC" w:rsidP="00DE13AC">
      <w:pPr>
        <w:rPr>
          <w:lang w:val="es-ES"/>
        </w:rPr>
      </w:pPr>
    </w:p>
    <w:p w14:paraId="5D8487A1" w14:textId="3080B36C" w:rsidR="00DE13AC" w:rsidRPr="00DB24E5" w:rsidRDefault="00A33AC2" w:rsidP="00DE13AC">
      <w:pPr>
        <w:ind w:firstLine="720"/>
        <w:rPr>
          <w:lang w:val="es-ES"/>
        </w:rPr>
      </w:pPr>
      <w:r w:rsidRPr="00DB24E5">
        <w:rPr>
          <w:lang w:val="es-ES"/>
        </w:rPr>
        <w:t>El presente documento consta de las observaciones y recomendaciones de la Secretaría sobre las propuestas de proyecto siguientes</w:t>
      </w:r>
      <w:r w:rsidR="00DE13AC" w:rsidRPr="00DB24E5">
        <w:rPr>
          <w:lang w:val="es-ES"/>
        </w:rPr>
        <w:t xml:space="preserve">: </w:t>
      </w:r>
    </w:p>
    <w:p w14:paraId="40540D1F" w14:textId="77777777" w:rsidR="00DE13AC" w:rsidRPr="00DB24E5" w:rsidRDefault="00DE13AC" w:rsidP="00DE13AC">
      <w:pPr>
        <w:rPr>
          <w:lang w:val="es-ES"/>
        </w:rPr>
      </w:pPr>
    </w:p>
    <w:p w14:paraId="73882BBC" w14:textId="24BC53C0" w:rsidR="00DE13AC" w:rsidRPr="00DB24E5" w:rsidRDefault="00A33AC2" w:rsidP="00DE13AC">
      <w:pPr>
        <w:rPr>
          <w:u w:val="single"/>
          <w:lang w:val="es-ES"/>
        </w:rPr>
      </w:pPr>
      <w:r w:rsidRPr="00DB24E5">
        <w:rPr>
          <w:u w:val="single"/>
          <w:lang w:val="es-ES"/>
        </w:rPr>
        <w:t xml:space="preserve">Eliminación </w:t>
      </w:r>
    </w:p>
    <w:p w14:paraId="4A02C475" w14:textId="77777777" w:rsidR="00DE13AC" w:rsidRPr="00DB24E5" w:rsidRDefault="00DE13AC" w:rsidP="00DE13A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DE13AC" w:rsidRPr="00DB24E5" w14:paraId="69F82BEE" w14:textId="77777777" w:rsidTr="00E40D6A">
        <w:tc>
          <w:tcPr>
            <w:tcW w:w="6941" w:type="dxa"/>
          </w:tcPr>
          <w:p w14:paraId="67378B67" w14:textId="095BDF16" w:rsidR="00DE13AC" w:rsidRPr="00DB24E5" w:rsidRDefault="00A33AC2" w:rsidP="00A33AC2">
            <w:pPr>
              <w:pStyle w:val="ListParagraph"/>
              <w:numPr>
                <w:ilvl w:val="0"/>
                <w:numId w:val="21"/>
              </w:numPr>
              <w:ind w:hanging="830"/>
              <w:rPr>
                <w:lang w:val="es-ES"/>
              </w:rPr>
            </w:pPr>
            <w:r w:rsidRPr="00DB24E5">
              <w:rPr>
                <w:lang w:val="es-ES"/>
              </w:rPr>
              <w:t xml:space="preserve">Plan de gestión de eliminación de los </w:t>
            </w:r>
            <w:r w:rsidR="00DE13AC" w:rsidRPr="00DB24E5">
              <w:rPr>
                <w:lang w:val="es-ES"/>
              </w:rPr>
              <w:t>HCFC (</w:t>
            </w:r>
            <w:r w:rsidRPr="00DB24E5">
              <w:rPr>
                <w:lang w:val="es-ES"/>
              </w:rPr>
              <w:t>etapa</w:t>
            </w:r>
            <w:r w:rsidR="00DE13AC" w:rsidRPr="00DB24E5">
              <w:rPr>
                <w:lang w:val="es-ES"/>
              </w:rPr>
              <w:t xml:space="preserve"> I, </w:t>
            </w:r>
            <w:r w:rsidRPr="00DB24E5">
              <w:rPr>
                <w:lang w:val="es-ES"/>
              </w:rPr>
              <w:t>quinto tramo</w:t>
            </w:r>
            <w:r w:rsidR="00DE13AC" w:rsidRPr="00DB24E5">
              <w:rPr>
                <w:lang w:val="es-ES"/>
              </w:rPr>
              <w:t>)</w:t>
            </w:r>
          </w:p>
        </w:tc>
        <w:tc>
          <w:tcPr>
            <w:tcW w:w="2409" w:type="dxa"/>
          </w:tcPr>
          <w:p w14:paraId="58EBD285" w14:textId="5BF83980" w:rsidR="00DE13AC" w:rsidRPr="00DB24E5" w:rsidRDefault="00A33AC2" w:rsidP="00E40D6A">
            <w:pPr>
              <w:jc w:val="right"/>
              <w:rPr>
                <w:lang w:val="es-ES"/>
              </w:rPr>
            </w:pPr>
            <w:r w:rsidRPr="00DB24E5">
              <w:rPr>
                <w:lang w:val="es-ES"/>
              </w:rPr>
              <w:t>ONUDI</w:t>
            </w:r>
          </w:p>
        </w:tc>
      </w:tr>
    </w:tbl>
    <w:p w14:paraId="70BA2DB6" w14:textId="77777777" w:rsidR="00DE13AC" w:rsidRPr="00DB24E5" w:rsidRDefault="00DE13AC" w:rsidP="00DE13A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DE13AC" w:rsidRPr="00DB24E5" w14:paraId="744D8028" w14:textId="77777777" w:rsidTr="00E40D6A">
        <w:tc>
          <w:tcPr>
            <w:tcW w:w="6941" w:type="dxa"/>
          </w:tcPr>
          <w:p w14:paraId="3178A0AB" w14:textId="4E64A4D3" w:rsidR="00DE13AC" w:rsidRPr="00DB24E5" w:rsidRDefault="00A33AC2" w:rsidP="00A33AC2">
            <w:pPr>
              <w:pStyle w:val="ListParagraph"/>
              <w:numPr>
                <w:ilvl w:val="0"/>
                <w:numId w:val="21"/>
              </w:numPr>
              <w:ind w:hanging="830"/>
              <w:rPr>
                <w:lang w:val="es-ES"/>
              </w:rPr>
            </w:pPr>
            <w:r w:rsidRPr="00DB24E5">
              <w:rPr>
                <w:lang w:val="es-ES"/>
              </w:rPr>
              <w:t xml:space="preserve">Plan de gestión de eliminación de los </w:t>
            </w:r>
            <w:r w:rsidR="00DE13AC" w:rsidRPr="00DB24E5">
              <w:rPr>
                <w:lang w:val="es-ES"/>
              </w:rPr>
              <w:t>HCFC (</w:t>
            </w:r>
            <w:r w:rsidRPr="00DB24E5">
              <w:rPr>
                <w:lang w:val="es-ES"/>
              </w:rPr>
              <w:t>etapa</w:t>
            </w:r>
            <w:r w:rsidR="00DE13AC" w:rsidRPr="00DB24E5">
              <w:rPr>
                <w:lang w:val="es-ES"/>
              </w:rPr>
              <w:t xml:space="preserve"> II, </w:t>
            </w:r>
            <w:r w:rsidRPr="00DB24E5">
              <w:rPr>
                <w:lang w:val="es-ES"/>
              </w:rPr>
              <w:t>primer tramo</w:t>
            </w:r>
            <w:r w:rsidR="00DE13AC" w:rsidRPr="00DB24E5">
              <w:rPr>
                <w:lang w:val="es-ES"/>
              </w:rPr>
              <w:t>)</w:t>
            </w:r>
          </w:p>
        </w:tc>
        <w:tc>
          <w:tcPr>
            <w:tcW w:w="2409" w:type="dxa"/>
          </w:tcPr>
          <w:p w14:paraId="7BB89C34" w14:textId="36ACDB5B" w:rsidR="00DE13AC" w:rsidRPr="00DB24E5" w:rsidRDefault="00A33AC2" w:rsidP="00E40D6A">
            <w:pPr>
              <w:jc w:val="right"/>
              <w:rPr>
                <w:lang w:val="es-ES"/>
              </w:rPr>
            </w:pPr>
            <w:r w:rsidRPr="00DB24E5">
              <w:rPr>
                <w:lang w:val="es-ES"/>
              </w:rPr>
              <w:t>ONUDI</w:t>
            </w:r>
          </w:p>
        </w:tc>
      </w:tr>
    </w:tbl>
    <w:p w14:paraId="5C3A75BE" w14:textId="77777777" w:rsidR="00F205F9" w:rsidRPr="00DB24E5" w:rsidRDefault="00F205F9" w:rsidP="00DE13AC">
      <w:pPr>
        <w:rPr>
          <w:lang w:val="es-ES"/>
        </w:rPr>
      </w:pPr>
    </w:p>
    <w:p w14:paraId="49C3D390" w14:textId="16E04ABF" w:rsidR="00F205F9" w:rsidRPr="00DB24E5" w:rsidRDefault="00F205F9" w:rsidP="00DE13AC">
      <w:pPr>
        <w:rPr>
          <w:lang w:val="es-ES"/>
        </w:rPr>
      </w:pPr>
    </w:p>
    <w:p w14:paraId="35A04D37" w14:textId="29A3BDD1" w:rsidR="0079355C" w:rsidRPr="00DB24E5" w:rsidRDefault="0079355C" w:rsidP="00DE13AC">
      <w:pPr>
        <w:rPr>
          <w:lang w:val="es-ES"/>
        </w:rPr>
      </w:pPr>
    </w:p>
    <w:p w14:paraId="09B5CD20" w14:textId="1E8B0212" w:rsidR="0079355C" w:rsidRPr="00DB24E5" w:rsidRDefault="0079355C" w:rsidP="00DE13AC">
      <w:pPr>
        <w:rPr>
          <w:lang w:val="es-ES"/>
        </w:rPr>
      </w:pPr>
    </w:p>
    <w:p w14:paraId="55DB1DEA" w14:textId="304745AD" w:rsidR="0079355C" w:rsidRPr="00DB24E5" w:rsidRDefault="0079355C" w:rsidP="00DE13AC">
      <w:pPr>
        <w:rPr>
          <w:lang w:val="es-ES"/>
        </w:rPr>
      </w:pPr>
    </w:p>
    <w:p w14:paraId="3948BE10" w14:textId="7B37CCB0" w:rsidR="0079355C" w:rsidRPr="00DB24E5" w:rsidRDefault="0079355C" w:rsidP="00DE13AC">
      <w:pPr>
        <w:rPr>
          <w:lang w:val="es-ES"/>
        </w:rPr>
      </w:pPr>
    </w:p>
    <w:p w14:paraId="26B47D31" w14:textId="75338103" w:rsidR="0079355C" w:rsidRPr="00DB24E5" w:rsidRDefault="0079355C" w:rsidP="00DE13AC">
      <w:pPr>
        <w:rPr>
          <w:lang w:val="es-ES"/>
        </w:rPr>
      </w:pPr>
    </w:p>
    <w:p w14:paraId="53E9437B" w14:textId="36CE9509" w:rsidR="0079355C" w:rsidRPr="00DB24E5" w:rsidRDefault="0079355C" w:rsidP="00DE13AC">
      <w:pPr>
        <w:rPr>
          <w:lang w:val="es-ES"/>
        </w:rPr>
      </w:pPr>
    </w:p>
    <w:p w14:paraId="2E383B75" w14:textId="3E4DD264" w:rsidR="0079355C" w:rsidRPr="00DB24E5" w:rsidRDefault="0079355C" w:rsidP="00DE13AC">
      <w:pPr>
        <w:rPr>
          <w:lang w:val="es-ES"/>
        </w:rPr>
      </w:pPr>
    </w:p>
    <w:p w14:paraId="4A8D2CD4" w14:textId="24FDAD70" w:rsidR="0079355C" w:rsidRPr="00DB24E5" w:rsidRDefault="0079355C" w:rsidP="00DE13AC">
      <w:pPr>
        <w:rPr>
          <w:lang w:val="es-ES"/>
        </w:rPr>
      </w:pPr>
    </w:p>
    <w:p w14:paraId="32F37529" w14:textId="7BA6543A" w:rsidR="0079355C" w:rsidRPr="00DB24E5" w:rsidRDefault="0079355C" w:rsidP="00DE13AC">
      <w:pPr>
        <w:rPr>
          <w:lang w:val="es-ES"/>
        </w:rPr>
      </w:pPr>
    </w:p>
    <w:p w14:paraId="36FA2AB5" w14:textId="3645427D" w:rsidR="006F6C30" w:rsidRPr="00DB24E5" w:rsidRDefault="006F6C30" w:rsidP="00DE13AC">
      <w:pPr>
        <w:rPr>
          <w:lang w:val="es-ES"/>
        </w:rPr>
      </w:pPr>
    </w:p>
    <w:p w14:paraId="1A147BFF" w14:textId="1EE59D29" w:rsidR="006F6C30" w:rsidRPr="00DB24E5" w:rsidRDefault="006F6C30" w:rsidP="00DE13AC">
      <w:pPr>
        <w:rPr>
          <w:lang w:val="es-ES"/>
        </w:rPr>
      </w:pPr>
    </w:p>
    <w:p w14:paraId="69CAF839" w14:textId="77777777" w:rsidR="006F6C30" w:rsidRPr="00DB24E5" w:rsidRDefault="006F6C30" w:rsidP="00DE13AC">
      <w:pPr>
        <w:rPr>
          <w:lang w:val="es-ES"/>
        </w:rPr>
      </w:pPr>
    </w:p>
    <w:p w14:paraId="488B0C2A" w14:textId="195E7C01" w:rsidR="0079355C" w:rsidRPr="00DB24E5" w:rsidRDefault="0079355C" w:rsidP="00DE13AC">
      <w:pPr>
        <w:rPr>
          <w:lang w:val="es-ES"/>
        </w:rPr>
      </w:pPr>
    </w:p>
    <w:p w14:paraId="6AF523D0" w14:textId="77777777" w:rsidR="0079355C" w:rsidRPr="00DB24E5" w:rsidRDefault="0079355C" w:rsidP="0079355C">
      <w:pPr>
        <w:pStyle w:val="StyleHeader4Para4Left0Firstline0"/>
        <w:numPr>
          <w:ilvl w:val="0"/>
          <w:numId w:val="0"/>
        </w:numPr>
        <w:rPr>
          <w:lang w:val="es-ES"/>
        </w:rPr>
      </w:pPr>
    </w:p>
    <w:p w14:paraId="78981779" w14:textId="6F3E5E3C" w:rsidR="00B36D4E" w:rsidRPr="00DB24E5" w:rsidRDefault="0079355C" w:rsidP="0079355C">
      <w:pPr>
        <w:pStyle w:val="StyleHeader4Para4Left0Firstline0"/>
        <w:numPr>
          <w:ilvl w:val="0"/>
          <w:numId w:val="0"/>
        </w:numPr>
        <w:rPr>
          <w:lang w:val="es-ES"/>
        </w:rPr>
      </w:pPr>
      <w:r w:rsidRPr="00DB24E5">
        <w:rPr>
          <w:lang w:val="es-ES"/>
        </w:rPr>
        <w:t xml:space="preserve">* </w:t>
      </w:r>
      <w:r w:rsidR="00A33AC2" w:rsidRPr="00DB24E5">
        <w:rPr>
          <w:lang w:val="es-ES"/>
        </w:rPr>
        <w:t xml:space="preserve">Debido al </w:t>
      </w:r>
      <w:r w:rsidRPr="00DB24E5">
        <w:rPr>
          <w:lang w:val="es-ES"/>
        </w:rPr>
        <w:t>coronavirus (COVID-19)</w:t>
      </w:r>
      <w:r w:rsidR="00B36D4E" w:rsidRPr="00DB24E5">
        <w:rPr>
          <w:lang w:val="es-ES"/>
        </w:rPr>
        <w:br w:type="page"/>
      </w:r>
    </w:p>
    <w:p w14:paraId="101A0C7E" w14:textId="786F811B" w:rsidR="007A6564" w:rsidRPr="00DB24E5" w:rsidRDefault="00891772" w:rsidP="007A6564">
      <w:pPr>
        <w:spacing w:after="80"/>
        <w:jc w:val="center"/>
        <w:rPr>
          <w:b/>
          <w:sz w:val="24"/>
          <w:lang w:val="es-ES"/>
        </w:rPr>
      </w:pPr>
      <w:r w:rsidRPr="00DB24E5">
        <w:rPr>
          <w:b/>
          <w:sz w:val="24"/>
          <w:lang w:val="es-ES"/>
        </w:rPr>
        <w:lastRenderedPageBreak/>
        <w:t>HOJA DE EVALUACIÓN DE PROYECTOS</w:t>
      </w:r>
      <w:r w:rsidR="007A6564" w:rsidRPr="00DB24E5">
        <w:rPr>
          <w:b/>
          <w:sz w:val="24"/>
          <w:lang w:val="es-ES"/>
        </w:rPr>
        <w:t xml:space="preserve"> – </w:t>
      </w:r>
      <w:r w:rsidRPr="00DB24E5">
        <w:rPr>
          <w:b/>
          <w:sz w:val="24"/>
          <w:lang w:val="es-ES"/>
        </w:rPr>
        <w:t>PROYECTOS PLURIANUALES</w:t>
      </w:r>
    </w:p>
    <w:p w14:paraId="0BB1186B" w14:textId="1FB7B15A" w:rsidR="007A6564" w:rsidRPr="00F048A9" w:rsidRDefault="007A6564" w:rsidP="00F048A9">
      <w:pPr>
        <w:spacing w:before="120" w:after="80"/>
        <w:jc w:val="center"/>
        <w:rPr>
          <w:b/>
          <w:sz w:val="24"/>
          <w:lang w:val="es-ES"/>
        </w:rPr>
      </w:pPr>
      <w:r w:rsidRPr="00DB24E5">
        <w:rPr>
          <w:b/>
          <w:sz w:val="24"/>
          <w:lang w:val="es-ES"/>
        </w:rPr>
        <w:t>Montenegro</w:t>
      </w:r>
    </w:p>
    <w:tbl>
      <w:tblPr>
        <w:tblStyle w:val="TableGrid"/>
        <w:tblW w:w="1000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14"/>
        <w:gridCol w:w="2563"/>
        <w:gridCol w:w="2450"/>
        <w:gridCol w:w="2473"/>
      </w:tblGrid>
      <w:tr w:rsidR="00891772" w:rsidRPr="00F048A9" w14:paraId="1755EDBE" w14:textId="77777777" w:rsidTr="0086358A">
        <w:trPr>
          <w:trHeight w:val="240"/>
          <w:jc w:val="center"/>
        </w:trPr>
        <w:tc>
          <w:tcPr>
            <w:tcW w:w="2514" w:type="dxa"/>
            <w:tcBorders>
              <w:top w:val="single" w:sz="4" w:space="0" w:color="666699"/>
              <w:left w:val="single" w:sz="4" w:space="0" w:color="666699"/>
              <w:bottom w:val="single" w:sz="4" w:space="0" w:color="666699"/>
              <w:right w:val="single" w:sz="4" w:space="0" w:color="666699"/>
            </w:tcBorders>
            <w:hideMark/>
          </w:tcPr>
          <w:p w14:paraId="240275D9" w14:textId="6B7868AC" w:rsidR="007A6564" w:rsidRPr="00F048A9" w:rsidRDefault="007A6564" w:rsidP="00891772">
            <w:pPr>
              <w:spacing w:after="80"/>
              <w:jc w:val="left"/>
              <w:rPr>
                <w:b/>
                <w:sz w:val="20"/>
                <w:szCs w:val="24"/>
                <w:lang w:val="es-ES"/>
              </w:rPr>
            </w:pPr>
            <w:r w:rsidRPr="00F048A9">
              <w:rPr>
                <w:b/>
                <w:sz w:val="20"/>
                <w:szCs w:val="24"/>
                <w:lang w:val="es-ES"/>
              </w:rPr>
              <w:t xml:space="preserve">I) </w:t>
            </w:r>
            <w:r w:rsidR="00891772" w:rsidRPr="00F048A9">
              <w:rPr>
                <w:b/>
                <w:sz w:val="20"/>
                <w:szCs w:val="24"/>
                <w:lang w:val="es-ES"/>
              </w:rPr>
              <w:t>TÍTULO DE PROYECTO</w:t>
            </w:r>
          </w:p>
        </w:tc>
        <w:tc>
          <w:tcPr>
            <w:tcW w:w="2563" w:type="dxa"/>
            <w:tcBorders>
              <w:top w:val="single" w:sz="4" w:space="0" w:color="666699"/>
              <w:left w:val="single" w:sz="4" w:space="0" w:color="666699"/>
              <w:bottom w:val="single" w:sz="4" w:space="0" w:color="666699"/>
              <w:right w:val="single" w:sz="4" w:space="0" w:color="666699"/>
            </w:tcBorders>
            <w:hideMark/>
          </w:tcPr>
          <w:p w14:paraId="0D6FC96C" w14:textId="6FE13EB7" w:rsidR="007A6564" w:rsidRPr="00F048A9" w:rsidRDefault="00891772" w:rsidP="00E9738B">
            <w:pPr>
              <w:spacing w:after="80"/>
              <w:jc w:val="center"/>
              <w:rPr>
                <w:b/>
                <w:sz w:val="20"/>
                <w:szCs w:val="24"/>
                <w:lang w:val="es-ES"/>
              </w:rPr>
            </w:pPr>
            <w:r w:rsidRPr="00F048A9">
              <w:rPr>
                <w:b/>
                <w:sz w:val="20"/>
                <w:szCs w:val="24"/>
                <w:lang w:val="es-ES"/>
              </w:rPr>
              <w:t>ORGANISMO</w:t>
            </w:r>
          </w:p>
        </w:tc>
        <w:tc>
          <w:tcPr>
            <w:tcW w:w="2450" w:type="dxa"/>
            <w:tcBorders>
              <w:top w:val="single" w:sz="4" w:space="0" w:color="666699"/>
              <w:left w:val="single" w:sz="4" w:space="0" w:color="666699"/>
              <w:bottom w:val="single" w:sz="4" w:space="0" w:color="666699"/>
              <w:right w:val="single" w:sz="4" w:space="0" w:color="666699"/>
            </w:tcBorders>
            <w:hideMark/>
          </w:tcPr>
          <w:p w14:paraId="148EE192" w14:textId="2F0F243B" w:rsidR="007A6564" w:rsidRPr="00F048A9" w:rsidRDefault="00891772" w:rsidP="00E9738B">
            <w:pPr>
              <w:spacing w:after="80"/>
              <w:jc w:val="center"/>
              <w:rPr>
                <w:b/>
                <w:sz w:val="20"/>
                <w:szCs w:val="24"/>
                <w:lang w:val="es-ES"/>
              </w:rPr>
            </w:pPr>
            <w:r w:rsidRPr="00F048A9">
              <w:rPr>
                <w:b/>
                <w:sz w:val="20"/>
                <w:szCs w:val="24"/>
                <w:lang w:val="es-ES"/>
              </w:rPr>
              <w:t>REUNION QUE APROBÓ</w:t>
            </w:r>
          </w:p>
        </w:tc>
        <w:tc>
          <w:tcPr>
            <w:tcW w:w="2473" w:type="dxa"/>
            <w:tcBorders>
              <w:top w:val="single" w:sz="4" w:space="0" w:color="666699"/>
              <w:left w:val="single" w:sz="4" w:space="0" w:color="666699"/>
              <w:bottom w:val="single" w:sz="4" w:space="0" w:color="666699"/>
              <w:right w:val="single" w:sz="4" w:space="0" w:color="666699"/>
            </w:tcBorders>
            <w:hideMark/>
          </w:tcPr>
          <w:p w14:paraId="48704D65" w14:textId="2A7744E6" w:rsidR="007A6564" w:rsidRPr="00F048A9" w:rsidRDefault="00891772" w:rsidP="00E9738B">
            <w:pPr>
              <w:spacing w:after="80"/>
              <w:jc w:val="center"/>
              <w:rPr>
                <w:b/>
                <w:sz w:val="20"/>
                <w:szCs w:val="24"/>
                <w:lang w:val="es-ES"/>
              </w:rPr>
            </w:pPr>
            <w:r w:rsidRPr="00F048A9">
              <w:rPr>
                <w:b/>
                <w:sz w:val="20"/>
                <w:szCs w:val="24"/>
                <w:lang w:val="es-ES"/>
              </w:rPr>
              <w:t>MEDIDA DE CONTROL</w:t>
            </w:r>
          </w:p>
        </w:tc>
      </w:tr>
      <w:tr w:rsidR="00891772" w:rsidRPr="00F048A9" w14:paraId="1924F5A5" w14:textId="77777777" w:rsidTr="0086358A">
        <w:trPr>
          <w:trHeight w:val="240"/>
          <w:jc w:val="center"/>
        </w:trPr>
        <w:tc>
          <w:tcPr>
            <w:tcW w:w="2514" w:type="dxa"/>
            <w:tcBorders>
              <w:top w:val="single" w:sz="4" w:space="0" w:color="666699"/>
              <w:left w:val="single" w:sz="4" w:space="0" w:color="666699"/>
              <w:bottom w:val="single" w:sz="4" w:space="0" w:color="666699"/>
              <w:right w:val="single" w:sz="4" w:space="0" w:color="666699"/>
            </w:tcBorders>
            <w:hideMark/>
          </w:tcPr>
          <w:p w14:paraId="568E4187" w14:textId="058B9373" w:rsidR="007A6564" w:rsidRPr="00F048A9" w:rsidRDefault="0086358A" w:rsidP="0086358A">
            <w:pPr>
              <w:spacing w:after="80"/>
              <w:jc w:val="center"/>
              <w:rPr>
                <w:sz w:val="20"/>
                <w:szCs w:val="24"/>
                <w:lang w:val="es-ES"/>
              </w:rPr>
            </w:pPr>
            <w:r w:rsidRPr="00F048A9">
              <w:rPr>
                <w:sz w:val="20"/>
                <w:szCs w:val="24"/>
                <w:lang w:val="es-ES"/>
              </w:rPr>
              <w:t xml:space="preserve">Plan de eliminación de los </w:t>
            </w:r>
            <w:r w:rsidR="007A6564" w:rsidRPr="00F048A9">
              <w:rPr>
                <w:sz w:val="20"/>
                <w:szCs w:val="24"/>
                <w:lang w:val="es-ES"/>
              </w:rPr>
              <w:t>HCFC (</w:t>
            </w:r>
            <w:r w:rsidR="008C669C" w:rsidRPr="00F048A9">
              <w:rPr>
                <w:sz w:val="20"/>
                <w:szCs w:val="24"/>
                <w:lang w:val="es-ES"/>
              </w:rPr>
              <w:t>etapa</w:t>
            </w:r>
            <w:r w:rsidR="007A6564" w:rsidRPr="00F048A9">
              <w:rPr>
                <w:sz w:val="20"/>
                <w:szCs w:val="24"/>
                <w:lang w:val="es-ES"/>
              </w:rPr>
              <w:t xml:space="preserve"> I)</w:t>
            </w:r>
          </w:p>
        </w:tc>
        <w:tc>
          <w:tcPr>
            <w:tcW w:w="2563" w:type="dxa"/>
            <w:tcBorders>
              <w:top w:val="single" w:sz="4" w:space="0" w:color="666699"/>
              <w:left w:val="single" w:sz="4" w:space="0" w:color="666699"/>
              <w:bottom w:val="single" w:sz="4" w:space="0" w:color="666699"/>
              <w:right w:val="single" w:sz="4" w:space="0" w:color="666699"/>
            </w:tcBorders>
            <w:hideMark/>
          </w:tcPr>
          <w:p w14:paraId="2A74B807" w14:textId="1557E5B1" w:rsidR="007A6564" w:rsidRPr="00F048A9" w:rsidRDefault="0088461E" w:rsidP="00891772">
            <w:pPr>
              <w:spacing w:after="80"/>
              <w:jc w:val="center"/>
              <w:rPr>
                <w:sz w:val="20"/>
                <w:szCs w:val="24"/>
                <w:lang w:val="es-ES"/>
              </w:rPr>
            </w:pPr>
            <w:r w:rsidRPr="00F048A9">
              <w:rPr>
                <w:sz w:val="20"/>
                <w:szCs w:val="24"/>
                <w:lang w:val="es-ES"/>
              </w:rPr>
              <w:t>ONUDI</w:t>
            </w:r>
            <w:r w:rsidR="007A6564" w:rsidRPr="00F048A9">
              <w:rPr>
                <w:sz w:val="20"/>
                <w:szCs w:val="24"/>
                <w:lang w:val="es-ES"/>
              </w:rPr>
              <w:t xml:space="preserve"> (</w:t>
            </w:r>
            <w:r w:rsidR="00891772" w:rsidRPr="00F048A9">
              <w:rPr>
                <w:sz w:val="20"/>
                <w:szCs w:val="24"/>
                <w:lang w:val="es-ES"/>
              </w:rPr>
              <w:t>principal</w:t>
            </w:r>
            <w:r w:rsidR="007A6564" w:rsidRPr="00F048A9">
              <w:rPr>
                <w:sz w:val="20"/>
                <w:szCs w:val="24"/>
                <w:lang w:val="es-ES"/>
              </w:rPr>
              <w:t>)</w:t>
            </w:r>
          </w:p>
        </w:tc>
        <w:tc>
          <w:tcPr>
            <w:tcW w:w="2450" w:type="dxa"/>
            <w:tcBorders>
              <w:top w:val="single" w:sz="4" w:space="0" w:color="666699"/>
              <w:left w:val="single" w:sz="4" w:space="0" w:color="666699"/>
              <w:bottom w:val="single" w:sz="4" w:space="0" w:color="666699"/>
              <w:right w:val="single" w:sz="4" w:space="0" w:color="666699"/>
            </w:tcBorders>
            <w:hideMark/>
          </w:tcPr>
          <w:p w14:paraId="5AC4B22B" w14:textId="12E39902" w:rsidR="007A6564" w:rsidRPr="00F048A9" w:rsidRDefault="007A6564" w:rsidP="00E9738B">
            <w:pPr>
              <w:spacing w:after="80"/>
              <w:jc w:val="center"/>
              <w:rPr>
                <w:sz w:val="20"/>
                <w:szCs w:val="24"/>
                <w:lang w:val="es-ES"/>
              </w:rPr>
            </w:pPr>
            <w:r w:rsidRPr="00F048A9">
              <w:rPr>
                <w:sz w:val="20"/>
                <w:szCs w:val="24"/>
                <w:lang w:val="es-ES"/>
              </w:rPr>
              <w:t>63</w:t>
            </w:r>
            <w:r w:rsidR="0086358A" w:rsidRPr="00F048A9">
              <w:rPr>
                <w:sz w:val="20"/>
                <w:szCs w:val="24"/>
                <w:vertAlign w:val="superscript"/>
                <w:lang w:val="es-ES"/>
              </w:rPr>
              <w:t>a</w:t>
            </w:r>
            <w:r w:rsidRPr="00F048A9">
              <w:rPr>
                <w:sz w:val="20"/>
                <w:szCs w:val="24"/>
                <w:lang w:val="es-ES"/>
              </w:rPr>
              <w:t xml:space="preserve"> </w:t>
            </w:r>
          </w:p>
        </w:tc>
        <w:tc>
          <w:tcPr>
            <w:tcW w:w="2473" w:type="dxa"/>
            <w:tcBorders>
              <w:top w:val="single" w:sz="4" w:space="0" w:color="666699"/>
              <w:left w:val="single" w:sz="4" w:space="0" w:color="666699"/>
              <w:bottom w:val="single" w:sz="4" w:space="0" w:color="666699"/>
              <w:right w:val="single" w:sz="4" w:space="0" w:color="666699"/>
            </w:tcBorders>
            <w:hideMark/>
          </w:tcPr>
          <w:p w14:paraId="46F3FC5A" w14:textId="61C32E8F" w:rsidR="007A6564" w:rsidRPr="00F048A9" w:rsidRDefault="007A6564" w:rsidP="0086358A">
            <w:pPr>
              <w:spacing w:after="80"/>
              <w:jc w:val="center"/>
              <w:rPr>
                <w:sz w:val="20"/>
                <w:szCs w:val="24"/>
                <w:lang w:val="es-ES"/>
              </w:rPr>
            </w:pPr>
            <w:r w:rsidRPr="00F048A9">
              <w:rPr>
                <w:sz w:val="20"/>
                <w:szCs w:val="24"/>
                <w:lang w:val="es-ES"/>
              </w:rPr>
              <w:t xml:space="preserve">35% </w:t>
            </w:r>
            <w:r w:rsidR="0086358A" w:rsidRPr="00F048A9">
              <w:rPr>
                <w:sz w:val="20"/>
                <w:szCs w:val="24"/>
                <w:lang w:val="es-ES"/>
              </w:rPr>
              <w:t>para</w:t>
            </w:r>
            <w:r w:rsidRPr="00F048A9">
              <w:rPr>
                <w:sz w:val="20"/>
                <w:szCs w:val="24"/>
                <w:lang w:val="es-ES"/>
              </w:rPr>
              <w:t xml:space="preserve"> 2020</w:t>
            </w:r>
          </w:p>
        </w:tc>
      </w:tr>
    </w:tbl>
    <w:p w14:paraId="39F07277" w14:textId="77777777" w:rsidR="007A6564" w:rsidRPr="00F048A9" w:rsidRDefault="007A6564" w:rsidP="007A6564">
      <w:pPr>
        <w:spacing w:after="60"/>
        <w:jc w:val="center"/>
        <w:rPr>
          <w:sz w:val="24"/>
          <w:szCs w:val="24"/>
          <w:lang w:val="es-ES"/>
        </w:rPr>
      </w:pPr>
    </w:p>
    <w:tbl>
      <w:tblPr>
        <w:tblStyle w:val="TableGrid"/>
        <w:tblW w:w="1000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7A6564" w:rsidRPr="00F048A9" w14:paraId="0F54DF04" w14:textId="77777777" w:rsidTr="00E9738B">
        <w:trPr>
          <w:trHeight w:val="240"/>
          <w:jc w:val="center"/>
        </w:trPr>
        <w:tc>
          <w:tcPr>
            <w:tcW w:w="5200" w:type="dxa"/>
            <w:tcBorders>
              <w:top w:val="single" w:sz="4" w:space="0" w:color="666699"/>
              <w:left w:val="single" w:sz="4" w:space="0" w:color="666699"/>
              <w:bottom w:val="single" w:sz="4" w:space="0" w:color="666699"/>
              <w:right w:val="single" w:sz="4" w:space="0" w:color="666699"/>
            </w:tcBorders>
            <w:hideMark/>
          </w:tcPr>
          <w:p w14:paraId="5864098F" w14:textId="738BCB25" w:rsidR="007A6564" w:rsidRPr="00F048A9" w:rsidRDefault="007A6564" w:rsidP="00946EBD">
            <w:pPr>
              <w:spacing w:after="60"/>
              <w:jc w:val="left"/>
              <w:rPr>
                <w:b/>
                <w:sz w:val="20"/>
                <w:szCs w:val="24"/>
                <w:lang w:val="es-ES"/>
              </w:rPr>
            </w:pPr>
            <w:r w:rsidRPr="00F048A9">
              <w:rPr>
                <w:b/>
                <w:sz w:val="20"/>
                <w:szCs w:val="24"/>
                <w:lang w:val="es-ES"/>
              </w:rPr>
              <w:t xml:space="preserve">II) </w:t>
            </w:r>
            <w:r w:rsidR="00946EBD" w:rsidRPr="00F048A9">
              <w:rPr>
                <w:b/>
                <w:sz w:val="20"/>
                <w:szCs w:val="24"/>
                <w:lang w:val="es-ES"/>
              </w:rPr>
              <w:t>DATOS MÁS RECIENTES NOTIFICADOS CON ARREGLO AL ARTÍCULO</w:t>
            </w:r>
            <w:r w:rsidRPr="00F048A9">
              <w:rPr>
                <w:b/>
                <w:sz w:val="20"/>
                <w:szCs w:val="24"/>
                <w:lang w:val="es-ES"/>
              </w:rPr>
              <w:t xml:space="preserve"> 7 (</w:t>
            </w:r>
            <w:r w:rsidR="000B6C5D" w:rsidRPr="00F048A9">
              <w:rPr>
                <w:b/>
                <w:sz w:val="20"/>
                <w:szCs w:val="24"/>
                <w:lang w:val="es-ES"/>
              </w:rPr>
              <w:t>grupo I del anexo</w:t>
            </w:r>
            <w:r w:rsidRPr="00F048A9">
              <w:rPr>
                <w:b/>
                <w:sz w:val="20"/>
                <w:szCs w:val="24"/>
                <w:lang w:val="es-ES"/>
              </w:rPr>
              <w:t xml:space="preserve"> C</w:t>
            </w:r>
            <w:r w:rsidR="000B6C5D" w:rsidRPr="00F048A9">
              <w:rPr>
                <w:b/>
                <w:sz w:val="20"/>
                <w:szCs w:val="24"/>
                <w:lang w:val="es-ES"/>
              </w:rPr>
              <w:t>)</w:t>
            </w:r>
          </w:p>
        </w:tc>
        <w:tc>
          <w:tcPr>
            <w:tcW w:w="2400" w:type="dxa"/>
            <w:tcBorders>
              <w:top w:val="single" w:sz="4" w:space="0" w:color="666699"/>
              <w:left w:val="single" w:sz="4" w:space="0" w:color="666699"/>
              <w:bottom w:val="single" w:sz="4" w:space="0" w:color="666699"/>
              <w:right w:val="single" w:sz="4" w:space="0" w:color="666699"/>
            </w:tcBorders>
            <w:hideMark/>
          </w:tcPr>
          <w:p w14:paraId="066CE6A5" w14:textId="22C0CDFD" w:rsidR="007A6564" w:rsidRPr="00F048A9" w:rsidRDefault="000B6C5D" w:rsidP="006D4E63">
            <w:pPr>
              <w:spacing w:after="60"/>
              <w:jc w:val="center"/>
              <w:rPr>
                <w:sz w:val="20"/>
                <w:szCs w:val="24"/>
                <w:lang w:val="es-ES"/>
              </w:rPr>
            </w:pPr>
            <w:r w:rsidRPr="00F048A9">
              <w:rPr>
                <w:sz w:val="20"/>
                <w:szCs w:val="24"/>
                <w:lang w:val="es-ES"/>
              </w:rPr>
              <w:t>A</w:t>
            </w:r>
            <w:r w:rsidR="0086358A" w:rsidRPr="00F048A9">
              <w:rPr>
                <w:sz w:val="20"/>
                <w:szCs w:val="24"/>
                <w:lang w:val="es-ES"/>
              </w:rPr>
              <w:t>ño</w:t>
            </w:r>
            <w:r w:rsidR="007A6564" w:rsidRPr="00F048A9">
              <w:rPr>
                <w:sz w:val="20"/>
                <w:szCs w:val="24"/>
                <w:lang w:val="es-ES"/>
              </w:rPr>
              <w:t>: 201</w:t>
            </w:r>
            <w:r w:rsidR="00876AA9" w:rsidRPr="00F048A9">
              <w:rPr>
                <w:sz w:val="20"/>
                <w:szCs w:val="24"/>
                <w:lang w:val="es-ES"/>
              </w:rPr>
              <w:t>9</w:t>
            </w:r>
          </w:p>
        </w:tc>
        <w:tc>
          <w:tcPr>
            <w:tcW w:w="2400" w:type="dxa"/>
            <w:tcBorders>
              <w:top w:val="single" w:sz="4" w:space="0" w:color="666699"/>
              <w:left w:val="single" w:sz="4" w:space="0" w:color="666699"/>
              <w:bottom w:val="single" w:sz="4" w:space="0" w:color="666699"/>
              <w:right w:val="single" w:sz="4" w:space="0" w:color="666699"/>
            </w:tcBorders>
            <w:hideMark/>
          </w:tcPr>
          <w:p w14:paraId="1AD8EEFB" w14:textId="3B09DD39" w:rsidR="007A6564" w:rsidRPr="00F048A9" w:rsidRDefault="00946EBD">
            <w:pPr>
              <w:spacing w:after="60"/>
              <w:jc w:val="right"/>
              <w:rPr>
                <w:sz w:val="20"/>
                <w:szCs w:val="24"/>
                <w:lang w:val="es-ES"/>
              </w:rPr>
            </w:pPr>
            <w:r w:rsidRPr="00F048A9">
              <w:rPr>
                <w:sz w:val="20"/>
                <w:szCs w:val="24"/>
                <w:lang w:val="es-ES"/>
              </w:rPr>
              <w:t>0,</w:t>
            </w:r>
            <w:r w:rsidR="00876AA9" w:rsidRPr="00F048A9">
              <w:rPr>
                <w:sz w:val="20"/>
                <w:szCs w:val="24"/>
                <w:lang w:val="es-ES"/>
              </w:rPr>
              <w:t>05</w:t>
            </w:r>
            <w:r w:rsidR="007A6564" w:rsidRPr="00F048A9">
              <w:rPr>
                <w:sz w:val="20"/>
                <w:szCs w:val="24"/>
                <w:lang w:val="es-ES"/>
              </w:rPr>
              <w:t xml:space="preserve"> (</w:t>
            </w:r>
            <w:r w:rsidR="0001658C" w:rsidRPr="00F048A9">
              <w:rPr>
                <w:sz w:val="20"/>
                <w:szCs w:val="24"/>
                <w:lang w:val="es-ES"/>
              </w:rPr>
              <w:t>toneladas PAO</w:t>
            </w:r>
            <w:r w:rsidR="007A6564" w:rsidRPr="00F048A9">
              <w:rPr>
                <w:sz w:val="20"/>
                <w:szCs w:val="24"/>
                <w:lang w:val="es-ES"/>
              </w:rPr>
              <w:t>)</w:t>
            </w:r>
          </w:p>
        </w:tc>
      </w:tr>
    </w:tbl>
    <w:p w14:paraId="45FC4909" w14:textId="77777777" w:rsidR="007A6564" w:rsidRPr="00F048A9" w:rsidRDefault="007A6564" w:rsidP="007A6564">
      <w:pPr>
        <w:spacing w:after="60"/>
        <w:jc w:val="center"/>
        <w:rPr>
          <w:sz w:val="24"/>
          <w:szCs w:val="24"/>
          <w:lang w:val="es-ES"/>
        </w:rPr>
      </w:pPr>
    </w:p>
    <w:tbl>
      <w:tblPr>
        <w:tblStyle w:val="TableGrid"/>
        <w:tblW w:w="1000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108"/>
        <w:gridCol w:w="850"/>
        <w:gridCol w:w="939"/>
        <w:gridCol w:w="983"/>
        <w:gridCol w:w="1161"/>
        <w:gridCol w:w="1438"/>
        <w:gridCol w:w="1083"/>
        <w:gridCol w:w="916"/>
        <w:gridCol w:w="539"/>
        <w:gridCol w:w="983"/>
      </w:tblGrid>
      <w:tr w:rsidR="000B6C5D" w:rsidRPr="00F048A9" w14:paraId="2C49E8AC" w14:textId="77777777" w:rsidTr="00E9738B">
        <w:trPr>
          <w:trHeight w:val="240"/>
          <w:jc w:val="center"/>
        </w:trPr>
        <w:tc>
          <w:tcPr>
            <w:tcW w:w="0" w:type="auto"/>
            <w:gridSpan w:val="8"/>
            <w:tcBorders>
              <w:top w:val="single" w:sz="4" w:space="0" w:color="666699"/>
              <w:left w:val="single" w:sz="4" w:space="0" w:color="666699"/>
              <w:bottom w:val="single" w:sz="4" w:space="0" w:color="666699"/>
              <w:right w:val="single" w:sz="4" w:space="0" w:color="666699"/>
            </w:tcBorders>
            <w:hideMark/>
          </w:tcPr>
          <w:p w14:paraId="7A8ABB07" w14:textId="67B33B3B" w:rsidR="007A6564" w:rsidRPr="00F048A9" w:rsidRDefault="007A6564" w:rsidP="000B6C5D">
            <w:pPr>
              <w:spacing w:after="60"/>
              <w:jc w:val="left"/>
              <w:rPr>
                <w:b/>
                <w:sz w:val="20"/>
                <w:szCs w:val="24"/>
                <w:lang w:val="es-ES"/>
              </w:rPr>
            </w:pPr>
            <w:r w:rsidRPr="00F048A9">
              <w:rPr>
                <w:b/>
                <w:sz w:val="20"/>
                <w:szCs w:val="24"/>
                <w:lang w:val="es-ES"/>
              </w:rPr>
              <w:t xml:space="preserve">III) </w:t>
            </w:r>
            <w:r w:rsidR="000B6C5D" w:rsidRPr="00F048A9">
              <w:rPr>
                <w:b/>
                <w:sz w:val="20"/>
                <w:szCs w:val="24"/>
                <w:lang w:val="es-ES"/>
              </w:rPr>
              <w:t>DATOS SECTORIALES MÁS RECIENTES DEL PROGRAMA DE PAÍS</w:t>
            </w:r>
            <w:r w:rsidRPr="00F048A9">
              <w:rPr>
                <w:b/>
                <w:sz w:val="20"/>
                <w:szCs w:val="24"/>
                <w:lang w:val="es-ES"/>
              </w:rPr>
              <w:t xml:space="preserve"> </w:t>
            </w:r>
            <w:r w:rsidR="000B6C5D" w:rsidRPr="00F048A9">
              <w:rPr>
                <w:b/>
                <w:sz w:val="20"/>
                <w:szCs w:val="24"/>
                <w:lang w:val="es-ES"/>
              </w:rPr>
              <w:br/>
            </w:r>
            <w:r w:rsidRPr="00F048A9">
              <w:rPr>
                <w:b/>
                <w:sz w:val="20"/>
                <w:szCs w:val="24"/>
                <w:lang w:val="es-ES"/>
              </w:rPr>
              <w:t>(</w:t>
            </w:r>
            <w:r w:rsidR="0001658C" w:rsidRPr="00F048A9">
              <w:rPr>
                <w:b/>
                <w:sz w:val="20"/>
                <w:szCs w:val="24"/>
                <w:lang w:val="es-ES"/>
              </w:rPr>
              <w:t>toneladas PAO</w:t>
            </w:r>
            <w:r w:rsidRPr="00F048A9">
              <w:rPr>
                <w:b/>
                <w:sz w:val="20"/>
                <w:szCs w:val="24"/>
                <w:lang w:val="es-ES"/>
              </w:rPr>
              <w:t>)</w:t>
            </w:r>
          </w:p>
        </w:tc>
        <w:tc>
          <w:tcPr>
            <w:tcW w:w="0" w:type="auto"/>
            <w:gridSpan w:val="2"/>
            <w:tcBorders>
              <w:top w:val="single" w:sz="4" w:space="0" w:color="666699"/>
              <w:left w:val="single" w:sz="4" w:space="0" w:color="666699"/>
              <w:bottom w:val="single" w:sz="4" w:space="0" w:color="666699"/>
              <w:right w:val="single" w:sz="4" w:space="0" w:color="666699"/>
            </w:tcBorders>
            <w:hideMark/>
          </w:tcPr>
          <w:p w14:paraId="3735F6CD" w14:textId="15E1BF5E" w:rsidR="007A6564" w:rsidRPr="00F048A9" w:rsidRDefault="000B6C5D" w:rsidP="000B6C5D">
            <w:pPr>
              <w:spacing w:after="60"/>
              <w:jc w:val="right"/>
              <w:rPr>
                <w:b/>
                <w:sz w:val="20"/>
                <w:szCs w:val="24"/>
                <w:lang w:val="es-ES"/>
              </w:rPr>
            </w:pPr>
            <w:r w:rsidRPr="00F048A9">
              <w:rPr>
                <w:b/>
                <w:sz w:val="20"/>
                <w:szCs w:val="24"/>
                <w:lang w:val="es-ES"/>
              </w:rPr>
              <w:t>Año</w:t>
            </w:r>
            <w:r w:rsidR="007A6564" w:rsidRPr="00F048A9">
              <w:rPr>
                <w:b/>
                <w:sz w:val="20"/>
                <w:szCs w:val="24"/>
                <w:lang w:val="es-ES"/>
              </w:rPr>
              <w:t>: 2019</w:t>
            </w:r>
          </w:p>
        </w:tc>
      </w:tr>
      <w:tr w:rsidR="000B6C5D" w:rsidRPr="00F048A9" w14:paraId="3F8397EE" w14:textId="77777777" w:rsidTr="00E9738B">
        <w:trPr>
          <w:trHeight w:val="240"/>
          <w:jc w:val="center"/>
        </w:trPr>
        <w:tc>
          <w:tcPr>
            <w:tcW w:w="0" w:type="auto"/>
            <w:tcBorders>
              <w:top w:val="single" w:sz="4" w:space="0" w:color="666699"/>
              <w:left w:val="single" w:sz="4" w:space="0" w:color="666699"/>
              <w:bottom w:val="single" w:sz="4" w:space="0" w:color="666699"/>
              <w:right w:val="single" w:sz="4" w:space="0" w:color="666699"/>
            </w:tcBorders>
            <w:hideMark/>
          </w:tcPr>
          <w:p w14:paraId="2A6FCBED" w14:textId="390AF450" w:rsidR="007A6564" w:rsidRPr="00F048A9" w:rsidRDefault="000B6C5D" w:rsidP="00E9738B">
            <w:pPr>
              <w:spacing w:after="60"/>
              <w:jc w:val="center"/>
              <w:rPr>
                <w:sz w:val="20"/>
                <w:szCs w:val="24"/>
                <w:lang w:val="es-ES"/>
              </w:rPr>
            </w:pPr>
            <w:r w:rsidRPr="00F048A9">
              <w:rPr>
                <w:sz w:val="20"/>
                <w:szCs w:val="24"/>
                <w:lang w:val="es-ES"/>
              </w:rPr>
              <w:t>Sustancia química</w:t>
            </w:r>
          </w:p>
        </w:tc>
        <w:tc>
          <w:tcPr>
            <w:tcW w:w="0" w:type="auto"/>
            <w:tcBorders>
              <w:top w:val="single" w:sz="4" w:space="0" w:color="666699"/>
              <w:left w:val="single" w:sz="4" w:space="0" w:color="666699"/>
              <w:bottom w:val="single" w:sz="4" w:space="0" w:color="666699"/>
              <w:right w:val="single" w:sz="4" w:space="0" w:color="666699"/>
            </w:tcBorders>
            <w:hideMark/>
          </w:tcPr>
          <w:p w14:paraId="1DEF1AD7" w14:textId="77777777" w:rsidR="007A6564" w:rsidRPr="00F048A9" w:rsidRDefault="007A6564" w:rsidP="00E9738B">
            <w:pPr>
              <w:spacing w:after="60"/>
              <w:jc w:val="center"/>
              <w:rPr>
                <w:sz w:val="20"/>
                <w:szCs w:val="24"/>
                <w:lang w:val="es-ES"/>
              </w:rPr>
            </w:pPr>
            <w:r w:rsidRPr="00F048A9">
              <w:rPr>
                <w:sz w:val="20"/>
                <w:szCs w:val="24"/>
                <w:lang w:val="es-ES"/>
              </w:rPr>
              <w:t>Aerosol</w:t>
            </w:r>
          </w:p>
        </w:tc>
        <w:tc>
          <w:tcPr>
            <w:tcW w:w="0" w:type="auto"/>
            <w:tcBorders>
              <w:top w:val="single" w:sz="4" w:space="0" w:color="666699"/>
              <w:left w:val="single" w:sz="4" w:space="0" w:color="666699"/>
              <w:bottom w:val="single" w:sz="4" w:space="0" w:color="666699"/>
              <w:right w:val="single" w:sz="4" w:space="0" w:color="666699"/>
            </w:tcBorders>
            <w:hideMark/>
          </w:tcPr>
          <w:p w14:paraId="78E5787A" w14:textId="0E2CC7CD" w:rsidR="007A6564" w:rsidRPr="00F048A9" w:rsidRDefault="000B6C5D" w:rsidP="00E9738B">
            <w:pPr>
              <w:spacing w:after="60"/>
              <w:jc w:val="center"/>
              <w:rPr>
                <w:sz w:val="20"/>
                <w:szCs w:val="24"/>
                <w:lang w:val="es-ES"/>
              </w:rPr>
            </w:pPr>
            <w:r w:rsidRPr="00F048A9">
              <w:rPr>
                <w:sz w:val="20"/>
                <w:szCs w:val="24"/>
                <w:lang w:val="es-ES"/>
              </w:rPr>
              <w:t>Espumas</w:t>
            </w:r>
          </w:p>
        </w:tc>
        <w:tc>
          <w:tcPr>
            <w:tcW w:w="0" w:type="auto"/>
            <w:tcBorders>
              <w:top w:val="single" w:sz="4" w:space="0" w:color="666699"/>
              <w:left w:val="single" w:sz="4" w:space="0" w:color="666699"/>
              <w:bottom w:val="single" w:sz="4" w:space="0" w:color="666699"/>
              <w:right w:val="single" w:sz="4" w:space="0" w:color="666699"/>
            </w:tcBorders>
            <w:hideMark/>
          </w:tcPr>
          <w:p w14:paraId="164BE060" w14:textId="18EC75C2" w:rsidR="007A6564" w:rsidRPr="00F048A9" w:rsidRDefault="000B6C5D" w:rsidP="000B6C5D">
            <w:pPr>
              <w:spacing w:after="60"/>
              <w:jc w:val="center"/>
              <w:rPr>
                <w:sz w:val="20"/>
                <w:szCs w:val="24"/>
                <w:lang w:val="es-ES"/>
              </w:rPr>
            </w:pPr>
            <w:r w:rsidRPr="00F048A9">
              <w:rPr>
                <w:sz w:val="20"/>
                <w:szCs w:val="24"/>
                <w:lang w:val="es-ES"/>
              </w:rPr>
              <w:t>Lucha contra incendios</w:t>
            </w:r>
          </w:p>
        </w:tc>
        <w:tc>
          <w:tcPr>
            <w:tcW w:w="0" w:type="auto"/>
            <w:gridSpan w:val="2"/>
            <w:tcBorders>
              <w:top w:val="single" w:sz="4" w:space="0" w:color="666699"/>
              <w:left w:val="single" w:sz="4" w:space="0" w:color="666699"/>
              <w:bottom w:val="single" w:sz="4" w:space="0" w:color="666699"/>
              <w:right w:val="single" w:sz="4" w:space="0" w:color="666699"/>
            </w:tcBorders>
            <w:hideMark/>
          </w:tcPr>
          <w:p w14:paraId="77EB86AF" w14:textId="0B5AD853" w:rsidR="000B6C5D" w:rsidRPr="00F048A9" w:rsidRDefault="007A6564" w:rsidP="000B6C5D">
            <w:pPr>
              <w:spacing w:after="60"/>
              <w:jc w:val="center"/>
              <w:rPr>
                <w:sz w:val="20"/>
                <w:szCs w:val="24"/>
                <w:lang w:val="es-ES"/>
              </w:rPr>
            </w:pPr>
            <w:r w:rsidRPr="00F048A9">
              <w:rPr>
                <w:sz w:val="20"/>
                <w:szCs w:val="24"/>
                <w:lang w:val="es-ES"/>
              </w:rPr>
              <w:t>Refrigera</w:t>
            </w:r>
            <w:r w:rsidR="000B6C5D" w:rsidRPr="00F048A9">
              <w:rPr>
                <w:sz w:val="20"/>
                <w:szCs w:val="24"/>
                <w:lang w:val="es-ES"/>
              </w:rPr>
              <w:t>ción</w:t>
            </w:r>
          </w:p>
          <w:p w14:paraId="3729AF69" w14:textId="553B1F04" w:rsidR="000B6C5D" w:rsidRPr="00F048A9" w:rsidRDefault="000B6C5D" w:rsidP="000B6C5D">
            <w:pPr>
              <w:rPr>
                <w:sz w:val="20"/>
                <w:szCs w:val="24"/>
                <w:lang w:val="es-ES"/>
              </w:rPr>
            </w:pPr>
          </w:p>
          <w:p w14:paraId="5821CE6B" w14:textId="77777777" w:rsidR="007A6564" w:rsidRPr="00F048A9" w:rsidRDefault="007A6564" w:rsidP="000B6C5D">
            <w:pPr>
              <w:rPr>
                <w:sz w:val="20"/>
                <w:szCs w:val="24"/>
                <w:lang w:val="es-ES"/>
              </w:rPr>
            </w:pPr>
          </w:p>
        </w:tc>
        <w:tc>
          <w:tcPr>
            <w:tcW w:w="0" w:type="auto"/>
            <w:tcBorders>
              <w:top w:val="single" w:sz="4" w:space="0" w:color="666699"/>
              <w:left w:val="single" w:sz="4" w:space="0" w:color="666699"/>
              <w:bottom w:val="single" w:sz="4" w:space="0" w:color="666699"/>
              <w:right w:val="single" w:sz="4" w:space="0" w:color="666699"/>
            </w:tcBorders>
            <w:hideMark/>
          </w:tcPr>
          <w:p w14:paraId="219AD02D" w14:textId="4D2B9918" w:rsidR="007A6564" w:rsidRPr="00F048A9" w:rsidRDefault="000B6C5D" w:rsidP="00E9738B">
            <w:pPr>
              <w:spacing w:after="60"/>
              <w:jc w:val="center"/>
              <w:rPr>
                <w:sz w:val="20"/>
                <w:szCs w:val="24"/>
                <w:lang w:val="es-ES"/>
              </w:rPr>
            </w:pPr>
            <w:r w:rsidRPr="00F048A9">
              <w:rPr>
                <w:sz w:val="20"/>
                <w:szCs w:val="24"/>
                <w:lang w:val="es-ES"/>
              </w:rPr>
              <w:t>Disolvente</w:t>
            </w:r>
          </w:p>
        </w:tc>
        <w:tc>
          <w:tcPr>
            <w:tcW w:w="0" w:type="auto"/>
            <w:tcBorders>
              <w:top w:val="single" w:sz="4" w:space="0" w:color="666699"/>
              <w:left w:val="single" w:sz="4" w:space="0" w:color="666699"/>
              <w:bottom w:val="single" w:sz="4" w:space="0" w:color="666699"/>
              <w:right w:val="single" w:sz="4" w:space="0" w:color="666699"/>
            </w:tcBorders>
            <w:hideMark/>
          </w:tcPr>
          <w:p w14:paraId="4B3117B4" w14:textId="4D1B62EF" w:rsidR="007A6564" w:rsidRPr="00F048A9" w:rsidRDefault="000B6C5D" w:rsidP="000B6C5D">
            <w:pPr>
              <w:spacing w:after="60"/>
              <w:jc w:val="center"/>
              <w:rPr>
                <w:sz w:val="20"/>
                <w:szCs w:val="24"/>
                <w:lang w:val="es-ES"/>
              </w:rPr>
            </w:pPr>
            <w:r w:rsidRPr="00F048A9">
              <w:rPr>
                <w:sz w:val="20"/>
                <w:szCs w:val="24"/>
                <w:lang w:val="es-ES"/>
              </w:rPr>
              <w:t>Agente de procesos</w:t>
            </w:r>
          </w:p>
        </w:tc>
        <w:tc>
          <w:tcPr>
            <w:tcW w:w="0" w:type="auto"/>
            <w:tcBorders>
              <w:top w:val="single" w:sz="4" w:space="0" w:color="666699"/>
              <w:left w:val="single" w:sz="4" w:space="0" w:color="666699"/>
              <w:bottom w:val="single" w:sz="4" w:space="0" w:color="666699"/>
              <w:right w:val="single" w:sz="4" w:space="0" w:color="666699"/>
            </w:tcBorders>
            <w:hideMark/>
          </w:tcPr>
          <w:p w14:paraId="35672790" w14:textId="7361D5FA" w:rsidR="007A6564" w:rsidRPr="00F048A9" w:rsidRDefault="000B6C5D" w:rsidP="00E9738B">
            <w:pPr>
              <w:spacing w:after="60"/>
              <w:jc w:val="center"/>
              <w:rPr>
                <w:sz w:val="20"/>
                <w:szCs w:val="24"/>
                <w:lang w:val="es-ES"/>
              </w:rPr>
            </w:pPr>
            <w:r w:rsidRPr="00F048A9">
              <w:rPr>
                <w:sz w:val="20"/>
                <w:szCs w:val="24"/>
                <w:lang w:val="es-ES"/>
              </w:rPr>
              <w:t xml:space="preserve">Uso en </w:t>
            </w:r>
            <w:proofErr w:type="spellStart"/>
            <w:r w:rsidRPr="00F048A9">
              <w:rPr>
                <w:sz w:val="20"/>
                <w:szCs w:val="24"/>
                <w:lang w:val="es-ES"/>
              </w:rPr>
              <w:t>lab</w:t>
            </w:r>
            <w:proofErr w:type="spellEnd"/>
            <w:r w:rsidRPr="00F048A9">
              <w:rPr>
                <w:sz w:val="20"/>
                <w:szCs w:val="24"/>
                <w:lang w:val="es-ES"/>
              </w:rPr>
              <w:t>.</w:t>
            </w:r>
          </w:p>
        </w:tc>
        <w:tc>
          <w:tcPr>
            <w:tcW w:w="0" w:type="auto"/>
            <w:tcBorders>
              <w:top w:val="single" w:sz="4" w:space="0" w:color="666699"/>
              <w:left w:val="single" w:sz="4" w:space="0" w:color="666699"/>
              <w:bottom w:val="single" w:sz="4" w:space="0" w:color="666699"/>
              <w:right w:val="single" w:sz="4" w:space="0" w:color="666699"/>
            </w:tcBorders>
            <w:hideMark/>
          </w:tcPr>
          <w:p w14:paraId="51658A9D" w14:textId="19683D8F" w:rsidR="007A6564" w:rsidRPr="00F048A9" w:rsidRDefault="000B6C5D" w:rsidP="000B6C5D">
            <w:pPr>
              <w:spacing w:after="60"/>
              <w:jc w:val="center"/>
              <w:rPr>
                <w:sz w:val="20"/>
                <w:szCs w:val="24"/>
                <w:lang w:val="es-ES"/>
              </w:rPr>
            </w:pPr>
            <w:r w:rsidRPr="00F048A9">
              <w:rPr>
                <w:sz w:val="20"/>
                <w:szCs w:val="24"/>
                <w:lang w:val="es-ES"/>
              </w:rPr>
              <w:t xml:space="preserve">Consumo </w:t>
            </w:r>
            <w:proofErr w:type="gramStart"/>
            <w:r w:rsidRPr="00F048A9">
              <w:rPr>
                <w:sz w:val="20"/>
                <w:szCs w:val="24"/>
                <w:lang w:val="es-ES"/>
              </w:rPr>
              <w:t>total  por</w:t>
            </w:r>
            <w:proofErr w:type="gramEnd"/>
            <w:r w:rsidRPr="00F048A9">
              <w:rPr>
                <w:sz w:val="20"/>
                <w:szCs w:val="24"/>
                <w:lang w:val="es-ES"/>
              </w:rPr>
              <w:t xml:space="preserve"> sectores</w:t>
            </w:r>
          </w:p>
        </w:tc>
      </w:tr>
      <w:tr w:rsidR="000B6C5D" w:rsidRPr="00F048A9" w14:paraId="0AB80F18" w14:textId="77777777" w:rsidTr="00E9738B">
        <w:trPr>
          <w:trHeight w:val="240"/>
          <w:jc w:val="center"/>
        </w:trPr>
        <w:tc>
          <w:tcPr>
            <w:tcW w:w="0" w:type="auto"/>
            <w:gridSpan w:val="4"/>
            <w:tcBorders>
              <w:top w:val="single" w:sz="4" w:space="0" w:color="666699"/>
              <w:left w:val="single" w:sz="4" w:space="0" w:color="666699"/>
              <w:bottom w:val="single" w:sz="4" w:space="0" w:color="666699"/>
              <w:right w:val="single" w:sz="4" w:space="0" w:color="666699"/>
            </w:tcBorders>
            <w:hideMark/>
          </w:tcPr>
          <w:p w14:paraId="366858B5" w14:textId="77777777" w:rsidR="007A6564" w:rsidRPr="00F048A9" w:rsidRDefault="007A6564" w:rsidP="00E9738B">
            <w:pPr>
              <w:spacing w:after="60"/>
              <w:jc w:val="center"/>
              <w:rPr>
                <w:sz w:val="20"/>
                <w:szCs w:val="24"/>
                <w:lang w:val="es-ES"/>
              </w:rPr>
            </w:pPr>
            <w:r w:rsidRPr="00F048A9">
              <w:rPr>
                <w:sz w:val="20"/>
                <w:szCs w:val="24"/>
                <w:lang w:val="es-ES"/>
              </w:rPr>
              <w:t xml:space="preserve"> </w:t>
            </w:r>
          </w:p>
        </w:tc>
        <w:tc>
          <w:tcPr>
            <w:tcW w:w="0" w:type="auto"/>
            <w:tcBorders>
              <w:top w:val="single" w:sz="4" w:space="0" w:color="666699"/>
              <w:left w:val="single" w:sz="4" w:space="0" w:color="666699"/>
              <w:bottom w:val="single" w:sz="4" w:space="0" w:color="666699"/>
              <w:right w:val="single" w:sz="4" w:space="0" w:color="666699"/>
            </w:tcBorders>
            <w:hideMark/>
          </w:tcPr>
          <w:p w14:paraId="5C1FEA06" w14:textId="7CA8B006" w:rsidR="007A6564" w:rsidRPr="00F048A9" w:rsidRDefault="000B6C5D" w:rsidP="00E9738B">
            <w:pPr>
              <w:spacing w:after="60"/>
              <w:jc w:val="center"/>
              <w:rPr>
                <w:sz w:val="20"/>
                <w:szCs w:val="24"/>
                <w:lang w:val="es-ES"/>
              </w:rPr>
            </w:pPr>
            <w:r w:rsidRPr="00F048A9">
              <w:rPr>
                <w:sz w:val="20"/>
                <w:szCs w:val="24"/>
                <w:lang w:val="es-ES"/>
              </w:rPr>
              <w:t>Fabricación</w:t>
            </w:r>
          </w:p>
        </w:tc>
        <w:tc>
          <w:tcPr>
            <w:tcW w:w="0" w:type="auto"/>
            <w:tcBorders>
              <w:top w:val="single" w:sz="4" w:space="0" w:color="666699"/>
              <w:left w:val="single" w:sz="4" w:space="0" w:color="666699"/>
              <w:bottom w:val="single" w:sz="4" w:space="0" w:color="666699"/>
              <w:right w:val="single" w:sz="4" w:space="0" w:color="666699"/>
            </w:tcBorders>
            <w:hideMark/>
          </w:tcPr>
          <w:p w14:paraId="4F61D2F4" w14:textId="3891AC14" w:rsidR="007A6564" w:rsidRPr="00F048A9" w:rsidRDefault="000B6C5D" w:rsidP="000B6C5D">
            <w:pPr>
              <w:spacing w:after="60"/>
              <w:jc w:val="center"/>
              <w:rPr>
                <w:sz w:val="20"/>
                <w:szCs w:val="24"/>
                <w:lang w:val="es-ES"/>
              </w:rPr>
            </w:pPr>
            <w:r w:rsidRPr="00F048A9">
              <w:rPr>
                <w:sz w:val="20"/>
                <w:szCs w:val="24"/>
                <w:lang w:val="es-ES"/>
              </w:rPr>
              <w:t>Mantenimiento</w:t>
            </w:r>
          </w:p>
        </w:tc>
        <w:tc>
          <w:tcPr>
            <w:tcW w:w="0" w:type="auto"/>
            <w:gridSpan w:val="4"/>
            <w:tcBorders>
              <w:top w:val="single" w:sz="4" w:space="0" w:color="666699"/>
              <w:left w:val="single" w:sz="4" w:space="0" w:color="666699"/>
              <w:bottom w:val="single" w:sz="4" w:space="0" w:color="666699"/>
              <w:right w:val="single" w:sz="4" w:space="0" w:color="666699"/>
            </w:tcBorders>
          </w:tcPr>
          <w:p w14:paraId="76E6AE42" w14:textId="77777777" w:rsidR="007A6564" w:rsidRPr="00F048A9" w:rsidRDefault="007A6564" w:rsidP="00E9738B">
            <w:pPr>
              <w:spacing w:after="60"/>
              <w:jc w:val="center"/>
              <w:rPr>
                <w:sz w:val="20"/>
                <w:szCs w:val="24"/>
                <w:lang w:val="es-ES"/>
              </w:rPr>
            </w:pPr>
          </w:p>
        </w:tc>
      </w:tr>
      <w:tr w:rsidR="000B6C5D" w:rsidRPr="00F048A9" w14:paraId="337C7C0D" w14:textId="77777777" w:rsidTr="00E9738B">
        <w:trPr>
          <w:trHeight w:val="240"/>
          <w:jc w:val="center"/>
        </w:trPr>
        <w:tc>
          <w:tcPr>
            <w:tcW w:w="1200" w:type="dxa"/>
            <w:tcBorders>
              <w:top w:val="single" w:sz="4" w:space="0" w:color="666699"/>
              <w:left w:val="single" w:sz="4" w:space="0" w:color="666699"/>
              <w:bottom w:val="single" w:sz="4" w:space="0" w:color="666699"/>
              <w:right w:val="single" w:sz="4" w:space="0" w:color="666699"/>
            </w:tcBorders>
            <w:hideMark/>
          </w:tcPr>
          <w:p w14:paraId="5227BB99" w14:textId="77777777" w:rsidR="007A6564" w:rsidRPr="00F048A9" w:rsidRDefault="007A6564" w:rsidP="00E9738B">
            <w:pPr>
              <w:spacing w:after="60"/>
              <w:jc w:val="left"/>
              <w:rPr>
                <w:sz w:val="20"/>
                <w:szCs w:val="24"/>
                <w:lang w:val="es-ES"/>
              </w:rPr>
            </w:pPr>
            <w:r w:rsidRPr="00F048A9">
              <w:rPr>
                <w:sz w:val="20"/>
                <w:szCs w:val="24"/>
                <w:lang w:val="es-ES"/>
              </w:rPr>
              <w:t>HCFC-22</w:t>
            </w:r>
          </w:p>
        </w:tc>
        <w:tc>
          <w:tcPr>
            <w:tcW w:w="0" w:type="auto"/>
            <w:tcBorders>
              <w:top w:val="single" w:sz="4" w:space="0" w:color="666699"/>
              <w:left w:val="single" w:sz="4" w:space="0" w:color="666699"/>
              <w:bottom w:val="single" w:sz="4" w:space="0" w:color="666699"/>
              <w:right w:val="single" w:sz="4" w:space="0" w:color="666699"/>
            </w:tcBorders>
          </w:tcPr>
          <w:p w14:paraId="5954B90B" w14:textId="77777777" w:rsidR="007A6564" w:rsidRPr="00F048A9" w:rsidRDefault="007A6564" w:rsidP="00E9738B">
            <w:pPr>
              <w:spacing w:after="60"/>
              <w:jc w:val="right"/>
              <w:rPr>
                <w:sz w:val="20"/>
                <w:szCs w:val="24"/>
                <w:lang w:val="es-ES"/>
              </w:rPr>
            </w:pPr>
          </w:p>
        </w:tc>
        <w:tc>
          <w:tcPr>
            <w:tcW w:w="0" w:type="auto"/>
            <w:tcBorders>
              <w:top w:val="single" w:sz="4" w:space="0" w:color="666699"/>
              <w:left w:val="single" w:sz="4" w:space="0" w:color="666699"/>
              <w:bottom w:val="single" w:sz="4" w:space="0" w:color="666699"/>
              <w:right w:val="single" w:sz="4" w:space="0" w:color="666699"/>
            </w:tcBorders>
          </w:tcPr>
          <w:p w14:paraId="224BBA62" w14:textId="77777777" w:rsidR="007A6564" w:rsidRPr="00F048A9" w:rsidRDefault="007A6564" w:rsidP="00E9738B">
            <w:pPr>
              <w:spacing w:after="60"/>
              <w:jc w:val="right"/>
              <w:rPr>
                <w:sz w:val="20"/>
                <w:szCs w:val="24"/>
                <w:lang w:val="es-ES"/>
              </w:rPr>
            </w:pPr>
          </w:p>
        </w:tc>
        <w:tc>
          <w:tcPr>
            <w:tcW w:w="0" w:type="auto"/>
            <w:tcBorders>
              <w:top w:val="single" w:sz="4" w:space="0" w:color="666699"/>
              <w:left w:val="single" w:sz="4" w:space="0" w:color="666699"/>
              <w:bottom w:val="single" w:sz="4" w:space="0" w:color="666699"/>
              <w:right w:val="single" w:sz="4" w:space="0" w:color="666699"/>
            </w:tcBorders>
          </w:tcPr>
          <w:p w14:paraId="4E39FDD8" w14:textId="77777777" w:rsidR="007A6564" w:rsidRPr="00F048A9" w:rsidRDefault="007A6564" w:rsidP="00E9738B">
            <w:pPr>
              <w:spacing w:after="60"/>
              <w:jc w:val="right"/>
              <w:rPr>
                <w:sz w:val="20"/>
                <w:szCs w:val="24"/>
                <w:lang w:val="es-ES"/>
              </w:rPr>
            </w:pPr>
          </w:p>
        </w:tc>
        <w:tc>
          <w:tcPr>
            <w:tcW w:w="0" w:type="auto"/>
            <w:tcBorders>
              <w:top w:val="single" w:sz="4" w:space="0" w:color="666699"/>
              <w:left w:val="single" w:sz="4" w:space="0" w:color="666699"/>
              <w:bottom w:val="single" w:sz="4" w:space="0" w:color="666699"/>
              <w:right w:val="single" w:sz="4" w:space="0" w:color="666699"/>
            </w:tcBorders>
          </w:tcPr>
          <w:p w14:paraId="21CC22CF" w14:textId="77777777" w:rsidR="007A6564" w:rsidRPr="00F048A9" w:rsidRDefault="007A6564" w:rsidP="00E9738B">
            <w:pPr>
              <w:spacing w:after="60"/>
              <w:jc w:val="right"/>
              <w:rPr>
                <w:sz w:val="20"/>
                <w:szCs w:val="24"/>
                <w:lang w:val="es-ES"/>
              </w:rPr>
            </w:pPr>
          </w:p>
        </w:tc>
        <w:tc>
          <w:tcPr>
            <w:tcW w:w="0" w:type="auto"/>
            <w:tcBorders>
              <w:top w:val="single" w:sz="4" w:space="0" w:color="666699"/>
              <w:left w:val="single" w:sz="4" w:space="0" w:color="666699"/>
              <w:bottom w:val="single" w:sz="4" w:space="0" w:color="666699"/>
              <w:right w:val="single" w:sz="4" w:space="0" w:color="666699"/>
            </w:tcBorders>
            <w:hideMark/>
          </w:tcPr>
          <w:p w14:paraId="2F6022C9" w14:textId="123CD750" w:rsidR="007A6564" w:rsidRPr="00F048A9" w:rsidRDefault="007A6564" w:rsidP="000B6C5D">
            <w:pPr>
              <w:spacing w:after="60"/>
              <w:jc w:val="right"/>
              <w:rPr>
                <w:sz w:val="20"/>
                <w:szCs w:val="24"/>
                <w:lang w:val="es-ES"/>
              </w:rPr>
            </w:pPr>
            <w:r w:rsidRPr="00F048A9">
              <w:rPr>
                <w:sz w:val="20"/>
                <w:szCs w:val="24"/>
                <w:lang w:val="es-ES"/>
              </w:rPr>
              <w:t>0</w:t>
            </w:r>
            <w:r w:rsidR="000B6C5D" w:rsidRPr="00F048A9">
              <w:rPr>
                <w:sz w:val="20"/>
                <w:szCs w:val="24"/>
                <w:lang w:val="es-ES"/>
              </w:rPr>
              <w:t>,</w:t>
            </w:r>
            <w:r w:rsidRPr="00F048A9">
              <w:rPr>
                <w:sz w:val="20"/>
                <w:szCs w:val="24"/>
                <w:lang w:val="es-ES"/>
              </w:rPr>
              <w:t>05</w:t>
            </w:r>
          </w:p>
        </w:tc>
        <w:tc>
          <w:tcPr>
            <w:tcW w:w="0" w:type="auto"/>
            <w:tcBorders>
              <w:top w:val="single" w:sz="4" w:space="0" w:color="666699"/>
              <w:left w:val="single" w:sz="4" w:space="0" w:color="666699"/>
              <w:bottom w:val="single" w:sz="4" w:space="0" w:color="666699"/>
              <w:right w:val="single" w:sz="4" w:space="0" w:color="666699"/>
            </w:tcBorders>
          </w:tcPr>
          <w:p w14:paraId="16234CB8" w14:textId="77777777" w:rsidR="007A6564" w:rsidRPr="00F048A9" w:rsidRDefault="007A6564" w:rsidP="00E9738B">
            <w:pPr>
              <w:spacing w:after="60"/>
              <w:jc w:val="right"/>
              <w:rPr>
                <w:sz w:val="20"/>
                <w:szCs w:val="24"/>
                <w:lang w:val="es-ES"/>
              </w:rPr>
            </w:pPr>
          </w:p>
        </w:tc>
        <w:tc>
          <w:tcPr>
            <w:tcW w:w="0" w:type="auto"/>
            <w:tcBorders>
              <w:top w:val="single" w:sz="4" w:space="0" w:color="666699"/>
              <w:left w:val="single" w:sz="4" w:space="0" w:color="666699"/>
              <w:bottom w:val="single" w:sz="4" w:space="0" w:color="666699"/>
              <w:right w:val="single" w:sz="4" w:space="0" w:color="666699"/>
            </w:tcBorders>
          </w:tcPr>
          <w:p w14:paraId="6342DE32" w14:textId="77777777" w:rsidR="007A6564" w:rsidRPr="00F048A9" w:rsidRDefault="007A6564" w:rsidP="00E9738B">
            <w:pPr>
              <w:spacing w:after="60"/>
              <w:jc w:val="right"/>
              <w:rPr>
                <w:sz w:val="20"/>
                <w:szCs w:val="24"/>
                <w:lang w:val="es-ES"/>
              </w:rPr>
            </w:pPr>
          </w:p>
        </w:tc>
        <w:tc>
          <w:tcPr>
            <w:tcW w:w="0" w:type="auto"/>
            <w:tcBorders>
              <w:top w:val="single" w:sz="4" w:space="0" w:color="666699"/>
              <w:left w:val="single" w:sz="4" w:space="0" w:color="666699"/>
              <w:bottom w:val="single" w:sz="4" w:space="0" w:color="666699"/>
              <w:right w:val="single" w:sz="4" w:space="0" w:color="666699"/>
            </w:tcBorders>
          </w:tcPr>
          <w:p w14:paraId="17531C94" w14:textId="77777777" w:rsidR="007A6564" w:rsidRPr="00F048A9" w:rsidRDefault="007A6564" w:rsidP="00E9738B">
            <w:pPr>
              <w:spacing w:after="60"/>
              <w:jc w:val="right"/>
              <w:rPr>
                <w:sz w:val="20"/>
                <w:szCs w:val="24"/>
                <w:lang w:val="es-ES"/>
              </w:rPr>
            </w:pPr>
          </w:p>
        </w:tc>
        <w:tc>
          <w:tcPr>
            <w:tcW w:w="0" w:type="auto"/>
            <w:tcBorders>
              <w:top w:val="single" w:sz="4" w:space="0" w:color="666699"/>
              <w:left w:val="single" w:sz="4" w:space="0" w:color="666699"/>
              <w:bottom w:val="single" w:sz="4" w:space="0" w:color="666699"/>
              <w:right w:val="single" w:sz="4" w:space="0" w:color="666699"/>
            </w:tcBorders>
            <w:hideMark/>
          </w:tcPr>
          <w:p w14:paraId="6A7C0945" w14:textId="48E7220A" w:rsidR="007A6564" w:rsidRPr="00F048A9" w:rsidRDefault="007A6564" w:rsidP="00E9738B">
            <w:pPr>
              <w:spacing w:after="60"/>
              <w:jc w:val="right"/>
              <w:rPr>
                <w:sz w:val="20"/>
                <w:szCs w:val="24"/>
                <w:lang w:val="es-ES"/>
              </w:rPr>
            </w:pPr>
            <w:r w:rsidRPr="00F048A9">
              <w:rPr>
                <w:sz w:val="20"/>
                <w:szCs w:val="24"/>
                <w:lang w:val="es-ES"/>
              </w:rPr>
              <w:t>0</w:t>
            </w:r>
            <w:r w:rsidR="00946EBD" w:rsidRPr="00F048A9">
              <w:rPr>
                <w:sz w:val="20"/>
                <w:szCs w:val="24"/>
                <w:lang w:val="es-ES"/>
              </w:rPr>
              <w:t>,</w:t>
            </w:r>
            <w:r w:rsidRPr="00F048A9">
              <w:rPr>
                <w:sz w:val="20"/>
                <w:szCs w:val="24"/>
                <w:lang w:val="es-ES"/>
              </w:rPr>
              <w:t>05</w:t>
            </w:r>
          </w:p>
        </w:tc>
      </w:tr>
    </w:tbl>
    <w:p w14:paraId="49AFCC59" w14:textId="77777777" w:rsidR="007A6564" w:rsidRPr="00F048A9" w:rsidRDefault="007A6564" w:rsidP="007A6564">
      <w:pPr>
        <w:spacing w:after="60"/>
        <w:jc w:val="center"/>
        <w:rPr>
          <w:sz w:val="24"/>
          <w:szCs w:val="24"/>
          <w:lang w:val="es-ES"/>
        </w:rPr>
      </w:pPr>
    </w:p>
    <w:tbl>
      <w:tblPr>
        <w:tblStyle w:val="TableGrid"/>
        <w:tblW w:w="1008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91"/>
        <w:gridCol w:w="580"/>
        <w:gridCol w:w="5247"/>
        <w:gridCol w:w="1362"/>
      </w:tblGrid>
      <w:tr w:rsidR="007A6564" w:rsidRPr="00F048A9" w14:paraId="306279C2" w14:textId="77777777" w:rsidTr="00E9738B">
        <w:trPr>
          <w:trHeight w:val="240"/>
          <w:jc w:val="center"/>
        </w:trPr>
        <w:tc>
          <w:tcPr>
            <w:tcW w:w="10080" w:type="dxa"/>
            <w:gridSpan w:val="4"/>
            <w:tcBorders>
              <w:top w:val="single" w:sz="4" w:space="0" w:color="666699"/>
              <w:left w:val="single" w:sz="4" w:space="0" w:color="666699"/>
              <w:bottom w:val="single" w:sz="4" w:space="0" w:color="666699"/>
              <w:right w:val="single" w:sz="4" w:space="0" w:color="666699"/>
            </w:tcBorders>
            <w:hideMark/>
          </w:tcPr>
          <w:p w14:paraId="783F5310" w14:textId="7C2EA47A" w:rsidR="007A6564" w:rsidRPr="00F048A9" w:rsidRDefault="007A6564" w:rsidP="00891772">
            <w:pPr>
              <w:spacing w:after="60"/>
              <w:jc w:val="left"/>
              <w:rPr>
                <w:b/>
                <w:sz w:val="20"/>
                <w:szCs w:val="24"/>
                <w:lang w:val="es-ES"/>
              </w:rPr>
            </w:pPr>
            <w:r w:rsidRPr="00F048A9">
              <w:rPr>
                <w:b/>
                <w:sz w:val="20"/>
                <w:szCs w:val="24"/>
                <w:lang w:val="es-ES"/>
              </w:rPr>
              <w:t xml:space="preserve">IV) </w:t>
            </w:r>
            <w:r w:rsidR="00891772" w:rsidRPr="00F048A9">
              <w:rPr>
                <w:b/>
                <w:sz w:val="20"/>
                <w:szCs w:val="24"/>
                <w:lang w:val="es-ES"/>
              </w:rPr>
              <w:t xml:space="preserve">DATOS SOBRE EL CONSUMO </w:t>
            </w:r>
            <w:r w:rsidRPr="00F048A9">
              <w:rPr>
                <w:b/>
                <w:sz w:val="20"/>
                <w:szCs w:val="24"/>
                <w:lang w:val="es-ES"/>
              </w:rPr>
              <w:t>(</w:t>
            </w:r>
            <w:r w:rsidR="0001658C" w:rsidRPr="00F048A9">
              <w:rPr>
                <w:b/>
                <w:sz w:val="20"/>
                <w:szCs w:val="24"/>
                <w:lang w:val="es-ES"/>
              </w:rPr>
              <w:t>toneladas PAO</w:t>
            </w:r>
            <w:r w:rsidRPr="00F048A9">
              <w:rPr>
                <w:b/>
                <w:sz w:val="20"/>
                <w:szCs w:val="24"/>
                <w:lang w:val="es-ES"/>
              </w:rPr>
              <w:t>)</w:t>
            </w:r>
          </w:p>
        </w:tc>
      </w:tr>
      <w:tr w:rsidR="00DB24E5" w:rsidRPr="00F048A9" w14:paraId="4377F57E" w14:textId="77777777" w:rsidTr="00E9738B">
        <w:trPr>
          <w:trHeight w:val="240"/>
          <w:jc w:val="center"/>
        </w:trPr>
        <w:tc>
          <w:tcPr>
            <w:tcW w:w="0" w:type="auto"/>
            <w:tcBorders>
              <w:top w:val="single" w:sz="4" w:space="0" w:color="666699"/>
              <w:left w:val="single" w:sz="4" w:space="0" w:color="666699"/>
              <w:bottom w:val="single" w:sz="4" w:space="0" w:color="666699"/>
              <w:right w:val="single" w:sz="4" w:space="0" w:color="666699"/>
            </w:tcBorders>
            <w:hideMark/>
          </w:tcPr>
          <w:p w14:paraId="4CE5E583" w14:textId="432FFD26" w:rsidR="007A6564" w:rsidRPr="00F048A9" w:rsidRDefault="00DB24E5" w:rsidP="00DB24E5">
            <w:pPr>
              <w:spacing w:after="60"/>
              <w:jc w:val="center"/>
              <w:rPr>
                <w:sz w:val="20"/>
                <w:szCs w:val="24"/>
                <w:lang w:val="es-ES"/>
              </w:rPr>
            </w:pPr>
            <w:r w:rsidRPr="00F048A9">
              <w:rPr>
                <w:sz w:val="20"/>
                <w:szCs w:val="24"/>
                <w:lang w:val="es-ES"/>
              </w:rPr>
              <w:t xml:space="preserve">Nivel de referencia </w:t>
            </w:r>
            <w:r w:rsidR="007A6564" w:rsidRPr="00F048A9">
              <w:rPr>
                <w:sz w:val="20"/>
                <w:szCs w:val="24"/>
                <w:lang w:val="es-ES"/>
              </w:rPr>
              <w:t xml:space="preserve">2009 - </w:t>
            </w:r>
            <w:r w:rsidRPr="00F048A9">
              <w:rPr>
                <w:sz w:val="20"/>
                <w:szCs w:val="24"/>
                <w:lang w:val="es-ES"/>
              </w:rPr>
              <w:t>2010</w:t>
            </w:r>
            <w:r w:rsidR="007A6564" w:rsidRPr="00F048A9">
              <w:rPr>
                <w:sz w:val="20"/>
                <w:szCs w:val="24"/>
                <w:lang w:val="es-ES"/>
              </w:rPr>
              <w:t>:</w:t>
            </w:r>
          </w:p>
        </w:tc>
        <w:tc>
          <w:tcPr>
            <w:tcW w:w="0" w:type="auto"/>
            <w:tcBorders>
              <w:top w:val="single" w:sz="4" w:space="0" w:color="666699"/>
              <w:left w:val="single" w:sz="4" w:space="0" w:color="666699"/>
              <w:bottom w:val="single" w:sz="4" w:space="0" w:color="666699"/>
              <w:right w:val="single" w:sz="4" w:space="0" w:color="666699"/>
            </w:tcBorders>
            <w:hideMark/>
          </w:tcPr>
          <w:p w14:paraId="2AA2AADB" w14:textId="03C97D8C" w:rsidR="007A6564" w:rsidRPr="00F048A9" w:rsidRDefault="007A6564" w:rsidP="000B6C5D">
            <w:pPr>
              <w:spacing w:after="60"/>
              <w:jc w:val="right"/>
              <w:rPr>
                <w:sz w:val="20"/>
                <w:szCs w:val="24"/>
                <w:lang w:val="es-ES"/>
              </w:rPr>
            </w:pPr>
            <w:r w:rsidRPr="00F048A9">
              <w:rPr>
                <w:sz w:val="20"/>
                <w:szCs w:val="24"/>
                <w:lang w:val="es-ES"/>
              </w:rPr>
              <w:t>0</w:t>
            </w:r>
            <w:r w:rsidR="000B6C5D" w:rsidRPr="00F048A9">
              <w:rPr>
                <w:sz w:val="20"/>
                <w:szCs w:val="24"/>
                <w:lang w:val="es-ES"/>
              </w:rPr>
              <w:t>,</w:t>
            </w:r>
            <w:r w:rsidRPr="00F048A9">
              <w:rPr>
                <w:sz w:val="20"/>
                <w:szCs w:val="24"/>
                <w:lang w:val="es-ES"/>
              </w:rPr>
              <w:t>80</w:t>
            </w:r>
          </w:p>
        </w:tc>
        <w:tc>
          <w:tcPr>
            <w:tcW w:w="0" w:type="auto"/>
            <w:tcBorders>
              <w:top w:val="single" w:sz="4" w:space="0" w:color="666699"/>
              <w:left w:val="single" w:sz="4" w:space="0" w:color="666699"/>
              <w:bottom w:val="single" w:sz="4" w:space="0" w:color="666699"/>
              <w:right w:val="single" w:sz="4" w:space="0" w:color="666699"/>
            </w:tcBorders>
            <w:hideMark/>
          </w:tcPr>
          <w:p w14:paraId="3D816C59" w14:textId="2A0DCEC1" w:rsidR="007A6564" w:rsidRPr="00F048A9" w:rsidRDefault="000B6C5D" w:rsidP="000B6C5D">
            <w:pPr>
              <w:spacing w:after="60"/>
              <w:jc w:val="center"/>
              <w:rPr>
                <w:sz w:val="20"/>
                <w:szCs w:val="24"/>
                <w:lang w:val="es-ES"/>
              </w:rPr>
            </w:pPr>
            <w:r w:rsidRPr="00F048A9">
              <w:rPr>
                <w:sz w:val="20"/>
                <w:szCs w:val="24"/>
                <w:lang w:val="es-ES"/>
              </w:rPr>
              <w:t>Punto de partida para las reducciones acumuladas sostenidas</w:t>
            </w:r>
            <w:r w:rsidR="007A6564" w:rsidRPr="00F048A9">
              <w:rPr>
                <w:sz w:val="20"/>
                <w:szCs w:val="24"/>
                <w:lang w:val="es-ES"/>
              </w:rPr>
              <w:t>:</w:t>
            </w:r>
          </w:p>
        </w:tc>
        <w:tc>
          <w:tcPr>
            <w:tcW w:w="1329" w:type="dxa"/>
            <w:tcBorders>
              <w:top w:val="single" w:sz="4" w:space="0" w:color="666699"/>
              <w:left w:val="single" w:sz="4" w:space="0" w:color="666699"/>
              <w:bottom w:val="single" w:sz="4" w:space="0" w:color="666699"/>
              <w:right w:val="single" w:sz="4" w:space="0" w:color="666699"/>
            </w:tcBorders>
            <w:hideMark/>
          </w:tcPr>
          <w:p w14:paraId="2926758A" w14:textId="1135ED44" w:rsidR="007A6564" w:rsidRPr="00F048A9" w:rsidRDefault="007A6564" w:rsidP="000B6C5D">
            <w:pPr>
              <w:spacing w:after="60"/>
              <w:jc w:val="right"/>
              <w:rPr>
                <w:sz w:val="20"/>
                <w:szCs w:val="24"/>
                <w:lang w:val="es-ES"/>
              </w:rPr>
            </w:pPr>
            <w:r w:rsidRPr="00F048A9">
              <w:rPr>
                <w:sz w:val="20"/>
                <w:szCs w:val="24"/>
                <w:lang w:val="es-ES"/>
              </w:rPr>
              <w:t>0</w:t>
            </w:r>
            <w:r w:rsidR="000B6C5D" w:rsidRPr="00F048A9">
              <w:rPr>
                <w:sz w:val="20"/>
                <w:szCs w:val="24"/>
                <w:lang w:val="es-ES"/>
              </w:rPr>
              <w:t>,</w:t>
            </w:r>
            <w:r w:rsidRPr="00F048A9">
              <w:rPr>
                <w:sz w:val="20"/>
                <w:szCs w:val="24"/>
                <w:lang w:val="es-ES"/>
              </w:rPr>
              <w:t>80</w:t>
            </w:r>
          </w:p>
        </w:tc>
      </w:tr>
      <w:tr w:rsidR="007A6564" w:rsidRPr="00F048A9" w14:paraId="7CF6E1CD" w14:textId="77777777" w:rsidTr="00E9738B">
        <w:trPr>
          <w:trHeight w:val="240"/>
          <w:jc w:val="center"/>
        </w:trPr>
        <w:tc>
          <w:tcPr>
            <w:tcW w:w="10080" w:type="dxa"/>
            <w:gridSpan w:val="4"/>
            <w:tcBorders>
              <w:top w:val="single" w:sz="4" w:space="0" w:color="666699"/>
              <w:left w:val="single" w:sz="4" w:space="0" w:color="666699"/>
              <w:bottom w:val="single" w:sz="4" w:space="0" w:color="666699"/>
              <w:right w:val="single" w:sz="4" w:space="0" w:color="666699"/>
            </w:tcBorders>
            <w:hideMark/>
          </w:tcPr>
          <w:p w14:paraId="6C11ABC0" w14:textId="338E3097" w:rsidR="007A6564" w:rsidRPr="00F048A9" w:rsidRDefault="007A6564" w:rsidP="00891772">
            <w:pPr>
              <w:spacing w:after="60"/>
              <w:jc w:val="center"/>
              <w:rPr>
                <w:b/>
                <w:sz w:val="20"/>
                <w:szCs w:val="24"/>
                <w:lang w:val="es-ES"/>
              </w:rPr>
            </w:pPr>
            <w:r w:rsidRPr="00F048A9">
              <w:rPr>
                <w:b/>
                <w:sz w:val="20"/>
                <w:szCs w:val="24"/>
                <w:lang w:val="es-ES"/>
              </w:rPr>
              <w:t>CONSU</w:t>
            </w:r>
            <w:r w:rsidR="00891772" w:rsidRPr="00F048A9">
              <w:rPr>
                <w:b/>
                <w:sz w:val="20"/>
                <w:szCs w:val="24"/>
                <w:lang w:val="es-ES"/>
              </w:rPr>
              <w:t>MO ADMISIBLE PARA LA FINANCIACIÓN</w:t>
            </w:r>
            <w:r w:rsidRPr="00F048A9">
              <w:rPr>
                <w:b/>
                <w:sz w:val="20"/>
                <w:szCs w:val="24"/>
                <w:lang w:val="es-ES"/>
              </w:rPr>
              <w:t xml:space="preserve"> (</w:t>
            </w:r>
            <w:r w:rsidR="0001658C" w:rsidRPr="00F048A9">
              <w:rPr>
                <w:b/>
                <w:sz w:val="20"/>
                <w:szCs w:val="24"/>
                <w:lang w:val="es-ES"/>
              </w:rPr>
              <w:t>toneladas PAO</w:t>
            </w:r>
            <w:r w:rsidRPr="00F048A9">
              <w:rPr>
                <w:b/>
                <w:sz w:val="20"/>
                <w:szCs w:val="24"/>
                <w:lang w:val="es-ES"/>
              </w:rPr>
              <w:t>)</w:t>
            </w:r>
          </w:p>
        </w:tc>
      </w:tr>
      <w:tr w:rsidR="00DB24E5" w:rsidRPr="00F048A9" w14:paraId="190F4866" w14:textId="77777777" w:rsidTr="00E9738B">
        <w:trPr>
          <w:trHeight w:val="240"/>
          <w:jc w:val="center"/>
        </w:trPr>
        <w:tc>
          <w:tcPr>
            <w:tcW w:w="0" w:type="auto"/>
            <w:tcBorders>
              <w:top w:val="single" w:sz="4" w:space="0" w:color="666699"/>
              <w:left w:val="single" w:sz="4" w:space="0" w:color="666699"/>
              <w:bottom w:val="single" w:sz="4" w:space="0" w:color="666699"/>
              <w:right w:val="single" w:sz="4" w:space="0" w:color="666699"/>
            </w:tcBorders>
            <w:hideMark/>
          </w:tcPr>
          <w:p w14:paraId="26417BD2" w14:textId="6C4EDB24" w:rsidR="007A6564" w:rsidRPr="00F048A9" w:rsidRDefault="00891772" w:rsidP="00891772">
            <w:pPr>
              <w:spacing w:after="60"/>
              <w:jc w:val="center"/>
              <w:rPr>
                <w:sz w:val="20"/>
                <w:szCs w:val="24"/>
                <w:lang w:val="es-ES"/>
              </w:rPr>
            </w:pPr>
            <w:r w:rsidRPr="00F048A9">
              <w:rPr>
                <w:sz w:val="20"/>
                <w:szCs w:val="24"/>
                <w:lang w:val="es-ES"/>
              </w:rPr>
              <w:t>Ya aprobado</w:t>
            </w:r>
            <w:r w:rsidR="007A6564" w:rsidRPr="00F048A9">
              <w:rPr>
                <w:sz w:val="20"/>
                <w:szCs w:val="24"/>
                <w:lang w:val="es-ES"/>
              </w:rPr>
              <w:t>:</w:t>
            </w:r>
          </w:p>
        </w:tc>
        <w:tc>
          <w:tcPr>
            <w:tcW w:w="0" w:type="auto"/>
            <w:tcBorders>
              <w:top w:val="single" w:sz="4" w:space="0" w:color="666699"/>
              <w:left w:val="single" w:sz="4" w:space="0" w:color="666699"/>
              <w:bottom w:val="single" w:sz="4" w:space="0" w:color="666699"/>
              <w:right w:val="single" w:sz="4" w:space="0" w:color="666699"/>
            </w:tcBorders>
            <w:hideMark/>
          </w:tcPr>
          <w:p w14:paraId="3937F4FE" w14:textId="53ABB43F" w:rsidR="007A6564" w:rsidRPr="00F048A9" w:rsidRDefault="007A6564" w:rsidP="000B6C5D">
            <w:pPr>
              <w:spacing w:after="60"/>
              <w:jc w:val="right"/>
              <w:rPr>
                <w:sz w:val="20"/>
                <w:szCs w:val="24"/>
                <w:lang w:val="es-ES"/>
              </w:rPr>
            </w:pPr>
            <w:r w:rsidRPr="00F048A9">
              <w:rPr>
                <w:sz w:val="20"/>
                <w:szCs w:val="24"/>
                <w:lang w:val="es-ES"/>
              </w:rPr>
              <w:t>0</w:t>
            </w:r>
            <w:r w:rsidR="000B6C5D" w:rsidRPr="00F048A9">
              <w:rPr>
                <w:sz w:val="20"/>
                <w:szCs w:val="24"/>
                <w:lang w:val="es-ES"/>
              </w:rPr>
              <w:t>,</w:t>
            </w:r>
            <w:r w:rsidRPr="00F048A9">
              <w:rPr>
                <w:sz w:val="20"/>
                <w:szCs w:val="24"/>
                <w:lang w:val="es-ES"/>
              </w:rPr>
              <w:t>28</w:t>
            </w:r>
          </w:p>
        </w:tc>
        <w:tc>
          <w:tcPr>
            <w:tcW w:w="0" w:type="auto"/>
            <w:tcBorders>
              <w:top w:val="single" w:sz="4" w:space="0" w:color="666699"/>
              <w:left w:val="single" w:sz="4" w:space="0" w:color="666699"/>
              <w:bottom w:val="single" w:sz="4" w:space="0" w:color="666699"/>
              <w:right w:val="single" w:sz="4" w:space="0" w:color="666699"/>
            </w:tcBorders>
            <w:hideMark/>
          </w:tcPr>
          <w:p w14:paraId="32BE759D" w14:textId="7B5DACD2" w:rsidR="007A6564" w:rsidRPr="00F048A9" w:rsidRDefault="007A6564" w:rsidP="00891772">
            <w:pPr>
              <w:spacing w:after="60"/>
              <w:jc w:val="center"/>
              <w:rPr>
                <w:sz w:val="20"/>
                <w:szCs w:val="24"/>
                <w:lang w:val="es-ES"/>
              </w:rPr>
            </w:pPr>
            <w:r w:rsidRPr="00F048A9">
              <w:rPr>
                <w:sz w:val="20"/>
                <w:szCs w:val="24"/>
                <w:lang w:val="es-ES"/>
              </w:rPr>
              <w:t>Re</w:t>
            </w:r>
            <w:r w:rsidR="00891772" w:rsidRPr="00F048A9">
              <w:rPr>
                <w:sz w:val="20"/>
                <w:szCs w:val="24"/>
                <w:lang w:val="es-ES"/>
              </w:rPr>
              <w:t>stante</w:t>
            </w:r>
            <w:r w:rsidRPr="00F048A9">
              <w:rPr>
                <w:sz w:val="20"/>
                <w:szCs w:val="24"/>
                <w:lang w:val="es-ES"/>
              </w:rPr>
              <w:t>:</w:t>
            </w:r>
          </w:p>
        </w:tc>
        <w:tc>
          <w:tcPr>
            <w:tcW w:w="1329" w:type="dxa"/>
            <w:tcBorders>
              <w:top w:val="single" w:sz="4" w:space="0" w:color="666699"/>
              <w:left w:val="single" w:sz="4" w:space="0" w:color="666699"/>
              <w:bottom w:val="single" w:sz="4" w:space="0" w:color="666699"/>
              <w:right w:val="single" w:sz="4" w:space="0" w:color="666699"/>
            </w:tcBorders>
          </w:tcPr>
          <w:p w14:paraId="4FB2CA7F" w14:textId="0194BC78" w:rsidR="007A6564" w:rsidRPr="00F048A9" w:rsidRDefault="007A6564" w:rsidP="000B6C5D">
            <w:pPr>
              <w:spacing w:after="60"/>
              <w:jc w:val="right"/>
              <w:rPr>
                <w:sz w:val="20"/>
                <w:szCs w:val="24"/>
                <w:lang w:val="es-ES"/>
              </w:rPr>
            </w:pPr>
            <w:r w:rsidRPr="00F048A9">
              <w:rPr>
                <w:sz w:val="20"/>
                <w:szCs w:val="24"/>
                <w:lang w:val="es-ES"/>
              </w:rPr>
              <w:t>0</w:t>
            </w:r>
            <w:r w:rsidR="000B6C5D" w:rsidRPr="00F048A9">
              <w:rPr>
                <w:sz w:val="20"/>
                <w:szCs w:val="24"/>
                <w:lang w:val="es-ES"/>
              </w:rPr>
              <w:t>,</w:t>
            </w:r>
            <w:r w:rsidRPr="00F048A9">
              <w:rPr>
                <w:sz w:val="20"/>
                <w:szCs w:val="24"/>
                <w:lang w:val="es-ES"/>
              </w:rPr>
              <w:t>52</w:t>
            </w:r>
          </w:p>
        </w:tc>
      </w:tr>
    </w:tbl>
    <w:p w14:paraId="7A5937DC" w14:textId="77777777" w:rsidR="007A6564" w:rsidRPr="00F048A9" w:rsidRDefault="007A6564" w:rsidP="007A6564">
      <w:pPr>
        <w:spacing w:after="60"/>
        <w:jc w:val="center"/>
        <w:rPr>
          <w:sz w:val="24"/>
          <w:szCs w:val="24"/>
          <w:lang w:val="es-ES"/>
        </w:rPr>
      </w:pPr>
    </w:p>
    <w:tbl>
      <w:tblPr>
        <w:tblStyle w:val="TableGrid"/>
        <w:tblW w:w="1012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050"/>
        <w:gridCol w:w="2970"/>
        <w:gridCol w:w="1552"/>
        <w:gridCol w:w="1553"/>
      </w:tblGrid>
      <w:tr w:rsidR="00876AA9" w:rsidRPr="00F048A9" w14:paraId="71C7C160" w14:textId="77777777" w:rsidTr="003C4EB4">
        <w:trPr>
          <w:trHeight w:val="240"/>
          <w:jc w:val="center"/>
        </w:trPr>
        <w:tc>
          <w:tcPr>
            <w:tcW w:w="7020" w:type="dxa"/>
            <w:gridSpan w:val="2"/>
            <w:tcBorders>
              <w:top w:val="single" w:sz="4" w:space="0" w:color="666699"/>
              <w:left w:val="single" w:sz="4" w:space="0" w:color="666699"/>
              <w:bottom w:val="single" w:sz="4" w:space="0" w:color="666699"/>
              <w:right w:val="single" w:sz="4" w:space="0" w:color="666699"/>
            </w:tcBorders>
            <w:shd w:val="clear" w:color="auto" w:fill="auto"/>
            <w:hideMark/>
          </w:tcPr>
          <w:p w14:paraId="4BC0E5B6" w14:textId="04A01D2E" w:rsidR="00876AA9" w:rsidRPr="00F048A9" w:rsidRDefault="00876AA9" w:rsidP="00891772">
            <w:pPr>
              <w:spacing w:after="60"/>
              <w:jc w:val="left"/>
              <w:rPr>
                <w:b/>
                <w:sz w:val="20"/>
                <w:szCs w:val="24"/>
                <w:lang w:val="es-ES"/>
              </w:rPr>
            </w:pPr>
            <w:r w:rsidRPr="00F048A9">
              <w:rPr>
                <w:b/>
                <w:sz w:val="20"/>
                <w:szCs w:val="24"/>
                <w:lang w:val="es-ES"/>
              </w:rPr>
              <w:t>V) PLAN</w:t>
            </w:r>
            <w:r w:rsidR="00891772" w:rsidRPr="00F048A9">
              <w:rPr>
                <w:b/>
                <w:sz w:val="20"/>
                <w:szCs w:val="24"/>
                <w:lang w:val="es-ES"/>
              </w:rPr>
              <w:t xml:space="preserve"> ADMINISTRATIVO</w:t>
            </w:r>
          </w:p>
        </w:tc>
        <w:tc>
          <w:tcPr>
            <w:tcW w:w="1552" w:type="dxa"/>
            <w:tcBorders>
              <w:top w:val="single" w:sz="4" w:space="0" w:color="666699"/>
              <w:left w:val="single" w:sz="4" w:space="0" w:color="666699"/>
              <w:bottom w:val="single" w:sz="4" w:space="0" w:color="666699"/>
              <w:right w:val="single" w:sz="4" w:space="0" w:color="666699"/>
            </w:tcBorders>
            <w:shd w:val="clear" w:color="auto" w:fill="auto"/>
            <w:hideMark/>
          </w:tcPr>
          <w:p w14:paraId="42395B72" w14:textId="77777777" w:rsidR="00876AA9" w:rsidRPr="00F048A9" w:rsidRDefault="00876AA9" w:rsidP="00E9738B">
            <w:pPr>
              <w:spacing w:after="60"/>
              <w:jc w:val="center"/>
              <w:rPr>
                <w:b/>
                <w:sz w:val="20"/>
                <w:szCs w:val="24"/>
                <w:lang w:val="es-ES"/>
              </w:rPr>
            </w:pPr>
            <w:r w:rsidRPr="00F048A9">
              <w:rPr>
                <w:b/>
                <w:sz w:val="20"/>
                <w:szCs w:val="24"/>
                <w:lang w:val="es-ES"/>
              </w:rPr>
              <w:t>2020</w:t>
            </w:r>
          </w:p>
        </w:tc>
        <w:tc>
          <w:tcPr>
            <w:tcW w:w="1553" w:type="dxa"/>
            <w:tcBorders>
              <w:top w:val="single" w:sz="4" w:space="0" w:color="666699"/>
              <w:left w:val="single" w:sz="4" w:space="0" w:color="666699"/>
              <w:bottom w:val="single" w:sz="4" w:space="0" w:color="666699"/>
              <w:right w:val="single" w:sz="4" w:space="0" w:color="666699"/>
            </w:tcBorders>
            <w:shd w:val="clear" w:color="auto" w:fill="auto"/>
            <w:hideMark/>
          </w:tcPr>
          <w:p w14:paraId="6C3614C5" w14:textId="77777777" w:rsidR="00876AA9" w:rsidRPr="00F048A9" w:rsidRDefault="00876AA9" w:rsidP="00E9738B">
            <w:pPr>
              <w:spacing w:after="60"/>
              <w:jc w:val="center"/>
              <w:rPr>
                <w:b/>
                <w:sz w:val="20"/>
                <w:szCs w:val="24"/>
                <w:lang w:val="es-ES"/>
              </w:rPr>
            </w:pPr>
            <w:r w:rsidRPr="00F048A9">
              <w:rPr>
                <w:b/>
                <w:sz w:val="20"/>
                <w:szCs w:val="24"/>
                <w:lang w:val="es-ES"/>
              </w:rPr>
              <w:t>Total</w:t>
            </w:r>
          </w:p>
        </w:tc>
      </w:tr>
      <w:tr w:rsidR="00876AA9" w:rsidRPr="00F048A9" w14:paraId="32B6E151" w14:textId="77777777" w:rsidTr="003C4EB4">
        <w:trPr>
          <w:trHeight w:val="240"/>
          <w:jc w:val="center"/>
        </w:trPr>
        <w:tc>
          <w:tcPr>
            <w:tcW w:w="4050" w:type="dxa"/>
            <w:vMerge w:val="restart"/>
            <w:tcBorders>
              <w:top w:val="single" w:sz="4" w:space="0" w:color="666699"/>
              <w:left w:val="single" w:sz="4" w:space="0" w:color="666699"/>
              <w:bottom w:val="single" w:sz="4" w:space="0" w:color="666699"/>
              <w:right w:val="single" w:sz="4" w:space="0" w:color="666699"/>
            </w:tcBorders>
            <w:shd w:val="clear" w:color="auto" w:fill="auto"/>
            <w:hideMark/>
          </w:tcPr>
          <w:p w14:paraId="17526ACD" w14:textId="2803E1BE" w:rsidR="00876AA9" w:rsidRPr="00F048A9" w:rsidRDefault="0088461E" w:rsidP="00E9738B">
            <w:pPr>
              <w:spacing w:after="60"/>
              <w:jc w:val="center"/>
              <w:rPr>
                <w:sz w:val="20"/>
                <w:szCs w:val="24"/>
                <w:lang w:val="es-ES"/>
              </w:rPr>
            </w:pPr>
            <w:r w:rsidRPr="00F048A9">
              <w:rPr>
                <w:sz w:val="20"/>
                <w:szCs w:val="24"/>
                <w:lang w:val="es-ES"/>
              </w:rPr>
              <w:t>ONUDI</w:t>
            </w:r>
          </w:p>
        </w:tc>
        <w:tc>
          <w:tcPr>
            <w:tcW w:w="2970" w:type="dxa"/>
            <w:tcBorders>
              <w:top w:val="single" w:sz="4" w:space="0" w:color="666699"/>
              <w:left w:val="single" w:sz="4" w:space="0" w:color="666699"/>
              <w:bottom w:val="single" w:sz="4" w:space="0" w:color="666699"/>
              <w:right w:val="single" w:sz="4" w:space="0" w:color="666699"/>
            </w:tcBorders>
            <w:shd w:val="clear" w:color="auto" w:fill="auto"/>
            <w:hideMark/>
          </w:tcPr>
          <w:p w14:paraId="4FD7F5BE" w14:textId="5218627A" w:rsidR="00876AA9" w:rsidRPr="00F048A9" w:rsidRDefault="008C669C" w:rsidP="00E9738B">
            <w:pPr>
              <w:spacing w:after="60"/>
              <w:jc w:val="left"/>
              <w:rPr>
                <w:sz w:val="20"/>
                <w:szCs w:val="24"/>
                <w:lang w:val="es-ES"/>
              </w:rPr>
            </w:pPr>
            <w:r w:rsidRPr="00F048A9">
              <w:rPr>
                <w:sz w:val="20"/>
                <w:szCs w:val="24"/>
                <w:lang w:val="es-ES"/>
              </w:rPr>
              <w:t>Eliminación de SAO</w:t>
            </w:r>
            <w:r w:rsidR="00876AA9" w:rsidRPr="00F048A9">
              <w:rPr>
                <w:sz w:val="20"/>
                <w:szCs w:val="24"/>
                <w:lang w:val="es-ES"/>
              </w:rPr>
              <w:t xml:space="preserve"> (</w:t>
            </w:r>
            <w:r w:rsidR="0001658C" w:rsidRPr="00F048A9">
              <w:rPr>
                <w:sz w:val="20"/>
                <w:szCs w:val="24"/>
                <w:lang w:val="es-ES"/>
              </w:rPr>
              <w:t>toneladas PAO</w:t>
            </w:r>
            <w:r w:rsidR="00876AA9" w:rsidRPr="00F048A9">
              <w:rPr>
                <w:sz w:val="20"/>
                <w:szCs w:val="24"/>
                <w:lang w:val="es-ES"/>
              </w:rPr>
              <w:t>)</w:t>
            </w:r>
          </w:p>
        </w:tc>
        <w:tc>
          <w:tcPr>
            <w:tcW w:w="1552" w:type="dxa"/>
            <w:tcBorders>
              <w:top w:val="single" w:sz="4" w:space="0" w:color="666699"/>
              <w:left w:val="single" w:sz="4" w:space="0" w:color="666699"/>
              <w:bottom w:val="single" w:sz="4" w:space="0" w:color="666699"/>
              <w:right w:val="single" w:sz="4" w:space="0" w:color="666699"/>
            </w:tcBorders>
            <w:shd w:val="clear" w:color="auto" w:fill="auto"/>
          </w:tcPr>
          <w:p w14:paraId="2AFB4780" w14:textId="1C5FCB77" w:rsidR="00876AA9" w:rsidRPr="00F048A9" w:rsidRDefault="00876AA9" w:rsidP="000B6C5D">
            <w:pPr>
              <w:spacing w:after="60"/>
              <w:jc w:val="right"/>
              <w:rPr>
                <w:sz w:val="20"/>
                <w:szCs w:val="24"/>
                <w:lang w:val="es-ES"/>
              </w:rPr>
            </w:pPr>
            <w:r w:rsidRPr="00F048A9">
              <w:rPr>
                <w:sz w:val="20"/>
                <w:szCs w:val="24"/>
                <w:lang w:val="es-ES"/>
              </w:rPr>
              <w:t>0</w:t>
            </w:r>
            <w:r w:rsidR="000B6C5D" w:rsidRPr="00F048A9">
              <w:rPr>
                <w:sz w:val="20"/>
                <w:szCs w:val="24"/>
                <w:lang w:val="es-ES"/>
              </w:rPr>
              <w:t>,</w:t>
            </w:r>
            <w:r w:rsidRPr="00F048A9">
              <w:rPr>
                <w:sz w:val="20"/>
                <w:szCs w:val="24"/>
                <w:lang w:val="es-ES"/>
              </w:rPr>
              <w:t>01</w:t>
            </w:r>
          </w:p>
        </w:tc>
        <w:tc>
          <w:tcPr>
            <w:tcW w:w="1553" w:type="dxa"/>
            <w:tcBorders>
              <w:top w:val="single" w:sz="4" w:space="0" w:color="666699"/>
              <w:left w:val="single" w:sz="4" w:space="0" w:color="666699"/>
              <w:bottom w:val="single" w:sz="4" w:space="0" w:color="666699"/>
              <w:right w:val="single" w:sz="4" w:space="0" w:color="666699"/>
            </w:tcBorders>
            <w:shd w:val="clear" w:color="auto" w:fill="auto"/>
          </w:tcPr>
          <w:p w14:paraId="6191D575" w14:textId="12C99D6A" w:rsidR="00876AA9" w:rsidRPr="00F048A9" w:rsidRDefault="00876AA9" w:rsidP="000B6C5D">
            <w:pPr>
              <w:spacing w:after="60"/>
              <w:jc w:val="right"/>
              <w:rPr>
                <w:sz w:val="20"/>
                <w:szCs w:val="24"/>
                <w:lang w:val="es-ES"/>
              </w:rPr>
            </w:pPr>
            <w:r w:rsidRPr="00F048A9">
              <w:rPr>
                <w:sz w:val="20"/>
                <w:szCs w:val="24"/>
                <w:lang w:val="es-ES"/>
              </w:rPr>
              <w:t>0</w:t>
            </w:r>
            <w:r w:rsidR="00946EBD" w:rsidRPr="00F048A9">
              <w:rPr>
                <w:sz w:val="20"/>
                <w:szCs w:val="24"/>
                <w:lang w:val="es-ES"/>
              </w:rPr>
              <w:t>,</w:t>
            </w:r>
            <w:r w:rsidRPr="00F048A9">
              <w:rPr>
                <w:sz w:val="20"/>
                <w:szCs w:val="24"/>
                <w:lang w:val="es-ES"/>
              </w:rPr>
              <w:t>01</w:t>
            </w:r>
          </w:p>
        </w:tc>
      </w:tr>
      <w:tr w:rsidR="00876AA9" w:rsidRPr="00F048A9" w14:paraId="75B48CDD" w14:textId="77777777" w:rsidTr="003C4EB4">
        <w:trPr>
          <w:trHeight w:val="240"/>
          <w:jc w:val="center"/>
        </w:trPr>
        <w:tc>
          <w:tcPr>
            <w:tcW w:w="4050" w:type="dxa"/>
            <w:vMerge/>
            <w:tcBorders>
              <w:top w:val="single" w:sz="4" w:space="0" w:color="666699"/>
              <w:left w:val="single" w:sz="4" w:space="0" w:color="666699"/>
              <w:bottom w:val="single" w:sz="4" w:space="0" w:color="666699"/>
              <w:right w:val="single" w:sz="4" w:space="0" w:color="666699"/>
            </w:tcBorders>
            <w:shd w:val="clear" w:color="auto" w:fill="auto"/>
            <w:vAlign w:val="center"/>
            <w:hideMark/>
          </w:tcPr>
          <w:p w14:paraId="2CEEA4E9" w14:textId="77777777" w:rsidR="00876AA9" w:rsidRPr="00F048A9" w:rsidRDefault="00876AA9" w:rsidP="00E9738B">
            <w:pPr>
              <w:jc w:val="left"/>
              <w:rPr>
                <w:sz w:val="20"/>
                <w:szCs w:val="24"/>
                <w:lang w:val="es-ES"/>
              </w:rPr>
            </w:pPr>
          </w:p>
        </w:tc>
        <w:tc>
          <w:tcPr>
            <w:tcW w:w="2970" w:type="dxa"/>
            <w:tcBorders>
              <w:top w:val="single" w:sz="4" w:space="0" w:color="666699"/>
              <w:left w:val="single" w:sz="4" w:space="0" w:color="666699"/>
              <w:bottom w:val="single" w:sz="4" w:space="0" w:color="666699"/>
              <w:right w:val="single" w:sz="4" w:space="0" w:color="666699"/>
            </w:tcBorders>
            <w:shd w:val="clear" w:color="auto" w:fill="auto"/>
            <w:hideMark/>
          </w:tcPr>
          <w:p w14:paraId="5A39593B" w14:textId="305C2A09" w:rsidR="00876AA9" w:rsidRPr="00F048A9" w:rsidRDefault="00876AA9" w:rsidP="000B6C5D">
            <w:pPr>
              <w:spacing w:after="60"/>
              <w:jc w:val="left"/>
              <w:rPr>
                <w:sz w:val="20"/>
                <w:szCs w:val="24"/>
                <w:lang w:val="es-ES"/>
              </w:rPr>
            </w:pPr>
            <w:r w:rsidRPr="00F048A9">
              <w:rPr>
                <w:sz w:val="20"/>
                <w:szCs w:val="24"/>
                <w:lang w:val="es-ES"/>
              </w:rPr>
              <w:t>F</w:t>
            </w:r>
            <w:r w:rsidR="000B6C5D" w:rsidRPr="00F048A9">
              <w:rPr>
                <w:sz w:val="20"/>
                <w:szCs w:val="24"/>
                <w:lang w:val="es-ES"/>
              </w:rPr>
              <w:t>inanciación</w:t>
            </w:r>
            <w:r w:rsidRPr="00F048A9">
              <w:rPr>
                <w:sz w:val="20"/>
                <w:szCs w:val="24"/>
                <w:lang w:val="es-ES"/>
              </w:rPr>
              <w:t xml:space="preserve"> (</w:t>
            </w:r>
            <w:r w:rsidR="008C669C" w:rsidRPr="00F048A9">
              <w:rPr>
                <w:sz w:val="20"/>
                <w:szCs w:val="24"/>
                <w:lang w:val="es-ES"/>
              </w:rPr>
              <w:t>$ EUA</w:t>
            </w:r>
            <w:r w:rsidRPr="00F048A9">
              <w:rPr>
                <w:sz w:val="20"/>
                <w:szCs w:val="24"/>
                <w:lang w:val="es-ES"/>
              </w:rPr>
              <w:t>)</w:t>
            </w:r>
          </w:p>
        </w:tc>
        <w:tc>
          <w:tcPr>
            <w:tcW w:w="1552" w:type="dxa"/>
            <w:tcBorders>
              <w:top w:val="single" w:sz="4" w:space="0" w:color="666699"/>
              <w:left w:val="single" w:sz="4" w:space="0" w:color="666699"/>
              <w:bottom w:val="single" w:sz="4" w:space="0" w:color="666699"/>
              <w:right w:val="single" w:sz="4" w:space="0" w:color="666699"/>
            </w:tcBorders>
            <w:shd w:val="clear" w:color="auto" w:fill="auto"/>
          </w:tcPr>
          <w:p w14:paraId="65211D6C" w14:textId="5FF77536" w:rsidR="00876AA9" w:rsidRPr="00F048A9" w:rsidRDefault="00876AA9" w:rsidP="000B6C5D">
            <w:pPr>
              <w:spacing w:after="60"/>
              <w:jc w:val="right"/>
              <w:rPr>
                <w:sz w:val="20"/>
                <w:szCs w:val="24"/>
                <w:lang w:val="es-ES"/>
              </w:rPr>
            </w:pPr>
            <w:r w:rsidRPr="00F048A9">
              <w:rPr>
                <w:sz w:val="20"/>
                <w:szCs w:val="24"/>
                <w:lang w:val="es-ES"/>
              </w:rPr>
              <w:t>22</w:t>
            </w:r>
            <w:r w:rsidR="000B6C5D" w:rsidRPr="00F048A9">
              <w:rPr>
                <w:sz w:val="20"/>
                <w:szCs w:val="24"/>
                <w:lang w:val="es-ES"/>
              </w:rPr>
              <w:t>.</w:t>
            </w:r>
            <w:r w:rsidRPr="00F048A9">
              <w:rPr>
                <w:sz w:val="20"/>
                <w:szCs w:val="24"/>
                <w:lang w:val="es-ES"/>
              </w:rPr>
              <w:t>575</w:t>
            </w:r>
          </w:p>
        </w:tc>
        <w:tc>
          <w:tcPr>
            <w:tcW w:w="1553" w:type="dxa"/>
            <w:tcBorders>
              <w:top w:val="single" w:sz="4" w:space="0" w:color="666699"/>
              <w:left w:val="single" w:sz="4" w:space="0" w:color="666699"/>
              <w:bottom w:val="single" w:sz="4" w:space="0" w:color="666699"/>
              <w:right w:val="single" w:sz="4" w:space="0" w:color="666699"/>
            </w:tcBorders>
            <w:shd w:val="clear" w:color="auto" w:fill="auto"/>
          </w:tcPr>
          <w:p w14:paraId="0B87D9A0" w14:textId="641D394F" w:rsidR="00876AA9" w:rsidRPr="00F048A9" w:rsidRDefault="00876AA9" w:rsidP="000B6C5D">
            <w:pPr>
              <w:spacing w:after="60"/>
              <w:jc w:val="right"/>
              <w:rPr>
                <w:sz w:val="20"/>
                <w:szCs w:val="24"/>
                <w:lang w:val="es-ES"/>
              </w:rPr>
            </w:pPr>
            <w:r w:rsidRPr="00F048A9">
              <w:rPr>
                <w:sz w:val="20"/>
                <w:szCs w:val="24"/>
                <w:lang w:val="es-ES"/>
              </w:rPr>
              <w:t>22</w:t>
            </w:r>
            <w:r w:rsidR="000B6C5D" w:rsidRPr="00F048A9">
              <w:rPr>
                <w:sz w:val="20"/>
                <w:szCs w:val="24"/>
                <w:lang w:val="es-ES"/>
              </w:rPr>
              <w:t>.</w:t>
            </w:r>
            <w:r w:rsidRPr="00F048A9">
              <w:rPr>
                <w:sz w:val="20"/>
                <w:szCs w:val="24"/>
                <w:lang w:val="es-ES"/>
              </w:rPr>
              <w:t>575</w:t>
            </w:r>
          </w:p>
        </w:tc>
      </w:tr>
    </w:tbl>
    <w:p w14:paraId="2A8CEDE7" w14:textId="77777777" w:rsidR="007A6564" w:rsidRPr="00F048A9" w:rsidRDefault="007A6564" w:rsidP="007A6564">
      <w:pPr>
        <w:spacing w:after="60"/>
        <w:jc w:val="center"/>
        <w:rPr>
          <w:sz w:val="24"/>
          <w:szCs w:val="24"/>
          <w:lang w:val="es-ES"/>
        </w:rPr>
      </w:pPr>
    </w:p>
    <w:tbl>
      <w:tblPr>
        <w:tblStyle w:val="TableGrid"/>
        <w:tblW w:w="10272"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288"/>
        <w:gridCol w:w="846"/>
        <w:gridCol w:w="1648"/>
        <w:gridCol w:w="721"/>
        <w:gridCol w:w="721"/>
        <w:gridCol w:w="721"/>
        <w:gridCol w:w="721"/>
        <w:gridCol w:w="721"/>
        <w:gridCol w:w="721"/>
        <w:gridCol w:w="721"/>
        <w:gridCol w:w="721"/>
        <w:gridCol w:w="722"/>
      </w:tblGrid>
      <w:tr w:rsidR="007A6564" w:rsidRPr="00F048A9" w14:paraId="2C3A45B8" w14:textId="77777777" w:rsidTr="00080ECC">
        <w:trPr>
          <w:jc w:val="center"/>
        </w:trPr>
        <w:tc>
          <w:tcPr>
            <w:tcW w:w="3782" w:type="dxa"/>
            <w:gridSpan w:val="3"/>
            <w:tcBorders>
              <w:top w:val="single" w:sz="4" w:space="0" w:color="666699"/>
              <w:left w:val="single" w:sz="4" w:space="0" w:color="666699"/>
              <w:bottom w:val="single" w:sz="4" w:space="0" w:color="666699"/>
              <w:right w:val="single" w:sz="4" w:space="0" w:color="666699"/>
            </w:tcBorders>
            <w:hideMark/>
          </w:tcPr>
          <w:p w14:paraId="7B8F74E1" w14:textId="3A758F25" w:rsidR="007A6564" w:rsidRPr="00F048A9" w:rsidRDefault="007A6564" w:rsidP="00891772">
            <w:pPr>
              <w:spacing w:after="60"/>
              <w:jc w:val="left"/>
              <w:rPr>
                <w:b/>
                <w:sz w:val="20"/>
                <w:szCs w:val="24"/>
                <w:lang w:val="es-ES"/>
              </w:rPr>
            </w:pPr>
            <w:r w:rsidRPr="00F048A9">
              <w:rPr>
                <w:b/>
                <w:sz w:val="20"/>
                <w:szCs w:val="24"/>
                <w:lang w:val="es-ES"/>
              </w:rPr>
              <w:t xml:space="preserve">VI) </w:t>
            </w:r>
            <w:r w:rsidR="00891772" w:rsidRPr="00F048A9">
              <w:rPr>
                <w:b/>
                <w:sz w:val="20"/>
                <w:szCs w:val="24"/>
                <w:lang w:val="es-ES"/>
              </w:rPr>
              <w:t>DATOS DEL PROYECTO</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4983E442" w14:textId="77777777" w:rsidR="007A6564" w:rsidRPr="00F048A9" w:rsidRDefault="007A6564" w:rsidP="00E9738B">
            <w:pPr>
              <w:spacing w:after="60"/>
              <w:jc w:val="center"/>
              <w:rPr>
                <w:b/>
                <w:sz w:val="20"/>
                <w:szCs w:val="24"/>
                <w:lang w:val="es-ES"/>
              </w:rPr>
            </w:pPr>
            <w:r w:rsidRPr="00F048A9">
              <w:rPr>
                <w:b/>
                <w:sz w:val="20"/>
                <w:szCs w:val="24"/>
                <w:lang w:val="es-ES"/>
              </w:rPr>
              <w:t>2011</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63D89004" w14:textId="77777777" w:rsidR="007A6564" w:rsidRPr="00F048A9" w:rsidRDefault="007A6564" w:rsidP="00E9738B">
            <w:pPr>
              <w:spacing w:after="60"/>
              <w:jc w:val="center"/>
              <w:rPr>
                <w:b/>
                <w:sz w:val="20"/>
                <w:szCs w:val="24"/>
                <w:lang w:val="es-ES"/>
              </w:rPr>
            </w:pPr>
            <w:r w:rsidRPr="00F048A9">
              <w:rPr>
                <w:b/>
                <w:sz w:val="20"/>
                <w:szCs w:val="24"/>
                <w:lang w:val="es-ES"/>
              </w:rPr>
              <w:t>2013</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0619D3B5" w14:textId="77777777" w:rsidR="007A6564" w:rsidRPr="00F048A9" w:rsidRDefault="007A6564" w:rsidP="00E9738B">
            <w:pPr>
              <w:spacing w:after="60"/>
              <w:jc w:val="center"/>
              <w:rPr>
                <w:b/>
                <w:sz w:val="20"/>
                <w:szCs w:val="24"/>
                <w:lang w:val="es-ES"/>
              </w:rPr>
            </w:pPr>
            <w:r w:rsidRPr="00F048A9">
              <w:rPr>
                <w:b/>
                <w:sz w:val="20"/>
                <w:szCs w:val="24"/>
                <w:lang w:val="es-ES"/>
              </w:rPr>
              <w:t>2015</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27DB6999" w14:textId="77777777" w:rsidR="007A6564" w:rsidRPr="00F048A9" w:rsidRDefault="007A6564" w:rsidP="00E9738B">
            <w:pPr>
              <w:spacing w:after="60"/>
              <w:jc w:val="center"/>
              <w:rPr>
                <w:b/>
                <w:sz w:val="20"/>
                <w:szCs w:val="24"/>
                <w:lang w:val="es-ES"/>
              </w:rPr>
            </w:pPr>
            <w:r w:rsidRPr="00F048A9">
              <w:rPr>
                <w:b/>
                <w:sz w:val="20"/>
                <w:szCs w:val="24"/>
                <w:lang w:val="es-ES"/>
              </w:rPr>
              <w:t>2016</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276ED7D1" w14:textId="77777777" w:rsidR="007A6564" w:rsidRPr="00F048A9" w:rsidRDefault="007A6564" w:rsidP="00E9738B">
            <w:pPr>
              <w:spacing w:after="60"/>
              <w:jc w:val="center"/>
              <w:rPr>
                <w:b/>
                <w:sz w:val="20"/>
                <w:szCs w:val="24"/>
                <w:lang w:val="es-ES"/>
              </w:rPr>
            </w:pPr>
            <w:r w:rsidRPr="00F048A9">
              <w:rPr>
                <w:b/>
                <w:sz w:val="20"/>
                <w:szCs w:val="24"/>
                <w:lang w:val="es-ES"/>
              </w:rPr>
              <w:t>2017</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625A4078" w14:textId="77777777" w:rsidR="007A6564" w:rsidRPr="00F048A9" w:rsidRDefault="007A6564" w:rsidP="00E9738B">
            <w:pPr>
              <w:spacing w:after="60"/>
              <w:jc w:val="center"/>
              <w:rPr>
                <w:b/>
                <w:sz w:val="20"/>
                <w:szCs w:val="24"/>
                <w:lang w:val="es-ES"/>
              </w:rPr>
            </w:pPr>
            <w:r w:rsidRPr="00F048A9">
              <w:rPr>
                <w:b/>
                <w:sz w:val="20"/>
                <w:szCs w:val="24"/>
                <w:lang w:val="es-ES"/>
              </w:rPr>
              <w:t>2018</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3B6829BD" w14:textId="77777777" w:rsidR="007A6564" w:rsidRPr="00F048A9" w:rsidRDefault="007A6564" w:rsidP="00E9738B">
            <w:pPr>
              <w:spacing w:after="60"/>
              <w:jc w:val="center"/>
              <w:rPr>
                <w:b/>
                <w:sz w:val="20"/>
                <w:szCs w:val="24"/>
                <w:lang w:val="es-ES"/>
              </w:rPr>
            </w:pPr>
            <w:r w:rsidRPr="00F048A9">
              <w:rPr>
                <w:b/>
                <w:sz w:val="20"/>
                <w:szCs w:val="24"/>
                <w:lang w:val="es-ES"/>
              </w:rPr>
              <w:t>2019</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261611F3" w14:textId="77777777" w:rsidR="007A6564" w:rsidRPr="00F048A9" w:rsidRDefault="007A6564" w:rsidP="00E9738B">
            <w:pPr>
              <w:spacing w:after="60"/>
              <w:jc w:val="center"/>
              <w:rPr>
                <w:b/>
                <w:sz w:val="20"/>
                <w:szCs w:val="24"/>
                <w:lang w:val="es-ES"/>
              </w:rPr>
            </w:pPr>
            <w:r w:rsidRPr="00F048A9">
              <w:rPr>
                <w:b/>
                <w:sz w:val="20"/>
                <w:szCs w:val="24"/>
                <w:lang w:val="es-ES"/>
              </w:rPr>
              <w:t>2020</w:t>
            </w:r>
          </w:p>
        </w:tc>
        <w:tc>
          <w:tcPr>
            <w:tcW w:w="722"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37BB6C66" w14:textId="77777777" w:rsidR="007A6564" w:rsidRPr="00F048A9" w:rsidRDefault="007A6564" w:rsidP="00E9738B">
            <w:pPr>
              <w:spacing w:after="60"/>
              <w:jc w:val="center"/>
              <w:rPr>
                <w:b/>
                <w:sz w:val="20"/>
                <w:szCs w:val="24"/>
                <w:lang w:val="es-ES"/>
              </w:rPr>
            </w:pPr>
            <w:r w:rsidRPr="00F048A9">
              <w:rPr>
                <w:b/>
                <w:sz w:val="20"/>
                <w:szCs w:val="24"/>
                <w:lang w:val="es-ES"/>
              </w:rPr>
              <w:t>Total</w:t>
            </w:r>
          </w:p>
        </w:tc>
      </w:tr>
      <w:tr w:rsidR="007A6564" w:rsidRPr="00F048A9" w14:paraId="64873F00" w14:textId="77777777" w:rsidTr="00080ECC">
        <w:trPr>
          <w:jc w:val="center"/>
        </w:trPr>
        <w:tc>
          <w:tcPr>
            <w:tcW w:w="3782" w:type="dxa"/>
            <w:gridSpan w:val="3"/>
            <w:tcBorders>
              <w:top w:val="single" w:sz="4" w:space="0" w:color="666699"/>
              <w:left w:val="single" w:sz="4" w:space="0" w:color="666699"/>
              <w:bottom w:val="single" w:sz="4" w:space="0" w:color="666699"/>
              <w:right w:val="single" w:sz="4" w:space="0" w:color="666699"/>
            </w:tcBorders>
            <w:hideMark/>
          </w:tcPr>
          <w:p w14:paraId="52917451" w14:textId="154D0665" w:rsidR="007A6564" w:rsidRPr="00F048A9" w:rsidRDefault="000B6C5D" w:rsidP="000B6C5D">
            <w:pPr>
              <w:spacing w:after="60"/>
              <w:jc w:val="left"/>
              <w:rPr>
                <w:sz w:val="20"/>
                <w:szCs w:val="24"/>
                <w:lang w:val="es-ES"/>
              </w:rPr>
            </w:pPr>
            <w:r w:rsidRPr="00F048A9">
              <w:rPr>
                <w:sz w:val="20"/>
                <w:szCs w:val="24"/>
                <w:lang w:val="es-ES"/>
              </w:rPr>
              <w:t xml:space="preserve">Límites de consumo establecidos en el Protocolo de </w:t>
            </w:r>
            <w:r w:rsidR="007A6564" w:rsidRPr="00F048A9">
              <w:rPr>
                <w:sz w:val="20"/>
                <w:szCs w:val="24"/>
                <w:lang w:val="es-ES"/>
              </w:rPr>
              <w:t>Montreal</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3128246A" w14:textId="77777777" w:rsidR="007A6564" w:rsidRPr="00F048A9" w:rsidRDefault="007A6564" w:rsidP="00E9738B">
            <w:pPr>
              <w:spacing w:after="60"/>
              <w:jc w:val="center"/>
              <w:rPr>
                <w:sz w:val="20"/>
                <w:szCs w:val="24"/>
                <w:lang w:val="es-ES"/>
              </w:rPr>
            </w:pPr>
            <w:r w:rsidRPr="00F048A9">
              <w:rPr>
                <w:sz w:val="20"/>
                <w:szCs w:val="24"/>
                <w:lang w:val="es-ES"/>
              </w:rPr>
              <w:t>n/a</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6C09B9F1" w14:textId="70EA8411" w:rsidR="007A6564" w:rsidRPr="00F048A9" w:rsidRDefault="007A6564" w:rsidP="00946EBD">
            <w:pPr>
              <w:spacing w:after="60"/>
              <w:jc w:val="right"/>
              <w:rPr>
                <w:sz w:val="20"/>
                <w:szCs w:val="24"/>
                <w:lang w:val="es-ES"/>
              </w:rPr>
            </w:pPr>
            <w:r w:rsidRPr="00F048A9">
              <w:rPr>
                <w:sz w:val="20"/>
                <w:szCs w:val="24"/>
                <w:lang w:val="es-ES"/>
              </w:rPr>
              <w:t>0</w:t>
            </w:r>
            <w:r w:rsidR="00946EBD" w:rsidRPr="00F048A9">
              <w:rPr>
                <w:sz w:val="20"/>
                <w:szCs w:val="24"/>
                <w:lang w:val="es-ES"/>
              </w:rPr>
              <w:t>,</w:t>
            </w:r>
            <w:r w:rsidRPr="00F048A9">
              <w:rPr>
                <w:sz w:val="20"/>
                <w:szCs w:val="24"/>
                <w:lang w:val="es-ES"/>
              </w:rPr>
              <w:t>8</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4C2F3EAC" w14:textId="04BD4AD2" w:rsidR="007A6564" w:rsidRPr="00F048A9" w:rsidRDefault="007A6564" w:rsidP="00946EBD">
            <w:pPr>
              <w:spacing w:after="60"/>
              <w:jc w:val="right"/>
              <w:rPr>
                <w:sz w:val="20"/>
                <w:szCs w:val="24"/>
                <w:lang w:val="es-ES"/>
              </w:rPr>
            </w:pPr>
            <w:r w:rsidRPr="00F048A9">
              <w:rPr>
                <w:sz w:val="20"/>
                <w:szCs w:val="24"/>
                <w:lang w:val="es-ES"/>
              </w:rPr>
              <w:t>0</w:t>
            </w:r>
            <w:r w:rsidR="00946EBD" w:rsidRPr="00F048A9">
              <w:rPr>
                <w:sz w:val="20"/>
                <w:szCs w:val="24"/>
                <w:lang w:val="es-ES"/>
              </w:rPr>
              <w:t>,</w:t>
            </w:r>
            <w:r w:rsidRPr="00F048A9">
              <w:rPr>
                <w:sz w:val="20"/>
                <w:szCs w:val="24"/>
                <w:lang w:val="es-ES"/>
              </w:rPr>
              <w:t>72</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4B842A85" w14:textId="1D5C7223" w:rsidR="007A6564" w:rsidRPr="00F048A9" w:rsidRDefault="007A6564" w:rsidP="00946EBD">
            <w:pPr>
              <w:spacing w:after="60"/>
              <w:jc w:val="right"/>
              <w:rPr>
                <w:sz w:val="20"/>
                <w:szCs w:val="24"/>
                <w:lang w:val="es-ES"/>
              </w:rPr>
            </w:pPr>
            <w:r w:rsidRPr="00F048A9">
              <w:rPr>
                <w:sz w:val="20"/>
                <w:szCs w:val="24"/>
                <w:lang w:val="es-ES"/>
              </w:rPr>
              <w:t>0</w:t>
            </w:r>
            <w:r w:rsidR="00946EBD" w:rsidRPr="00F048A9">
              <w:rPr>
                <w:sz w:val="20"/>
                <w:szCs w:val="24"/>
                <w:lang w:val="es-ES"/>
              </w:rPr>
              <w:t>,</w:t>
            </w:r>
            <w:r w:rsidRPr="00F048A9">
              <w:rPr>
                <w:sz w:val="20"/>
                <w:szCs w:val="24"/>
                <w:lang w:val="es-ES"/>
              </w:rPr>
              <w:t>72</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28600895" w14:textId="76B7904C" w:rsidR="007A6564" w:rsidRPr="00F048A9" w:rsidRDefault="007A6564" w:rsidP="00946EBD">
            <w:pPr>
              <w:spacing w:after="60"/>
              <w:jc w:val="right"/>
              <w:rPr>
                <w:sz w:val="20"/>
                <w:szCs w:val="24"/>
                <w:lang w:val="es-ES"/>
              </w:rPr>
            </w:pPr>
            <w:r w:rsidRPr="00F048A9">
              <w:rPr>
                <w:sz w:val="20"/>
                <w:szCs w:val="24"/>
                <w:lang w:val="es-ES"/>
              </w:rPr>
              <w:t>0</w:t>
            </w:r>
            <w:r w:rsidR="00946EBD" w:rsidRPr="00F048A9">
              <w:rPr>
                <w:sz w:val="20"/>
                <w:szCs w:val="24"/>
                <w:lang w:val="es-ES"/>
              </w:rPr>
              <w:t>,</w:t>
            </w:r>
            <w:r w:rsidRPr="00F048A9">
              <w:rPr>
                <w:sz w:val="20"/>
                <w:szCs w:val="24"/>
                <w:lang w:val="es-ES"/>
              </w:rPr>
              <w:t>72</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073614EC" w14:textId="5D0BA430" w:rsidR="007A6564" w:rsidRPr="00F048A9" w:rsidRDefault="007A6564" w:rsidP="00946EBD">
            <w:pPr>
              <w:spacing w:after="60"/>
              <w:jc w:val="right"/>
              <w:rPr>
                <w:sz w:val="20"/>
                <w:szCs w:val="24"/>
                <w:lang w:val="es-ES"/>
              </w:rPr>
            </w:pPr>
            <w:r w:rsidRPr="00F048A9">
              <w:rPr>
                <w:sz w:val="20"/>
                <w:szCs w:val="24"/>
                <w:lang w:val="es-ES"/>
              </w:rPr>
              <w:t>0</w:t>
            </w:r>
            <w:r w:rsidR="00946EBD" w:rsidRPr="00F048A9">
              <w:rPr>
                <w:sz w:val="20"/>
                <w:szCs w:val="24"/>
                <w:lang w:val="es-ES"/>
              </w:rPr>
              <w:t>,</w:t>
            </w:r>
            <w:r w:rsidRPr="00F048A9">
              <w:rPr>
                <w:sz w:val="20"/>
                <w:szCs w:val="24"/>
                <w:lang w:val="es-ES"/>
              </w:rPr>
              <w:t>72</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40CD5E94" w14:textId="6EA6480A" w:rsidR="007A6564" w:rsidRPr="00F048A9" w:rsidRDefault="007A6564" w:rsidP="00946EBD">
            <w:pPr>
              <w:spacing w:after="60"/>
              <w:jc w:val="right"/>
              <w:rPr>
                <w:sz w:val="20"/>
                <w:szCs w:val="24"/>
                <w:lang w:val="es-ES"/>
              </w:rPr>
            </w:pPr>
            <w:r w:rsidRPr="00F048A9">
              <w:rPr>
                <w:sz w:val="20"/>
                <w:szCs w:val="24"/>
                <w:lang w:val="es-ES"/>
              </w:rPr>
              <w:t>0</w:t>
            </w:r>
            <w:r w:rsidR="00946EBD" w:rsidRPr="00F048A9">
              <w:rPr>
                <w:sz w:val="20"/>
                <w:szCs w:val="24"/>
                <w:lang w:val="es-ES"/>
              </w:rPr>
              <w:t>,</w:t>
            </w:r>
            <w:r w:rsidRPr="00F048A9">
              <w:rPr>
                <w:sz w:val="20"/>
                <w:szCs w:val="24"/>
                <w:lang w:val="es-ES"/>
              </w:rPr>
              <w:t>72</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21B21A20" w14:textId="4D9E8A6E" w:rsidR="007A6564" w:rsidRPr="00F048A9" w:rsidRDefault="007A6564" w:rsidP="00946EBD">
            <w:pPr>
              <w:spacing w:after="60"/>
              <w:jc w:val="right"/>
              <w:rPr>
                <w:sz w:val="20"/>
                <w:szCs w:val="24"/>
                <w:lang w:val="es-ES"/>
              </w:rPr>
            </w:pPr>
            <w:r w:rsidRPr="00F048A9">
              <w:rPr>
                <w:sz w:val="20"/>
                <w:szCs w:val="24"/>
                <w:lang w:val="es-ES"/>
              </w:rPr>
              <w:t>0</w:t>
            </w:r>
            <w:r w:rsidR="00946EBD" w:rsidRPr="00F048A9">
              <w:rPr>
                <w:sz w:val="20"/>
                <w:szCs w:val="24"/>
                <w:lang w:val="es-ES"/>
              </w:rPr>
              <w:t>,</w:t>
            </w:r>
            <w:r w:rsidRPr="00F048A9">
              <w:rPr>
                <w:sz w:val="20"/>
                <w:szCs w:val="24"/>
                <w:lang w:val="es-ES"/>
              </w:rPr>
              <w:t>52</w:t>
            </w:r>
          </w:p>
        </w:tc>
        <w:tc>
          <w:tcPr>
            <w:tcW w:w="722" w:type="dxa"/>
            <w:tcBorders>
              <w:top w:val="single" w:sz="4" w:space="0" w:color="666699"/>
              <w:left w:val="single" w:sz="4" w:space="0" w:color="666699"/>
              <w:bottom w:val="single" w:sz="4" w:space="0" w:color="666699"/>
              <w:right w:val="single" w:sz="4" w:space="0" w:color="666699"/>
            </w:tcBorders>
            <w:tcMar>
              <w:left w:w="0" w:type="dxa"/>
              <w:right w:w="29" w:type="dxa"/>
            </w:tcMar>
          </w:tcPr>
          <w:p w14:paraId="48A1069B" w14:textId="77777777" w:rsidR="007A6564" w:rsidRPr="00F048A9" w:rsidRDefault="007A6564" w:rsidP="00E9738B">
            <w:pPr>
              <w:spacing w:after="60"/>
              <w:jc w:val="center"/>
              <w:rPr>
                <w:sz w:val="20"/>
                <w:szCs w:val="24"/>
                <w:lang w:val="es-ES"/>
              </w:rPr>
            </w:pPr>
            <w:r w:rsidRPr="00F048A9">
              <w:rPr>
                <w:sz w:val="20"/>
                <w:szCs w:val="24"/>
                <w:lang w:val="es-ES"/>
              </w:rPr>
              <w:t>n/a</w:t>
            </w:r>
          </w:p>
        </w:tc>
      </w:tr>
      <w:tr w:rsidR="007A6564" w:rsidRPr="00F048A9" w14:paraId="0980D4E4" w14:textId="77777777" w:rsidTr="00080ECC">
        <w:trPr>
          <w:jc w:val="center"/>
        </w:trPr>
        <w:tc>
          <w:tcPr>
            <w:tcW w:w="3782" w:type="dxa"/>
            <w:gridSpan w:val="3"/>
            <w:tcBorders>
              <w:top w:val="single" w:sz="4" w:space="0" w:color="666699"/>
              <w:left w:val="single" w:sz="4" w:space="0" w:color="666699"/>
              <w:bottom w:val="single" w:sz="4" w:space="0" w:color="666699"/>
              <w:right w:val="single" w:sz="4" w:space="0" w:color="666699"/>
            </w:tcBorders>
            <w:hideMark/>
          </w:tcPr>
          <w:p w14:paraId="3388C2E9" w14:textId="208AEBAE" w:rsidR="007A6564" w:rsidRPr="00F048A9" w:rsidRDefault="000B6C5D" w:rsidP="00DB24E5">
            <w:pPr>
              <w:spacing w:after="60"/>
              <w:jc w:val="left"/>
              <w:rPr>
                <w:sz w:val="20"/>
                <w:szCs w:val="24"/>
                <w:lang w:val="es-ES"/>
              </w:rPr>
            </w:pPr>
            <w:r w:rsidRPr="00F048A9">
              <w:rPr>
                <w:sz w:val="20"/>
                <w:szCs w:val="24"/>
                <w:lang w:val="es-ES"/>
              </w:rPr>
              <w:t xml:space="preserve">Consumo máximo </w:t>
            </w:r>
            <w:r w:rsidR="00DB24E5" w:rsidRPr="00F048A9">
              <w:rPr>
                <w:sz w:val="20"/>
                <w:szCs w:val="24"/>
                <w:lang w:val="es-ES"/>
              </w:rPr>
              <w:t>ad</w:t>
            </w:r>
            <w:r w:rsidRPr="00F048A9">
              <w:rPr>
                <w:sz w:val="20"/>
                <w:szCs w:val="24"/>
                <w:lang w:val="es-ES"/>
              </w:rPr>
              <w:t>misible</w:t>
            </w:r>
            <w:r w:rsidR="007A6564" w:rsidRPr="00F048A9">
              <w:rPr>
                <w:sz w:val="20"/>
                <w:szCs w:val="24"/>
                <w:lang w:val="es-ES"/>
              </w:rPr>
              <w:t xml:space="preserve"> (</w:t>
            </w:r>
            <w:r w:rsidR="0001658C" w:rsidRPr="00F048A9">
              <w:rPr>
                <w:sz w:val="20"/>
                <w:szCs w:val="24"/>
                <w:lang w:val="es-ES"/>
              </w:rPr>
              <w:t>toneladas PAO</w:t>
            </w:r>
            <w:r w:rsidR="007A6564" w:rsidRPr="00F048A9">
              <w:rPr>
                <w:sz w:val="20"/>
                <w:szCs w:val="24"/>
                <w:lang w:val="es-ES"/>
              </w:rPr>
              <w:t>)</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20AA2B4E" w14:textId="77777777" w:rsidR="007A6564" w:rsidRPr="00F048A9" w:rsidRDefault="007A6564" w:rsidP="00E9738B">
            <w:pPr>
              <w:spacing w:after="60"/>
              <w:jc w:val="center"/>
              <w:rPr>
                <w:sz w:val="20"/>
                <w:szCs w:val="24"/>
                <w:lang w:val="es-ES"/>
              </w:rPr>
            </w:pPr>
            <w:r w:rsidRPr="00F048A9">
              <w:rPr>
                <w:sz w:val="20"/>
                <w:szCs w:val="24"/>
                <w:lang w:val="es-ES"/>
              </w:rPr>
              <w:t>n/a</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3B4C0DD4" w14:textId="6E1C3CBA" w:rsidR="007A6564" w:rsidRPr="00F048A9" w:rsidRDefault="007A6564" w:rsidP="00946EBD">
            <w:pPr>
              <w:spacing w:after="60"/>
              <w:jc w:val="right"/>
              <w:rPr>
                <w:sz w:val="20"/>
                <w:szCs w:val="24"/>
                <w:lang w:val="es-ES"/>
              </w:rPr>
            </w:pPr>
            <w:r w:rsidRPr="00F048A9">
              <w:rPr>
                <w:sz w:val="20"/>
                <w:szCs w:val="24"/>
                <w:lang w:val="es-ES"/>
              </w:rPr>
              <w:t>0</w:t>
            </w:r>
            <w:r w:rsidR="00946EBD" w:rsidRPr="00F048A9">
              <w:rPr>
                <w:sz w:val="20"/>
                <w:szCs w:val="24"/>
                <w:lang w:val="es-ES"/>
              </w:rPr>
              <w:t>,</w:t>
            </w:r>
            <w:r w:rsidRPr="00F048A9">
              <w:rPr>
                <w:sz w:val="20"/>
                <w:szCs w:val="24"/>
                <w:lang w:val="es-ES"/>
              </w:rPr>
              <w:t>8</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6FBB4439" w14:textId="4F681458" w:rsidR="007A6564" w:rsidRPr="00F048A9" w:rsidRDefault="007A6564" w:rsidP="00946EBD">
            <w:pPr>
              <w:spacing w:after="60"/>
              <w:jc w:val="right"/>
              <w:rPr>
                <w:sz w:val="20"/>
                <w:szCs w:val="24"/>
                <w:lang w:val="es-ES"/>
              </w:rPr>
            </w:pPr>
            <w:r w:rsidRPr="00F048A9">
              <w:rPr>
                <w:sz w:val="20"/>
                <w:szCs w:val="24"/>
                <w:lang w:val="es-ES"/>
              </w:rPr>
              <w:t>0</w:t>
            </w:r>
            <w:r w:rsidR="00946EBD" w:rsidRPr="00F048A9">
              <w:rPr>
                <w:sz w:val="20"/>
                <w:szCs w:val="24"/>
                <w:lang w:val="es-ES"/>
              </w:rPr>
              <w:t>,</w:t>
            </w:r>
            <w:r w:rsidRPr="00F048A9">
              <w:rPr>
                <w:sz w:val="20"/>
                <w:szCs w:val="24"/>
                <w:lang w:val="es-ES"/>
              </w:rPr>
              <w:t>72</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7E35201C" w14:textId="5FA216A9" w:rsidR="007A6564" w:rsidRPr="00F048A9" w:rsidRDefault="007A6564" w:rsidP="00946EBD">
            <w:pPr>
              <w:spacing w:after="60"/>
              <w:jc w:val="right"/>
              <w:rPr>
                <w:sz w:val="20"/>
                <w:szCs w:val="24"/>
                <w:lang w:val="es-ES"/>
              </w:rPr>
            </w:pPr>
            <w:r w:rsidRPr="00F048A9">
              <w:rPr>
                <w:sz w:val="20"/>
                <w:szCs w:val="24"/>
                <w:lang w:val="es-ES"/>
              </w:rPr>
              <w:t>0</w:t>
            </w:r>
            <w:r w:rsidR="00946EBD" w:rsidRPr="00F048A9">
              <w:rPr>
                <w:sz w:val="20"/>
                <w:szCs w:val="24"/>
                <w:lang w:val="es-ES"/>
              </w:rPr>
              <w:t>,</w:t>
            </w:r>
            <w:r w:rsidRPr="00F048A9">
              <w:rPr>
                <w:sz w:val="20"/>
                <w:szCs w:val="24"/>
                <w:lang w:val="es-ES"/>
              </w:rPr>
              <w:t>72</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571DD778" w14:textId="5D69B1E3" w:rsidR="007A6564" w:rsidRPr="00F048A9" w:rsidRDefault="007A6564" w:rsidP="00946EBD">
            <w:pPr>
              <w:spacing w:after="60"/>
              <w:jc w:val="right"/>
              <w:rPr>
                <w:sz w:val="20"/>
                <w:szCs w:val="24"/>
                <w:lang w:val="es-ES"/>
              </w:rPr>
            </w:pPr>
            <w:r w:rsidRPr="00F048A9">
              <w:rPr>
                <w:sz w:val="20"/>
                <w:szCs w:val="24"/>
                <w:lang w:val="es-ES"/>
              </w:rPr>
              <w:t>0</w:t>
            </w:r>
            <w:r w:rsidR="00946EBD" w:rsidRPr="00F048A9">
              <w:rPr>
                <w:sz w:val="20"/>
                <w:szCs w:val="24"/>
                <w:lang w:val="es-ES"/>
              </w:rPr>
              <w:t>,</w:t>
            </w:r>
            <w:r w:rsidRPr="00F048A9">
              <w:rPr>
                <w:sz w:val="20"/>
                <w:szCs w:val="24"/>
                <w:lang w:val="es-ES"/>
              </w:rPr>
              <w:t>72</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2EDFF5D4" w14:textId="0E4E1DF5" w:rsidR="007A6564" w:rsidRPr="00F048A9" w:rsidRDefault="007A6564" w:rsidP="00946EBD">
            <w:pPr>
              <w:spacing w:after="60"/>
              <w:jc w:val="right"/>
              <w:rPr>
                <w:sz w:val="20"/>
                <w:szCs w:val="24"/>
                <w:lang w:val="es-ES"/>
              </w:rPr>
            </w:pPr>
            <w:r w:rsidRPr="00F048A9">
              <w:rPr>
                <w:sz w:val="20"/>
                <w:szCs w:val="24"/>
                <w:lang w:val="es-ES"/>
              </w:rPr>
              <w:t>0</w:t>
            </w:r>
            <w:r w:rsidR="00946EBD" w:rsidRPr="00F048A9">
              <w:rPr>
                <w:sz w:val="20"/>
                <w:szCs w:val="24"/>
                <w:lang w:val="es-ES"/>
              </w:rPr>
              <w:t>,</w:t>
            </w:r>
            <w:r w:rsidRPr="00F048A9">
              <w:rPr>
                <w:sz w:val="20"/>
                <w:szCs w:val="24"/>
                <w:lang w:val="es-ES"/>
              </w:rPr>
              <w:t>72</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60E69AAF" w14:textId="201063B6" w:rsidR="007A6564" w:rsidRPr="00F048A9" w:rsidRDefault="007A6564" w:rsidP="00946EBD">
            <w:pPr>
              <w:spacing w:after="60"/>
              <w:jc w:val="right"/>
              <w:rPr>
                <w:sz w:val="20"/>
                <w:szCs w:val="24"/>
                <w:lang w:val="es-ES"/>
              </w:rPr>
            </w:pPr>
            <w:r w:rsidRPr="00F048A9">
              <w:rPr>
                <w:sz w:val="20"/>
                <w:szCs w:val="24"/>
                <w:lang w:val="es-ES"/>
              </w:rPr>
              <w:t>0</w:t>
            </w:r>
            <w:r w:rsidR="00946EBD" w:rsidRPr="00F048A9">
              <w:rPr>
                <w:sz w:val="20"/>
                <w:szCs w:val="24"/>
                <w:lang w:val="es-ES"/>
              </w:rPr>
              <w:t>,</w:t>
            </w:r>
            <w:r w:rsidRPr="00F048A9">
              <w:rPr>
                <w:sz w:val="20"/>
                <w:szCs w:val="24"/>
                <w:lang w:val="es-ES"/>
              </w:rPr>
              <w:t>72</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09C90F28" w14:textId="0A59029B" w:rsidR="007A6564" w:rsidRPr="00F048A9" w:rsidRDefault="007A6564" w:rsidP="00946EBD">
            <w:pPr>
              <w:spacing w:after="60"/>
              <w:jc w:val="right"/>
              <w:rPr>
                <w:sz w:val="20"/>
                <w:szCs w:val="24"/>
                <w:lang w:val="es-ES"/>
              </w:rPr>
            </w:pPr>
            <w:r w:rsidRPr="00F048A9">
              <w:rPr>
                <w:sz w:val="20"/>
                <w:szCs w:val="24"/>
                <w:lang w:val="es-ES"/>
              </w:rPr>
              <w:t>0</w:t>
            </w:r>
            <w:r w:rsidR="00946EBD" w:rsidRPr="00F048A9">
              <w:rPr>
                <w:sz w:val="20"/>
                <w:szCs w:val="24"/>
                <w:lang w:val="es-ES"/>
              </w:rPr>
              <w:t>,</w:t>
            </w:r>
            <w:r w:rsidRPr="00F048A9">
              <w:rPr>
                <w:sz w:val="20"/>
                <w:szCs w:val="24"/>
                <w:lang w:val="es-ES"/>
              </w:rPr>
              <w:t>52</w:t>
            </w:r>
          </w:p>
        </w:tc>
        <w:tc>
          <w:tcPr>
            <w:tcW w:w="722" w:type="dxa"/>
            <w:tcBorders>
              <w:top w:val="single" w:sz="4" w:space="0" w:color="666699"/>
              <w:left w:val="single" w:sz="4" w:space="0" w:color="666699"/>
              <w:bottom w:val="single" w:sz="4" w:space="0" w:color="666699"/>
              <w:right w:val="single" w:sz="4" w:space="0" w:color="666699"/>
            </w:tcBorders>
            <w:tcMar>
              <w:left w:w="0" w:type="dxa"/>
              <w:right w:w="29" w:type="dxa"/>
            </w:tcMar>
          </w:tcPr>
          <w:p w14:paraId="0157345F" w14:textId="77777777" w:rsidR="007A6564" w:rsidRPr="00F048A9" w:rsidRDefault="007A6564" w:rsidP="00E9738B">
            <w:pPr>
              <w:spacing w:after="60"/>
              <w:jc w:val="center"/>
              <w:rPr>
                <w:sz w:val="20"/>
                <w:szCs w:val="24"/>
                <w:lang w:val="es-ES"/>
              </w:rPr>
            </w:pPr>
            <w:r w:rsidRPr="00F048A9">
              <w:rPr>
                <w:sz w:val="20"/>
                <w:szCs w:val="24"/>
                <w:lang w:val="es-ES"/>
              </w:rPr>
              <w:t>n/a</w:t>
            </w:r>
          </w:p>
        </w:tc>
      </w:tr>
      <w:tr w:rsidR="007A6564" w:rsidRPr="00F048A9" w14:paraId="5EBEE345" w14:textId="77777777" w:rsidTr="00080ECC">
        <w:trPr>
          <w:jc w:val="center"/>
        </w:trPr>
        <w:tc>
          <w:tcPr>
            <w:tcW w:w="1288" w:type="dxa"/>
            <w:vMerge w:val="restart"/>
            <w:tcBorders>
              <w:top w:val="single" w:sz="4" w:space="0" w:color="666699"/>
              <w:left w:val="single" w:sz="4" w:space="0" w:color="666699"/>
              <w:bottom w:val="single" w:sz="4" w:space="0" w:color="666699"/>
              <w:right w:val="single" w:sz="4" w:space="0" w:color="666699"/>
            </w:tcBorders>
            <w:hideMark/>
          </w:tcPr>
          <w:p w14:paraId="2E73E108" w14:textId="26AA8E03" w:rsidR="007A6564" w:rsidRPr="00F048A9" w:rsidRDefault="000B6C5D" w:rsidP="000B6C5D">
            <w:pPr>
              <w:spacing w:after="60"/>
              <w:jc w:val="left"/>
              <w:rPr>
                <w:sz w:val="20"/>
                <w:szCs w:val="24"/>
                <w:lang w:val="es-ES"/>
              </w:rPr>
            </w:pPr>
            <w:r w:rsidRPr="00F048A9">
              <w:rPr>
                <w:sz w:val="20"/>
                <w:szCs w:val="24"/>
                <w:lang w:val="es-ES"/>
              </w:rPr>
              <w:t xml:space="preserve">Financiación acordada </w:t>
            </w:r>
            <w:r w:rsidRPr="00F048A9">
              <w:rPr>
                <w:sz w:val="20"/>
                <w:szCs w:val="24"/>
                <w:lang w:val="es-ES"/>
              </w:rPr>
              <w:br/>
            </w:r>
            <w:r w:rsidR="007A6564" w:rsidRPr="00F048A9">
              <w:rPr>
                <w:sz w:val="20"/>
                <w:szCs w:val="24"/>
                <w:lang w:val="es-ES"/>
              </w:rPr>
              <w:t>(</w:t>
            </w:r>
            <w:r w:rsidR="008C669C" w:rsidRPr="00F048A9">
              <w:rPr>
                <w:sz w:val="20"/>
                <w:szCs w:val="24"/>
                <w:lang w:val="es-ES"/>
              </w:rPr>
              <w:t>$ EUA</w:t>
            </w:r>
            <w:r w:rsidR="007A6564" w:rsidRPr="00F048A9">
              <w:rPr>
                <w:sz w:val="20"/>
                <w:szCs w:val="24"/>
                <w:lang w:val="es-ES"/>
              </w:rPr>
              <w:t>)</w:t>
            </w:r>
          </w:p>
        </w:tc>
        <w:tc>
          <w:tcPr>
            <w:tcW w:w="846" w:type="dxa"/>
            <w:vMerge w:val="restart"/>
            <w:tcBorders>
              <w:top w:val="single" w:sz="4" w:space="0" w:color="666699"/>
              <w:left w:val="single" w:sz="4" w:space="0" w:color="666699"/>
              <w:bottom w:val="single" w:sz="4" w:space="0" w:color="666699"/>
              <w:right w:val="single" w:sz="4" w:space="0" w:color="666699"/>
            </w:tcBorders>
            <w:hideMark/>
          </w:tcPr>
          <w:p w14:paraId="2E8CC9B6" w14:textId="3FB6C34A" w:rsidR="007A6564" w:rsidRPr="00F048A9" w:rsidRDefault="0088461E" w:rsidP="00E9738B">
            <w:pPr>
              <w:spacing w:after="60"/>
              <w:jc w:val="center"/>
              <w:rPr>
                <w:sz w:val="20"/>
                <w:szCs w:val="24"/>
                <w:lang w:val="es-ES"/>
              </w:rPr>
            </w:pPr>
            <w:r w:rsidRPr="00F048A9">
              <w:rPr>
                <w:sz w:val="20"/>
                <w:szCs w:val="24"/>
                <w:lang w:val="es-ES"/>
              </w:rPr>
              <w:t>ONUDI</w:t>
            </w:r>
          </w:p>
        </w:tc>
        <w:tc>
          <w:tcPr>
            <w:tcW w:w="1648" w:type="dxa"/>
            <w:tcBorders>
              <w:top w:val="single" w:sz="4" w:space="0" w:color="666699"/>
              <w:left w:val="single" w:sz="4" w:space="0" w:color="666699"/>
              <w:bottom w:val="single" w:sz="4" w:space="0" w:color="666699"/>
              <w:right w:val="single" w:sz="4" w:space="0" w:color="666699"/>
            </w:tcBorders>
            <w:hideMark/>
          </w:tcPr>
          <w:p w14:paraId="6A23061F" w14:textId="1E3E3156" w:rsidR="007A6564" w:rsidRPr="00F048A9" w:rsidRDefault="008C669C" w:rsidP="00E9738B">
            <w:pPr>
              <w:spacing w:after="60"/>
              <w:jc w:val="left"/>
              <w:rPr>
                <w:sz w:val="20"/>
                <w:szCs w:val="24"/>
                <w:lang w:val="es-ES"/>
              </w:rPr>
            </w:pPr>
            <w:r w:rsidRPr="00F048A9">
              <w:rPr>
                <w:sz w:val="20"/>
                <w:szCs w:val="24"/>
                <w:lang w:val="es-ES"/>
              </w:rPr>
              <w:t>Costo del proyecto</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5CAEC1E4" w14:textId="1B18D6BB" w:rsidR="007A6564" w:rsidRPr="00F048A9" w:rsidRDefault="007A6564" w:rsidP="00946EBD">
            <w:pPr>
              <w:spacing w:after="60"/>
              <w:jc w:val="right"/>
              <w:rPr>
                <w:sz w:val="20"/>
                <w:szCs w:val="24"/>
                <w:lang w:val="es-ES"/>
              </w:rPr>
            </w:pPr>
            <w:r w:rsidRPr="00F048A9">
              <w:rPr>
                <w:sz w:val="20"/>
                <w:szCs w:val="24"/>
                <w:lang w:val="es-ES"/>
              </w:rPr>
              <w:t>155</w:t>
            </w:r>
            <w:r w:rsidR="00946EBD" w:rsidRPr="00F048A9">
              <w:rPr>
                <w:sz w:val="20"/>
                <w:szCs w:val="24"/>
                <w:lang w:val="es-ES"/>
              </w:rPr>
              <w:t>.</w:t>
            </w:r>
            <w:r w:rsidRPr="00F048A9">
              <w:rPr>
                <w:sz w:val="20"/>
                <w:szCs w:val="24"/>
                <w:lang w:val="es-ES"/>
              </w:rPr>
              <w:t>000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37513C44" w14:textId="5FFA5968" w:rsidR="007A6564" w:rsidRPr="00F048A9" w:rsidRDefault="007A6564" w:rsidP="00946EBD">
            <w:pPr>
              <w:spacing w:after="60"/>
              <w:jc w:val="right"/>
              <w:rPr>
                <w:sz w:val="20"/>
                <w:szCs w:val="24"/>
                <w:lang w:val="es-ES"/>
              </w:rPr>
            </w:pPr>
            <w:r w:rsidRPr="00F048A9">
              <w:rPr>
                <w:sz w:val="20"/>
                <w:szCs w:val="24"/>
                <w:lang w:val="es-ES"/>
              </w:rPr>
              <w:t>100</w:t>
            </w:r>
            <w:r w:rsidR="00946EBD" w:rsidRPr="00F048A9">
              <w:rPr>
                <w:sz w:val="20"/>
                <w:szCs w:val="24"/>
                <w:lang w:val="es-ES"/>
              </w:rPr>
              <w:t>.</w:t>
            </w:r>
            <w:r w:rsidRPr="00F048A9">
              <w:rPr>
                <w:sz w:val="20"/>
                <w:szCs w:val="24"/>
                <w:lang w:val="es-ES"/>
              </w:rPr>
              <w:t>000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4281E0E2" w14:textId="76126E7D" w:rsidR="007A6564" w:rsidRPr="00F048A9" w:rsidRDefault="007A6564" w:rsidP="00946EBD">
            <w:pPr>
              <w:spacing w:after="60"/>
              <w:jc w:val="right"/>
              <w:rPr>
                <w:sz w:val="20"/>
                <w:szCs w:val="24"/>
                <w:lang w:val="es-ES"/>
              </w:rPr>
            </w:pPr>
            <w:r w:rsidRPr="00F048A9">
              <w:rPr>
                <w:sz w:val="20"/>
                <w:szCs w:val="24"/>
                <w:lang w:val="es-ES"/>
              </w:rPr>
              <w:t>98</w:t>
            </w:r>
            <w:r w:rsidR="00946EBD" w:rsidRPr="00F048A9">
              <w:rPr>
                <w:sz w:val="20"/>
                <w:szCs w:val="24"/>
                <w:lang w:val="es-ES"/>
              </w:rPr>
              <w:t>.</w:t>
            </w:r>
            <w:r w:rsidRPr="00F048A9">
              <w:rPr>
                <w:sz w:val="20"/>
                <w:szCs w:val="24"/>
                <w:lang w:val="es-ES"/>
              </w:rPr>
              <w:t>500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tcPr>
          <w:p w14:paraId="0B9D1253" w14:textId="77777777" w:rsidR="007A6564" w:rsidRPr="00F048A9" w:rsidRDefault="007A6564" w:rsidP="00E9738B">
            <w:pPr>
              <w:spacing w:after="60"/>
              <w:jc w:val="right"/>
              <w:rPr>
                <w:sz w:val="20"/>
                <w:szCs w:val="24"/>
                <w:lang w:val="es-ES"/>
              </w:rPr>
            </w:pPr>
            <w:r w:rsidRPr="00F048A9">
              <w:rPr>
                <w:sz w:val="20"/>
                <w:szCs w:val="24"/>
                <w:lang w:val="es-ES"/>
              </w:rPr>
              <w:t>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tcPr>
          <w:p w14:paraId="23D4B3ED" w14:textId="77777777" w:rsidR="007A6564" w:rsidRPr="00F048A9" w:rsidRDefault="007A6564" w:rsidP="00E9738B">
            <w:pPr>
              <w:spacing w:after="60"/>
              <w:jc w:val="right"/>
              <w:rPr>
                <w:sz w:val="20"/>
                <w:szCs w:val="24"/>
                <w:lang w:val="es-ES"/>
              </w:rPr>
            </w:pPr>
            <w:r w:rsidRPr="00F048A9">
              <w:rPr>
                <w:sz w:val="20"/>
                <w:szCs w:val="24"/>
                <w:lang w:val="es-ES"/>
              </w:rPr>
              <w:t>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tcPr>
          <w:p w14:paraId="3207404C" w14:textId="77777777" w:rsidR="007A6564" w:rsidRPr="00F048A9" w:rsidRDefault="007A6564" w:rsidP="00E9738B">
            <w:pPr>
              <w:spacing w:after="60"/>
              <w:jc w:val="right"/>
              <w:rPr>
                <w:sz w:val="20"/>
                <w:szCs w:val="24"/>
                <w:lang w:val="es-ES"/>
              </w:rPr>
            </w:pPr>
            <w:r w:rsidRPr="00F048A9">
              <w:rPr>
                <w:sz w:val="20"/>
                <w:szCs w:val="24"/>
                <w:lang w:val="es-ES"/>
              </w:rPr>
              <w:t>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5B3A7C19" w14:textId="4FE43C7C" w:rsidR="007A6564" w:rsidRPr="00F048A9" w:rsidRDefault="007A6564" w:rsidP="00E9738B">
            <w:pPr>
              <w:spacing w:after="60"/>
              <w:jc w:val="right"/>
              <w:rPr>
                <w:sz w:val="20"/>
                <w:szCs w:val="24"/>
                <w:lang w:val="es-ES"/>
              </w:rPr>
            </w:pPr>
            <w:r w:rsidRPr="00F048A9">
              <w:rPr>
                <w:sz w:val="20"/>
                <w:szCs w:val="24"/>
                <w:lang w:val="es-ES"/>
              </w:rPr>
              <w:t>30,000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6DB7B8C6" w14:textId="15874271" w:rsidR="007A6564" w:rsidRPr="00F048A9" w:rsidRDefault="007A6564" w:rsidP="00946EBD">
            <w:pPr>
              <w:spacing w:after="60"/>
              <w:jc w:val="right"/>
              <w:rPr>
                <w:sz w:val="20"/>
                <w:szCs w:val="24"/>
                <w:lang w:val="es-ES"/>
              </w:rPr>
            </w:pPr>
            <w:r w:rsidRPr="00F048A9">
              <w:rPr>
                <w:sz w:val="20"/>
                <w:szCs w:val="24"/>
                <w:lang w:val="es-ES"/>
              </w:rPr>
              <w:t>21</w:t>
            </w:r>
            <w:r w:rsidR="00946EBD" w:rsidRPr="00F048A9">
              <w:rPr>
                <w:sz w:val="20"/>
                <w:szCs w:val="24"/>
                <w:lang w:val="es-ES"/>
              </w:rPr>
              <w:t>.</w:t>
            </w:r>
            <w:r w:rsidRPr="00F048A9">
              <w:rPr>
                <w:sz w:val="20"/>
                <w:szCs w:val="24"/>
                <w:lang w:val="es-ES"/>
              </w:rPr>
              <w:t>000</w:t>
            </w:r>
          </w:p>
        </w:tc>
        <w:tc>
          <w:tcPr>
            <w:tcW w:w="722"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3C388123" w14:textId="123E4707" w:rsidR="007A6564" w:rsidRPr="00F048A9" w:rsidRDefault="007A6564" w:rsidP="00946EBD">
            <w:pPr>
              <w:spacing w:after="60"/>
              <w:jc w:val="right"/>
              <w:rPr>
                <w:sz w:val="20"/>
                <w:szCs w:val="24"/>
                <w:lang w:val="es-ES"/>
              </w:rPr>
            </w:pPr>
            <w:r w:rsidRPr="00F048A9">
              <w:rPr>
                <w:sz w:val="20"/>
                <w:szCs w:val="24"/>
                <w:lang w:val="es-ES"/>
              </w:rPr>
              <w:t>404</w:t>
            </w:r>
            <w:r w:rsidR="00946EBD" w:rsidRPr="00F048A9">
              <w:rPr>
                <w:sz w:val="20"/>
                <w:szCs w:val="24"/>
                <w:lang w:val="es-ES"/>
              </w:rPr>
              <w:t>.</w:t>
            </w:r>
            <w:r w:rsidRPr="00F048A9">
              <w:rPr>
                <w:sz w:val="20"/>
                <w:szCs w:val="24"/>
                <w:lang w:val="es-ES"/>
              </w:rPr>
              <w:t>500</w:t>
            </w:r>
          </w:p>
        </w:tc>
      </w:tr>
      <w:tr w:rsidR="007A6564" w:rsidRPr="00F048A9" w14:paraId="45A449C4" w14:textId="77777777" w:rsidTr="00080ECC">
        <w:trPr>
          <w:jc w:val="center"/>
        </w:trPr>
        <w:tc>
          <w:tcPr>
            <w:tcW w:w="1288" w:type="dxa"/>
            <w:vMerge/>
            <w:tcBorders>
              <w:top w:val="single" w:sz="4" w:space="0" w:color="666699"/>
              <w:left w:val="single" w:sz="4" w:space="0" w:color="666699"/>
              <w:bottom w:val="single" w:sz="4" w:space="0" w:color="666699"/>
              <w:right w:val="single" w:sz="4" w:space="0" w:color="666699"/>
            </w:tcBorders>
            <w:vAlign w:val="center"/>
            <w:hideMark/>
          </w:tcPr>
          <w:p w14:paraId="5C21B9D0" w14:textId="77777777" w:rsidR="007A6564" w:rsidRPr="00F048A9" w:rsidRDefault="007A6564" w:rsidP="00E9738B">
            <w:pPr>
              <w:jc w:val="left"/>
              <w:rPr>
                <w:sz w:val="20"/>
                <w:szCs w:val="24"/>
                <w:lang w:val="es-ES"/>
              </w:rPr>
            </w:pPr>
          </w:p>
        </w:tc>
        <w:tc>
          <w:tcPr>
            <w:tcW w:w="846" w:type="dxa"/>
            <w:vMerge/>
            <w:tcBorders>
              <w:top w:val="single" w:sz="4" w:space="0" w:color="666699"/>
              <w:left w:val="single" w:sz="4" w:space="0" w:color="666699"/>
              <w:bottom w:val="single" w:sz="4" w:space="0" w:color="666699"/>
              <w:right w:val="single" w:sz="4" w:space="0" w:color="666699"/>
            </w:tcBorders>
            <w:vAlign w:val="center"/>
            <w:hideMark/>
          </w:tcPr>
          <w:p w14:paraId="14E2420C" w14:textId="77777777" w:rsidR="007A6564" w:rsidRPr="00F048A9" w:rsidRDefault="007A6564" w:rsidP="00E9738B">
            <w:pPr>
              <w:jc w:val="left"/>
              <w:rPr>
                <w:sz w:val="20"/>
                <w:szCs w:val="24"/>
                <w:lang w:val="es-ES"/>
              </w:rPr>
            </w:pPr>
          </w:p>
        </w:tc>
        <w:tc>
          <w:tcPr>
            <w:tcW w:w="1648" w:type="dxa"/>
            <w:tcBorders>
              <w:top w:val="single" w:sz="4" w:space="0" w:color="666699"/>
              <w:left w:val="single" w:sz="4" w:space="0" w:color="666699"/>
              <w:bottom w:val="single" w:sz="4" w:space="0" w:color="666699"/>
              <w:right w:val="single" w:sz="4" w:space="0" w:color="666699"/>
            </w:tcBorders>
            <w:hideMark/>
          </w:tcPr>
          <w:p w14:paraId="470C85E6" w14:textId="77B95B83" w:rsidR="007A6564" w:rsidRPr="00F048A9" w:rsidRDefault="008C669C" w:rsidP="00E9738B">
            <w:pPr>
              <w:spacing w:after="60"/>
              <w:jc w:val="left"/>
              <w:rPr>
                <w:sz w:val="20"/>
                <w:szCs w:val="24"/>
                <w:lang w:val="es-ES"/>
              </w:rPr>
            </w:pPr>
            <w:r w:rsidRPr="00F048A9">
              <w:rPr>
                <w:sz w:val="20"/>
                <w:szCs w:val="24"/>
                <w:lang w:val="es-ES"/>
              </w:rPr>
              <w:t>Gastos de apoyo</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4679A398" w14:textId="4B9F4060" w:rsidR="007A6564" w:rsidRPr="00F048A9" w:rsidRDefault="007A6564" w:rsidP="00946EBD">
            <w:pPr>
              <w:spacing w:after="60"/>
              <w:jc w:val="right"/>
              <w:rPr>
                <w:sz w:val="20"/>
                <w:szCs w:val="24"/>
                <w:lang w:val="es-ES"/>
              </w:rPr>
            </w:pPr>
            <w:r w:rsidRPr="00F048A9">
              <w:rPr>
                <w:sz w:val="20"/>
                <w:szCs w:val="24"/>
                <w:lang w:val="es-ES"/>
              </w:rPr>
              <w:t>11</w:t>
            </w:r>
            <w:r w:rsidR="00946EBD" w:rsidRPr="00F048A9">
              <w:rPr>
                <w:sz w:val="20"/>
                <w:szCs w:val="24"/>
                <w:lang w:val="es-ES"/>
              </w:rPr>
              <w:t>.</w:t>
            </w:r>
            <w:r w:rsidRPr="00F048A9">
              <w:rPr>
                <w:sz w:val="20"/>
                <w:szCs w:val="24"/>
                <w:lang w:val="es-ES"/>
              </w:rPr>
              <w:t>625</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4385CC4B" w14:textId="118FC681" w:rsidR="007A6564" w:rsidRPr="00F048A9" w:rsidRDefault="007A6564" w:rsidP="00946EBD">
            <w:pPr>
              <w:spacing w:after="60"/>
              <w:jc w:val="right"/>
              <w:rPr>
                <w:sz w:val="20"/>
                <w:szCs w:val="24"/>
                <w:lang w:val="es-ES"/>
              </w:rPr>
            </w:pPr>
            <w:r w:rsidRPr="00F048A9">
              <w:rPr>
                <w:sz w:val="20"/>
                <w:szCs w:val="24"/>
                <w:lang w:val="es-ES"/>
              </w:rPr>
              <w:t>7</w:t>
            </w:r>
            <w:r w:rsidR="00946EBD" w:rsidRPr="00F048A9">
              <w:rPr>
                <w:sz w:val="20"/>
                <w:szCs w:val="24"/>
                <w:lang w:val="es-ES"/>
              </w:rPr>
              <w:t>.</w:t>
            </w:r>
            <w:r w:rsidRPr="00F048A9">
              <w:rPr>
                <w:sz w:val="20"/>
                <w:szCs w:val="24"/>
                <w:lang w:val="es-ES"/>
              </w:rPr>
              <w:t>500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7EFB3D6C" w14:textId="23448E68" w:rsidR="007A6564" w:rsidRPr="00F048A9" w:rsidRDefault="007A6564" w:rsidP="00946EBD">
            <w:pPr>
              <w:spacing w:after="60"/>
              <w:jc w:val="right"/>
              <w:rPr>
                <w:sz w:val="20"/>
                <w:szCs w:val="24"/>
                <w:lang w:val="es-ES"/>
              </w:rPr>
            </w:pPr>
            <w:r w:rsidRPr="00F048A9">
              <w:rPr>
                <w:sz w:val="20"/>
                <w:szCs w:val="24"/>
                <w:lang w:val="es-ES"/>
              </w:rPr>
              <w:t>7</w:t>
            </w:r>
            <w:r w:rsidR="00946EBD" w:rsidRPr="00F048A9">
              <w:rPr>
                <w:sz w:val="20"/>
                <w:szCs w:val="24"/>
                <w:lang w:val="es-ES"/>
              </w:rPr>
              <w:t>.</w:t>
            </w:r>
            <w:r w:rsidRPr="00F048A9">
              <w:rPr>
                <w:sz w:val="20"/>
                <w:szCs w:val="24"/>
                <w:lang w:val="es-ES"/>
              </w:rPr>
              <w:t>388</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tcPr>
          <w:p w14:paraId="077052D2" w14:textId="77777777" w:rsidR="007A6564" w:rsidRPr="00F048A9" w:rsidRDefault="007A6564" w:rsidP="00E9738B">
            <w:pPr>
              <w:spacing w:after="60"/>
              <w:jc w:val="right"/>
              <w:rPr>
                <w:sz w:val="20"/>
                <w:szCs w:val="24"/>
                <w:lang w:val="es-ES"/>
              </w:rPr>
            </w:pPr>
            <w:r w:rsidRPr="00F048A9">
              <w:rPr>
                <w:sz w:val="20"/>
                <w:szCs w:val="24"/>
                <w:lang w:val="es-ES"/>
              </w:rPr>
              <w:t>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tcPr>
          <w:p w14:paraId="7B25FC0E" w14:textId="77777777" w:rsidR="007A6564" w:rsidRPr="00F048A9" w:rsidRDefault="007A6564" w:rsidP="00E9738B">
            <w:pPr>
              <w:spacing w:after="60"/>
              <w:jc w:val="right"/>
              <w:rPr>
                <w:sz w:val="20"/>
                <w:szCs w:val="24"/>
                <w:lang w:val="es-ES"/>
              </w:rPr>
            </w:pPr>
            <w:r w:rsidRPr="00F048A9">
              <w:rPr>
                <w:sz w:val="20"/>
                <w:szCs w:val="24"/>
                <w:lang w:val="es-ES"/>
              </w:rPr>
              <w:t>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tcPr>
          <w:p w14:paraId="7B43A702" w14:textId="77777777" w:rsidR="007A6564" w:rsidRPr="00F048A9" w:rsidRDefault="007A6564" w:rsidP="00E9738B">
            <w:pPr>
              <w:spacing w:after="60"/>
              <w:jc w:val="right"/>
              <w:rPr>
                <w:sz w:val="20"/>
                <w:szCs w:val="24"/>
                <w:lang w:val="es-ES"/>
              </w:rPr>
            </w:pPr>
            <w:r w:rsidRPr="00F048A9">
              <w:rPr>
                <w:sz w:val="20"/>
                <w:szCs w:val="24"/>
                <w:lang w:val="es-ES"/>
              </w:rPr>
              <w:t>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6D6AF6BA" w14:textId="296CAE12" w:rsidR="007A6564" w:rsidRPr="00F048A9" w:rsidRDefault="007A6564" w:rsidP="00946EBD">
            <w:pPr>
              <w:spacing w:after="60"/>
              <w:jc w:val="right"/>
              <w:rPr>
                <w:sz w:val="20"/>
                <w:szCs w:val="24"/>
                <w:lang w:val="es-ES"/>
              </w:rPr>
            </w:pPr>
            <w:r w:rsidRPr="00F048A9">
              <w:rPr>
                <w:sz w:val="20"/>
                <w:szCs w:val="24"/>
                <w:lang w:val="es-ES"/>
              </w:rPr>
              <w:t>2</w:t>
            </w:r>
            <w:r w:rsidR="00946EBD" w:rsidRPr="00F048A9">
              <w:rPr>
                <w:sz w:val="20"/>
                <w:szCs w:val="24"/>
                <w:lang w:val="es-ES"/>
              </w:rPr>
              <w:t>.</w:t>
            </w:r>
            <w:r w:rsidRPr="00F048A9">
              <w:rPr>
                <w:sz w:val="20"/>
                <w:szCs w:val="24"/>
                <w:lang w:val="es-ES"/>
              </w:rPr>
              <w:t>250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3B883947" w14:textId="5BE65853" w:rsidR="007A6564" w:rsidRPr="00F048A9" w:rsidRDefault="007A6564" w:rsidP="00946EBD">
            <w:pPr>
              <w:spacing w:after="60"/>
              <w:jc w:val="right"/>
              <w:rPr>
                <w:sz w:val="20"/>
                <w:szCs w:val="24"/>
                <w:lang w:val="es-ES"/>
              </w:rPr>
            </w:pPr>
            <w:r w:rsidRPr="00F048A9">
              <w:rPr>
                <w:sz w:val="20"/>
                <w:szCs w:val="24"/>
                <w:lang w:val="es-ES"/>
              </w:rPr>
              <w:t>1</w:t>
            </w:r>
            <w:r w:rsidR="00946EBD" w:rsidRPr="00F048A9">
              <w:rPr>
                <w:sz w:val="20"/>
                <w:szCs w:val="24"/>
                <w:lang w:val="es-ES"/>
              </w:rPr>
              <w:t>.</w:t>
            </w:r>
            <w:r w:rsidRPr="00F048A9">
              <w:rPr>
                <w:sz w:val="20"/>
                <w:szCs w:val="24"/>
                <w:lang w:val="es-ES"/>
              </w:rPr>
              <w:t>575</w:t>
            </w:r>
          </w:p>
        </w:tc>
        <w:tc>
          <w:tcPr>
            <w:tcW w:w="722"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740A2E6F" w14:textId="16370384" w:rsidR="007A6564" w:rsidRPr="00F048A9" w:rsidRDefault="007A6564" w:rsidP="00946EBD">
            <w:pPr>
              <w:spacing w:after="60"/>
              <w:jc w:val="right"/>
              <w:rPr>
                <w:sz w:val="20"/>
                <w:szCs w:val="24"/>
                <w:lang w:val="es-ES"/>
              </w:rPr>
            </w:pPr>
            <w:r w:rsidRPr="00F048A9">
              <w:rPr>
                <w:sz w:val="20"/>
                <w:szCs w:val="24"/>
                <w:lang w:val="es-ES"/>
              </w:rPr>
              <w:t>30</w:t>
            </w:r>
            <w:r w:rsidR="00946EBD" w:rsidRPr="00F048A9">
              <w:rPr>
                <w:sz w:val="20"/>
                <w:szCs w:val="24"/>
                <w:lang w:val="es-ES"/>
              </w:rPr>
              <w:t>.</w:t>
            </w:r>
            <w:r w:rsidRPr="00F048A9">
              <w:rPr>
                <w:sz w:val="20"/>
                <w:szCs w:val="24"/>
                <w:lang w:val="es-ES"/>
              </w:rPr>
              <w:t>338</w:t>
            </w:r>
          </w:p>
        </w:tc>
      </w:tr>
      <w:tr w:rsidR="007A6564" w:rsidRPr="00F048A9" w14:paraId="56B38894" w14:textId="77777777" w:rsidTr="00080ECC">
        <w:trPr>
          <w:jc w:val="center"/>
        </w:trPr>
        <w:tc>
          <w:tcPr>
            <w:tcW w:w="2134" w:type="dxa"/>
            <w:gridSpan w:val="2"/>
            <w:vMerge w:val="restart"/>
            <w:tcBorders>
              <w:top w:val="single" w:sz="4" w:space="0" w:color="666699"/>
              <w:left w:val="single" w:sz="4" w:space="0" w:color="666699"/>
              <w:bottom w:val="single" w:sz="4" w:space="0" w:color="666699"/>
              <w:right w:val="single" w:sz="4" w:space="0" w:color="666699"/>
            </w:tcBorders>
            <w:hideMark/>
          </w:tcPr>
          <w:p w14:paraId="4AAEBE57" w14:textId="16753A1C" w:rsidR="007A6564" w:rsidRPr="00F048A9" w:rsidRDefault="007A6564" w:rsidP="000B6C5D">
            <w:pPr>
              <w:spacing w:after="60"/>
              <w:jc w:val="left"/>
              <w:rPr>
                <w:sz w:val="20"/>
                <w:szCs w:val="24"/>
                <w:lang w:val="es-ES"/>
              </w:rPr>
            </w:pPr>
            <w:r w:rsidRPr="00F048A9">
              <w:rPr>
                <w:sz w:val="20"/>
                <w:szCs w:val="24"/>
                <w:lang w:val="es-ES"/>
              </w:rPr>
              <w:t>F</w:t>
            </w:r>
            <w:r w:rsidR="000B6C5D" w:rsidRPr="00F048A9">
              <w:rPr>
                <w:sz w:val="20"/>
                <w:szCs w:val="24"/>
                <w:lang w:val="es-ES"/>
              </w:rPr>
              <w:t xml:space="preserve">ondos aprobados por el Comité Ejecutivo </w:t>
            </w:r>
            <w:r w:rsidR="000B6C5D" w:rsidRPr="00F048A9">
              <w:rPr>
                <w:sz w:val="20"/>
                <w:szCs w:val="24"/>
                <w:lang w:val="es-ES"/>
              </w:rPr>
              <w:br/>
            </w:r>
            <w:r w:rsidRPr="00F048A9">
              <w:rPr>
                <w:sz w:val="20"/>
                <w:szCs w:val="24"/>
                <w:lang w:val="es-ES"/>
              </w:rPr>
              <w:t>(</w:t>
            </w:r>
            <w:r w:rsidR="008C669C" w:rsidRPr="00F048A9">
              <w:rPr>
                <w:sz w:val="20"/>
                <w:szCs w:val="24"/>
                <w:lang w:val="es-ES"/>
              </w:rPr>
              <w:t>$ EUA</w:t>
            </w:r>
            <w:r w:rsidRPr="00F048A9">
              <w:rPr>
                <w:sz w:val="20"/>
                <w:szCs w:val="24"/>
                <w:lang w:val="es-ES"/>
              </w:rPr>
              <w:t>)</w:t>
            </w:r>
          </w:p>
        </w:tc>
        <w:tc>
          <w:tcPr>
            <w:tcW w:w="1648" w:type="dxa"/>
            <w:tcBorders>
              <w:top w:val="single" w:sz="4" w:space="0" w:color="666699"/>
              <w:left w:val="single" w:sz="4" w:space="0" w:color="666699"/>
              <w:bottom w:val="single" w:sz="4" w:space="0" w:color="666699"/>
              <w:right w:val="single" w:sz="4" w:space="0" w:color="666699"/>
            </w:tcBorders>
            <w:hideMark/>
          </w:tcPr>
          <w:p w14:paraId="2CC8FD27" w14:textId="58A73DA0" w:rsidR="007A6564" w:rsidRPr="00F048A9" w:rsidRDefault="008C669C" w:rsidP="00E9738B">
            <w:pPr>
              <w:spacing w:after="60"/>
              <w:jc w:val="left"/>
              <w:rPr>
                <w:sz w:val="20"/>
                <w:szCs w:val="24"/>
                <w:lang w:val="es-ES"/>
              </w:rPr>
            </w:pPr>
            <w:r w:rsidRPr="00F048A9">
              <w:rPr>
                <w:sz w:val="20"/>
                <w:szCs w:val="24"/>
                <w:lang w:val="es-ES"/>
              </w:rPr>
              <w:t>Costo del proyecto</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35A48A13" w14:textId="30A03144" w:rsidR="007A6564" w:rsidRPr="00F048A9" w:rsidRDefault="007A6564" w:rsidP="00946EBD">
            <w:pPr>
              <w:spacing w:after="60"/>
              <w:jc w:val="right"/>
              <w:rPr>
                <w:sz w:val="20"/>
                <w:szCs w:val="24"/>
                <w:lang w:val="es-ES"/>
              </w:rPr>
            </w:pPr>
            <w:r w:rsidRPr="00F048A9">
              <w:rPr>
                <w:sz w:val="20"/>
                <w:szCs w:val="24"/>
                <w:lang w:val="es-ES"/>
              </w:rPr>
              <w:t>155</w:t>
            </w:r>
            <w:r w:rsidR="00946EBD" w:rsidRPr="00F048A9">
              <w:rPr>
                <w:sz w:val="20"/>
                <w:szCs w:val="24"/>
                <w:lang w:val="es-ES"/>
              </w:rPr>
              <w:t>.</w:t>
            </w:r>
            <w:r w:rsidRPr="00F048A9">
              <w:rPr>
                <w:sz w:val="20"/>
                <w:szCs w:val="24"/>
                <w:lang w:val="es-ES"/>
              </w:rPr>
              <w:t>000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0451CAA1" w14:textId="746CF3E1" w:rsidR="007A6564" w:rsidRPr="00F048A9" w:rsidRDefault="007A6564" w:rsidP="00946EBD">
            <w:pPr>
              <w:spacing w:after="60"/>
              <w:jc w:val="right"/>
              <w:rPr>
                <w:sz w:val="20"/>
                <w:szCs w:val="24"/>
                <w:lang w:val="es-ES"/>
              </w:rPr>
            </w:pPr>
            <w:r w:rsidRPr="00F048A9">
              <w:rPr>
                <w:sz w:val="20"/>
                <w:szCs w:val="24"/>
                <w:lang w:val="es-ES"/>
              </w:rPr>
              <w:t>100</w:t>
            </w:r>
            <w:r w:rsidR="00946EBD" w:rsidRPr="00F048A9">
              <w:rPr>
                <w:sz w:val="20"/>
                <w:szCs w:val="24"/>
                <w:lang w:val="es-ES"/>
              </w:rPr>
              <w:t>.</w:t>
            </w:r>
            <w:r w:rsidRPr="00F048A9">
              <w:rPr>
                <w:sz w:val="20"/>
                <w:szCs w:val="24"/>
                <w:lang w:val="es-ES"/>
              </w:rPr>
              <w:t>000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50D74027" w14:textId="10BC097A" w:rsidR="007A6564" w:rsidRPr="00F048A9" w:rsidRDefault="007A6564" w:rsidP="00946EBD">
            <w:pPr>
              <w:spacing w:after="60"/>
              <w:jc w:val="right"/>
              <w:rPr>
                <w:sz w:val="20"/>
                <w:szCs w:val="24"/>
                <w:lang w:val="es-ES"/>
              </w:rPr>
            </w:pPr>
            <w:r w:rsidRPr="00F048A9">
              <w:rPr>
                <w:sz w:val="20"/>
                <w:szCs w:val="24"/>
                <w:lang w:val="es-ES"/>
              </w:rPr>
              <w:t>98</w:t>
            </w:r>
            <w:r w:rsidR="00946EBD" w:rsidRPr="00F048A9">
              <w:rPr>
                <w:sz w:val="20"/>
                <w:szCs w:val="24"/>
                <w:lang w:val="es-ES"/>
              </w:rPr>
              <w:t>.</w:t>
            </w:r>
            <w:r w:rsidRPr="00F048A9">
              <w:rPr>
                <w:sz w:val="20"/>
                <w:szCs w:val="24"/>
                <w:lang w:val="es-ES"/>
              </w:rPr>
              <w:t>500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6CC504D0" w14:textId="77777777" w:rsidR="007A6564" w:rsidRPr="00F048A9" w:rsidRDefault="007A6564" w:rsidP="00E9738B">
            <w:pPr>
              <w:spacing w:after="60"/>
              <w:jc w:val="right"/>
              <w:rPr>
                <w:sz w:val="20"/>
                <w:szCs w:val="24"/>
                <w:lang w:val="es-ES"/>
              </w:rPr>
            </w:pPr>
            <w:r w:rsidRPr="00F048A9">
              <w:rPr>
                <w:sz w:val="20"/>
                <w:szCs w:val="24"/>
                <w:lang w:val="es-ES"/>
              </w:rPr>
              <w:t>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5D5687F0" w14:textId="77777777" w:rsidR="007A6564" w:rsidRPr="00F048A9" w:rsidRDefault="007A6564" w:rsidP="00E9738B">
            <w:pPr>
              <w:spacing w:after="60"/>
              <w:jc w:val="right"/>
              <w:rPr>
                <w:sz w:val="20"/>
                <w:szCs w:val="24"/>
                <w:lang w:val="es-ES"/>
              </w:rPr>
            </w:pPr>
            <w:r w:rsidRPr="00F048A9">
              <w:rPr>
                <w:sz w:val="20"/>
                <w:szCs w:val="24"/>
                <w:lang w:val="es-ES"/>
              </w:rPr>
              <w:t>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5BA9DD13" w14:textId="77777777" w:rsidR="007A6564" w:rsidRPr="00F048A9" w:rsidRDefault="007A6564" w:rsidP="00E9738B">
            <w:pPr>
              <w:spacing w:after="60"/>
              <w:jc w:val="right"/>
              <w:rPr>
                <w:sz w:val="20"/>
                <w:szCs w:val="24"/>
                <w:lang w:val="es-ES"/>
              </w:rPr>
            </w:pPr>
            <w:r w:rsidRPr="00F048A9">
              <w:rPr>
                <w:sz w:val="20"/>
                <w:szCs w:val="24"/>
                <w:lang w:val="es-ES"/>
              </w:rPr>
              <w:t>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1E930868" w14:textId="6C8E768D" w:rsidR="007A6564" w:rsidRPr="00F048A9" w:rsidRDefault="007A6564" w:rsidP="00946EBD">
            <w:pPr>
              <w:spacing w:after="60"/>
              <w:jc w:val="right"/>
              <w:rPr>
                <w:sz w:val="20"/>
                <w:szCs w:val="24"/>
                <w:lang w:val="es-ES"/>
              </w:rPr>
            </w:pPr>
            <w:r w:rsidRPr="00F048A9">
              <w:rPr>
                <w:sz w:val="20"/>
                <w:szCs w:val="24"/>
                <w:lang w:val="es-ES"/>
              </w:rPr>
              <w:t>30</w:t>
            </w:r>
            <w:r w:rsidR="00946EBD" w:rsidRPr="00F048A9">
              <w:rPr>
                <w:sz w:val="20"/>
                <w:szCs w:val="24"/>
                <w:lang w:val="es-ES"/>
              </w:rPr>
              <w:t>.</w:t>
            </w:r>
            <w:r w:rsidRPr="00F048A9">
              <w:rPr>
                <w:sz w:val="20"/>
                <w:szCs w:val="24"/>
                <w:lang w:val="es-ES"/>
              </w:rPr>
              <w:t>000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09B643D8" w14:textId="77777777" w:rsidR="007A6564" w:rsidRPr="00F048A9" w:rsidRDefault="007A6564" w:rsidP="00E9738B">
            <w:pPr>
              <w:spacing w:after="60"/>
              <w:jc w:val="right"/>
              <w:rPr>
                <w:sz w:val="20"/>
                <w:szCs w:val="24"/>
                <w:lang w:val="es-ES"/>
              </w:rPr>
            </w:pPr>
            <w:r w:rsidRPr="00F048A9">
              <w:rPr>
                <w:sz w:val="20"/>
                <w:szCs w:val="24"/>
                <w:lang w:val="es-ES"/>
              </w:rPr>
              <w:t>0</w:t>
            </w:r>
          </w:p>
        </w:tc>
        <w:tc>
          <w:tcPr>
            <w:tcW w:w="722" w:type="dxa"/>
            <w:tcBorders>
              <w:top w:val="single" w:sz="4" w:space="0" w:color="666699"/>
              <w:left w:val="single" w:sz="4" w:space="0" w:color="666699"/>
              <w:bottom w:val="single" w:sz="4" w:space="0" w:color="666699"/>
              <w:right w:val="single" w:sz="4" w:space="0" w:color="666699"/>
            </w:tcBorders>
            <w:shd w:val="clear" w:color="auto" w:fill="auto"/>
            <w:tcMar>
              <w:left w:w="0" w:type="dxa"/>
              <w:right w:w="29" w:type="dxa"/>
            </w:tcMar>
          </w:tcPr>
          <w:p w14:paraId="30556294" w14:textId="63763BAB" w:rsidR="007A6564" w:rsidRPr="00F048A9" w:rsidRDefault="007A6564" w:rsidP="00946EBD">
            <w:pPr>
              <w:spacing w:after="60"/>
              <w:jc w:val="right"/>
              <w:rPr>
                <w:sz w:val="20"/>
                <w:szCs w:val="24"/>
                <w:lang w:val="es-ES"/>
              </w:rPr>
            </w:pPr>
            <w:r w:rsidRPr="00F048A9">
              <w:rPr>
                <w:sz w:val="20"/>
                <w:szCs w:val="24"/>
                <w:lang w:val="es-ES"/>
              </w:rPr>
              <w:t>383</w:t>
            </w:r>
            <w:r w:rsidR="00946EBD" w:rsidRPr="00F048A9">
              <w:rPr>
                <w:sz w:val="20"/>
                <w:szCs w:val="24"/>
                <w:lang w:val="es-ES"/>
              </w:rPr>
              <w:t>.</w:t>
            </w:r>
            <w:r w:rsidRPr="00F048A9">
              <w:rPr>
                <w:sz w:val="20"/>
                <w:szCs w:val="24"/>
                <w:lang w:val="es-ES"/>
              </w:rPr>
              <w:t>500</w:t>
            </w:r>
          </w:p>
        </w:tc>
      </w:tr>
      <w:tr w:rsidR="007A6564" w:rsidRPr="00F048A9" w14:paraId="7FC414D7" w14:textId="77777777" w:rsidTr="00080ECC">
        <w:trPr>
          <w:jc w:val="center"/>
        </w:trPr>
        <w:tc>
          <w:tcPr>
            <w:tcW w:w="2134" w:type="dxa"/>
            <w:gridSpan w:val="2"/>
            <w:vMerge/>
            <w:tcBorders>
              <w:top w:val="single" w:sz="4" w:space="0" w:color="666699"/>
              <w:left w:val="single" w:sz="4" w:space="0" w:color="666699"/>
              <w:bottom w:val="single" w:sz="4" w:space="0" w:color="666699"/>
              <w:right w:val="single" w:sz="4" w:space="0" w:color="666699"/>
            </w:tcBorders>
            <w:vAlign w:val="center"/>
            <w:hideMark/>
          </w:tcPr>
          <w:p w14:paraId="408B742D" w14:textId="77777777" w:rsidR="007A6564" w:rsidRPr="00F048A9" w:rsidRDefault="007A6564" w:rsidP="00E9738B">
            <w:pPr>
              <w:jc w:val="left"/>
              <w:rPr>
                <w:sz w:val="20"/>
                <w:szCs w:val="24"/>
                <w:lang w:val="es-ES"/>
              </w:rPr>
            </w:pPr>
          </w:p>
        </w:tc>
        <w:tc>
          <w:tcPr>
            <w:tcW w:w="1648" w:type="dxa"/>
            <w:tcBorders>
              <w:top w:val="single" w:sz="4" w:space="0" w:color="666699"/>
              <w:left w:val="single" w:sz="4" w:space="0" w:color="666699"/>
              <w:bottom w:val="single" w:sz="4" w:space="0" w:color="666699"/>
              <w:right w:val="single" w:sz="4" w:space="0" w:color="666699"/>
            </w:tcBorders>
            <w:hideMark/>
          </w:tcPr>
          <w:p w14:paraId="40F4B718" w14:textId="0B91EE46" w:rsidR="007A6564" w:rsidRPr="00F048A9" w:rsidRDefault="008C669C" w:rsidP="00E9738B">
            <w:pPr>
              <w:spacing w:after="60"/>
              <w:jc w:val="left"/>
              <w:rPr>
                <w:sz w:val="20"/>
                <w:szCs w:val="24"/>
                <w:lang w:val="es-ES"/>
              </w:rPr>
            </w:pPr>
            <w:r w:rsidRPr="00F048A9">
              <w:rPr>
                <w:sz w:val="20"/>
                <w:szCs w:val="24"/>
                <w:lang w:val="es-ES"/>
              </w:rPr>
              <w:t>Gastos de apoyo</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0720D7E8" w14:textId="5E576805" w:rsidR="007A6564" w:rsidRPr="00F048A9" w:rsidRDefault="007A6564" w:rsidP="00946EBD">
            <w:pPr>
              <w:spacing w:after="60"/>
              <w:jc w:val="right"/>
              <w:rPr>
                <w:sz w:val="20"/>
                <w:szCs w:val="24"/>
                <w:lang w:val="es-ES"/>
              </w:rPr>
            </w:pPr>
            <w:r w:rsidRPr="00F048A9">
              <w:rPr>
                <w:sz w:val="20"/>
                <w:szCs w:val="24"/>
                <w:lang w:val="es-ES"/>
              </w:rPr>
              <w:t>11</w:t>
            </w:r>
            <w:r w:rsidR="00946EBD" w:rsidRPr="00F048A9">
              <w:rPr>
                <w:sz w:val="20"/>
                <w:szCs w:val="24"/>
                <w:lang w:val="es-ES"/>
              </w:rPr>
              <w:t>,</w:t>
            </w:r>
            <w:r w:rsidRPr="00F048A9">
              <w:rPr>
                <w:sz w:val="20"/>
                <w:szCs w:val="24"/>
                <w:lang w:val="es-ES"/>
              </w:rPr>
              <w:t>625</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12079E00" w14:textId="3231BAA6" w:rsidR="007A6564" w:rsidRPr="00F048A9" w:rsidRDefault="007A6564" w:rsidP="00946EBD">
            <w:pPr>
              <w:spacing w:after="60"/>
              <w:jc w:val="right"/>
              <w:rPr>
                <w:sz w:val="20"/>
                <w:szCs w:val="24"/>
                <w:lang w:val="es-ES"/>
              </w:rPr>
            </w:pPr>
            <w:r w:rsidRPr="00F048A9">
              <w:rPr>
                <w:sz w:val="20"/>
                <w:szCs w:val="24"/>
                <w:lang w:val="es-ES"/>
              </w:rPr>
              <w:t>7</w:t>
            </w:r>
            <w:r w:rsidR="00946EBD" w:rsidRPr="00F048A9">
              <w:rPr>
                <w:sz w:val="20"/>
                <w:szCs w:val="24"/>
                <w:lang w:val="es-ES"/>
              </w:rPr>
              <w:t>.</w:t>
            </w:r>
            <w:r w:rsidRPr="00F048A9">
              <w:rPr>
                <w:sz w:val="20"/>
                <w:szCs w:val="24"/>
                <w:lang w:val="es-ES"/>
              </w:rPr>
              <w:t>500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49451AC0" w14:textId="0097BFB9" w:rsidR="007A6564" w:rsidRPr="00F048A9" w:rsidRDefault="007A6564" w:rsidP="00946EBD">
            <w:pPr>
              <w:spacing w:after="60"/>
              <w:jc w:val="right"/>
              <w:rPr>
                <w:sz w:val="20"/>
                <w:szCs w:val="24"/>
                <w:lang w:val="es-ES"/>
              </w:rPr>
            </w:pPr>
            <w:r w:rsidRPr="00F048A9">
              <w:rPr>
                <w:sz w:val="20"/>
                <w:szCs w:val="24"/>
                <w:lang w:val="es-ES"/>
              </w:rPr>
              <w:t>7</w:t>
            </w:r>
            <w:r w:rsidR="00946EBD" w:rsidRPr="00F048A9">
              <w:rPr>
                <w:sz w:val="20"/>
                <w:szCs w:val="24"/>
                <w:lang w:val="es-ES"/>
              </w:rPr>
              <w:t>.</w:t>
            </w:r>
            <w:r w:rsidRPr="00F048A9">
              <w:rPr>
                <w:sz w:val="20"/>
                <w:szCs w:val="24"/>
                <w:lang w:val="es-ES"/>
              </w:rPr>
              <w:t>388</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7B200CCA" w14:textId="77777777" w:rsidR="007A6564" w:rsidRPr="00F048A9" w:rsidRDefault="007A6564" w:rsidP="00E9738B">
            <w:pPr>
              <w:spacing w:after="60"/>
              <w:jc w:val="right"/>
              <w:rPr>
                <w:sz w:val="20"/>
                <w:szCs w:val="24"/>
                <w:lang w:val="es-ES"/>
              </w:rPr>
            </w:pPr>
            <w:r w:rsidRPr="00F048A9">
              <w:rPr>
                <w:sz w:val="20"/>
                <w:szCs w:val="24"/>
                <w:lang w:val="es-ES"/>
              </w:rPr>
              <w:t>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1797A7CF" w14:textId="77777777" w:rsidR="007A6564" w:rsidRPr="00F048A9" w:rsidRDefault="007A6564" w:rsidP="00E9738B">
            <w:pPr>
              <w:spacing w:after="60"/>
              <w:jc w:val="right"/>
              <w:rPr>
                <w:sz w:val="20"/>
                <w:szCs w:val="24"/>
                <w:lang w:val="es-ES"/>
              </w:rPr>
            </w:pPr>
            <w:r w:rsidRPr="00F048A9">
              <w:rPr>
                <w:sz w:val="20"/>
                <w:szCs w:val="24"/>
                <w:lang w:val="es-ES"/>
              </w:rPr>
              <w:t>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300D5E95" w14:textId="77777777" w:rsidR="007A6564" w:rsidRPr="00F048A9" w:rsidRDefault="007A6564" w:rsidP="00E9738B">
            <w:pPr>
              <w:spacing w:after="60"/>
              <w:jc w:val="right"/>
              <w:rPr>
                <w:sz w:val="20"/>
                <w:szCs w:val="24"/>
                <w:lang w:val="es-ES"/>
              </w:rPr>
            </w:pPr>
            <w:r w:rsidRPr="00F048A9">
              <w:rPr>
                <w:sz w:val="20"/>
                <w:szCs w:val="24"/>
                <w:lang w:val="es-ES"/>
              </w:rPr>
              <w:t>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0BF23E51" w14:textId="7AA14BC0" w:rsidR="007A6564" w:rsidRPr="00F048A9" w:rsidRDefault="007A6564" w:rsidP="00946EBD">
            <w:pPr>
              <w:spacing w:after="60"/>
              <w:jc w:val="right"/>
              <w:rPr>
                <w:sz w:val="20"/>
                <w:szCs w:val="24"/>
                <w:lang w:val="es-ES"/>
              </w:rPr>
            </w:pPr>
            <w:r w:rsidRPr="00F048A9">
              <w:rPr>
                <w:sz w:val="20"/>
                <w:szCs w:val="24"/>
                <w:lang w:val="es-ES"/>
              </w:rPr>
              <w:t>2</w:t>
            </w:r>
            <w:r w:rsidR="00946EBD" w:rsidRPr="00F048A9">
              <w:rPr>
                <w:sz w:val="20"/>
                <w:szCs w:val="24"/>
                <w:lang w:val="es-ES"/>
              </w:rPr>
              <w:t>.</w:t>
            </w:r>
            <w:r w:rsidRPr="00F048A9">
              <w:rPr>
                <w:sz w:val="20"/>
                <w:szCs w:val="24"/>
                <w:lang w:val="es-ES"/>
              </w:rPr>
              <w:t>250</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674D6824" w14:textId="77777777" w:rsidR="007A6564" w:rsidRPr="00F048A9" w:rsidRDefault="007A6564" w:rsidP="00E9738B">
            <w:pPr>
              <w:spacing w:after="60"/>
              <w:jc w:val="right"/>
              <w:rPr>
                <w:sz w:val="20"/>
                <w:szCs w:val="24"/>
                <w:lang w:val="es-ES"/>
              </w:rPr>
            </w:pPr>
            <w:r w:rsidRPr="00F048A9">
              <w:rPr>
                <w:sz w:val="20"/>
                <w:szCs w:val="24"/>
                <w:lang w:val="es-ES"/>
              </w:rPr>
              <w:t>0</w:t>
            </w:r>
          </w:p>
        </w:tc>
        <w:tc>
          <w:tcPr>
            <w:tcW w:w="722" w:type="dxa"/>
            <w:tcBorders>
              <w:top w:val="single" w:sz="4" w:space="0" w:color="666699"/>
              <w:left w:val="single" w:sz="4" w:space="0" w:color="666699"/>
              <w:bottom w:val="single" w:sz="4" w:space="0" w:color="666699"/>
              <w:right w:val="single" w:sz="4" w:space="0" w:color="666699"/>
            </w:tcBorders>
            <w:tcMar>
              <w:left w:w="0" w:type="dxa"/>
              <w:right w:w="29" w:type="dxa"/>
            </w:tcMar>
          </w:tcPr>
          <w:p w14:paraId="1FA10831" w14:textId="6CD7F769" w:rsidR="007A6564" w:rsidRPr="00F048A9" w:rsidRDefault="007A6564" w:rsidP="00946EBD">
            <w:pPr>
              <w:spacing w:after="60"/>
              <w:jc w:val="right"/>
              <w:rPr>
                <w:sz w:val="20"/>
                <w:szCs w:val="24"/>
                <w:lang w:val="es-ES"/>
              </w:rPr>
            </w:pPr>
            <w:r w:rsidRPr="00F048A9">
              <w:rPr>
                <w:sz w:val="20"/>
                <w:szCs w:val="24"/>
                <w:lang w:val="es-ES"/>
              </w:rPr>
              <w:t>28</w:t>
            </w:r>
            <w:r w:rsidR="00946EBD" w:rsidRPr="00F048A9">
              <w:rPr>
                <w:sz w:val="20"/>
                <w:szCs w:val="24"/>
                <w:lang w:val="es-ES"/>
              </w:rPr>
              <w:t>.</w:t>
            </w:r>
            <w:r w:rsidRPr="00F048A9">
              <w:rPr>
                <w:sz w:val="20"/>
                <w:szCs w:val="24"/>
                <w:lang w:val="es-ES"/>
              </w:rPr>
              <w:t>763</w:t>
            </w:r>
          </w:p>
        </w:tc>
      </w:tr>
      <w:tr w:rsidR="007A6564" w:rsidRPr="00F048A9" w14:paraId="220F66FD" w14:textId="77777777" w:rsidTr="00080ECC">
        <w:trPr>
          <w:jc w:val="center"/>
        </w:trPr>
        <w:tc>
          <w:tcPr>
            <w:tcW w:w="2134" w:type="dxa"/>
            <w:gridSpan w:val="2"/>
            <w:vMerge w:val="restart"/>
            <w:tcBorders>
              <w:top w:val="single" w:sz="4" w:space="0" w:color="666699"/>
              <w:left w:val="single" w:sz="4" w:space="0" w:color="666699"/>
              <w:bottom w:val="single" w:sz="4" w:space="0" w:color="666699"/>
              <w:right w:val="single" w:sz="4" w:space="0" w:color="666699"/>
            </w:tcBorders>
            <w:hideMark/>
          </w:tcPr>
          <w:p w14:paraId="20608287" w14:textId="4F94F312" w:rsidR="007A6564" w:rsidRPr="00F048A9" w:rsidRDefault="000B6C5D" w:rsidP="000B6C5D">
            <w:pPr>
              <w:spacing w:after="60"/>
              <w:jc w:val="left"/>
              <w:rPr>
                <w:sz w:val="20"/>
                <w:szCs w:val="24"/>
                <w:lang w:val="es-ES"/>
              </w:rPr>
            </w:pPr>
            <w:proofErr w:type="gramStart"/>
            <w:r w:rsidRPr="00F048A9">
              <w:rPr>
                <w:sz w:val="20"/>
                <w:szCs w:val="24"/>
                <w:lang w:val="es-ES"/>
              </w:rPr>
              <w:t>Total</w:t>
            </w:r>
            <w:proofErr w:type="gramEnd"/>
            <w:r w:rsidRPr="00F048A9">
              <w:rPr>
                <w:sz w:val="20"/>
                <w:szCs w:val="24"/>
                <w:lang w:val="es-ES"/>
              </w:rPr>
              <w:t xml:space="preserve"> de fondos solicitados para su aprobación en la reunión en curso</w:t>
            </w:r>
            <w:r w:rsidR="007A6564" w:rsidRPr="00F048A9">
              <w:rPr>
                <w:sz w:val="20"/>
                <w:szCs w:val="24"/>
                <w:lang w:val="es-ES"/>
              </w:rPr>
              <w:t xml:space="preserve"> (</w:t>
            </w:r>
            <w:r w:rsidR="008C669C" w:rsidRPr="00F048A9">
              <w:rPr>
                <w:sz w:val="20"/>
                <w:szCs w:val="24"/>
                <w:lang w:val="es-ES"/>
              </w:rPr>
              <w:t>$ EUA</w:t>
            </w:r>
            <w:r w:rsidR="007A6564" w:rsidRPr="00F048A9">
              <w:rPr>
                <w:sz w:val="20"/>
                <w:szCs w:val="24"/>
                <w:lang w:val="es-ES"/>
              </w:rPr>
              <w:t>)</w:t>
            </w:r>
          </w:p>
        </w:tc>
        <w:tc>
          <w:tcPr>
            <w:tcW w:w="1648" w:type="dxa"/>
            <w:tcBorders>
              <w:top w:val="single" w:sz="4" w:space="0" w:color="666699"/>
              <w:left w:val="single" w:sz="4" w:space="0" w:color="666699"/>
              <w:bottom w:val="single" w:sz="4" w:space="0" w:color="666699"/>
              <w:right w:val="single" w:sz="4" w:space="0" w:color="666699"/>
            </w:tcBorders>
            <w:hideMark/>
          </w:tcPr>
          <w:p w14:paraId="317C49CA" w14:textId="05508080" w:rsidR="007A6564" w:rsidRPr="00F048A9" w:rsidRDefault="008C669C" w:rsidP="00E9738B">
            <w:pPr>
              <w:spacing w:after="60"/>
              <w:jc w:val="left"/>
              <w:rPr>
                <w:sz w:val="20"/>
                <w:szCs w:val="24"/>
                <w:lang w:val="es-ES"/>
              </w:rPr>
            </w:pPr>
            <w:r w:rsidRPr="00F048A9">
              <w:rPr>
                <w:sz w:val="20"/>
                <w:szCs w:val="24"/>
                <w:lang w:val="es-ES"/>
              </w:rPr>
              <w:t>Costo del proyecto</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tcPr>
          <w:p w14:paraId="08278E92" w14:textId="77777777" w:rsidR="007A6564" w:rsidRPr="00F048A9" w:rsidRDefault="007A6564" w:rsidP="00E9738B">
            <w:pPr>
              <w:spacing w:after="60"/>
              <w:jc w:val="right"/>
              <w:rPr>
                <w:sz w:val="20"/>
                <w:szCs w:val="24"/>
                <w:lang w:val="es-ES"/>
              </w:rPr>
            </w:pP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tcPr>
          <w:p w14:paraId="709535C0" w14:textId="77777777" w:rsidR="007A6564" w:rsidRPr="00F048A9" w:rsidRDefault="007A6564" w:rsidP="00E9738B">
            <w:pPr>
              <w:spacing w:after="60"/>
              <w:jc w:val="right"/>
              <w:rPr>
                <w:sz w:val="20"/>
                <w:szCs w:val="24"/>
                <w:lang w:val="es-ES"/>
              </w:rPr>
            </w:pP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tcPr>
          <w:p w14:paraId="273C083A" w14:textId="77777777" w:rsidR="007A6564" w:rsidRPr="00F048A9" w:rsidRDefault="007A6564" w:rsidP="00E9738B">
            <w:pPr>
              <w:spacing w:after="60"/>
              <w:jc w:val="right"/>
              <w:rPr>
                <w:sz w:val="20"/>
                <w:szCs w:val="24"/>
                <w:lang w:val="es-ES"/>
              </w:rPr>
            </w:pP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tcPr>
          <w:p w14:paraId="45146E1D" w14:textId="77777777" w:rsidR="007A6564" w:rsidRPr="00F048A9" w:rsidRDefault="007A6564" w:rsidP="00E9738B">
            <w:pPr>
              <w:spacing w:after="60"/>
              <w:jc w:val="right"/>
              <w:rPr>
                <w:sz w:val="20"/>
                <w:szCs w:val="24"/>
                <w:lang w:val="es-ES"/>
              </w:rPr>
            </w:pP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tcPr>
          <w:p w14:paraId="3BD12E98" w14:textId="77777777" w:rsidR="007A6564" w:rsidRPr="00F048A9" w:rsidRDefault="007A6564" w:rsidP="00E9738B">
            <w:pPr>
              <w:spacing w:after="60"/>
              <w:jc w:val="right"/>
              <w:rPr>
                <w:sz w:val="20"/>
                <w:szCs w:val="24"/>
                <w:lang w:val="es-ES"/>
              </w:rPr>
            </w:pP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tcPr>
          <w:p w14:paraId="62F551D0" w14:textId="77777777" w:rsidR="007A6564" w:rsidRPr="00F048A9" w:rsidRDefault="007A6564" w:rsidP="00E9738B">
            <w:pPr>
              <w:spacing w:after="60"/>
              <w:jc w:val="right"/>
              <w:rPr>
                <w:sz w:val="20"/>
                <w:szCs w:val="24"/>
                <w:lang w:val="es-ES"/>
              </w:rPr>
            </w:pP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tcPr>
          <w:p w14:paraId="7850752C" w14:textId="77777777" w:rsidR="007A6564" w:rsidRPr="00F048A9" w:rsidRDefault="007A6564" w:rsidP="00E9738B">
            <w:pPr>
              <w:spacing w:after="60"/>
              <w:jc w:val="right"/>
              <w:rPr>
                <w:sz w:val="20"/>
                <w:szCs w:val="24"/>
                <w:lang w:val="es-ES"/>
              </w:rPr>
            </w:pP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tcPr>
          <w:p w14:paraId="41AC064E" w14:textId="16DFBE50" w:rsidR="007A6564" w:rsidRPr="00F048A9" w:rsidRDefault="007A6564" w:rsidP="00946EBD">
            <w:pPr>
              <w:spacing w:after="60"/>
              <w:jc w:val="right"/>
              <w:rPr>
                <w:sz w:val="20"/>
                <w:szCs w:val="24"/>
                <w:lang w:val="es-ES"/>
              </w:rPr>
            </w:pPr>
            <w:r w:rsidRPr="00F048A9">
              <w:rPr>
                <w:sz w:val="20"/>
                <w:szCs w:val="24"/>
                <w:lang w:val="es-ES"/>
              </w:rPr>
              <w:t>21</w:t>
            </w:r>
            <w:r w:rsidR="00946EBD" w:rsidRPr="00F048A9">
              <w:rPr>
                <w:sz w:val="20"/>
                <w:szCs w:val="24"/>
                <w:lang w:val="es-ES"/>
              </w:rPr>
              <w:t>.</w:t>
            </w:r>
            <w:r w:rsidRPr="00F048A9">
              <w:rPr>
                <w:sz w:val="20"/>
                <w:szCs w:val="24"/>
                <w:lang w:val="es-ES"/>
              </w:rPr>
              <w:t>000</w:t>
            </w:r>
          </w:p>
        </w:tc>
        <w:tc>
          <w:tcPr>
            <w:tcW w:w="722"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7F7AB8C5" w14:textId="121F12E3" w:rsidR="007A6564" w:rsidRPr="00F048A9" w:rsidRDefault="007A6564" w:rsidP="00946EBD">
            <w:pPr>
              <w:spacing w:after="60"/>
              <w:jc w:val="right"/>
              <w:rPr>
                <w:sz w:val="20"/>
                <w:szCs w:val="24"/>
                <w:lang w:val="es-ES"/>
              </w:rPr>
            </w:pPr>
            <w:r w:rsidRPr="00F048A9">
              <w:rPr>
                <w:sz w:val="20"/>
                <w:szCs w:val="24"/>
                <w:lang w:val="es-ES"/>
              </w:rPr>
              <w:t>21</w:t>
            </w:r>
            <w:r w:rsidR="00946EBD" w:rsidRPr="00F048A9">
              <w:rPr>
                <w:sz w:val="20"/>
                <w:szCs w:val="24"/>
                <w:lang w:val="es-ES"/>
              </w:rPr>
              <w:t>.</w:t>
            </w:r>
            <w:r w:rsidRPr="00F048A9">
              <w:rPr>
                <w:sz w:val="20"/>
                <w:szCs w:val="24"/>
                <w:lang w:val="es-ES"/>
              </w:rPr>
              <w:t>000</w:t>
            </w:r>
          </w:p>
        </w:tc>
      </w:tr>
      <w:tr w:rsidR="007A6564" w:rsidRPr="00F048A9" w14:paraId="64AC5B3B" w14:textId="77777777" w:rsidTr="00080ECC">
        <w:trPr>
          <w:jc w:val="center"/>
        </w:trPr>
        <w:tc>
          <w:tcPr>
            <w:tcW w:w="2134" w:type="dxa"/>
            <w:gridSpan w:val="2"/>
            <w:vMerge/>
            <w:tcBorders>
              <w:top w:val="single" w:sz="4" w:space="0" w:color="666699"/>
              <w:left w:val="single" w:sz="4" w:space="0" w:color="666699"/>
              <w:bottom w:val="single" w:sz="4" w:space="0" w:color="666699"/>
              <w:right w:val="single" w:sz="4" w:space="0" w:color="666699"/>
            </w:tcBorders>
            <w:vAlign w:val="center"/>
            <w:hideMark/>
          </w:tcPr>
          <w:p w14:paraId="43EEB07B" w14:textId="77777777" w:rsidR="007A6564" w:rsidRPr="00F048A9" w:rsidRDefault="007A6564" w:rsidP="00E9738B">
            <w:pPr>
              <w:jc w:val="left"/>
              <w:rPr>
                <w:sz w:val="20"/>
                <w:szCs w:val="24"/>
                <w:lang w:val="es-ES"/>
              </w:rPr>
            </w:pPr>
          </w:p>
        </w:tc>
        <w:tc>
          <w:tcPr>
            <w:tcW w:w="1648" w:type="dxa"/>
            <w:tcBorders>
              <w:top w:val="single" w:sz="4" w:space="0" w:color="666699"/>
              <w:left w:val="single" w:sz="4" w:space="0" w:color="666699"/>
              <w:bottom w:val="single" w:sz="4" w:space="0" w:color="666699"/>
              <w:right w:val="single" w:sz="4" w:space="0" w:color="666699"/>
            </w:tcBorders>
            <w:hideMark/>
          </w:tcPr>
          <w:p w14:paraId="36F53DD8" w14:textId="46F4D03D" w:rsidR="007A6564" w:rsidRPr="00F048A9" w:rsidRDefault="008C669C" w:rsidP="00E9738B">
            <w:pPr>
              <w:spacing w:after="60"/>
              <w:jc w:val="left"/>
              <w:rPr>
                <w:sz w:val="20"/>
                <w:szCs w:val="24"/>
                <w:lang w:val="es-ES"/>
              </w:rPr>
            </w:pPr>
            <w:r w:rsidRPr="00F048A9">
              <w:rPr>
                <w:sz w:val="20"/>
                <w:szCs w:val="24"/>
                <w:lang w:val="es-ES"/>
              </w:rPr>
              <w:t>Gastos de apoyo</w:t>
            </w: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tcPr>
          <w:p w14:paraId="7952552B" w14:textId="77777777" w:rsidR="007A6564" w:rsidRPr="00F048A9" w:rsidRDefault="007A6564" w:rsidP="00E9738B">
            <w:pPr>
              <w:spacing w:after="60"/>
              <w:jc w:val="right"/>
              <w:rPr>
                <w:sz w:val="20"/>
                <w:szCs w:val="24"/>
                <w:lang w:val="es-ES"/>
              </w:rPr>
            </w:pP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tcPr>
          <w:p w14:paraId="669A3A52" w14:textId="77777777" w:rsidR="007A6564" w:rsidRPr="00F048A9" w:rsidRDefault="007A6564" w:rsidP="00E9738B">
            <w:pPr>
              <w:spacing w:after="60"/>
              <w:jc w:val="right"/>
              <w:rPr>
                <w:sz w:val="20"/>
                <w:szCs w:val="24"/>
                <w:lang w:val="es-ES"/>
              </w:rPr>
            </w:pP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tcPr>
          <w:p w14:paraId="45BC449D" w14:textId="77777777" w:rsidR="007A6564" w:rsidRPr="00F048A9" w:rsidRDefault="007A6564" w:rsidP="00E9738B">
            <w:pPr>
              <w:spacing w:after="60"/>
              <w:jc w:val="right"/>
              <w:rPr>
                <w:sz w:val="20"/>
                <w:szCs w:val="24"/>
                <w:lang w:val="es-ES"/>
              </w:rPr>
            </w:pP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tcPr>
          <w:p w14:paraId="62A1194B" w14:textId="77777777" w:rsidR="007A6564" w:rsidRPr="00F048A9" w:rsidRDefault="007A6564" w:rsidP="00E9738B">
            <w:pPr>
              <w:spacing w:after="60"/>
              <w:jc w:val="right"/>
              <w:rPr>
                <w:sz w:val="20"/>
                <w:szCs w:val="24"/>
                <w:lang w:val="es-ES"/>
              </w:rPr>
            </w:pP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tcPr>
          <w:p w14:paraId="59543F6A" w14:textId="77777777" w:rsidR="007A6564" w:rsidRPr="00F048A9" w:rsidRDefault="007A6564" w:rsidP="00E9738B">
            <w:pPr>
              <w:spacing w:after="60"/>
              <w:jc w:val="right"/>
              <w:rPr>
                <w:sz w:val="20"/>
                <w:szCs w:val="24"/>
                <w:lang w:val="es-ES"/>
              </w:rPr>
            </w:pP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tcPr>
          <w:p w14:paraId="1011B84D" w14:textId="77777777" w:rsidR="007A6564" w:rsidRPr="00F048A9" w:rsidRDefault="007A6564" w:rsidP="00E9738B">
            <w:pPr>
              <w:spacing w:after="60"/>
              <w:jc w:val="right"/>
              <w:rPr>
                <w:sz w:val="20"/>
                <w:szCs w:val="24"/>
                <w:lang w:val="es-ES"/>
              </w:rPr>
            </w:pP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tcPr>
          <w:p w14:paraId="12D81FF1" w14:textId="77777777" w:rsidR="007A6564" w:rsidRPr="00F048A9" w:rsidRDefault="007A6564" w:rsidP="00E9738B">
            <w:pPr>
              <w:spacing w:after="60"/>
              <w:jc w:val="right"/>
              <w:rPr>
                <w:sz w:val="20"/>
                <w:szCs w:val="24"/>
                <w:lang w:val="es-ES"/>
              </w:rPr>
            </w:pPr>
          </w:p>
        </w:tc>
        <w:tc>
          <w:tcPr>
            <w:tcW w:w="721" w:type="dxa"/>
            <w:tcBorders>
              <w:top w:val="single" w:sz="4" w:space="0" w:color="666699"/>
              <w:left w:val="single" w:sz="4" w:space="0" w:color="666699"/>
              <w:bottom w:val="single" w:sz="4" w:space="0" w:color="666699"/>
              <w:right w:val="single" w:sz="4" w:space="0" w:color="666699"/>
            </w:tcBorders>
            <w:tcMar>
              <w:left w:w="0" w:type="dxa"/>
              <w:right w:w="29" w:type="dxa"/>
            </w:tcMar>
          </w:tcPr>
          <w:p w14:paraId="084E1C59" w14:textId="050613FB" w:rsidR="007A6564" w:rsidRPr="00F048A9" w:rsidRDefault="007A6564" w:rsidP="00946EBD">
            <w:pPr>
              <w:spacing w:after="60"/>
              <w:jc w:val="right"/>
              <w:rPr>
                <w:sz w:val="20"/>
                <w:szCs w:val="24"/>
                <w:lang w:val="es-ES"/>
              </w:rPr>
            </w:pPr>
            <w:r w:rsidRPr="00F048A9">
              <w:rPr>
                <w:sz w:val="20"/>
                <w:szCs w:val="24"/>
                <w:lang w:val="es-ES"/>
              </w:rPr>
              <w:t>1</w:t>
            </w:r>
            <w:r w:rsidR="00946EBD" w:rsidRPr="00F048A9">
              <w:rPr>
                <w:sz w:val="20"/>
                <w:szCs w:val="24"/>
                <w:lang w:val="es-ES"/>
              </w:rPr>
              <w:t>.</w:t>
            </w:r>
            <w:r w:rsidRPr="00F048A9">
              <w:rPr>
                <w:sz w:val="20"/>
                <w:szCs w:val="24"/>
                <w:lang w:val="es-ES"/>
              </w:rPr>
              <w:t>575</w:t>
            </w:r>
          </w:p>
        </w:tc>
        <w:tc>
          <w:tcPr>
            <w:tcW w:w="722" w:type="dxa"/>
            <w:tcBorders>
              <w:top w:val="single" w:sz="4" w:space="0" w:color="666699"/>
              <w:left w:val="single" w:sz="4" w:space="0" w:color="666699"/>
              <w:bottom w:val="single" w:sz="4" w:space="0" w:color="666699"/>
              <w:right w:val="single" w:sz="4" w:space="0" w:color="666699"/>
            </w:tcBorders>
            <w:tcMar>
              <w:left w:w="0" w:type="dxa"/>
              <w:right w:w="29" w:type="dxa"/>
            </w:tcMar>
            <w:hideMark/>
          </w:tcPr>
          <w:p w14:paraId="37A233DC" w14:textId="0E166BB6" w:rsidR="007A6564" w:rsidRPr="00F048A9" w:rsidRDefault="007A6564" w:rsidP="00946EBD">
            <w:pPr>
              <w:spacing w:after="60"/>
              <w:jc w:val="right"/>
              <w:rPr>
                <w:sz w:val="20"/>
                <w:szCs w:val="24"/>
                <w:lang w:val="es-ES"/>
              </w:rPr>
            </w:pPr>
            <w:r w:rsidRPr="00F048A9">
              <w:rPr>
                <w:sz w:val="20"/>
                <w:szCs w:val="24"/>
                <w:lang w:val="es-ES"/>
              </w:rPr>
              <w:t>1</w:t>
            </w:r>
            <w:r w:rsidR="00946EBD" w:rsidRPr="00F048A9">
              <w:rPr>
                <w:sz w:val="20"/>
                <w:szCs w:val="24"/>
                <w:lang w:val="es-ES"/>
              </w:rPr>
              <w:t>.</w:t>
            </w:r>
            <w:r w:rsidRPr="00F048A9">
              <w:rPr>
                <w:sz w:val="20"/>
                <w:szCs w:val="24"/>
                <w:lang w:val="es-ES"/>
              </w:rPr>
              <w:t>575</w:t>
            </w:r>
          </w:p>
        </w:tc>
      </w:tr>
    </w:tbl>
    <w:p w14:paraId="4334DE3E" w14:textId="77777777" w:rsidR="007A6564" w:rsidRPr="00F048A9" w:rsidRDefault="007A6564" w:rsidP="007A6564">
      <w:pPr>
        <w:spacing w:after="60"/>
        <w:jc w:val="center"/>
        <w:rPr>
          <w:sz w:val="24"/>
          <w:szCs w:val="24"/>
          <w:lang w:val="es-ES"/>
        </w:rPr>
      </w:pPr>
    </w:p>
    <w:tbl>
      <w:tblPr>
        <w:tblStyle w:val="TableGrid"/>
        <w:tblW w:w="10186"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186"/>
      </w:tblGrid>
      <w:tr w:rsidR="007A6564" w:rsidRPr="00F048A9" w14:paraId="455AFE13" w14:textId="77777777" w:rsidTr="00E9738B">
        <w:trPr>
          <w:trHeight w:val="240"/>
          <w:jc w:val="center"/>
        </w:trPr>
        <w:tc>
          <w:tcPr>
            <w:tcW w:w="3000" w:type="dxa"/>
            <w:tcBorders>
              <w:top w:val="single" w:sz="4" w:space="0" w:color="666699"/>
              <w:left w:val="single" w:sz="4" w:space="0" w:color="666699"/>
              <w:bottom w:val="single" w:sz="4" w:space="0" w:color="666699"/>
              <w:right w:val="single" w:sz="4" w:space="0" w:color="666699"/>
            </w:tcBorders>
            <w:hideMark/>
          </w:tcPr>
          <w:p w14:paraId="5E3EDB5F" w14:textId="5DCE707C" w:rsidR="007A6564" w:rsidRPr="00F048A9" w:rsidRDefault="00891772" w:rsidP="00891772">
            <w:pPr>
              <w:spacing w:after="60"/>
              <w:jc w:val="left"/>
              <w:rPr>
                <w:b/>
                <w:sz w:val="20"/>
                <w:szCs w:val="24"/>
                <w:lang w:val="es-ES"/>
              </w:rPr>
            </w:pPr>
            <w:r w:rsidRPr="00F048A9">
              <w:rPr>
                <w:b/>
                <w:sz w:val="20"/>
                <w:szCs w:val="24"/>
                <w:lang w:val="es-ES"/>
              </w:rPr>
              <w:t>Recomendación de la Secretaría</w:t>
            </w:r>
            <w:r w:rsidR="007A6564" w:rsidRPr="00F048A9">
              <w:rPr>
                <w:b/>
                <w:sz w:val="20"/>
                <w:szCs w:val="24"/>
                <w:lang w:val="es-ES"/>
              </w:rPr>
              <w:t>:</w:t>
            </w:r>
          </w:p>
        </w:tc>
        <w:tc>
          <w:tcPr>
            <w:tcW w:w="7186" w:type="dxa"/>
            <w:tcBorders>
              <w:top w:val="single" w:sz="4" w:space="0" w:color="666699"/>
              <w:left w:val="single" w:sz="4" w:space="0" w:color="666699"/>
              <w:bottom w:val="single" w:sz="4" w:space="0" w:color="666699"/>
              <w:right w:val="single" w:sz="4" w:space="0" w:color="666699"/>
            </w:tcBorders>
          </w:tcPr>
          <w:p w14:paraId="2C72A61A" w14:textId="72DAF330" w:rsidR="007A6564" w:rsidRPr="00F048A9" w:rsidRDefault="00891772" w:rsidP="00891772">
            <w:pPr>
              <w:spacing w:after="60"/>
              <w:jc w:val="center"/>
              <w:rPr>
                <w:sz w:val="20"/>
                <w:szCs w:val="24"/>
                <w:lang w:val="es-ES"/>
              </w:rPr>
            </w:pPr>
            <w:r w:rsidRPr="00F048A9">
              <w:rPr>
                <w:sz w:val="20"/>
                <w:szCs w:val="24"/>
                <w:lang w:val="es-ES"/>
              </w:rPr>
              <w:t>Para aprobación general</w:t>
            </w:r>
          </w:p>
        </w:tc>
      </w:tr>
    </w:tbl>
    <w:p w14:paraId="57871EE7" w14:textId="77777777" w:rsidR="00BB6FE1" w:rsidRPr="00DB24E5" w:rsidRDefault="00BB6FE1" w:rsidP="007A6564">
      <w:pPr>
        <w:jc w:val="center"/>
        <w:rPr>
          <w:b/>
          <w:lang w:val="es-ES"/>
        </w:rPr>
      </w:pPr>
    </w:p>
    <w:p w14:paraId="14FCECDE" w14:textId="5D33616D" w:rsidR="007A6564" w:rsidRPr="00DB24E5" w:rsidRDefault="00B1395B" w:rsidP="007A6564">
      <w:pPr>
        <w:jc w:val="center"/>
        <w:rPr>
          <w:b/>
          <w:lang w:val="es-ES"/>
        </w:rPr>
      </w:pPr>
      <w:r w:rsidRPr="00DB24E5">
        <w:rPr>
          <w:b/>
          <w:lang w:val="es-ES"/>
        </w:rPr>
        <w:t>DESCRIPCIÓN DEL PROYECTO</w:t>
      </w:r>
    </w:p>
    <w:p w14:paraId="4617BE64" w14:textId="77777777" w:rsidR="007A6564" w:rsidRPr="00DB24E5" w:rsidRDefault="007A6564" w:rsidP="007A6564">
      <w:pPr>
        <w:rPr>
          <w:lang w:val="es-ES"/>
        </w:rPr>
      </w:pPr>
    </w:p>
    <w:p w14:paraId="17EFCF95" w14:textId="254A073C" w:rsidR="007A6564" w:rsidRPr="00DB24E5" w:rsidRDefault="00891772" w:rsidP="007C1B38">
      <w:pPr>
        <w:pStyle w:val="Heading1"/>
        <w:tabs>
          <w:tab w:val="clear" w:pos="0"/>
          <w:tab w:val="clear" w:pos="1985"/>
        </w:tabs>
        <w:rPr>
          <w:lang w:val="es-ES"/>
        </w:rPr>
      </w:pPr>
      <w:r w:rsidRPr="00DB24E5">
        <w:rPr>
          <w:lang w:val="es-ES"/>
        </w:rPr>
        <w:t xml:space="preserve">En nombre del </w:t>
      </w:r>
      <w:r w:rsidR="00ED60EE" w:rsidRPr="00DB24E5">
        <w:rPr>
          <w:lang w:val="es-ES"/>
        </w:rPr>
        <w:t>Gobierno de</w:t>
      </w:r>
      <w:r w:rsidR="007A6564" w:rsidRPr="00DB24E5">
        <w:rPr>
          <w:lang w:val="es-ES"/>
        </w:rPr>
        <w:t xml:space="preserve"> Montenegro, </w:t>
      </w:r>
      <w:r w:rsidRPr="00DB24E5">
        <w:rPr>
          <w:lang w:val="es-ES"/>
        </w:rPr>
        <w:t xml:space="preserve">la </w:t>
      </w:r>
      <w:r w:rsidR="0088461E" w:rsidRPr="00DB24E5">
        <w:rPr>
          <w:lang w:val="es-ES"/>
        </w:rPr>
        <w:t>ONUDI</w:t>
      </w:r>
      <w:r w:rsidRPr="00DB24E5">
        <w:rPr>
          <w:lang w:val="es-ES"/>
        </w:rPr>
        <w:t>, en su calidad de organismo de ejecución designado,</w:t>
      </w:r>
      <w:r w:rsidR="007A6564" w:rsidRPr="00DB24E5">
        <w:rPr>
          <w:lang w:val="es-ES"/>
        </w:rPr>
        <w:t xml:space="preserve"> ha</w:t>
      </w:r>
      <w:r w:rsidRPr="00DB24E5">
        <w:rPr>
          <w:lang w:val="es-ES"/>
        </w:rPr>
        <w:t xml:space="preserve"> presentado una solicitud de financiación para el tramo quinto y último de la etapa </w:t>
      </w:r>
      <w:r w:rsidR="007A6564" w:rsidRPr="00DB24E5">
        <w:rPr>
          <w:lang w:val="es-ES"/>
        </w:rPr>
        <w:t>I</w:t>
      </w:r>
      <w:r w:rsidRPr="00DB24E5">
        <w:rPr>
          <w:lang w:val="es-ES"/>
        </w:rPr>
        <w:t xml:space="preserve"> del plan de gestión de eliminación de los </w:t>
      </w:r>
      <w:r w:rsidR="007A6564" w:rsidRPr="00DB24E5">
        <w:rPr>
          <w:lang w:val="es-ES"/>
        </w:rPr>
        <w:t xml:space="preserve">HCFC, </w:t>
      </w:r>
      <w:r w:rsidRPr="00DB24E5">
        <w:rPr>
          <w:lang w:val="es-ES"/>
        </w:rPr>
        <w:t xml:space="preserve">por la suma de </w:t>
      </w:r>
      <w:r w:rsidR="007A6564" w:rsidRPr="00DB24E5">
        <w:rPr>
          <w:lang w:val="es-ES"/>
        </w:rPr>
        <w:t>21</w:t>
      </w:r>
      <w:r w:rsidR="0086358A" w:rsidRPr="00DB24E5">
        <w:rPr>
          <w:lang w:val="es-ES"/>
        </w:rPr>
        <w:t>.</w:t>
      </w:r>
      <w:r w:rsidR="007A6564" w:rsidRPr="00DB24E5">
        <w:rPr>
          <w:lang w:val="es-ES"/>
        </w:rPr>
        <w:t>000</w:t>
      </w:r>
      <w:r w:rsidR="0086358A" w:rsidRPr="00DB24E5">
        <w:rPr>
          <w:lang w:val="es-ES"/>
        </w:rPr>
        <w:t xml:space="preserve"> $ EUA</w:t>
      </w:r>
      <w:r w:rsidR="007A6564" w:rsidRPr="00DB24E5">
        <w:rPr>
          <w:lang w:val="es-ES"/>
        </w:rPr>
        <w:t xml:space="preserve">, </w:t>
      </w:r>
      <w:r w:rsidRPr="00DB24E5">
        <w:rPr>
          <w:lang w:val="es-ES"/>
        </w:rPr>
        <w:t>más gastos de apoyo al organismo de</w:t>
      </w:r>
      <w:r w:rsidR="007A6564" w:rsidRPr="00DB24E5">
        <w:rPr>
          <w:lang w:val="es-ES"/>
        </w:rPr>
        <w:t xml:space="preserve"> 1</w:t>
      </w:r>
      <w:r w:rsidR="0086358A" w:rsidRPr="00DB24E5">
        <w:rPr>
          <w:lang w:val="es-ES"/>
        </w:rPr>
        <w:t>.</w:t>
      </w:r>
      <w:r w:rsidR="007A6564" w:rsidRPr="00DB24E5">
        <w:rPr>
          <w:lang w:val="es-ES"/>
        </w:rPr>
        <w:t>575</w:t>
      </w:r>
      <w:r w:rsidR="0086358A" w:rsidRPr="00DB24E5">
        <w:rPr>
          <w:lang w:val="es-ES"/>
        </w:rPr>
        <w:t xml:space="preserve"> $ EUA</w:t>
      </w:r>
      <w:r w:rsidR="007A6564" w:rsidRPr="00DB24E5">
        <w:rPr>
          <w:rStyle w:val="FootnoteReference"/>
          <w:lang w:val="es-ES"/>
        </w:rPr>
        <w:footnoteReference w:id="1"/>
      </w:r>
      <w:r w:rsidRPr="00DB24E5">
        <w:rPr>
          <w:lang w:val="es-ES"/>
        </w:rPr>
        <w:t>.</w:t>
      </w:r>
      <w:r w:rsidR="007A6564" w:rsidRPr="00DB24E5">
        <w:rPr>
          <w:lang w:val="es-ES"/>
        </w:rPr>
        <w:t xml:space="preserve"> </w:t>
      </w:r>
      <w:r w:rsidRPr="00DB24E5">
        <w:rPr>
          <w:lang w:val="es-ES"/>
        </w:rPr>
        <w:t>La documentación presentada incluye un informe sobre los progresos realizados en la ejecución del cuarto tramo</w:t>
      </w:r>
      <w:r w:rsidR="007A6564" w:rsidRPr="00DB24E5">
        <w:rPr>
          <w:lang w:val="es-ES"/>
        </w:rPr>
        <w:t xml:space="preserve">, </w:t>
      </w:r>
      <w:r w:rsidRPr="00DB24E5">
        <w:rPr>
          <w:lang w:val="es-ES"/>
        </w:rPr>
        <w:t xml:space="preserve">el informe de verificación sobre el consumo de </w:t>
      </w:r>
      <w:r w:rsidR="007A6564" w:rsidRPr="00DB24E5">
        <w:rPr>
          <w:lang w:val="es-ES"/>
        </w:rPr>
        <w:t xml:space="preserve">HCFC </w:t>
      </w:r>
      <w:r w:rsidRPr="00DB24E5">
        <w:rPr>
          <w:lang w:val="es-ES"/>
        </w:rPr>
        <w:t>de</w:t>
      </w:r>
      <w:r w:rsidR="007A6564" w:rsidRPr="00DB24E5">
        <w:rPr>
          <w:lang w:val="es-ES"/>
        </w:rPr>
        <w:t xml:space="preserve"> </w:t>
      </w:r>
      <w:r w:rsidR="004071AD" w:rsidRPr="00DB24E5">
        <w:rPr>
          <w:lang w:val="es-ES"/>
        </w:rPr>
        <w:t xml:space="preserve">2016 </w:t>
      </w:r>
      <w:r w:rsidRPr="00DB24E5">
        <w:rPr>
          <w:lang w:val="es-ES"/>
        </w:rPr>
        <w:t>a</w:t>
      </w:r>
      <w:r w:rsidR="004071AD" w:rsidRPr="00DB24E5">
        <w:rPr>
          <w:lang w:val="es-ES"/>
        </w:rPr>
        <w:t xml:space="preserve"> </w:t>
      </w:r>
      <w:r w:rsidR="007A6564" w:rsidRPr="00DB24E5">
        <w:rPr>
          <w:lang w:val="es-ES"/>
        </w:rPr>
        <w:t xml:space="preserve">2019, </w:t>
      </w:r>
      <w:r w:rsidRPr="00DB24E5">
        <w:rPr>
          <w:lang w:val="es-ES"/>
        </w:rPr>
        <w:t>y el plan de ejecución del tramo para</w:t>
      </w:r>
      <w:r w:rsidR="007A6564" w:rsidRPr="00DB24E5">
        <w:rPr>
          <w:lang w:val="es-ES"/>
        </w:rPr>
        <w:t xml:space="preserve"> 2020</w:t>
      </w:r>
      <w:r w:rsidR="00364CF1" w:rsidRPr="00DB24E5">
        <w:rPr>
          <w:lang w:val="es-ES"/>
        </w:rPr>
        <w:t>-2021</w:t>
      </w:r>
      <w:r w:rsidR="007A6564" w:rsidRPr="00DB24E5">
        <w:rPr>
          <w:lang w:val="es-ES"/>
        </w:rPr>
        <w:t>.</w:t>
      </w:r>
    </w:p>
    <w:p w14:paraId="65FB4505" w14:textId="22BF4405" w:rsidR="007A6564" w:rsidRPr="00DB24E5" w:rsidRDefault="00B1395B" w:rsidP="007A6564">
      <w:pPr>
        <w:rPr>
          <w:u w:val="single"/>
          <w:lang w:val="es-ES"/>
        </w:rPr>
      </w:pPr>
      <w:r w:rsidRPr="00DB24E5">
        <w:rPr>
          <w:u w:val="single"/>
          <w:lang w:val="es-ES"/>
        </w:rPr>
        <w:t xml:space="preserve">Informe sobre el consumo de </w:t>
      </w:r>
      <w:r w:rsidR="007A6564" w:rsidRPr="00DB24E5">
        <w:rPr>
          <w:u w:val="single"/>
          <w:lang w:val="es-ES"/>
        </w:rPr>
        <w:t>HCFC</w:t>
      </w:r>
    </w:p>
    <w:p w14:paraId="7393AC00" w14:textId="77777777" w:rsidR="007A6564" w:rsidRPr="00DB24E5" w:rsidRDefault="007A6564" w:rsidP="007A6564">
      <w:pPr>
        <w:rPr>
          <w:lang w:val="es-ES"/>
        </w:rPr>
      </w:pPr>
    </w:p>
    <w:p w14:paraId="033A7E61" w14:textId="365E1A79" w:rsidR="007A6564" w:rsidRPr="00DB24E5" w:rsidRDefault="00891772" w:rsidP="007C1B38">
      <w:pPr>
        <w:pStyle w:val="Heading1"/>
        <w:tabs>
          <w:tab w:val="clear" w:pos="0"/>
          <w:tab w:val="clear" w:pos="1985"/>
        </w:tabs>
        <w:rPr>
          <w:lang w:val="es-ES"/>
        </w:rPr>
      </w:pPr>
      <w:r w:rsidRPr="00DB24E5">
        <w:rPr>
          <w:lang w:val="es-ES"/>
        </w:rPr>
        <w:t>El</w:t>
      </w:r>
      <w:r w:rsidR="007A6564" w:rsidRPr="00DB24E5">
        <w:rPr>
          <w:lang w:val="es-ES"/>
        </w:rPr>
        <w:t xml:space="preserve"> </w:t>
      </w:r>
      <w:r w:rsidR="00ED60EE" w:rsidRPr="00DB24E5">
        <w:rPr>
          <w:lang w:val="es-ES"/>
        </w:rPr>
        <w:t>Gobierno de</w:t>
      </w:r>
      <w:r w:rsidR="007A6564" w:rsidRPr="00DB24E5">
        <w:rPr>
          <w:lang w:val="es-ES"/>
        </w:rPr>
        <w:t xml:space="preserve"> Montenegro </w:t>
      </w:r>
      <w:r w:rsidRPr="00DB24E5">
        <w:rPr>
          <w:lang w:val="es-ES"/>
        </w:rPr>
        <w:t xml:space="preserve">notificó un consumo de </w:t>
      </w:r>
      <w:r w:rsidR="007A6564" w:rsidRPr="00DB24E5">
        <w:rPr>
          <w:lang w:val="es-ES"/>
        </w:rPr>
        <w:t>0</w:t>
      </w:r>
      <w:r w:rsidRPr="00DB24E5">
        <w:rPr>
          <w:lang w:val="es-ES"/>
        </w:rPr>
        <w:t>,</w:t>
      </w:r>
      <w:r w:rsidR="007A6564" w:rsidRPr="00DB24E5">
        <w:rPr>
          <w:lang w:val="es-ES"/>
        </w:rPr>
        <w:t>05</w:t>
      </w:r>
      <w:r w:rsidR="00306EAB" w:rsidRPr="00DB24E5">
        <w:rPr>
          <w:lang w:val="es-ES"/>
        </w:rPr>
        <w:t> </w:t>
      </w:r>
      <w:r w:rsidR="0001658C" w:rsidRPr="00DB24E5">
        <w:rPr>
          <w:lang w:val="es-ES"/>
        </w:rPr>
        <w:t>toneladas PAO</w:t>
      </w:r>
      <w:r w:rsidR="007A6564" w:rsidRPr="00DB24E5">
        <w:rPr>
          <w:lang w:val="es-ES"/>
        </w:rPr>
        <w:t xml:space="preserve"> </w:t>
      </w:r>
      <w:r w:rsidRPr="00DB24E5">
        <w:rPr>
          <w:lang w:val="es-ES"/>
        </w:rPr>
        <w:t>de</w:t>
      </w:r>
      <w:r w:rsidR="007A6564" w:rsidRPr="00DB24E5">
        <w:rPr>
          <w:lang w:val="es-ES"/>
        </w:rPr>
        <w:t xml:space="preserve"> HCFC </w:t>
      </w:r>
      <w:r w:rsidRPr="00DB24E5">
        <w:rPr>
          <w:lang w:val="es-ES"/>
        </w:rPr>
        <w:t>e</w:t>
      </w:r>
      <w:r w:rsidR="007A6564" w:rsidRPr="00DB24E5">
        <w:rPr>
          <w:lang w:val="es-ES"/>
        </w:rPr>
        <w:t xml:space="preserve">n 2019, </w:t>
      </w:r>
      <w:r w:rsidRPr="00DB24E5">
        <w:rPr>
          <w:lang w:val="es-ES"/>
        </w:rPr>
        <w:t xml:space="preserve">que </w:t>
      </w:r>
      <w:r w:rsidR="00092165" w:rsidRPr="00DB24E5">
        <w:rPr>
          <w:lang w:val="es-ES"/>
        </w:rPr>
        <w:t>es inferior en un</w:t>
      </w:r>
      <w:r w:rsidRPr="00DB24E5">
        <w:rPr>
          <w:lang w:val="es-ES"/>
        </w:rPr>
        <w:t xml:space="preserve"> </w:t>
      </w:r>
      <w:r w:rsidR="007A6564" w:rsidRPr="00DB24E5">
        <w:rPr>
          <w:lang w:val="es-ES"/>
        </w:rPr>
        <w:t>94</w:t>
      </w:r>
      <w:r w:rsidRPr="00DB24E5">
        <w:rPr>
          <w:lang w:val="es-ES"/>
        </w:rPr>
        <w:t>%</w:t>
      </w:r>
      <w:r w:rsidR="007A6564" w:rsidRPr="00DB24E5">
        <w:rPr>
          <w:lang w:val="es-ES"/>
        </w:rPr>
        <w:t xml:space="preserve"> </w:t>
      </w:r>
      <w:r w:rsidR="00092165" w:rsidRPr="00DB24E5">
        <w:rPr>
          <w:lang w:val="es-ES"/>
        </w:rPr>
        <w:t xml:space="preserve">al nivel de referencia de </w:t>
      </w:r>
      <w:r w:rsidR="007A6564" w:rsidRPr="00DB24E5">
        <w:rPr>
          <w:lang w:val="es-ES"/>
        </w:rPr>
        <w:t xml:space="preserve">HCFC </w:t>
      </w:r>
      <w:r w:rsidR="00092165" w:rsidRPr="00DB24E5">
        <w:rPr>
          <w:lang w:val="es-ES"/>
        </w:rPr>
        <w:t>para el cumplimiento</w:t>
      </w:r>
      <w:r w:rsidR="007A6564" w:rsidRPr="00DB24E5">
        <w:rPr>
          <w:lang w:val="es-ES"/>
        </w:rPr>
        <w:t xml:space="preserve">. </w:t>
      </w:r>
      <w:r w:rsidR="00092165" w:rsidRPr="00DB24E5">
        <w:rPr>
          <w:lang w:val="es-ES"/>
        </w:rPr>
        <w:t xml:space="preserve">En el cuadro 1 se indica el consumo de HCFC entre </w:t>
      </w:r>
      <w:r w:rsidR="007A6564" w:rsidRPr="00DB24E5">
        <w:rPr>
          <w:lang w:val="es-ES"/>
        </w:rPr>
        <w:t>2015</w:t>
      </w:r>
      <w:r w:rsidR="00092165" w:rsidRPr="00DB24E5">
        <w:rPr>
          <w:lang w:val="es-ES"/>
        </w:rPr>
        <w:t xml:space="preserve"> y </w:t>
      </w:r>
      <w:r w:rsidR="007A6564" w:rsidRPr="00DB24E5">
        <w:rPr>
          <w:lang w:val="es-ES"/>
        </w:rPr>
        <w:t>2019.</w:t>
      </w:r>
      <w:r w:rsidR="00A6655A" w:rsidRPr="00DB24E5">
        <w:rPr>
          <w:lang w:val="es-ES"/>
        </w:rPr>
        <w:t xml:space="preserve"> </w:t>
      </w:r>
    </w:p>
    <w:p w14:paraId="760F04CF" w14:textId="5711F34D" w:rsidR="007A6564" w:rsidRPr="00DB24E5" w:rsidRDefault="00436A9D" w:rsidP="007A6564">
      <w:pPr>
        <w:rPr>
          <w:b/>
          <w:lang w:val="es-ES"/>
        </w:rPr>
      </w:pPr>
      <w:r w:rsidRPr="00DB24E5">
        <w:rPr>
          <w:b/>
          <w:lang w:val="es-ES"/>
        </w:rPr>
        <w:t>Cuadro</w:t>
      </w:r>
      <w:r w:rsidR="007A6564" w:rsidRPr="00DB24E5">
        <w:rPr>
          <w:b/>
          <w:lang w:val="es-ES"/>
        </w:rPr>
        <w:t xml:space="preserve"> 1. </w:t>
      </w:r>
      <w:r w:rsidR="00092165" w:rsidRPr="00DB24E5">
        <w:rPr>
          <w:b/>
          <w:lang w:val="es-ES"/>
        </w:rPr>
        <w:t xml:space="preserve">Consumo de </w:t>
      </w:r>
      <w:r w:rsidR="007A6564" w:rsidRPr="00DB24E5">
        <w:rPr>
          <w:b/>
          <w:lang w:val="es-ES"/>
        </w:rPr>
        <w:t xml:space="preserve">HCFC </w:t>
      </w:r>
      <w:r w:rsidR="00092165" w:rsidRPr="00DB24E5">
        <w:rPr>
          <w:b/>
          <w:lang w:val="es-ES"/>
        </w:rPr>
        <w:t>en</w:t>
      </w:r>
      <w:r w:rsidR="007A6564" w:rsidRPr="00DB24E5">
        <w:rPr>
          <w:b/>
          <w:lang w:val="es-ES"/>
        </w:rPr>
        <w:t xml:space="preserve"> Montenegro (</w:t>
      </w:r>
      <w:r w:rsidR="00092165" w:rsidRPr="00DB24E5">
        <w:rPr>
          <w:b/>
          <w:lang w:val="es-ES"/>
        </w:rPr>
        <w:t xml:space="preserve">datos de </w:t>
      </w:r>
      <w:r w:rsidR="007A6564" w:rsidRPr="00DB24E5">
        <w:rPr>
          <w:b/>
          <w:lang w:val="es-ES"/>
        </w:rPr>
        <w:t>201</w:t>
      </w:r>
      <w:r w:rsidR="00CC7E64" w:rsidRPr="00DB24E5">
        <w:rPr>
          <w:b/>
          <w:lang w:val="es-ES"/>
        </w:rPr>
        <w:t>5</w:t>
      </w:r>
      <w:r w:rsidR="00092165" w:rsidRPr="00DB24E5">
        <w:rPr>
          <w:b/>
          <w:lang w:val="es-ES"/>
        </w:rPr>
        <w:t xml:space="preserve"> a </w:t>
      </w:r>
      <w:r w:rsidR="007A6564" w:rsidRPr="00DB24E5">
        <w:rPr>
          <w:b/>
          <w:lang w:val="es-ES"/>
        </w:rPr>
        <w:t>201</w:t>
      </w:r>
      <w:r w:rsidR="00CC7E64" w:rsidRPr="00DB24E5">
        <w:rPr>
          <w:b/>
          <w:lang w:val="es-ES"/>
        </w:rPr>
        <w:t>9</w:t>
      </w:r>
      <w:r w:rsidR="007A6564" w:rsidRPr="00DB24E5">
        <w:rPr>
          <w:b/>
          <w:lang w:val="es-ES"/>
        </w:rPr>
        <w:t xml:space="preserve"> </w:t>
      </w:r>
      <w:r w:rsidR="00092165" w:rsidRPr="00DB24E5">
        <w:rPr>
          <w:b/>
          <w:lang w:val="es-ES"/>
        </w:rPr>
        <w:t xml:space="preserve">presentados con arreglo al artículo </w:t>
      </w:r>
      <w:r w:rsidR="007A6564" w:rsidRPr="00DB24E5">
        <w:rPr>
          <w:b/>
          <w:lang w:val="es-ES"/>
        </w:rPr>
        <w:t>7)</w:t>
      </w:r>
    </w:p>
    <w:tbl>
      <w:tblPr>
        <w:tblW w:w="5000" w:type="pct"/>
        <w:tblLook w:val="04A0" w:firstRow="1" w:lastRow="0" w:firstColumn="1" w:lastColumn="0" w:noHBand="0" w:noVBand="1"/>
      </w:tblPr>
      <w:tblGrid>
        <w:gridCol w:w="2210"/>
        <w:gridCol w:w="1045"/>
        <w:gridCol w:w="1048"/>
        <w:gridCol w:w="1046"/>
        <w:gridCol w:w="1048"/>
        <w:gridCol w:w="1046"/>
        <w:gridCol w:w="1907"/>
      </w:tblGrid>
      <w:tr w:rsidR="00C17CDF" w:rsidRPr="00DB24E5" w14:paraId="3185336D" w14:textId="77777777" w:rsidTr="00080ECC">
        <w:trPr>
          <w:trHeight w:val="248"/>
          <w:tblHeader/>
        </w:trPr>
        <w:tc>
          <w:tcPr>
            <w:tcW w:w="1248"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9387489" w14:textId="77777777" w:rsidR="007A6564" w:rsidRPr="00DB24E5" w:rsidRDefault="007A6564" w:rsidP="00E9738B">
            <w:pPr>
              <w:widowControl w:val="0"/>
              <w:jc w:val="left"/>
              <w:rPr>
                <w:b/>
                <w:bCs/>
                <w:color w:val="000000"/>
                <w:sz w:val="21"/>
                <w:szCs w:val="21"/>
                <w:lang w:val="es-ES"/>
              </w:rPr>
            </w:pPr>
            <w:r w:rsidRPr="00DB24E5">
              <w:rPr>
                <w:b/>
                <w:bCs/>
                <w:color w:val="000000"/>
                <w:sz w:val="21"/>
                <w:szCs w:val="21"/>
                <w:lang w:val="es-ES"/>
              </w:rPr>
              <w:t>HCFC-22</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45DB7593" w14:textId="77777777" w:rsidR="007A6564" w:rsidRPr="00DB24E5" w:rsidRDefault="007A6564" w:rsidP="00E9738B">
            <w:pPr>
              <w:widowControl w:val="0"/>
              <w:jc w:val="center"/>
              <w:rPr>
                <w:b/>
                <w:bCs/>
                <w:color w:val="000000"/>
                <w:sz w:val="21"/>
                <w:szCs w:val="21"/>
                <w:lang w:val="es-ES"/>
              </w:rPr>
            </w:pPr>
            <w:r w:rsidRPr="00DB24E5">
              <w:rPr>
                <w:b/>
                <w:bCs/>
                <w:color w:val="000000"/>
                <w:sz w:val="21"/>
                <w:szCs w:val="21"/>
                <w:lang w:val="es-ES"/>
              </w:rPr>
              <w:t>2015</w:t>
            </w:r>
          </w:p>
        </w:tc>
        <w:tc>
          <w:tcPr>
            <w:tcW w:w="626" w:type="pct"/>
            <w:tcBorders>
              <w:top w:val="single" w:sz="4" w:space="0" w:color="auto"/>
              <w:left w:val="nil"/>
              <w:bottom w:val="single" w:sz="4" w:space="0" w:color="auto"/>
              <w:right w:val="single" w:sz="4" w:space="0" w:color="auto"/>
            </w:tcBorders>
          </w:tcPr>
          <w:p w14:paraId="0F3A5F06" w14:textId="77777777" w:rsidR="007A6564" w:rsidRPr="00DB24E5" w:rsidRDefault="007A6564" w:rsidP="00E9738B">
            <w:pPr>
              <w:widowControl w:val="0"/>
              <w:jc w:val="center"/>
              <w:rPr>
                <w:b/>
                <w:bCs/>
                <w:color w:val="000000"/>
                <w:sz w:val="21"/>
                <w:szCs w:val="21"/>
                <w:lang w:val="es-ES"/>
              </w:rPr>
            </w:pPr>
            <w:r w:rsidRPr="00DB24E5">
              <w:rPr>
                <w:b/>
                <w:bCs/>
                <w:color w:val="000000"/>
                <w:sz w:val="21"/>
                <w:szCs w:val="21"/>
                <w:lang w:val="es-ES"/>
              </w:rPr>
              <w:t>2016</w:t>
            </w:r>
          </w:p>
        </w:tc>
        <w:tc>
          <w:tcPr>
            <w:tcW w:w="625" w:type="pct"/>
            <w:tcBorders>
              <w:top w:val="single" w:sz="4" w:space="0" w:color="auto"/>
              <w:left w:val="single" w:sz="4" w:space="0" w:color="auto"/>
              <w:bottom w:val="single" w:sz="4" w:space="0" w:color="auto"/>
              <w:right w:val="single" w:sz="4" w:space="0" w:color="auto"/>
            </w:tcBorders>
          </w:tcPr>
          <w:p w14:paraId="4D5C1BC1" w14:textId="77777777" w:rsidR="007A6564" w:rsidRPr="00DB24E5" w:rsidRDefault="007A6564" w:rsidP="00E9738B">
            <w:pPr>
              <w:widowControl w:val="0"/>
              <w:jc w:val="center"/>
              <w:rPr>
                <w:b/>
                <w:bCs/>
                <w:color w:val="000000"/>
                <w:sz w:val="21"/>
                <w:szCs w:val="21"/>
                <w:lang w:val="es-ES"/>
              </w:rPr>
            </w:pPr>
            <w:r w:rsidRPr="00DB24E5">
              <w:rPr>
                <w:b/>
                <w:bCs/>
                <w:color w:val="000000"/>
                <w:sz w:val="21"/>
                <w:szCs w:val="21"/>
                <w:lang w:val="es-ES"/>
              </w:rPr>
              <w:t>2017</w:t>
            </w:r>
          </w:p>
        </w:tc>
        <w:tc>
          <w:tcPr>
            <w:tcW w:w="626" w:type="pct"/>
            <w:tcBorders>
              <w:top w:val="single" w:sz="4" w:space="0" w:color="auto"/>
              <w:left w:val="single" w:sz="4" w:space="0" w:color="auto"/>
              <w:bottom w:val="single" w:sz="4" w:space="0" w:color="auto"/>
              <w:right w:val="single" w:sz="4" w:space="0" w:color="auto"/>
            </w:tcBorders>
          </w:tcPr>
          <w:p w14:paraId="61A1AC41" w14:textId="77777777" w:rsidR="007A6564" w:rsidRPr="00DB24E5" w:rsidRDefault="007A6564" w:rsidP="00E9738B">
            <w:pPr>
              <w:widowControl w:val="0"/>
              <w:jc w:val="center"/>
              <w:rPr>
                <w:b/>
                <w:bCs/>
                <w:color w:val="000000"/>
                <w:sz w:val="21"/>
                <w:szCs w:val="21"/>
                <w:lang w:val="es-ES"/>
              </w:rPr>
            </w:pPr>
            <w:r w:rsidRPr="00DB24E5">
              <w:rPr>
                <w:b/>
                <w:bCs/>
                <w:color w:val="000000"/>
                <w:sz w:val="21"/>
                <w:szCs w:val="21"/>
                <w:lang w:val="es-ES"/>
              </w:rPr>
              <w:t>2018</w:t>
            </w:r>
          </w:p>
        </w:tc>
        <w:tc>
          <w:tcPr>
            <w:tcW w:w="625" w:type="pct"/>
            <w:tcBorders>
              <w:top w:val="single" w:sz="4" w:space="0" w:color="auto"/>
              <w:left w:val="single" w:sz="4" w:space="0" w:color="auto"/>
              <w:bottom w:val="single" w:sz="4" w:space="0" w:color="auto"/>
              <w:right w:val="single" w:sz="4" w:space="0" w:color="auto"/>
            </w:tcBorders>
            <w:vAlign w:val="center"/>
          </w:tcPr>
          <w:p w14:paraId="125A1E18" w14:textId="2DBEF652" w:rsidR="007A6564" w:rsidRPr="00DB24E5" w:rsidRDefault="007A6564">
            <w:pPr>
              <w:widowControl w:val="0"/>
              <w:jc w:val="center"/>
              <w:rPr>
                <w:b/>
                <w:bCs/>
                <w:color w:val="000000"/>
                <w:sz w:val="21"/>
                <w:szCs w:val="21"/>
                <w:lang w:val="es-ES"/>
              </w:rPr>
            </w:pPr>
            <w:r w:rsidRPr="00DB24E5">
              <w:rPr>
                <w:b/>
                <w:bCs/>
                <w:color w:val="000000"/>
                <w:sz w:val="21"/>
                <w:szCs w:val="21"/>
                <w:lang w:val="es-ES"/>
              </w:rPr>
              <w:t>2019</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14873" w14:textId="4DF33E84" w:rsidR="007A6564" w:rsidRPr="00DB24E5" w:rsidRDefault="00C17CDF" w:rsidP="00E9738B">
            <w:pPr>
              <w:widowControl w:val="0"/>
              <w:jc w:val="center"/>
              <w:rPr>
                <w:b/>
                <w:bCs/>
                <w:color w:val="000000"/>
                <w:sz w:val="21"/>
                <w:szCs w:val="21"/>
                <w:lang w:val="es-ES"/>
              </w:rPr>
            </w:pPr>
            <w:r w:rsidRPr="00DB24E5">
              <w:rPr>
                <w:b/>
                <w:bCs/>
                <w:color w:val="000000"/>
                <w:sz w:val="21"/>
                <w:szCs w:val="21"/>
                <w:lang w:val="es-ES"/>
              </w:rPr>
              <w:t>Nivel de referencia</w:t>
            </w:r>
          </w:p>
        </w:tc>
      </w:tr>
      <w:tr w:rsidR="00C17CDF" w:rsidRPr="00DB24E5" w14:paraId="77F49411" w14:textId="77777777" w:rsidTr="00080ECC">
        <w:trPr>
          <w:trHeight w:val="240"/>
        </w:trPr>
        <w:tc>
          <w:tcPr>
            <w:tcW w:w="1248"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E12B9A8" w14:textId="6707FA89" w:rsidR="007A6564" w:rsidRPr="00DB24E5" w:rsidRDefault="00C17CDF" w:rsidP="00C17CDF">
            <w:pPr>
              <w:widowControl w:val="0"/>
              <w:jc w:val="left"/>
              <w:rPr>
                <w:bCs/>
                <w:color w:val="000000"/>
                <w:sz w:val="21"/>
                <w:szCs w:val="21"/>
                <w:lang w:val="es-ES"/>
              </w:rPr>
            </w:pPr>
            <w:r w:rsidRPr="00DB24E5">
              <w:rPr>
                <w:bCs/>
                <w:color w:val="000000"/>
                <w:sz w:val="21"/>
                <w:szCs w:val="21"/>
                <w:lang w:val="es-ES"/>
              </w:rPr>
              <w:t>Toneladas métricas</w:t>
            </w:r>
            <w:r w:rsidR="007A6564" w:rsidRPr="00DB24E5">
              <w:rPr>
                <w:bCs/>
                <w:color w:val="000000"/>
                <w:sz w:val="21"/>
                <w:szCs w:val="21"/>
                <w:lang w:val="es-ES"/>
              </w:rPr>
              <w:t xml:space="preserve"> (</w:t>
            </w:r>
            <w:proofErr w:type="spellStart"/>
            <w:r w:rsidRPr="00DB24E5">
              <w:rPr>
                <w:bCs/>
                <w:color w:val="000000"/>
                <w:sz w:val="21"/>
                <w:szCs w:val="21"/>
                <w:lang w:val="es-ES"/>
              </w:rPr>
              <w:t>tm</w:t>
            </w:r>
            <w:proofErr w:type="spellEnd"/>
            <w:r w:rsidR="007A6564" w:rsidRPr="00DB24E5">
              <w:rPr>
                <w:bCs/>
                <w:color w:val="000000"/>
                <w:sz w:val="21"/>
                <w:szCs w:val="21"/>
                <w:lang w:val="es-ES"/>
              </w:rPr>
              <w:t>)</w:t>
            </w:r>
          </w:p>
        </w:tc>
        <w:tc>
          <w:tcPr>
            <w:tcW w:w="625" w:type="pct"/>
            <w:tcBorders>
              <w:top w:val="nil"/>
              <w:left w:val="nil"/>
              <w:bottom w:val="single" w:sz="4" w:space="0" w:color="auto"/>
              <w:right w:val="single" w:sz="4" w:space="0" w:color="auto"/>
            </w:tcBorders>
            <w:shd w:val="clear" w:color="auto" w:fill="auto"/>
            <w:noWrap/>
            <w:tcMar>
              <w:left w:w="115" w:type="dxa"/>
              <w:right w:w="230" w:type="dxa"/>
            </w:tcMar>
          </w:tcPr>
          <w:p w14:paraId="0F6952CD" w14:textId="52918F34" w:rsidR="007A6564" w:rsidRPr="00DB24E5" w:rsidRDefault="007A6564" w:rsidP="00E9738B">
            <w:pPr>
              <w:jc w:val="right"/>
              <w:rPr>
                <w:sz w:val="21"/>
                <w:szCs w:val="21"/>
                <w:lang w:val="es-ES"/>
              </w:rPr>
            </w:pPr>
            <w:r w:rsidRPr="00DB24E5">
              <w:rPr>
                <w:sz w:val="21"/>
                <w:szCs w:val="21"/>
                <w:lang w:val="es-ES"/>
              </w:rPr>
              <w:t>12</w:t>
            </w:r>
            <w:r w:rsidR="0086358A" w:rsidRPr="00DB24E5">
              <w:rPr>
                <w:sz w:val="21"/>
                <w:szCs w:val="21"/>
                <w:lang w:val="es-ES"/>
              </w:rPr>
              <w:t>,</w:t>
            </w:r>
            <w:r w:rsidRPr="00DB24E5">
              <w:rPr>
                <w:sz w:val="21"/>
                <w:szCs w:val="21"/>
                <w:lang w:val="es-ES"/>
              </w:rPr>
              <w:t>16</w:t>
            </w:r>
          </w:p>
        </w:tc>
        <w:tc>
          <w:tcPr>
            <w:tcW w:w="626" w:type="pct"/>
            <w:tcBorders>
              <w:top w:val="single" w:sz="4" w:space="0" w:color="auto"/>
              <w:left w:val="nil"/>
              <w:bottom w:val="single" w:sz="4" w:space="0" w:color="auto"/>
              <w:right w:val="single" w:sz="4" w:space="0" w:color="auto"/>
            </w:tcBorders>
            <w:tcMar>
              <w:left w:w="115" w:type="dxa"/>
              <w:right w:w="230" w:type="dxa"/>
            </w:tcMar>
          </w:tcPr>
          <w:p w14:paraId="569A441C" w14:textId="7E77EB9E" w:rsidR="007A6564" w:rsidRPr="00DB24E5" w:rsidRDefault="007A6564" w:rsidP="00E9738B">
            <w:pPr>
              <w:jc w:val="right"/>
              <w:rPr>
                <w:sz w:val="21"/>
                <w:szCs w:val="21"/>
                <w:lang w:val="es-ES"/>
              </w:rPr>
            </w:pPr>
            <w:r w:rsidRPr="00DB24E5">
              <w:rPr>
                <w:sz w:val="21"/>
                <w:szCs w:val="21"/>
                <w:lang w:val="es-ES"/>
              </w:rPr>
              <w:t>11</w:t>
            </w:r>
            <w:r w:rsidR="0086358A" w:rsidRPr="00DB24E5">
              <w:rPr>
                <w:sz w:val="21"/>
                <w:szCs w:val="21"/>
                <w:lang w:val="es-ES"/>
              </w:rPr>
              <w:t>,</w:t>
            </w:r>
            <w:r w:rsidRPr="00DB24E5">
              <w:rPr>
                <w:sz w:val="21"/>
                <w:szCs w:val="21"/>
                <w:lang w:val="es-ES"/>
              </w:rPr>
              <w:t>29</w:t>
            </w:r>
          </w:p>
        </w:tc>
        <w:tc>
          <w:tcPr>
            <w:tcW w:w="625" w:type="pct"/>
            <w:tcBorders>
              <w:top w:val="nil"/>
              <w:left w:val="single" w:sz="4" w:space="0" w:color="auto"/>
              <w:bottom w:val="single" w:sz="4" w:space="0" w:color="auto"/>
              <w:right w:val="single" w:sz="4" w:space="0" w:color="auto"/>
            </w:tcBorders>
            <w:tcMar>
              <w:left w:w="115" w:type="dxa"/>
              <w:right w:w="230" w:type="dxa"/>
            </w:tcMar>
          </w:tcPr>
          <w:p w14:paraId="7733C481" w14:textId="13DF3548" w:rsidR="007A6564" w:rsidRPr="00DB24E5" w:rsidRDefault="007A6564" w:rsidP="00E9738B">
            <w:pPr>
              <w:jc w:val="right"/>
              <w:rPr>
                <w:sz w:val="21"/>
                <w:szCs w:val="21"/>
                <w:lang w:val="es-ES"/>
              </w:rPr>
            </w:pPr>
            <w:r w:rsidRPr="00DB24E5">
              <w:rPr>
                <w:sz w:val="21"/>
                <w:szCs w:val="21"/>
                <w:lang w:val="es-ES"/>
              </w:rPr>
              <w:t>3</w:t>
            </w:r>
            <w:r w:rsidR="0086358A" w:rsidRPr="00DB24E5">
              <w:rPr>
                <w:sz w:val="21"/>
                <w:szCs w:val="21"/>
                <w:lang w:val="es-ES"/>
              </w:rPr>
              <w:t>,</w:t>
            </w:r>
            <w:r w:rsidRPr="00DB24E5">
              <w:rPr>
                <w:sz w:val="21"/>
                <w:szCs w:val="21"/>
                <w:lang w:val="es-ES"/>
              </w:rPr>
              <w:t>54</w:t>
            </w:r>
          </w:p>
        </w:tc>
        <w:tc>
          <w:tcPr>
            <w:tcW w:w="626" w:type="pct"/>
            <w:tcBorders>
              <w:top w:val="nil"/>
              <w:left w:val="single" w:sz="4" w:space="0" w:color="auto"/>
              <w:bottom w:val="single" w:sz="4" w:space="0" w:color="auto"/>
              <w:right w:val="single" w:sz="4" w:space="0" w:color="auto"/>
            </w:tcBorders>
            <w:tcMar>
              <w:left w:w="115" w:type="dxa"/>
              <w:right w:w="230" w:type="dxa"/>
            </w:tcMar>
          </w:tcPr>
          <w:p w14:paraId="18067D01" w14:textId="5DCB47F6" w:rsidR="007A6564" w:rsidRPr="00DB24E5" w:rsidRDefault="007A6564" w:rsidP="00E9738B">
            <w:pPr>
              <w:widowControl w:val="0"/>
              <w:jc w:val="right"/>
              <w:rPr>
                <w:rFonts w:eastAsiaTheme="minorHAnsi"/>
                <w:color w:val="000000"/>
                <w:sz w:val="21"/>
                <w:szCs w:val="21"/>
                <w:lang w:val="es-ES"/>
              </w:rPr>
            </w:pPr>
            <w:r w:rsidRPr="00DB24E5">
              <w:rPr>
                <w:rFonts w:eastAsiaTheme="minorHAnsi"/>
                <w:color w:val="000000"/>
                <w:sz w:val="21"/>
                <w:szCs w:val="21"/>
                <w:lang w:val="es-ES"/>
              </w:rPr>
              <w:t>3</w:t>
            </w:r>
            <w:r w:rsidR="0086358A" w:rsidRPr="00DB24E5">
              <w:rPr>
                <w:rFonts w:eastAsiaTheme="minorHAnsi"/>
                <w:color w:val="000000"/>
                <w:sz w:val="21"/>
                <w:szCs w:val="21"/>
                <w:lang w:val="es-ES"/>
              </w:rPr>
              <w:t>,</w:t>
            </w:r>
            <w:r w:rsidRPr="00DB24E5">
              <w:rPr>
                <w:rFonts w:eastAsiaTheme="minorHAnsi"/>
                <w:color w:val="000000"/>
                <w:sz w:val="21"/>
                <w:szCs w:val="21"/>
                <w:lang w:val="es-ES"/>
              </w:rPr>
              <w:t>09</w:t>
            </w:r>
          </w:p>
        </w:tc>
        <w:tc>
          <w:tcPr>
            <w:tcW w:w="625" w:type="pct"/>
            <w:tcBorders>
              <w:top w:val="nil"/>
              <w:left w:val="single" w:sz="4" w:space="0" w:color="auto"/>
              <w:bottom w:val="single" w:sz="4" w:space="0" w:color="auto"/>
              <w:right w:val="single" w:sz="4" w:space="0" w:color="auto"/>
            </w:tcBorders>
            <w:tcMar>
              <w:left w:w="115" w:type="dxa"/>
              <w:right w:w="230" w:type="dxa"/>
            </w:tcMar>
            <w:vAlign w:val="bottom"/>
          </w:tcPr>
          <w:p w14:paraId="4BF657D2" w14:textId="131C85D6" w:rsidR="007A6564" w:rsidRPr="00DB24E5" w:rsidRDefault="001122C6" w:rsidP="00E9738B">
            <w:pPr>
              <w:jc w:val="right"/>
              <w:rPr>
                <w:color w:val="000000"/>
                <w:sz w:val="21"/>
                <w:szCs w:val="21"/>
                <w:lang w:val="es-ES"/>
              </w:rPr>
            </w:pPr>
            <w:r w:rsidRPr="00DB24E5">
              <w:rPr>
                <w:color w:val="000000"/>
                <w:sz w:val="21"/>
                <w:szCs w:val="21"/>
                <w:lang w:val="es-ES"/>
              </w:rPr>
              <w:t>0</w:t>
            </w:r>
            <w:r w:rsidR="0086358A" w:rsidRPr="00DB24E5">
              <w:rPr>
                <w:color w:val="000000"/>
                <w:sz w:val="21"/>
                <w:szCs w:val="21"/>
                <w:lang w:val="es-ES"/>
              </w:rPr>
              <w:t>,</w:t>
            </w:r>
            <w:r w:rsidRPr="00DB24E5">
              <w:rPr>
                <w:color w:val="000000"/>
                <w:sz w:val="21"/>
                <w:szCs w:val="21"/>
                <w:lang w:val="es-ES"/>
              </w:rPr>
              <w:t>94</w:t>
            </w:r>
          </w:p>
        </w:tc>
        <w:tc>
          <w:tcPr>
            <w:tcW w:w="626" w:type="pct"/>
            <w:tcBorders>
              <w:top w:val="nil"/>
              <w:left w:val="single" w:sz="4" w:space="0" w:color="auto"/>
              <w:bottom w:val="single" w:sz="4" w:space="0" w:color="auto"/>
              <w:right w:val="single" w:sz="4" w:space="0" w:color="auto"/>
            </w:tcBorders>
            <w:shd w:val="clear" w:color="auto" w:fill="auto"/>
            <w:noWrap/>
            <w:tcMar>
              <w:left w:w="115" w:type="dxa"/>
              <w:right w:w="230" w:type="dxa"/>
            </w:tcMar>
            <w:vAlign w:val="center"/>
          </w:tcPr>
          <w:p w14:paraId="4493DF91" w14:textId="6B79A503" w:rsidR="007A6564" w:rsidRPr="00DB24E5" w:rsidRDefault="007A6564" w:rsidP="00E9738B">
            <w:pPr>
              <w:widowControl w:val="0"/>
              <w:jc w:val="right"/>
              <w:rPr>
                <w:bCs/>
                <w:color w:val="000000"/>
                <w:sz w:val="21"/>
                <w:szCs w:val="21"/>
                <w:lang w:val="es-ES"/>
              </w:rPr>
            </w:pPr>
            <w:r w:rsidRPr="00DB24E5">
              <w:rPr>
                <w:bCs/>
                <w:color w:val="000000"/>
                <w:sz w:val="21"/>
                <w:szCs w:val="21"/>
                <w:lang w:val="es-ES"/>
              </w:rPr>
              <w:t>13</w:t>
            </w:r>
            <w:r w:rsidR="0086358A" w:rsidRPr="00DB24E5">
              <w:rPr>
                <w:bCs/>
                <w:color w:val="000000"/>
                <w:sz w:val="21"/>
                <w:szCs w:val="21"/>
                <w:lang w:val="es-ES"/>
              </w:rPr>
              <w:t>,</w:t>
            </w:r>
            <w:r w:rsidRPr="00DB24E5">
              <w:rPr>
                <w:bCs/>
                <w:color w:val="000000"/>
                <w:sz w:val="21"/>
                <w:szCs w:val="21"/>
                <w:lang w:val="es-ES"/>
              </w:rPr>
              <w:t>9</w:t>
            </w:r>
          </w:p>
        </w:tc>
      </w:tr>
      <w:tr w:rsidR="00C17CDF" w:rsidRPr="00DB24E5" w14:paraId="4F4E66B8" w14:textId="77777777" w:rsidTr="00B91450">
        <w:trPr>
          <w:trHeight w:val="40"/>
        </w:trPr>
        <w:tc>
          <w:tcPr>
            <w:tcW w:w="1248"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CE13A92" w14:textId="3D510D60" w:rsidR="007A6564" w:rsidRPr="00DB24E5" w:rsidRDefault="00C17CDF" w:rsidP="00E9738B">
            <w:pPr>
              <w:widowControl w:val="0"/>
              <w:jc w:val="left"/>
              <w:rPr>
                <w:color w:val="000000"/>
                <w:sz w:val="21"/>
                <w:szCs w:val="21"/>
                <w:lang w:val="es-ES"/>
              </w:rPr>
            </w:pPr>
            <w:r w:rsidRPr="00DB24E5">
              <w:rPr>
                <w:bCs/>
                <w:color w:val="000000"/>
                <w:sz w:val="21"/>
                <w:szCs w:val="21"/>
                <w:lang w:val="es-ES"/>
              </w:rPr>
              <w:t>T</w:t>
            </w:r>
            <w:r w:rsidR="0001658C" w:rsidRPr="00DB24E5">
              <w:rPr>
                <w:bCs/>
                <w:color w:val="000000"/>
                <w:sz w:val="21"/>
                <w:szCs w:val="21"/>
                <w:lang w:val="es-ES"/>
              </w:rPr>
              <w:t>oneladas PAO</w:t>
            </w:r>
          </w:p>
        </w:tc>
        <w:tc>
          <w:tcPr>
            <w:tcW w:w="625" w:type="pct"/>
            <w:tcBorders>
              <w:top w:val="nil"/>
              <w:left w:val="nil"/>
              <w:bottom w:val="single" w:sz="4" w:space="0" w:color="auto"/>
              <w:right w:val="single" w:sz="4" w:space="0" w:color="auto"/>
            </w:tcBorders>
            <w:shd w:val="clear" w:color="auto" w:fill="auto"/>
            <w:noWrap/>
            <w:tcMar>
              <w:left w:w="115" w:type="dxa"/>
              <w:right w:w="230" w:type="dxa"/>
            </w:tcMar>
          </w:tcPr>
          <w:p w14:paraId="6790F08B" w14:textId="37A8C24A" w:rsidR="007A6564" w:rsidRPr="00DB24E5" w:rsidRDefault="007A6564" w:rsidP="00E9738B">
            <w:pPr>
              <w:jc w:val="right"/>
              <w:rPr>
                <w:sz w:val="21"/>
                <w:szCs w:val="21"/>
                <w:lang w:val="es-ES"/>
              </w:rPr>
            </w:pPr>
            <w:r w:rsidRPr="00DB24E5">
              <w:rPr>
                <w:sz w:val="21"/>
                <w:szCs w:val="21"/>
                <w:lang w:val="es-ES"/>
              </w:rPr>
              <w:t>0</w:t>
            </w:r>
            <w:r w:rsidR="0086358A" w:rsidRPr="00DB24E5">
              <w:rPr>
                <w:sz w:val="21"/>
                <w:szCs w:val="21"/>
                <w:lang w:val="es-ES"/>
              </w:rPr>
              <w:t>,</w:t>
            </w:r>
            <w:r w:rsidRPr="00DB24E5">
              <w:rPr>
                <w:sz w:val="21"/>
                <w:szCs w:val="21"/>
                <w:lang w:val="es-ES"/>
              </w:rPr>
              <w:t>67</w:t>
            </w:r>
          </w:p>
        </w:tc>
        <w:tc>
          <w:tcPr>
            <w:tcW w:w="626" w:type="pct"/>
            <w:tcBorders>
              <w:top w:val="single" w:sz="4" w:space="0" w:color="auto"/>
              <w:left w:val="nil"/>
              <w:bottom w:val="single" w:sz="4" w:space="0" w:color="auto"/>
              <w:right w:val="single" w:sz="4" w:space="0" w:color="auto"/>
            </w:tcBorders>
            <w:tcMar>
              <w:left w:w="115" w:type="dxa"/>
              <w:right w:w="230" w:type="dxa"/>
            </w:tcMar>
          </w:tcPr>
          <w:p w14:paraId="3E68E7ED" w14:textId="0A2961E4" w:rsidR="007A6564" w:rsidRPr="00DB24E5" w:rsidRDefault="007A6564" w:rsidP="00E9738B">
            <w:pPr>
              <w:jc w:val="right"/>
              <w:rPr>
                <w:sz w:val="21"/>
                <w:szCs w:val="21"/>
                <w:lang w:val="es-ES"/>
              </w:rPr>
            </w:pPr>
            <w:r w:rsidRPr="00DB24E5">
              <w:rPr>
                <w:sz w:val="21"/>
                <w:szCs w:val="21"/>
                <w:lang w:val="es-ES"/>
              </w:rPr>
              <w:t>0</w:t>
            </w:r>
            <w:r w:rsidR="0086358A" w:rsidRPr="00DB24E5">
              <w:rPr>
                <w:sz w:val="21"/>
                <w:szCs w:val="21"/>
                <w:lang w:val="es-ES"/>
              </w:rPr>
              <w:t>,</w:t>
            </w:r>
            <w:r w:rsidRPr="00DB24E5">
              <w:rPr>
                <w:sz w:val="21"/>
                <w:szCs w:val="21"/>
                <w:lang w:val="es-ES"/>
              </w:rPr>
              <w:t>62</w:t>
            </w:r>
          </w:p>
        </w:tc>
        <w:tc>
          <w:tcPr>
            <w:tcW w:w="625" w:type="pct"/>
            <w:tcBorders>
              <w:top w:val="nil"/>
              <w:left w:val="single" w:sz="4" w:space="0" w:color="auto"/>
              <w:bottom w:val="single" w:sz="4" w:space="0" w:color="auto"/>
              <w:right w:val="single" w:sz="4" w:space="0" w:color="auto"/>
            </w:tcBorders>
            <w:tcMar>
              <w:left w:w="115" w:type="dxa"/>
              <w:right w:w="230" w:type="dxa"/>
            </w:tcMar>
          </w:tcPr>
          <w:p w14:paraId="59964A5C" w14:textId="555B7A73" w:rsidR="007A6564" w:rsidRPr="00DB24E5" w:rsidRDefault="007A6564" w:rsidP="00E9738B">
            <w:pPr>
              <w:jc w:val="right"/>
              <w:rPr>
                <w:sz w:val="21"/>
                <w:szCs w:val="21"/>
                <w:lang w:val="es-ES"/>
              </w:rPr>
            </w:pPr>
            <w:r w:rsidRPr="00DB24E5">
              <w:rPr>
                <w:sz w:val="21"/>
                <w:szCs w:val="21"/>
                <w:lang w:val="es-ES"/>
              </w:rPr>
              <w:t>0</w:t>
            </w:r>
            <w:r w:rsidR="0086358A" w:rsidRPr="00DB24E5">
              <w:rPr>
                <w:sz w:val="21"/>
                <w:szCs w:val="21"/>
                <w:lang w:val="es-ES"/>
              </w:rPr>
              <w:t>,</w:t>
            </w:r>
            <w:r w:rsidRPr="00DB24E5">
              <w:rPr>
                <w:sz w:val="21"/>
                <w:szCs w:val="21"/>
                <w:lang w:val="es-ES"/>
              </w:rPr>
              <w:t>19</w:t>
            </w:r>
          </w:p>
        </w:tc>
        <w:tc>
          <w:tcPr>
            <w:tcW w:w="626" w:type="pct"/>
            <w:tcBorders>
              <w:top w:val="nil"/>
              <w:left w:val="single" w:sz="4" w:space="0" w:color="auto"/>
              <w:bottom w:val="single" w:sz="4" w:space="0" w:color="auto"/>
              <w:right w:val="single" w:sz="4" w:space="0" w:color="auto"/>
            </w:tcBorders>
            <w:tcMar>
              <w:left w:w="115" w:type="dxa"/>
              <w:right w:w="230" w:type="dxa"/>
            </w:tcMar>
          </w:tcPr>
          <w:p w14:paraId="75AF8E66" w14:textId="7F1DB530" w:rsidR="007A6564" w:rsidRPr="00DB24E5" w:rsidRDefault="007A6564" w:rsidP="00E9738B">
            <w:pPr>
              <w:jc w:val="right"/>
              <w:rPr>
                <w:rFonts w:eastAsiaTheme="minorHAnsi"/>
                <w:color w:val="000000"/>
                <w:sz w:val="21"/>
                <w:szCs w:val="21"/>
                <w:lang w:val="es-ES"/>
              </w:rPr>
            </w:pPr>
            <w:r w:rsidRPr="00DB24E5">
              <w:rPr>
                <w:rFonts w:eastAsiaTheme="minorHAnsi"/>
                <w:color w:val="000000"/>
                <w:sz w:val="21"/>
                <w:szCs w:val="21"/>
                <w:lang w:val="es-ES"/>
              </w:rPr>
              <w:t>0</w:t>
            </w:r>
            <w:r w:rsidR="0086358A" w:rsidRPr="00DB24E5">
              <w:rPr>
                <w:rFonts w:eastAsiaTheme="minorHAnsi"/>
                <w:color w:val="000000"/>
                <w:sz w:val="21"/>
                <w:szCs w:val="21"/>
                <w:lang w:val="es-ES"/>
              </w:rPr>
              <w:t>,</w:t>
            </w:r>
            <w:r w:rsidRPr="00DB24E5">
              <w:rPr>
                <w:rFonts w:eastAsiaTheme="minorHAnsi"/>
                <w:color w:val="000000"/>
                <w:sz w:val="21"/>
                <w:szCs w:val="21"/>
                <w:lang w:val="es-ES"/>
              </w:rPr>
              <w:t>17</w:t>
            </w:r>
          </w:p>
        </w:tc>
        <w:tc>
          <w:tcPr>
            <w:tcW w:w="625" w:type="pct"/>
            <w:tcBorders>
              <w:top w:val="nil"/>
              <w:left w:val="single" w:sz="4" w:space="0" w:color="auto"/>
              <w:bottom w:val="single" w:sz="4" w:space="0" w:color="auto"/>
              <w:right w:val="single" w:sz="4" w:space="0" w:color="auto"/>
            </w:tcBorders>
            <w:tcMar>
              <w:left w:w="115" w:type="dxa"/>
              <w:right w:w="230" w:type="dxa"/>
            </w:tcMar>
          </w:tcPr>
          <w:p w14:paraId="6AF6DD3B" w14:textId="3A02C053" w:rsidR="007A6564" w:rsidRPr="00DB24E5" w:rsidRDefault="007A6564" w:rsidP="00E9738B">
            <w:pPr>
              <w:jc w:val="right"/>
              <w:rPr>
                <w:rFonts w:eastAsiaTheme="minorHAnsi"/>
                <w:color w:val="000000"/>
                <w:sz w:val="21"/>
                <w:szCs w:val="21"/>
                <w:lang w:val="es-ES"/>
              </w:rPr>
            </w:pPr>
            <w:r w:rsidRPr="00DB24E5">
              <w:rPr>
                <w:rFonts w:eastAsiaTheme="minorHAnsi"/>
                <w:color w:val="000000"/>
                <w:sz w:val="21"/>
                <w:szCs w:val="21"/>
                <w:lang w:val="es-ES"/>
              </w:rPr>
              <w:t>0</w:t>
            </w:r>
            <w:r w:rsidR="0086358A" w:rsidRPr="00DB24E5">
              <w:rPr>
                <w:rFonts w:eastAsiaTheme="minorHAnsi"/>
                <w:color w:val="000000"/>
                <w:sz w:val="21"/>
                <w:szCs w:val="21"/>
                <w:lang w:val="es-ES"/>
              </w:rPr>
              <w:t>,</w:t>
            </w:r>
            <w:r w:rsidRPr="00DB24E5">
              <w:rPr>
                <w:rFonts w:eastAsiaTheme="minorHAnsi"/>
                <w:color w:val="000000"/>
                <w:sz w:val="21"/>
                <w:szCs w:val="21"/>
                <w:lang w:val="es-ES"/>
              </w:rPr>
              <w:t>05</w:t>
            </w:r>
          </w:p>
        </w:tc>
        <w:tc>
          <w:tcPr>
            <w:tcW w:w="626" w:type="pct"/>
            <w:tcBorders>
              <w:top w:val="nil"/>
              <w:left w:val="single" w:sz="4" w:space="0" w:color="auto"/>
              <w:bottom w:val="single" w:sz="4" w:space="0" w:color="auto"/>
              <w:right w:val="single" w:sz="4" w:space="0" w:color="auto"/>
            </w:tcBorders>
            <w:shd w:val="clear" w:color="auto" w:fill="auto"/>
            <w:noWrap/>
            <w:tcMar>
              <w:left w:w="115" w:type="dxa"/>
              <w:right w:w="230" w:type="dxa"/>
            </w:tcMar>
          </w:tcPr>
          <w:p w14:paraId="1B921C25" w14:textId="0674DA38" w:rsidR="007A6564" w:rsidRPr="00DB24E5" w:rsidRDefault="007A6564" w:rsidP="00E9738B">
            <w:pPr>
              <w:jc w:val="right"/>
              <w:rPr>
                <w:rFonts w:eastAsiaTheme="minorHAnsi"/>
                <w:color w:val="000000"/>
                <w:sz w:val="21"/>
                <w:szCs w:val="21"/>
                <w:lang w:val="es-ES"/>
              </w:rPr>
            </w:pPr>
            <w:r w:rsidRPr="00DB24E5">
              <w:rPr>
                <w:rFonts w:eastAsiaTheme="minorHAnsi"/>
                <w:color w:val="000000"/>
                <w:sz w:val="21"/>
                <w:szCs w:val="21"/>
                <w:lang w:val="es-ES"/>
              </w:rPr>
              <w:t>0</w:t>
            </w:r>
            <w:r w:rsidR="0086358A" w:rsidRPr="00DB24E5">
              <w:rPr>
                <w:rFonts w:eastAsiaTheme="minorHAnsi"/>
                <w:color w:val="000000"/>
                <w:sz w:val="21"/>
                <w:szCs w:val="21"/>
                <w:lang w:val="es-ES"/>
              </w:rPr>
              <w:t>,</w:t>
            </w:r>
            <w:r w:rsidRPr="00DB24E5">
              <w:rPr>
                <w:rFonts w:eastAsiaTheme="minorHAnsi"/>
                <w:color w:val="000000"/>
                <w:sz w:val="21"/>
                <w:szCs w:val="21"/>
                <w:lang w:val="es-ES"/>
              </w:rPr>
              <w:t>8</w:t>
            </w:r>
          </w:p>
        </w:tc>
      </w:tr>
    </w:tbl>
    <w:p w14:paraId="0DC7924A" w14:textId="1EF3EFAA" w:rsidR="007A6564" w:rsidRPr="00DB24E5" w:rsidRDefault="007A6564" w:rsidP="007A6564">
      <w:pPr>
        <w:rPr>
          <w:sz w:val="16"/>
          <w:szCs w:val="16"/>
          <w:lang w:val="es-ES"/>
        </w:rPr>
      </w:pPr>
    </w:p>
    <w:p w14:paraId="113C5ED7" w14:textId="060BC93A" w:rsidR="007A6564" w:rsidRPr="00DB24E5" w:rsidRDefault="007A6564" w:rsidP="007C1B38">
      <w:pPr>
        <w:pStyle w:val="Heading1"/>
        <w:tabs>
          <w:tab w:val="clear" w:pos="0"/>
          <w:tab w:val="clear" w:pos="1985"/>
        </w:tabs>
        <w:rPr>
          <w:lang w:val="es-ES"/>
        </w:rPr>
      </w:pPr>
      <w:r w:rsidRPr="00DB24E5">
        <w:rPr>
          <w:lang w:val="es-ES"/>
        </w:rPr>
        <w:t xml:space="preserve">Montenegro </w:t>
      </w:r>
      <w:r w:rsidR="00B76592" w:rsidRPr="00DB24E5">
        <w:rPr>
          <w:lang w:val="es-ES"/>
        </w:rPr>
        <w:t xml:space="preserve">solo consume </w:t>
      </w:r>
      <w:r w:rsidRPr="00DB24E5">
        <w:rPr>
          <w:lang w:val="es-ES"/>
        </w:rPr>
        <w:t xml:space="preserve">HCFC-22 </w:t>
      </w:r>
      <w:r w:rsidR="00B76592" w:rsidRPr="00DB24E5">
        <w:rPr>
          <w:lang w:val="es-ES"/>
        </w:rPr>
        <w:t>en el sector de mantenimiento de equipos de refrigeración</w:t>
      </w:r>
      <w:r w:rsidRPr="00DB24E5">
        <w:rPr>
          <w:lang w:val="es-ES"/>
        </w:rPr>
        <w:t xml:space="preserve">. </w:t>
      </w:r>
      <w:r w:rsidR="00B76592" w:rsidRPr="00DB24E5">
        <w:rPr>
          <w:lang w:val="es-ES"/>
        </w:rPr>
        <w:t>E</w:t>
      </w:r>
      <w:r w:rsidR="00080ECC" w:rsidRPr="00DB24E5">
        <w:rPr>
          <w:lang w:val="es-ES"/>
        </w:rPr>
        <w:t xml:space="preserve">n 2012 </w:t>
      </w:r>
      <w:r w:rsidR="00B76592" w:rsidRPr="00DB24E5">
        <w:rPr>
          <w:lang w:val="es-ES"/>
        </w:rPr>
        <w:t xml:space="preserve">se importaron </w:t>
      </w:r>
      <w:r w:rsidR="007C55ED" w:rsidRPr="00DB24E5">
        <w:rPr>
          <w:lang w:val="es-ES"/>
        </w:rPr>
        <w:t>0</w:t>
      </w:r>
      <w:r w:rsidR="00B76592" w:rsidRPr="00DB24E5">
        <w:rPr>
          <w:lang w:val="es-ES"/>
        </w:rPr>
        <w:t>,</w:t>
      </w:r>
      <w:r w:rsidR="007C55ED" w:rsidRPr="00DB24E5">
        <w:rPr>
          <w:lang w:val="es-ES"/>
        </w:rPr>
        <w:t>94</w:t>
      </w:r>
      <w:r w:rsidR="003560FD" w:rsidRPr="00DB24E5">
        <w:rPr>
          <w:lang w:val="es-ES"/>
        </w:rPr>
        <w:t> </w:t>
      </w:r>
      <w:r w:rsidR="0001658C" w:rsidRPr="00DB24E5">
        <w:rPr>
          <w:lang w:val="es-ES"/>
        </w:rPr>
        <w:t>toneladas PAO</w:t>
      </w:r>
      <w:r w:rsidR="00080ECC" w:rsidRPr="00DB24E5">
        <w:rPr>
          <w:lang w:val="es-ES"/>
        </w:rPr>
        <w:t xml:space="preserve"> </w:t>
      </w:r>
      <w:r w:rsidR="00B76592" w:rsidRPr="00DB24E5">
        <w:rPr>
          <w:lang w:val="es-ES"/>
        </w:rPr>
        <w:t>de</w:t>
      </w:r>
      <w:r w:rsidR="00080ECC" w:rsidRPr="00DB24E5">
        <w:rPr>
          <w:lang w:val="es-ES"/>
        </w:rPr>
        <w:t xml:space="preserve"> HCFC-22</w:t>
      </w:r>
      <w:r w:rsidR="00A6655A" w:rsidRPr="00DB24E5">
        <w:rPr>
          <w:lang w:val="es-ES"/>
        </w:rPr>
        <w:t xml:space="preserve"> </w:t>
      </w:r>
      <w:r w:rsidR="00B76592" w:rsidRPr="00DB24E5">
        <w:rPr>
          <w:lang w:val="es-ES"/>
        </w:rPr>
        <w:t xml:space="preserve">antes de que se implantara la congelación en </w:t>
      </w:r>
      <w:r w:rsidR="007C55ED" w:rsidRPr="00DB24E5">
        <w:rPr>
          <w:lang w:val="es-ES"/>
        </w:rPr>
        <w:t>2013</w:t>
      </w:r>
      <w:r w:rsidR="00DD63D7" w:rsidRPr="00DB24E5">
        <w:rPr>
          <w:lang w:val="es-ES"/>
        </w:rPr>
        <w:t xml:space="preserve">; </w:t>
      </w:r>
      <w:r w:rsidR="00B76592" w:rsidRPr="00DB24E5">
        <w:rPr>
          <w:lang w:val="es-ES"/>
        </w:rPr>
        <w:t xml:space="preserve">desde entonces, el consume disminuyó a medida que se usaron las existencias y se llevaron a cabo las actividades previstas en el plan de gestión de eliminación de los </w:t>
      </w:r>
      <w:r w:rsidR="00DD63D7" w:rsidRPr="00DB24E5">
        <w:rPr>
          <w:lang w:val="es-ES"/>
        </w:rPr>
        <w:t>H</w:t>
      </w:r>
      <w:r w:rsidR="00B76592" w:rsidRPr="00DB24E5">
        <w:rPr>
          <w:lang w:val="es-ES"/>
        </w:rPr>
        <w:t>CFC</w:t>
      </w:r>
      <w:r w:rsidR="007C55ED" w:rsidRPr="00DB24E5">
        <w:rPr>
          <w:lang w:val="es-ES"/>
        </w:rPr>
        <w:t xml:space="preserve">, </w:t>
      </w:r>
      <w:r w:rsidR="00B76592" w:rsidRPr="00DB24E5">
        <w:rPr>
          <w:lang w:val="es-ES"/>
        </w:rPr>
        <w:t>en particular la capacitación de técnicos en refrigeración y la recuperación y el reciclado de refrigerantes</w:t>
      </w:r>
      <w:r w:rsidR="00DD63D7" w:rsidRPr="00DB24E5">
        <w:rPr>
          <w:lang w:val="es-ES"/>
        </w:rPr>
        <w:t xml:space="preserve">. </w:t>
      </w:r>
      <w:r w:rsidR="00B76592" w:rsidRPr="00DB24E5">
        <w:rPr>
          <w:lang w:val="es-ES"/>
        </w:rPr>
        <w:t>Además</w:t>
      </w:r>
      <w:r w:rsidR="00DD63D7" w:rsidRPr="00DB24E5">
        <w:rPr>
          <w:lang w:val="es-ES"/>
        </w:rPr>
        <w:t xml:space="preserve">, </w:t>
      </w:r>
      <w:r w:rsidR="00B76592" w:rsidRPr="00DB24E5">
        <w:rPr>
          <w:lang w:val="es-ES"/>
        </w:rPr>
        <w:t xml:space="preserve">la constante entrada en el Mercado de equipos de refrigeración y aire acondicionado que no usan </w:t>
      </w:r>
      <w:r w:rsidR="00DD63D7" w:rsidRPr="00DB24E5">
        <w:rPr>
          <w:lang w:val="es-ES"/>
        </w:rPr>
        <w:t>HCFC</w:t>
      </w:r>
      <w:r w:rsidR="00B76592" w:rsidRPr="00DB24E5">
        <w:rPr>
          <w:lang w:val="es-ES"/>
        </w:rPr>
        <w:t xml:space="preserve"> contribuyó a que el consumo de </w:t>
      </w:r>
      <w:r w:rsidR="00DD63D7" w:rsidRPr="00DB24E5">
        <w:rPr>
          <w:lang w:val="es-ES"/>
        </w:rPr>
        <w:t>HCFC-22</w:t>
      </w:r>
      <w:r w:rsidR="00B76592" w:rsidRPr="00DB24E5">
        <w:rPr>
          <w:lang w:val="es-ES"/>
        </w:rPr>
        <w:t xml:space="preserve"> siguiera disminuyendo</w:t>
      </w:r>
      <w:r w:rsidR="007C55ED" w:rsidRPr="00DB24E5">
        <w:rPr>
          <w:lang w:val="es-ES"/>
        </w:rPr>
        <w:t xml:space="preserve">. </w:t>
      </w:r>
      <w:r w:rsidR="00B76592" w:rsidRPr="00DB24E5">
        <w:rPr>
          <w:lang w:val="es-ES"/>
        </w:rPr>
        <w:t>La disminución del consumo e</w:t>
      </w:r>
      <w:r w:rsidR="005D1F57" w:rsidRPr="00DB24E5">
        <w:rPr>
          <w:lang w:val="es-ES"/>
        </w:rPr>
        <w:t>n</w:t>
      </w:r>
      <w:r w:rsidRPr="00DB24E5">
        <w:rPr>
          <w:lang w:val="es-ES"/>
        </w:rPr>
        <w:t xml:space="preserve"> 2019</w:t>
      </w:r>
      <w:r w:rsidR="007C5EBA" w:rsidRPr="00DB24E5">
        <w:rPr>
          <w:lang w:val="es-ES"/>
        </w:rPr>
        <w:t xml:space="preserve"> </w:t>
      </w:r>
      <w:r w:rsidR="00B76592" w:rsidRPr="00DB24E5">
        <w:rPr>
          <w:lang w:val="es-ES"/>
        </w:rPr>
        <w:t xml:space="preserve">obedeció a la aprobación de los cupos asignados a uno solo de los tres importadores que presentaron solicitud de cupos para importar </w:t>
      </w:r>
      <w:r w:rsidR="00815D2E" w:rsidRPr="00DB24E5">
        <w:rPr>
          <w:lang w:val="es-ES"/>
        </w:rPr>
        <w:t>HCFC</w:t>
      </w:r>
      <w:r w:rsidR="00815D2E" w:rsidRPr="00DB24E5">
        <w:rPr>
          <w:lang w:val="es-ES"/>
        </w:rPr>
        <w:noBreakHyphen/>
      </w:r>
      <w:r w:rsidRPr="00DB24E5">
        <w:rPr>
          <w:lang w:val="es-ES"/>
        </w:rPr>
        <w:t>22</w:t>
      </w:r>
      <w:r w:rsidR="007C5EBA" w:rsidRPr="00DB24E5">
        <w:rPr>
          <w:lang w:val="es-ES"/>
        </w:rPr>
        <w:t>,</w:t>
      </w:r>
      <w:r w:rsidRPr="00DB24E5">
        <w:rPr>
          <w:lang w:val="es-ES"/>
        </w:rPr>
        <w:t xml:space="preserve"> </w:t>
      </w:r>
      <w:r w:rsidR="00B76592" w:rsidRPr="00DB24E5">
        <w:rPr>
          <w:lang w:val="es-ES"/>
        </w:rPr>
        <w:t>y a que los cupos no utilizados son intransferibles</w:t>
      </w:r>
      <w:r w:rsidRPr="00DB24E5">
        <w:rPr>
          <w:lang w:val="es-ES"/>
        </w:rPr>
        <w:t>.</w:t>
      </w:r>
    </w:p>
    <w:p w14:paraId="540F08E3" w14:textId="6760395F" w:rsidR="007A6564" w:rsidRPr="00DB24E5" w:rsidRDefault="00B1395B" w:rsidP="007A6564">
      <w:pPr>
        <w:pStyle w:val="Heading1"/>
        <w:numPr>
          <w:ilvl w:val="0"/>
          <w:numId w:val="0"/>
        </w:numPr>
        <w:rPr>
          <w:i/>
          <w:lang w:val="es-ES"/>
        </w:rPr>
      </w:pPr>
      <w:r w:rsidRPr="00DB24E5">
        <w:rPr>
          <w:i/>
          <w:lang w:val="es-ES"/>
        </w:rPr>
        <w:t>Informe sobre la ejecución del programa de país</w:t>
      </w:r>
    </w:p>
    <w:p w14:paraId="5FD4E1CD" w14:textId="56B88251" w:rsidR="007A6564" w:rsidRPr="00DB24E5" w:rsidRDefault="00B76592" w:rsidP="007C1B38">
      <w:pPr>
        <w:pStyle w:val="Heading1"/>
        <w:tabs>
          <w:tab w:val="clear" w:pos="0"/>
          <w:tab w:val="clear" w:pos="1985"/>
        </w:tabs>
        <w:rPr>
          <w:lang w:val="es-ES"/>
        </w:rPr>
      </w:pPr>
      <w:r w:rsidRPr="00DB24E5">
        <w:rPr>
          <w:lang w:val="es-ES"/>
        </w:rPr>
        <w:t>El</w:t>
      </w:r>
      <w:r w:rsidR="007A6564" w:rsidRPr="00DB24E5">
        <w:rPr>
          <w:lang w:val="es-ES"/>
        </w:rPr>
        <w:t xml:space="preserve"> </w:t>
      </w:r>
      <w:r w:rsidR="00ED60EE" w:rsidRPr="00DB24E5">
        <w:rPr>
          <w:lang w:val="es-ES"/>
        </w:rPr>
        <w:t>Gobierno de</w:t>
      </w:r>
      <w:r w:rsidR="007A6564" w:rsidRPr="00DB24E5">
        <w:rPr>
          <w:lang w:val="es-ES"/>
        </w:rPr>
        <w:t xml:space="preserve"> Montenegro </w:t>
      </w:r>
      <w:r w:rsidRPr="00DB24E5">
        <w:rPr>
          <w:lang w:val="es-ES"/>
        </w:rPr>
        <w:t xml:space="preserve">notificó datos sobre el consumo de </w:t>
      </w:r>
      <w:r w:rsidR="007A6564" w:rsidRPr="00DB24E5">
        <w:rPr>
          <w:lang w:val="es-ES"/>
        </w:rPr>
        <w:t xml:space="preserve">HCFC </w:t>
      </w:r>
      <w:r w:rsidRPr="00DB24E5">
        <w:rPr>
          <w:lang w:val="es-ES"/>
        </w:rPr>
        <w:t xml:space="preserve">por </w:t>
      </w:r>
      <w:r w:rsidR="007A6564" w:rsidRPr="00DB24E5">
        <w:rPr>
          <w:lang w:val="es-ES"/>
        </w:rPr>
        <w:t>sector</w:t>
      </w:r>
      <w:r w:rsidRPr="00DB24E5">
        <w:rPr>
          <w:lang w:val="es-ES"/>
        </w:rPr>
        <w:t xml:space="preserve">es en el informe sobre la ejecución del programa de país correspondiente a </w:t>
      </w:r>
      <w:r w:rsidR="007A6564" w:rsidRPr="00DB24E5">
        <w:rPr>
          <w:lang w:val="es-ES"/>
        </w:rPr>
        <w:t>201</w:t>
      </w:r>
      <w:r w:rsidR="007A5B26" w:rsidRPr="00DB24E5">
        <w:rPr>
          <w:lang w:val="es-ES"/>
        </w:rPr>
        <w:t>9</w:t>
      </w:r>
      <w:r w:rsidRPr="00DB24E5">
        <w:rPr>
          <w:lang w:val="es-ES"/>
        </w:rPr>
        <w:t>, que concuerdan con los presentados con arreglo al artículo</w:t>
      </w:r>
      <w:r w:rsidR="007A6564" w:rsidRPr="00DB24E5">
        <w:rPr>
          <w:lang w:val="es-ES"/>
        </w:rPr>
        <w:t xml:space="preserve"> 7 </w:t>
      </w:r>
      <w:r w:rsidRPr="00DB24E5">
        <w:rPr>
          <w:lang w:val="es-ES"/>
        </w:rPr>
        <w:t>del Protocolo de</w:t>
      </w:r>
      <w:r w:rsidR="007A6564" w:rsidRPr="00DB24E5">
        <w:rPr>
          <w:lang w:val="es-ES"/>
        </w:rPr>
        <w:t xml:space="preserve"> </w:t>
      </w:r>
      <w:r w:rsidRPr="00DB24E5">
        <w:rPr>
          <w:lang w:val="es-ES"/>
        </w:rPr>
        <w:t>Montreal</w:t>
      </w:r>
      <w:r w:rsidR="007A6564" w:rsidRPr="00DB24E5">
        <w:rPr>
          <w:lang w:val="es-ES"/>
        </w:rPr>
        <w:t>.</w:t>
      </w:r>
    </w:p>
    <w:p w14:paraId="04E7608D" w14:textId="43D853B5" w:rsidR="007A6564" w:rsidRPr="00DB24E5" w:rsidRDefault="00B1395B" w:rsidP="007A6564">
      <w:pPr>
        <w:pStyle w:val="Heading1"/>
        <w:numPr>
          <w:ilvl w:val="0"/>
          <w:numId w:val="0"/>
        </w:numPr>
        <w:rPr>
          <w:i/>
          <w:lang w:val="es-ES"/>
        </w:rPr>
      </w:pPr>
      <w:r w:rsidRPr="00DB24E5">
        <w:rPr>
          <w:i/>
          <w:lang w:val="es-ES"/>
        </w:rPr>
        <w:t>Informe de verificación</w:t>
      </w:r>
      <w:r w:rsidR="007A6564" w:rsidRPr="00DB24E5">
        <w:rPr>
          <w:i/>
          <w:lang w:val="es-ES"/>
        </w:rPr>
        <w:t xml:space="preserve"> </w:t>
      </w:r>
    </w:p>
    <w:p w14:paraId="3B6FA3FD" w14:textId="231E7286" w:rsidR="007A6564" w:rsidRPr="00DB24E5" w:rsidRDefault="00B76592" w:rsidP="007C1B38">
      <w:pPr>
        <w:pStyle w:val="Heading1"/>
        <w:tabs>
          <w:tab w:val="clear" w:pos="0"/>
          <w:tab w:val="clear" w:pos="1985"/>
        </w:tabs>
        <w:rPr>
          <w:lang w:val="es-ES"/>
        </w:rPr>
      </w:pPr>
      <w:r w:rsidRPr="00DB24E5">
        <w:rPr>
          <w:lang w:val="es-ES"/>
        </w:rPr>
        <w:t xml:space="preserve">En el informe de verificación quedó confirmado que el Gobierno está aplicando un sistema de concesión de licencias y de cupos para las importaciones y exportaciones de </w:t>
      </w:r>
      <w:r w:rsidR="007A6564" w:rsidRPr="00DB24E5">
        <w:rPr>
          <w:lang w:val="es-ES"/>
        </w:rPr>
        <w:t>HCFC</w:t>
      </w:r>
      <w:r w:rsidR="004071AD" w:rsidRPr="00DB24E5">
        <w:rPr>
          <w:lang w:val="es-ES"/>
        </w:rPr>
        <w:t>;</w:t>
      </w:r>
      <w:r w:rsidRPr="00DB24E5">
        <w:rPr>
          <w:lang w:val="es-ES"/>
        </w:rPr>
        <w:t xml:space="preserve"> que el consumo total de</w:t>
      </w:r>
      <w:r w:rsidR="007A6564" w:rsidRPr="00DB24E5">
        <w:rPr>
          <w:lang w:val="es-ES"/>
        </w:rPr>
        <w:t xml:space="preserve"> HCFC</w:t>
      </w:r>
      <w:r w:rsidRPr="00DB24E5">
        <w:rPr>
          <w:lang w:val="es-ES"/>
        </w:rPr>
        <w:t xml:space="preserve"> notificado con arreglo al artículo </w:t>
      </w:r>
      <w:r w:rsidR="004071AD" w:rsidRPr="00DB24E5">
        <w:rPr>
          <w:lang w:val="es-ES"/>
        </w:rPr>
        <w:t xml:space="preserve">7 </w:t>
      </w:r>
      <w:r w:rsidRPr="00DB24E5">
        <w:rPr>
          <w:lang w:val="es-ES"/>
        </w:rPr>
        <w:t xml:space="preserve">del </w:t>
      </w:r>
      <w:r w:rsidR="004071AD" w:rsidRPr="00DB24E5">
        <w:rPr>
          <w:lang w:val="es-ES"/>
        </w:rPr>
        <w:t>Protocol</w:t>
      </w:r>
      <w:r w:rsidRPr="00DB24E5">
        <w:rPr>
          <w:lang w:val="es-ES"/>
        </w:rPr>
        <w:t>o de</w:t>
      </w:r>
      <w:r w:rsidR="007A6564" w:rsidRPr="00DB24E5">
        <w:rPr>
          <w:lang w:val="es-ES"/>
        </w:rPr>
        <w:t xml:space="preserve"> 2016 </w:t>
      </w:r>
      <w:r w:rsidRPr="00DB24E5">
        <w:rPr>
          <w:lang w:val="es-ES"/>
        </w:rPr>
        <w:t>a</w:t>
      </w:r>
      <w:r w:rsidR="007A6564" w:rsidRPr="00DB24E5">
        <w:rPr>
          <w:lang w:val="es-ES"/>
        </w:rPr>
        <w:t xml:space="preserve"> 2019 </w:t>
      </w:r>
      <w:r w:rsidRPr="00DB24E5">
        <w:rPr>
          <w:lang w:val="es-ES"/>
        </w:rPr>
        <w:t>era correcto</w:t>
      </w:r>
      <w:r w:rsidR="004071AD" w:rsidRPr="00DB24E5">
        <w:rPr>
          <w:lang w:val="es-ES"/>
        </w:rPr>
        <w:t xml:space="preserve"> (</w:t>
      </w:r>
      <w:r w:rsidRPr="00DB24E5">
        <w:rPr>
          <w:lang w:val="es-ES"/>
        </w:rPr>
        <w:t>como se indicó anteriormente en el c</w:t>
      </w:r>
      <w:r w:rsidR="00436A9D" w:rsidRPr="00DB24E5">
        <w:rPr>
          <w:lang w:val="es-ES"/>
        </w:rPr>
        <w:t>uadro</w:t>
      </w:r>
      <w:r w:rsidR="004071AD" w:rsidRPr="00DB24E5">
        <w:rPr>
          <w:lang w:val="es-ES"/>
        </w:rPr>
        <w:t xml:space="preserve"> 1);</w:t>
      </w:r>
      <w:r w:rsidR="00B91450" w:rsidRPr="00DB24E5">
        <w:rPr>
          <w:lang w:val="es-ES"/>
        </w:rPr>
        <w:t xml:space="preserve"> </w:t>
      </w:r>
      <w:r w:rsidRPr="00DB24E5">
        <w:rPr>
          <w:lang w:val="es-ES"/>
        </w:rPr>
        <w:t xml:space="preserve">y era muy inferior al establecido en las metas del Protocolo de </w:t>
      </w:r>
      <w:r w:rsidR="00160EAC" w:rsidRPr="00DB24E5">
        <w:rPr>
          <w:lang w:val="es-ES"/>
        </w:rPr>
        <w:t>Montreal</w:t>
      </w:r>
      <w:r w:rsidRPr="00DB24E5">
        <w:rPr>
          <w:lang w:val="es-ES"/>
        </w:rPr>
        <w:t xml:space="preserve"> y el plan de gestión de eliminación de los HCFC</w:t>
      </w:r>
      <w:r w:rsidR="007A6564" w:rsidRPr="00DB24E5">
        <w:rPr>
          <w:lang w:val="es-ES"/>
        </w:rPr>
        <w:t xml:space="preserve">. </w:t>
      </w:r>
      <w:r w:rsidRPr="00DB24E5">
        <w:rPr>
          <w:lang w:val="es-ES"/>
        </w:rPr>
        <w:t xml:space="preserve">Se verificó también que las SAO y las mezclas de SAO se ajustan a lo estipulado en </w:t>
      </w:r>
      <w:r w:rsidR="00135D25" w:rsidRPr="00DB24E5">
        <w:rPr>
          <w:lang w:val="es-ES"/>
        </w:rPr>
        <w:t xml:space="preserve">la nomenclatura arancelaria y el </w:t>
      </w:r>
      <w:r w:rsidRPr="00DB24E5">
        <w:rPr>
          <w:lang w:val="es-ES"/>
        </w:rPr>
        <w:t xml:space="preserve">sistema </w:t>
      </w:r>
      <w:r w:rsidR="00135D25" w:rsidRPr="00DB24E5">
        <w:rPr>
          <w:lang w:val="es-ES"/>
        </w:rPr>
        <w:t>armonizado de codificación a</w:t>
      </w:r>
      <w:r w:rsidRPr="00DB24E5">
        <w:rPr>
          <w:lang w:val="es-ES"/>
        </w:rPr>
        <w:t>duaner</w:t>
      </w:r>
      <w:r w:rsidR="00135D25" w:rsidRPr="00DB24E5">
        <w:rPr>
          <w:lang w:val="es-ES"/>
        </w:rPr>
        <w:t>a de la Unión Europea</w:t>
      </w:r>
      <w:r w:rsidR="007A6564" w:rsidRPr="00DB24E5">
        <w:rPr>
          <w:lang w:val="es-ES"/>
        </w:rPr>
        <w:t>.</w:t>
      </w:r>
    </w:p>
    <w:p w14:paraId="44F3058A" w14:textId="12771B38" w:rsidR="007A6564" w:rsidRPr="00DB24E5" w:rsidRDefault="00135D25" w:rsidP="007C1B38">
      <w:pPr>
        <w:pStyle w:val="Heading1"/>
        <w:tabs>
          <w:tab w:val="clear" w:pos="0"/>
          <w:tab w:val="clear" w:pos="1985"/>
        </w:tabs>
        <w:rPr>
          <w:lang w:val="es-ES"/>
        </w:rPr>
      </w:pPr>
      <w:r w:rsidRPr="00DB24E5">
        <w:rPr>
          <w:lang w:val="es-ES"/>
        </w:rPr>
        <w:t>En el informe de verificación se recomendó la actualización de los materiales de capacitación para técnicos en mantenimiento a fin de destacar la manipulación de refrigerantes inflamables y tóxicos</w:t>
      </w:r>
      <w:r w:rsidR="007A6564" w:rsidRPr="00DB24E5">
        <w:rPr>
          <w:lang w:val="es-ES"/>
        </w:rPr>
        <w:t xml:space="preserve">; </w:t>
      </w:r>
      <w:r w:rsidRPr="00DB24E5">
        <w:rPr>
          <w:lang w:val="es-ES"/>
        </w:rPr>
        <w:t xml:space="preserve">la organización de cursillos para nuevos instructores y la actualización de las calificaciones requeridas de los </w:t>
      </w:r>
      <w:r w:rsidRPr="00DB24E5">
        <w:rPr>
          <w:lang w:val="es-ES"/>
        </w:rPr>
        <w:lastRenderedPageBreak/>
        <w:t>instructores en activo</w:t>
      </w:r>
      <w:r w:rsidR="007A6564" w:rsidRPr="00DB24E5">
        <w:rPr>
          <w:lang w:val="es-ES"/>
        </w:rPr>
        <w:t xml:space="preserve">, </w:t>
      </w:r>
      <w:r w:rsidRPr="00DB24E5">
        <w:rPr>
          <w:lang w:val="es-ES"/>
        </w:rPr>
        <w:t>además de la entrega de nuevo equipo relacionado con las tecnologías alternativas a los centros de capacitación y a los técnicos</w:t>
      </w:r>
      <w:r w:rsidR="007A6564" w:rsidRPr="00DB24E5">
        <w:rPr>
          <w:lang w:val="es-ES"/>
        </w:rPr>
        <w:t xml:space="preserve">. </w:t>
      </w:r>
      <w:r w:rsidRPr="00DB24E5">
        <w:rPr>
          <w:lang w:val="es-ES"/>
        </w:rPr>
        <w:t xml:space="preserve">En el informe se señaló además la posibilidad de que fuera necesario la conversión de las unidades de refrigeración y aire acondicionado a alternativas que no usan SAO para garantizar la sostenibilidad de la eliminación total después de </w:t>
      </w:r>
      <w:r w:rsidR="00160EAC" w:rsidRPr="00DB24E5">
        <w:rPr>
          <w:lang w:val="es-ES"/>
        </w:rPr>
        <w:t>2025</w:t>
      </w:r>
      <w:r w:rsidR="005921CE" w:rsidRPr="00DB24E5">
        <w:rPr>
          <w:lang w:val="es-ES"/>
        </w:rPr>
        <w:t xml:space="preserve"> d</w:t>
      </w:r>
      <w:r w:rsidRPr="00DB24E5">
        <w:rPr>
          <w:lang w:val="es-ES"/>
        </w:rPr>
        <w:t xml:space="preserve">ebido a la cantidad de equipos que usan </w:t>
      </w:r>
      <w:r w:rsidR="007A6564" w:rsidRPr="00DB24E5">
        <w:rPr>
          <w:lang w:val="es-ES"/>
        </w:rPr>
        <w:t>HCFC-22</w:t>
      </w:r>
      <w:r w:rsidRPr="00DB24E5">
        <w:rPr>
          <w:lang w:val="es-ES"/>
        </w:rPr>
        <w:t xml:space="preserve"> todavía en funcionamiento</w:t>
      </w:r>
      <w:r w:rsidR="005E33DE" w:rsidRPr="00DB24E5">
        <w:rPr>
          <w:lang w:val="es-ES"/>
        </w:rPr>
        <w:t>.</w:t>
      </w:r>
    </w:p>
    <w:p w14:paraId="3A2856CD" w14:textId="4C50DB28" w:rsidR="007A6564" w:rsidRPr="00DB24E5" w:rsidRDefault="00135D25" w:rsidP="00BB6FE1">
      <w:pPr>
        <w:pStyle w:val="Heading1"/>
        <w:keepNext/>
        <w:keepLines/>
        <w:tabs>
          <w:tab w:val="clear" w:pos="1985"/>
        </w:tabs>
        <w:rPr>
          <w:lang w:val="es-ES"/>
        </w:rPr>
      </w:pPr>
      <w:r w:rsidRPr="00DB24E5">
        <w:rPr>
          <w:lang w:val="es-ES"/>
        </w:rPr>
        <w:t>Además, en el informe de verificación se recomendó, entre otras cosas, prohibir la importación de refrigerantes en cilindros desechables</w:t>
      </w:r>
      <w:r w:rsidR="007A6564" w:rsidRPr="00DB24E5">
        <w:rPr>
          <w:lang w:val="es-ES"/>
        </w:rPr>
        <w:t xml:space="preserve">; </w:t>
      </w:r>
      <w:r w:rsidRPr="00DB24E5">
        <w:rPr>
          <w:lang w:val="es-ES"/>
        </w:rPr>
        <w:t>mantener en active el plan sobre refrigeración y aire acondicionado</w:t>
      </w:r>
      <w:r w:rsidR="007A6564" w:rsidRPr="00DB24E5">
        <w:rPr>
          <w:lang w:val="es-ES"/>
        </w:rPr>
        <w:t xml:space="preserve">; </w:t>
      </w:r>
      <w:r w:rsidRPr="00DB24E5">
        <w:rPr>
          <w:lang w:val="es-ES"/>
        </w:rPr>
        <w:t>vender refrigerantes solo a los talleres de servicio autorizados</w:t>
      </w:r>
      <w:r w:rsidR="007A6564" w:rsidRPr="00DB24E5">
        <w:rPr>
          <w:lang w:val="es-ES"/>
        </w:rPr>
        <w:t xml:space="preserve">; </w:t>
      </w:r>
      <w:r w:rsidRPr="00DB24E5">
        <w:rPr>
          <w:lang w:val="es-ES"/>
        </w:rPr>
        <w:t>establecer un plan de certificación de técnicos</w:t>
      </w:r>
      <w:r w:rsidR="007A6564" w:rsidRPr="00DB24E5">
        <w:rPr>
          <w:lang w:val="es-ES"/>
        </w:rPr>
        <w:t xml:space="preserve">; </w:t>
      </w:r>
      <w:r w:rsidRPr="00DB24E5">
        <w:rPr>
          <w:lang w:val="es-ES"/>
        </w:rPr>
        <w:t xml:space="preserve">seguir llevando un registro de los equipos que contienen más de </w:t>
      </w:r>
      <w:r w:rsidR="007A6564" w:rsidRPr="00DB24E5">
        <w:rPr>
          <w:lang w:val="es-ES"/>
        </w:rPr>
        <w:t xml:space="preserve">3 kg </w:t>
      </w:r>
      <w:r w:rsidRPr="00DB24E5">
        <w:rPr>
          <w:lang w:val="es-ES"/>
        </w:rPr>
        <w:t>de refrigerante</w:t>
      </w:r>
      <w:r w:rsidR="007A6564" w:rsidRPr="00DB24E5">
        <w:rPr>
          <w:lang w:val="es-ES"/>
        </w:rPr>
        <w:t xml:space="preserve">s; </w:t>
      </w:r>
      <w:r w:rsidRPr="00DB24E5">
        <w:rPr>
          <w:lang w:val="es-ES"/>
        </w:rPr>
        <w:t>y establecer inventarios obligatorios de equipos</w:t>
      </w:r>
      <w:r w:rsidR="007A6564" w:rsidRPr="00DB24E5">
        <w:rPr>
          <w:lang w:val="es-ES"/>
        </w:rPr>
        <w:t>.</w:t>
      </w:r>
    </w:p>
    <w:p w14:paraId="5CF50B64" w14:textId="3D936BAD" w:rsidR="00723219" w:rsidRPr="00DB24E5" w:rsidRDefault="00135D25" w:rsidP="007C1B38">
      <w:pPr>
        <w:pStyle w:val="Heading1"/>
        <w:tabs>
          <w:tab w:val="clear" w:pos="0"/>
          <w:tab w:val="clear" w:pos="1985"/>
        </w:tabs>
        <w:rPr>
          <w:lang w:val="es-ES"/>
        </w:rPr>
      </w:pPr>
      <w:r w:rsidRPr="00DB24E5">
        <w:rPr>
          <w:lang w:val="es-ES"/>
        </w:rPr>
        <w:t xml:space="preserve">La </w:t>
      </w:r>
      <w:r w:rsidR="0088461E" w:rsidRPr="00DB24E5">
        <w:rPr>
          <w:lang w:val="es-ES"/>
        </w:rPr>
        <w:t>ONUDI</w:t>
      </w:r>
      <w:r w:rsidR="005921CE" w:rsidRPr="00DB24E5">
        <w:rPr>
          <w:lang w:val="es-ES"/>
        </w:rPr>
        <w:t xml:space="preserve"> </w:t>
      </w:r>
      <w:r w:rsidRPr="00DB24E5">
        <w:rPr>
          <w:lang w:val="es-ES"/>
        </w:rPr>
        <w:t xml:space="preserve">señaló que el Gobierno ha tomado en consideración las recomendaciones, que se aplicarán según proceda durante la ejecución del quinto tramo y la etapa II </w:t>
      </w:r>
      <w:r w:rsidR="00135B60" w:rsidRPr="00DB24E5">
        <w:rPr>
          <w:lang w:val="es-ES"/>
        </w:rPr>
        <w:t>del plan de gestión de eliminación de los HCFC</w:t>
      </w:r>
      <w:r w:rsidR="00432504" w:rsidRPr="00DB24E5">
        <w:rPr>
          <w:lang w:val="es-ES"/>
        </w:rPr>
        <w:t xml:space="preserve">. </w:t>
      </w:r>
    </w:p>
    <w:p w14:paraId="3896BDE1" w14:textId="4B496A4B" w:rsidR="007A6564" w:rsidRPr="00DB24E5" w:rsidRDefault="003A56DA" w:rsidP="007A6564">
      <w:pPr>
        <w:rPr>
          <w:u w:val="single"/>
          <w:lang w:val="es-ES"/>
        </w:rPr>
      </w:pPr>
      <w:r w:rsidRPr="00DB24E5">
        <w:rPr>
          <w:u w:val="single"/>
          <w:lang w:val="es-ES"/>
        </w:rPr>
        <w:t>Informe sobre los progresos realizados en la ejecución del cuarto tramo del plan de gestión de eliminación de los HCFC</w:t>
      </w:r>
    </w:p>
    <w:p w14:paraId="09FF3E8D" w14:textId="77777777" w:rsidR="007A6564" w:rsidRPr="00DB24E5" w:rsidRDefault="007A6564" w:rsidP="007A6564">
      <w:pPr>
        <w:rPr>
          <w:lang w:val="es-ES"/>
        </w:rPr>
      </w:pPr>
    </w:p>
    <w:p w14:paraId="200F6A96" w14:textId="2ECAD66B" w:rsidR="007A6564" w:rsidRPr="00DB24E5" w:rsidRDefault="003A56DA" w:rsidP="007A6564">
      <w:pPr>
        <w:rPr>
          <w:i/>
          <w:lang w:val="es-ES"/>
        </w:rPr>
      </w:pPr>
      <w:r w:rsidRPr="00DB24E5">
        <w:rPr>
          <w:i/>
          <w:lang w:val="es-ES"/>
        </w:rPr>
        <w:t>Marco jurídico</w:t>
      </w:r>
    </w:p>
    <w:p w14:paraId="0A78BB49" w14:textId="77777777" w:rsidR="007A6564" w:rsidRPr="00DB24E5" w:rsidRDefault="007A6564" w:rsidP="007A6564">
      <w:pPr>
        <w:rPr>
          <w:lang w:val="es-ES"/>
        </w:rPr>
      </w:pPr>
    </w:p>
    <w:p w14:paraId="54B59B3D" w14:textId="7ACB670F" w:rsidR="007A6564" w:rsidRPr="00DB24E5" w:rsidRDefault="0086358A" w:rsidP="007C1B38">
      <w:pPr>
        <w:pStyle w:val="Heading1"/>
        <w:tabs>
          <w:tab w:val="clear" w:pos="0"/>
          <w:tab w:val="clear" w:pos="1985"/>
        </w:tabs>
        <w:rPr>
          <w:lang w:val="es-ES"/>
        </w:rPr>
      </w:pPr>
      <w:r w:rsidRPr="00DB24E5">
        <w:rPr>
          <w:lang w:val="es-ES"/>
        </w:rPr>
        <w:t>El</w:t>
      </w:r>
      <w:r w:rsidR="007A6564" w:rsidRPr="00DB24E5">
        <w:rPr>
          <w:lang w:val="es-ES"/>
        </w:rPr>
        <w:t xml:space="preserve"> </w:t>
      </w:r>
      <w:r w:rsidR="00ED60EE" w:rsidRPr="00DB24E5">
        <w:rPr>
          <w:lang w:val="es-ES"/>
        </w:rPr>
        <w:t>Gobierno de</w:t>
      </w:r>
      <w:r w:rsidR="007A6564" w:rsidRPr="00DB24E5">
        <w:rPr>
          <w:lang w:val="es-ES"/>
        </w:rPr>
        <w:t xml:space="preserve"> Montenegro </w:t>
      </w:r>
      <w:r w:rsidRPr="00DB24E5">
        <w:rPr>
          <w:lang w:val="es-ES"/>
        </w:rPr>
        <w:t xml:space="preserve">cuenta con un sistema de concesión de licencias y de cupos para </w:t>
      </w:r>
      <w:r w:rsidR="00DB24E5" w:rsidRPr="00DB24E5">
        <w:rPr>
          <w:lang w:val="es-ES"/>
        </w:rPr>
        <w:t>las</w:t>
      </w:r>
      <w:r w:rsidRPr="00DB24E5">
        <w:rPr>
          <w:lang w:val="es-ES"/>
        </w:rPr>
        <w:t xml:space="preserve"> importaciones y exportaciones de </w:t>
      </w:r>
      <w:r w:rsidR="007A6564" w:rsidRPr="00DB24E5">
        <w:rPr>
          <w:lang w:val="es-ES"/>
        </w:rPr>
        <w:t>HCFC</w:t>
      </w:r>
      <w:r w:rsidRPr="00DB24E5">
        <w:rPr>
          <w:lang w:val="es-ES"/>
        </w:rPr>
        <w:t xml:space="preserve"> que está activo</w:t>
      </w:r>
      <w:r w:rsidR="007A6564" w:rsidRPr="00DB24E5">
        <w:rPr>
          <w:lang w:val="es-ES"/>
        </w:rPr>
        <w:t xml:space="preserve">. </w:t>
      </w:r>
      <w:r w:rsidRPr="00DB24E5">
        <w:rPr>
          <w:lang w:val="es-ES"/>
        </w:rPr>
        <w:t>De la administración de importaciones y exportaciones de SAO se ocupa el Organismo de Protección de la Naturaleza y el Medio Ambiente</w:t>
      </w:r>
      <w:r w:rsidR="00815D2E" w:rsidRPr="00DB24E5">
        <w:rPr>
          <w:lang w:val="es-ES"/>
        </w:rPr>
        <w:t xml:space="preserve"> (NEPA</w:t>
      </w:r>
      <w:r w:rsidR="007A6564" w:rsidRPr="00DB24E5">
        <w:rPr>
          <w:lang w:val="es-ES"/>
        </w:rPr>
        <w:t xml:space="preserve">) </w:t>
      </w:r>
      <w:r w:rsidR="00EC7C6E" w:rsidRPr="00DB24E5">
        <w:rPr>
          <w:lang w:val="es-ES"/>
        </w:rPr>
        <w:t>gracias a un sistema de permisos que se expiden para cada envío</w:t>
      </w:r>
      <w:r w:rsidR="007A6564" w:rsidRPr="00DB24E5">
        <w:rPr>
          <w:lang w:val="es-ES"/>
        </w:rPr>
        <w:t xml:space="preserve">. </w:t>
      </w:r>
      <w:r w:rsidR="00EC7C6E" w:rsidRPr="00DB24E5">
        <w:rPr>
          <w:lang w:val="es-ES"/>
        </w:rPr>
        <w:t xml:space="preserve">Desde 2012 solo se importan equipos que no usan </w:t>
      </w:r>
      <w:r w:rsidR="007A6564" w:rsidRPr="00DB24E5">
        <w:rPr>
          <w:lang w:val="es-ES"/>
        </w:rPr>
        <w:t>HCFC</w:t>
      </w:r>
      <w:r w:rsidR="007A6564" w:rsidRPr="00DB24E5">
        <w:rPr>
          <w:lang w:val="es-ES"/>
        </w:rPr>
        <w:noBreakHyphen/>
        <w:t>22.</w:t>
      </w:r>
    </w:p>
    <w:p w14:paraId="56114415" w14:textId="60B122B1" w:rsidR="007A6564" w:rsidRPr="00DB24E5" w:rsidRDefault="00EC7C6E" w:rsidP="007C1B38">
      <w:pPr>
        <w:pStyle w:val="Heading1"/>
        <w:tabs>
          <w:tab w:val="clear" w:pos="0"/>
          <w:tab w:val="clear" w:pos="1985"/>
        </w:tabs>
        <w:rPr>
          <w:lang w:val="es-ES"/>
        </w:rPr>
      </w:pPr>
      <w:r w:rsidRPr="00DB24E5">
        <w:rPr>
          <w:lang w:val="es-ES"/>
        </w:rPr>
        <w:t>La eliminación de SAO se rige por el Decreto sobre las SAO, la Ley de protección del aire, la Ley sobre gestión de los desechos y la Ley sobre el cambio climático, entre otras</w:t>
      </w:r>
      <w:r w:rsidR="007A6564" w:rsidRPr="00DB24E5">
        <w:rPr>
          <w:lang w:val="es-ES"/>
        </w:rPr>
        <w:t xml:space="preserve">; </w:t>
      </w:r>
      <w:r w:rsidRPr="00DB24E5">
        <w:rPr>
          <w:lang w:val="es-ES"/>
        </w:rPr>
        <w:t>en estos instrumentos se definen las condiciones y procedimientos para la importación, exportación y comercialización, incluso el mantenimiento de registros de ventas y la presentación de informes al NEPA</w:t>
      </w:r>
      <w:r w:rsidR="007A6564" w:rsidRPr="00DB24E5">
        <w:rPr>
          <w:lang w:val="es-ES"/>
        </w:rPr>
        <w:t xml:space="preserve">, </w:t>
      </w:r>
      <w:r w:rsidRPr="00DB24E5">
        <w:rPr>
          <w:lang w:val="es-ES"/>
        </w:rPr>
        <w:t>la recogida, el luso y la eliminación permanente de las SAO y las sustancias alternativas, y los productos o equipos que contienen esas sustancias después de cumplido su ciclo de vida</w:t>
      </w:r>
      <w:r w:rsidR="007A6564" w:rsidRPr="00DB24E5">
        <w:rPr>
          <w:lang w:val="es-ES"/>
        </w:rPr>
        <w:t xml:space="preserve">; </w:t>
      </w:r>
      <w:r w:rsidR="005D3E52" w:rsidRPr="00DB24E5">
        <w:rPr>
          <w:lang w:val="es-ES"/>
        </w:rPr>
        <w:t>y se establecen las licencias para los técnicos de mantenimiento y los talleres de refrigeración y aire acondicionado que manipulan SAO y sustancias alternativas</w:t>
      </w:r>
      <w:r w:rsidR="007A6564" w:rsidRPr="00DB24E5">
        <w:rPr>
          <w:lang w:val="es-ES"/>
        </w:rPr>
        <w:t xml:space="preserve"> (</w:t>
      </w:r>
      <w:r w:rsidR="005D3E52" w:rsidRPr="00DB24E5">
        <w:rPr>
          <w:lang w:val="es-ES"/>
        </w:rPr>
        <w:t xml:space="preserve">gases </w:t>
      </w:r>
      <w:r w:rsidR="007A6564" w:rsidRPr="00DB24E5">
        <w:rPr>
          <w:lang w:val="es-ES"/>
        </w:rPr>
        <w:t xml:space="preserve">F) </w:t>
      </w:r>
      <w:r w:rsidR="005D3E52" w:rsidRPr="00DB24E5">
        <w:rPr>
          <w:lang w:val="es-ES"/>
        </w:rPr>
        <w:t>y las sanciones por la liberación de SAO y sustancias alternativas a la atmósfera</w:t>
      </w:r>
      <w:r w:rsidR="007A6564" w:rsidRPr="00DB24E5">
        <w:rPr>
          <w:lang w:val="es-ES"/>
        </w:rPr>
        <w:t>.</w:t>
      </w:r>
    </w:p>
    <w:p w14:paraId="2A1767F0" w14:textId="772774BF" w:rsidR="00723219" w:rsidRPr="00DB24E5" w:rsidRDefault="005D3E52" w:rsidP="007C1B38">
      <w:pPr>
        <w:pStyle w:val="Heading1"/>
        <w:tabs>
          <w:tab w:val="clear" w:pos="0"/>
          <w:tab w:val="clear" w:pos="1985"/>
        </w:tabs>
        <w:rPr>
          <w:lang w:val="es-ES"/>
        </w:rPr>
      </w:pPr>
      <w:r w:rsidRPr="00DB24E5">
        <w:rPr>
          <w:lang w:val="es-ES"/>
        </w:rPr>
        <w:t>El 1 de enero de 2020 se dio a conocer una Ley de protección contra los efectos adversos del cambio climático</w:t>
      </w:r>
      <w:r w:rsidR="00723219" w:rsidRPr="00DB24E5">
        <w:rPr>
          <w:lang w:val="es-ES"/>
        </w:rPr>
        <w:t>,</w:t>
      </w:r>
      <w:r w:rsidRPr="00DB24E5">
        <w:rPr>
          <w:lang w:val="es-ES"/>
        </w:rPr>
        <w:t xml:space="preserve"> que incluye disposiciones relativas a la protección de la capa de ozono que incluye sanciones por la liberación de SAO y sustancias alternativas a la atmósfera</w:t>
      </w:r>
      <w:r w:rsidR="00723219" w:rsidRPr="00DB24E5">
        <w:rPr>
          <w:lang w:val="es-ES"/>
        </w:rPr>
        <w:t xml:space="preserve">. </w:t>
      </w:r>
      <w:r w:rsidRPr="00DB24E5">
        <w:rPr>
          <w:lang w:val="es-ES"/>
        </w:rPr>
        <w:t>El Ministerio de Desarrollo Sostenible y Turismo prevé redactor un proyecto y aprobar los estatutos que complementarán el reglamento de las SAO y los gases F</w:t>
      </w:r>
      <w:r w:rsidR="00723219" w:rsidRPr="00DB24E5">
        <w:rPr>
          <w:lang w:val="es-ES"/>
        </w:rPr>
        <w:t xml:space="preserve">. </w:t>
      </w:r>
      <w:r w:rsidRPr="00DB24E5">
        <w:rPr>
          <w:rStyle w:val="gmaildefault"/>
          <w:iCs/>
          <w:lang w:val="es-ES"/>
        </w:rPr>
        <w:t>E</w:t>
      </w:r>
      <w:r w:rsidR="00723219" w:rsidRPr="00DB24E5">
        <w:rPr>
          <w:rStyle w:val="gmaildefault"/>
          <w:iCs/>
          <w:lang w:val="es-ES"/>
        </w:rPr>
        <w:t xml:space="preserve">n </w:t>
      </w:r>
      <w:r w:rsidRPr="00DB24E5">
        <w:rPr>
          <w:rStyle w:val="gmaildefault"/>
          <w:iCs/>
          <w:lang w:val="es-ES"/>
        </w:rPr>
        <w:t xml:space="preserve">octubre de </w:t>
      </w:r>
      <w:r w:rsidR="00723219" w:rsidRPr="00DB24E5">
        <w:rPr>
          <w:iCs/>
          <w:lang w:val="es-ES"/>
        </w:rPr>
        <w:t xml:space="preserve">2018, </w:t>
      </w:r>
      <w:r w:rsidRPr="00DB24E5">
        <w:rPr>
          <w:iCs/>
          <w:lang w:val="es-ES"/>
        </w:rPr>
        <w:t xml:space="preserve">la Administración de Aduanas estableció un Centro de Capacitación para impartir capacitación a todos los oficiales de aduanas, sobre todo en cuestiones ambientales y el Protocolo de </w:t>
      </w:r>
      <w:r w:rsidR="00723219" w:rsidRPr="00DB24E5">
        <w:rPr>
          <w:iCs/>
          <w:lang w:val="es-ES"/>
        </w:rPr>
        <w:t>Montreal.</w:t>
      </w:r>
    </w:p>
    <w:p w14:paraId="3A2470D7" w14:textId="054C65B5" w:rsidR="001C23F3" w:rsidRPr="00DB24E5" w:rsidRDefault="005D3E52" w:rsidP="007C1B38">
      <w:pPr>
        <w:pStyle w:val="Heading1"/>
        <w:tabs>
          <w:tab w:val="clear" w:pos="0"/>
          <w:tab w:val="clear" w:pos="1985"/>
        </w:tabs>
        <w:rPr>
          <w:lang w:val="es-ES"/>
        </w:rPr>
      </w:pPr>
      <w:r w:rsidRPr="00DB24E5">
        <w:rPr>
          <w:lang w:val="es-ES"/>
        </w:rPr>
        <w:t>El sistema de concesión de licencias y de cupos</w:t>
      </w:r>
      <w:r w:rsidR="001A7E9E" w:rsidRPr="00DB24E5">
        <w:rPr>
          <w:lang w:val="es-ES"/>
        </w:rPr>
        <w:t xml:space="preserve"> incluye a las SAO que ya se han eliminado, para las cuales no se expiden licencias ni cupos</w:t>
      </w:r>
      <w:r w:rsidR="00B65D0E" w:rsidRPr="00DB24E5">
        <w:rPr>
          <w:lang w:val="es-ES"/>
        </w:rPr>
        <w:t>;</w:t>
      </w:r>
      <w:r w:rsidR="001C23F3" w:rsidRPr="00DB24E5">
        <w:rPr>
          <w:lang w:val="es-ES"/>
        </w:rPr>
        <w:t xml:space="preserve"> </w:t>
      </w:r>
      <w:r w:rsidRPr="00DB24E5">
        <w:rPr>
          <w:lang w:val="es-ES"/>
        </w:rPr>
        <w:t>todos los años</w:t>
      </w:r>
      <w:r w:rsidR="00B65D0E" w:rsidRPr="00DB24E5">
        <w:rPr>
          <w:lang w:val="es-ES"/>
        </w:rPr>
        <w:t>,</w:t>
      </w:r>
      <w:r w:rsidR="001C23F3" w:rsidRPr="00DB24E5">
        <w:rPr>
          <w:lang w:val="es-ES"/>
        </w:rPr>
        <w:t xml:space="preserve"> </w:t>
      </w:r>
      <w:r w:rsidRPr="00DB24E5">
        <w:rPr>
          <w:lang w:val="es-ES"/>
        </w:rPr>
        <w:t xml:space="preserve">el </w:t>
      </w:r>
      <w:r w:rsidR="001C23F3" w:rsidRPr="00DB24E5">
        <w:rPr>
          <w:lang w:val="es-ES"/>
        </w:rPr>
        <w:t xml:space="preserve">NEPA </w:t>
      </w:r>
      <w:r w:rsidRPr="00DB24E5">
        <w:rPr>
          <w:lang w:val="es-ES"/>
        </w:rPr>
        <w:t>solicita información de la Administración de Aduanas sobre la importación y exportación de todas las SAO</w:t>
      </w:r>
      <w:r w:rsidR="001C23F3" w:rsidRPr="00DB24E5">
        <w:rPr>
          <w:lang w:val="es-ES"/>
        </w:rPr>
        <w:t>, inclu</w:t>
      </w:r>
      <w:r w:rsidRPr="00DB24E5">
        <w:rPr>
          <w:lang w:val="es-ES"/>
        </w:rPr>
        <w:t>so las que se han eliminado</w:t>
      </w:r>
      <w:r w:rsidR="00BE4CF9" w:rsidRPr="00DB24E5">
        <w:rPr>
          <w:lang w:val="es-ES"/>
        </w:rPr>
        <w:t>.</w:t>
      </w:r>
      <w:r w:rsidR="00B65D0E" w:rsidRPr="00DB24E5">
        <w:rPr>
          <w:lang w:val="es-ES"/>
        </w:rPr>
        <w:t xml:space="preserve"> </w:t>
      </w:r>
      <w:r w:rsidR="00DB24E5" w:rsidRPr="00DB24E5">
        <w:rPr>
          <w:lang w:val="es-ES"/>
        </w:rPr>
        <w:t>No se registraron casos de importaciones ilícitas de SAO que ya se han eliminado</w:t>
      </w:r>
      <w:r w:rsidR="00BE4CF9" w:rsidRPr="00DB24E5">
        <w:rPr>
          <w:lang w:val="es-ES"/>
        </w:rPr>
        <w:t>,</w:t>
      </w:r>
      <w:r w:rsidR="001C23F3" w:rsidRPr="00DB24E5">
        <w:rPr>
          <w:lang w:val="es-ES"/>
        </w:rPr>
        <w:t xml:space="preserve"> </w:t>
      </w:r>
      <w:r w:rsidR="00DB24E5" w:rsidRPr="00DB24E5">
        <w:rPr>
          <w:lang w:val="es-ES"/>
        </w:rPr>
        <w:t xml:space="preserve">y el país no tiene conocimiento de que </w:t>
      </w:r>
      <w:r w:rsidR="00DB24E5">
        <w:rPr>
          <w:lang w:val="es-ES"/>
        </w:rPr>
        <w:t>su mercado</w:t>
      </w:r>
      <w:r w:rsidR="00DB24E5" w:rsidRPr="00DB24E5">
        <w:rPr>
          <w:lang w:val="es-ES"/>
        </w:rPr>
        <w:t xml:space="preserve"> disponga de SAO </w:t>
      </w:r>
      <w:r w:rsidR="00DB24E5">
        <w:rPr>
          <w:lang w:val="es-ES"/>
        </w:rPr>
        <w:t>que ya se ha eliminado</w:t>
      </w:r>
      <w:r w:rsidR="001C23F3" w:rsidRPr="00DB24E5">
        <w:rPr>
          <w:lang w:val="es-ES"/>
        </w:rPr>
        <w:t xml:space="preserve">, </w:t>
      </w:r>
      <w:r w:rsidR="00DB24E5">
        <w:rPr>
          <w:lang w:val="es-ES"/>
        </w:rPr>
        <w:t>ni de ninguna existencia de dichas sustancias</w:t>
      </w:r>
      <w:r w:rsidR="001C23F3" w:rsidRPr="00DB24E5">
        <w:rPr>
          <w:lang w:val="es-ES"/>
        </w:rPr>
        <w:t xml:space="preserve">. </w:t>
      </w:r>
    </w:p>
    <w:p w14:paraId="6F6DBA0F" w14:textId="5AC35A19" w:rsidR="007A6564" w:rsidRPr="00DB24E5" w:rsidRDefault="007A6564" w:rsidP="007C1B38">
      <w:pPr>
        <w:pStyle w:val="Heading1"/>
        <w:tabs>
          <w:tab w:val="clear" w:pos="0"/>
          <w:tab w:val="clear" w:pos="1985"/>
        </w:tabs>
        <w:rPr>
          <w:lang w:val="es-ES"/>
        </w:rPr>
      </w:pPr>
      <w:r w:rsidRPr="00DB24E5">
        <w:rPr>
          <w:lang w:val="es-ES"/>
        </w:rPr>
        <w:t>Montenegro ratifi</w:t>
      </w:r>
      <w:r w:rsidR="003A56DA" w:rsidRPr="00DB24E5">
        <w:rPr>
          <w:lang w:val="es-ES"/>
        </w:rPr>
        <w:t>có la Enmienda de Kigali del Protocolo de</w:t>
      </w:r>
      <w:r w:rsidRPr="00DB24E5">
        <w:rPr>
          <w:lang w:val="es-ES"/>
        </w:rPr>
        <w:t xml:space="preserve"> Montreal </w:t>
      </w:r>
      <w:r w:rsidR="003A56DA" w:rsidRPr="00DB24E5">
        <w:rPr>
          <w:lang w:val="es-ES"/>
        </w:rPr>
        <w:t>el</w:t>
      </w:r>
      <w:r w:rsidRPr="00DB24E5">
        <w:rPr>
          <w:lang w:val="es-ES"/>
        </w:rPr>
        <w:t xml:space="preserve"> 25 </w:t>
      </w:r>
      <w:r w:rsidR="003A56DA" w:rsidRPr="00DB24E5">
        <w:rPr>
          <w:lang w:val="es-ES"/>
        </w:rPr>
        <w:t xml:space="preserve">de abril de </w:t>
      </w:r>
      <w:r w:rsidRPr="00DB24E5">
        <w:rPr>
          <w:lang w:val="es-ES"/>
        </w:rPr>
        <w:t>2019.</w:t>
      </w:r>
    </w:p>
    <w:p w14:paraId="5F87C8E2" w14:textId="0E1BBD8D" w:rsidR="007A6564" w:rsidRPr="00DB24E5" w:rsidRDefault="003A56DA" w:rsidP="007A6564">
      <w:pPr>
        <w:pStyle w:val="Heading1"/>
        <w:numPr>
          <w:ilvl w:val="0"/>
          <w:numId w:val="0"/>
        </w:numPr>
        <w:rPr>
          <w:rStyle w:val="CommentReference"/>
          <w:i/>
          <w:sz w:val="22"/>
          <w:szCs w:val="22"/>
          <w:lang w:val="es-ES"/>
        </w:rPr>
      </w:pPr>
      <w:r w:rsidRPr="00DB24E5">
        <w:rPr>
          <w:i/>
          <w:lang w:val="es-ES"/>
        </w:rPr>
        <w:lastRenderedPageBreak/>
        <w:t>Fortalecimiento institucional</w:t>
      </w:r>
    </w:p>
    <w:p w14:paraId="7732749E" w14:textId="5C6E2B7F" w:rsidR="007A6564" w:rsidRPr="00DB24E5" w:rsidRDefault="00972890" w:rsidP="007C1B38">
      <w:pPr>
        <w:pStyle w:val="Heading1"/>
        <w:tabs>
          <w:tab w:val="clear" w:pos="0"/>
          <w:tab w:val="clear" w:pos="1985"/>
        </w:tabs>
        <w:rPr>
          <w:lang w:val="es-ES"/>
        </w:rPr>
      </w:pPr>
      <w:r w:rsidRPr="00DB24E5">
        <w:rPr>
          <w:lang w:val="es-ES"/>
        </w:rPr>
        <w:t>La dependencia del ozono presenta informes al</w:t>
      </w:r>
      <w:r w:rsidR="00BB40EC" w:rsidRPr="00DB24E5">
        <w:rPr>
          <w:lang w:val="es-ES"/>
        </w:rPr>
        <w:t xml:space="preserve"> NEPA</w:t>
      </w:r>
      <w:r w:rsidRPr="00DB24E5">
        <w:rPr>
          <w:lang w:val="es-ES"/>
        </w:rPr>
        <w:t xml:space="preserve">, el cual, a su vez, </w:t>
      </w:r>
      <w:r w:rsidR="000E79EF" w:rsidRPr="00DB24E5">
        <w:rPr>
          <w:lang w:val="es-ES"/>
        </w:rPr>
        <w:t>for</w:t>
      </w:r>
      <w:r w:rsidRPr="00DB24E5">
        <w:rPr>
          <w:lang w:val="es-ES"/>
        </w:rPr>
        <w:t>ma parte del Ministerio de Desarrollo Sostenible y Turismo</w:t>
      </w:r>
      <w:r w:rsidR="00BB40EC" w:rsidRPr="00DB24E5">
        <w:rPr>
          <w:lang w:val="es-ES"/>
        </w:rPr>
        <w:t xml:space="preserve">. </w:t>
      </w:r>
      <w:r w:rsidR="000E79EF" w:rsidRPr="00DB24E5">
        <w:rPr>
          <w:lang w:val="es-ES"/>
        </w:rPr>
        <w:t>La financiación de la dependencia del ozono</w:t>
      </w:r>
      <w:r w:rsidR="00BB40EC" w:rsidRPr="00DB24E5">
        <w:rPr>
          <w:lang w:val="es-ES"/>
        </w:rPr>
        <w:t xml:space="preserve"> (</w:t>
      </w:r>
      <w:r w:rsidR="000E79EF" w:rsidRPr="00DB24E5">
        <w:rPr>
          <w:lang w:val="es-ES"/>
        </w:rPr>
        <w:t>es decir, el proyecto de fortalecimiento institucional</w:t>
      </w:r>
      <w:r w:rsidR="00BB40EC" w:rsidRPr="00DB24E5">
        <w:rPr>
          <w:lang w:val="es-ES"/>
        </w:rPr>
        <w:t xml:space="preserve">) </w:t>
      </w:r>
      <w:r w:rsidR="000E79EF" w:rsidRPr="00DB24E5">
        <w:rPr>
          <w:lang w:val="es-ES"/>
        </w:rPr>
        <w:t xml:space="preserve">fue incluida en la </w:t>
      </w:r>
      <w:r w:rsidR="008C669C" w:rsidRPr="00DB24E5">
        <w:rPr>
          <w:lang w:val="es-ES"/>
        </w:rPr>
        <w:t>etapa</w:t>
      </w:r>
      <w:r w:rsidR="00BB40EC" w:rsidRPr="00DB24E5">
        <w:rPr>
          <w:lang w:val="es-ES"/>
        </w:rPr>
        <w:t xml:space="preserve"> I </w:t>
      </w:r>
      <w:r w:rsidR="00135B60" w:rsidRPr="00DB24E5">
        <w:rPr>
          <w:lang w:val="es-ES"/>
        </w:rPr>
        <w:t>del plan de gestión de eliminación de los HCFC</w:t>
      </w:r>
      <w:r w:rsidR="00BB40EC" w:rsidRPr="00DB24E5">
        <w:rPr>
          <w:lang w:val="es-ES"/>
        </w:rPr>
        <w:t xml:space="preserve">.  </w:t>
      </w:r>
      <w:r w:rsidR="000E79EF" w:rsidRPr="00DB24E5">
        <w:rPr>
          <w:lang w:val="es-ES"/>
        </w:rPr>
        <w:t>Las actividades descritas a continuación que se ejecutaron en el cuarto tramo tuvieron que ver exclusivamente con el proyecto de fortalecimiento institucional</w:t>
      </w:r>
      <w:r w:rsidR="007A6564" w:rsidRPr="00DB24E5">
        <w:rPr>
          <w:lang w:val="es-ES"/>
        </w:rPr>
        <w:t xml:space="preserve">: </w:t>
      </w:r>
    </w:p>
    <w:p w14:paraId="65B0CE87" w14:textId="6D43303F" w:rsidR="007A6564" w:rsidRPr="00F078B1" w:rsidRDefault="00F078B1" w:rsidP="003A56DA">
      <w:pPr>
        <w:pStyle w:val="Heading2"/>
        <w:tabs>
          <w:tab w:val="left" w:pos="1440"/>
        </w:tabs>
        <w:ind w:left="1440"/>
        <w:rPr>
          <w:lang w:val="es-ES"/>
        </w:rPr>
      </w:pPr>
      <w:r w:rsidRPr="00F078B1">
        <w:rPr>
          <w:lang w:val="es-ES"/>
        </w:rPr>
        <w:t>Emisión de permisos de importación y exportación: elaboración de leyes y reglamentos</w:t>
      </w:r>
      <w:r w:rsidR="007A6564" w:rsidRPr="00F078B1">
        <w:rPr>
          <w:lang w:val="es-ES"/>
        </w:rPr>
        <w:t xml:space="preserve">; </w:t>
      </w:r>
      <w:r w:rsidRPr="00F078B1">
        <w:rPr>
          <w:lang w:val="es-ES"/>
        </w:rPr>
        <w:t>supervisión de la aplicación de la e</w:t>
      </w:r>
      <w:r>
        <w:rPr>
          <w:lang w:val="es-ES"/>
        </w:rPr>
        <w:t>s</w:t>
      </w:r>
      <w:r w:rsidRPr="00F078B1">
        <w:rPr>
          <w:lang w:val="es-ES"/>
        </w:rPr>
        <w:t xml:space="preserve">trategia de eliminación de los </w:t>
      </w:r>
      <w:r w:rsidR="007A6564" w:rsidRPr="00F078B1">
        <w:rPr>
          <w:lang w:val="es-ES"/>
        </w:rPr>
        <w:t>HCFC; prepara</w:t>
      </w:r>
      <w:r>
        <w:rPr>
          <w:lang w:val="es-ES"/>
        </w:rPr>
        <w:t>ción e introducción de medidas legislativas y administrativas</w:t>
      </w:r>
      <w:r w:rsidR="007A6564" w:rsidRPr="00F078B1">
        <w:rPr>
          <w:lang w:val="es-ES"/>
        </w:rPr>
        <w:t xml:space="preserve"> </w:t>
      </w:r>
      <w:r>
        <w:rPr>
          <w:lang w:val="es-ES"/>
        </w:rPr>
        <w:t>para apoyar la e</w:t>
      </w:r>
      <w:r w:rsidR="008C669C" w:rsidRPr="00F078B1">
        <w:rPr>
          <w:lang w:val="es-ES"/>
        </w:rPr>
        <w:t>liminación de SAO</w:t>
      </w:r>
      <w:r w:rsidR="007A6564" w:rsidRPr="00F078B1">
        <w:rPr>
          <w:lang w:val="es-ES"/>
        </w:rPr>
        <w:t xml:space="preserve">; </w:t>
      </w:r>
      <w:r>
        <w:rPr>
          <w:lang w:val="es-ES"/>
        </w:rPr>
        <w:t>garantizar el vínculo entre los organismos gubernamentales que participan en la e</w:t>
      </w:r>
      <w:r w:rsidR="008C669C" w:rsidRPr="00F078B1">
        <w:rPr>
          <w:lang w:val="es-ES"/>
        </w:rPr>
        <w:t>liminación de SAO</w:t>
      </w:r>
      <w:r w:rsidR="007A6564" w:rsidRPr="00F078B1">
        <w:rPr>
          <w:lang w:val="es-ES"/>
        </w:rPr>
        <w:t xml:space="preserve">; </w:t>
      </w:r>
      <w:r>
        <w:rPr>
          <w:lang w:val="es-ES"/>
        </w:rPr>
        <w:t>realización de actividades de sensibilización del público en las escuelas primarias y secundarias</w:t>
      </w:r>
      <w:r w:rsidR="007A6564" w:rsidRPr="00F078B1">
        <w:rPr>
          <w:lang w:val="es-ES"/>
        </w:rPr>
        <w:t xml:space="preserve">, </w:t>
      </w:r>
      <w:r>
        <w:rPr>
          <w:lang w:val="es-ES"/>
        </w:rPr>
        <w:t>y en la televisión nacional para concienciar acerca del Protocolo de Montreal y el agotamiento de la capa de ozono</w:t>
      </w:r>
      <w:r w:rsidR="00FB78B9" w:rsidRPr="00F078B1">
        <w:rPr>
          <w:lang w:val="es-ES"/>
        </w:rPr>
        <w:t>;</w:t>
      </w:r>
      <w:r w:rsidR="00A6655A" w:rsidRPr="00F078B1">
        <w:rPr>
          <w:lang w:val="es-ES"/>
        </w:rPr>
        <w:t xml:space="preserve"> </w:t>
      </w:r>
    </w:p>
    <w:p w14:paraId="4AEFF812" w14:textId="1CA3BAC6" w:rsidR="007A6564" w:rsidRPr="00F078B1" w:rsidRDefault="00F078B1" w:rsidP="007A6564">
      <w:pPr>
        <w:pStyle w:val="Heading2"/>
        <w:numPr>
          <w:ilvl w:val="1"/>
          <w:numId w:val="1"/>
        </w:numPr>
        <w:tabs>
          <w:tab w:val="clear" w:pos="-720"/>
          <w:tab w:val="num" w:pos="0"/>
        </w:tabs>
        <w:ind w:left="1440"/>
        <w:rPr>
          <w:lang w:val="es-ES"/>
        </w:rPr>
      </w:pPr>
      <w:r w:rsidRPr="00F078B1">
        <w:rPr>
          <w:lang w:val="es-ES"/>
        </w:rPr>
        <w:t>Supervisión constante del consumo de SAO</w:t>
      </w:r>
      <w:r w:rsidR="007A6564" w:rsidRPr="00F078B1">
        <w:rPr>
          <w:lang w:val="es-ES"/>
        </w:rPr>
        <w:t xml:space="preserve">, </w:t>
      </w:r>
      <w:r w:rsidRPr="00F078B1">
        <w:rPr>
          <w:lang w:val="es-ES"/>
        </w:rPr>
        <w:t>presentación de datos con arreglo al artículo</w:t>
      </w:r>
      <w:r w:rsidR="00AD69E3" w:rsidRPr="00F078B1">
        <w:rPr>
          <w:lang w:val="es-ES"/>
        </w:rPr>
        <w:t> </w:t>
      </w:r>
      <w:r w:rsidR="007A6564" w:rsidRPr="00F078B1">
        <w:rPr>
          <w:lang w:val="es-ES"/>
        </w:rPr>
        <w:t xml:space="preserve">7 </w:t>
      </w:r>
      <w:r w:rsidRPr="00F078B1">
        <w:rPr>
          <w:lang w:val="es-ES"/>
        </w:rPr>
        <w:t>del Protocolo y en el informe sobre los datos del programa de país</w:t>
      </w:r>
      <w:r w:rsidR="007A6564" w:rsidRPr="00F078B1">
        <w:rPr>
          <w:lang w:val="es-ES"/>
        </w:rPr>
        <w:t>,</w:t>
      </w:r>
      <w:r w:rsidR="00257269" w:rsidRPr="00F078B1">
        <w:rPr>
          <w:lang w:val="es-ES"/>
        </w:rPr>
        <w:t xml:space="preserve"> </w:t>
      </w:r>
      <w:r w:rsidRPr="00F078B1">
        <w:rPr>
          <w:lang w:val="es-ES"/>
        </w:rPr>
        <w:t>y datos sobre refrigerantes recuperados y reciclados</w:t>
      </w:r>
      <w:r w:rsidR="00BA6F90" w:rsidRPr="00F078B1">
        <w:rPr>
          <w:lang w:val="es-ES"/>
        </w:rPr>
        <w:t>;</w:t>
      </w:r>
      <w:r w:rsidR="007A6564" w:rsidRPr="00F078B1">
        <w:rPr>
          <w:lang w:val="es-ES"/>
        </w:rPr>
        <w:t xml:space="preserve"> </w:t>
      </w:r>
      <w:r w:rsidR="00FF6507">
        <w:rPr>
          <w:lang w:val="es-ES"/>
        </w:rPr>
        <w:t xml:space="preserve">y actualización del inventario de equipo que usa </w:t>
      </w:r>
      <w:r w:rsidR="007A6564" w:rsidRPr="00F078B1">
        <w:rPr>
          <w:lang w:val="es-ES"/>
        </w:rPr>
        <w:t>HFC</w:t>
      </w:r>
      <w:r w:rsidR="00FF6507">
        <w:rPr>
          <w:lang w:val="es-ES"/>
        </w:rPr>
        <w:t xml:space="preserve"> que fue establecido cuando se realizó el estudio de las alternativas a las SAO que se basaron en datos adicionales recibidos de los técnicos en mantenimiento</w:t>
      </w:r>
      <w:r w:rsidR="007A6564" w:rsidRPr="00F078B1">
        <w:rPr>
          <w:lang w:val="es-ES"/>
        </w:rPr>
        <w:t>;</w:t>
      </w:r>
    </w:p>
    <w:p w14:paraId="730C9B02" w14:textId="132E79DF" w:rsidR="007A6564" w:rsidRPr="00FF6507" w:rsidRDefault="00FF6507" w:rsidP="007A6564">
      <w:pPr>
        <w:pStyle w:val="Heading2"/>
        <w:numPr>
          <w:ilvl w:val="1"/>
          <w:numId w:val="1"/>
        </w:numPr>
        <w:tabs>
          <w:tab w:val="num" w:pos="0"/>
        </w:tabs>
        <w:ind w:left="1440"/>
        <w:rPr>
          <w:lang w:val="es-ES"/>
        </w:rPr>
      </w:pPr>
      <w:r w:rsidRPr="00FF6507">
        <w:rPr>
          <w:lang w:val="es-ES"/>
        </w:rPr>
        <w:t>Asistencia a reuniones de expertos</w:t>
      </w:r>
      <w:r w:rsidR="007A6564" w:rsidRPr="00FF6507">
        <w:rPr>
          <w:lang w:val="es-ES"/>
        </w:rPr>
        <w:t xml:space="preserve">, </w:t>
      </w:r>
      <w:r w:rsidRPr="00FF6507">
        <w:rPr>
          <w:lang w:val="es-ES"/>
        </w:rPr>
        <w:t>las reunion</w:t>
      </w:r>
      <w:r>
        <w:rPr>
          <w:lang w:val="es-ES"/>
        </w:rPr>
        <w:t>e</w:t>
      </w:r>
      <w:r w:rsidRPr="00FF6507">
        <w:rPr>
          <w:lang w:val="es-ES"/>
        </w:rPr>
        <w:t xml:space="preserve">s del </w:t>
      </w:r>
      <w:r>
        <w:rPr>
          <w:lang w:val="es-ES"/>
        </w:rPr>
        <w:t>Programa Regional de Asistencia al Cump</w:t>
      </w:r>
      <w:r w:rsidRPr="00FF6507">
        <w:rPr>
          <w:lang w:val="es-ES"/>
        </w:rPr>
        <w:t>limi</w:t>
      </w:r>
      <w:r>
        <w:rPr>
          <w:lang w:val="es-ES"/>
        </w:rPr>
        <w:t>e</w:t>
      </w:r>
      <w:r w:rsidRPr="00FF6507">
        <w:rPr>
          <w:lang w:val="es-ES"/>
        </w:rPr>
        <w:t xml:space="preserve">nto </w:t>
      </w:r>
      <w:r>
        <w:rPr>
          <w:lang w:val="es-ES"/>
        </w:rPr>
        <w:t>del PNUMA</w:t>
      </w:r>
      <w:r w:rsidR="007A6564" w:rsidRPr="00FF6507">
        <w:rPr>
          <w:lang w:val="es-ES"/>
        </w:rPr>
        <w:t xml:space="preserve">, </w:t>
      </w:r>
      <w:r>
        <w:rPr>
          <w:lang w:val="es-ES"/>
        </w:rPr>
        <w:t xml:space="preserve">y a las reuniones del </w:t>
      </w:r>
      <w:r w:rsidR="00257269" w:rsidRPr="00FF6507">
        <w:rPr>
          <w:lang w:val="es-ES"/>
        </w:rPr>
        <w:t>Protocol</w:t>
      </w:r>
      <w:r>
        <w:rPr>
          <w:lang w:val="es-ES"/>
        </w:rPr>
        <w:t>o de Montreal</w:t>
      </w:r>
      <w:r w:rsidR="00815D2E" w:rsidRPr="00FF6507">
        <w:rPr>
          <w:lang w:val="es-ES"/>
        </w:rPr>
        <w:t xml:space="preserve">; </w:t>
      </w:r>
      <w:r>
        <w:rPr>
          <w:lang w:val="es-ES"/>
        </w:rPr>
        <w:t>y</w:t>
      </w:r>
    </w:p>
    <w:p w14:paraId="45A39F13" w14:textId="42857EA8" w:rsidR="007A6564" w:rsidRPr="00FF6507" w:rsidRDefault="004C54AE" w:rsidP="007A6564">
      <w:pPr>
        <w:pStyle w:val="Heading2"/>
        <w:numPr>
          <w:ilvl w:val="1"/>
          <w:numId w:val="1"/>
        </w:numPr>
        <w:tabs>
          <w:tab w:val="clear" w:pos="-720"/>
          <w:tab w:val="num" w:pos="0"/>
        </w:tabs>
        <w:ind w:left="1440"/>
        <w:rPr>
          <w:lang w:val="es-ES"/>
        </w:rPr>
      </w:pPr>
      <w:r w:rsidRPr="00FF6507">
        <w:rPr>
          <w:lang w:val="es-ES"/>
        </w:rPr>
        <w:t>P</w:t>
      </w:r>
      <w:r w:rsidR="007A6564" w:rsidRPr="00FF6507">
        <w:rPr>
          <w:lang w:val="es-ES"/>
        </w:rPr>
        <w:t>articipa</w:t>
      </w:r>
      <w:r w:rsidR="00FF6507" w:rsidRPr="00FF6507">
        <w:rPr>
          <w:lang w:val="es-ES"/>
        </w:rPr>
        <w:t>ción en el mecanismo de Consentimiento Fundamentado Previo Oficioso de exportaci</w:t>
      </w:r>
      <w:r w:rsidR="00FF6507">
        <w:rPr>
          <w:lang w:val="es-ES"/>
        </w:rPr>
        <w:t>ón e importación de SAO</w:t>
      </w:r>
      <w:r w:rsidR="00815D2E" w:rsidRPr="00FF6507">
        <w:rPr>
          <w:lang w:val="es-ES"/>
        </w:rPr>
        <w:t>.</w:t>
      </w:r>
    </w:p>
    <w:p w14:paraId="311A85C7" w14:textId="40F6A442" w:rsidR="007A6564" w:rsidRPr="00DB24E5" w:rsidRDefault="003A56DA" w:rsidP="007A6564">
      <w:pPr>
        <w:pStyle w:val="Heading2"/>
        <w:keepNext/>
        <w:keepLines/>
        <w:numPr>
          <w:ilvl w:val="0"/>
          <w:numId w:val="0"/>
        </w:numPr>
        <w:rPr>
          <w:i/>
          <w:lang w:val="es-ES"/>
        </w:rPr>
      </w:pPr>
      <w:r w:rsidRPr="00DB24E5">
        <w:rPr>
          <w:i/>
          <w:lang w:val="es-ES"/>
        </w:rPr>
        <w:t xml:space="preserve">Dependencia de ejecución y supervisión de proyectos </w:t>
      </w:r>
    </w:p>
    <w:p w14:paraId="7100E967" w14:textId="190DF269" w:rsidR="00484D67" w:rsidRPr="00DB24E5" w:rsidRDefault="00DB24E5" w:rsidP="007C1B38">
      <w:pPr>
        <w:pStyle w:val="Heading1"/>
        <w:tabs>
          <w:tab w:val="clear" w:pos="0"/>
          <w:tab w:val="clear" w:pos="1985"/>
        </w:tabs>
        <w:rPr>
          <w:lang w:val="es-ES"/>
        </w:rPr>
      </w:pPr>
      <w:r>
        <w:rPr>
          <w:lang w:val="es-ES"/>
        </w:rPr>
        <w:t>En la etapa</w:t>
      </w:r>
      <w:r w:rsidR="00BB6FE1" w:rsidRPr="00DB24E5">
        <w:rPr>
          <w:lang w:val="es-ES"/>
        </w:rPr>
        <w:t> </w:t>
      </w:r>
      <w:r w:rsidR="00AF5B98" w:rsidRPr="00DB24E5">
        <w:rPr>
          <w:lang w:val="es-ES"/>
        </w:rPr>
        <w:t xml:space="preserve">I </w:t>
      </w:r>
      <w:r w:rsidR="00135B60" w:rsidRPr="00DB24E5">
        <w:rPr>
          <w:lang w:val="es-ES"/>
        </w:rPr>
        <w:t>del plan de gestión de eliminación de los HCFC</w:t>
      </w:r>
      <w:r w:rsidR="00AF5B98" w:rsidRPr="00DB24E5">
        <w:rPr>
          <w:lang w:val="es-ES"/>
        </w:rPr>
        <w:t xml:space="preserve"> </w:t>
      </w:r>
      <w:r>
        <w:rPr>
          <w:lang w:val="es-ES"/>
        </w:rPr>
        <w:t>para</w:t>
      </w:r>
      <w:r w:rsidR="00AF5B98" w:rsidRPr="00DB24E5">
        <w:rPr>
          <w:lang w:val="es-ES" w:eastAsia="sr-Latn-ME"/>
        </w:rPr>
        <w:t xml:space="preserve"> Montenegro</w:t>
      </w:r>
      <w:r>
        <w:rPr>
          <w:lang w:val="es-ES" w:eastAsia="sr-Latn-ME"/>
        </w:rPr>
        <w:t xml:space="preserve"> no se estableció la dependencia de ejecución y supervisión de proyectos</w:t>
      </w:r>
      <w:r w:rsidR="00AF5B98" w:rsidRPr="00DB24E5">
        <w:rPr>
          <w:lang w:val="es-ES" w:eastAsia="sr-Latn-ME"/>
        </w:rPr>
        <w:t xml:space="preserve">. </w:t>
      </w:r>
      <w:r>
        <w:rPr>
          <w:lang w:val="es-ES" w:eastAsia="sr-Latn-ME"/>
        </w:rPr>
        <w:t xml:space="preserve">La dependencia del ozono y la </w:t>
      </w:r>
      <w:r w:rsidR="0088461E" w:rsidRPr="00DB24E5">
        <w:rPr>
          <w:lang w:val="es-ES"/>
        </w:rPr>
        <w:t>ONUDI</w:t>
      </w:r>
      <w:r w:rsidR="007A6564" w:rsidRPr="00DB24E5">
        <w:rPr>
          <w:lang w:val="es-ES"/>
        </w:rPr>
        <w:t xml:space="preserve"> </w:t>
      </w:r>
      <w:r>
        <w:rPr>
          <w:lang w:val="es-ES"/>
        </w:rPr>
        <w:t xml:space="preserve">supervisaron la ejecución </w:t>
      </w:r>
      <w:r w:rsidR="00135B60" w:rsidRPr="00DB24E5">
        <w:rPr>
          <w:lang w:val="es-ES"/>
        </w:rPr>
        <w:t>del plan de gestión de eliminación de los HCFC</w:t>
      </w:r>
      <w:r w:rsidR="007A6564" w:rsidRPr="00DB24E5">
        <w:rPr>
          <w:lang w:val="es-ES"/>
        </w:rPr>
        <w:t xml:space="preserve"> </w:t>
      </w:r>
      <w:r>
        <w:rPr>
          <w:lang w:val="es-ES"/>
        </w:rPr>
        <w:t>y prepararon los informes correspondientes para el tramo quinto y final</w:t>
      </w:r>
      <w:r w:rsidR="00443ACF" w:rsidRPr="00DB24E5">
        <w:rPr>
          <w:lang w:val="es-ES"/>
        </w:rPr>
        <w:t xml:space="preserve">. </w:t>
      </w:r>
    </w:p>
    <w:p w14:paraId="2A26C9A8" w14:textId="4887E177" w:rsidR="007A6564" w:rsidRPr="00DB24E5" w:rsidRDefault="003A56DA" w:rsidP="00484D67">
      <w:pPr>
        <w:pStyle w:val="Heading1"/>
        <w:keepNext/>
        <w:numPr>
          <w:ilvl w:val="0"/>
          <w:numId w:val="0"/>
        </w:numPr>
        <w:tabs>
          <w:tab w:val="num" w:pos="0"/>
        </w:tabs>
        <w:rPr>
          <w:u w:val="single"/>
          <w:lang w:val="es-ES"/>
        </w:rPr>
      </w:pPr>
      <w:r w:rsidRPr="00DB24E5">
        <w:rPr>
          <w:u w:val="single"/>
          <w:lang w:val="es-ES"/>
        </w:rPr>
        <w:t>Nivel de desembolso de los fondos</w:t>
      </w:r>
    </w:p>
    <w:p w14:paraId="2D1303B4" w14:textId="6D065768" w:rsidR="007A6564" w:rsidRPr="00DB24E5" w:rsidRDefault="00DB24E5" w:rsidP="007C1B38">
      <w:pPr>
        <w:pStyle w:val="Heading1"/>
        <w:tabs>
          <w:tab w:val="clear" w:pos="1985"/>
        </w:tabs>
        <w:rPr>
          <w:lang w:val="es-ES"/>
        </w:rPr>
      </w:pPr>
      <w:r w:rsidRPr="00DB24E5">
        <w:rPr>
          <w:lang w:val="es-ES"/>
        </w:rPr>
        <w:t>En febrero de</w:t>
      </w:r>
      <w:r w:rsidR="007A6564" w:rsidRPr="00DB24E5">
        <w:rPr>
          <w:lang w:val="es-ES"/>
        </w:rPr>
        <w:t xml:space="preserve"> 2020, </w:t>
      </w:r>
      <w:r w:rsidRPr="00DB24E5">
        <w:rPr>
          <w:lang w:val="es-ES"/>
        </w:rPr>
        <w:t xml:space="preserve">de los </w:t>
      </w:r>
      <w:r w:rsidR="007A6564" w:rsidRPr="00DB24E5">
        <w:rPr>
          <w:lang w:val="es-ES"/>
        </w:rPr>
        <w:t>383</w:t>
      </w:r>
      <w:r w:rsidRPr="00DB24E5">
        <w:rPr>
          <w:lang w:val="es-ES"/>
        </w:rPr>
        <w:t>.</w:t>
      </w:r>
      <w:r w:rsidR="007A6564" w:rsidRPr="00DB24E5">
        <w:rPr>
          <w:lang w:val="es-ES"/>
        </w:rPr>
        <w:t xml:space="preserve">500 </w:t>
      </w:r>
      <w:r w:rsidRPr="00DB24E5">
        <w:rPr>
          <w:lang w:val="es-ES"/>
        </w:rPr>
        <w:t>$ EUA aprobados hasta ese momento</w:t>
      </w:r>
      <w:r w:rsidR="007A6564" w:rsidRPr="00DB24E5">
        <w:rPr>
          <w:lang w:val="es-ES"/>
        </w:rPr>
        <w:t xml:space="preserve">, </w:t>
      </w:r>
      <w:r>
        <w:rPr>
          <w:lang w:val="es-ES"/>
        </w:rPr>
        <w:t xml:space="preserve">se habían desembolsado </w:t>
      </w:r>
      <w:r w:rsidR="007A6564" w:rsidRPr="00DB24E5">
        <w:rPr>
          <w:lang w:val="es-ES"/>
        </w:rPr>
        <w:t>373</w:t>
      </w:r>
      <w:r>
        <w:rPr>
          <w:lang w:val="es-ES"/>
        </w:rPr>
        <w:t>.</w:t>
      </w:r>
      <w:r w:rsidR="00257269" w:rsidRPr="00DB24E5">
        <w:rPr>
          <w:lang w:val="es-ES"/>
        </w:rPr>
        <w:t>3</w:t>
      </w:r>
      <w:r w:rsidR="007A6564" w:rsidRPr="00DB24E5">
        <w:rPr>
          <w:lang w:val="es-ES"/>
        </w:rPr>
        <w:t>00</w:t>
      </w:r>
      <w:r>
        <w:rPr>
          <w:lang w:val="es-ES"/>
        </w:rPr>
        <w:t xml:space="preserve"> </w:t>
      </w:r>
      <w:r w:rsidRPr="00DB24E5">
        <w:rPr>
          <w:lang w:val="es-ES"/>
        </w:rPr>
        <w:t>$ EUA</w:t>
      </w:r>
      <w:r>
        <w:rPr>
          <w:lang w:val="es-ES"/>
        </w:rPr>
        <w:t xml:space="preserve"> como se muestra en el c</w:t>
      </w:r>
      <w:r w:rsidR="00436A9D" w:rsidRPr="00DB24E5">
        <w:rPr>
          <w:lang w:val="es-ES"/>
        </w:rPr>
        <w:t>uadro</w:t>
      </w:r>
      <w:r w:rsidR="007A6564" w:rsidRPr="00DB24E5">
        <w:rPr>
          <w:lang w:val="es-ES"/>
        </w:rPr>
        <w:t xml:space="preserve"> 2. </w:t>
      </w:r>
      <w:r w:rsidRPr="00DB24E5">
        <w:rPr>
          <w:lang w:val="es-ES"/>
        </w:rPr>
        <w:t xml:space="preserve">El saldo de </w:t>
      </w:r>
      <w:r w:rsidR="007A6564" w:rsidRPr="00DB24E5">
        <w:rPr>
          <w:lang w:val="es-ES"/>
        </w:rPr>
        <w:t>10</w:t>
      </w:r>
      <w:r w:rsidRPr="00DB24E5">
        <w:rPr>
          <w:lang w:val="es-ES"/>
        </w:rPr>
        <w:t>.</w:t>
      </w:r>
      <w:r w:rsidR="00962DD5" w:rsidRPr="00DB24E5">
        <w:rPr>
          <w:lang w:val="es-ES"/>
        </w:rPr>
        <w:t>2</w:t>
      </w:r>
      <w:r w:rsidR="007A6564" w:rsidRPr="00DB24E5">
        <w:rPr>
          <w:lang w:val="es-ES"/>
        </w:rPr>
        <w:t xml:space="preserve">00 </w:t>
      </w:r>
      <w:r w:rsidRPr="00DB24E5">
        <w:rPr>
          <w:lang w:val="es-ES"/>
        </w:rPr>
        <w:t xml:space="preserve">$ EUA se desembolsará en </w:t>
      </w:r>
      <w:r w:rsidR="007A6564" w:rsidRPr="00DB24E5">
        <w:rPr>
          <w:lang w:val="es-ES"/>
        </w:rPr>
        <w:t>2020.</w:t>
      </w:r>
    </w:p>
    <w:p w14:paraId="4D81E9C8" w14:textId="16C7E3BE" w:rsidR="007A6564" w:rsidRPr="00DB24E5" w:rsidRDefault="00436A9D" w:rsidP="007A6564">
      <w:pPr>
        <w:rPr>
          <w:b/>
          <w:sz w:val="21"/>
          <w:szCs w:val="21"/>
          <w:lang w:val="es-ES"/>
        </w:rPr>
      </w:pPr>
      <w:r w:rsidRPr="00DB24E5">
        <w:rPr>
          <w:b/>
          <w:sz w:val="21"/>
          <w:szCs w:val="21"/>
          <w:lang w:val="es-ES"/>
        </w:rPr>
        <w:t>Cuadro</w:t>
      </w:r>
      <w:r w:rsidR="007A6564" w:rsidRPr="00DB24E5">
        <w:rPr>
          <w:b/>
          <w:sz w:val="21"/>
          <w:szCs w:val="21"/>
          <w:lang w:val="es-ES"/>
        </w:rPr>
        <w:t xml:space="preserve"> 2. </w:t>
      </w:r>
      <w:r w:rsidR="00DB24E5">
        <w:rPr>
          <w:b/>
          <w:sz w:val="21"/>
          <w:szCs w:val="21"/>
          <w:lang w:val="es-ES"/>
        </w:rPr>
        <w:t xml:space="preserve">Informe financiero de la </w:t>
      </w:r>
      <w:r w:rsidR="008C669C" w:rsidRPr="00DB24E5">
        <w:rPr>
          <w:b/>
          <w:sz w:val="21"/>
          <w:szCs w:val="21"/>
          <w:lang w:val="es-ES"/>
        </w:rPr>
        <w:t>etapa</w:t>
      </w:r>
      <w:r w:rsidR="007A6564" w:rsidRPr="00DB24E5">
        <w:rPr>
          <w:b/>
          <w:sz w:val="21"/>
          <w:szCs w:val="21"/>
          <w:lang w:val="es-ES"/>
        </w:rPr>
        <w:t xml:space="preserve"> I </w:t>
      </w:r>
      <w:r w:rsidR="00135B60" w:rsidRPr="00DB24E5">
        <w:rPr>
          <w:b/>
          <w:sz w:val="21"/>
          <w:szCs w:val="21"/>
          <w:lang w:val="es-ES"/>
        </w:rPr>
        <w:t>del plan de gestión de eliminación de los HCFC</w:t>
      </w:r>
      <w:r w:rsidR="007A6564" w:rsidRPr="00DB24E5">
        <w:rPr>
          <w:b/>
          <w:sz w:val="21"/>
          <w:szCs w:val="21"/>
          <w:lang w:val="es-ES"/>
        </w:rPr>
        <w:t xml:space="preserve"> </w:t>
      </w:r>
      <w:r w:rsidR="00DB24E5">
        <w:rPr>
          <w:b/>
          <w:sz w:val="21"/>
          <w:szCs w:val="21"/>
          <w:lang w:val="es-ES"/>
        </w:rPr>
        <w:t>para</w:t>
      </w:r>
      <w:r w:rsidR="007A6564" w:rsidRPr="00DB24E5">
        <w:rPr>
          <w:b/>
          <w:sz w:val="21"/>
          <w:szCs w:val="21"/>
          <w:lang w:val="es-ES"/>
        </w:rPr>
        <w:t xml:space="preserve"> Montenegro (</w:t>
      </w:r>
      <w:r w:rsidR="008C669C" w:rsidRPr="00DB24E5">
        <w:rPr>
          <w:b/>
          <w:sz w:val="21"/>
          <w:szCs w:val="21"/>
          <w:lang w:val="es-ES"/>
        </w:rPr>
        <w:t>$ EUA</w:t>
      </w:r>
      <w:r w:rsidR="007A6564" w:rsidRPr="00DB24E5">
        <w:rPr>
          <w:b/>
          <w:sz w:val="21"/>
          <w:szCs w:val="21"/>
          <w:lang w:val="es-ES"/>
        </w:rPr>
        <w:t>)</w:t>
      </w:r>
    </w:p>
    <w:tbl>
      <w:tblPr>
        <w:tblW w:w="9355" w:type="dxa"/>
        <w:tblLayout w:type="fixed"/>
        <w:tblLook w:val="04A0" w:firstRow="1" w:lastRow="0" w:firstColumn="1" w:lastColumn="0" w:noHBand="0" w:noVBand="1"/>
      </w:tblPr>
      <w:tblGrid>
        <w:gridCol w:w="2338"/>
        <w:gridCol w:w="2339"/>
        <w:gridCol w:w="2339"/>
        <w:gridCol w:w="2339"/>
      </w:tblGrid>
      <w:tr w:rsidR="009508C2" w:rsidRPr="00DB24E5" w14:paraId="4527373F" w14:textId="77777777" w:rsidTr="009508C2">
        <w:tc>
          <w:tcPr>
            <w:tcW w:w="2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44C8E" w14:textId="406141F0" w:rsidR="009508C2" w:rsidRPr="00DB24E5" w:rsidRDefault="008C669C" w:rsidP="009508C2">
            <w:pPr>
              <w:jc w:val="left"/>
              <w:rPr>
                <w:b/>
                <w:color w:val="000000"/>
                <w:sz w:val="21"/>
                <w:szCs w:val="21"/>
                <w:lang w:val="es-ES" w:eastAsia="en-CA"/>
              </w:rPr>
            </w:pPr>
            <w:r w:rsidRPr="00DB24E5">
              <w:rPr>
                <w:b/>
                <w:color w:val="000000"/>
                <w:sz w:val="21"/>
                <w:szCs w:val="21"/>
                <w:lang w:val="es-ES" w:eastAsia="en-CA"/>
              </w:rPr>
              <w:t>Tramo</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14:paraId="30D9E118" w14:textId="60DBC8B1" w:rsidR="009508C2" w:rsidRPr="00DB24E5" w:rsidRDefault="00DB24E5" w:rsidP="00DB24E5">
            <w:pPr>
              <w:jc w:val="center"/>
              <w:rPr>
                <w:b/>
                <w:color w:val="000000"/>
                <w:sz w:val="21"/>
                <w:szCs w:val="21"/>
                <w:lang w:val="es-ES" w:eastAsia="en-CA"/>
              </w:rPr>
            </w:pPr>
            <w:r>
              <w:rPr>
                <w:b/>
                <w:color w:val="000000"/>
                <w:sz w:val="21"/>
                <w:szCs w:val="21"/>
                <w:lang w:val="es-ES" w:eastAsia="en-CA"/>
              </w:rPr>
              <w:t>Aprobado</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14:paraId="319D12B6" w14:textId="2732E48A" w:rsidR="009508C2" w:rsidRPr="00DB24E5" w:rsidRDefault="00DB24E5" w:rsidP="00DB24E5">
            <w:pPr>
              <w:jc w:val="center"/>
              <w:rPr>
                <w:b/>
                <w:color w:val="000000"/>
                <w:sz w:val="21"/>
                <w:szCs w:val="21"/>
                <w:lang w:val="es-ES" w:eastAsia="en-CA"/>
              </w:rPr>
            </w:pPr>
            <w:r>
              <w:rPr>
                <w:b/>
                <w:color w:val="000000"/>
                <w:sz w:val="21"/>
                <w:szCs w:val="21"/>
                <w:lang w:val="es-ES" w:eastAsia="en-CA"/>
              </w:rPr>
              <w:t>Desembolsado</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14:paraId="71E3A469" w14:textId="6579B3B7" w:rsidR="009508C2" w:rsidRPr="00DB24E5" w:rsidRDefault="00DB24E5" w:rsidP="00DB24E5">
            <w:pPr>
              <w:jc w:val="center"/>
              <w:rPr>
                <w:b/>
                <w:color w:val="000000"/>
                <w:sz w:val="21"/>
                <w:szCs w:val="21"/>
                <w:lang w:val="es-ES" w:eastAsia="en-CA"/>
              </w:rPr>
            </w:pPr>
            <w:r>
              <w:rPr>
                <w:b/>
                <w:color w:val="000000"/>
                <w:sz w:val="21"/>
                <w:szCs w:val="21"/>
                <w:lang w:val="es-ES" w:eastAsia="en-CA"/>
              </w:rPr>
              <w:t>Tasa de desembolso</w:t>
            </w:r>
            <w:r w:rsidR="009508C2" w:rsidRPr="00DB24E5">
              <w:rPr>
                <w:b/>
                <w:color w:val="000000"/>
                <w:sz w:val="21"/>
                <w:szCs w:val="21"/>
                <w:lang w:val="es-ES" w:eastAsia="en-CA"/>
              </w:rPr>
              <w:t xml:space="preserve"> (%)</w:t>
            </w:r>
          </w:p>
        </w:tc>
      </w:tr>
      <w:tr w:rsidR="009508C2" w:rsidRPr="00DB24E5" w14:paraId="396F25BE" w14:textId="77777777" w:rsidTr="009508C2">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0C7F4355" w14:textId="069C4B69" w:rsidR="009508C2" w:rsidRPr="00DB24E5" w:rsidRDefault="00DB24E5" w:rsidP="00DB24E5">
            <w:pPr>
              <w:jc w:val="left"/>
              <w:rPr>
                <w:color w:val="000000"/>
                <w:sz w:val="21"/>
                <w:szCs w:val="21"/>
                <w:lang w:val="es-ES" w:eastAsia="en-CA"/>
              </w:rPr>
            </w:pPr>
            <w:r>
              <w:rPr>
                <w:color w:val="000000"/>
                <w:sz w:val="21"/>
                <w:szCs w:val="21"/>
                <w:lang w:val="es-ES" w:eastAsia="en-CA"/>
              </w:rPr>
              <w:t>Primero</w:t>
            </w:r>
          </w:p>
        </w:tc>
        <w:tc>
          <w:tcPr>
            <w:tcW w:w="2339" w:type="dxa"/>
            <w:tcBorders>
              <w:top w:val="nil"/>
              <w:left w:val="nil"/>
              <w:bottom w:val="single" w:sz="4" w:space="0" w:color="auto"/>
              <w:right w:val="single" w:sz="4" w:space="0" w:color="auto"/>
            </w:tcBorders>
            <w:shd w:val="clear" w:color="auto" w:fill="auto"/>
            <w:noWrap/>
            <w:tcMar>
              <w:left w:w="115" w:type="dxa"/>
              <w:right w:w="648" w:type="dxa"/>
            </w:tcMar>
            <w:vAlign w:val="bottom"/>
            <w:hideMark/>
          </w:tcPr>
          <w:p w14:paraId="0946C662" w14:textId="44D1CA78" w:rsidR="009508C2" w:rsidRPr="00DB24E5" w:rsidRDefault="009508C2" w:rsidP="0078039C">
            <w:pPr>
              <w:jc w:val="right"/>
              <w:rPr>
                <w:color w:val="000000"/>
                <w:sz w:val="21"/>
                <w:szCs w:val="21"/>
                <w:lang w:val="es-ES" w:eastAsia="en-CA"/>
              </w:rPr>
            </w:pPr>
            <w:r w:rsidRPr="00DB24E5">
              <w:rPr>
                <w:color w:val="000000"/>
                <w:sz w:val="21"/>
                <w:szCs w:val="21"/>
                <w:lang w:val="es-ES" w:eastAsia="en-CA"/>
              </w:rPr>
              <w:t>155</w:t>
            </w:r>
            <w:r w:rsidR="0078039C">
              <w:rPr>
                <w:color w:val="000000"/>
                <w:sz w:val="21"/>
                <w:szCs w:val="21"/>
                <w:lang w:val="es-ES" w:eastAsia="en-CA"/>
              </w:rPr>
              <w:t>.</w:t>
            </w:r>
            <w:r w:rsidRPr="00DB24E5">
              <w:rPr>
                <w:color w:val="000000"/>
                <w:sz w:val="21"/>
                <w:szCs w:val="21"/>
                <w:lang w:val="es-ES" w:eastAsia="en-CA"/>
              </w:rPr>
              <w:t>000</w:t>
            </w:r>
          </w:p>
        </w:tc>
        <w:tc>
          <w:tcPr>
            <w:tcW w:w="2339" w:type="dxa"/>
            <w:tcBorders>
              <w:top w:val="nil"/>
              <w:left w:val="nil"/>
              <w:bottom w:val="single" w:sz="4" w:space="0" w:color="auto"/>
              <w:right w:val="single" w:sz="4" w:space="0" w:color="auto"/>
            </w:tcBorders>
            <w:shd w:val="clear" w:color="auto" w:fill="auto"/>
            <w:noWrap/>
            <w:tcMar>
              <w:left w:w="115" w:type="dxa"/>
              <w:right w:w="648" w:type="dxa"/>
            </w:tcMar>
            <w:vAlign w:val="bottom"/>
            <w:hideMark/>
          </w:tcPr>
          <w:p w14:paraId="7B356169" w14:textId="6952274C" w:rsidR="009508C2" w:rsidRPr="00DB24E5" w:rsidRDefault="009508C2" w:rsidP="0078039C">
            <w:pPr>
              <w:jc w:val="right"/>
              <w:rPr>
                <w:color w:val="000000"/>
                <w:sz w:val="21"/>
                <w:szCs w:val="21"/>
                <w:lang w:val="es-ES" w:eastAsia="en-CA"/>
              </w:rPr>
            </w:pPr>
            <w:r w:rsidRPr="00DB24E5">
              <w:rPr>
                <w:color w:val="000000"/>
                <w:sz w:val="21"/>
                <w:szCs w:val="21"/>
                <w:lang w:val="es-ES" w:eastAsia="en-CA"/>
              </w:rPr>
              <w:t>155</w:t>
            </w:r>
            <w:r w:rsidR="0078039C">
              <w:rPr>
                <w:color w:val="000000"/>
                <w:sz w:val="21"/>
                <w:szCs w:val="21"/>
                <w:lang w:val="es-ES" w:eastAsia="en-CA"/>
              </w:rPr>
              <w:t>.</w:t>
            </w:r>
            <w:r w:rsidRPr="00DB24E5">
              <w:rPr>
                <w:color w:val="000000"/>
                <w:sz w:val="21"/>
                <w:szCs w:val="21"/>
                <w:lang w:val="es-ES" w:eastAsia="en-CA"/>
              </w:rPr>
              <w:t>000</w:t>
            </w:r>
          </w:p>
        </w:tc>
        <w:tc>
          <w:tcPr>
            <w:tcW w:w="2339" w:type="dxa"/>
            <w:tcBorders>
              <w:top w:val="nil"/>
              <w:left w:val="nil"/>
              <w:bottom w:val="single" w:sz="4" w:space="0" w:color="auto"/>
              <w:right w:val="single" w:sz="4" w:space="0" w:color="auto"/>
            </w:tcBorders>
            <w:shd w:val="clear" w:color="auto" w:fill="auto"/>
            <w:noWrap/>
            <w:vAlign w:val="center"/>
            <w:hideMark/>
          </w:tcPr>
          <w:p w14:paraId="49E6E1BF" w14:textId="77777777" w:rsidR="009508C2" w:rsidRPr="00DB24E5" w:rsidRDefault="009508C2" w:rsidP="009508C2">
            <w:pPr>
              <w:jc w:val="center"/>
              <w:rPr>
                <w:color w:val="000000"/>
                <w:sz w:val="21"/>
                <w:szCs w:val="21"/>
                <w:lang w:val="es-ES" w:eastAsia="en-CA"/>
              </w:rPr>
            </w:pPr>
            <w:r w:rsidRPr="00DB24E5">
              <w:rPr>
                <w:color w:val="000000"/>
                <w:sz w:val="21"/>
                <w:szCs w:val="21"/>
                <w:lang w:val="es-ES" w:eastAsia="en-CA"/>
              </w:rPr>
              <w:t>100</w:t>
            </w:r>
          </w:p>
        </w:tc>
      </w:tr>
      <w:tr w:rsidR="009508C2" w:rsidRPr="00DB24E5" w14:paraId="00F4AB2E" w14:textId="77777777" w:rsidTr="009508C2">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7807BD31" w14:textId="484E0D5F" w:rsidR="009508C2" w:rsidRPr="00DB24E5" w:rsidRDefault="009508C2" w:rsidP="00DB24E5">
            <w:pPr>
              <w:jc w:val="left"/>
              <w:rPr>
                <w:color w:val="000000"/>
                <w:sz w:val="21"/>
                <w:szCs w:val="21"/>
                <w:lang w:val="es-ES" w:eastAsia="en-CA"/>
              </w:rPr>
            </w:pPr>
            <w:r w:rsidRPr="00DB24E5">
              <w:rPr>
                <w:color w:val="000000"/>
                <w:sz w:val="21"/>
                <w:szCs w:val="21"/>
                <w:lang w:val="es-ES" w:eastAsia="en-CA"/>
              </w:rPr>
              <w:t>Se</w:t>
            </w:r>
            <w:r w:rsidR="00DB24E5">
              <w:rPr>
                <w:color w:val="000000"/>
                <w:sz w:val="21"/>
                <w:szCs w:val="21"/>
                <w:lang w:val="es-ES" w:eastAsia="en-CA"/>
              </w:rPr>
              <w:t>gundo</w:t>
            </w:r>
          </w:p>
        </w:tc>
        <w:tc>
          <w:tcPr>
            <w:tcW w:w="2339" w:type="dxa"/>
            <w:tcBorders>
              <w:top w:val="nil"/>
              <w:left w:val="nil"/>
              <w:bottom w:val="single" w:sz="4" w:space="0" w:color="auto"/>
              <w:right w:val="single" w:sz="4" w:space="0" w:color="auto"/>
            </w:tcBorders>
            <w:shd w:val="clear" w:color="auto" w:fill="auto"/>
            <w:noWrap/>
            <w:tcMar>
              <w:left w:w="115" w:type="dxa"/>
              <w:right w:w="648" w:type="dxa"/>
            </w:tcMar>
            <w:vAlign w:val="bottom"/>
            <w:hideMark/>
          </w:tcPr>
          <w:p w14:paraId="5BF1F277" w14:textId="2AA8A4E9" w:rsidR="009508C2" w:rsidRPr="00DB24E5" w:rsidRDefault="009508C2" w:rsidP="0078039C">
            <w:pPr>
              <w:jc w:val="right"/>
              <w:rPr>
                <w:color w:val="000000"/>
                <w:sz w:val="21"/>
                <w:szCs w:val="21"/>
                <w:lang w:val="es-ES" w:eastAsia="en-CA"/>
              </w:rPr>
            </w:pPr>
            <w:r w:rsidRPr="00DB24E5">
              <w:rPr>
                <w:color w:val="000000"/>
                <w:sz w:val="21"/>
                <w:szCs w:val="21"/>
                <w:lang w:val="es-ES" w:eastAsia="en-CA"/>
              </w:rPr>
              <w:t>100</w:t>
            </w:r>
            <w:r w:rsidR="0078039C">
              <w:rPr>
                <w:color w:val="000000"/>
                <w:sz w:val="21"/>
                <w:szCs w:val="21"/>
                <w:lang w:val="es-ES" w:eastAsia="en-CA"/>
              </w:rPr>
              <w:t>.</w:t>
            </w:r>
            <w:r w:rsidRPr="00DB24E5">
              <w:rPr>
                <w:color w:val="000000"/>
                <w:sz w:val="21"/>
                <w:szCs w:val="21"/>
                <w:lang w:val="es-ES" w:eastAsia="en-CA"/>
              </w:rPr>
              <w:t>000</w:t>
            </w:r>
          </w:p>
        </w:tc>
        <w:tc>
          <w:tcPr>
            <w:tcW w:w="2339" w:type="dxa"/>
            <w:tcBorders>
              <w:top w:val="nil"/>
              <w:left w:val="nil"/>
              <w:bottom w:val="single" w:sz="4" w:space="0" w:color="auto"/>
              <w:right w:val="single" w:sz="4" w:space="0" w:color="auto"/>
            </w:tcBorders>
            <w:shd w:val="clear" w:color="auto" w:fill="auto"/>
            <w:noWrap/>
            <w:tcMar>
              <w:left w:w="115" w:type="dxa"/>
              <w:right w:w="648" w:type="dxa"/>
            </w:tcMar>
            <w:vAlign w:val="bottom"/>
            <w:hideMark/>
          </w:tcPr>
          <w:p w14:paraId="6BEFAE32" w14:textId="2BBF0A21" w:rsidR="009508C2" w:rsidRPr="00DB24E5" w:rsidRDefault="009508C2" w:rsidP="0078039C">
            <w:pPr>
              <w:jc w:val="right"/>
              <w:rPr>
                <w:color w:val="000000"/>
                <w:sz w:val="21"/>
                <w:szCs w:val="21"/>
                <w:lang w:val="es-ES" w:eastAsia="en-CA"/>
              </w:rPr>
            </w:pPr>
            <w:r w:rsidRPr="00DB24E5">
              <w:rPr>
                <w:color w:val="000000"/>
                <w:sz w:val="21"/>
                <w:szCs w:val="21"/>
                <w:lang w:val="es-ES" w:eastAsia="en-CA"/>
              </w:rPr>
              <w:t>100</w:t>
            </w:r>
            <w:r w:rsidR="0078039C">
              <w:rPr>
                <w:color w:val="000000"/>
                <w:sz w:val="21"/>
                <w:szCs w:val="21"/>
                <w:lang w:val="es-ES" w:eastAsia="en-CA"/>
              </w:rPr>
              <w:t>.</w:t>
            </w:r>
            <w:r w:rsidRPr="00DB24E5">
              <w:rPr>
                <w:color w:val="000000"/>
                <w:sz w:val="21"/>
                <w:szCs w:val="21"/>
                <w:lang w:val="es-ES" w:eastAsia="en-CA"/>
              </w:rPr>
              <w:t>000</w:t>
            </w:r>
          </w:p>
        </w:tc>
        <w:tc>
          <w:tcPr>
            <w:tcW w:w="2339" w:type="dxa"/>
            <w:tcBorders>
              <w:top w:val="nil"/>
              <w:left w:val="nil"/>
              <w:bottom w:val="single" w:sz="4" w:space="0" w:color="auto"/>
              <w:right w:val="single" w:sz="4" w:space="0" w:color="auto"/>
            </w:tcBorders>
            <w:shd w:val="clear" w:color="auto" w:fill="auto"/>
            <w:noWrap/>
            <w:vAlign w:val="center"/>
            <w:hideMark/>
          </w:tcPr>
          <w:p w14:paraId="64FAB4BD" w14:textId="77777777" w:rsidR="009508C2" w:rsidRPr="00DB24E5" w:rsidRDefault="009508C2" w:rsidP="009508C2">
            <w:pPr>
              <w:jc w:val="center"/>
              <w:rPr>
                <w:color w:val="000000"/>
                <w:sz w:val="21"/>
                <w:szCs w:val="21"/>
                <w:lang w:val="es-ES" w:eastAsia="en-CA"/>
              </w:rPr>
            </w:pPr>
            <w:r w:rsidRPr="00DB24E5">
              <w:rPr>
                <w:color w:val="000000"/>
                <w:sz w:val="21"/>
                <w:szCs w:val="21"/>
                <w:lang w:val="es-ES" w:eastAsia="en-CA"/>
              </w:rPr>
              <w:t>100</w:t>
            </w:r>
          </w:p>
        </w:tc>
      </w:tr>
      <w:tr w:rsidR="009508C2" w:rsidRPr="00DB24E5" w14:paraId="272E0F79" w14:textId="77777777" w:rsidTr="009508C2">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4557A222" w14:textId="0ECC1BC1" w:rsidR="009508C2" w:rsidRPr="00DB24E5" w:rsidRDefault="009508C2" w:rsidP="00DB24E5">
            <w:pPr>
              <w:jc w:val="left"/>
              <w:rPr>
                <w:color w:val="000000"/>
                <w:sz w:val="21"/>
                <w:szCs w:val="21"/>
                <w:lang w:val="es-ES" w:eastAsia="en-CA"/>
              </w:rPr>
            </w:pPr>
            <w:r w:rsidRPr="00DB24E5">
              <w:rPr>
                <w:color w:val="000000"/>
                <w:sz w:val="21"/>
                <w:szCs w:val="21"/>
                <w:lang w:val="es-ES" w:eastAsia="en-CA"/>
              </w:rPr>
              <w:t>T</w:t>
            </w:r>
            <w:r w:rsidR="00DB24E5">
              <w:rPr>
                <w:color w:val="000000"/>
                <w:sz w:val="21"/>
                <w:szCs w:val="21"/>
                <w:lang w:val="es-ES" w:eastAsia="en-CA"/>
              </w:rPr>
              <w:t>ercero</w:t>
            </w:r>
          </w:p>
        </w:tc>
        <w:tc>
          <w:tcPr>
            <w:tcW w:w="2339" w:type="dxa"/>
            <w:tcBorders>
              <w:top w:val="nil"/>
              <w:left w:val="nil"/>
              <w:bottom w:val="single" w:sz="4" w:space="0" w:color="auto"/>
              <w:right w:val="single" w:sz="4" w:space="0" w:color="auto"/>
            </w:tcBorders>
            <w:shd w:val="clear" w:color="auto" w:fill="auto"/>
            <w:noWrap/>
            <w:tcMar>
              <w:left w:w="115" w:type="dxa"/>
              <w:right w:w="648" w:type="dxa"/>
            </w:tcMar>
            <w:vAlign w:val="bottom"/>
            <w:hideMark/>
          </w:tcPr>
          <w:p w14:paraId="4DF3C273" w14:textId="6BCF7895" w:rsidR="009508C2" w:rsidRPr="00DB24E5" w:rsidRDefault="009508C2" w:rsidP="0078039C">
            <w:pPr>
              <w:jc w:val="right"/>
              <w:rPr>
                <w:color w:val="000000"/>
                <w:sz w:val="21"/>
                <w:szCs w:val="21"/>
                <w:lang w:val="es-ES" w:eastAsia="en-CA"/>
              </w:rPr>
            </w:pPr>
            <w:r w:rsidRPr="00DB24E5">
              <w:rPr>
                <w:color w:val="000000"/>
                <w:sz w:val="21"/>
                <w:szCs w:val="21"/>
                <w:lang w:val="es-ES" w:eastAsia="en-CA"/>
              </w:rPr>
              <w:t>98</w:t>
            </w:r>
            <w:r w:rsidR="0078039C">
              <w:rPr>
                <w:color w:val="000000"/>
                <w:sz w:val="21"/>
                <w:szCs w:val="21"/>
                <w:lang w:val="es-ES" w:eastAsia="en-CA"/>
              </w:rPr>
              <w:t>.</w:t>
            </w:r>
            <w:r w:rsidRPr="00DB24E5">
              <w:rPr>
                <w:color w:val="000000"/>
                <w:sz w:val="21"/>
                <w:szCs w:val="21"/>
                <w:lang w:val="es-ES" w:eastAsia="en-CA"/>
              </w:rPr>
              <w:t>500</w:t>
            </w:r>
          </w:p>
        </w:tc>
        <w:tc>
          <w:tcPr>
            <w:tcW w:w="2339" w:type="dxa"/>
            <w:tcBorders>
              <w:top w:val="nil"/>
              <w:left w:val="nil"/>
              <w:bottom w:val="single" w:sz="4" w:space="0" w:color="auto"/>
              <w:right w:val="single" w:sz="4" w:space="0" w:color="auto"/>
            </w:tcBorders>
            <w:shd w:val="clear" w:color="auto" w:fill="auto"/>
            <w:noWrap/>
            <w:tcMar>
              <w:left w:w="115" w:type="dxa"/>
              <w:right w:w="648" w:type="dxa"/>
            </w:tcMar>
            <w:vAlign w:val="bottom"/>
            <w:hideMark/>
          </w:tcPr>
          <w:p w14:paraId="1B77A1C0" w14:textId="53F629B6" w:rsidR="009508C2" w:rsidRPr="00DB24E5" w:rsidRDefault="009508C2" w:rsidP="0078039C">
            <w:pPr>
              <w:jc w:val="right"/>
              <w:rPr>
                <w:color w:val="000000"/>
                <w:sz w:val="21"/>
                <w:szCs w:val="21"/>
                <w:lang w:val="es-ES" w:eastAsia="en-CA"/>
              </w:rPr>
            </w:pPr>
            <w:r w:rsidRPr="00DB24E5">
              <w:rPr>
                <w:color w:val="000000"/>
                <w:sz w:val="21"/>
                <w:szCs w:val="21"/>
                <w:lang w:val="es-ES" w:eastAsia="en-CA"/>
              </w:rPr>
              <w:t>98</w:t>
            </w:r>
            <w:r w:rsidR="0078039C">
              <w:rPr>
                <w:color w:val="000000"/>
                <w:sz w:val="21"/>
                <w:szCs w:val="21"/>
                <w:lang w:val="es-ES" w:eastAsia="en-CA"/>
              </w:rPr>
              <w:t>.</w:t>
            </w:r>
            <w:r w:rsidRPr="00DB24E5">
              <w:rPr>
                <w:color w:val="000000"/>
                <w:sz w:val="21"/>
                <w:szCs w:val="21"/>
                <w:lang w:val="es-ES" w:eastAsia="en-CA"/>
              </w:rPr>
              <w:t>500</w:t>
            </w:r>
          </w:p>
        </w:tc>
        <w:tc>
          <w:tcPr>
            <w:tcW w:w="2339" w:type="dxa"/>
            <w:tcBorders>
              <w:top w:val="nil"/>
              <w:left w:val="nil"/>
              <w:bottom w:val="single" w:sz="4" w:space="0" w:color="auto"/>
              <w:right w:val="single" w:sz="4" w:space="0" w:color="auto"/>
            </w:tcBorders>
            <w:shd w:val="clear" w:color="auto" w:fill="auto"/>
            <w:noWrap/>
            <w:vAlign w:val="center"/>
            <w:hideMark/>
          </w:tcPr>
          <w:p w14:paraId="578512C6" w14:textId="77777777" w:rsidR="009508C2" w:rsidRPr="00DB24E5" w:rsidRDefault="009508C2" w:rsidP="009508C2">
            <w:pPr>
              <w:jc w:val="center"/>
              <w:rPr>
                <w:color w:val="000000"/>
                <w:sz w:val="21"/>
                <w:szCs w:val="21"/>
                <w:lang w:val="es-ES" w:eastAsia="en-CA"/>
              </w:rPr>
            </w:pPr>
            <w:r w:rsidRPr="00DB24E5">
              <w:rPr>
                <w:color w:val="000000"/>
                <w:sz w:val="21"/>
                <w:szCs w:val="21"/>
                <w:lang w:val="es-ES" w:eastAsia="en-CA"/>
              </w:rPr>
              <w:t>100</w:t>
            </w:r>
          </w:p>
        </w:tc>
      </w:tr>
      <w:tr w:rsidR="009508C2" w:rsidRPr="00DB24E5" w14:paraId="11E22EC3" w14:textId="77777777" w:rsidTr="009508C2">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2D144AC2" w14:textId="19826EBD" w:rsidR="009508C2" w:rsidRPr="00DB24E5" w:rsidRDefault="00DB24E5" w:rsidP="009508C2">
            <w:pPr>
              <w:jc w:val="left"/>
              <w:rPr>
                <w:color w:val="000000"/>
                <w:sz w:val="21"/>
                <w:szCs w:val="21"/>
                <w:lang w:val="es-ES" w:eastAsia="en-CA"/>
              </w:rPr>
            </w:pPr>
            <w:r>
              <w:rPr>
                <w:color w:val="000000"/>
                <w:sz w:val="21"/>
                <w:szCs w:val="21"/>
                <w:lang w:val="es-ES" w:eastAsia="en-CA"/>
              </w:rPr>
              <w:t>Cuarto</w:t>
            </w:r>
          </w:p>
        </w:tc>
        <w:tc>
          <w:tcPr>
            <w:tcW w:w="2339" w:type="dxa"/>
            <w:tcBorders>
              <w:top w:val="nil"/>
              <w:left w:val="nil"/>
              <w:bottom w:val="single" w:sz="4" w:space="0" w:color="auto"/>
              <w:right w:val="single" w:sz="4" w:space="0" w:color="auto"/>
            </w:tcBorders>
            <w:shd w:val="clear" w:color="auto" w:fill="auto"/>
            <w:noWrap/>
            <w:tcMar>
              <w:left w:w="115" w:type="dxa"/>
              <w:right w:w="648" w:type="dxa"/>
            </w:tcMar>
            <w:vAlign w:val="bottom"/>
            <w:hideMark/>
          </w:tcPr>
          <w:p w14:paraId="7E84B7FC" w14:textId="0BDC2D8C" w:rsidR="009508C2" w:rsidRPr="00DB24E5" w:rsidRDefault="009508C2" w:rsidP="0078039C">
            <w:pPr>
              <w:jc w:val="right"/>
              <w:rPr>
                <w:color w:val="000000"/>
                <w:sz w:val="21"/>
                <w:szCs w:val="21"/>
                <w:lang w:val="es-ES" w:eastAsia="en-CA"/>
              </w:rPr>
            </w:pPr>
            <w:r w:rsidRPr="00DB24E5">
              <w:rPr>
                <w:color w:val="000000"/>
                <w:sz w:val="21"/>
                <w:szCs w:val="21"/>
                <w:lang w:val="es-ES" w:eastAsia="en-CA"/>
              </w:rPr>
              <w:t>30</w:t>
            </w:r>
            <w:r w:rsidR="0078039C">
              <w:rPr>
                <w:color w:val="000000"/>
                <w:sz w:val="21"/>
                <w:szCs w:val="21"/>
                <w:lang w:val="es-ES" w:eastAsia="en-CA"/>
              </w:rPr>
              <w:t>.</w:t>
            </w:r>
            <w:r w:rsidRPr="00DB24E5">
              <w:rPr>
                <w:color w:val="000000"/>
                <w:sz w:val="21"/>
                <w:szCs w:val="21"/>
                <w:lang w:val="es-ES" w:eastAsia="en-CA"/>
              </w:rPr>
              <w:t>000</w:t>
            </w:r>
          </w:p>
        </w:tc>
        <w:tc>
          <w:tcPr>
            <w:tcW w:w="2339" w:type="dxa"/>
            <w:tcBorders>
              <w:top w:val="nil"/>
              <w:left w:val="nil"/>
              <w:bottom w:val="single" w:sz="4" w:space="0" w:color="auto"/>
              <w:right w:val="single" w:sz="4" w:space="0" w:color="auto"/>
            </w:tcBorders>
            <w:shd w:val="clear" w:color="auto" w:fill="auto"/>
            <w:noWrap/>
            <w:tcMar>
              <w:left w:w="115" w:type="dxa"/>
              <w:right w:w="648" w:type="dxa"/>
            </w:tcMar>
            <w:vAlign w:val="bottom"/>
            <w:hideMark/>
          </w:tcPr>
          <w:p w14:paraId="449331A3" w14:textId="25A60A3E" w:rsidR="009508C2" w:rsidRPr="00DB24E5" w:rsidRDefault="009508C2" w:rsidP="0078039C">
            <w:pPr>
              <w:jc w:val="right"/>
              <w:rPr>
                <w:color w:val="000000"/>
                <w:sz w:val="21"/>
                <w:szCs w:val="21"/>
                <w:lang w:val="es-ES" w:eastAsia="en-CA"/>
              </w:rPr>
            </w:pPr>
            <w:r w:rsidRPr="00DB24E5">
              <w:rPr>
                <w:color w:val="000000"/>
                <w:sz w:val="21"/>
                <w:szCs w:val="21"/>
                <w:lang w:val="es-ES" w:eastAsia="en-CA"/>
              </w:rPr>
              <w:t>19</w:t>
            </w:r>
            <w:r w:rsidR="0078039C">
              <w:rPr>
                <w:color w:val="000000"/>
                <w:sz w:val="21"/>
                <w:szCs w:val="21"/>
                <w:lang w:val="es-ES" w:eastAsia="en-CA"/>
              </w:rPr>
              <w:t>.</w:t>
            </w:r>
            <w:r w:rsidRPr="00DB24E5">
              <w:rPr>
                <w:color w:val="000000"/>
                <w:sz w:val="21"/>
                <w:szCs w:val="21"/>
                <w:lang w:val="es-ES" w:eastAsia="en-CA"/>
              </w:rPr>
              <w:t>800</w:t>
            </w:r>
          </w:p>
        </w:tc>
        <w:tc>
          <w:tcPr>
            <w:tcW w:w="2339" w:type="dxa"/>
            <w:tcBorders>
              <w:top w:val="nil"/>
              <w:left w:val="nil"/>
              <w:bottom w:val="single" w:sz="4" w:space="0" w:color="auto"/>
              <w:right w:val="single" w:sz="4" w:space="0" w:color="auto"/>
            </w:tcBorders>
            <w:shd w:val="clear" w:color="auto" w:fill="auto"/>
            <w:noWrap/>
            <w:vAlign w:val="center"/>
            <w:hideMark/>
          </w:tcPr>
          <w:p w14:paraId="5DE4140D" w14:textId="77777777" w:rsidR="009508C2" w:rsidRPr="00DB24E5" w:rsidRDefault="009508C2" w:rsidP="009508C2">
            <w:pPr>
              <w:jc w:val="center"/>
              <w:rPr>
                <w:color w:val="000000"/>
                <w:sz w:val="21"/>
                <w:szCs w:val="21"/>
                <w:lang w:val="es-ES" w:eastAsia="en-CA"/>
              </w:rPr>
            </w:pPr>
            <w:r w:rsidRPr="00DB24E5">
              <w:rPr>
                <w:color w:val="000000"/>
                <w:sz w:val="21"/>
                <w:szCs w:val="21"/>
                <w:lang w:val="es-ES" w:eastAsia="en-CA"/>
              </w:rPr>
              <w:t>66</w:t>
            </w:r>
          </w:p>
        </w:tc>
      </w:tr>
      <w:tr w:rsidR="009508C2" w:rsidRPr="00DB24E5" w14:paraId="3AAA5D9D" w14:textId="77777777" w:rsidTr="009508C2">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2D28A1DE" w14:textId="77777777" w:rsidR="009508C2" w:rsidRPr="00DB24E5" w:rsidRDefault="009508C2" w:rsidP="009508C2">
            <w:pPr>
              <w:jc w:val="left"/>
              <w:rPr>
                <w:color w:val="000000"/>
                <w:sz w:val="21"/>
                <w:szCs w:val="21"/>
                <w:lang w:val="es-ES" w:eastAsia="en-CA"/>
              </w:rPr>
            </w:pPr>
            <w:r w:rsidRPr="00DB24E5">
              <w:rPr>
                <w:color w:val="000000"/>
                <w:sz w:val="21"/>
                <w:szCs w:val="21"/>
                <w:lang w:val="es-ES" w:eastAsia="en-CA"/>
              </w:rPr>
              <w:t>Total</w:t>
            </w:r>
          </w:p>
        </w:tc>
        <w:tc>
          <w:tcPr>
            <w:tcW w:w="2339" w:type="dxa"/>
            <w:tcBorders>
              <w:top w:val="nil"/>
              <w:left w:val="nil"/>
              <w:bottom w:val="single" w:sz="4" w:space="0" w:color="auto"/>
              <w:right w:val="single" w:sz="4" w:space="0" w:color="auto"/>
            </w:tcBorders>
            <w:shd w:val="clear" w:color="auto" w:fill="auto"/>
            <w:noWrap/>
            <w:tcMar>
              <w:left w:w="115" w:type="dxa"/>
              <w:right w:w="648" w:type="dxa"/>
            </w:tcMar>
            <w:vAlign w:val="bottom"/>
            <w:hideMark/>
          </w:tcPr>
          <w:p w14:paraId="0AD68FE1" w14:textId="67421467" w:rsidR="009508C2" w:rsidRPr="00DB24E5" w:rsidRDefault="009508C2" w:rsidP="0078039C">
            <w:pPr>
              <w:jc w:val="right"/>
              <w:rPr>
                <w:color w:val="000000"/>
                <w:sz w:val="21"/>
                <w:szCs w:val="21"/>
                <w:lang w:val="es-ES" w:eastAsia="en-CA"/>
              </w:rPr>
            </w:pPr>
            <w:r w:rsidRPr="00DB24E5">
              <w:rPr>
                <w:color w:val="000000"/>
                <w:sz w:val="21"/>
                <w:szCs w:val="21"/>
                <w:lang w:val="es-ES" w:eastAsia="en-CA"/>
              </w:rPr>
              <w:t>383</w:t>
            </w:r>
            <w:r w:rsidR="0078039C">
              <w:rPr>
                <w:color w:val="000000"/>
                <w:sz w:val="21"/>
                <w:szCs w:val="21"/>
                <w:lang w:val="es-ES" w:eastAsia="en-CA"/>
              </w:rPr>
              <w:t>.</w:t>
            </w:r>
            <w:r w:rsidRPr="00DB24E5">
              <w:rPr>
                <w:color w:val="000000"/>
                <w:sz w:val="21"/>
                <w:szCs w:val="21"/>
                <w:lang w:val="es-ES" w:eastAsia="en-CA"/>
              </w:rPr>
              <w:t>500</w:t>
            </w:r>
          </w:p>
        </w:tc>
        <w:tc>
          <w:tcPr>
            <w:tcW w:w="2339" w:type="dxa"/>
            <w:tcBorders>
              <w:top w:val="nil"/>
              <w:left w:val="nil"/>
              <w:bottom w:val="single" w:sz="4" w:space="0" w:color="auto"/>
              <w:right w:val="single" w:sz="4" w:space="0" w:color="auto"/>
            </w:tcBorders>
            <w:shd w:val="clear" w:color="auto" w:fill="auto"/>
            <w:noWrap/>
            <w:tcMar>
              <w:left w:w="115" w:type="dxa"/>
              <w:right w:w="648" w:type="dxa"/>
            </w:tcMar>
            <w:vAlign w:val="bottom"/>
            <w:hideMark/>
          </w:tcPr>
          <w:p w14:paraId="645A5020" w14:textId="714E7253" w:rsidR="009508C2" w:rsidRPr="00DB24E5" w:rsidRDefault="009508C2" w:rsidP="0078039C">
            <w:pPr>
              <w:jc w:val="right"/>
              <w:rPr>
                <w:color w:val="000000"/>
                <w:sz w:val="21"/>
                <w:szCs w:val="21"/>
                <w:lang w:val="es-ES" w:eastAsia="en-CA"/>
              </w:rPr>
            </w:pPr>
            <w:r w:rsidRPr="00DB24E5">
              <w:rPr>
                <w:color w:val="000000"/>
                <w:sz w:val="21"/>
                <w:szCs w:val="21"/>
                <w:lang w:val="es-ES" w:eastAsia="en-CA"/>
              </w:rPr>
              <w:t>373</w:t>
            </w:r>
            <w:r w:rsidR="0078039C">
              <w:rPr>
                <w:color w:val="000000"/>
                <w:sz w:val="21"/>
                <w:szCs w:val="21"/>
                <w:lang w:val="es-ES" w:eastAsia="en-CA"/>
              </w:rPr>
              <w:t>.</w:t>
            </w:r>
            <w:r w:rsidRPr="00DB24E5">
              <w:rPr>
                <w:color w:val="000000"/>
                <w:sz w:val="21"/>
                <w:szCs w:val="21"/>
                <w:lang w:val="es-ES" w:eastAsia="en-CA"/>
              </w:rPr>
              <w:t>300</w:t>
            </w:r>
          </w:p>
        </w:tc>
        <w:tc>
          <w:tcPr>
            <w:tcW w:w="2339" w:type="dxa"/>
            <w:tcBorders>
              <w:top w:val="nil"/>
              <w:left w:val="nil"/>
              <w:bottom w:val="single" w:sz="4" w:space="0" w:color="auto"/>
              <w:right w:val="single" w:sz="4" w:space="0" w:color="auto"/>
            </w:tcBorders>
            <w:shd w:val="clear" w:color="auto" w:fill="auto"/>
            <w:noWrap/>
            <w:vAlign w:val="center"/>
            <w:hideMark/>
          </w:tcPr>
          <w:p w14:paraId="77C0CDF6" w14:textId="77777777" w:rsidR="009508C2" w:rsidRPr="00DB24E5" w:rsidRDefault="009508C2" w:rsidP="009508C2">
            <w:pPr>
              <w:jc w:val="center"/>
              <w:rPr>
                <w:color w:val="000000"/>
                <w:sz w:val="21"/>
                <w:szCs w:val="21"/>
                <w:lang w:val="es-ES" w:eastAsia="en-CA"/>
              </w:rPr>
            </w:pPr>
            <w:r w:rsidRPr="00DB24E5">
              <w:rPr>
                <w:color w:val="000000"/>
                <w:sz w:val="21"/>
                <w:szCs w:val="21"/>
                <w:lang w:val="es-ES" w:eastAsia="en-CA"/>
              </w:rPr>
              <w:t>97</w:t>
            </w:r>
          </w:p>
        </w:tc>
      </w:tr>
    </w:tbl>
    <w:p w14:paraId="6ADE01ED" w14:textId="77777777" w:rsidR="009508C2" w:rsidRPr="00DB24E5" w:rsidRDefault="009508C2" w:rsidP="007A6564">
      <w:pPr>
        <w:rPr>
          <w:lang w:val="es-ES"/>
        </w:rPr>
      </w:pPr>
    </w:p>
    <w:p w14:paraId="0FBA6F58" w14:textId="77777777" w:rsidR="0078039C" w:rsidRDefault="0078039C" w:rsidP="007A6564">
      <w:pPr>
        <w:rPr>
          <w:u w:val="single"/>
          <w:lang w:val="es-ES"/>
        </w:rPr>
      </w:pPr>
    </w:p>
    <w:p w14:paraId="7E4E498C" w14:textId="77777777" w:rsidR="0078039C" w:rsidRDefault="0078039C" w:rsidP="007A6564">
      <w:pPr>
        <w:rPr>
          <w:u w:val="single"/>
          <w:lang w:val="es-ES"/>
        </w:rPr>
      </w:pPr>
    </w:p>
    <w:p w14:paraId="7ECF99E7" w14:textId="2585F744" w:rsidR="007A6564" w:rsidRPr="00DB24E5" w:rsidRDefault="00DB24E5" w:rsidP="005F47AD">
      <w:pPr>
        <w:keepNext/>
        <w:keepLines/>
        <w:rPr>
          <w:u w:val="single"/>
          <w:lang w:val="es-ES"/>
        </w:rPr>
      </w:pPr>
      <w:r>
        <w:rPr>
          <w:u w:val="single"/>
          <w:lang w:val="es-ES"/>
        </w:rPr>
        <w:lastRenderedPageBreak/>
        <w:t xml:space="preserve">Plan de ejecución del quinto tramo del </w:t>
      </w:r>
      <w:r w:rsidR="00135B60" w:rsidRPr="00DB24E5">
        <w:rPr>
          <w:u w:val="single"/>
          <w:lang w:val="es-ES"/>
        </w:rPr>
        <w:t>plan de gestión de eliminación de los HCFC</w:t>
      </w:r>
    </w:p>
    <w:p w14:paraId="7D503BBC" w14:textId="77777777" w:rsidR="007A6564" w:rsidRPr="00DB24E5" w:rsidRDefault="007A6564" w:rsidP="005F47AD">
      <w:pPr>
        <w:keepNext/>
        <w:keepLines/>
        <w:rPr>
          <w:lang w:val="es-ES"/>
        </w:rPr>
      </w:pPr>
    </w:p>
    <w:p w14:paraId="0A108F37" w14:textId="2A94D660" w:rsidR="007A6564" w:rsidRPr="00DB24E5" w:rsidRDefault="00DB24E5" w:rsidP="005F47AD">
      <w:pPr>
        <w:pStyle w:val="Heading1"/>
        <w:keepNext/>
        <w:keepLines/>
        <w:tabs>
          <w:tab w:val="clear" w:pos="0"/>
          <w:tab w:val="clear" w:pos="1985"/>
        </w:tabs>
        <w:rPr>
          <w:lang w:val="es-ES"/>
        </w:rPr>
      </w:pPr>
      <w:r w:rsidRPr="00DB24E5">
        <w:rPr>
          <w:lang w:val="es-ES"/>
        </w:rPr>
        <w:t>Hasta diciembre de 2021 se llevarán a cabo las actividades siguientes</w:t>
      </w:r>
      <w:r w:rsidR="00815D2E" w:rsidRPr="00DB24E5">
        <w:rPr>
          <w:lang w:val="es-ES"/>
        </w:rPr>
        <w:t>:</w:t>
      </w:r>
    </w:p>
    <w:p w14:paraId="3852E475" w14:textId="7D58ED7B" w:rsidR="007A6564" w:rsidRPr="00DB24E5" w:rsidRDefault="00FF6507" w:rsidP="003C4EB4">
      <w:pPr>
        <w:pStyle w:val="Heading2"/>
        <w:numPr>
          <w:ilvl w:val="1"/>
          <w:numId w:val="1"/>
        </w:numPr>
        <w:tabs>
          <w:tab w:val="clear" w:pos="-720"/>
          <w:tab w:val="num" w:pos="0"/>
        </w:tabs>
        <w:ind w:left="1440"/>
        <w:rPr>
          <w:lang w:val="es-ES"/>
        </w:rPr>
      </w:pPr>
      <w:r>
        <w:rPr>
          <w:lang w:val="es-ES"/>
        </w:rPr>
        <w:t>Apoyo a la dependencia nacional del ozono como parte del componente de fortalecimiento institucional</w:t>
      </w:r>
      <w:r w:rsidR="007A6564" w:rsidRPr="00DB24E5">
        <w:rPr>
          <w:lang w:val="es-ES"/>
        </w:rPr>
        <w:t xml:space="preserve"> (13</w:t>
      </w:r>
      <w:r>
        <w:rPr>
          <w:lang w:val="es-ES"/>
        </w:rPr>
        <w:t>.</w:t>
      </w:r>
      <w:r w:rsidR="007A6564" w:rsidRPr="00DB24E5">
        <w:rPr>
          <w:lang w:val="es-ES"/>
        </w:rPr>
        <w:t>500</w:t>
      </w:r>
      <w:r>
        <w:rPr>
          <w:lang w:val="es-ES"/>
        </w:rPr>
        <w:t xml:space="preserve"> </w:t>
      </w:r>
      <w:r w:rsidRPr="00DB24E5">
        <w:rPr>
          <w:lang w:val="es-ES"/>
        </w:rPr>
        <w:t>$ EUA</w:t>
      </w:r>
      <w:r w:rsidR="007A6564" w:rsidRPr="00DB24E5">
        <w:rPr>
          <w:lang w:val="es-ES"/>
        </w:rPr>
        <w:t xml:space="preserve">); </w:t>
      </w:r>
    </w:p>
    <w:p w14:paraId="5F132E2D" w14:textId="0FD76918" w:rsidR="007A6564" w:rsidRPr="00FF6507" w:rsidRDefault="00FF6507" w:rsidP="003C4EB4">
      <w:pPr>
        <w:pStyle w:val="Heading2"/>
        <w:numPr>
          <w:ilvl w:val="1"/>
          <w:numId w:val="1"/>
        </w:numPr>
        <w:tabs>
          <w:tab w:val="clear" w:pos="-720"/>
          <w:tab w:val="num" w:pos="0"/>
        </w:tabs>
        <w:ind w:left="1440"/>
        <w:rPr>
          <w:lang w:val="es-ES"/>
        </w:rPr>
      </w:pPr>
      <w:r w:rsidRPr="00FF6507">
        <w:rPr>
          <w:lang w:val="es-ES"/>
        </w:rPr>
        <w:t>Sensibilización del público acerca de la legislación y las medidas para promover la eliminaci</w:t>
      </w:r>
      <w:r>
        <w:rPr>
          <w:lang w:val="es-ES"/>
        </w:rPr>
        <w:t xml:space="preserve">ón de los </w:t>
      </w:r>
      <w:r w:rsidR="00484D67" w:rsidRPr="00FF6507">
        <w:rPr>
          <w:lang w:val="es-ES"/>
        </w:rPr>
        <w:t xml:space="preserve">HCFC </w:t>
      </w:r>
      <w:r w:rsidR="007A6564" w:rsidRPr="00FF6507">
        <w:rPr>
          <w:lang w:val="es-ES"/>
        </w:rPr>
        <w:t>(4</w:t>
      </w:r>
      <w:r>
        <w:rPr>
          <w:lang w:val="es-ES"/>
        </w:rPr>
        <w:t>.</w:t>
      </w:r>
      <w:r w:rsidR="007A6564" w:rsidRPr="00FF6507">
        <w:rPr>
          <w:lang w:val="es-ES"/>
        </w:rPr>
        <w:t>500</w:t>
      </w:r>
      <w:r>
        <w:rPr>
          <w:lang w:val="es-ES"/>
        </w:rPr>
        <w:t xml:space="preserve"> </w:t>
      </w:r>
      <w:r w:rsidRPr="00DB24E5">
        <w:rPr>
          <w:lang w:val="es-ES"/>
        </w:rPr>
        <w:t>$ EUA</w:t>
      </w:r>
      <w:r w:rsidR="007A6564" w:rsidRPr="00FF6507">
        <w:rPr>
          <w:lang w:val="es-ES"/>
        </w:rPr>
        <w:t>)</w:t>
      </w:r>
      <w:r w:rsidR="00257269" w:rsidRPr="00FF6507">
        <w:rPr>
          <w:lang w:val="es-ES"/>
        </w:rPr>
        <w:t>;</w:t>
      </w:r>
      <w:r w:rsidR="007A6564" w:rsidRPr="00FF6507">
        <w:rPr>
          <w:lang w:val="es-ES"/>
        </w:rPr>
        <w:t xml:space="preserve"> </w:t>
      </w:r>
      <w:r>
        <w:rPr>
          <w:lang w:val="es-ES"/>
        </w:rPr>
        <w:t>y</w:t>
      </w:r>
      <w:r w:rsidR="00484D67" w:rsidRPr="00FF6507">
        <w:rPr>
          <w:lang w:val="es-ES"/>
        </w:rPr>
        <w:t>,</w:t>
      </w:r>
    </w:p>
    <w:p w14:paraId="7DDF4DBC" w14:textId="77D7BEBF" w:rsidR="007A6564" w:rsidRPr="008D2192" w:rsidRDefault="00FF6507" w:rsidP="003C4EB4">
      <w:pPr>
        <w:pStyle w:val="Heading2"/>
        <w:numPr>
          <w:ilvl w:val="1"/>
          <w:numId w:val="1"/>
        </w:numPr>
        <w:tabs>
          <w:tab w:val="clear" w:pos="-720"/>
          <w:tab w:val="num" w:pos="0"/>
        </w:tabs>
        <w:ind w:left="1440"/>
        <w:rPr>
          <w:lang w:val="es-ES"/>
        </w:rPr>
      </w:pPr>
      <w:r w:rsidRPr="008D2192">
        <w:rPr>
          <w:lang w:val="es-ES"/>
        </w:rPr>
        <w:t xml:space="preserve">Supervisión y presentación de informes </w:t>
      </w:r>
      <w:r w:rsidR="008D2192" w:rsidRPr="008D2192">
        <w:rPr>
          <w:lang w:val="es-ES"/>
        </w:rPr>
        <w:t>sobre la ejecuci</w:t>
      </w:r>
      <w:r w:rsidR="008D2192">
        <w:rPr>
          <w:lang w:val="es-ES"/>
        </w:rPr>
        <w:t>ón del plan de gestión de eliminación de los HCFC</w:t>
      </w:r>
      <w:r w:rsidR="007A6564" w:rsidRPr="008D2192">
        <w:rPr>
          <w:lang w:val="es-ES"/>
        </w:rPr>
        <w:t xml:space="preserve"> (3</w:t>
      </w:r>
      <w:r w:rsidR="008D2192">
        <w:rPr>
          <w:lang w:val="es-ES"/>
        </w:rPr>
        <w:t>.</w:t>
      </w:r>
      <w:r w:rsidR="007A6564" w:rsidRPr="008D2192">
        <w:rPr>
          <w:lang w:val="es-ES"/>
        </w:rPr>
        <w:t>000</w:t>
      </w:r>
      <w:r w:rsidR="008D2192">
        <w:rPr>
          <w:lang w:val="es-ES"/>
        </w:rPr>
        <w:t xml:space="preserve"> </w:t>
      </w:r>
      <w:r w:rsidR="008D2192" w:rsidRPr="00DB24E5">
        <w:rPr>
          <w:lang w:val="es-ES"/>
        </w:rPr>
        <w:t>$ EUA</w:t>
      </w:r>
      <w:r w:rsidR="007A6564" w:rsidRPr="008D2192">
        <w:rPr>
          <w:lang w:val="es-ES"/>
        </w:rPr>
        <w:t xml:space="preserve">). </w:t>
      </w:r>
    </w:p>
    <w:p w14:paraId="7F51AB7E" w14:textId="77777777" w:rsidR="00BB6FE1" w:rsidRPr="008D2192" w:rsidRDefault="00BB6FE1" w:rsidP="00BB6FE1">
      <w:pPr>
        <w:jc w:val="center"/>
        <w:rPr>
          <w:b/>
          <w:lang w:val="es-ES"/>
        </w:rPr>
      </w:pPr>
    </w:p>
    <w:p w14:paraId="370BE538" w14:textId="41EFC38C" w:rsidR="007A6564" w:rsidRPr="00DB24E5" w:rsidRDefault="003A56DA" w:rsidP="00BB6FE1">
      <w:pPr>
        <w:jc w:val="center"/>
        <w:rPr>
          <w:b/>
          <w:lang w:val="es-ES"/>
        </w:rPr>
      </w:pPr>
      <w:r w:rsidRPr="00DB24E5">
        <w:rPr>
          <w:b/>
          <w:lang w:val="es-ES"/>
        </w:rPr>
        <w:t>OBSERVACIONES Y RECOMENDACIÓN DE LA SECRETARÍA</w:t>
      </w:r>
    </w:p>
    <w:p w14:paraId="7256478A" w14:textId="77777777" w:rsidR="007A6564" w:rsidRPr="00DB24E5" w:rsidRDefault="007A6564" w:rsidP="00BB6FE1">
      <w:pPr>
        <w:rPr>
          <w:b/>
          <w:lang w:val="es-ES"/>
        </w:rPr>
      </w:pPr>
    </w:p>
    <w:p w14:paraId="73036FE4" w14:textId="7CF1D359" w:rsidR="007A6564" w:rsidRPr="00DB24E5" w:rsidRDefault="003A56DA" w:rsidP="00BB6FE1">
      <w:pPr>
        <w:rPr>
          <w:b/>
          <w:lang w:val="es-ES"/>
        </w:rPr>
      </w:pPr>
      <w:r w:rsidRPr="00DB24E5">
        <w:rPr>
          <w:b/>
          <w:lang w:val="es-ES"/>
        </w:rPr>
        <w:t>OBSERVACIONES</w:t>
      </w:r>
    </w:p>
    <w:p w14:paraId="65E87A48" w14:textId="77777777" w:rsidR="007A6564" w:rsidRPr="00DB24E5" w:rsidRDefault="007A6564" w:rsidP="00BB6FE1">
      <w:pPr>
        <w:rPr>
          <w:lang w:val="es-ES"/>
        </w:rPr>
      </w:pPr>
    </w:p>
    <w:p w14:paraId="22A8111F" w14:textId="58530A07" w:rsidR="007A6564" w:rsidRPr="00DB24E5" w:rsidRDefault="008D2192" w:rsidP="00BB6FE1">
      <w:pPr>
        <w:rPr>
          <w:u w:val="single"/>
          <w:lang w:val="es-ES"/>
        </w:rPr>
      </w:pPr>
      <w:r>
        <w:rPr>
          <w:u w:val="single"/>
          <w:lang w:val="es-ES"/>
        </w:rPr>
        <w:t>Informe sobre los progresos realizados en la ejecución del cuarto tramo</w:t>
      </w:r>
      <w:r w:rsidR="007A6564" w:rsidRPr="00DB24E5">
        <w:rPr>
          <w:u w:val="single"/>
          <w:lang w:val="es-ES"/>
        </w:rPr>
        <w:t xml:space="preserve"> </w:t>
      </w:r>
      <w:r w:rsidR="00135B60" w:rsidRPr="00DB24E5">
        <w:rPr>
          <w:u w:val="single"/>
          <w:lang w:val="es-ES"/>
        </w:rPr>
        <w:t>del plan de gestión de eliminación de los HCFC</w:t>
      </w:r>
    </w:p>
    <w:p w14:paraId="24A59A7F" w14:textId="77777777" w:rsidR="007A6564" w:rsidRPr="00DB24E5" w:rsidRDefault="007A6564" w:rsidP="00BB6FE1">
      <w:pPr>
        <w:rPr>
          <w:lang w:val="es-ES"/>
        </w:rPr>
      </w:pPr>
    </w:p>
    <w:p w14:paraId="063E4877" w14:textId="63C5EB0F" w:rsidR="007A6564" w:rsidRPr="00DB24E5" w:rsidRDefault="003A56DA" w:rsidP="00BB6FE1">
      <w:pPr>
        <w:pStyle w:val="Heading1"/>
        <w:numPr>
          <w:ilvl w:val="0"/>
          <w:numId w:val="0"/>
        </w:numPr>
        <w:rPr>
          <w:i/>
          <w:lang w:val="es-ES"/>
        </w:rPr>
      </w:pPr>
      <w:r w:rsidRPr="00DB24E5">
        <w:rPr>
          <w:i/>
          <w:lang w:val="es-ES"/>
        </w:rPr>
        <w:t>Marco jurídico</w:t>
      </w:r>
    </w:p>
    <w:p w14:paraId="280B92D0" w14:textId="116E8BE3" w:rsidR="008A3344" w:rsidRPr="008D2192" w:rsidRDefault="008D2192" w:rsidP="00BB6FE1">
      <w:pPr>
        <w:pStyle w:val="Heading1"/>
        <w:tabs>
          <w:tab w:val="clear" w:pos="0"/>
          <w:tab w:val="clear" w:pos="1985"/>
        </w:tabs>
        <w:rPr>
          <w:lang w:val="es-ES"/>
        </w:rPr>
      </w:pPr>
      <w:r w:rsidRPr="008D2192">
        <w:rPr>
          <w:lang w:val="es-ES"/>
        </w:rPr>
        <w:t>El</w:t>
      </w:r>
      <w:r w:rsidR="007A6564" w:rsidRPr="008D2192">
        <w:rPr>
          <w:lang w:val="es-ES"/>
        </w:rPr>
        <w:t xml:space="preserve"> </w:t>
      </w:r>
      <w:r w:rsidR="00ED60EE" w:rsidRPr="008D2192">
        <w:rPr>
          <w:lang w:val="es-ES"/>
        </w:rPr>
        <w:t>Gobierno de</w:t>
      </w:r>
      <w:r w:rsidR="007A6564" w:rsidRPr="008D2192">
        <w:rPr>
          <w:lang w:val="es-ES"/>
        </w:rPr>
        <w:t xml:space="preserve"> Montenegro ha</w:t>
      </w:r>
      <w:r w:rsidRPr="008D2192">
        <w:rPr>
          <w:lang w:val="es-ES"/>
        </w:rPr>
        <w:t xml:space="preserve"> emitido ya cupos de importaci</w:t>
      </w:r>
      <w:r>
        <w:rPr>
          <w:lang w:val="es-ES"/>
        </w:rPr>
        <w:t xml:space="preserve">ón de </w:t>
      </w:r>
      <w:r w:rsidR="007A6564" w:rsidRPr="008D2192">
        <w:rPr>
          <w:lang w:val="es-ES"/>
        </w:rPr>
        <w:t xml:space="preserve">HCFC </w:t>
      </w:r>
      <w:r>
        <w:rPr>
          <w:lang w:val="es-ES"/>
        </w:rPr>
        <w:t>para 2020 por</w:t>
      </w:r>
      <w:r w:rsidR="007A6564" w:rsidRPr="008D2192">
        <w:rPr>
          <w:lang w:val="es-ES"/>
        </w:rPr>
        <w:t xml:space="preserve"> 0</w:t>
      </w:r>
      <w:r>
        <w:rPr>
          <w:lang w:val="es-ES"/>
        </w:rPr>
        <w:t>,</w:t>
      </w:r>
      <w:r w:rsidR="007A6564" w:rsidRPr="008D2192">
        <w:rPr>
          <w:lang w:val="es-ES"/>
        </w:rPr>
        <w:t>17 </w:t>
      </w:r>
      <w:r w:rsidR="0001658C" w:rsidRPr="008D2192">
        <w:rPr>
          <w:lang w:val="es-ES"/>
        </w:rPr>
        <w:t>toneladas PAO</w:t>
      </w:r>
      <w:r w:rsidR="001D60C7" w:rsidRPr="008D2192">
        <w:rPr>
          <w:lang w:val="es-ES"/>
        </w:rPr>
        <w:t xml:space="preserve"> (3</w:t>
      </w:r>
      <w:r>
        <w:rPr>
          <w:lang w:val="es-ES"/>
        </w:rPr>
        <w:t>,</w:t>
      </w:r>
      <w:r w:rsidR="001D60C7" w:rsidRPr="008D2192">
        <w:rPr>
          <w:lang w:val="es-ES"/>
        </w:rPr>
        <w:t>13 </w:t>
      </w:r>
      <w:proofErr w:type="spellStart"/>
      <w:r>
        <w:rPr>
          <w:lang w:val="es-ES"/>
        </w:rPr>
        <w:t>tm</w:t>
      </w:r>
      <w:proofErr w:type="spellEnd"/>
      <w:r w:rsidR="001D60C7" w:rsidRPr="008D2192">
        <w:rPr>
          <w:lang w:val="es-ES"/>
        </w:rPr>
        <w:t>)</w:t>
      </w:r>
      <w:r w:rsidR="007A6564" w:rsidRPr="008D2192">
        <w:rPr>
          <w:lang w:val="es-ES"/>
        </w:rPr>
        <w:t xml:space="preserve">, </w:t>
      </w:r>
      <w:r>
        <w:rPr>
          <w:lang w:val="es-ES"/>
        </w:rPr>
        <w:t xml:space="preserve">es decir un </w:t>
      </w:r>
      <w:r w:rsidR="00BD080C" w:rsidRPr="008D2192">
        <w:rPr>
          <w:lang w:val="es-ES"/>
        </w:rPr>
        <w:t>67</w:t>
      </w:r>
      <w:r>
        <w:rPr>
          <w:lang w:val="es-ES"/>
        </w:rPr>
        <w:t xml:space="preserve">% inferior a las metas de control </w:t>
      </w:r>
      <w:r w:rsidR="00043ED0">
        <w:rPr>
          <w:lang w:val="es-ES"/>
        </w:rPr>
        <w:t>establecidas</w:t>
      </w:r>
      <w:r>
        <w:rPr>
          <w:lang w:val="es-ES"/>
        </w:rPr>
        <w:t xml:space="preserve"> en el Protocolo </w:t>
      </w:r>
      <w:proofErr w:type="gramStart"/>
      <w:r>
        <w:rPr>
          <w:lang w:val="es-ES"/>
        </w:rPr>
        <w:t xml:space="preserve">de </w:t>
      </w:r>
      <w:r w:rsidR="007A6564" w:rsidRPr="008D2192">
        <w:rPr>
          <w:lang w:val="es-ES"/>
        </w:rPr>
        <w:t xml:space="preserve"> </w:t>
      </w:r>
      <w:r w:rsidR="00BD080C" w:rsidRPr="008D2192">
        <w:rPr>
          <w:lang w:val="es-ES"/>
        </w:rPr>
        <w:t>Montreal</w:t>
      </w:r>
      <w:proofErr w:type="gramEnd"/>
      <w:r w:rsidR="007A6564" w:rsidRPr="008D2192">
        <w:rPr>
          <w:lang w:val="es-ES"/>
        </w:rPr>
        <w:t>.</w:t>
      </w:r>
    </w:p>
    <w:p w14:paraId="484B51AE" w14:textId="6502141E" w:rsidR="00AD5DC3" w:rsidRPr="00043ED0" w:rsidRDefault="00043ED0" w:rsidP="00BB6FE1">
      <w:pPr>
        <w:pStyle w:val="Heading1"/>
        <w:keepNext/>
        <w:keepLines/>
        <w:tabs>
          <w:tab w:val="clear" w:pos="0"/>
          <w:tab w:val="clear" w:pos="1985"/>
        </w:tabs>
        <w:rPr>
          <w:lang w:val="es-ES"/>
        </w:rPr>
      </w:pPr>
      <w:r w:rsidRPr="00043ED0">
        <w:rPr>
          <w:lang w:val="es-ES"/>
        </w:rPr>
        <w:t>En lo que respecta a la aplicaci</w:t>
      </w:r>
      <w:r>
        <w:rPr>
          <w:lang w:val="es-ES"/>
        </w:rPr>
        <w:t>ón de las recomendacion</w:t>
      </w:r>
      <w:r w:rsidRPr="00043ED0">
        <w:rPr>
          <w:lang w:val="es-ES"/>
        </w:rPr>
        <w:t>es del informe de verificación, el Ministerio de Desarrollo Sostenible y Turismo aprobar</w:t>
      </w:r>
      <w:r>
        <w:rPr>
          <w:lang w:val="es-ES"/>
        </w:rPr>
        <w:t>á un nuevo reglamento sobre cilindros desechables, la venta de refrigerantes y los inventarios de equipos de refrigeración y aire acondicionado</w:t>
      </w:r>
      <w:r w:rsidR="00725DD5" w:rsidRPr="00043ED0">
        <w:rPr>
          <w:lang w:val="es-ES"/>
        </w:rPr>
        <w:t xml:space="preserve">. </w:t>
      </w:r>
      <w:r w:rsidRPr="00043ED0">
        <w:rPr>
          <w:lang w:val="es-ES"/>
        </w:rPr>
        <w:t>La prohibición de la importac</w:t>
      </w:r>
      <w:r>
        <w:rPr>
          <w:lang w:val="es-ES"/>
        </w:rPr>
        <w:t>ión de refrigerantes en ci</w:t>
      </w:r>
      <w:r w:rsidRPr="00043ED0">
        <w:rPr>
          <w:lang w:val="es-ES"/>
        </w:rPr>
        <w:t xml:space="preserve">lindros desechables </w:t>
      </w:r>
      <w:r>
        <w:rPr>
          <w:lang w:val="es-ES"/>
        </w:rPr>
        <w:t xml:space="preserve">entrará en vigor en junio de </w:t>
      </w:r>
      <w:r w:rsidR="00936330" w:rsidRPr="00043ED0">
        <w:rPr>
          <w:lang w:val="es-ES"/>
        </w:rPr>
        <w:t>2020</w:t>
      </w:r>
      <w:r w:rsidR="002F642F" w:rsidRPr="00043ED0">
        <w:rPr>
          <w:lang w:val="es-ES"/>
        </w:rPr>
        <w:t>.</w:t>
      </w:r>
    </w:p>
    <w:p w14:paraId="41C7B234" w14:textId="3212F432" w:rsidR="001C23F3" w:rsidRPr="00DB24E5" w:rsidRDefault="00043ED0" w:rsidP="00AD5DC3">
      <w:pPr>
        <w:pStyle w:val="Heading1"/>
        <w:numPr>
          <w:ilvl w:val="0"/>
          <w:numId w:val="0"/>
        </w:numPr>
        <w:rPr>
          <w:u w:val="single"/>
          <w:lang w:val="es-ES"/>
        </w:rPr>
      </w:pPr>
      <w:r>
        <w:rPr>
          <w:u w:val="single"/>
          <w:lang w:val="es-ES"/>
        </w:rPr>
        <w:t xml:space="preserve">Sector de mantenimiento de equipos de refrigeración </w:t>
      </w:r>
    </w:p>
    <w:p w14:paraId="6C6658F0" w14:textId="1E9F6EB6" w:rsidR="001C23F3" w:rsidRPr="003863A7" w:rsidRDefault="00043ED0" w:rsidP="00C21F2D">
      <w:pPr>
        <w:pStyle w:val="Heading1"/>
        <w:tabs>
          <w:tab w:val="clear" w:pos="1985"/>
        </w:tabs>
        <w:rPr>
          <w:lang w:val="es-ES"/>
        </w:rPr>
      </w:pPr>
      <w:r>
        <w:rPr>
          <w:lang w:val="es-ES"/>
        </w:rPr>
        <w:t xml:space="preserve">En cuanto a </w:t>
      </w:r>
      <w:r w:rsidRPr="00043ED0">
        <w:rPr>
          <w:lang w:val="es-ES"/>
        </w:rPr>
        <w:t>la recomendación del informe de verificación sobre la reconversi</w:t>
      </w:r>
      <w:r>
        <w:rPr>
          <w:lang w:val="es-ES"/>
        </w:rPr>
        <w:t>ó</w:t>
      </w:r>
      <w:r w:rsidRPr="00043ED0">
        <w:rPr>
          <w:lang w:val="es-ES"/>
        </w:rPr>
        <w:t>n de los equipos de refrigeraci</w:t>
      </w:r>
      <w:r>
        <w:rPr>
          <w:lang w:val="es-ES"/>
        </w:rPr>
        <w:t xml:space="preserve">ón y aire acondicionado que usan </w:t>
      </w:r>
      <w:r w:rsidR="00E526FA" w:rsidRPr="00043ED0">
        <w:rPr>
          <w:lang w:val="es-ES"/>
        </w:rPr>
        <w:t>HCFC</w:t>
      </w:r>
      <w:r w:rsidR="001C23F3" w:rsidRPr="00043ED0">
        <w:rPr>
          <w:lang w:val="es-ES"/>
        </w:rPr>
        <w:t>,</w:t>
      </w:r>
      <w:r w:rsidR="000E148C" w:rsidRPr="00043ED0">
        <w:rPr>
          <w:lang w:val="es-ES"/>
        </w:rPr>
        <w:t xml:space="preserve"> </w:t>
      </w:r>
      <w:r w:rsidR="00F92E29" w:rsidRPr="00043ED0">
        <w:rPr>
          <w:lang w:val="es-ES"/>
        </w:rPr>
        <w:t>la Secretaría</w:t>
      </w:r>
      <w:r w:rsidR="001C23F3" w:rsidRPr="00043ED0">
        <w:rPr>
          <w:lang w:val="es-ES"/>
        </w:rPr>
        <w:t xml:space="preserve"> </w:t>
      </w:r>
      <w:r>
        <w:rPr>
          <w:lang w:val="es-ES"/>
        </w:rPr>
        <w:t xml:space="preserve">pidió a la </w:t>
      </w:r>
      <w:r w:rsidR="0088461E" w:rsidRPr="00043ED0">
        <w:rPr>
          <w:lang w:val="es-ES"/>
        </w:rPr>
        <w:t>ONUDI</w:t>
      </w:r>
      <w:r w:rsidR="001C23F3" w:rsidRPr="00043ED0">
        <w:rPr>
          <w:lang w:val="es-ES"/>
        </w:rPr>
        <w:t xml:space="preserve"> </w:t>
      </w:r>
      <w:r>
        <w:rPr>
          <w:lang w:val="es-ES"/>
        </w:rPr>
        <w:t>que asesorara al país en relación con las decisiones</w:t>
      </w:r>
      <w:r w:rsidR="001C23F3" w:rsidRPr="00043ED0">
        <w:rPr>
          <w:lang w:val="es-ES"/>
        </w:rPr>
        <w:t xml:space="preserve"> 72/17 </w:t>
      </w:r>
      <w:r>
        <w:rPr>
          <w:lang w:val="es-ES"/>
        </w:rPr>
        <w:t>y</w:t>
      </w:r>
      <w:r w:rsidR="001C23F3" w:rsidRPr="00043ED0">
        <w:rPr>
          <w:lang w:val="es-ES"/>
        </w:rPr>
        <w:t xml:space="preserve"> 73/34. </w:t>
      </w:r>
      <w:r w:rsidRPr="00043ED0">
        <w:rPr>
          <w:lang w:val="es-ES"/>
        </w:rPr>
        <w:t>En consecuencia, si el país procediera a la reconversi</w:t>
      </w:r>
      <w:r>
        <w:rPr>
          <w:lang w:val="es-ES"/>
        </w:rPr>
        <w:t>ó</w:t>
      </w:r>
      <w:r w:rsidRPr="00043ED0">
        <w:rPr>
          <w:lang w:val="es-ES"/>
        </w:rPr>
        <w:t>n a refrigerantes inflamables o tóxicos</w:t>
      </w:r>
      <w:r w:rsidR="001C23F3" w:rsidRPr="00043ED0">
        <w:rPr>
          <w:lang w:val="es-ES"/>
        </w:rPr>
        <w:t xml:space="preserve">, </w:t>
      </w:r>
      <w:r w:rsidRPr="00043ED0">
        <w:rPr>
          <w:lang w:val="es-ES"/>
        </w:rPr>
        <w:t>lo har</w:t>
      </w:r>
      <w:r>
        <w:rPr>
          <w:lang w:val="es-ES"/>
        </w:rPr>
        <w:t>ía asumiendo todas las responsabilidades y riesgos implícitos</w:t>
      </w:r>
      <w:r w:rsidR="001C23F3" w:rsidRPr="00043ED0">
        <w:rPr>
          <w:lang w:val="es-ES"/>
        </w:rPr>
        <w:t>,</w:t>
      </w:r>
      <w:r>
        <w:rPr>
          <w:lang w:val="es-ES"/>
        </w:rPr>
        <w:t xml:space="preserve"> y aplicando las normas y los protocolos pertinentes</w:t>
      </w:r>
      <w:r w:rsidR="001C23F3" w:rsidRPr="00043ED0">
        <w:rPr>
          <w:lang w:val="es-ES"/>
        </w:rPr>
        <w:t xml:space="preserve">. </w:t>
      </w:r>
      <w:r w:rsidRPr="00043ED0">
        <w:rPr>
          <w:lang w:val="es-ES"/>
        </w:rPr>
        <w:t>Por otra parte, en la decisi</w:t>
      </w:r>
      <w:r w:rsidR="003863A7">
        <w:rPr>
          <w:lang w:val="es-ES"/>
        </w:rPr>
        <w:t>ó</w:t>
      </w:r>
      <w:r w:rsidRPr="00043ED0">
        <w:rPr>
          <w:lang w:val="es-ES"/>
        </w:rPr>
        <w:t xml:space="preserve">n </w:t>
      </w:r>
      <w:r w:rsidR="001C23F3" w:rsidRPr="00043ED0">
        <w:rPr>
          <w:lang w:val="es-ES"/>
        </w:rPr>
        <w:t xml:space="preserve">72/41 </w:t>
      </w:r>
      <w:r w:rsidRPr="00043ED0">
        <w:rPr>
          <w:lang w:val="es-ES"/>
        </w:rPr>
        <w:t>se alentó a los países que operan al amparo del artículo</w:t>
      </w:r>
      <w:r w:rsidR="001C23F3" w:rsidRPr="00043ED0">
        <w:rPr>
          <w:lang w:val="es-ES"/>
        </w:rPr>
        <w:t xml:space="preserve"> 5 </w:t>
      </w:r>
      <w:r w:rsidRPr="00043ED0">
        <w:rPr>
          <w:lang w:val="es-ES"/>
        </w:rPr>
        <w:t xml:space="preserve">a que considerasen la posibilidad de realizar actividades </w:t>
      </w:r>
      <w:r w:rsidR="003863A7">
        <w:rPr>
          <w:lang w:val="es-ES"/>
        </w:rPr>
        <w:t>relacionadas con la capacitación de técnicos, las buenas prácticas, la manipulación de refrigerantes en condiciones seguras, los contenedores, la recuperación y el reciclado, y la reutilización en lugar de la reconversión</w:t>
      </w:r>
      <w:r w:rsidR="001C23F3" w:rsidRPr="00043ED0">
        <w:rPr>
          <w:lang w:val="es-ES"/>
        </w:rPr>
        <w:t xml:space="preserve">. </w:t>
      </w:r>
      <w:r w:rsidR="003863A7" w:rsidRPr="003863A7">
        <w:rPr>
          <w:lang w:val="es-ES"/>
        </w:rPr>
        <w:t xml:space="preserve">La </w:t>
      </w:r>
      <w:r w:rsidR="0088461E" w:rsidRPr="003863A7">
        <w:rPr>
          <w:lang w:val="es-ES"/>
        </w:rPr>
        <w:t>ONUDI</w:t>
      </w:r>
      <w:r w:rsidR="00A07B0E" w:rsidRPr="003863A7">
        <w:rPr>
          <w:lang w:val="es-ES"/>
        </w:rPr>
        <w:t xml:space="preserve"> </w:t>
      </w:r>
      <w:r w:rsidR="003863A7" w:rsidRPr="003863A7">
        <w:rPr>
          <w:lang w:val="es-ES"/>
        </w:rPr>
        <w:t>confirm</w:t>
      </w:r>
      <w:r w:rsidR="003863A7">
        <w:rPr>
          <w:lang w:val="es-ES"/>
        </w:rPr>
        <w:t>ó</w:t>
      </w:r>
      <w:r w:rsidR="003863A7" w:rsidRPr="003863A7">
        <w:rPr>
          <w:lang w:val="es-ES"/>
        </w:rPr>
        <w:t xml:space="preserve"> que la reconversión</w:t>
      </w:r>
      <w:r w:rsidR="003863A7">
        <w:rPr>
          <w:lang w:val="es-ES"/>
        </w:rPr>
        <w:t xml:space="preserve"> </w:t>
      </w:r>
      <w:r w:rsidR="003863A7" w:rsidRPr="003863A7">
        <w:rPr>
          <w:lang w:val="es-ES"/>
        </w:rPr>
        <w:t>no contará con apoyo en el plan de ge</w:t>
      </w:r>
      <w:r w:rsidR="003863A7">
        <w:rPr>
          <w:lang w:val="es-ES"/>
        </w:rPr>
        <w:t>s</w:t>
      </w:r>
      <w:r w:rsidR="003863A7" w:rsidRPr="003863A7">
        <w:rPr>
          <w:lang w:val="es-ES"/>
        </w:rPr>
        <w:t>ti</w:t>
      </w:r>
      <w:r w:rsidR="003863A7">
        <w:rPr>
          <w:lang w:val="es-ES"/>
        </w:rPr>
        <w:t>ón de eliminación de los HCFC</w:t>
      </w:r>
      <w:r w:rsidR="00F8472D" w:rsidRPr="003863A7">
        <w:rPr>
          <w:color w:val="1F4E79"/>
          <w:kern w:val="36"/>
          <w:lang w:val="es-ES"/>
        </w:rPr>
        <w:t xml:space="preserve">. </w:t>
      </w:r>
    </w:p>
    <w:p w14:paraId="297D9168" w14:textId="656DA79B" w:rsidR="007C1B38" w:rsidRPr="00DB24E5" w:rsidRDefault="00043ED0" w:rsidP="007C1B38">
      <w:pPr>
        <w:pStyle w:val="Heading1"/>
        <w:numPr>
          <w:ilvl w:val="0"/>
          <w:numId w:val="0"/>
        </w:numPr>
        <w:rPr>
          <w:u w:val="single"/>
          <w:lang w:val="es-ES"/>
        </w:rPr>
      </w:pPr>
      <w:r>
        <w:rPr>
          <w:u w:val="single"/>
          <w:lang w:val="es-ES"/>
        </w:rPr>
        <w:t>Aplicación de la política de género</w:t>
      </w:r>
      <w:r w:rsidR="007C1B38" w:rsidRPr="00DB24E5">
        <w:rPr>
          <w:rStyle w:val="FootnoteReference"/>
          <w:u w:val="single"/>
          <w:lang w:val="es-ES"/>
        </w:rPr>
        <w:footnoteReference w:id="2"/>
      </w:r>
    </w:p>
    <w:p w14:paraId="51401906" w14:textId="4E4EA37A" w:rsidR="007C1B38" w:rsidRPr="003863A7" w:rsidRDefault="00043ED0" w:rsidP="007C1B38">
      <w:pPr>
        <w:pStyle w:val="Heading1"/>
        <w:tabs>
          <w:tab w:val="clear" w:pos="0"/>
          <w:tab w:val="clear" w:pos="1985"/>
        </w:tabs>
        <w:rPr>
          <w:u w:val="single"/>
          <w:lang w:val="es-ES"/>
        </w:rPr>
      </w:pPr>
      <w:r w:rsidRPr="003863A7">
        <w:rPr>
          <w:lang w:val="es-ES"/>
        </w:rPr>
        <w:t xml:space="preserve">La </w:t>
      </w:r>
      <w:r w:rsidR="0088461E" w:rsidRPr="003863A7">
        <w:rPr>
          <w:lang w:val="es-ES"/>
        </w:rPr>
        <w:t>ONUDI</w:t>
      </w:r>
      <w:r w:rsidR="007C1B38" w:rsidRPr="003863A7">
        <w:rPr>
          <w:lang w:val="es-ES"/>
        </w:rPr>
        <w:t xml:space="preserve"> </w:t>
      </w:r>
      <w:r w:rsidR="003863A7" w:rsidRPr="003863A7">
        <w:rPr>
          <w:lang w:val="es-ES"/>
        </w:rPr>
        <w:t>señaló que, pese a que el plan de gesti</w:t>
      </w:r>
      <w:r w:rsidR="003863A7">
        <w:rPr>
          <w:lang w:val="es-ES"/>
        </w:rPr>
        <w:t>ó</w:t>
      </w:r>
      <w:r w:rsidR="003863A7" w:rsidRPr="003863A7">
        <w:rPr>
          <w:lang w:val="es-ES"/>
        </w:rPr>
        <w:t>n de eliminación de los HCFC se había aprobado antes de que se adoptara la pol</w:t>
      </w:r>
      <w:r w:rsidR="003863A7">
        <w:rPr>
          <w:lang w:val="es-ES"/>
        </w:rPr>
        <w:t>ítica de género del Fondo</w:t>
      </w:r>
      <w:r w:rsidR="007C1B38" w:rsidRPr="003863A7">
        <w:rPr>
          <w:lang w:val="es-ES"/>
        </w:rPr>
        <w:t xml:space="preserve">, </w:t>
      </w:r>
      <w:r w:rsidR="003863A7">
        <w:rPr>
          <w:lang w:val="es-ES"/>
        </w:rPr>
        <w:t xml:space="preserve">el Gobierno se había comprometido a garantizar que la incorporación de las cuestiones de género formaría parte de la ejecución del </w:t>
      </w:r>
      <w:r w:rsidR="008C669C" w:rsidRPr="003863A7">
        <w:rPr>
          <w:lang w:val="es-ES"/>
        </w:rPr>
        <w:t>tramo</w:t>
      </w:r>
      <w:r w:rsidR="007C1B38" w:rsidRPr="003863A7">
        <w:rPr>
          <w:lang w:val="es-ES"/>
        </w:rPr>
        <w:t xml:space="preserve"> </w:t>
      </w:r>
      <w:r w:rsidR="003863A7">
        <w:rPr>
          <w:lang w:val="es-ES"/>
        </w:rPr>
        <w:t xml:space="preserve">final </w:t>
      </w:r>
      <w:r w:rsidR="00135B60" w:rsidRPr="003863A7">
        <w:rPr>
          <w:lang w:val="es-ES"/>
        </w:rPr>
        <w:t>del plan de gestión de eliminación de los HCFC</w:t>
      </w:r>
      <w:r w:rsidR="007C1B38" w:rsidRPr="003863A7">
        <w:rPr>
          <w:lang w:val="es-ES"/>
        </w:rPr>
        <w:t xml:space="preserve">. </w:t>
      </w:r>
      <w:r w:rsidR="003863A7" w:rsidRPr="003863A7">
        <w:rPr>
          <w:lang w:val="es-ES"/>
        </w:rPr>
        <w:t xml:space="preserve">La </w:t>
      </w:r>
      <w:r w:rsidR="0088461E" w:rsidRPr="003863A7">
        <w:rPr>
          <w:lang w:val="es-ES"/>
        </w:rPr>
        <w:t>ONUDI</w:t>
      </w:r>
      <w:r w:rsidR="007C1B38" w:rsidRPr="003863A7">
        <w:rPr>
          <w:lang w:val="es-ES"/>
        </w:rPr>
        <w:t xml:space="preserve"> </w:t>
      </w:r>
      <w:r w:rsidR="003863A7" w:rsidRPr="003863A7">
        <w:rPr>
          <w:lang w:val="es-ES"/>
        </w:rPr>
        <w:t xml:space="preserve">prestará apoyo también mediante el uso de su manual de </w:t>
      </w:r>
      <w:r w:rsidR="003863A7" w:rsidRPr="003863A7">
        <w:rPr>
          <w:lang w:val="es-ES"/>
        </w:rPr>
        <w:lastRenderedPageBreak/>
        <w:t>incorporación de las cuestiones de género</w:t>
      </w:r>
      <w:r w:rsidR="007C1B38" w:rsidRPr="003863A7">
        <w:rPr>
          <w:lang w:val="es-ES"/>
        </w:rPr>
        <w:t xml:space="preserve">, </w:t>
      </w:r>
      <w:r w:rsidR="003863A7" w:rsidRPr="003863A7">
        <w:rPr>
          <w:lang w:val="es-ES"/>
        </w:rPr>
        <w:t>y garantizar</w:t>
      </w:r>
      <w:r w:rsidR="003863A7">
        <w:rPr>
          <w:lang w:val="es-ES"/>
        </w:rPr>
        <w:t>á que en las actividades futuras se incluyan indicadores específicos</w:t>
      </w:r>
      <w:r w:rsidR="007C1B38" w:rsidRPr="003863A7">
        <w:rPr>
          <w:lang w:val="es-ES"/>
        </w:rPr>
        <w:t xml:space="preserve"> </w:t>
      </w:r>
      <w:r w:rsidR="003863A7">
        <w:rPr>
          <w:lang w:val="es-ES"/>
        </w:rPr>
        <w:t>que figurarán en los futuros informes sobre los progresos realizados</w:t>
      </w:r>
      <w:r w:rsidR="007C1B38" w:rsidRPr="003863A7">
        <w:rPr>
          <w:lang w:val="es-ES"/>
        </w:rPr>
        <w:t xml:space="preserve">. </w:t>
      </w:r>
    </w:p>
    <w:p w14:paraId="230CD7A5" w14:textId="003E2350" w:rsidR="007C1B38" w:rsidRPr="00043ED0" w:rsidRDefault="007C1B38" w:rsidP="007C1B38">
      <w:pPr>
        <w:pStyle w:val="Heading1"/>
        <w:numPr>
          <w:ilvl w:val="0"/>
          <w:numId w:val="0"/>
        </w:numPr>
        <w:rPr>
          <w:u w:val="single"/>
          <w:lang w:val="es-ES"/>
        </w:rPr>
      </w:pPr>
      <w:r w:rsidRPr="00043ED0">
        <w:rPr>
          <w:u w:val="single"/>
          <w:lang w:val="es-ES"/>
        </w:rPr>
        <w:t>S</w:t>
      </w:r>
      <w:r w:rsidR="00043ED0" w:rsidRPr="00043ED0">
        <w:rPr>
          <w:u w:val="single"/>
          <w:lang w:val="es-ES"/>
        </w:rPr>
        <w:t>ostenibilidad de la eliminación de los HCFC</w:t>
      </w:r>
      <w:r w:rsidRPr="00043ED0">
        <w:rPr>
          <w:u w:val="single"/>
          <w:lang w:val="es-ES"/>
        </w:rPr>
        <w:t xml:space="preserve"> </w:t>
      </w:r>
    </w:p>
    <w:p w14:paraId="3EB98DF6" w14:textId="2DD0DB4F" w:rsidR="007C1B38" w:rsidRPr="00FF6B59" w:rsidRDefault="003863A7" w:rsidP="00D24038">
      <w:pPr>
        <w:pStyle w:val="Heading1"/>
        <w:tabs>
          <w:tab w:val="clear" w:pos="1985"/>
        </w:tabs>
        <w:rPr>
          <w:lang w:val="es-ES"/>
        </w:rPr>
      </w:pPr>
      <w:r w:rsidRPr="00FF6B59">
        <w:rPr>
          <w:lang w:val="es-ES"/>
        </w:rPr>
        <w:t xml:space="preserve">La sostenibilidad de la eliminación de los </w:t>
      </w:r>
      <w:r w:rsidR="00A564EF" w:rsidRPr="00FF6B59">
        <w:rPr>
          <w:lang w:val="es-ES"/>
        </w:rPr>
        <w:t xml:space="preserve">HCFC </w:t>
      </w:r>
      <w:r w:rsidRPr="00FF6B59">
        <w:rPr>
          <w:lang w:val="es-ES"/>
        </w:rPr>
        <w:t>e</w:t>
      </w:r>
      <w:r w:rsidR="00537A7A" w:rsidRPr="00FF6B59">
        <w:rPr>
          <w:lang w:val="es-ES"/>
        </w:rPr>
        <w:t xml:space="preserve">n Montenegro </w:t>
      </w:r>
      <w:r w:rsidRPr="00FF6B59">
        <w:rPr>
          <w:lang w:val="es-ES"/>
        </w:rPr>
        <w:t>se basará en los actual</w:t>
      </w:r>
      <w:r w:rsidR="00FF6B59">
        <w:rPr>
          <w:lang w:val="es-ES"/>
        </w:rPr>
        <w:t>e</w:t>
      </w:r>
      <w:r w:rsidRPr="00FF6B59">
        <w:rPr>
          <w:lang w:val="es-ES"/>
        </w:rPr>
        <w:t xml:space="preserve">s controles de las importaciones de </w:t>
      </w:r>
      <w:r w:rsidR="00537A7A" w:rsidRPr="00FF6B59">
        <w:rPr>
          <w:lang w:val="es-ES"/>
        </w:rPr>
        <w:t>HCFC</w:t>
      </w:r>
      <w:r w:rsidRPr="00FF6B59">
        <w:rPr>
          <w:lang w:val="es-ES"/>
        </w:rPr>
        <w:t xml:space="preserve"> y de equipos que los utilicen</w:t>
      </w:r>
      <w:r w:rsidR="00537A7A" w:rsidRPr="00FF6B59">
        <w:rPr>
          <w:lang w:val="es-ES"/>
        </w:rPr>
        <w:t xml:space="preserve">, </w:t>
      </w:r>
      <w:r w:rsidRPr="00FF6B59">
        <w:rPr>
          <w:lang w:val="es-ES"/>
        </w:rPr>
        <w:t xml:space="preserve">vigente desde </w:t>
      </w:r>
      <w:r w:rsidR="00537A7A" w:rsidRPr="00FF6B59">
        <w:rPr>
          <w:lang w:val="es-ES"/>
        </w:rPr>
        <w:t>2012</w:t>
      </w:r>
      <w:r w:rsidR="00A564EF" w:rsidRPr="00FF6B59">
        <w:rPr>
          <w:lang w:val="es-ES"/>
        </w:rPr>
        <w:t xml:space="preserve">, </w:t>
      </w:r>
      <w:r w:rsidRPr="00FF6B59">
        <w:rPr>
          <w:lang w:val="es-ES"/>
        </w:rPr>
        <w:t xml:space="preserve">y la capacitación </w:t>
      </w:r>
      <w:r w:rsidR="00FF6B59" w:rsidRPr="00FF6B59">
        <w:rPr>
          <w:lang w:val="es-ES"/>
        </w:rPr>
        <w:t>cont</w:t>
      </w:r>
      <w:r w:rsidR="00FF6B59">
        <w:rPr>
          <w:lang w:val="es-ES"/>
        </w:rPr>
        <w:t>i</w:t>
      </w:r>
      <w:r w:rsidR="00FF6B59" w:rsidRPr="00FF6B59">
        <w:rPr>
          <w:lang w:val="es-ES"/>
        </w:rPr>
        <w:t>nua de oficiales de aduanas y autoridades, incluso la que se imparte en el rec</w:t>
      </w:r>
      <w:r w:rsidR="00FF6B59">
        <w:rPr>
          <w:lang w:val="es-ES"/>
        </w:rPr>
        <w:t>ién creado Centro de Capacitación</w:t>
      </w:r>
      <w:r w:rsidR="00A564EF" w:rsidRPr="00FF6B59">
        <w:rPr>
          <w:lang w:val="es-ES"/>
        </w:rPr>
        <w:t xml:space="preserve">, </w:t>
      </w:r>
      <w:r w:rsidR="008C54C5" w:rsidRPr="00FF6B59">
        <w:rPr>
          <w:lang w:val="es-ES"/>
        </w:rPr>
        <w:t>as</w:t>
      </w:r>
      <w:r w:rsidR="00FF6B59">
        <w:rPr>
          <w:lang w:val="es-ES"/>
        </w:rPr>
        <w:t>í como la constante capacitación y mejoramiento de las prácticas de  mantenimiento y la certificación de técnicos</w:t>
      </w:r>
      <w:r w:rsidR="00DF05A4" w:rsidRPr="00FF6B59">
        <w:rPr>
          <w:lang w:val="es-ES"/>
        </w:rPr>
        <w:t xml:space="preserve">, </w:t>
      </w:r>
      <w:r w:rsidR="00FF6B59">
        <w:rPr>
          <w:lang w:val="es-ES"/>
        </w:rPr>
        <w:t>y el establecimiento de la asociación de refrigeración y aire acondicionado</w:t>
      </w:r>
      <w:r w:rsidR="00537A7A" w:rsidRPr="00FF6B59">
        <w:rPr>
          <w:lang w:val="es-ES"/>
        </w:rPr>
        <w:t xml:space="preserve">. </w:t>
      </w:r>
      <w:r w:rsidR="00FF6B59" w:rsidRPr="00FF6B59">
        <w:rPr>
          <w:lang w:val="es-ES"/>
        </w:rPr>
        <w:t>Además, el consume en el sector de mantenimiento disminuirá mediante el plan establecido de reutilizaci</w:t>
      </w:r>
      <w:r w:rsidR="00FF6B59">
        <w:rPr>
          <w:lang w:val="es-ES"/>
        </w:rPr>
        <w:t>ón de refrigerantes</w:t>
      </w:r>
      <w:r w:rsidR="00537A7A" w:rsidRPr="00FF6B59">
        <w:rPr>
          <w:lang w:val="es-ES"/>
        </w:rPr>
        <w:t xml:space="preserve">. </w:t>
      </w:r>
    </w:p>
    <w:p w14:paraId="31D953A8" w14:textId="693983D3" w:rsidR="007A6564" w:rsidRPr="00DB24E5" w:rsidRDefault="007A6564" w:rsidP="003C4EB4">
      <w:pPr>
        <w:rPr>
          <w:u w:val="single"/>
          <w:lang w:val="es-ES"/>
        </w:rPr>
      </w:pPr>
      <w:r w:rsidRPr="00DB24E5">
        <w:rPr>
          <w:u w:val="single"/>
          <w:lang w:val="es-ES"/>
        </w:rPr>
        <w:t>Conclusi</w:t>
      </w:r>
      <w:r w:rsidR="003A56DA" w:rsidRPr="00DB24E5">
        <w:rPr>
          <w:u w:val="single"/>
          <w:lang w:val="es-ES"/>
        </w:rPr>
        <w:t>ó</w:t>
      </w:r>
      <w:r w:rsidRPr="00DB24E5">
        <w:rPr>
          <w:u w:val="single"/>
          <w:lang w:val="es-ES"/>
        </w:rPr>
        <w:t xml:space="preserve">n </w:t>
      </w:r>
    </w:p>
    <w:p w14:paraId="796B21BB" w14:textId="77777777" w:rsidR="007A6564" w:rsidRPr="00DB24E5" w:rsidRDefault="007A6564" w:rsidP="003C4EB4">
      <w:pPr>
        <w:rPr>
          <w:lang w:val="es-ES"/>
        </w:rPr>
      </w:pPr>
    </w:p>
    <w:p w14:paraId="17AB31AE" w14:textId="28ADF8BC" w:rsidR="007A6564" w:rsidRPr="00883ED4" w:rsidRDefault="00C96ACB" w:rsidP="00C23FDC">
      <w:pPr>
        <w:pStyle w:val="Heading1"/>
        <w:tabs>
          <w:tab w:val="clear" w:pos="0"/>
          <w:tab w:val="clear" w:pos="1985"/>
        </w:tabs>
        <w:rPr>
          <w:lang w:val="es-ES"/>
        </w:rPr>
      </w:pPr>
      <w:r>
        <w:rPr>
          <w:lang w:val="es-ES"/>
        </w:rPr>
        <w:t xml:space="preserve">Avanza la ejecución del plan de gestión de eliminación de los HCFC y el país está cumpliendo </w:t>
      </w:r>
      <w:r w:rsidR="00FF6B59" w:rsidRPr="00FF6B59">
        <w:rPr>
          <w:lang w:val="es-ES"/>
        </w:rPr>
        <w:t>el</w:t>
      </w:r>
      <w:r w:rsidR="007A6564" w:rsidRPr="00FF6B59">
        <w:rPr>
          <w:lang w:val="es-ES"/>
        </w:rPr>
        <w:t xml:space="preserve"> Protocol</w:t>
      </w:r>
      <w:r w:rsidR="00FF6B59" w:rsidRPr="00FF6B59">
        <w:rPr>
          <w:lang w:val="es-ES"/>
        </w:rPr>
        <w:t xml:space="preserve">o de Montreal y su Acuerdo con </w:t>
      </w:r>
      <w:r w:rsidR="00F92E29" w:rsidRPr="00FF6B59">
        <w:rPr>
          <w:lang w:val="es-ES"/>
        </w:rPr>
        <w:t>el Comité Ejecutivo</w:t>
      </w:r>
      <w:r w:rsidR="007A6564" w:rsidRPr="00FF6B59">
        <w:rPr>
          <w:lang w:val="es-ES"/>
        </w:rPr>
        <w:t xml:space="preserve">. </w:t>
      </w:r>
      <w:r w:rsidR="00FF6B59" w:rsidRPr="00FF6B59">
        <w:rPr>
          <w:lang w:val="es-ES"/>
        </w:rPr>
        <w:t>En el informe de verificación se confirm</w:t>
      </w:r>
      <w:r w:rsidR="00FF6B59">
        <w:rPr>
          <w:lang w:val="es-ES"/>
        </w:rPr>
        <w:t>ó que está funcionando el sistema de concesión de licencias y de cupos del país</w:t>
      </w:r>
      <w:r w:rsidR="007A6564" w:rsidRPr="00FF6B59">
        <w:rPr>
          <w:lang w:val="es-ES"/>
        </w:rPr>
        <w:t xml:space="preserve">, </w:t>
      </w:r>
      <w:r w:rsidR="00FF6B59" w:rsidRPr="00FF6B59">
        <w:rPr>
          <w:lang w:val="es-ES"/>
        </w:rPr>
        <w:t xml:space="preserve">y </w:t>
      </w:r>
      <w:r w:rsidR="00FF6B59">
        <w:rPr>
          <w:lang w:val="es-ES"/>
        </w:rPr>
        <w:t xml:space="preserve">que </w:t>
      </w:r>
      <w:r w:rsidR="00FF6B59" w:rsidRPr="00FF6B59">
        <w:rPr>
          <w:lang w:val="es-ES"/>
        </w:rPr>
        <w:t xml:space="preserve">el consumo de </w:t>
      </w:r>
      <w:r w:rsidR="007A6564" w:rsidRPr="00FF6B59">
        <w:rPr>
          <w:rFonts w:eastAsiaTheme="minorHAnsi"/>
          <w:color w:val="000000"/>
          <w:lang w:val="es-ES"/>
        </w:rPr>
        <w:t>0</w:t>
      </w:r>
      <w:r w:rsidR="00FF6B59" w:rsidRPr="00FF6B59">
        <w:rPr>
          <w:rFonts w:eastAsiaTheme="minorHAnsi"/>
          <w:color w:val="000000"/>
          <w:lang w:val="es-ES"/>
        </w:rPr>
        <w:t>,</w:t>
      </w:r>
      <w:r w:rsidR="007A6564" w:rsidRPr="00FF6B59">
        <w:rPr>
          <w:rFonts w:eastAsiaTheme="minorHAnsi"/>
          <w:color w:val="000000"/>
          <w:lang w:val="es-ES"/>
        </w:rPr>
        <w:t>05</w:t>
      </w:r>
      <w:r w:rsidR="00306EAB" w:rsidRPr="00FF6B59">
        <w:rPr>
          <w:rFonts w:eastAsiaTheme="minorHAnsi"/>
          <w:color w:val="000000"/>
          <w:lang w:val="es-ES"/>
        </w:rPr>
        <w:t> </w:t>
      </w:r>
      <w:r w:rsidR="0001658C" w:rsidRPr="00FF6B59">
        <w:rPr>
          <w:rFonts w:eastAsiaTheme="minorHAnsi"/>
          <w:color w:val="000000"/>
          <w:lang w:val="es-ES"/>
        </w:rPr>
        <w:t>toneladas PAO</w:t>
      </w:r>
      <w:r w:rsidR="00996B6B" w:rsidRPr="00FF6B59">
        <w:rPr>
          <w:lang w:val="es-ES"/>
        </w:rPr>
        <w:t xml:space="preserve"> </w:t>
      </w:r>
      <w:r w:rsidR="00FF6B59" w:rsidRPr="00FF6B59">
        <w:rPr>
          <w:lang w:val="es-ES"/>
        </w:rPr>
        <w:t xml:space="preserve">de HCFC en 2019 </w:t>
      </w:r>
      <w:r w:rsidR="00FF6B59">
        <w:rPr>
          <w:lang w:val="es-ES"/>
        </w:rPr>
        <w:t xml:space="preserve">era ya el </w:t>
      </w:r>
      <w:r w:rsidR="00996B6B" w:rsidRPr="00FF6B59">
        <w:rPr>
          <w:lang w:val="es-ES"/>
        </w:rPr>
        <w:t>94</w:t>
      </w:r>
      <w:r w:rsidR="00FF6B59">
        <w:rPr>
          <w:lang w:val="es-ES"/>
        </w:rPr>
        <w:t>% del nivel de referencia del país</w:t>
      </w:r>
      <w:r w:rsidR="007A6564" w:rsidRPr="00FF6B59">
        <w:rPr>
          <w:lang w:val="es-ES"/>
        </w:rPr>
        <w:t xml:space="preserve">. </w:t>
      </w:r>
      <w:r w:rsidRPr="00C96ACB">
        <w:rPr>
          <w:lang w:val="es-ES"/>
        </w:rPr>
        <w:t>El Gobierno ha tomado en consideración las recomendaciones del informe de verificaci</w:t>
      </w:r>
      <w:r>
        <w:rPr>
          <w:lang w:val="es-ES"/>
        </w:rPr>
        <w:t xml:space="preserve">ón, que se llevarán a la práctica según proceda. El nivel de desembolso es casi del 100%. El país garantiza la sostenibilidad de la eliminación de SAO ya lograda por medio del sistema de concesión de licencias y de cupos, así como otras normas y reglamentos.  </w:t>
      </w:r>
      <w:r w:rsidR="00883ED4">
        <w:rPr>
          <w:lang w:val="es-ES"/>
        </w:rPr>
        <w:t xml:space="preserve">Las actividades realizadas hasta la fecha para el sector de mantenimiento, en particular el establecimiento de la asociación de refrigeración y aire acondicionado, garantizarán la sostenibilidad a largo plazo de la </w:t>
      </w:r>
      <w:proofErr w:type="gramStart"/>
      <w:r w:rsidR="00883ED4">
        <w:rPr>
          <w:lang w:val="es-ES"/>
        </w:rPr>
        <w:t>eliminación  de</w:t>
      </w:r>
      <w:proofErr w:type="gramEnd"/>
      <w:r w:rsidR="00883ED4">
        <w:rPr>
          <w:lang w:val="es-ES"/>
        </w:rPr>
        <w:t xml:space="preserve"> HCFC. La etapa I del plan de gestión de eliminación de los HCFC se completará en diciembre de 2021 como se estipula en el Acuerdo de ese plan y en la etapa II que se somete a consideración de la reunión en curso.</w:t>
      </w:r>
    </w:p>
    <w:p w14:paraId="1D9D981C" w14:textId="7DD827B6" w:rsidR="007A6564" w:rsidRPr="00DB24E5" w:rsidRDefault="003A56DA" w:rsidP="00BB6FE1">
      <w:pPr>
        <w:pStyle w:val="Heading1"/>
        <w:keepNext/>
        <w:keepLines/>
        <w:numPr>
          <w:ilvl w:val="0"/>
          <w:numId w:val="0"/>
        </w:numPr>
        <w:rPr>
          <w:b/>
          <w:lang w:val="es-ES"/>
        </w:rPr>
      </w:pPr>
      <w:r w:rsidRPr="00DB24E5">
        <w:rPr>
          <w:b/>
          <w:lang w:val="es-ES"/>
        </w:rPr>
        <w:t>RECO</w:t>
      </w:r>
      <w:r w:rsidR="007A6564" w:rsidRPr="00DB24E5">
        <w:rPr>
          <w:b/>
          <w:lang w:val="es-ES"/>
        </w:rPr>
        <w:t>MENDA</w:t>
      </w:r>
      <w:r w:rsidRPr="00DB24E5">
        <w:rPr>
          <w:b/>
          <w:lang w:val="es-ES"/>
        </w:rPr>
        <w:t>C</w:t>
      </w:r>
      <w:r w:rsidR="007A6564" w:rsidRPr="00DB24E5">
        <w:rPr>
          <w:b/>
          <w:lang w:val="es-ES"/>
        </w:rPr>
        <w:t>I</w:t>
      </w:r>
      <w:r w:rsidRPr="00DB24E5">
        <w:rPr>
          <w:b/>
          <w:lang w:val="es-ES"/>
        </w:rPr>
        <w:t>Ó</w:t>
      </w:r>
      <w:r w:rsidR="007A6564" w:rsidRPr="00DB24E5">
        <w:rPr>
          <w:b/>
          <w:lang w:val="es-ES"/>
        </w:rPr>
        <w:t xml:space="preserve">N </w:t>
      </w:r>
    </w:p>
    <w:p w14:paraId="132D4735" w14:textId="7C41A3D2" w:rsidR="00D27153" w:rsidRPr="00DF532D" w:rsidRDefault="00DF532D" w:rsidP="00BB6FE1">
      <w:pPr>
        <w:pStyle w:val="Heading1"/>
        <w:keepNext/>
        <w:keepLines/>
        <w:tabs>
          <w:tab w:val="clear" w:pos="1985"/>
        </w:tabs>
        <w:rPr>
          <w:lang w:val="es-ES"/>
        </w:rPr>
      </w:pPr>
      <w:r w:rsidRPr="00DF532D">
        <w:rPr>
          <w:lang w:val="es-ES"/>
        </w:rPr>
        <w:t xml:space="preserve">La Secretaría del Fondo recomienda que </w:t>
      </w:r>
      <w:r w:rsidR="00F92E29" w:rsidRPr="00DF532D">
        <w:rPr>
          <w:lang w:val="es-ES"/>
        </w:rPr>
        <w:t>el Comité Ejecutivo</w:t>
      </w:r>
      <w:r w:rsidR="00D27153" w:rsidRPr="00DF532D">
        <w:rPr>
          <w:lang w:val="es-ES"/>
        </w:rPr>
        <w:t>:</w:t>
      </w:r>
    </w:p>
    <w:p w14:paraId="4B117E44" w14:textId="7EB4EB14" w:rsidR="00D27153" w:rsidRPr="00FF6B59" w:rsidRDefault="00FF6B59" w:rsidP="00BB6FE1">
      <w:pPr>
        <w:pStyle w:val="Heading2"/>
        <w:keepNext/>
        <w:keepLines/>
        <w:ind w:left="1418" w:hanging="709"/>
        <w:rPr>
          <w:lang w:val="es-ES"/>
        </w:rPr>
      </w:pPr>
      <w:r w:rsidRPr="00FF6B59">
        <w:rPr>
          <w:lang w:val="es-ES"/>
        </w:rPr>
        <w:t>Tome nota del informe sobre los progresos realizados en la ejecución del cuarto</w:t>
      </w:r>
      <w:r w:rsidR="00D27153" w:rsidRPr="00FF6B59">
        <w:rPr>
          <w:lang w:val="es-ES"/>
        </w:rPr>
        <w:t xml:space="preserve"> </w:t>
      </w:r>
      <w:r w:rsidR="008C669C" w:rsidRPr="00FF6B59">
        <w:rPr>
          <w:lang w:val="es-ES"/>
        </w:rPr>
        <w:t>tramo</w:t>
      </w:r>
      <w:r w:rsidR="00D27153" w:rsidRPr="00FF6B59">
        <w:rPr>
          <w:lang w:val="es-ES"/>
        </w:rPr>
        <w:t xml:space="preserve"> </w:t>
      </w:r>
      <w:r w:rsidRPr="00FF6B59">
        <w:rPr>
          <w:lang w:val="es-ES"/>
        </w:rPr>
        <w:t xml:space="preserve">de la </w:t>
      </w:r>
      <w:r w:rsidR="008C669C" w:rsidRPr="00FF6B59">
        <w:rPr>
          <w:lang w:val="es-ES"/>
        </w:rPr>
        <w:t>etapa</w:t>
      </w:r>
      <w:r w:rsidR="00D27153" w:rsidRPr="00FF6B59">
        <w:rPr>
          <w:lang w:val="es-ES"/>
        </w:rPr>
        <w:t xml:space="preserve"> I </w:t>
      </w:r>
      <w:r>
        <w:rPr>
          <w:lang w:val="es-ES"/>
        </w:rPr>
        <w:t xml:space="preserve">del plan de gestión de eliminación de los </w:t>
      </w:r>
      <w:r w:rsidR="00D27153" w:rsidRPr="00FF6B59">
        <w:rPr>
          <w:lang w:val="es-ES"/>
        </w:rPr>
        <w:t>HCFC</w:t>
      </w:r>
      <w:r>
        <w:rPr>
          <w:lang w:val="es-ES"/>
        </w:rPr>
        <w:t xml:space="preserve"> para</w:t>
      </w:r>
      <w:r w:rsidR="00D27153" w:rsidRPr="00FF6B59">
        <w:rPr>
          <w:lang w:val="es-ES"/>
        </w:rPr>
        <w:t xml:space="preserve"> Montenegro; </w:t>
      </w:r>
      <w:r>
        <w:rPr>
          <w:lang w:val="es-ES"/>
        </w:rPr>
        <w:t>y</w:t>
      </w:r>
    </w:p>
    <w:p w14:paraId="7925D183" w14:textId="76B0E810" w:rsidR="00D27153" w:rsidRPr="00FF6B59" w:rsidRDefault="00FF6B59" w:rsidP="00D27153">
      <w:pPr>
        <w:pStyle w:val="Heading2"/>
        <w:ind w:left="1418"/>
        <w:rPr>
          <w:lang w:val="es-ES"/>
        </w:rPr>
      </w:pPr>
      <w:r w:rsidRPr="00FF6B59">
        <w:rPr>
          <w:lang w:val="es-ES"/>
        </w:rPr>
        <w:t xml:space="preserve">Pida a la </w:t>
      </w:r>
      <w:r w:rsidR="0088461E" w:rsidRPr="00FF6B59">
        <w:rPr>
          <w:lang w:val="es-ES"/>
        </w:rPr>
        <w:t>ONUDI</w:t>
      </w:r>
      <w:r w:rsidR="00D27153" w:rsidRPr="00FF6B59">
        <w:rPr>
          <w:lang w:val="es-ES"/>
        </w:rPr>
        <w:t xml:space="preserve"> </w:t>
      </w:r>
      <w:r w:rsidRPr="00FF6B59">
        <w:rPr>
          <w:lang w:val="es-ES"/>
        </w:rPr>
        <w:t>que incluya, como parte del segundo</w:t>
      </w:r>
      <w:r w:rsidR="00D27153" w:rsidRPr="00FF6B59">
        <w:rPr>
          <w:lang w:val="es-ES"/>
        </w:rPr>
        <w:t xml:space="preserve"> </w:t>
      </w:r>
      <w:r w:rsidR="008C669C" w:rsidRPr="00FF6B59">
        <w:rPr>
          <w:lang w:val="es-ES"/>
        </w:rPr>
        <w:t>tramo</w:t>
      </w:r>
      <w:r w:rsidR="00D27153" w:rsidRPr="00FF6B59">
        <w:rPr>
          <w:lang w:val="es-ES"/>
        </w:rPr>
        <w:t xml:space="preserve"> </w:t>
      </w:r>
      <w:r w:rsidRPr="00FF6B59">
        <w:rPr>
          <w:lang w:val="es-ES"/>
        </w:rPr>
        <w:t xml:space="preserve">de la </w:t>
      </w:r>
      <w:r w:rsidR="008C669C" w:rsidRPr="00FF6B59">
        <w:rPr>
          <w:lang w:val="es-ES"/>
        </w:rPr>
        <w:t>etapa</w:t>
      </w:r>
      <w:r w:rsidR="00057990" w:rsidRPr="00FF6B59">
        <w:rPr>
          <w:lang w:val="es-ES"/>
        </w:rPr>
        <w:t> </w:t>
      </w:r>
      <w:r w:rsidR="00D27153" w:rsidRPr="00FF6B59">
        <w:rPr>
          <w:lang w:val="es-ES"/>
        </w:rPr>
        <w:t xml:space="preserve">II </w:t>
      </w:r>
      <w:r w:rsidR="00135B60" w:rsidRPr="00FF6B59">
        <w:rPr>
          <w:lang w:val="es-ES"/>
        </w:rPr>
        <w:t>del plan de gestión de eliminación de los HCFC</w:t>
      </w:r>
      <w:r w:rsidR="00D27153" w:rsidRPr="00FF6B59">
        <w:rPr>
          <w:lang w:val="es-ES"/>
        </w:rPr>
        <w:t xml:space="preserve"> </w:t>
      </w:r>
      <w:r>
        <w:rPr>
          <w:lang w:val="es-ES"/>
        </w:rPr>
        <w:t>para</w:t>
      </w:r>
      <w:r w:rsidR="00D27153" w:rsidRPr="00FF6B59">
        <w:rPr>
          <w:lang w:val="es-ES"/>
        </w:rPr>
        <w:t xml:space="preserve"> Montenegro, </w:t>
      </w:r>
      <w:r>
        <w:rPr>
          <w:lang w:val="es-ES"/>
        </w:rPr>
        <w:t xml:space="preserve">una actualización de los progresos realizados en la aplicación de las recomendaciones del informe de verificación presentado a la </w:t>
      </w:r>
      <w:r w:rsidR="00D27153" w:rsidRPr="00FF6B59">
        <w:rPr>
          <w:lang w:val="es-ES"/>
        </w:rPr>
        <w:t>85</w:t>
      </w:r>
      <w:r>
        <w:rPr>
          <w:vertAlign w:val="superscript"/>
          <w:lang w:val="es-ES"/>
        </w:rPr>
        <w:t>a</w:t>
      </w:r>
      <w:r w:rsidR="00057990" w:rsidRPr="00FF6B59">
        <w:rPr>
          <w:lang w:val="es-ES"/>
        </w:rPr>
        <w:t> </w:t>
      </w:r>
      <w:r>
        <w:rPr>
          <w:lang w:val="es-ES"/>
        </w:rPr>
        <w:t>reunión</w:t>
      </w:r>
      <w:r w:rsidR="00D27153" w:rsidRPr="00FF6B59">
        <w:rPr>
          <w:lang w:val="es-ES"/>
        </w:rPr>
        <w:t>.</w:t>
      </w:r>
    </w:p>
    <w:p w14:paraId="41E73A4B" w14:textId="45D5C902" w:rsidR="007A6564" w:rsidRPr="00883ED4" w:rsidRDefault="00883ED4" w:rsidP="00C21F2D">
      <w:pPr>
        <w:pStyle w:val="Heading1"/>
        <w:tabs>
          <w:tab w:val="clear" w:pos="0"/>
          <w:tab w:val="clear" w:pos="1985"/>
        </w:tabs>
        <w:rPr>
          <w:lang w:val="es-ES"/>
        </w:rPr>
      </w:pPr>
      <w:r w:rsidRPr="00883ED4">
        <w:rPr>
          <w:lang w:val="es-ES"/>
        </w:rPr>
        <w:t xml:space="preserve">La Secretaría del Fondo recomienda además la aprobación general del tramo quinto y final de la </w:t>
      </w:r>
      <w:r w:rsidR="008C669C" w:rsidRPr="00883ED4">
        <w:rPr>
          <w:lang w:val="es-ES"/>
        </w:rPr>
        <w:t>etapa</w:t>
      </w:r>
      <w:r w:rsidR="00D27153" w:rsidRPr="00883ED4">
        <w:rPr>
          <w:lang w:val="es-ES"/>
        </w:rPr>
        <w:t xml:space="preserve"> I </w:t>
      </w:r>
      <w:r w:rsidR="00135B60" w:rsidRPr="00883ED4">
        <w:rPr>
          <w:lang w:val="es-ES"/>
        </w:rPr>
        <w:t>del plan de gestión de eliminación de los HCFC</w:t>
      </w:r>
      <w:r w:rsidR="00D27153" w:rsidRPr="00883ED4">
        <w:rPr>
          <w:lang w:val="es-ES"/>
        </w:rPr>
        <w:t xml:space="preserve"> </w:t>
      </w:r>
      <w:r w:rsidRPr="00883ED4">
        <w:rPr>
          <w:lang w:val="es-ES"/>
        </w:rPr>
        <w:t>para</w:t>
      </w:r>
      <w:r w:rsidR="00D27153" w:rsidRPr="00883ED4">
        <w:rPr>
          <w:lang w:val="es-ES"/>
        </w:rPr>
        <w:t xml:space="preserve"> Montenegro, </w:t>
      </w:r>
      <w:r w:rsidRPr="00883ED4">
        <w:rPr>
          <w:lang w:val="es-ES"/>
        </w:rPr>
        <w:t xml:space="preserve">y el correspondiente plan de ejecución del tramo para </w:t>
      </w:r>
      <w:r w:rsidR="00D27153" w:rsidRPr="00883ED4">
        <w:rPr>
          <w:lang w:val="es-ES"/>
        </w:rPr>
        <w:t xml:space="preserve">2020-2021, </w:t>
      </w:r>
      <w:r w:rsidRPr="00883ED4">
        <w:rPr>
          <w:lang w:val="es-ES"/>
        </w:rPr>
        <w:t>al nivel de financiación indicado en el cuadro que figura a continuaci</w:t>
      </w:r>
      <w:r>
        <w:rPr>
          <w:lang w:val="es-ES"/>
        </w:rPr>
        <w:t>ón</w:t>
      </w:r>
      <w:r w:rsidR="00057990" w:rsidRPr="00883ED4">
        <w:rPr>
          <w:lang w:val="es-ES"/>
        </w:rPr>
        <w:t>,</w:t>
      </w:r>
      <w:r w:rsidR="00366DBE" w:rsidRPr="00883ED4">
        <w:rPr>
          <w:lang w:val="es-ES"/>
        </w:rPr>
        <w:t xml:space="preserve"> </w:t>
      </w:r>
      <w:r>
        <w:rPr>
          <w:lang w:val="es-ES"/>
        </w:rPr>
        <w:t>en el entendimiento de que si Montenegro decidiera dar curso a la reconversión y a la prestación de servicios relacionados con refrigerantes inflamables y tóxicos en el equipo de refrigeración y aire acondicionado diseñado originalmente para sustancias no inflamables</w:t>
      </w:r>
      <w:r w:rsidR="00366DBE" w:rsidRPr="00883ED4">
        <w:rPr>
          <w:lang w:val="es-ES"/>
        </w:rPr>
        <w:t xml:space="preserve">, </w:t>
      </w:r>
      <w:r>
        <w:rPr>
          <w:lang w:val="es-ES"/>
        </w:rPr>
        <w:t>lo haría asumiendo todas las responsabilidades y riesgos implícitos y solo de conformidad con las normas y protocolos pertinentes</w:t>
      </w:r>
      <w:r w:rsidR="00D27153" w:rsidRPr="00883ED4">
        <w:rPr>
          <w:lang w:val="es-ES"/>
        </w:rPr>
        <w:t>:</w:t>
      </w:r>
      <w:r w:rsidR="007A6564" w:rsidRPr="00883ED4">
        <w:rPr>
          <w:lang w:val="es-ES"/>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7A6564" w:rsidRPr="00DB24E5" w14:paraId="227C666F" w14:textId="77777777" w:rsidTr="00E9738B">
        <w:tc>
          <w:tcPr>
            <w:tcW w:w="540" w:type="dxa"/>
          </w:tcPr>
          <w:p w14:paraId="5EB4276F" w14:textId="77777777" w:rsidR="007A6564" w:rsidRPr="00883ED4" w:rsidRDefault="007A6564" w:rsidP="00E9738B">
            <w:pPr>
              <w:jc w:val="center"/>
              <w:rPr>
                <w:b/>
                <w:bCs/>
                <w:sz w:val="20"/>
                <w:szCs w:val="20"/>
                <w:lang w:val="es-ES"/>
              </w:rPr>
            </w:pPr>
          </w:p>
        </w:tc>
        <w:tc>
          <w:tcPr>
            <w:tcW w:w="4320" w:type="dxa"/>
          </w:tcPr>
          <w:p w14:paraId="4059C582" w14:textId="1C1B8B1C" w:rsidR="007A6564" w:rsidRPr="00DB24E5" w:rsidRDefault="00DF532D" w:rsidP="00DF532D">
            <w:pPr>
              <w:jc w:val="center"/>
              <w:rPr>
                <w:b/>
                <w:bCs/>
                <w:sz w:val="20"/>
                <w:szCs w:val="20"/>
                <w:lang w:val="es-ES"/>
              </w:rPr>
            </w:pPr>
            <w:r>
              <w:rPr>
                <w:b/>
                <w:bCs/>
                <w:sz w:val="20"/>
                <w:szCs w:val="20"/>
                <w:lang w:val="es-ES"/>
              </w:rPr>
              <w:t>Título del proyecto</w:t>
            </w:r>
          </w:p>
        </w:tc>
        <w:tc>
          <w:tcPr>
            <w:tcW w:w="1461" w:type="dxa"/>
            <w:tcMar>
              <w:left w:w="29" w:type="dxa"/>
              <w:right w:w="29" w:type="dxa"/>
            </w:tcMar>
          </w:tcPr>
          <w:p w14:paraId="4EFAF38D" w14:textId="265F2B96" w:rsidR="007A6564" w:rsidRPr="00DB24E5" w:rsidRDefault="00DF532D" w:rsidP="00E9738B">
            <w:pPr>
              <w:jc w:val="center"/>
              <w:rPr>
                <w:b/>
                <w:bCs/>
                <w:sz w:val="20"/>
                <w:szCs w:val="20"/>
                <w:lang w:val="es-ES"/>
              </w:rPr>
            </w:pPr>
            <w:r>
              <w:rPr>
                <w:b/>
                <w:bCs/>
                <w:sz w:val="20"/>
                <w:szCs w:val="20"/>
                <w:lang w:val="es-ES"/>
              </w:rPr>
              <w:t>Financiación del proyecto</w:t>
            </w:r>
            <w:r>
              <w:rPr>
                <w:b/>
                <w:bCs/>
                <w:sz w:val="20"/>
                <w:szCs w:val="20"/>
                <w:lang w:val="es-ES"/>
              </w:rPr>
              <w:br/>
            </w:r>
            <w:r w:rsidR="007A6564" w:rsidRPr="00DB24E5">
              <w:rPr>
                <w:b/>
                <w:bCs/>
                <w:sz w:val="20"/>
                <w:szCs w:val="20"/>
                <w:lang w:val="es-ES"/>
              </w:rPr>
              <w:t xml:space="preserve"> (</w:t>
            </w:r>
            <w:r w:rsidR="008C669C" w:rsidRPr="00DB24E5">
              <w:rPr>
                <w:b/>
                <w:bCs/>
                <w:sz w:val="20"/>
                <w:szCs w:val="20"/>
                <w:lang w:val="es-ES"/>
              </w:rPr>
              <w:t>$ EUA</w:t>
            </w:r>
            <w:r w:rsidR="007A6564" w:rsidRPr="00DB24E5">
              <w:rPr>
                <w:b/>
                <w:bCs/>
                <w:sz w:val="20"/>
                <w:szCs w:val="20"/>
                <w:lang w:val="es-ES"/>
              </w:rPr>
              <w:t>)</w:t>
            </w:r>
          </w:p>
        </w:tc>
        <w:tc>
          <w:tcPr>
            <w:tcW w:w="1461" w:type="dxa"/>
            <w:tcMar>
              <w:left w:w="29" w:type="dxa"/>
              <w:right w:w="29" w:type="dxa"/>
            </w:tcMar>
          </w:tcPr>
          <w:p w14:paraId="0C5E5493" w14:textId="3F7D525B" w:rsidR="007A6564" w:rsidRPr="00DB24E5" w:rsidRDefault="00DF532D" w:rsidP="00E9738B">
            <w:pPr>
              <w:jc w:val="center"/>
              <w:rPr>
                <w:b/>
                <w:bCs/>
                <w:sz w:val="20"/>
                <w:szCs w:val="20"/>
                <w:lang w:val="es-ES"/>
              </w:rPr>
            </w:pPr>
            <w:r>
              <w:rPr>
                <w:b/>
                <w:bCs/>
                <w:sz w:val="20"/>
                <w:szCs w:val="20"/>
                <w:lang w:val="es-ES"/>
              </w:rPr>
              <w:t>Gastos de apoyo</w:t>
            </w:r>
            <w:r w:rsidR="007A6564" w:rsidRPr="00DB24E5">
              <w:rPr>
                <w:b/>
                <w:bCs/>
                <w:sz w:val="20"/>
                <w:szCs w:val="20"/>
                <w:lang w:val="es-ES"/>
              </w:rPr>
              <w:t xml:space="preserve"> (</w:t>
            </w:r>
            <w:r w:rsidR="008C669C" w:rsidRPr="00DB24E5">
              <w:rPr>
                <w:b/>
                <w:bCs/>
                <w:sz w:val="20"/>
                <w:szCs w:val="20"/>
                <w:lang w:val="es-ES"/>
              </w:rPr>
              <w:t>$ EUA</w:t>
            </w:r>
            <w:r w:rsidR="007A6564" w:rsidRPr="00DB24E5">
              <w:rPr>
                <w:b/>
                <w:bCs/>
                <w:sz w:val="20"/>
                <w:szCs w:val="20"/>
                <w:lang w:val="es-ES"/>
              </w:rPr>
              <w:t>)</w:t>
            </w:r>
          </w:p>
        </w:tc>
        <w:tc>
          <w:tcPr>
            <w:tcW w:w="1461" w:type="dxa"/>
            <w:tcMar>
              <w:left w:w="29" w:type="dxa"/>
              <w:right w:w="29" w:type="dxa"/>
            </w:tcMar>
          </w:tcPr>
          <w:p w14:paraId="19DF318B" w14:textId="6BEA4A27" w:rsidR="007A6564" w:rsidRPr="00DB24E5" w:rsidRDefault="00DF532D" w:rsidP="00E9738B">
            <w:pPr>
              <w:jc w:val="center"/>
              <w:rPr>
                <w:b/>
                <w:bCs/>
                <w:sz w:val="20"/>
                <w:szCs w:val="20"/>
                <w:lang w:val="es-ES"/>
              </w:rPr>
            </w:pPr>
            <w:r>
              <w:rPr>
                <w:b/>
                <w:bCs/>
                <w:sz w:val="20"/>
                <w:szCs w:val="20"/>
                <w:lang w:val="es-ES"/>
              </w:rPr>
              <w:t>Organismo de ejecución</w:t>
            </w:r>
          </w:p>
        </w:tc>
      </w:tr>
      <w:tr w:rsidR="007A6564" w:rsidRPr="00DB24E5" w14:paraId="2641888D" w14:textId="77777777" w:rsidTr="00E9738B">
        <w:tc>
          <w:tcPr>
            <w:tcW w:w="540" w:type="dxa"/>
          </w:tcPr>
          <w:p w14:paraId="19726800" w14:textId="22BD755D" w:rsidR="007A6564" w:rsidRPr="00DB24E5" w:rsidRDefault="007A6564" w:rsidP="00E9738B">
            <w:pPr>
              <w:rPr>
                <w:sz w:val="20"/>
                <w:szCs w:val="20"/>
                <w:lang w:val="es-ES"/>
              </w:rPr>
            </w:pPr>
            <w:r w:rsidRPr="00DB24E5">
              <w:rPr>
                <w:sz w:val="20"/>
                <w:szCs w:val="20"/>
                <w:lang w:val="es-ES"/>
              </w:rPr>
              <w:t>a)</w:t>
            </w:r>
          </w:p>
        </w:tc>
        <w:tc>
          <w:tcPr>
            <w:tcW w:w="4320" w:type="dxa"/>
          </w:tcPr>
          <w:p w14:paraId="550C79E7" w14:textId="04F29965" w:rsidR="007A6564" w:rsidRPr="00DF532D" w:rsidRDefault="00DF532D" w:rsidP="00DF532D">
            <w:pPr>
              <w:rPr>
                <w:sz w:val="20"/>
                <w:szCs w:val="20"/>
                <w:lang w:val="es-ES"/>
              </w:rPr>
            </w:pPr>
            <w:r>
              <w:rPr>
                <w:sz w:val="20"/>
                <w:szCs w:val="20"/>
                <w:lang w:val="es-ES"/>
              </w:rPr>
              <w:t>Plan de ges</w:t>
            </w:r>
            <w:r w:rsidRPr="00DF532D">
              <w:rPr>
                <w:sz w:val="20"/>
                <w:szCs w:val="20"/>
                <w:lang w:val="es-ES"/>
              </w:rPr>
              <w:t xml:space="preserve">tión de eliminación de los </w:t>
            </w:r>
            <w:r w:rsidR="007A6564" w:rsidRPr="00DF532D">
              <w:rPr>
                <w:sz w:val="20"/>
                <w:szCs w:val="20"/>
                <w:lang w:val="es-ES"/>
              </w:rPr>
              <w:t>HCFC (</w:t>
            </w:r>
            <w:r w:rsidR="008C669C" w:rsidRPr="00DF532D">
              <w:rPr>
                <w:sz w:val="20"/>
                <w:szCs w:val="20"/>
                <w:lang w:val="es-ES"/>
              </w:rPr>
              <w:t>etapa</w:t>
            </w:r>
            <w:r w:rsidR="007A6564" w:rsidRPr="00DF532D">
              <w:rPr>
                <w:sz w:val="20"/>
                <w:szCs w:val="20"/>
                <w:lang w:val="es-ES"/>
              </w:rPr>
              <w:t xml:space="preserve"> I, </w:t>
            </w:r>
            <w:r>
              <w:rPr>
                <w:sz w:val="20"/>
                <w:szCs w:val="20"/>
                <w:lang w:val="es-ES"/>
              </w:rPr>
              <w:t>cuarto tramo</w:t>
            </w:r>
            <w:r w:rsidR="007A6564" w:rsidRPr="00DF532D">
              <w:rPr>
                <w:sz w:val="20"/>
                <w:szCs w:val="20"/>
                <w:lang w:val="es-ES"/>
              </w:rPr>
              <w:t>)</w:t>
            </w:r>
          </w:p>
        </w:tc>
        <w:tc>
          <w:tcPr>
            <w:tcW w:w="1461" w:type="dxa"/>
          </w:tcPr>
          <w:p w14:paraId="5AAD6BB5" w14:textId="21FA8498" w:rsidR="007A6564" w:rsidRPr="00DB24E5" w:rsidRDefault="007A6564" w:rsidP="00DF532D">
            <w:pPr>
              <w:jc w:val="right"/>
              <w:rPr>
                <w:sz w:val="20"/>
                <w:szCs w:val="20"/>
                <w:lang w:val="es-ES"/>
              </w:rPr>
            </w:pPr>
            <w:r w:rsidRPr="00DB24E5">
              <w:rPr>
                <w:sz w:val="20"/>
                <w:szCs w:val="20"/>
                <w:lang w:val="es-ES"/>
              </w:rPr>
              <w:t>21</w:t>
            </w:r>
            <w:r w:rsidR="00DF532D">
              <w:rPr>
                <w:sz w:val="20"/>
                <w:szCs w:val="20"/>
                <w:lang w:val="es-ES"/>
              </w:rPr>
              <w:t>.</w:t>
            </w:r>
            <w:r w:rsidRPr="00DB24E5">
              <w:rPr>
                <w:sz w:val="20"/>
                <w:szCs w:val="20"/>
                <w:lang w:val="es-ES"/>
              </w:rPr>
              <w:t>000</w:t>
            </w:r>
          </w:p>
        </w:tc>
        <w:tc>
          <w:tcPr>
            <w:tcW w:w="1461" w:type="dxa"/>
          </w:tcPr>
          <w:p w14:paraId="4A09E1F5" w14:textId="26C79E31" w:rsidR="007A6564" w:rsidRPr="00DB24E5" w:rsidRDefault="007A6564" w:rsidP="00DF532D">
            <w:pPr>
              <w:jc w:val="right"/>
              <w:rPr>
                <w:lang w:val="es-ES"/>
              </w:rPr>
            </w:pPr>
            <w:r w:rsidRPr="00DB24E5">
              <w:rPr>
                <w:sz w:val="20"/>
                <w:szCs w:val="20"/>
                <w:lang w:val="es-ES"/>
              </w:rPr>
              <w:t>1</w:t>
            </w:r>
            <w:r w:rsidR="00DF532D">
              <w:rPr>
                <w:sz w:val="20"/>
                <w:szCs w:val="20"/>
                <w:lang w:val="es-ES"/>
              </w:rPr>
              <w:t>.</w:t>
            </w:r>
            <w:r w:rsidRPr="00DB24E5">
              <w:rPr>
                <w:sz w:val="20"/>
                <w:szCs w:val="20"/>
                <w:lang w:val="es-ES"/>
              </w:rPr>
              <w:t>575</w:t>
            </w:r>
          </w:p>
        </w:tc>
        <w:tc>
          <w:tcPr>
            <w:tcW w:w="1461" w:type="dxa"/>
          </w:tcPr>
          <w:p w14:paraId="782E60B9" w14:textId="0922D1D4" w:rsidR="007A6564" w:rsidRPr="00DB24E5" w:rsidRDefault="0088461E" w:rsidP="00E9738B">
            <w:pPr>
              <w:jc w:val="center"/>
              <w:rPr>
                <w:sz w:val="20"/>
                <w:szCs w:val="20"/>
                <w:lang w:val="es-ES"/>
              </w:rPr>
            </w:pPr>
            <w:r w:rsidRPr="00DB24E5">
              <w:rPr>
                <w:sz w:val="20"/>
                <w:szCs w:val="20"/>
                <w:lang w:val="es-ES"/>
              </w:rPr>
              <w:t>ONUDI</w:t>
            </w:r>
          </w:p>
        </w:tc>
      </w:tr>
    </w:tbl>
    <w:p w14:paraId="3B206011" w14:textId="77777777" w:rsidR="007A6564" w:rsidRPr="00DB24E5" w:rsidRDefault="007A6564" w:rsidP="007A6564">
      <w:pPr>
        <w:spacing w:after="80"/>
        <w:jc w:val="center"/>
        <w:rPr>
          <w:b/>
          <w:sz w:val="24"/>
          <w:lang w:val="es-ES"/>
        </w:rPr>
      </w:pPr>
    </w:p>
    <w:p w14:paraId="295498D0" w14:textId="6B6C263E" w:rsidR="007A6564" w:rsidRPr="00DB24E5" w:rsidRDefault="003A56DA" w:rsidP="00BB6FE1">
      <w:pPr>
        <w:jc w:val="center"/>
        <w:rPr>
          <w:b/>
          <w:lang w:val="es-ES"/>
        </w:rPr>
      </w:pPr>
      <w:r w:rsidRPr="00DB24E5">
        <w:rPr>
          <w:b/>
          <w:lang w:val="es-ES"/>
        </w:rPr>
        <w:lastRenderedPageBreak/>
        <w:t>HOJA DE EVALUACIÓN DE PROYECTOS</w:t>
      </w:r>
      <w:r w:rsidR="007A6564" w:rsidRPr="00DB24E5">
        <w:rPr>
          <w:b/>
          <w:lang w:val="es-ES"/>
        </w:rPr>
        <w:t xml:space="preserve"> – </w:t>
      </w:r>
      <w:r w:rsidRPr="00DB24E5">
        <w:rPr>
          <w:b/>
          <w:lang w:val="es-ES"/>
        </w:rPr>
        <w:t>PROYECTOS PLURIANUALES</w:t>
      </w:r>
    </w:p>
    <w:p w14:paraId="02151AFE" w14:textId="77777777" w:rsidR="00BB6FE1" w:rsidRPr="00DB24E5" w:rsidRDefault="00BB6FE1" w:rsidP="00BB6FE1">
      <w:pPr>
        <w:jc w:val="center"/>
        <w:rPr>
          <w:b/>
          <w:lang w:val="es-ES"/>
        </w:rPr>
      </w:pPr>
    </w:p>
    <w:p w14:paraId="2D7722CE" w14:textId="77777777" w:rsidR="007A6564" w:rsidRPr="00DB24E5" w:rsidRDefault="007A6564" w:rsidP="00BB6FE1">
      <w:pPr>
        <w:jc w:val="center"/>
        <w:rPr>
          <w:b/>
          <w:lang w:val="es-ES"/>
        </w:rPr>
      </w:pPr>
      <w:r w:rsidRPr="00DB24E5">
        <w:rPr>
          <w:b/>
          <w:lang w:val="es-ES"/>
        </w:rPr>
        <w:t>Montenegro</w:t>
      </w:r>
    </w:p>
    <w:p w14:paraId="4E7EF800" w14:textId="77777777" w:rsidR="007A6564" w:rsidRPr="00DB24E5" w:rsidRDefault="007A6564" w:rsidP="007A6564">
      <w:pPr>
        <w:spacing w:after="80"/>
        <w:jc w:val="center"/>
        <w:rPr>
          <w:lang w:val="es-ES"/>
        </w:rPr>
      </w:pPr>
    </w:p>
    <w:tbl>
      <w:tblPr>
        <w:tblStyle w:val="TableGrid"/>
        <w:tblW w:w="1113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488"/>
        <w:gridCol w:w="6647"/>
      </w:tblGrid>
      <w:tr w:rsidR="007A6564" w:rsidRPr="00DB24E5" w14:paraId="0FB738DF" w14:textId="77777777" w:rsidTr="00946EBD">
        <w:trPr>
          <w:trHeight w:val="240"/>
          <w:jc w:val="center"/>
        </w:trPr>
        <w:tc>
          <w:tcPr>
            <w:tcW w:w="4488" w:type="dxa"/>
            <w:shd w:val="clear" w:color="auto" w:fill="auto"/>
          </w:tcPr>
          <w:p w14:paraId="77FCF68E" w14:textId="4ACB02B2" w:rsidR="00946EBD" w:rsidRPr="00DB24E5" w:rsidRDefault="007A6564" w:rsidP="00946EBD">
            <w:pPr>
              <w:spacing w:after="80"/>
              <w:jc w:val="left"/>
              <w:rPr>
                <w:b/>
                <w:sz w:val="18"/>
                <w:lang w:val="es-ES"/>
              </w:rPr>
            </w:pPr>
            <w:r w:rsidRPr="00DB24E5">
              <w:rPr>
                <w:b/>
                <w:sz w:val="18"/>
                <w:lang w:val="es-ES"/>
              </w:rPr>
              <w:t xml:space="preserve">I) </w:t>
            </w:r>
            <w:r w:rsidR="00946EBD">
              <w:rPr>
                <w:b/>
                <w:sz w:val="18"/>
                <w:lang w:val="es-ES"/>
              </w:rPr>
              <w:t>TÍTULO DEL PROYECTO</w:t>
            </w:r>
          </w:p>
        </w:tc>
        <w:tc>
          <w:tcPr>
            <w:tcW w:w="6647" w:type="dxa"/>
            <w:shd w:val="clear" w:color="auto" w:fill="auto"/>
          </w:tcPr>
          <w:p w14:paraId="3E8BAEA1" w14:textId="6D7F112A" w:rsidR="007A6564" w:rsidRPr="00DB24E5" w:rsidRDefault="00946EBD" w:rsidP="00E9738B">
            <w:pPr>
              <w:spacing w:after="80"/>
              <w:jc w:val="center"/>
              <w:rPr>
                <w:b/>
                <w:sz w:val="18"/>
                <w:lang w:val="es-ES"/>
              </w:rPr>
            </w:pPr>
            <w:r>
              <w:rPr>
                <w:b/>
                <w:sz w:val="18"/>
                <w:lang w:val="es-ES"/>
              </w:rPr>
              <w:t>ORGANISMO</w:t>
            </w:r>
          </w:p>
        </w:tc>
      </w:tr>
      <w:tr w:rsidR="007A6564" w:rsidRPr="00DB24E5" w14:paraId="7FBA845B" w14:textId="77777777" w:rsidTr="00946EBD">
        <w:trPr>
          <w:trHeight w:val="240"/>
          <w:jc w:val="center"/>
        </w:trPr>
        <w:tc>
          <w:tcPr>
            <w:tcW w:w="4488" w:type="dxa"/>
            <w:shd w:val="clear" w:color="auto" w:fill="auto"/>
          </w:tcPr>
          <w:p w14:paraId="030D8973" w14:textId="77A0ACD2" w:rsidR="007A6564" w:rsidRPr="00946EBD" w:rsidRDefault="00946EBD" w:rsidP="00946EBD">
            <w:pPr>
              <w:spacing w:after="80"/>
              <w:jc w:val="center"/>
              <w:rPr>
                <w:sz w:val="18"/>
                <w:lang w:val="es-ES"/>
              </w:rPr>
            </w:pPr>
            <w:r w:rsidRPr="00946EBD">
              <w:rPr>
                <w:sz w:val="18"/>
                <w:lang w:val="es-ES"/>
              </w:rPr>
              <w:t xml:space="preserve">Plan de eliminación de los </w:t>
            </w:r>
            <w:r w:rsidR="007A6564" w:rsidRPr="00946EBD">
              <w:rPr>
                <w:sz w:val="18"/>
                <w:lang w:val="es-ES"/>
              </w:rPr>
              <w:t>HCFC (</w:t>
            </w:r>
            <w:r w:rsidR="008C669C" w:rsidRPr="00946EBD">
              <w:rPr>
                <w:sz w:val="18"/>
                <w:lang w:val="es-ES"/>
              </w:rPr>
              <w:t>etapa</w:t>
            </w:r>
            <w:r w:rsidR="00306EAB" w:rsidRPr="00946EBD">
              <w:rPr>
                <w:sz w:val="18"/>
                <w:lang w:val="es-ES"/>
              </w:rPr>
              <w:t> </w:t>
            </w:r>
            <w:r w:rsidR="007A6564" w:rsidRPr="00946EBD">
              <w:rPr>
                <w:sz w:val="18"/>
                <w:lang w:val="es-ES"/>
              </w:rPr>
              <w:t>II)</w:t>
            </w:r>
          </w:p>
        </w:tc>
        <w:tc>
          <w:tcPr>
            <w:tcW w:w="6647" w:type="dxa"/>
            <w:shd w:val="clear" w:color="auto" w:fill="auto"/>
          </w:tcPr>
          <w:p w14:paraId="395EAA5D" w14:textId="07BC24FE" w:rsidR="007A6564" w:rsidRPr="00DB24E5" w:rsidRDefault="0088461E" w:rsidP="00E9738B">
            <w:pPr>
              <w:spacing w:after="80"/>
              <w:jc w:val="center"/>
              <w:rPr>
                <w:sz w:val="18"/>
                <w:lang w:val="es-ES"/>
              </w:rPr>
            </w:pPr>
            <w:r w:rsidRPr="00DB24E5">
              <w:rPr>
                <w:sz w:val="18"/>
                <w:lang w:val="es-ES"/>
              </w:rPr>
              <w:t>ONUDI</w:t>
            </w:r>
            <w:r w:rsidR="00946EBD">
              <w:rPr>
                <w:sz w:val="18"/>
                <w:lang w:val="es-ES"/>
              </w:rPr>
              <w:t xml:space="preserve"> (principal</w:t>
            </w:r>
            <w:r w:rsidR="007A6564" w:rsidRPr="00DB24E5">
              <w:rPr>
                <w:sz w:val="18"/>
                <w:lang w:val="es-ES"/>
              </w:rPr>
              <w:t>)</w:t>
            </w:r>
          </w:p>
        </w:tc>
      </w:tr>
    </w:tbl>
    <w:p w14:paraId="31748E58" w14:textId="77777777" w:rsidR="007A6564" w:rsidRPr="00DB24E5" w:rsidRDefault="007A6564" w:rsidP="007A6564">
      <w:pPr>
        <w:spacing w:after="80"/>
        <w:jc w:val="center"/>
        <w:rPr>
          <w:lang w:val="es-ES"/>
        </w:rPr>
      </w:pPr>
    </w:p>
    <w:tbl>
      <w:tblPr>
        <w:tblStyle w:val="TableGrid"/>
        <w:tblW w:w="1106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105"/>
        <w:gridCol w:w="2400"/>
        <w:gridCol w:w="2560"/>
      </w:tblGrid>
      <w:tr w:rsidR="007A6564" w:rsidRPr="00DB24E5" w14:paraId="267BA47D" w14:textId="77777777" w:rsidTr="00E9738B">
        <w:trPr>
          <w:trHeight w:val="240"/>
          <w:jc w:val="center"/>
        </w:trPr>
        <w:tc>
          <w:tcPr>
            <w:tcW w:w="6105" w:type="dxa"/>
            <w:tcBorders>
              <w:top w:val="single" w:sz="4" w:space="0" w:color="666699"/>
              <w:left w:val="single" w:sz="4" w:space="0" w:color="666699"/>
              <w:bottom w:val="single" w:sz="4" w:space="0" w:color="666699"/>
              <w:right w:val="single" w:sz="4" w:space="0" w:color="666699"/>
            </w:tcBorders>
            <w:hideMark/>
          </w:tcPr>
          <w:p w14:paraId="5F85A666" w14:textId="3B5FEB50" w:rsidR="007A6564" w:rsidRPr="00946EBD" w:rsidRDefault="007A6564" w:rsidP="00946EBD">
            <w:pPr>
              <w:spacing w:after="60"/>
              <w:jc w:val="left"/>
              <w:rPr>
                <w:b/>
                <w:sz w:val="18"/>
                <w:lang w:val="es-ES"/>
              </w:rPr>
            </w:pPr>
            <w:r w:rsidRPr="00946EBD">
              <w:rPr>
                <w:b/>
                <w:sz w:val="18"/>
                <w:lang w:val="es-ES"/>
              </w:rPr>
              <w:t xml:space="preserve">II) </w:t>
            </w:r>
            <w:r w:rsidR="00946EBD" w:rsidRPr="00946EBD">
              <w:rPr>
                <w:b/>
                <w:sz w:val="18"/>
                <w:lang w:val="es-ES"/>
              </w:rPr>
              <w:t>DATOS MÁS RECIENTES NOTIFICADOS CON ARREGLO AL ART</w:t>
            </w:r>
            <w:r w:rsidR="00946EBD">
              <w:rPr>
                <w:b/>
                <w:sz w:val="18"/>
                <w:lang w:val="es-ES"/>
              </w:rPr>
              <w:t>ÍCULO</w:t>
            </w:r>
            <w:r w:rsidRPr="00946EBD">
              <w:rPr>
                <w:b/>
                <w:sz w:val="18"/>
                <w:lang w:val="es-ES"/>
              </w:rPr>
              <w:t xml:space="preserve"> 7 (</w:t>
            </w:r>
            <w:r w:rsidR="00946EBD">
              <w:rPr>
                <w:b/>
                <w:sz w:val="18"/>
                <w:lang w:val="es-ES"/>
              </w:rPr>
              <w:t>grupo I del anexo</w:t>
            </w:r>
            <w:r w:rsidRPr="00946EBD">
              <w:rPr>
                <w:b/>
                <w:sz w:val="18"/>
                <w:lang w:val="es-ES"/>
              </w:rPr>
              <w:t xml:space="preserve"> C)</w:t>
            </w:r>
          </w:p>
        </w:tc>
        <w:tc>
          <w:tcPr>
            <w:tcW w:w="2400" w:type="dxa"/>
            <w:tcBorders>
              <w:top w:val="single" w:sz="4" w:space="0" w:color="666699"/>
              <w:left w:val="single" w:sz="4" w:space="0" w:color="666699"/>
              <w:bottom w:val="single" w:sz="4" w:space="0" w:color="666699"/>
              <w:right w:val="single" w:sz="4" w:space="0" w:color="666699"/>
            </w:tcBorders>
            <w:hideMark/>
          </w:tcPr>
          <w:p w14:paraId="254D8E7E" w14:textId="0F40BFE4" w:rsidR="007A6564" w:rsidRPr="00DB24E5" w:rsidRDefault="00946EBD" w:rsidP="00E9738B">
            <w:pPr>
              <w:spacing w:after="60"/>
              <w:jc w:val="center"/>
              <w:rPr>
                <w:sz w:val="18"/>
                <w:lang w:val="es-ES"/>
              </w:rPr>
            </w:pPr>
            <w:r>
              <w:rPr>
                <w:sz w:val="18"/>
                <w:lang w:val="es-ES"/>
              </w:rPr>
              <w:t>Año</w:t>
            </w:r>
            <w:r w:rsidR="007A6564" w:rsidRPr="00DB24E5">
              <w:rPr>
                <w:sz w:val="18"/>
                <w:lang w:val="es-ES"/>
              </w:rPr>
              <w:t>: 201</w:t>
            </w:r>
            <w:r w:rsidR="00BF68CF" w:rsidRPr="00DB24E5">
              <w:rPr>
                <w:sz w:val="18"/>
                <w:lang w:val="es-ES"/>
              </w:rPr>
              <w:t>9</w:t>
            </w:r>
          </w:p>
        </w:tc>
        <w:tc>
          <w:tcPr>
            <w:tcW w:w="2560" w:type="dxa"/>
            <w:tcBorders>
              <w:top w:val="single" w:sz="4" w:space="0" w:color="666699"/>
              <w:left w:val="single" w:sz="4" w:space="0" w:color="666699"/>
              <w:bottom w:val="single" w:sz="4" w:space="0" w:color="666699"/>
              <w:right w:val="single" w:sz="4" w:space="0" w:color="666699"/>
            </w:tcBorders>
            <w:hideMark/>
          </w:tcPr>
          <w:p w14:paraId="2B603FC8" w14:textId="3706295B" w:rsidR="007A6564" w:rsidRPr="00DB24E5" w:rsidRDefault="007A6564" w:rsidP="00946EBD">
            <w:pPr>
              <w:spacing w:after="60"/>
              <w:jc w:val="right"/>
              <w:rPr>
                <w:sz w:val="18"/>
                <w:lang w:val="es-ES"/>
              </w:rPr>
            </w:pPr>
            <w:r w:rsidRPr="00DB24E5">
              <w:rPr>
                <w:sz w:val="18"/>
                <w:lang w:val="es-ES"/>
              </w:rPr>
              <w:t>0</w:t>
            </w:r>
            <w:r w:rsidR="00946EBD">
              <w:rPr>
                <w:sz w:val="18"/>
                <w:lang w:val="es-ES"/>
              </w:rPr>
              <w:t>,</w:t>
            </w:r>
            <w:r w:rsidR="009D5073" w:rsidRPr="00DB24E5">
              <w:rPr>
                <w:sz w:val="18"/>
                <w:lang w:val="es-ES"/>
              </w:rPr>
              <w:t>05</w:t>
            </w:r>
            <w:r w:rsidRPr="00DB24E5">
              <w:rPr>
                <w:sz w:val="18"/>
                <w:lang w:val="es-ES"/>
              </w:rPr>
              <w:t xml:space="preserve"> (</w:t>
            </w:r>
            <w:r w:rsidR="0001658C" w:rsidRPr="00DB24E5">
              <w:rPr>
                <w:sz w:val="18"/>
                <w:lang w:val="es-ES"/>
              </w:rPr>
              <w:t>toneladas PAO</w:t>
            </w:r>
            <w:r w:rsidRPr="00DB24E5">
              <w:rPr>
                <w:sz w:val="18"/>
                <w:lang w:val="es-ES"/>
              </w:rPr>
              <w:t>)</w:t>
            </w:r>
          </w:p>
        </w:tc>
      </w:tr>
    </w:tbl>
    <w:p w14:paraId="7062182A" w14:textId="77777777" w:rsidR="007A6564" w:rsidRPr="00DB24E5" w:rsidRDefault="007A6564" w:rsidP="007A6564">
      <w:pPr>
        <w:spacing w:after="60"/>
        <w:jc w:val="center"/>
        <w:rPr>
          <w:lang w:val="es-ES"/>
        </w:rPr>
      </w:pPr>
    </w:p>
    <w:tbl>
      <w:tblPr>
        <w:tblStyle w:val="TableGrid"/>
        <w:tblW w:w="1118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379"/>
        <w:gridCol w:w="786"/>
        <w:gridCol w:w="866"/>
        <w:gridCol w:w="1047"/>
        <w:gridCol w:w="1066"/>
        <w:gridCol w:w="1316"/>
        <w:gridCol w:w="1066"/>
        <w:gridCol w:w="957"/>
        <w:gridCol w:w="582"/>
        <w:gridCol w:w="1115"/>
      </w:tblGrid>
      <w:tr w:rsidR="00946EBD" w:rsidRPr="00DB24E5" w14:paraId="48205B6F" w14:textId="77777777" w:rsidTr="00E9738B">
        <w:trPr>
          <w:trHeight w:val="240"/>
          <w:jc w:val="center"/>
        </w:trPr>
        <w:tc>
          <w:tcPr>
            <w:tcW w:w="8790" w:type="dxa"/>
            <w:gridSpan w:val="8"/>
            <w:tcBorders>
              <w:top w:val="single" w:sz="4" w:space="0" w:color="666699"/>
              <w:left w:val="single" w:sz="4" w:space="0" w:color="666699"/>
              <w:bottom w:val="single" w:sz="4" w:space="0" w:color="666699"/>
              <w:right w:val="single" w:sz="4" w:space="0" w:color="666699"/>
            </w:tcBorders>
            <w:hideMark/>
          </w:tcPr>
          <w:p w14:paraId="7E45EB68" w14:textId="2CCA75A8" w:rsidR="007A6564" w:rsidRPr="00946EBD" w:rsidRDefault="007A6564" w:rsidP="00946EBD">
            <w:pPr>
              <w:spacing w:after="60"/>
              <w:jc w:val="left"/>
              <w:rPr>
                <w:b/>
                <w:sz w:val="18"/>
                <w:lang w:val="es-ES"/>
              </w:rPr>
            </w:pPr>
            <w:r w:rsidRPr="00946EBD">
              <w:rPr>
                <w:b/>
                <w:sz w:val="18"/>
                <w:lang w:val="es-ES"/>
              </w:rPr>
              <w:t xml:space="preserve">III) </w:t>
            </w:r>
            <w:r w:rsidR="00946EBD" w:rsidRPr="00946EBD">
              <w:rPr>
                <w:b/>
                <w:sz w:val="18"/>
                <w:lang w:val="es-ES"/>
              </w:rPr>
              <w:t xml:space="preserve">DATOS SECTORIALES MÁS RECIENTES </w:t>
            </w:r>
            <w:r w:rsidR="00946EBD">
              <w:rPr>
                <w:b/>
                <w:sz w:val="18"/>
                <w:lang w:val="es-ES"/>
              </w:rPr>
              <w:t>DEL PROGRAMA DE PAÍS</w:t>
            </w:r>
            <w:r w:rsidRPr="00946EBD">
              <w:rPr>
                <w:b/>
                <w:sz w:val="18"/>
                <w:lang w:val="es-ES"/>
              </w:rPr>
              <w:t xml:space="preserve"> (</w:t>
            </w:r>
            <w:r w:rsidR="0001658C" w:rsidRPr="00946EBD">
              <w:rPr>
                <w:b/>
                <w:sz w:val="18"/>
                <w:lang w:val="es-ES"/>
              </w:rPr>
              <w:t>toneladas PAO</w:t>
            </w:r>
            <w:r w:rsidRPr="00946EBD">
              <w:rPr>
                <w:b/>
                <w:sz w:val="18"/>
                <w:lang w:val="es-ES"/>
              </w:rPr>
              <w:t>)</w:t>
            </w:r>
          </w:p>
        </w:tc>
        <w:tc>
          <w:tcPr>
            <w:tcW w:w="0" w:type="auto"/>
            <w:gridSpan w:val="2"/>
            <w:tcBorders>
              <w:top w:val="single" w:sz="4" w:space="0" w:color="666699"/>
              <w:left w:val="single" w:sz="4" w:space="0" w:color="666699"/>
              <w:bottom w:val="single" w:sz="4" w:space="0" w:color="666699"/>
              <w:right w:val="single" w:sz="4" w:space="0" w:color="666699"/>
            </w:tcBorders>
            <w:hideMark/>
          </w:tcPr>
          <w:p w14:paraId="5B64E133" w14:textId="72C864F1" w:rsidR="007A6564" w:rsidRPr="00DB24E5" w:rsidRDefault="00946EBD" w:rsidP="00E9738B">
            <w:pPr>
              <w:spacing w:after="60"/>
              <w:jc w:val="right"/>
              <w:rPr>
                <w:b/>
                <w:sz w:val="18"/>
                <w:lang w:val="es-ES"/>
              </w:rPr>
            </w:pPr>
            <w:r>
              <w:rPr>
                <w:b/>
                <w:sz w:val="18"/>
                <w:lang w:val="es-ES"/>
              </w:rPr>
              <w:t>Año</w:t>
            </w:r>
            <w:r w:rsidR="007A6564" w:rsidRPr="00DB24E5">
              <w:rPr>
                <w:b/>
                <w:sz w:val="18"/>
                <w:lang w:val="es-ES"/>
              </w:rPr>
              <w:t>: 2019</w:t>
            </w:r>
          </w:p>
        </w:tc>
      </w:tr>
      <w:tr w:rsidR="00946EBD" w:rsidRPr="00F048A9" w14:paraId="6FB00F68" w14:textId="77777777" w:rsidTr="00E9738B">
        <w:trPr>
          <w:trHeight w:val="240"/>
          <w:jc w:val="center"/>
        </w:trPr>
        <w:tc>
          <w:tcPr>
            <w:tcW w:w="2380" w:type="dxa"/>
            <w:tcBorders>
              <w:top w:val="single" w:sz="4" w:space="0" w:color="666699"/>
              <w:left w:val="single" w:sz="4" w:space="0" w:color="666699"/>
              <w:bottom w:val="single" w:sz="4" w:space="0" w:color="666699"/>
              <w:right w:val="single" w:sz="4" w:space="0" w:color="666699"/>
            </w:tcBorders>
            <w:hideMark/>
          </w:tcPr>
          <w:p w14:paraId="1C609F79" w14:textId="16DCE4EC" w:rsidR="007A6564" w:rsidRPr="00DB24E5" w:rsidRDefault="00946EBD" w:rsidP="00E9738B">
            <w:pPr>
              <w:spacing w:after="60"/>
              <w:jc w:val="center"/>
              <w:rPr>
                <w:sz w:val="18"/>
                <w:lang w:val="es-ES"/>
              </w:rPr>
            </w:pPr>
            <w:r>
              <w:rPr>
                <w:sz w:val="18"/>
                <w:lang w:val="es-ES"/>
              </w:rPr>
              <w:t>Sustancia química</w:t>
            </w:r>
          </w:p>
        </w:tc>
        <w:tc>
          <w:tcPr>
            <w:tcW w:w="0" w:type="auto"/>
            <w:tcBorders>
              <w:top w:val="single" w:sz="4" w:space="0" w:color="666699"/>
              <w:left w:val="single" w:sz="4" w:space="0" w:color="666699"/>
              <w:bottom w:val="single" w:sz="4" w:space="0" w:color="666699"/>
              <w:right w:val="single" w:sz="4" w:space="0" w:color="666699"/>
            </w:tcBorders>
            <w:hideMark/>
          </w:tcPr>
          <w:p w14:paraId="41D298E2" w14:textId="77777777" w:rsidR="007A6564" w:rsidRPr="00DB24E5" w:rsidRDefault="007A6564" w:rsidP="00E9738B">
            <w:pPr>
              <w:spacing w:after="60"/>
              <w:jc w:val="center"/>
              <w:rPr>
                <w:sz w:val="18"/>
                <w:lang w:val="es-ES"/>
              </w:rPr>
            </w:pPr>
            <w:r w:rsidRPr="00DB24E5">
              <w:rPr>
                <w:sz w:val="18"/>
                <w:lang w:val="es-ES"/>
              </w:rPr>
              <w:t>Aerosol</w:t>
            </w:r>
          </w:p>
        </w:tc>
        <w:tc>
          <w:tcPr>
            <w:tcW w:w="0" w:type="auto"/>
            <w:tcBorders>
              <w:top w:val="single" w:sz="4" w:space="0" w:color="666699"/>
              <w:left w:val="single" w:sz="4" w:space="0" w:color="666699"/>
              <w:bottom w:val="single" w:sz="4" w:space="0" w:color="666699"/>
              <w:right w:val="single" w:sz="4" w:space="0" w:color="666699"/>
            </w:tcBorders>
            <w:hideMark/>
          </w:tcPr>
          <w:p w14:paraId="473FEB38" w14:textId="560FC096" w:rsidR="007A6564" w:rsidRPr="00DB24E5" w:rsidRDefault="00946EBD" w:rsidP="00E9738B">
            <w:pPr>
              <w:spacing w:after="60"/>
              <w:jc w:val="center"/>
              <w:rPr>
                <w:sz w:val="18"/>
                <w:lang w:val="es-ES"/>
              </w:rPr>
            </w:pPr>
            <w:r>
              <w:rPr>
                <w:sz w:val="18"/>
                <w:lang w:val="es-ES"/>
              </w:rPr>
              <w:t>Espumas</w:t>
            </w:r>
          </w:p>
        </w:tc>
        <w:tc>
          <w:tcPr>
            <w:tcW w:w="0" w:type="auto"/>
            <w:tcBorders>
              <w:top w:val="single" w:sz="4" w:space="0" w:color="666699"/>
              <w:left w:val="single" w:sz="4" w:space="0" w:color="666699"/>
              <w:bottom w:val="single" w:sz="4" w:space="0" w:color="666699"/>
              <w:right w:val="single" w:sz="4" w:space="0" w:color="666699"/>
            </w:tcBorders>
            <w:hideMark/>
          </w:tcPr>
          <w:p w14:paraId="7A2FAA5E" w14:textId="2A705C70" w:rsidR="007A6564" w:rsidRPr="00DB24E5" w:rsidRDefault="00946EBD" w:rsidP="00946EBD">
            <w:pPr>
              <w:spacing w:after="60"/>
              <w:jc w:val="center"/>
              <w:rPr>
                <w:sz w:val="18"/>
                <w:lang w:val="es-ES"/>
              </w:rPr>
            </w:pPr>
            <w:r>
              <w:rPr>
                <w:sz w:val="18"/>
                <w:lang w:val="es-ES"/>
              </w:rPr>
              <w:t>Lucha contra incendios</w:t>
            </w:r>
          </w:p>
        </w:tc>
        <w:tc>
          <w:tcPr>
            <w:tcW w:w="0" w:type="auto"/>
            <w:gridSpan w:val="2"/>
            <w:tcBorders>
              <w:top w:val="single" w:sz="4" w:space="0" w:color="666699"/>
              <w:left w:val="single" w:sz="4" w:space="0" w:color="666699"/>
              <w:bottom w:val="single" w:sz="4" w:space="0" w:color="666699"/>
              <w:right w:val="single" w:sz="4" w:space="0" w:color="666699"/>
            </w:tcBorders>
            <w:hideMark/>
          </w:tcPr>
          <w:p w14:paraId="11A7CEFD" w14:textId="259DE4B3" w:rsidR="007A6564" w:rsidRPr="00DB24E5" w:rsidRDefault="007A6564" w:rsidP="00946EBD">
            <w:pPr>
              <w:spacing w:after="60"/>
              <w:jc w:val="center"/>
              <w:rPr>
                <w:sz w:val="18"/>
                <w:lang w:val="es-ES"/>
              </w:rPr>
            </w:pPr>
            <w:r w:rsidRPr="00DB24E5">
              <w:rPr>
                <w:sz w:val="18"/>
                <w:lang w:val="es-ES"/>
              </w:rPr>
              <w:t>Refrigera</w:t>
            </w:r>
            <w:r w:rsidR="00946EBD">
              <w:rPr>
                <w:sz w:val="18"/>
                <w:lang w:val="es-ES"/>
              </w:rPr>
              <w:t>c</w:t>
            </w:r>
            <w:r w:rsidRPr="00DB24E5">
              <w:rPr>
                <w:sz w:val="18"/>
                <w:lang w:val="es-ES"/>
              </w:rPr>
              <w:t>i</w:t>
            </w:r>
            <w:r w:rsidR="00946EBD">
              <w:rPr>
                <w:sz w:val="18"/>
                <w:lang w:val="es-ES"/>
              </w:rPr>
              <w:t>ó</w:t>
            </w:r>
            <w:r w:rsidRPr="00DB24E5">
              <w:rPr>
                <w:sz w:val="18"/>
                <w:lang w:val="es-ES"/>
              </w:rPr>
              <w:t>n</w:t>
            </w:r>
          </w:p>
        </w:tc>
        <w:tc>
          <w:tcPr>
            <w:tcW w:w="0" w:type="auto"/>
            <w:tcBorders>
              <w:top w:val="single" w:sz="4" w:space="0" w:color="666699"/>
              <w:left w:val="single" w:sz="4" w:space="0" w:color="666699"/>
              <w:bottom w:val="single" w:sz="4" w:space="0" w:color="666699"/>
              <w:right w:val="single" w:sz="4" w:space="0" w:color="666699"/>
            </w:tcBorders>
            <w:hideMark/>
          </w:tcPr>
          <w:p w14:paraId="6DBC76AE" w14:textId="2D6D9903" w:rsidR="007A6564" w:rsidRPr="00DB24E5" w:rsidRDefault="00946EBD" w:rsidP="00E9738B">
            <w:pPr>
              <w:spacing w:after="60"/>
              <w:jc w:val="center"/>
              <w:rPr>
                <w:sz w:val="18"/>
                <w:lang w:val="es-ES"/>
              </w:rPr>
            </w:pPr>
            <w:r>
              <w:rPr>
                <w:sz w:val="18"/>
                <w:lang w:val="es-ES"/>
              </w:rPr>
              <w:t>Disolventes</w:t>
            </w:r>
          </w:p>
        </w:tc>
        <w:tc>
          <w:tcPr>
            <w:tcW w:w="0" w:type="auto"/>
            <w:tcBorders>
              <w:top w:val="single" w:sz="4" w:space="0" w:color="666699"/>
              <w:left w:val="single" w:sz="4" w:space="0" w:color="666699"/>
              <w:bottom w:val="single" w:sz="4" w:space="0" w:color="666699"/>
              <w:right w:val="single" w:sz="4" w:space="0" w:color="666699"/>
            </w:tcBorders>
            <w:hideMark/>
          </w:tcPr>
          <w:p w14:paraId="7221E8F2" w14:textId="375DC76D" w:rsidR="007A6564" w:rsidRPr="00DB24E5" w:rsidRDefault="00946EBD" w:rsidP="00946EBD">
            <w:pPr>
              <w:spacing w:after="60"/>
              <w:jc w:val="center"/>
              <w:rPr>
                <w:sz w:val="18"/>
                <w:lang w:val="es-ES"/>
              </w:rPr>
            </w:pPr>
            <w:r>
              <w:rPr>
                <w:sz w:val="18"/>
                <w:lang w:val="es-ES"/>
              </w:rPr>
              <w:t>Agente de procesos</w:t>
            </w:r>
          </w:p>
        </w:tc>
        <w:tc>
          <w:tcPr>
            <w:tcW w:w="0" w:type="auto"/>
            <w:tcBorders>
              <w:top w:val="single" w:sz="4" w:space="0" w:color="666699"/>
              <w:left w:val="single" w:sz="4" w:space="0" w:color="666699"/>
              <w:bottom w:val="single" w:sz="4" w:space="0" w:color="666699"/>
              <w:right w:val="single" w:sz="4" w:space="0" w:color="666699"/>
            </w:tcBorders>
            <w:hideMark/>
          </w:tcPr>
          <w:p w14:paraId="19F26FF2" w14:textId="73ABD57B" w:rsidR="007A6564" w:rsidRPr="00DB24E5" w:rsidRDefault="00946EBD" w:rsidP="00E9738B">
            <w:pPr>
              <w:spacing w:after="60"/>
              <w:jc w:val="center"/>
              <w:rPr>
                <w:sz w:val="18"/>
                <w:lang w:val="es-ES"/>
              </w:rPr>
            </w:pPr>
            <w:r>
              <w:rPr>
                <w:sz w:val="18"/>
                <w:lang w:val="es-ES"/>
              </w:rPr>
              <w:t xml:space="preserve">Uso en </w:t>
            </w:r>
            <w:proofErr w:type="spellStart"/>
            <w:r>
              <w:rPr>
                <w:sz w:val="18"/>
                <w:lang w:val="es-ES"/>
              </w:rPr>
              <w:t>lab</w:t>
            </w:r>
            <w:proofErr w:type="spellEnd"/>
            <w:r>
              <w:rPr>
                <w:sz w:val="18"/>
                <w:lang w:val="es-ES"/>
              </w:rPr>
              <w:t>.</w:t>
            </w:r>
          </w:p>
        </w:tc>
        <w:tc>
          <w:tcPr>
            <w:tcW w:w="0" w:type="auto"/>
            <w:tcBorders>
              <w:top w:val="single" w:sz="4" w:space="0" w:color="666699"/>
              <w:left w:val="single" w:sz="4" w:space="0" w:color="666699"/>
              <w:bottom w:val="single" w:sz="4" w:space="0" w:color="666699"/>
              <w:right w:val="single" w:sz="4" w:space="0" w:color="666699"/>
            </w:tcBorders>
            <w:hideMark/>
          </w:tcPr>
          <w:p w14:paraId="04BD5D47" w14:textId="2702D26B" w:rsidR="007A6564" w:rsidRPr="00DB24E5" w:rsidRDefault="00946EBD" w:rsidP="00946EBD">
            <w:pPr>
              <w:spacing w:after="60"/>
              <w:jc w:val="center"/>
              <w:rPr>
                <w:sz w:val="18"/>
                <w:lang w:val="es-ES"/>
              </w:rPr>
            </w:pPr>
            <w:r>
              <w:rPr>
                <w:sz w:val="18"/>
                <w:lang w:val="es-ES"/>
              </w:rPr>
              <w:t>Consumo total de los sectores</w:t>
            </w:r>
          </w:p>
        </w:tc>
      </w:tr>
      <w:tr w:rsidR="00946EBD" w:rsidRPr="00DB24E5" w14:paraId="706E0322" w14:textId="77777777" w:rsidTr="00E9738B">
        <w:trPr>
          <w:trHeight w:val="240"/>
          <w:jc w:val="center"/>
        </w:trPr>
        <w:tc>
          <w:tcPr>
            <w:tcW w:w="4790" w:type="dxa"/>
            <w:gridSpan w:val="4"/>
            <w:tcBorders>
              <w:top w:val="single" w:sz="4" w:space="0" w:color="666699"/>
              <w:left w:val="single" w:sz="4" w:space="0" w:color="666699"/>
              <w:bottom w:val="single" w:sz="4" w:space="0" w:color="666699"/>
              <w:right w:val="single" w:sz="4" w:space="0" w:color="666699"/>
            </w:tcBorders>
            <w:hideMark/>
          </w:tcPr>
          <w:p w14:paraId="504C05D6" w14:textId="77777777" w:rsidR="007A6564" w:rsidRPr="00DB24E5" w:rsidRDefault="007A6564" w:rsidP="00E9738B">
            <w:pPr>
              <w:spacing w:after="60"/>
              <w:jc w:val="center"/>
              <w:rPr>
                <w:sz w:val="18"/>
                <w:lang w:val="es-ES"/>
              </w:rPr>
            </w:pPr>
            <w:r w:rsidRPr="00DB24E5">
              <w:rPr>
                <w:sz w:val="18"/>
                <w:lang w:val="es-ES"/>
              </w:rPr>
              <w:t xml:space="preserve"> </w:t>
            </w:r>
          </w:p>
        </w:tc>
        <w:tc>
          <w:tcPr>
            <w:tcW w:w="0" w:type="auto"/>
            <w:tcBorders>
              <w:top w:val="single" w:sz="4" w:space="0" w:color="666699"/>
              <w:left w:val="single" w:sz="4" w:space="0" w:color="666699"/>
              <w:bottom w:val="single" w:sz="4" w:space="0" w:color="666699"/>
              <w:right w:val="single" w:sz="4" w:space="0" w:color="666699"/>
            </w:tcBorders>
            <w:hideMark/>
          </w:tcPr>
          <w:p w14:paraId="0F88C2BB" w14:textId="50B5C54F" w:rsidR="007A6564" w:rsidRPr="00DB24E5" w:rsidRDefault="00946EBD" w:rsidP="00E9738B">
            <w:pPr>
              <w:spacing w:after="60"/>
              <w:jc w:val="center"/>
              <w:rPr>
                <w:sz w:val="18"/>
                <w:lang w:val="es-ES"/>
              </w:rPr>
            </w:pPr>
            <w:r>
              <w:rPr>
                <w:sz w:val="18"/>
                <w:lang w:val="es-ES"/>
              </w:rPr>
              <w:t>Fabricación</w:t>
            </w:r>
          </w:p>
        </w:tc>
        <w:tc>
          <w:tcPr>
            <w:tcW w:w="0" w:type="auto"/>
            <w:tcBorders>
              <w:top w:val="single" w:sz="4" w:space="0" w:color="666699"/>
              <w:left w:val="single" w:sz="4" w:space="0" w:color="666699"/>
              <w:bottom w:val="single" w:sz="4" w:space="0" w:color="666699"/>
              <w:right w:val="single" w:sz="4" w:space="0" w:color="666699"/>
            </w:tcBorders>
            <w:hideMark/>
          </w:tcPr>
          <w:p w14:paraId="0CA32733" w14:textId="2B78C4C0" w:rsidR="007A6564" w:rsidRPr="00DB24E5" w:rsidRDefault="00946EBD" w:rsidP="00E9738B">
            <w:pPr>
              <w:spacing w:after="60"/>
              <w:jc w:val="center"/>
              <w:rPr>
                <w:sz w:val="18"/>
                <w:lang w:val="es-ES"/>
              </w:rPr>
            </w:pPr>
            <w:r>
              <w:rPr>
                <w:sz w:val="18"/>
                <w:lang w:val="es-ES"/>
              </w:rPr>
              <w:t>Mantenimiento</w:t>
            </w:r>
          </w:p>
        </w:tc>
        <w:tc>
          <w:tcPr>
            <w:tcW w:w="0" w:type="auto"/>
            <w:gridSpan w:val="4"/>
            <w:tcBorders>
              <w:top w:val="single" w:sz="4" w:space="0" w:color="666699"/>
              <w:left w:val="single" w:sz="4" w:space="0" w:color="666699"/>
              <w:bottom w:val="single" w:sz="4" w:space="0" w:color="666699"/>
              <w:right w:val="single" w:sz="4" w:space="0" w:color="666699"/>
            </w:tcBorders>
          </w:tcPr>
          <w:p w14:paraId="6A2389E5" w14:textId="77777777" w:rsidR="007A6564" w:rsidRPr="00DB24E5" w:rsidRDefault="007A6564" w:rsidP="00E9738B">
            <w:pPr>
              <w:spacing w:after="60"/>
              <w:jc w:val="center"/>
              <w:rPr>
                <w:sz w:val="18"/>
                <w:lang w:val="es-ES"/>
              </w:rPr>
            </w:pPr>
          </w:p>
        </w:tc>
      </w:tr>
      <w:tr w:rsidR="00946EBD" w:rsidRPr="00DB24E5" w14:paraId="0D6A1A66" w14:textId="77777777" w:rsidTr="00E9738B">
        <w:trPr>
          <w:trHeight w:val="240"/>
          <w:jc w:val="center"/>
        </w:trPr>
        <w:tc>
          <w:tcPr>
            <w:tcW w:w="2380" w:type="dxa"/>
            <w:tcBorders>
              <w:top w:val="single" w:sz="4" w:space="0" w:color="666699"/>
              <w:left w:val="single" w:sz="4" w:space="0" w:color="666699"/>
              <w:bottom w:val="single" w:sz="4" w:space="0" w:color="666699"/>
              <w:right w:val="single" w:sz="4" w:space="0" w:color="666699"/>
            </w:tcBorders>
            <w:hideMark/>
          </w:tcPr>
          <w:p w14:paraId="477B339A" w14:textId="77777777" w:rsidR="007A6564" w:rsidRPr="00DB24E5" w:rsidRDefault="007A6564" w:rsidP="00E9738B">
            <w:pPr>
              <w:spacing w:after="60"/>
              <w:jc w:val="left"/>
              <w:rPr>
                <w:sz w:val="18"/>
                <w:lang w:val="es-ES"/>
              </w:rPr>
            </w:pPr>
            <w:r w:rsidRPr="00DB24E5">
              <w:rPr>
                <w:sz w:val="18"/>
                <w:lang w:val="es-ES"/>
              </w:rPr>
              <w:t>HCFC-22</w:t>
            </w:r>
          </w:p>
        </w:tc>
        <w:tc>
          <w:tcPr>
            <w:tcW w:w="0" w:type="auto"/>
            <w:tcBorders>
              <w:top w:val="single" w:sz="4" w:space="0" w:color="666699"/>
              <w:left w:val="single" w:sz="4" w:space="0" w:color="666699"/>
              <w:bottom w:val="single" w:sz="4" w:space="0" w:color="666699"/>
              <w:right w:val="single" w:sz="4" w:space="0" w:color="666699"/>
            </w:tcBorders>
          </w:tcPr>
          <w:p w14:paraId="5C776559" w14:textId="77777777" w:rsidR="007A6564" w:rsidRPr="00DB24E5" w:rsidRDefault="007A6564" w:rsidP="00E9738B">
            <w:pPr>
              <w:spacing w:after="60"/>
              <w:jc w:val="right"/>
              <w:rPr>
                <w:sz w:val="18"/>
                <w:lang w:val="es-ES"/>
              </w:rPr>
            </w:pPr>
          </w:p>
        </w:tc>
        <w:tc>
          <w:tcPr>
            <w:tcW w:w="0" w:type="auto"/>
            <w:tcBorders>
              <w:top w:val="single" w:sz="4" w:space="0" w:color="666699"/>
              <w:left w:val="single" w:sz="4" w:space="0" w:color="666699"/>
              <w:bottom w:val="single" w:sz="4" w:space="0" w:color="666699"/>
              <w:right w:val="single" w:sz="4" w:space="0" w:color="666699"/>
            </w:tcBorders>
          </w:tcPr>
          <w:p w14:paraId="6B77EF55" w14:textId="77777777" w:rsidR="007A6564" w:rsidRPr="00DB24E5" w:rsidRDefault="007A6564" w:rsidP="00E9738B">
            <w:pPr>
              <w:spacing w:after="60"/>
              <w:jc w:val="right"/>
              <w:rPr>
                <w:sz w:val="18"/>
                <w:lang w:val="es-ES"/>
              </w:rPr>
            </w:pPr>
          </w:p>
        </w:tc>
        <w:tc>
          <w:tcPr>
            <w:tcW w:w="0" w:type="auto"/>
            <w:tcBorders>
              <w:top w:val="single" w:sz="4" w:space="0" w:color="666699"/>
              <w:left w:val="single" w:sz="4" w:space="0" w:color="666699"/>
              <w:bottom w:val="single" w:sz="4" w:space="0" w:color="666699"/>
              <w:right w:val="single" w:sz="4" w:space="0" w:color="666699"/>
            </w:tcBorders>
          </w:tcPr>
          <w:p w14:paraId="73256E36" w14:textId="77777777" w:rsidR="007A6564" w:rsidRPr="00DB24E5" w:rsidRDefault="007A6564" w:rsidP="00E9738B">
            <w:pPr>
              <w:spacing w:after="60"/>
              <w:jc w:val="right"/>
              <w:rPr>
                <w:sz w:val="18"/>
                <w:lang w:val="es-ES"/>
              </w:rPr>
            </w:pPr>
          </w:p>
        </w:tc>
        <w:tc>
          <w:tcPr>
            <w:tcW w:w="0" w:type="auto"/>
            <w:tcBorders>
              <w:top w:val="single" w:sz="4" w:space="0" w:color="666699"/>
              <w:left w:val="single" w:sz="4" w:space="0" w:color="666699"/>
              <w:bottom w:val="single" w:sz="4" w:space="0" w:color="666699"/>
              <w:right w:val="single" w:sz="4" w:space="0" w:color="666699"/>
            </w:tcBorders>
          </w:tcPr>
          <w:p w14:paraId="7E0201D4" w14:textId="77777777" w:rsidR="007A6564" w:rsidRPr="00DB24E5" w:rsidRDefault="007A6564" w:rsidP="00E9738B">
            <w:pPr>
              <w:spacing w:after="60"/>
              <w:jc w:val="right"/>
              <w:rPr>
                <w:sz w:val="18"/>
                <w:lang w:val="es-ES"/>
              </w:rPr>
            </w:pPr>
          </w:p>
        </w:tc>
        <w:tc>
          <w:tcPr>
            <w:tcW w:w="0" w:type="auto"/>
            <w:tcBorders>
              <w:top w:val="single" w:sz="4" w:space="0" w:color="666699"/>
              <w:left w:val="single" w:sz="4" w:space="0" w:color="666699"/>
              <w:bottom w:val="single" w:sz="4" w:space="0" w:color="666699"/>
              <w:right w:val="single" w:sz="4" w:space="0" w:color="666699"/>
            </w:tcBorders>
            <w:hideMark/>
          </w:tcPr>
          <w:p w14:paraId="2E0D17BB" w14:textId="1EC15E57" w:rsidR="007A6564" w:rsidRPr="00DB24E5" w:rsidRDefault="007A6564" w:rsidP="00946EBD">
            <w:pPr>
              <w:spacing w:after="60"/>
              <w:jc w:val="right"/>
              <w:rPr>
                <w:sz w:val="18"/>
                <w:lang w:val="es-ES"/>
              </w:rPr>
            </w:pPr>
            <w:r w:rsidRPr="00DB24E5">
              <w:rPr>
                <w:sz w:val="18"/>
                <w:lang w:val="es-ES"/>
              </w:rPr>
              <w:t>0</w:t>
            </w:r>
            <w:r w:rsidR="00946EBD">
              <w:rPr>
                <w:sz w:val="18"/>
                <w:lang w:val="es-ES"/>
              </w:rPr>
              <w:t>,</w:t>
            </w:r>
            <w:r w:rsidRPr="00DB24E5">
              <w:rPr>
                <w:sz w:val="18"/>
                <w:lang w:val="es-ES"/>
              </w:rPr>
              <w:t>05</w:t>
            </w:r>
          </w:p>
        </w:tc>
        <w:tc>
          <w:tcPr>
            <w:tcW w:w="0" w:type="auto"/>
            <w:tcBorders>
              <w:top w:val="single" w:sz="4" w:space="0" w:color="666699"/>
              <w:left w:val="single" w:sz="4" w:space="0" w:color="666699"/>
              <w:bottom w:val="single" w:sz="4" w:space="0" w:color="666699"/>
              <w:right w:val="single" w:sz="4" w:space="0" w:color="666699"/>
            </w:tcBorders>
          </w:tcPr>
          <w:p w14:paraId="47542232" w14:textId="77777777" w:rsidR="007A6564" w:rsidRPr="00DB24E5" w:rsidRDefault="007A6564" w:rsidP="00E9738B">
            <w:pPr>
              <w:spacing w:after="60"/>
              <w:jc w:val="right"/>
              <w:rPr>
                <w:sz w:val="18"/>
                <w:lang w:val="es-ES"/>
              </w:rPr>
            </w:pPr>
          </w:p>
        </w:tc>
        <w:tc>
          <w:tcPr>
            <w:tcW w:w="0" w:type="auto"/>
            <w:tcBorders>
              <w:top w:val="single" w:sz="4" w:space="0" w:color="666699"/>
              <w:left w:val="single" w:sz="4" w:space="0" w:color="666699"/>
              <w:bottom w:val="single" w:sz="4" w:space="0" w:color="666699"/>
              <w:right w:val="single" w:sz="4" w:space="0" w:color="666699"/>
            </w:tcBorders>
          </w:tcPr>
          <w:p w14:paraId="01B0BA06" w14:textId="77777777" w:rsidR="007A6564" w:rsidRPr="00DB24E5" w:rsidRDefault="007A6564" w:rsidP="00E9738B">
            <w:pPr>
              <w:spacing w:after="60"/>
              <w:jc w:val="right"/>
              <w:rPr>
                <w:sz w:val="18"/>
                <w:lang w:val="es-ES"/>
              </w:rPr>
            </w:pPr>
          </w:p>
        </w:tc>
        <w:tc>
          <w:tcPr>
            <w:tcW w:w="0" w:type="auto"/>
            <w:tcBorders>
              <w:top w:val="single" w:sz="4" w:space="0" w:color="666699"/>
              <w:left w:val="single" w:sz="4" w:space="0" w:color="666699"/>
              <w:bottom w:val="single" w:sz="4" w:space="0" w:color="666699"/>
              <w:right w:val="single" w:sz="4" w:space="0" w:color="666699"/>
            </w:tcBorders>
          </w:tcPr>
          <w:p w14:paraId="73DD3432" w14:textId="77777777" w:rsidR="007A6564" w:rsidRPr="00DB24E5" w:rsidRDefault="007A6564" w:rsidP="00E9738B">
            <w:pPr>
              <w:spacing w:after="60"/>
              <w:jc w:val="right"/>
              <w:rPr>
                <w:sz w:val="18"/>
                <w:lang w:val="es-ES"/>
              </w:rPr>
            </w:pPr>
          </w:p>
        </w:tc>
        <w:tc>
          <w:tcPr>
            <w:tcW w:w="0" w:type="auto"/>
            <w:tcBorders>
              <w:top w:val="single" w:sz="4" w:space="0" w:color="666699"/>
              <w:left w:val="single" w:sz="4" w:space="0" w:color="666699"/>
              <w:bottom w:val="single" w:sz="4" w:space="0" w:color="666699"/>
              <w:right w:val="single" w:sz="4" w:space="0" w:color="666699"/>
            </w:tcBorders>
            <w:hideMark/>
          </w:tcPr>
          <w:p w14:paraId="08284EF7" w14:textId="106EDC56" w:rsidR="007A6564" w:rsidRPr="00DB24E5" w:rsidRDefault="007A6564" w:rsidP="00946EBD">
            <w:pPr>
              <w:spacing w:after="60"/>
              <w:jc w:val="right"/>
              <w:rPr>
                <w:sz w:val="18"/>
                <w:lang w:val="es-ES"/>
              </w:rPr>
            </w:pPr>
            <w:r w:rsidRPr="00DB24E5">
              <w:rPr>
                <w:sz w:val="18"/>
                <w:lang w:val="es-ES"/>
              </w:rPr>
              <w:t>0</w:t>
            </w:r>
            <w:r w:rsidR="00946EBD">
              <w:rPr>
                <w:sz w:val="18"/>
                <w:lang w:val="es-ES"/>
              </w:rPr>
              <w:t>,</w:t>
            </w:r>
            <w:r w:rsidRPr="00DB24E5">
              <w:rPr>
                <w:sz w:val="18"/>
                <w:lang w:val="es-ES"/>
              </w:rPr>
              <w:t>05</w:t>
            </w:r>
          </w:p>
        </w:tc>
      </w:tr>
    </w:tbl>
    <w:p w14:paraId="3A83652A" w14:textId="77777777" w:rsidR="007A6564" w:rsidRPr="00DB24E5" w:rsidRDefault="007A6564" w:rsidP="007A6564">
      <w:pPr>
        <w:spacing w:after="60"/>
        <w:jc w:val="center"/>
        <w:rPr>
          <w:lang w:val="es-ES"/>
        </w:rPr>
      </w:pPr>
    </w:p>
    <w:tbl>
      <w:tblPr>
        <w:tblStyle w:val="TableGrid"/>
        <w:tblW w:w="11194"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535"/>
        <w:gridCol w:w="531"/>
        <w:gridCol w:w="5221"/>
        <w:gridCol w:w="1907"/>
      </w:tblGrid>
      <w:tr w:rsidR="007A6564" w:rsidRPr="00F3642C" w14:paraId="16B70953" w14:textId="77777777" w:rsidTr="00946EBD">
        <w:trPr>
          <w:trHeight w:val="240"/>
          <w:jc w:val="center"/>
        </w:trPr>
        <w:tc>
          <w:tcPr>
            <w:tcW w:w="11194" w:type="dxa"/>
            <w:gridSpan w:val="4"/>
            <w:tcBorders>
              <w:top w:val="single" w:sz="4" w:space="0" w:color="666699"/>
              <w:left w:val="single" w:sz="4" w:space="0" w:color="666699"/>
              <w:bottom w:val="single" w:sz="4" w:space="0" w:color="666699"/>
              <w:right w:val="single" w:sz="4" w:space="0" w:color="666699"/>
            </w:tcBorders>
            <w:hideMark/>
          </w:tcPr>
          <w:p w14:paraId="5DCCD93E" w14:textId="0B0040F6" w:rsidR="007A6564" w:rsidRPr="00DB24E5" w:rsidRDefault="007A6564" w:rsidP="00946EBD">
            <w:pPr>
              <w:spacing w:after="60"/>
              <w:jc w:val="left"/>
              <w:rPr>
                <w:b/>
                <w:sz w:val="18"/>
                <w:lang w:val="es-ES"/>
              </w:rPr>
            </w:pPr>
            <w:r w:rsidRPr="00DB24E5">
              <w:rPr>
                <w:b/>
                <w:sz w:val="18"/>
                <w:lang w:val="es-ES"/>
              </w:rPr>
              <w:t xml:space="preserve">IV) </w:t>
            </w:r>
            <w:r w:rsidR="00946EBD">
              <w:rPr>
                <w:b/>
                <w:sz w:val="18"/>
                <w:lang w:val="es-ES"/>
              </w:rPr>
              <w:t>DATOS SOBRE EL CONSUMO</w:t>
            </w:r>
            <w:r w:rsidRPr="00DB24E5">
              <w:rPr>
                <w:b/>
                <w:sz w:val="18"/>
                <w:lang w:val="es-ES"/>
              </w:rPr>
              <w:t xml:space="preserve"> (</w:t>
            </w:r>
            <w:r w:rsidR="0001658C" w:rsidRPr="00DB24E5">
              <w:rPr>
                <w:b/>
                <w:sz w:val="18"/>
                <w:lang w:val="es-ES"/>
              </w:rPr>
              <w:t>toneladas PAO</w:t>
            </w:r>
            <w:r w:rsidRPr="00DB24E5">
              <w:rPr>
                <w:b/>
                <w:sz w:val="18"/>
                <w:lang w:val="es-ES"/>
              </w:rPr>
              <w:t>)</w:t>
            </w:r>
          </w:p>
        </w:tc>
      </w:tr>
      <w:tr w:rsidR="007A6564" w:rsidRPr="00DB24E5" w14:paraId="1B2CC72D" w14:textId="77777777" w:rsidTr="00946EBD">
        <w:trPr>
          <w:trHeight w:val="240"/>
          <w:jc w:val="center"/>
        </w:trPr>
        <w:tc>
          <w:tcPr>
            <w:tcW w:w="3535" w:type="dxa"/>
            <w:tcBorders>
              <w:top w:val="single" w:sz="4" w:space="0" w:color="666699"/>
              <w:left w:val="single" w:sz="4" w:space="0" w:color="666699"/>
              <w:bottom w:val="single" w:sz="4" w:space="0" w:color="666699"/>
              <w:right w:val="single" w:sz="4" w:space="0" w:color="666699"/>
            </w:tcBorders>
            <w:hideMark/>
          </w:tcPr>
          <w:p w14:paraId="06ED7AEA" w14:textId="6E91B41D" w:rsidR="007A6564" w:rsidRPr="00DB24E5" w:rsidRDefault="00946EBD" w:rsidP="00946EBD">
            <w:pPr>
              <w:spacing w:after="60"/>
              <w:jc w:val="center"/>
              <w:rPr>
                <w:sz w:val="18"/>
                <w:lang w:val="es-ES"/>
              </w:rPr>
            </w:pPr>
            <w:r>
              <w:rPr>
                <w:sz w:val="18"/>
                <w:lang w:val="es-ES"/>
              </w:rPr>
              <w:t xml:space="preserve"> Nivel de referencia </w:t>
            </w:r>
            <w:r w:rsidR="007A6564" w:rsidRPr="00DB24E5">
              <w:rPr>
                <w:sz w:val="18"/>
                <w:lang w:val="es-ES"/>
              </w:rPr>
              <w:t>2009 - 2010:</w:t>
            </w:r>
          </w:p>
        </w:tc>
        <w:tc>
          <w:tcPr>
            <w:tcW w:w="0" w:type="auto"/>
            <w:tcBorders>
              <w:top w:val="single" w:sz="4" w:space="0" w:color="666699"/>
              <w:left w:val="single" w:sz="4" w:space="0" w:color="666699"/>
              <w:bottom w:val="single" w:sz="4" w:space="0" w:color="666699"/>
              <w:right w:val="single" w:sz="4" w:space="0" w:color="666699"/>
            </w:tcBorders>
            <w:hideMark/>
          </w:tcPr>
          <w:p w14:paraId="5F911A9A" w14:textId="2D94C13D" w:rsidR="007A6564" w:rsidRPr="00DB24E5" w:rsidRDefault="007A6564" w:rsidP="00946EBD">
            <w:pPr>
              <w:spacing w:after="60"/>
              <w:jc w:val="right"/>
              <w:rPr>
                <w:sz w:val="18"/>
                <w:lang w:val="es-ES"/>
              </w:rPr>
            </w:pPr>
            <w:r w:rsidRPr="00DB24E5">
              <w:rPr>
                <w:sz w:val="18"/>
                <w:lang w:val="es-ES"/>
              </w:rPr>
              <w:t>0</w:t>
            </w:r>
            <w:r w:rsidR="00946EBD">
              <w:rPr>
                <w:sz w:val="18"/>
                <w:lang w:val="es-ES"/>
              </w:rPr>
              <w:t>,</w:t>
            </w:r>
            <w:r w:rsidRPr="00DB24E5">
              <w:rPr>
                <w:sz w:val="18"/>
                <w:lang w:val="es-ES"/>
              </w:rPr>
              <w:t>80</w:t>
            </w:r>
          </w:p>
        </w:tc>
        <w:tc>
          <w:tcPr>
            <w:tcW w:w="5221" w:type="dxa"/>
            <w:tcBorders>
              <w:top w:val="single" w:sz="4" w:space="0" w:color="666699"/>
              <w:left w:val="single" w:sz="4" w:space="0" w:color="666699"/>
              <w:bottom w:val="single" w:sz="4" w:space="0" w:color="666699"/>
              <w:right w:val="single" w:sz="4" w:space="0" w:color="666699"/>
            </w:tcBorders>
            <w:hideMark/>
          </w:tcPr>
          <w:p w14:paraId="5CB67D9B" w14:textId="0CBF0AE3" w:rsidR="007A6564" w:rsidRPr="00946EBD" w:rsidRDefault="00946EBD" w:rsidP="00946EBD">
            <w:pPr>
              <w:spacing w:after="60"/>
              <w:jc w:val="center"/>
              <w:rPr>
                <w:sz w:val="18"/>
                <w:lang w:val="es-ES"/>
              </w:rPr>
            </w:pPr>
            <w:r w:rsidRPr="00946EBD">
              <w:rPr>
                <w:sz w:val="18"/>
                <w:lang w:val="es-ES"/>
              </w:rPr>
              <w:t xml:space="preserve">Punto de partida </w:t>
            </w:r>
            <w:r>
              <w:rPr>
                <w:sz w:val="18"/>
                <w:lang w:val="es-ES"/>
              </w:rPr>
              <w:t>par</w:t>
            </w:r>
            <w:r w:rsidRPr="00946EBD">
              <w:rPr>
                <w:sz w:val="18"/>
                <w:lang w:val="es-ES"/>
              </w:rPr>
              <w:t>a</w:t>
            </w:r>
            <w:r>
              <w:rPr>
                <w:sz w:val="18"/>
                <w:lang w:val="es-ES"/>
              </w:rPr>
              <w:t xml:space="preserve"> </w:t>
            </w:r>
            <w:r w:rsidRPr="00946EBD">
              <w:rPr>
                <w:sz w:val="18"/>
                <w:lang w:val="es-ES"/>
              </w:rPr>
              <w:t>las reducciones acumuladas sostenidas</w:t>
            </w:r>
            <w:r w:rsidR="007A6564" w:rsidRPr="00946EBD">
              <w:rPr>
                <w:sz w:val="18"/>
                <w:lang w:val="es-ES"/>
              </w:rPr>
              <w:t>:</w:t>
            </w:r>
          </w:p>
        </w:tc>
        <w:tc>
          <w:tcPr>
            <w:tcW w:w="1907" w:type="dxa"/>
            <w:tcBorders>
              <w:top w:val="single" w:sz="4" w:space="0" w:color="666699"/>
              <w:left w:val="single" w:sz="4" w:space="0" w:color="666699"/>
              <w:bottom w:val="single" w:sz="4" w:space="0" w:color="666699"/>
              <w:right w:val="single" w:sz="4" w:space="0" w:color="666699"/>
            </w:tcBorders>
            <w:hideMark/>
          </w:tcPr>
          <w:p w14:paraId="5FFD8038" w14:textId="415F0023" w:rsidR="007A6564" w:rsidRPr="00DB24E5" w:rsidRDefault="007A6564" w:rsidP="00946EBD">
            <w:pPr>
              <w:spacing w:after="60"/>
              <w:jc w:val="right"/>
              <w:rPr>
                <w:sz w:val="18"/>
                <w:lang w:val="es-ES"/>
              </w:rPr>
            </w:pPr>
            <w:r w:rsidRPr="00DB24E5">
              <w:rPr>
                <w:sz w:val="18"/>
                <w:lang w:val="es-ES"/>
              </w:rPr>
              <w:t>0</w:t>
            </w:r>
            <w:r w:rsidR="00946EBD">
              <w:rPr>
                <w:sz w:val="18"/>
                <w:lang w:val="es-ES"/>
              </w:rPr>
              <w:t>.</w:t>
            </w:r>
            <w:r w:rsidRPr="00DB24E5">
              <w:rPr>
                <w:sz w:val="18"/>
                <w:lang w:val="es-ES"/>
              </w:rPr>
              <w:t>80</w:t>
            </w:r>
          </w:p>
        </w:tc>
      </w:tr>
      <w:tr w:rsidR="007A6564" w:rsidRPr="00F048A9" w14:paraId="357135A8" w14:textId="77777777" w:rsidTr="00946EBD">
        <w:trPr>
          <w:trHeight w:val="240"/>
          <w:jc w:val="center"/>
        </w:trPr>
        <w:tc>
          <w:tcPr>
            <w:tcW w:w="11194" w:type="dxa"/>
            <w:gridSpan w:val="4"/>
            <w:tcBorders>
              <w:top w:val="single" w:sz="4" w:space="0" w:color="666699"/>
              <w:left w:val="single" w:sz="4" w:space="0" w:color="666699"/>
              <w:bottom w:val="single" w:sz="4" w:space="0" w:color="666699"/>
              <w:right w:val="single" w:sz="4" w:space="0" w:color="666699"/>
            </w:tcBorders>
            <w:hideMark/>
          </w:tcPr>
          <w:p w14:paraId="1FE1D33B" w14:textId="4263D39C" w:rsidR="007A6564" w:rsidRPr="00946EBD" w:rsidRDefault="007A6564" w:rsidP="00946EBD">
            <w:pPr>
              <w:spacing w:after="60"/>
              <w:jc w:val="center"/>
              <w:rPr>
                <w:b/>
                <w:sz w:val="18"/>
                <w:lang w:val="es-ES"/>
              </w:rPr>
            </w:pPr>
            <w:r w:rsidRPr="00946EBD">
              <w:rPr>
                <w:b/>
                <w:sz w:val="18"/>
                <w:lang w:val="es-ES"/>
              </w:rPr>
              <w:t>CONSUM</w:t>
            </w:r>
            <w:r w:rsidR="00946EBD" w:rsidRPr="00946EBD">
              <w:rPr>
                <w:b/>
                <w:sz w:val="18"/>
                <w:lang w:val="es-ES"/>
              </w:rPr>
              <w:t>O ADMISIBLE PARA LA FINANCIACI</w:t>
            </w:r>
            <w:r w:rsidR="00946EBD">
              <w:rPr>
                <w:b/>
                <w:sz w:val="18"/>
                <w:lang w:val="es-ES"/>
              </w:rPr>
              <w:t>ÓN</w:t>
            </w:r>
            <w:r w:rsidRPr="00946EBD">
              <w:rPr>
                <w:b/>
                <w:sz w:val="18"/>
                <w:lang w:val="es-ES"/>
              </w:rPr>
              <w:t xml:space="preserve"> (</w:t>
            </w:r>
            <w:r w:rsidR="0001658C" w:rsidRPr="00946EBD">
              <w:rPr>
                <w:b/>
                <w:sz w:val="18"/>
                <w:lang w:val="es-ES"/>
              </w:rPr>
              <w:t>toneladas PAO</w:t>
            </w:r>
            <w:r w:rsidRPr="00946EBD">
              <w:rPr>
                <w:b/>
                <w:sz w:val="18"/>
                <w:lang w:val="es-ES"/>
              </w:rPr>
              <w:t>)</w:t>
            </w:r>
          </w:p>
        </w:tc>
      </w:tr>
      <w:tr w:rsidR="007A6564" w:rsidRPr="00DB24E5" w14:paraId="31255709" w14:textId="77777777" w:rsidTr="00946EBD">
        <w:trPr>
          <w:trHeight w:val="240"/>
          <w:jc w:val="center"/>
        </w:trPr>
        <w:tc>
          <w:tcPr>
            <w:tcW w:w="3535" w:type="dxa"/>
            <w:tcBorders>
              <w:top w:val="single" w:sz="4" w:space="0" w:color="666699"/>
              <w:left w:val="single" w:sz="4" w:space="0" w:color="666699"/>
              <w:bottom w:val="single" w:sz="4" w:space="0" w:color="666699"/>
              <w:right w:val="single" w:sz="4" w:space="0" w:color="666699"/>
            </w:tcBorders>
            <w:hideMark/>
          </w:tcPr>
          <w:p w14:paraId="532442D9" w14:textId="3054C8FC" w:rsidR="007A6564" w:rsidRPr="00DB24E5" w:rsidRDefault="00946EBD" w:rsidP="00E9738B">
            <w:pPr>
              <w:spacing w:after="60"/>
              <w:jc w:val="center"/>
              <w:rPr>
                <w:sz w:val="18"/>
                <w:lang w:val="es-ES"/>
              </w:rPr>
            </w:pPr>
            <w:r>
              <w:rPr>
                <w:sz w:val="18"/>
                <w:lang w:val="es-ES"/>
              </w:rPr>
              <w:t>Ya aprobado</w:t>
            </w:r>
            <w:r w:rsidR="007A6564" w:rsidRPr="00DB24E5">
              <w:rPr>
                <w:sz w:val="18"/>
                <w:lang w:val="es-ES"/>
              </w:rPr>
              <w:t>:</w:t>
            </w:r>
          </w:p>
        </w:tc>
        <w:tc>
          <w:tcPr>
            <w:tcW w:w="0" w:type="auto"/>
            <w:tcBorders>
              <w:top w:val="single" w:sz="4" w:space="0" w:color="666699"/>
              <w:left w:val="single" w:sz="4" w:space="0" w:color="666699"/>
              <w:bottom w:val="single" w:sz="4" w:space="0" w:color="666699"/>
              <w:right w:val="single" w:sz="4" w:space="0" w:color="666699"/>
            </w:tcBorders>
            <w:hideMark/>
          </w:tcPr>
          <w:p w14:paraId="3125705A" w14:textId="1A96D309" w:rsidR="007A6564" w:rsidRPr="00DB24E5" w:rsidRDefault="007A6564" w:rsidP="00946EBD">
            <w:pPr>
              <w:spacing w:after="60"/>
              <w:jc w:val="right"/>
              <w:rPr>
                <w:sz w:val="18"/>
                <w:lang w:val="es-ES"/>
              </w:rPr>
            </w:pPr>
            <w:r w:rsidRPr="00DB24E5">
              <w:rPr>
                <w:sz w:val="18"/>
                <w:lang w:val="es-ES"/>
              </w:rPr>
              <w:t>0</w:t>
            </w:r>
            <w:r w:rsidR="00946EBD">
              <w:rPr>
                <w:sz w:val="18"/>
                <w:lang w:val="es-ES"/>
              </w:rPr>
              <w:t>,</w:t>
            </w:r>
            <w:r w:rsidRPr="00DB24E5">
              <w:rPr>
                <w:sz w:val="18"/>
                <w:lang w:val="es-ES"/>
              </w:rPr>
              <w:t>28</w:t>
            </w:r>
          </w:p>
        </w:tc>
        <w:tc>
          <w:tcPr>
            <w:tcW w:w="5221" w:type="dxa"/>
            <w:tcBorders>
              <w:top w:val="single" w:sz="4" w:space="0" w:color="666699"/>
              <w:left w:val="single" w:sz="4" w:space="0" w:color="666699"/>
              <w:bottom w:val="single" w:sz="4" w:space="0" w:color="666699"/>
              <w:right w:val="single" w:sz="4" w:space="0" w:color="666699"/>
            </w:tcBorders>
            <w:hideMark/>
          </w:tcPr>
          <w:p w14:paraId="0453E74B" w14:textId="6BB46FBB" w:rsidR="007A6564" w:rsidRPr="00DB24E5" w:rsidRDefault="007A6564" w:rsidP="00946EBD">
            <w:pPr>
              <w:spacing w:after="60"/>
              <w:jc w:val="center"/>
              <w:rPr>
                <w:sz w:val="18"/>
                <w:lang w:val="es-ES"/>
              </w:rPr>
            </w:pPr>
            <w:r w:rsidRPr="00DB24E5">
              <w:rPr>
                <w:sz w:val="18"/>
                <w:lang w:val="es-ES"/>
              </w:rPr>
              <w:t>Re</w:t>
            </w:r>
            <w:r w:rsidR="00946EBD">
              <w:rPr>
                <w:sz w:val="18"/>
                <w:lang w:val="es-ES"/>
              </w:rPr>
              <w:t>stante</w:t>
            </w:r>
            <w:r w:rsidRPr="00DB24E5">
              <w:rPr>
                <w:sz w:val="18"/>
                <w:lang w:val="es-ES"/>
              </w:rPr>
              <w:t>:</w:t>
            </w:r>
          </w:p>
        </w:tc>
        <w:tc>
          <w:tcPr>
            <w:tcW w:w="1907" w:type="dxa"/>
            <w:tcBorders>
              <w:top w:val="single" w:sz="4" w:space="0" w:color="666699"/>
              <w:left w:val="single" w:sz="4" w:space="0" w:color="666699"/>
              <w:bottom w:val="single" w:sz="4" w:space="0" w:color="666699"/>
              <w:right w:val="single" w:sz="4" w:space="0" w:color="666699"/>
            </w:tcBorders>
          </w:tcPr>
          <w:p w14:paraId="21DCDD5F" w14:textId="6EB87CD2" w:rsidR="007A6564" w:rsidRPr="00DB24E5" w:rsidRDefault="007A6564" w:rsidP="00946EBD">
            <w:pPr>
              <w:spacing w:after="60"/>
              <w:jc w:val="right"/>
              <w:rPr>
                <w:sz w:val="18"/>
                <w:lang w:val="es-ES"/>
              </w:rPr>
            </w:pPr>
            <w:r w:rsidRPr="00DB24E5">
              <w:rPr>
                <w:sz w:val="18"/>
                <w:lang w:val="es-ES"/>
              </w:rPr>
              <w:t>0</w:t>
            </w:r>
            <w:r w:rsidR="00946EBD">
              <w:rPr>
                <w:sz w:val="18"/>
                <w:lang w:val="es-ES"/>
              </w:rPr>
              <w:t>,</w:t>
            </w:r>
            <w:r w:rsidRPr="00DB24E5">
              <w:rPr>
                <w:sz w:val="18"/>
                <w:lang w:val="es-ES"/>
              </w:rPr>
              <w:t>52</w:t>
            </w:r>
          </w:p>
        </w:tc>
      </w:tr>
    </w:tbl>
    <w:p w14:paraId="0088BFBA" w14:textId="77777777" w:rsidR="007A6564" w:rsidRPr="00DB24E5" w:rsidRDefault="007A6564" w:rsidP="007A6564">
      <w:pPr>
        <w:tabs>
          <w:tab w:val="left" w:pos="3446"/>
          <w:tab w:val="left" w:pos="4759"/>
          <w:tab w:val="left" w:pos="8474"/>
        </w:tabs>
        <w:spacing w:after="60"/>
        <w:ind w:left="113"/>
        <w:jc w:val="left"/>
        <w:rPr>
          <w:sz w:val="18"/>
          <w:lang w:val="es-ES"/>
        </w:rPr>
      </w:pPr>
      <w:r w:rsidRPr="00DB24E5">
        <w:rPr>
          <w:sz w:val="18"/>
          <w:lang w:val="es-ES"/>
        </w:rPr>
        <w:tab/>
      </w:r>
      <w:r w:rsidRPr="00DB24E5">
        <w:rPr>
          <w:sz w:val="18"/>
          <w:lang w:val="es-ES"/>
        </w:rPr>
        <w:tab/>
      </w:r>
      <w:r w:rsidRPr="00DB24E5">
        <w:rPr>
          <w:sz w:val="18"/>
          <w:lang w:val="es-ES"/>
        </w:rPr>
        <w:tab/>
      </w:r>
    </w:p>
    <w:tbl>
      <w:tblPr>
        <w:tblStyle w:val="TableGrid"/>
        <w:tblW w:w="11194"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066"/>
        <w:gridCol w:w="2756"/>
        <w:gridCol w:w="1842"/>
        <w:gridCol w:w="1844"/>
        <w:gridCol w:w="1843"/>
        <w:gridCol w:w="1843"/>
      </w:tblGrid>
      <w:tr w:rsidR="007A6564" w:rsidRPr="00DB24E5" w14:paraId="78C66D3E" w14:textId="77777777" w:rsidTr="00E9738B">
        <w:trPr>
          <w:trHeight w:val="240"/>
          <w:jc w:val="center"/>
        </w:trPr>
        <w:tc>
          <w:tcPr>
            <w:tcW w:w="3823" w:type="dxa"/>
            <w:gridSpan w:val="2"/>
            <w:tcBorders>
              <w:top w:val="single" w:sz="4" w:space="0" w:color="666699"/>
              <w:left w:val="single" w:sz="4" w:space="0" w:color="666699"/>
              <w:bottom w:val="single" w:sz="4" w:space="0" w:color="666699"/>
              <w:right w:val="single" w:sz="4" w:space="0" w:color="666699"/>
            </w:tcBorders>
            <w:shd w:val="clear" w:color="auto" w:fill="auto"/>
            <w:hideMark/>
          </w:tcPr>
          <w:p w14:paraId="192FF2AD" w14:textId="47AD9A25" w:rsidR="007A6564" w:rsidRPr="00DB24E5" w:rsidRDefault="007A6564" w:rsidP="00946EBD">
            <w:pPr>
              <w:spacing w:after="60"/>
              <w:jc w:val="left"/>
              <w:rPr>
                <w:b/>
                <w:sz w:val="18"/>
                <w:lang w:val="es-ES"/>
              </w:rPr>
            </w:pPr>
            <w:r w:rsidRPr="00DB24E5">
              <w:rPr>
                <w:b/>
                <w:sz w:val="18"/>
                <w:lang w:val="es-ES"/>
              </w:rPr>
              <w:t>V) PLAN</w:t>
            </w:r>
            <w:r w:rsidR="00946EBD">
              <w:rPr>
                <w:b/>
                <w:sz w:val="18"/>
                <w:lang w:val="es-ES"/>
              </w:rPr>
              <w:t xml:space="preserve"> ADMINISTRATIVO</w:t>
            </w:r>
          </w:p>
        </w:tc>
        <w:tc>
          <w:tcPr>
            <w:tcW w:w="1842" w:type="dxa"/>
            <w:tcBorders>
              <w:top w:val="single" w:sz="4" w:space="0" w:color="666699"/>
              <w:left w:val="single" w:sz="4" w:space="0" w:color="666699"/>
              <w:bottom w:val="single" w:sz="4" w:space="0" w:color="666699"/>
              <w:right w:val="single" w:sz="4" w:space="0" w:color="666699"/>
            </w:tcBorders>
            <w:shd w:val="clear" w:color="auto" w:fill="auto"/>
            <w:hideMark/>
          </w:tcPr>
          <w:p w14:paraId="5F7DA1DA" w14:textId="77777777" w:rsidR="007A6564" w:rsidRPr="00DB24E5" w:rsidRDefault="007A6564" w:rsidP="00E9738B">
            <w:pPr>
              <w:spacing w:after="60"/>
              <w:jc w:val="center"/>
              <w:rPr>
                <w:b/>
                <w:sz w:val="18"/>
                <w:lang w:val="es-ES"/>
              </w:rPr>
            </w:pPr>
            <w:r w:rsidRPr="00DB24E5">
              <w:rPr>
                <w:b/>
                <w:sz w:val="18"/>
                <w:lang w:val="es-ES"/>
              </w:rPr>
              <w:t>2020</w:t>
            </w:r>
          </w:p>
        </w:tc>
        <w:tc>
          <w:tcPr>
            <w:tcW w:w="1843" w:type="dxa"/>
            <w:tcBorders>
              <w:top w:val="single" w:sz="4" w:space="0" w:color="666699"/>
              <w:left w:val="single" w:sz="4" w:space="0" w:color="666699"/>
              <w:bottom w:val="single" w:sz="4" w:space="0" w:color="666699"/>
              <w:right w:val="single" w:sz="4" w:space="0" w:color="666699"/>
            </w:tcBorders>
            <w:shd w:val="clear" w:color="auto" w:fill="auto"/>
            <w:hideMark/>
          </w:tcPr>
          <w:p w14:paraId="71B706B7" w14:textId="77777777" w:rsidR="007A6564" w:rsidRPr="00DB24E5" w:rsidRDefault="007A6564" w:rsidP="00E9738B">
            <w:pPr>
              <w:spacing w:after="60"/>
              <w:jc w:val="center"/>
              <w:rPr>
                <w:b/>
                <w:sz w:val="18"/>
                <w:lang w:val="es-ES"/>
              </w:rPr>
            </w:pPr>
            <w:r w:rsidRPr="00DB24E5">
              <w:rPr>
                <w:b/>
                <w:sz w:val="18"/>
                <w:lang w:val="es-ES"/>
              </w:rPr>
              <w:t>2021</w:t>
            </w:r>
          </w:p>
        </w:tc>
        <w:tc>
          <w:tcPr>
            <w:tcW w:w="1843" w:type="dxa"/>
            <w:tcBorders>
              <w:top w:val="single" w:sz="4" w:space="0" w:color="666699"/>
              <w:left w:val="single" w:sz="4" w:space="0" w:color="666699"/>
              <w:bottom w:val="single" w:sz="4" w:space="0" w:color="666699"/>
              <w:right w:val="single" w:sz="4" w:space="0" w:color="666699"/>
            </w:tcBorders>
            <w:shd w:val="clear" w:color="auto" w:fill="auto"/>
          </w:tcPr>
          <w:p w14:paraId="15898CD3" w14:textId="77777777" w:rsidR="007A6564" w:rsidRPr="00DB24E5" w:rsidRDefault="007A6564" w:rsidP="00E9738B">
            <w:pPr>
              <w:spacing w:after="60"/>
              <w:jc w:val="center"/>
              <w:rPr>
                <w:b/>
                <w:sz w:val="18"/>
                <w:lang w:val="es-ES"/>
              </w:rPr>
            </w:pPr>
            <w:r w:rsidRPr="00DB24E5">
              <w:rPr>
                <w:b/>
                <w:sz w:val="18"/>
                <w:lang w:val="es-ES"/>
              </w:rPr>
              <w:t>2022</w:t>
            </w:r>
          </w:p>
        </w:tc>
        <w:tc>
          <w:tcPr>
            <w:tcW w:w="1843" w:type="dxa"/>
            <w:tcBorders>
              <w:top w:val="single" w:sz="4" w:space="0" w:color="666699"/>
              <w:left w:val="single" w:sz="4" w:space="0" w:color="666699"/>
              <w:bottom w:val="single" w:sz="4" w:space="0" w:color="666699"/>
              <w:right w:val="single" w:sz="4" w:space="0" w:color="666699"/>
            </w:tcBorders>
            <w:shd w:val="clear" w:color="auto" w:fill="auto"/>
            <w:hideMark/>
          </w:tcPr>
          <w:p w14:paraId="58EC3552" w14:textId="77777777" w:rsidR="007A6564" w:rsidRPr="00DB24E5" w:rsidRDefault="007A6564" w:rsidP="00E9738B">
            <w:pPr>
              <w:spacing w:after="60"/>
              <w:jc w:val="center"/>
              <w:rPr>
                <w:b/>
                <w:sz w:val="18"/>
                <w:lang w:val="es-ES"/>
              </w:rPr>
            </w:pPr>
            <w:r w:rsidRPr="00DB24E5">
              <w:rPr>
                <w:b/>
                <w:sz w:val="18"/>
                <w:lang w:val="es-ES"/>
              </w:rPr>
              <w:t>Total</w:t>
            </w:r>
          </w:p>
        </w:tc>
      </w:tr>
      <w:tr w:rsidR="007A6564" w:rsidRPr="00DB24E5" w14:paraId="1BD8C5EB" w14:textId="77777777" w:rsidTr="00E9738B">
        <w:trPr>
          <w:trHeight w:val="240"/>
          <w:jc w:val="center"/>
        </w:trPr>
        <w:tc>
          <w:tcPr>
            <w:tcW w:w="1067" w:type="dxa"/>
            <w:vMerge w:val="restart"/>
            <w:tcBorders>
              <w:top w:val="single" w:sz="4" w:space="0" w:color="666699"/>
              <w:left w:val="single" w:sz="4" w:space="0" w:color="666699"/>
              <w:bottom w:val="single" w:sz="4" w:space="0" w:color="666699"/>
              <w:right w:val="single" w:sz="4" w:space="0" w:color="666699"/>
            </w:tcBorders>
            <w:shd w:val="clear" w:color="auto" w:fill="auto"/>
            <w:hideMark/>
          </w:tcPr>
          <w:p w14:paraId="6F59D749" w14:textId="5BAE4DF4" w:rsidR="007A6564" w:rsidRPr="00DB24E5" w:rsidRDefault="0088461E" w:rsidP="00E9738B">
            <w:pPr>
              <w:spacing w:after="60"/>
              <w:jc w:val="center"/>
              <w:rPr>
                <w:sz w:val="18"/>
                <w:lang w:val="es-ES"/>
              </w:rPr>
            </w:pPr>
            <w:r w:rsidRPr="00DB24E5">
              <w:rPr>
                <w:sz w:val="18"/>
                <w:lang w:val="es-ES"/>
              </w:rPr>
              <w:t>ONUDI</w:t>
            </w:r>
          </w:p>
        </w:tc>
        <w:tc>
          <w:tcPr>
            <w:tcW w:w="2756" w:type="dxa"/>
            <w:tcBorders>
              <w:top w:val="single" w:sz="4" w:space="0" w:color="666699"/>
              <w:left w:val="single" w:sz="4" w:space="0" w:color="666699"/>
              <w:bottom w:val="single" w:sz="4" w:space="0" w:color="666699"/>
              <w:right w:val="single" w:sz="4" w:space="0" w:color="666699"/>
            </w:tcBorders>
            <w:shd w:val="clear" w:color="auto" w:fill="auto"/>
            <w:hideMark/>
          </w:tcPr>
          <w:p w14:paraId="64A4FDC9" w14:textId="5A0594E2" w:rsidR="007A6564" w:rsidRPr="00DB24E5" w:rsidRDefault="008C669C" w:rsidP="00E9738B">
            <w:pPr>
              <w:spacing w:after="60"/>
              <w:jc w:val="left"/>
              <w:rPr>
                <w:sz w:val="18"/>
                <w:lang w:val="es-ES"/>
              </w:rPr>
            </w:pPr>
            <w:r w:rsidRPr="00DB24E5">
              <w:rPr>
                <w:sz w:val="18"/>
                <w:lang w:val="es-ES"/>
              </w:rPr>
              <w:t>Eliminación de SAO</w:t>
            </w:r>
            <w:r w:rsidR="007A6564" w:rsidRPr="00DB24E5">
              <w:rPr>
                <w:sz w:val="18"/>
                <w:lang w:val="es-ES"/>
              </w:rPr>
              <w:t xml:space="preserve"> (</w:t>
            </w:r>
            <w:r w:rsidR="0001658C" w:rsidRPr="00DB24E5">
              <w:rPr>
                <w:sz w:val="18"/>
                <w:lang w:val="es-ES"/>
              </w:rPr>
              <w:t>toneladas PAO</w:t>
            </w:r>
            <w:r w:rsidR="007A6564" w:rsidRPr="00DB24E5">
              <w:rPr>
                <w:sz w:val="18"/>
                <w:lang w:val="es-ES"/>
              </w:rPr>
              <w:t>)</w:t>
            </w:r>
          </w:p>
        </w:tc>
        <w:tc>
          <w:tcPr>
            <w:tcW w:w="1842" w:type="dxa"/>
            <w:tcBorders>
              <w:top w:val="single" w:sz="4" w:space="0" w:color="666699"/>
              <w:left w:val="single" w:sz="4" w:space="0" w:color="666699"/>
              <w:bottom w:val="single" w:sz="4" w:space="0" w:color="666699"/>
              <w:right w:val="single" w:sz="4" w:space="0" w:color="666699"/>
            </w:tcBorders>
            <w:shd w:val="clear" w:color="auto" w:fill="auto"/>
          </w:tcPr>
          <w:p w14:paraId="28A8E203" w14:textId="301898AD" w:rsidR="007A6564" w:rsidRPr="00DB24E5" w:rsidRDefault="007A6564" w:rsidP="00946EBD">
            <w:pPr>
              <w:spacing w:after="60"/>
              <w:jc w:val="right"/>
              <w:rPr>
                <w:sz w:val="18"/>
                <w:lang w:val="es-ES"/>
              </w:rPr>
            </w:pPr>
            <w:r w:rsidRPr="00DB24E5">
              <w:rPr>
                <w:sz w:val="18"/>
                <w:lang w:val="es-ES"/>
              </w:rPr>
              <w:t>0</w:t>
            </w:r>
            <w:r w:rsidR="00946EBD">
              <w:rPr>
                <w:sz w:val="18"/>
                <w:lang w:val="es-ES"/>
              </w:rPr>
              <w:t>,</w:t>
            </w:r>
            <w:r w:rsidRPr="00DB24E5">
              <w:rPr>
                <w:sz w:val="18"/>
                <w:lang w:val="es-ES"/>
              </w:rPr>
              <w:t>20</w:t>
            </w:r>
          </w:p>
        </w:tc>
        <w:tc>
          <w:tcPr>
            <w:tcW w:w="1843" w:type="dxa"/>
            <w:tcBorders>
              <w:top w:val="single" w:sz="4" w:space="0" w:color="666699"/>
              <w:left w:val="single" w:sz="4" w:space="0" w:color="666699"/>
              <w:bottom w:val="single" w:sz="4" w:space="0" w:color="666699"/>
              <w:right w:val="single" w:sz="4" w:space="0" w:color="666699"/>
            </w:tcBorders>
            <w:shd w:val="clear" w:color="auto" w:fill="auto"/>
          </w:tcPr>
          <w:p w14:paraId="71F34655" w14:textId="77777777" w:rsidR="007A6564" w:rsidRPr="00DB24E5" w:rsidRDefault="007A6564" w:rsidP="00E9738B">
            <w:pPr>
              <w:tabs>
                <w:tab w:val="right" w:pos="1627"/>
              </w:tabs>
              <w:spacing w:after="60"/>
              <w:rPr>
                <w:sz w:val="18"/>
                <w:lang w:val="es-ES"/>
              </w:rPr>
            </w:pPr>
            <w:r w:rsidRPr="00DB24E5">
              <w:rPr>
                <w:sz w:val="18"/>
                <w:lang w:val="es-ES"/>
              </w:rPr>
              <w:tab/>
              <w:t>0</w:t>
            </w:r>
          </w:p>
        </w:tc>
        <w:tc>
          <w:tcPr>
            <w:tcW w:w="1843" w:type="dxa"/>
            <w:tcBorders>
              <w:top w:val="single" w:sz="4" w:space="0" w:color="666699"/>
              <w:left w:val="single" w:sz="4" w:space="0" w:color="666699"/>
              <w:bottom w:val="single" w:sz="4" w:space="0" w:color="666699"/>
              <w:right w:val="single" w:sz="4" w:space="0" w:color="666699"/>
            </w:tcBorders>
            <w:shd w:val="clear" w:color="auto" w:fill="auto"/>
          </w:tcPr>
          <w:p w14:paraId="1CDE2264" w14:textId="12DE3914" w:rsidR="007A6564" w:rsidRPr="00DB24E5" w:rsidRDefault="007A6564" w:rsidP="00946EBD">
            <w:pPr>
              <w:spacing w:after="60"/>
              <w:jc w:val="right"/>
              <w:rPr>
                <w:sz w:val="18"/>
                <w:lang w:val="es-ES"/>
              </w:rPr>
            </w:pPr>
            <w:r w:rsidRPr="00DB24E5">
              <w:rPr>
                <w:sz w:val="18"/>
                <w:lang w:val="es-ES"/>
              </w:rPr>
              <w:t>0</w:t>
            </w:r>
            <w:r w:rsidR="00946EBD">
              <w:rPr>
                <w:sz w:val="18"/>
                <w:lang w:val="es-ES"/>
              </w:rPr>
              <w:t>,</w:t>
            </w:r>
            <w:r w:rsidRPr="00DB24E5">
              <w:rPr>
                <w:sz w:val="18"/>
                <w:lang w:val="es-ES"/>
              </w:rPr>
              <w:t>30</w:t>
            </w:r>
          </w:p>
        </w:tc>
        <w:tc>
          <w:tcPr>
            <w:tcW w:w="1843" w:type="dxa"/>
            <w:tcBorders>
              <w:top w:val="single" w:sz="4" w:space="0" w:color="666699"/>
              <w:left w:val="single" w:sz="4" w:space="0" w:color="666699"/>
              <w:bottom w:val="single" w:sz="4" w:space="0" w:color="666699"/>
              <w:right w:val="single" w:sz="4" w:space="0" w:color="666699"/>
            </w:tcBorders>
            <w:shd w:val="clear" w:color="auto" w:fill="auto"/>
          </w:tcPr>
          <w:p w14:paraId="10DA2561" w14:textId="0C7EDF3E" w:rsidR="007A6564" w:rsidRPr="00DB24E5" w:rsidRDefault="007A6564" w:rsidP="00946EBD">
            <w:pPr>
              <w:spacing w:after="60"/>
              <w:jc w:val="right"/>
              <w:rPr>
                <w:sz w:val="18"/>
                <w:lang w:val="es-ES"/>
              </w:rPr>
            </w:pPr>
            <w:r w:rsidRPr="00DB24E5">
              <w:rPr>
                <w:sz w:val="18"/>
                <w:lang w:val="es-ES"/>
              </w:rPr>
              <w:t>0</w:t>
            </w:r>
            <w:r w:rsidR="00946EBD">
              <w:rPr>
                <w:sz w:val="18"/>
                <w:lang w:val="es-ES"/>
              </w:rPr>
              <w:t>,</w:t>
            </w:r>
            <w:r w:rsidRPr="00DB24E5">
              <w:rPr>
                <w:sz w:val="18"/>
                <w:lang w:val="es-ES"/>
              </w:rPr>
              <w:t>50</w:t>
            </w:r>
          </w:p>
        </w:tc>
      </w:tr>
      <w:tr w:rsidR="007A6564" w:rsidRPr="00DB24E5" w14:paraId="62E564C8" w14:textId="77777777" w:rsidTr="00E9738B">
        <w:trPr>
          <w:trHeight w:val="240"/>
          <w:jc w:val="center"/>
        </w:trPr>
        <w:tc>
          <w:tcPr>
            <w:tcW w:w="1067" w:type="dxa"/>
            <w:vMerge/>
            <w:tcBorders>
              <w:top w:val="single" w:sz="4" w:space="0" w:color="666699"/>
              <w:left w:val="single" w:sz="4" w:space="0" w:color="666699"/>
              <w:bottom w:val="single" w:sz="4" w:space="0" w:color="666699"/>
              <w:right w:val="single" w:sz="4" w:space="0" w:color="666699"/>
            </w:tcBorders>
            <w:shd w:val="clear" w:color="auto" w:fill="auto"/>
            <w:vAlign w:val="center"/>
            <w:hideMark/>
          </w:tcPr>
          <w:p w14:paraId="662D8D61" w14:textId="77777777" w:rsidR="007A6564" w:rsidRPr="00DB24E5" w:rsidRDefault="007A6564" w:rsidP="00E9738B">
            <w:pPr>
              <w:jc w:val="left"/>
              <w:rPr>
                <w:sz w:val="18"/>
                <w:lang w:val="es-ES"/>
              </w:rPr>
            </w:pPr>
          </w:p>
        </w:tc>
        <w:tc>
          <w:tcPr>
            <w:tcW w:w="2756" w:type="dxa"/>
            <w:tcBorders>
              <w:top w:val="single" w:sz="4" w:space="0" w:color="666699"/>
              <w:left w:val="single" w:sz="4" w:space="0" w:color="666699"/>
              <w:bottom w:val="single" w:sz="4" w:space="0" w:color="666699"/>
              <w:right w:val="single" w:sz="4" w:space="0" w:color="666699"/>
            </w:tcBorders>
            <w:shd w:val="clear" w:color="auto" w:fill="auto"/>
            <w:hideMark/>
          </w:tcPr>
          <w:p w14:paraId="7C95A73D" w14:textId="6D729E90" w:rsidR="007A6564" w:rsidRPr="00DB24E5" w:rsidRDefault="007A6564" w:rsidP="00946EBD">
            <w:pPr>
              <w:spacing w:after="60"/>
              <w:jc w:val="left"/>
              <w:rPr>
                <w:sz w:val="18"/>
                <w:lang w:val="es-ES"/>
              </w:rPr>
            </w:pPr>
            <w:r w:rsidRPr="00DB24E5">
              <w:rPr>
                <w:sz w:val="18"/>
                <w:lang w:val="es-ES"/>
              </w:rPr>
              <w:t>F</w:t>
            </w:r>
            <w:r w:rsidR="00946EBD">
              <w:rPr>
                <w:sz w:val="18"/>
                <w:lang w:val="es-ES"/>
              </w:rPr>
              <w:t>inanciación</w:t>
            </w:r>
            <w:r w:rsidRPr="00DB24E5">
              <w:rPr>
                <w:sz w:val="18"/>
                <w:lang w:val="es-ES"/>
              </w:rPr>
              <w:t xml:space="preserve"> (</w:t>
            </w:r>
            <w:r w:rsidR="008C669C" w:rsidRPr="00DB24E5">
              <w:rPr>
                <w:sz w:val="18"/>
                <w:lang w:val="es-ES"/>
              </w:rPr>
              <w:t>$ EUA</w:t>
            </w:r>
            <w:r w:rsidRPr="00DB24E5">
              <w:rPr>
                <w:sz w:val="18"/>
                <w:lang w:val="es-ES"/>
              </w:rPr>
              <w:t>)</w:t>
            </w:r>
          </w:p>
        </w:tc>
        <w:tc>
          <w:tcPr>
            <w:tcW w:w="1842" w:type="dxa"/>
            <w:tcBorders>
              <w:top w:val="single" w:sz="4" w:space="0" w:color="666699"/>
              <w:left w:val="single" w:sz="4" w:space="0" w:color="666699"/>
              <w:bottom w:val="single" w:sz="4" w:space="0" w:color="666699"/>
              <w:right w:val="single" w:sz="4" w:space="0" w:color="666699"/>
            </w:tcBorders>
            <w:shd w:val="clear" w:color="auto" w:fill="auto"/>
          </w:tcPr>
          <w:p w14:paraId="143DC9AC" w14:textId="0AB25379" w:rsidR="007A6564" w:rsidRPr="00DB24E5" w:rsidRDefault="007A6564" w:rsidP="00946EBD">
            <w:pPr>
              <w:spacing w:after="60"/>
              <w:jc w:val="right"/>
              <w:rPr>
                <w:sz w:val="18"/>
                <w:lang w:val="es-ES"/>
              </w:rPr>
            </w:pPr>
            <w:r w:rsidRPr="00DB24E5">
              <w:rPr>
                <w:sz w:val="18"/>
                <w:lang w:val="es-ES"/>
              </w:rPr>
              <w:t>186</w:t>
            </w:r>
            <w:r w:rsidR="00946EBD">
              <w:rPr>
                <w:sz w:val="18"/>
                <w:lang w:val="es-ES"/>
              </w:rPr>
              <w:t>.</w:t>
            </w:r>
            <w:r w:rsidRPr="00DB24E5">
              <w:rPr>
                <w:sz w:val="18"/>
                <w:lang w:val="es-ES"/>
              </w:rPr>
              <w:t>043</w:t>
            </w:r>
          </w:p>
        </w:tc>
        <w:tc>
          <w:tcPr>
            <w:tcW w:w="1843" w:type="dxa"/>
            <w:tcBorders>
              <w:top w:val="single" w:sz="4" w:space="0" w:color="666699"/>
              <w:left w:val="single" w:sz="4" w:space="0" w:color="666699"/>
              <w:bottom w:val="single" w:sz="4" w:space="0" w:color="666699"/>
              <w:right w:val="single" w:sz="4" w:space="0" w:color="666699"/>
            </w:tcBorders>
            <w:shd w:val="clear" w:color="auto" w:fill="auto"/>
          </w:tcPr>
          <w:p w14:paraId="216E7E5D" w14:textId="77777777" w:rsidR="007A6564" w:rsidRPr="00DB24E5" w:rsidRDefault="007A6564" w:rsidP="00E9738B">
            <w:pPr>
              <w:spacing w:after="60"/>
              <w:jc w:val="right"/>
              <w:rPr>
                <w:sz w:val="18"/>
                <w:lang w:val="es-ES"/>
              </w:rPr>
            </w:pPr>
            <w:r w:rsidRPr="00DB24E5">
              <w:rPr>
                <w:sz w:val="18"/>
                <w:lang w:val="es-ES"/>
              </w:rPr>
              <w:t>0</w:t>
            </w:r>
          </w:p>
        </w:tc>
        <w:tc>
          <w:tcPr>
            <w:tcW w:w="1843" w:type="dxa"/>
            <w:tcBorders>
              <w:top w:val="single" w:sz="4" w:space="0" w:color="666699"/>
              <w:left w:val="single" w:sz="4" w:space="0" w:color="666699"/>
              <w:bottom w:val="single" w:sz="4" w:space="0" w:color="666699"/>
              <w:right w:val="single" w:sz="4" w:space="0" w:color="666699"/>
            </w:tcBorders>
            <w:shd w:val="clear" w:color="auto" w:fill="auto"/>
          </w:tcPr>
          <w:p w14:paraId="26F27613" w14:textId="2C237256" w:rsidR="007A6564" w:rsidRPr="00DB24E5" w:rsidRDefault="007A6564" w:rsidP="00946EBD">
            <w:pPr>
              <w:spacing w:after="60"/>
              <w:jc w:val="right"/>
              <w:rPr>
                <w:sz w:val="18"/>
                <w:lang w:val="es-ES"/>
              </w:rPr>
            </w:pPr>
            <w:r w:rsidRPr="00DB24E5">
              <w:rPr>
                <w:sz w:val="18"/>
                <w:lang w:val="es-ES"/>
              </w:rPr>
              <w:t>236</w:t>
            </w:r>
            <w:r w:rsidR="00946EBD">
              <w:rPr>
                <w:sz w:val="18"/>
                <w:lang w:val="es-ES"/>
              </w:rPr>
              <w:t>.</w:t>
            </w:r>
            <w:r w:rsidRPr="00DB24E5">
              <w:rPr>
                <w:sz w:val="18"/>
                <w:lang w:val="es-ES"/>
              </w:rPr>
              <w:t>837</w:t>
            </w:r>
          </w:p>
        </w:tc>
        <w:tc>
          <w:tcPr>
            <w:tcW w:w="1843" w:type="dxa"/>
            <w:tcBorders>
              <w:top w:val="single" w:sz="4" w:space="0" w:color="666699"/>
              <w:left w:val="single" w:sz="4" w:space="0" w:color="666699"/>
              <w:bottom w:val="single" w:sz="4" w:space="0" w:color="666699"/>
              <w:right w:val="single" w:sz="4" w:space="0" w:color="666699"/>
            </w:tcBorders>
            <w:shd w:val="clear" w:color="auto" w:fill="auto"/>
          </w:tcPr>
          <w:p w14:paraId="3EA88AE6" w14:textId="21D5D796" w:rsidR="007A6564" w:rsidRPr="00DB24E5" w:rsidRDefault="007A6564" w:rsidP="00946EBD">
            <w:pPr>
              <w:spacing w:after="60"/>
              <w:jc w:val="right"/>
              <w:rPr>
                <w:sz w:val="18"/>
                <w:lang w:val="es-ES"/>
              </w:rPr>
            </w:pPr>
            <w:r w:rsidRPr="00DB24E5">
              <w:rPr>
                <w:sz w:val="18"/>
                <w:lang w:val="es-ES"/>
              </w:rPr>
              <w:t>422</w:t>
            </w:r>
            <w:r w:rsidR="00946EBD">
              <w:rPr>
                <w:sz w:val="18"/>
                <w:lang w:val="es-ES"/>
              </w:rPr>
              <w:t>.</w:t>
            </w:r>
            <w:r w:rsidRPr="00DB24E5">
              <w:rPr>
                <w:sz w:val="18"/>
                <w:lang w:val="es-ES"/>
              </w:rPr>
              <w:t>880</w:t>
            </w:r>
          </w:p>
        </w:tc>
      </w:tr>
    </w:tbl>
    <w:p w14:paraId="15583496" w14:textId="77777777" w:rsidR="007A6564" w:rsidRPr="00DB24E5" w:rsidRDefault="007A6564" w:rsidP="007A6564">
      <w:pPr>
        <w:spacing w:after="60"/>
        <w:jc w:val="center"/>
        <w:rPr>
          <w:lang w:val="es-ES"/>
        </w:rPr>
      </w:pPr>
    </w:p>
    <w:tbl>
      <w:tblPr>
        <w:tblStyle w:val="TableGrid"/>
        <w:tblW w:w="1124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573"/>
        <w:gridCol w:w="839"/>
        <w:gridCol w:w="1434"/>
        <w:gridCol w:w="1057"/>
        <w:gridCol w:w="1057"/>
        <w:gridCol w:w="1057"/>
        <w:gridCol w:w="1057"/>
        <w:gridCol w:w="1057"/>
        <w:gridCol w:w="1057"/>
        <w:gridCol w:w="1057"/>
      </w:tblGrid>
      <w:tr w:rsidR="007A6564" w:rsidRPr="00DB24E5" w14:paraId="0F3B5218" w14:textId="77777777" w:rsidTr="00A6655A">
        <w:trPr>
          <w:jc w:val="center"/>
        </w:trPr>
        <w:tc>
          <w:tcPr>
            <w:tcW w:w="3846" w:type="dxa"/>
            <w:gridSpan w:val="3"/>
            <w:shd w:val="clear" w:color="auto" w:fill="auto"/>
          </w:tcPr>
          <w:p w14:paraId="73E60F7E" w14:textId="7507AB4C" w:rsidR="007A6564" w:rsidRPr="00DB24E5" w:rsidRDefault="007A6564" w:rsidP="00946EBD">
            <w:pPr>
              <w:spacing w:after="60"/>
              <w:jc w:val="left"/>
              <w:rPr>
                <w:b/>
                <w:sz w:val="18"/>
                <w:lang w:val="es-ES"/>
              </w:rPr>
            </w:pPr>
            <w:r w:rsidRPr="00DB24E5">
              <w:rPr>
                <w:b/>
                <w:sz w:val="18"/>
                <w:lang w:val="es-ES"/>
              </w:rPr>
              <w:t xml:space="preserve">VI) </w:t>
            </w:r>
            <w:r w:rsidR="00946EBD">
              <w:rPr>
                <w:b/>
                <w:sz w:val="18"/>
                <w:lang w:val="es-ES"/>
              </w:rPr>
              <w:t>DATOS DEL PROYECTO</w:t>
            </w:r>
          </w:p>
        </w:tc>
        <w:tc>
          <w:tcPr>
            <w:tcW w:w="1057" w:type="dxa"/>
            <w:shd w:val="clear" w:color="auto" w:fill="auto"/>
          </w:tcPr>
          <w:p w14:paraId="5BED4D08" w14:textId="77777777" w:rsidR="007A6564" w:rsidRPr="00DB24E5" w:rsidRDefault="007A6564" w:rsidP="00E9738B">
            <w:pPr>
              <w:spacing w:after="60"/>
              <w:jc w:val="center"/>
              <w:rPr>
                <w:b/>
                <w:sz w:val="18"/>
                <w:lang w:val="es-ES"/>
              </w:rPr>
            </w:pPr>
            <w:r w:rsidRPr="00DB24E5">
              <w:rPr>
                <w:b/>
                <w:sz w:val="18"/>
                <w:lang w:val="es-ES"/>
              </w:rPr>
              <w:t>2020</w:t>
            </w:r>
          </w:p>
        </w:tc>
        <w:tc>
          <w:tcPr>
            <w:tcW w:w="1057" w:type="dxa"/>
            <w:shd w:val="clear" w:color="auto" w:fill="auto"/>
          </w:tcPr>
          <w:p w14:paraId="39B11A47" w14:textId="77777777" w:rsidR="007A6564" w:rsidRPr="00DB24E5" w:rsidRDefault="007A6564" w:rsidP="00E9738B">
            <w:pPr>
              <w:spacing w:after="60"/>
              <w:jc w:val="center"/>
              <w:rPr>
                <w:b/>
                <w:sz w:val="18"/>
                <w:lang w:val="es-ES"/>
              </w:rPr>
            </w:pPr>
            <w:r w:rsidRPr="00DB24E5">
              <w:rPr>
                <w:b/>
                <w:sz w:val="18"/>
                <w:lang w:val="es-ES"/>
              </w:rPr>
              <w:t>2021</w:t>
            </w:r>
          </w:p>
        </w:tc>
        <w:tc>
          <w:tcPr>
            <w:tcW w:w="1057" w:type="dxa"/>
            <w:shd w:val="clear" w:color="auto" w:fill="auto"/>
          </w:tcPr>
          <w:p w14:paraId="5A49DE9F" w14:textId="77777777" w:rsidR="007A6564" w:rsidRPr="00DB24E5" w:rsidRDefault="007A6564" w:rsidP="00E9738B">
            <w:pPr>
              <w:spacing w:after="60"/>
              <w:jc w:val="center"/>
              <w:rPr>
                <w:b/>
                <w:sz w:val="18"/>
                <w:lang w:val="es-ES"/>
              </w:rPr>
            </w:pPr>
            <w:r w:rsidRPr="00DB24E5">
              <w:rPr>
                <w:b/>
                <w:sz w:val="18"/>
                <w:lang w:val="es-ES"/>
              </w:rPr>
              <w:t>2022</w:t>
            </w:r>
          </w:p>
        </w:tc>
        <w:tc>
          <w:tcPr>
            <w:tcW w:w="1057" w:type="dxa"/>
            <w:shd w:val="clear" w:color="auto" w:fill="auto"/>
          </w:tcPr>
          <w:p w14:paraId="5EEE68E1" w14:textId="77777777" w:rsidR="007A6564" w:rsidRPr="00DB24E5" w:rsidRDefault="007A6564" w:rsidP="00E9738B">
            <w:pPr>
              <w:spacing w:after="60"/>
              <w:jc w:val="center"/>
              <w:rPr>
                <w:b/>
                <w:sz w:val="18"/>
                <w:lang w:val="es-ES"/>
              </w:rPr>
            </w:pPr>
            <w:r w:rsidRPr="00DB24E5">
              <w:rPr>
                <w:b/>
                <w:sz w:val="18"/>
                <w:lang w:val="es-ES"/>
              </w:rPr>
              <w:t>2023</w:t>
            </w:r>
          </w:p>
        </w:tc>
        <w:tc>
          <w:tcPr>
            <w:tcW w:w="1057" w:type="dxa"/>
            <w:shd w:val="clear" w:color="auto" w:fill="auto"/>
          </w:tcPr>
          <w:p w14:paraId="7B3A67E3" w14:textId="77777777" w:rsidR="007A6564" w:rsidRPr="00DB24E5" w:rsidRDefault="007A6564" w:rsidP="00E9738B">
            <w:pPr>
              <w:spacing w:after="60"/>
              <w:jc w:val="center"/>
              <w:rPr>
                <w:b/>
                <w:sz w:val="18"/>
                <w:lang w:val="es-ES"/>
              </w:rPr>
            </w:pPr>
            <w:r w:rsidRPr="00DB24E5">
              <w:rPr>
                <w:b/>
                <w:sz w:val="18"/>
                <w:lang w:val="es-ES"/>
              </w:rPr>
              <w:t>2024</w:t>
            </w:r>
          </w:p>
        </w:tc>
        <w:tc>
          <w:tcPr>
            <w:tcW w:w="1057" w:type="dxa"/>
          </w:tcPr>
          <w:p w14:paraId="0AB05BBD" w14:textId="77777777" w:rsidR="007A6564" w:rsidRPr="00DB24E5" w:rsidRDefault="007A6564" w:rsidP="00E9738B">
            <w:pPr>
              <w:spacing w:after="60"/>
              <w:jc w:val="center"/>
              <w:rPr>
                <w:b/>
                <w:sz w:val="18"/>
                <w:lang w:val="es-ES"/>
              </w:rPr>
            </w:pPr>
            <w:r w:rsidRPr="00DB24E5">
              <w:rPr>
                <w:b/>
                <w:sz w:val="18"/>
                <w:lang w:val="es-ES"/>
              </w:rPr>
              <w:t>2025</w:t>
            </w:r>
          </w:p>
        </w:tc>
        <w:tc>
          <w:tcPr>
            <w:tcW w:w="1057" w:type="dxa"/>
          </w:tcPr>
          <w:p w14:paraId="2ABC2745" w14:textId="77777777" w:rsidR="007A6564" w:rsidRPr="00DB24E5" w:rsidRDefault="007A6564" w:rsidP="00E9738B">
            <w:pPr>
              <w:spacing w:after="60"/>
              <w:jc w:val="center"/>
              <w:rPr>
                <w:b/>
                <w:sz w:val="18"/>
                <w:szCs w:val="18"/>
                <w:lang w:val="es-ES"/>
              </w:rPr>
            </w:pPr>
            <w:r w:rsidRPr="00DB24E5">
              <w:rPr>
                <w:b/>
                <w:sz w:val="18"/>
                <w:szCs w:val="18"/>
                <w:lang w:val="es-ES"/>
              </w:rPr>
              <w:t>Total</w:t>
            </w:r>
          </w:p>
        </w:tc>
      </w:tr>
      <w:tr w:rsidR="007A6564" w:rsidRPr="00DB24E5" w14:paraId="0F9581BA" w14:textId="77777777" w:rsidTr="00A6655A">
        <w:trPr>
          <w:jc w:val="center"/>
        </w:trPr>
        <w:tc>
          <w:tcPr>
            <w:tcW w:w="3846" w:type="dxa"/>
            <w:gridSpan w:val="3"/>
            <w:shd w:val="clear" w:color="auto" w:fill="auto"/>
          </w:tcPr>
          <w:p w14:paraId="71C915E4" w14:textId="264AC960" w:rsidR="007A6564" w:rsidRPr="00DB24E5" w:rsidRDefault="00946EBD" w:rsidP="00946EBD">
            <w:pPr>
              <w:spacing w:after="60"/>
              <w:jc w:val="left"/>
              <w:rPr>
                <w:sz w:val="18"/>
                <w:lang w:val="es-ES"/>
              </w:rPr>
            </w:pPr>
            <w:r>
              <w:rPr>
                <w:sz w:val="18"/>
                <w:lang w:val="es-ES"/>
              </w:rPr>
              <w:t xml:space="preserve">Límites de consumo establecidos en el Protocolo de </w:t>
            </w:r>
            <w:r w:rsidR="007A6564" w:rsidRPr="00DB24E5">
              <w:rPr>
                <w:sz w:val="18"/>
                <w:lang w:val="es-ES"/>
              </w:rPr>
              <w:t>Montreal</w:t>
            </w:r>
          </w:p>
        </w:tc>
        <w:tc>
          <w:tcPr>
            <w:tcW w:w="1057" w:type="dxa"/>
            <w:shd w:val="clear" w:color="auto" w:fill="auto"/>
          </w:tcPr>
          <w:p w14:paraId="4A59CE5A" w14:textId="693A1F67" w:rsidR="007A6564" w:rsidRPr="00DB24E5" w:rsidRDefault="007A6564" w:rsidP="0078039C">
            <w:pPr>
              <w:spacing w:after="60"/>
              <w:jc w:val="right"/>
              <w:rPr>
                <w:sz w:val="18"/>
                <w:szCs w:val="18"/>
                <w:lang w:val="es-ES"/>
              </w:rPr>
            </w:pPr>
            <w:r w:rsidRPr="00DB24E5">
              <w:rPr>
                <w:sz w:val="18"/>
                <w:szCs w:val="18"/>
                <w:lang w:val="es-ES"/>
              </w:rPr>
              <w:t>0</w:t>
            </w:r>
            <w:r w:rsidR="0078039C">
              <w:rPr>
                <w:sz w:val="18"/>
                <w:szCs w:val="18"/>
                <w:lang w:val="es-ES"/>
              </w:rPr>
              <w:t>,</w:t>
            </w:r>
            <w:r w:rsidRPr="00DB24E5">
              <w:rPr>
                <w:sz w:val="18"/>
                <w:szCs w:val="18"/>
                <w:lang w:val="es-ES"/>
              </w:rPr>
              <w:t>52</w:t>
            </w:r>
          </w:p>
        </w:tc>
        <w:tc>
          <w:tcPr>
            <w:tcW w:w="1057" w:type="dxa"/>
            <w:shd w:val="clear" w:color="auto" w:fill="auto"/>
          </w:tcPr>
          <w:p w14:paraId="724E3CB7" w14:textId="62A194E5" w:rsidR="007A6564" w:rsidRPr="00DB24E5" w:rsidRDefault="007A6564" w:rsidP="0078039C">
            <w:pPr>
              <w:spacing w:after="60"/>
              <w:jc w:val="right"/>
              <w:rPr>
                <w:sz w:val="18"/>
                <w:szCs w:val="18"/>
                <w:lang w:val="es-ES"/>
              </w:rPr>
            </w:pPr>
            <w:r w:rsidRPr="00DB24E5">
              <w:rPr>
                <w:sz w:val="18"/>
                <w:szCs w:val="18"/>
                <w:lang w:val="es-ES"/>
              </w:rPr>
              <w:t>0</w:t>
            </w:r>
            <w:r w:rsidR="0078039C">
              <w:rPr>
                <w:sz w:val="18"/>
                <w:szCs w:val="18"/>
                <w:lang w:val="es-ES"/>
              </w:rPr>
              <w:t>,</w:t>
            </w:r>
            <w:r w:rsidRPr="00DB24E5">
              <w:rPr>
                <w:sz w:val="18"/>
                <w:szCs w:val="18"/>
                <w:lang w:val="es-ES"/>
              </w:rPr>
              <w:t>52</w:t>
            </w:r>
          </w:p>
        </w:tc>
        <w:tc>
          <w:tcPr>
            <w:tcW w:w="1057" w:type="dxa"/>
            <w:shd w:val="clear" w:color="auto" w:fill="auto"/>
          </w:tcPr>
          <w:p w14:paraId="3E7C3982" w14:textId="65DAE706" w:rsidR="007A6564" w:rsidRPr="00DB24E5" w:rsidRDefault="007A6564" w:rsidP="0078039C">
            <w:pPr>
              <w:spacing w:after="60"/>
              <w:jc w:val="right"/>
              <w:rPr>
                <w:sz w:val="18"/>
                <w:szCs w:val="18"/>
                <w:lang w:val="es-ES"/>
              </w:rPr>
            </w:pPr>
            <w:r w:rsidRPr="00DB24E5">
              <w:rPr>
                <w:sz w:val="18"/>
                <w:szCs w:val="18"/>
                <w:lang w:val="es-ES"/>
              </w:rPr>
              <w:t>0</w:t>
            </w:r>
            <w:r w:rsidR="0078039C">
              <w:rPr>
                <w:sz w:val="18"/>
                <w:szCs w:val="18"/>
                <w:lang w:val="es-ES"/>
              </w:rPr>
              <w:t>,</w:t>
            </w:r>
            <w:r w:rsidRPr="00DB24E5">
              <w:rPr>
                <w:sz w:val="18"/>
                <w:szCs w:val="18"/>
                <w:lang w:val="es-ES"/>
              </w:rPr>
              <w:t>52</w:t>
            </w:r>
          </w:p>
        </w:tc>
        <w:tc>
          <w:tcPr>
            <w:tcW w:w="1057" w:type="dxa"/>
            <w:shd w:val="clear" w:color="auto" w:fill="auto"/>
          </w:tcPr>
          <w:p w14:paraId="3EB701F9" w14:textId="681EEEAD" w:rsidR="007A6564" w:rsidRPr="00DB24E5" w:rsidRDefault="007A6564" w:rsidP="0078039C">
            <w:pPr>
              <w:keepNext/>
              <w:keepLines/>
              <w:jc w:val="right"/>
              <w:rPr>
                <w:rFonts w:eastAsia="Calibri"/>
                <w:color w:val="000000"/>
                <w:sz w:val="18"/>
                <w:szCs w:val="18"/>
                <w:lang w:val="es-ES" w:eastAsia="en-CA"/>
              </w:rPr>
            </w:pPr>
            <w:r w:rsidRPr="00DB24E5">
              <w:rPr>
                <w:rFonts w:eastAsia="Calibri"/>
                <w:color w:val="000000"/>
                <w:sz w:val="18"/>
                <w:szCs w:val="18"/>
                <w:lang w:val="es-ES" w:eastAsia="en-CA"/>
              </w:rPr>
              <w:t>0</w:t>
            </w:r>
            <w:r w:rsidR="0078039C">
              <w:rPr>
                <w:rFonts w:eastAsia="Calibri"/>
                <w:color w:val="000000"/>
                <w:sz w:val="18"/>
                <w:szCs w:val="18"/>
                <w:lang w:val="es-ES" w:eastAsia="en-CA"/>
              </w:rPr>
              <w:t>,</w:t>
            </w:r>
            <w:r w:rsidRPr="00DB24E5">
              <w:rPr>
                <w:rFonts w:eastAsia="Calibri"/>
                <w:color w:val="000000"/>
                <w:sz w:val="18"/>
                <w:szCs w:val="18"/>
                <w:lang w:val="es-ES" w:eastAsia="en-CA"/>
              </w:rPr>
              <w:t>52</w:t>
            </w:r>
          </w:p>
        </w:tc>
        <w:tc>
          <w:tcPr>
            <w:tcW w:w="1057" w:type="dxa"/>
            <w:shd w:val="clear" w:color="auto" w:fill="auto"/>
          </w:tcPr>
          <w:p w14:paraId="0DD38DD1" w14:textId="4B4134BD" w:rsidR="007A6564" w:rsidRPr="00DB24E5" w:rsidRDefault="007A6564" w:rsidP="0078039C">
            <w:pPr>
              <w:spacing w:after="60"/>
              <w:jc w:val="right"/>
              <w:rPr>
                <w:sz w:val="18"/>
                <w:szCs w:val="18"/>
                <w:lang w:val="es-ES"/>
              </w:rPr>
            </w:pPr>
            <w:r w:rsidRPr="00DB24E5">
              <w:rPr>
                <w:sz w:val="18"/>
                <w:szCs w:val="18"/>
                <w:lang w:val="es-ES"/>
              </w:rPr>
              <w:t>0</w:t>
            </w:r>
            <w:r w:rsidR="0078039C">
              <w:rPr>
                <w:sz w:val="18"/>
                <w:szCs w:val="18"/>
                <w:lang w:val="es-ES"/>
              </w:rPr>
              <w:t>,</w:t>
            </w:r>
            <w:r w:rsidRPr="00DB24E5">
              <w:rPr>
                <w:sz w:val="18"/>
                <w:szCs w:val="18"/>
                <w:lang w:val="es-ES"/>
              </w:rPr>
              <w:t>52</w:t>
            </w:r>
          </w:p>
        </w:tc>
        <w:tc>
          <w:tcPr>
            <w:tcW w:w="1057" w:type="dxa"/>
          </w:tcPr>
          <w:p w14:paraId="07F45509" w14:textId="1CE1FCC7" w:rsidR="007A6564" w:rsidRPr="00DB24E5" w:rsidRDefault="007A6564" w:rsidP="0078039C">
            <w:pPr>
              <w:spacing w:after="60"/>
              <w:jc w:val="right"/>
              <w:rPr>
                <w:sz w:val="18"/>
                <w:szCs w:val="18"/>
                <w:lang w:val="es-ES"/>
              </w:rPr>
            </w:pPr>
            <w:r w:rsidRPr="00DB24E5">
              <w:rPr>
                <w:sz w:val="18"/>
                <w:szCs w:val="18"/>
                <w:lang w:val="es-ES"/>
              </w:rPr>
              <w:t>0</w:t>
            </w:r>
            <w:r w:rsidR="0078039C">
              <w:rPr>
                <w:sz w:val="18"/>
                <w:szCs w:val="18"/>
                <w:lang w:val="es-ES"/>
              </w:rPr>
              <w:t>,</w:t>
            </w:r>
            <w:r w:rsidRPr="00DB24E5">
              <w:rPr>
                <w:sz w:val="18"/>
                <w:szCs w:val="18"/>
                <w:lang w:val="es-ES"/>
              </w:rPr>
              <w:t>26</w:t>
            </w:r>
          </w:p>
        </w:tc>
        <w:tc>
          <w:tcPr>
            <w:tcW w:w="1057" w:type="dxa"/>
          </w:tcPr>
          <w:p w14:paraId="436EE009" w14:textId="77777777" w:rsidR="007A6564" w:rsidRPr="00DB24E5" w:rsidRDefault="007A6564" w:rsidP="00E9738B">
            <w:pPr>
              <w:spacing w:after="60"/>
              <w:jc w:val="right"/>
              <w:rPr>
                <w:sz w:val="18"/>
                <w:szCs w:val="18"/>
                <w:lang w:val="es-ES"/>
              </w:rPr>
            </w:pPr>
            <w:r w:rsidRPr="00DB24E5">
              <w:rPr>
                <w:sz w:val="18"/>
                <w:szCs w:val="18"/>
                <w:lang w:val="es-ES"/>
              </w:rPr>
              <w:t>n/a</w:t>
            </w:r>
          </w:p>
        </w:tc>
      </w:tr>
      <w:tr w:rsidR="007A6564" w:rsidRPr="00DB24E5" w14:paraId="789A1B13" w14:textId="77777777" w:rsidTr="00A6655A">
        <w:trPr>
          <w:jc w:val="center"/>
        </w:trPr>
        <w:tc>
          <w:tcPr>
            <w:tcW w:w="3846" w:type="dxa"/>
            <w:gridSpan w:val="3"/>
            <w:shd w:val="clear" w:color="auto" w:fill="auto"/>
          </w:tcPr>
          <w:p w14:paraId="759E88D8" w14:textId="2C30E94B" w:rsidR="007A6564" w:rsidRPr="00946EBD" w:rsidRDefault="00946EBD" w:rsidP="00946EBD">
            <w:pPr>
              <w:spacing w:after="60"/>
              <w:jc w:val="left"/>
              <w:rPr>
                <w:sz w:val="18"/>
                <w:lang w:val="es-ES"/>
              </w:rPr>
            </w:pPr>
            <w:r w:rsidRPr="00946EBD">
              <w:rPr>
                <w:sz w:val="18"/>
                <w:lang w:val="es-ES"/>
              </w:rPr>
              <w:t>Consumo máximo admisible</w:t>
            </w:r>
            <w:r w:rsidR="007A6564" w:rsidRPr="00946EBD">
              <w:rPr>
                <w:sz w:val="18"/>
                <w:lang w:val="es-ES"/>
              </w:rPr>
              <w:t xml:space="preserve"> (</w:t>
            </w:r>
            <w:r w:rsidR="0001658C" w:rsidRPr="00946EBD">
              <w:rPr>
                <w:sz w:val="18"/>
                <w:lang w:val="es-ES"/>
              </w:rPr>
              <w:t>toneladas PAO</w:t>
            </w:r>
            <w:r w:rsidR="007A6564" w:rsidRPr="00946EBD">
              <w:rPr>
                <w:sz w:val="18"/>
                <w:lang w:val="es-ES"/>
              </w:rPr>
              <w:t>)</w:t>
            </w:r>
          </w:p>
        </w:tc>
        <w:tc>
          <w:tcPr>
            <w:tcW w:w="1057" w:type="dxa"/>
            <w:shd w:val="clear" w:color="auto" w:fill="auto"/>
          </w:tcPr>
          <w:p w14:paraId="5DF4C339" w14:textId="506509E3" w:rsidR="007A6564" w:rsidRPr="00DB24E5" w:rsidRDefault="007A6564" w:rsidP="0078039C">
            <w:pPr>
              <w:spacing w:after="60"/>
              <w:jc w:val="right"/>
              <w:rPr>
                <w:sz w:val="18"/>
                <w:szCs w:val="18"/>
                <w:lang w:val="es-ES"/>
              </w:rPr>
            </w:pPr>
            <w:r w:rsidRPr="00DB24E5">
              <w:rPr>
                <w:sz w:val="18"/>
                <w:szCs w:val="18"/>
                <w:lang w:val="es-ES"/>
              </w:rPr>
              <w:t>0</w:t>
            </w:r>
            <w:r w:rsidR="0078039C">
              <w:rPr>
                <w:sz w:val="18"/>
                <w:szCs w:val="18"/>
                <w:lang w:val="es-ES"/>
              </w:rPr>
              <w:t>,</w:t>
            </w:r>
            <w:r w:rsidRPr="00DB24E5">
              <w:rPr>
                <w:sz w:val="18"/>
                <w:szCs w:val="18"/>
                <w:lang w:val="es-ES"/>
              </w:rPr>
              <w:t>52</w:t>
            </w:r>
          </w:p>
        </w:tc>
        <w:tc>
          <w:tcPr>
            <w:tcW w:w="1057" w:type="dxa"/>
            <w:shd w:val="clear" w:color="auto" w:fill="auto"/>
          </w:tcPr>
          <w:p w14:paraId="11F24C2F" w14:textId="280C1A05" w:rsidR="007A6564" w:rsidRPr="00DB24E5" w:rsidRDefault="007A6564" w:rsidP="0078039C">
            <w:pPr>
              <w:spacing w:after="60"/>
              <w:jc w:val="right"/>
              <w:rPr>
                <w:sz w:val="18"/>
                <w:szCs w:val="18"/>
                <w:lang w:val="es-ES"/>
              </w:rPr>
            </w:pPr>
            <w:r w:rsidRPr="00DB24E5">
              <w:rPr>
                <w:sz w:val="18"/>
                <w:szCs w:val="18"/>
                <w:lang w:val="es-ES"/>
              </w:rPr>
              <w:t>0</w:t>
            </w:r>
            <w:r w:rsidR="0078039C">
              <w:rPr>
                <w:sz w:val="18"/>
                <w:szCs w:val="18"/>
                <w:lang w:val="es-ES"/>
              </w:rPr>
              <w:t>,</w:t>
            </w:r>
            <w:r w:rsidRPr="00DB24E5">
              <w:rPr>
                <w:sz w:val="18"/>
                <w:szCs w:val="18"/>
                <w:lang w:val="es-ES"/>
              </w:rPr>
              <w:t>3</w:t>
            </w:r>
            <w:r w:rsidR="000465EA" w:rsidRPr="00DB24E5">
              <w:rPr>
                <w:sz w:val="18"/>
                <w:szCs w:val="18"/>
                <w:lang w:val="es-ES"/>
              </w:rPr>
              <w:t>9</w:t>
            </w:r>
          </w:p>
        </w:tc>
        <w:tc>
          <w:tcPr>
            <w:tcW w:w="1057" w:type="dxa"/>
            <w:shd w:val="clear" w:color="auto" w:fill="auto"/>
          </w:tcPr>
          <w:p w14:paraId="17615ED3" w14:textId="39B00704" w:rsidR="007A6564" w:rsidRPr="00DB24E5" w:rsidRDefault="007A6564" w:rsidP="0078039C">
            <w:pPr>
              <w:spacing w:after="60"/>
              <w:jc w:val="right"/>
              <w:rPr>
                <w:sz w:val="18"/>
                <w:szCs w:val="18"/>
                <w:lang w:val="es-ES"/>
              </w:rPr>
            </w:pPr>
            <w:r w:rsidRPr="00DB24E5">
              <w:rPr>
                <w:sz w:val="18"/>
                <w:szCs w:val="18"/>
                <w:lang w:val="es-ES"/>
              </w:rPr>
              <w:t>0</w:t>
            </w:r>
            <w:r w:rsidR="0078039C">
              <w:rPr>
                <w:sz w:val="18"/>
                <w:szCs w:val="18"/>
                <w:lang w:val="es-ES"/>
              </w:rPr>
              <w:t>,</w:t>
            </w:r>
            <w:r w:rsidRPr="00DB24E5">
              <w:rPr>
                <w:sz w:val="18"/>
                <w:szCs w:val="18"/>
                <w:lang w:val="es-ES"/>
              </w:rPr>
              <w:t>23</w:t>
            </w:r>
          </w:p>
        </w:tc>
        <w:tc>
          <w:tcPr>
            <w:tcW w:w="1057" w:type="dxa"/>
            <w:shd w:val="clear" w:color="auto" w:fill="auto"/>
          </w:tcPr>
          <w:p w14:paraId="0D7F7D87" w14:textId="6468DD89" w:rsidR="007A6564" w:rsidRPr="00DB24E5" w:rsidRDefault="007A6564" w:rsidP="0078039C">
            <w:pPr>
              <w:keepNext/>
              <w:keepLines/>
              <w:jc w:val="right"/>
              <w:rPr>
                <w:rFonts w:eastAsia="Calibri"/>
                <w:color w:val="000000"/>
                <w:sz w:val="18"/>
                <w:szCs w:val="18"/>
                <w:lang w:val="es-ES" w:eastAsia="en-CA"/>
              </w:rPr>
            </w:pPr>
            <w:r w:rsidRPr="00DB24E5">
              <w:rPr>
                <w:rFonts w:eastAsia="Calibri"/>
                <w:color w:val="000000"/>
                <w:sz w:val="18"/>
                <w:szCs w:val="18"/>
                <w:lang w:val="es-ES" w:eastAsia="en-CA"/>
              </w:rPr>
              <w:t>0</w:t>
            </w:r>
            <w:r w:rsidR="0078039C">
              <w:rPr>
                <w:rFonts w:eastAsia="Calibri"/>
                <w:color w:val="000000"/>
                <w:sz w:val="18"/>
                <w:szCs w:val="18"/>
                <w:lang w:val="es-ES" w:eastAsia="en-CA"/>
              </w:rPr>
              <w:t>,</w:t>
            </w:r>
            <w:r w:rsidRPr="00DB24E5">
              <w:rPr>
                <w:rFonts w:eastAsia="Calibri"/>
                <w:color w:val="000000"/>
                <w:sz w:val="18"/>
                <w:szCs w:val="18"/>
                <w:lang w:val="es-ES" w:eastAsia="en-CA"/>
              </w:rPr>
              <w:t>15</w:t>
            </w:r>
          </w:p>
        </w:tc>
        <w:tc>
          <w:tcPr>
            <w:tcW w:w="1057" w:type="dxa"/>
            <w:shd w:val="clear" w:color="auto" w:fill="auto"/>
          </w:tcPr>
          <w:p w14:paraId="6EFF5259" w14:textId="11289D54" w:rsidR="007A6564" w:rsidRPr="00DB24E5" w:rsidRDefault="007A6564" w:rsidP="0078039C">
            <w:pPr>
              <w:spacing w:after="60"/>
              <w:jc w:val="right"/>
              <w:rPr>
                <w:sz w:val="18"/>
                <w:szCs w:val="18"/>
                <w:lang w:val="es-ES"/>
              </w:rPr>
            </w:pPr>
            <w:r w:rsidRPr="00DB24E5">
              <w:rPr>
                <w:sz w:val="18"/>
                <w:szCs w:val="18"/>
                <w:lang w:val="es-ES"/>
              </w:rPr>
              <w:t>0</w:t>
            </w:r>
            <w:r w:rsidR="0078039C">
              <w:rPr>
                <w:sz w:val="18"/>
                <w:szCs w:val="18"/>
                <w:lang w:val="es-ES"/>
              </w:rPr>
              <w:t>,</w:t>
            </w:r>
            <w:r w:rsidRPr="00DB24E5">
              <w:rPr>
                <w:sz w:val="18"/>
                <w:szCs w:val="18"/>
                <w:lang w:val="es-ES"/>
              </w:rPr>
              <w:t>0</w:t>
            </w:r>
            <w:r w:rsidR="000465EA" w:rsidRPr="00DB24E5">
              <w:rPr>
                <w:sz w:val="18"/>
                <w:szCs w:val="18"/>
                <w:lang w:val="es-ES"/>
              </w:rPr>
              <w:t>8</w:t>
            </w:r>
          </w:p>
        </w:tc>
        <w:tc>
          <w:tcPr>
            <w:tcW w:w="1057" w:type="dxa"/>
          </w:tcPr>
          <w:p w14:paraId="540703E9" w14:textId="77777777" w:rsidR="007A6564" w:rsidRPr="00DB24E5" w:rsidRDefault="007A6564" w:rsidP="00E9738B">
            <w:pPr>
              <w:spacing w:after="60"/>
              <w:jc w:val="right"/>
              <w:rPr>
                <w:sz w:val="18"/>
                <w:szCs w:val="18"/>
                <w:lang w:val="es-ES"/>
              </w:rPr>
            </w:pPr>
            <w:r w:rsidRPr="00DB24E5">
              <w:rPr>
                <w:sz w:val="18"/>
                <w:szCs w:val="18"/>
                <w:lang w:val="es-ES"/>
              </w:rPr>
              <w:t>0</w:t>
            </w:r>
          </w:p>
        </w:tc>
        <w:tc>
          <w:tcPr>
            <w:tcW w:w="1057" w:type="dxa"/>
          </w:tcPr>
          <w:p w14:paraId="2C2DEAEC" w14:textId="77777777" w:rsidR="007A6564" w:rsidRPr="00DB24E5" w:rsidRDefault="007A6564" w:rsidP="00E9738B">
            <w:pPr>
              <w:spacing w:after="60"/>
              <w:jc w:val="right"/>
              <w:rPr>
                <w:sz w:val="18"/>
                <w:szCs w:val="18"/>
                <w:lang w:val="es-ES"/>
              </w:rPr>
            </w:pPr>
            <w:r w:rsidRPr="00DB24E5">
              <w:rPr>
                <w:sz w:val="18"/>
                <w:szCs w:val="18"/>
                <w:lang w:val="es-ES"/>
              </w:rPr>
              <w:t>n/a</w:t>
            </w:r>
          </w:p>
        </w:tc>
      </w:tr>
      <w:tr w:rsidR="006E77CE" w:rsidRPr="00DB24E5" w14:paraId="5641A2F1" w14:textId="77777777" w:rsidTr="00946EBD">
        <w:trPr>
          <w:jc w:val="center"/>
        </w:trPr>
        <w:tc>
          <w:tcPr>
            <w:tcW w:w="1573" w:type="dxa"/>
            <w:vMerge w:val="restart"/>
            <w:shd w:val="clear" w:color="auto" w:fill="auto"/>
          </w:tcPr>
          <w:p w14:paraId="4B0DA2B6" w14:textId="28818DE1" w:rsidR="006E77CE" w:rsidRPr="00946EBD" w:rsidRDefault="00946EBD" w:rsidP="00946EBD">
            <w:pPr>
              <w:spacing w:after="60"/>
              <w:jc w:val="left"/>
              <w:rPr>
                <w:sz w:val="18"/>
                <w:lang w:val="es-ES"/>
              </w:rPr>
            </w:pPr>
            <w:r w:rsidRPr="00946EBD">
              <w:rPr>
                <w:sz w:val="18"/>
                <w:lang w:val="es-ES"/>
              </w:rPr>
              <w:t>Costo del proyecto solicitado en principio</w:t>
            </w:r>
            <w:r w:rsidR="006E77CE" w:rsidRPr="00946EBD">
              <w:rPr>
                <w:sz w:val="18"/>
                <w:lang w:val="es-ES"/>
              </w:rPr>
              <w:t xml:space="preserve"> (</w:t>
            </w:r>
            <w:r w:rsidR="008C669C" w:rsidRPr="00946EBD">
              <w:rPr>
                <w:sz w:val="18"/>
                <w:lang w:val="es-ES"/>
              </w:rPr>
              <w:t>$ EUA</w:t>
            </w:r>
            <w:r w:rsidR="006E77CE" w:rsidRPr="00946EBD">
              <w:rPr>
                <w:sz w:val="18"/>
                <w:lang w:val="es-ES"/>
              </w:rPr>
              <w:t>)</w:t>
            </w:r>
          </w:p>
        </w:tc>
        <w:tc>
          <w:tcPr>
            <w:tcW w:w="839" w:type="dxa"/>
            <w:vMerge w:val="restart"/>
            <w:shd w:val="clear" w:color="auto" w:fill="auto"/>
          </w:tcPr>
          <w:p w14:paraId="6527EEDD" w14:textId="72735578" w:rsidR="006E77CE" w:rsidRPr="00DB24E5" w:rsidRDefault="0088461E" w:rsidP="006E77CE">
            <w:pPr>
              <w:spacing w:after="60"/>
              <w:jc w:val="center"/>
              <w:rPr>
                <w:sz w:val="18"/>
                <w:lang w:val="es-ES"/>
              </w:rPr>
            </w:pPr>
            <w:r w:rsidRPr="00DB24E5">
              <w:rPr>
                <w:sz w:val="18"/>
                <w:lang w:val="es-ES"/>
              </w:rPr>
              <w:t>ONUDI</w:t>
            </w:r>
            <w:r w:rsidR="006E77CE" w:rsidRPr="00DB24E5">
              <w:rPr>
                <w:sz w:val="18"/>
                <w:lang w:val="es-ES"/>
              </w:rPr>
              <w:t xml:space="preserve"> </w:t>
            </w:r>
          </w:p>
        </w:tc>
        <w:tc>
          <w:tcPr>
            <w:tcW w:w="1434" w:type="dxa"/>
            <w:shd w:val="clear" w:color="auto" w:fill="auto"/>
          </w:tcPr>
          <w:p w14:paraId="480390D1" w14:textId="4D3D55D8" w:rsidR="006E77CE" w:rsidRPr="00DB24E5" w:rsidRDefault="008C669C" w:rsidP="006E77CE">
            <w:pPr>
              <w:spacing w:after="60"/>
              <w:jc w:val="left"/>
              <w:rPr>
                <w:sz w:val="18"/>
                <w:lang w:val="es-ES"/>
              </w:rPr>
            </w:pPr>
            <w:r w:rsidRPr="00DB24E5">
              <w:rPr>
                <w:sz w:val="18"/>
                <w:lang w:val="es-ES"/>
              </w:rPr>
              <w:t>Costo del proyecto</w:t>
            </w:r>
          </w:p>
        </w:tc>
        <w:tc>
          <w:tcPr>
            <w:tcW w:w="1057" w:type="dxa"/>
            <w:shd w:val="clear" w:color="auto" w:fill="auto"/>
          </w:tcPr>
          <w:p w14:paraId="4BD7776B" w14:textId="511D8C84" w:rsidR="006E77CE" w:rsidRPr="00DB24E5" w:rsidRDefault="006E77CE" w:rsidP="0078039C">
            <w:pPr>
              <w:spacing w:after="60"/>
              <w:jc w:val="right"/>
              <w:rPr>
                <w:sz w:val="18"/>
                <w:szCs w:val="18"/>
                <w:lang w:val="es-ES"/>
              </w:rPr>
            </w:pPr>
            <w:r w:rsidRPr="00DB24E5">
              <w:rPr>
                <w:color w:val="000000"/>
                <w:sz w:val="18"/>
                <w:szCs w:val="18"/>
                <w:lang w:val="es-ES" w:eastAsia="en-CA"/>
              </w:rPr>
              <w:t>296</w:t>
            </w:r>
            <w:r w:rsidR="0078039C">
              <w:rPr>
                <w:color w:val="000000"/>
                <w:sz w:val="18"/>
                <w:szCs w:val="18"/>
                <w:lang w:val="es-ES" w:eastAsia="en-CA"/>
              </w:rPr>
              <w:t>.</w:t>
            </w:r>
            <w:r w:rsidRPr="00DB24E5">
              <w:rPr>
                <w:color w:val="000000"/>
                <w:sz w:val="18"/>
                <w:szCs w:val="18"/>
                <w:lang w:val="es-ES" w:eastAsia="en-CA"/>
              </w:rPr>
              <w:t>500</w:t>
            </w:r>
          </w:p>
        </w:tc>
        <w:tc>
          <w:tcPr>
            <w:tcW w:w="1057" w:type="dxa"/>
            <w:shd w:val="clear" w:color="auto" w:fill="auto"/>
          </w:tcPr>
          <w:p w14:paraId="240D2761" w14:textId="2DC87BF3" w:rsidR="006E77CE" w:rsidRPr="00DB24E5" w:rsidRDefault="00A166F6" w:rsidP="00A166F6">
            <w:pPr>
              <w:spacing w:after="60"/>
              <w:jc w:val="right"/>
              <w:rPr>
                <w:sz w:val="18"/>
                <w:szCs w:val="18"/>
                <w:lang w:val="es-ES"/>
              </w:rPr>
            </w:pPr>
            <w:r w:rsidRPr="00DB24E5">
              <w:rPr>
                <w:color w:val="000000"/>
                <w:sz w:val="18"/>
                <w:szCs w:val="18"/>
                <w:lang w:val="es-ES" w:eastAsia="en-CA"/>
              </w:rPr>
              <w:t>0</w:t>
            </w:r>
          </w:p>
        </w:tc>
        <w:tc>
          <w:tcPr>
            <w:tcW w:w="1057" w:type="dxa"/>
            <w:shd w:val="clear" w:color="auto" w:fill="auto"/>
          </w:tcPr>
          <w:p w14:paraId="27AC701C" w14:textId="5D5F66A2" w:rsidR="006E77CE" w:rsidRPr="00DB24E5" w:rsidRDefault="006E77CE" w:rsidP="0078039C">
            <w:pPr>
              <w:spacing w:after="60"/>
              <w:jc w:val="right"/>
              <w:rPr>
                <w:sz w:val="18"/>
                <w:szCs w:val="18"/>
                <w:lang w:val="es-ES"/>
              </w:rPr>
            </w:pPr>
            <w:r w:rsidRPr="00DB24E5">
              <w:rPr>
                <w:color w:val="000000"/>
                <w:sz w:val="18"/>
                <w:szCs w:val="18"/>
                <w:lang w:val="es-ES" w:eastAsia="en-CA"/>
              </w:rPr>
              <w:t>275</w:t>
            </w:r>
            <w:r w:rsidR="0078039C">
              <w:rPr>
                <w:color w:val="000000"/>
                <w:sz w:val="18"/>
                <w:szCs w:val="18"/>
                <w:lang w:val="es-ES" w:eastAsia="en-CA"/>
              </w:rPr>
              <w:t>.</w:t>
            </w:r>
            <w:r w:rsidRPr="00DB24E5">
              <w:rPr>
                <w:color w:val="000000"/>
                <w:sz w:val="18"/>
                <w:szCs w:val="18"/>
                <w:lang w:val="es-ES" w:eastAsia="en-CA"/>
              </w:rPr>
              <w:t>000</w:t>
            </w:r>
          </w:p>
        </w:tc>
        <w:tc>
          <w:tcPr>
            <w:tcW w:w="1057" w:type="dxa"/>
            <w:shd w:val="clear" w:color="auto" w:fill="auto"/>
          </w:tcPr>
          <w:p w14:paraId="1D559AAC" w14:textId="58352998" w:rsidR="006E77CE" w:rsidRPr="00DB24E5" w:rsidRDefault="00A166F6" w:rsidP="006E77CE">
            <w:pPr>
              <w:spacing w:after="60"/>
              <w:jc w:val="right"/>
              <w:rPr>
                <w:sz w:val="18"/>
                <w:szCs w:val="18"/>
                <w:lang w:val="es-ES"/>
              </w:rPr>
            </w:pPr>
            <w:r w:rsidRPr="00DB24E5">
              <w:rPr>
                <w:sz w:val="18"/>
                <w:szCs w:val="18"/>
                <w:lang w:val="es-ES"/>
              </w:rPr>
              <w:t>0</w:t>
            </w:r>
          </w:p>
        </w:tc>
        <w:tc>
          <w:tcPr>
            <w:tcW w:w="1057" w:type="dxa"/>
            <w:shd w:val="clear" w:color="auto" w:fill="auto"/>
          </w:tcPr>
          <w:p w14:paraId="781B6A4F" w14:textId="60EE82AA" w:rsidR="006E77CE" w:rsidRPr="00DB24E5" w:rsidRDefault="00A166F6" w:rsidP="006E77CE">
            <w:pPr>
              <w:spacing w:after="60"/>
              <w:jc w:val="right"/>
              <w:rPr>
                <w:sz w:val="18"/>
                <w:szCs w:val="18"/>
                <w:lang w:val="es-ES"/>
              </w:rPr>
            </w:pPr>
            <w:r w:rsidRPr="00DB24E5">
              <w:rPr>
                <w:sz w:val="18"/>
                <w:szCs w:val="18"/>
                <w:lang w:val="es-ES"/>
              </w:rPr>
              <w:t>0</w:t>
            </w:r>
          </w:p>
        </w:tc>
        <w:tc>
          <w:tcPr>
            <w:tcW w:w="1057" w:type="dxa"/>
          </w:tcPr>
          <w:p w14:paraId="4ECA50E2" w14:textId="67AC7311" w:rsidR="006E77CE" w:rsidRPr="00DB24E5" w:rsidRDefault="006E77CE" w:rsidP="0078039C">
            <w:pPr>
              <w:spacing w:after="60"/>
              <w:jc w:val="right"/>
              <w:rPr>
                <w:sz w:val="18"/>
                <w:szCs w:val="18"/>
                <w:lang w:val="es-ES"/>
              </w:rPr>
            </w:pPr>
            <w:r w:rsidRPr="00DB24E5">
              <w:rPr>
                <w:color w:val="000000"/>
                <w:sz w:val="18"/>
                <w:szCs w:val="18"/>
                <w:lang w:val="es-ES" w:eastAsia="en-CA"/>
              </w:rPr>
              <w:t>64</w:t>
            </w:r>
            <w:r w:rsidR="0078039C">
              <w:rPr>
                <w:color w:val="000000"/>
                <w:sz w:val="18"/>
                <w:szCs w:val="18"/>
                <w:lang w:val="es-ES" w:eastAsia="en-CA"/>
              </w:rPr>
              <w:t>.</w:t>
            </w:r>
            <w:r w:rsidRPr="00DB24E5">
              <w:rPr>
                <w:color w:val="000000"/>
                <w:sz w:val="18"/>
                <w:szCs w:val="18"/>
                <w:lang w:val="es-ES" w:eastAsia="en-CA"/>
              </w:rPr>
              <w:t>000</w:t>
            </w:r>
          </w:p>
        </w:tc>
        <w:tc>
          <w:tcPr>
            <w:tcW w:w="1057" w:type="dxa"/>
          </w:tcPr>
          <w:p w14:paraId="428DD56E" w14:textId="4066BDF9" w:rsidR="006E77CE" w:rsidRPr="00DB24E5" w:rsidRDefault="006E77CE" w:rsidP="0078039C">
            <w:pPr>
              <w:spacing w:after="60"/>
              <w:jc w:val="right"/>
              <w:rPr>
                <w:sz w:val="18"/>
                <w:szCs w:val="18"/>
                <w:lang w:val="es-ES"/>
              </w:rPr>
            </w:pPr>
            <w:r w:rsidRPr="00DB24E5">
              <w:rPr>
                <w:color w:val="000000"/>
                <w:sz w:val="18"/>
                <w:szCs w:val="18"/>
                <w:lang w:val="es-ES" w:eastAsia="en-CA"/>
              </w:rPr>
              <w:t>635</w:t>
            </w:r>
            <w:r w:rsidR="0078039C">
              <w:rPr>
                <w:color w:val="000000"/>
                <w:sz w:val="18"/>
                <w:szCs w:val="18"/>
                <w:lang w:val="es-ES" w:eastAsia="en-CA"/>
              </w:rPr>
              <w:t>.</w:t>
            </w:r>
            <w:r w:rsidRPr="00DB24E5">
              <w:rPr>
                <w:color w:val="000000"/>
                <w:sz w:val="18"/>
                <w:szCs w:val="18"/>
                <w:lang w:val="es-ES" w:eastAsia="en-CA"/>
              </w:rPr>
              <w:t>500</w:t>
            </w:r>
          </w:p>
        </w:tc>
      </w:tr>
      <w:tr w:rsidR="006E77CE" w:rsidRPr="00DB24E5" w14:paraId="634D38E7" w14:textId="77777777" w:rsidTr="00946EBD">
        <w:trPr>
          <w:trHeight w:val="278"/>
          <w:jc w:val="center"/>
        </w:trPr>
        <w:tc>
          <w:tcPr>
            <w:tcW w:w="1573" w:type="dxa"/>
            <w:vMerge/>
            <w:shd w:val="clear" w:color="auto" w:fill="auto"/>
          </w:tcPr>
          <w:p w14:paraId="2F14EA6B" w14:textId="77777777" w:rsidR="006E77CE" w:rsidRPr="00DB24E5" w:rsidRDefault="006E77CE" w:rsidP="006E77CE">
            <w:pPr>
              <w:spacing w:after="60"/>
              <w:jc w:val="center"/>
              <w:rPr>
                <w:sz w:val="18"/>
                <w:lang w:val="es-ES"/>
              </w:rPr>
            </w:pPr>
          </w:p>
        </w:tc>
        <w:tc>
          <w:tcPr>
            <w:tcW w:w="839" w:type="dxa"/>
            <w:vMerge/>
            <w:shd w:val="clear" w:color="auto" w:fill="auto"/>
          </w:tcPr>
          <w:p w14:paraId="5071CFCE" w14:textId="77777777" w:rsidR="006E77CE" w:rsidRPr="00DB24E5" w:rsidRDefault="006E77CE" w:rsidP="006E77CE">
            <w:pPr>
              <w:spacing w:after="60"/>
              <w:jc w:val="center"/>
              <w:rPr>
                <w:sz w:val="18"/>
                <w:lang w:val="es-ES"/>
              </w:rPr>
            </w:pPr>
          </w:p>
        </w:tc>
        <w:tc>
          <w:tcPr>
            <w:tcW w:w="1434" w:type="dxa"/>
            <w:shd w:val="clear" w:color="auto" w:fill="auto"/>
          </w:tcPr>
          <w:p w14:paraId="393DEFDF" w14:textId="5AA4DABD" w:rsidR="006E77CE" w:rsidRPr="00DB24E5" w:rsidRDefault="008C669C" w:rsidP="006E77CE">
            <w:pPr>
              <w:spacing w:after="60"/>
              <w:jc w:val="left"/>
              <w:rPr>
                <w:sz w:val="18"/>
                <w:lang w:val="es-ES"/>
              </w:rPr>
            </w:pPr>
            <w:r w:rsidRPr="00DB24E5">
              <w:rPr>
                <w:sz w:val="18"/>
                <w:lang w:val="es-ES"/>
              </w:rPr>
              <w:t>Gastos de apoyo</w:t>
            </w:r>
          </w:p>
        </w:tc>
        <w:tc>
          <w:tcPr>
            <w:tcW w:w="1057" w:type="dxa"/>
            <w:shd w:val="clear" w:color="auto" w:fill="auto"/>
          </w:tcPr>
          <w:p w14:paraId="18281648" w14:textId="41B16F79" w:rsidR="006E77CE" w:rsidRPr="00DB24E5" w:rsidRDefault="006E77CE" w:rsidP="0078039C">
            <w:pPr>
              <w:spacing w:after="60"/>
              <w:jc w:val="right"/>
              <w:rPr>
                <w:sz w:val="18"/>
                <w:szCs w:val="18"/>
                <w:lang w:val="es-ES"/>
              </w:rPr>
            </w:pPr>
            <w:r w:rsidRPr="00DB24E5">
              <w:rPr>
                <w:color w:val="000000"/>
                <w:sz w:val="18"/>
                <w:szCs w:val="18"/>
                <w:lang w:val="es-ES" w:eastAsia="en-CA"/>
              </w:rPr>
              <w:t>20</w:t>
            </w:r>
            <w:r w:rsidR="0078039C">
              <w:rPr>
                <w:color w:val="000000"/>
                <w:sz w:val="18"/>
                <w:szCs w:val="18"/>
                <w:lang w:val="es-ES" w:eastAsia="en-CA"/>
              </w:rPr>
              <w:t>.</w:t>
            </w:r>
            <w:r w:rsidRPr="00DB24E5">
              <w:rPr>
                <w:color w:val="000000"/>
                <w:sz w:val="18"/>
                <w:szCs w:val="18"/>
                <w:lang w:val="es-ES" w:eastAsia="en-CA"/>
              </w:rPr>
              <w:t>755</w:t>
            </w:r>
          </w:p>
        </w:tc>
        <w:tc>
          <w:tcPr>
            <w:tcW w:w="1057" w:type="dxa"/>
            <w:shd w:val="clear" w:color="auto" w:fill="auto"/>
          </w:tcPr>
          <w:p w14:paraId="54EB7A95" w14:textId="0EDA3EE6" w:rsidR="006E77CE" w:rsidRPr="00DB24E5" w:rsidRDefault="006E77CE" w:rsidP="006E77CE">
            <w:pPr>
              <w:spacing w:after="60"/>
              <w:jc w:val="right"/>
              <w:rPr>
                <w:sz w:val="18"/>
                <w:szCs w:val="18"/>
                <w:lang w:val="es-ES"/>
              </w:rPr>
            </w:pPr>
            <w:r w:rsidRPr="00DB24E5">
              <w:rPr>
                <w:color w:val="000000"/>
                <w:sz w:val="18"/>
                <w:szCs w:val="18"/>
                <w:lang w:val="es-ES" w:eastAsia="en-CA"/>
              </w:rPr>
              <w:t> </w:t>
            </w:r>
            <w:r w:rsidR="00A166F6" w:rsidRPr="00DB24E5">
              <w:rPr>
                <w:color w:val="000000"/>
                <w:sz w:val="18"/>
                <w:szCs w:val="18"/>
                <w:lang w:val="es-ES" w:eastAsia="en-CA"/>
              </w:rPr>
              <w:t>0</w:t>
            </w:r>
          </w:p>
        </w:tc>
        <w:tc>
          <w:tcPr>
            <w:tcW w:w="1057" w:type="dxa"/>
            <w:shd w:val="clear" w:color="auto" w:fill="auto"/>
          </w:tcPr>
          <w:p w14:paraId="68CA8955" w14:textId="579274AE" w:rsidR="006E77CE" w:rsidRPr="00DB24E5" w:rsidRDefault="006E77CE" w:rsidP="0078039C">
            <w:pPr>
              <w:spacing w:after="60"/>
              <w:jc w:val="right"/>
              <w:rPr>
                <w:sz w:val="18"/>
                <w:szCs w:val="18"/>
                <w:lang w:val="es-ES"/>
              </w:rPr>
            </w:pPr>
            <w:r w:rsidRPr="00DB24E5">
              <w:rPr>
                <w:color w:val="000000"/>
                <w:sz w:val="18"/>
                <w:szCs w:val="18"/>
                <w:lang w:val="es-ES" w:eastAsia="en-CA"/>
              </w:rPr>
              <w:t>19</w:t>
            </w:r>
            <w:r w:rsidR="0078039C">
              <w:rPr>
                <w:color w:val="000000"/>
                <w:sz w:val="18"/>
                <w:szCs w:val="18"/>
                <w:lang w:val="es-ES" w:eastAsia="en-CA"/>
              </w:rPr>
              <w:t>.</w:t>
            </w:r>
            <w:r w:rsidRPr="00DB24E5">
              <w:rPr>
                <w:color w:val="000000"/>
                <w:sz w:val="18"/>
                <w:szCs w:val="18"/>
                <w:lang w:val="es-ES" w:eastAsia="en-CA"/>
              </w:rPr>
              <w:t>250</w:t>
            </w:r>
          </w:p>
        </w:tc>
        <w:tc>
          <w:tcPr>
            <w:tcW w:w="1057" w:type="dxa"/>
            <w:shd w:val="clear" w:color="auto" w:fill="auto"/>
          </w:tcPr>
          <w:p w14:paraId="3D036E9A" w14:textId="4E32FF12" w:rsidR="006E77CE" w:rsidRPr="00DB24E5" w:rsidRDefault="00A166F6" w:rsidP="006E77CE">
            <w:pPr>
              <w:spacing w:after="60"/>
              <w:jc w:val="right"/>
              <w:rPr>
                <w:sz w:val="18"/>
                <w:szCs w:val="18"/>
                <w:lang w:val="es-ES"/>
              </w:rPr>
            </w:pPr>
            <w:r w:rsidRPr="00DB24E5">
              <w:rPr>
                <w:sz w:val="18"/>
                <w:szCs w:val="18"/>
                <w:lang w:val="es-ES"/>
              </w:rPr>
              <w:t>0</w:t>
            </w:r>
          </w:p>
        </w:tc>
        <w:tc>
          <w:tcPr>
            <w:tcW w:w="1057" w:type="dxa"/>
            <w:shd w:val="clear" w:color="auto" w:fill="auto"/>
          </w:tcPr>
          <w:p w14:paraId="47B6D2ED" w14:textId="26DD8F13" w:rsidR="006E77CE" w:rsidRPr="00DB24E5" w:rsidRDefault="00A166F6" w:rsidP="006E77CE">
            <w:pPr>
              <w:spacing w:after="60"/>
              <w:jc w:val="right"/>
              <w:rPr>
                <w:sz w:val="18"/>
                <w:szCs w:val="18"/>
                <w:lang w:val="es-ES"/>
              </w:rPr>
            </w:pPr>
            <w:r w:rsidRPr="00DB24E5">
              <w:rPr>
                <w:sz w:val="18"/>
                <w:szCs w:val="18"/>
                <w:lang w:val="es-ES"/>
              </w:rPr>
              <w:t>0</w:t>
            </w:r>
          </w:p>
        </w:tc>
        <w:tc>
          <w:tcPr>
            <w:tcW w:w="1057" w:type="dxa"/>
          </w:tcPr>
          <w:p w14:paraId="4BC6A4CA" w14:textId="7FC3C379" w:rsidR="006E77CE" w:rsidRPr="00DB24E5" w:rsidRDefault="006E77CE" w:rsidP="0078039C">
            <w:pPr>
              <w:spacing w:after="60"/>
              <w:jc w:val="right"/>
              <w:rPr>
                <w:sz w:val="18"/>
                <w:szCs w:val="18"/>
                <w:lang w:val="es-ES"/>
              </w:rPr>
            </w:pPr>
            <w:r w:rsidRPr="00DB24E5">
              <w:rPr>
                <w:color w:val="000000"/>
                <w:sz w:val="18"/>
                <w:szCs w:val="18"/>
                <w:lang w:val="es-ES" w:eastAsia="en-CA"/>
              </w:rPr>
              <w:t>4</w:t>
            </w:r>
            <w:r w:rsidR="0078039C">
              <w:rPr>
                <w:color w:val="000000"/>
                <w:sz w:val="18"/>
                <w:szCs w:val="18"/>
                <w:lang w:val="es-ES" w:eastAsia="en-CA"/>
              </w:rPr>
              <w:t>.</w:t>
            </w:r>
            <w:r w:rsidRPr="00DB24E5">
              <w:rPr>
                <w:color w:val="000000"/>
                <w:sz w:val="18"/>
                <w:szCs w:val="18"/>
                <w:lang w:val="es-ES" w:eastAsia="en-CA"/>
              </w:rPr>
              <w:t>480</w:t>
            </w:r>
          </w:p>
        </w:tc>
        <w:tc>
          <w:tcPr>
            <w:tcW w:w="1057" w:type="dxa"/>
          </w:tcPr>
          <w:p w14:paraId="1EACB94B" w14:textId="7E5EAB1B" w:rsidR="006E77CE" w:rsidRPr="00DB24E5" w:rsidRDefault="006E77CE" w:rsidP="0078039C">
            <w:pPr>
              <w:spacing w:after="60"/>
              <w:jc w:val="right"/>
              <w:rPr>
                <w:sz w:val="18"/>
                <w:szCs w:val="18"/>
                <w:lang w:val="es-ES"/>
              </w:rPr>
            </w:pPr>
            <w:r w:rsidRPr="00DB24E5">
              <w:rPr>
                <w:color w:val="000000"/>
                <w:sz w:val="18"/>
                <w:szCs w:val="18"/>
                <w:lang w:val="es-ES" w:eastAsia="en-CA"/>
              </w:rPr>
              <w:t>44</w:t>
            </w:r>
            <w:r w:rsidR="0078039C">
              <w:rPr>
                <w:color w:val="000000"/>
                <w:sz w:val="18"/>
                <w:szCs w:val="18"/>
                <w:lang w:val="es-ES" w:eastAsia="en-CA"/>
              </w:rPr>
              <w:t>.</w:t>
            </w:r>
            <w:r w:rsidRPr="00DB24E5">
              <w:rPr>
                <w:color w:val="000000"/>
                <w:sz w:val="18"/>
                <w:szCs w:val="18"/>
                <w:lang w:val="es-ES" w:eastAsia="en-CA"/>
              </w:rPr>
              <w:t>485</w:t>
            </w:r>
          </w:p>
        </w:tc>
      </w:tr>
      <w:tr w:rsidR="006E77CE" w:rsidRPr="0078039C" w14:paraId="5DF57B9A" w14:textId="77777777" w:rsidTr="00A6655A">
        <w:trPr>
          <w:jc w:val="center"/>
        </w:trPr>
        <w:tc>
          <w:tcPr>
            <w:tcW w:w="3846" w:type="dxa"/>
            <w:gridSpan w:val="3"/>
            <w:shd w:val="clear" w:color="auto" w:fill="auto"/>
          </w:tcPr>
          <w:p w14:paraId="248CDAC6" w14:textId="5F678BE2" w:rsidR="006E77CE" w:rsidRPr="00DB24E5" w:rsidRDefault="00946EBD" w:rsidP="00946EBD">
            <w:pPr>
              <w:spacing w:after="60"/>
              <w:jc w:val="left"/>
              <w:rPr>
                <w:sz w:val="18"/>
                <w:lang w:val="es-ES"/>
              </w:rPr>
            </w:pPr>
            <w:r>
              <w:rPr>
                <w:sz w:val="18"/>
                <w:lang w:val="es-ES"/>
              </w:rPr>
              <w:t>C</w:t>
            </w:r>
            <w:r w:rsidR="008C669C" w:rsidRPr="00DB24E5">
              <w:rPr>
                <w:sz w:val="18"/>
                <w:lang w:val="es-ES"/>
              </w:rPr>
              <w:t xml:space="preserve">osto </w:t>
            </w:r>
            <w:r>
              <w:rPr>
                <w:sz w:val="18"/>
                <w:lang w:val="es-ES"/>
              </w:rPr>
              <w:t xml:space="preserve">total </w:t>
            </w:r>
            <w:r w:rsidR="008C669C" w:rsidRPr="00DB24E5">
              <w:rPr>
                <w:sz w:val="18"/>
                <w:lang w:val="es-ES"/>
              </w:rPr>
              <w:t>del proyecto</w:t>
            </w:r>
            <w:r w:rsidR="006E77CE" w:rsidRPr="00DB24E5">
              <w:rPr>
                <w:sz w:val="18"/>
                <w:lang w:val="es-ES"/>
              </w:rPr>
              <w:t xml:space="preserve"> </w:t>
            </w:r>
            <w:r>
              <w:rPr>
                <w:sz w:val="18"/>
                <w:lang w:val="es-ES"/>
              </w:rPr>
              <w:t>solicitado en principio</w:t>
            </w:r>
            <w:r w:rsidR="006E77CE" w:rsidRPr="00DB24E5">
              <w:rPr>
                <w:sz w:val="18"/>
                <w:lang w:val="es-ES"/>
              </w:rPr>
              <w:t xml:space="preserve"> </w:t>
            </w:r>
            <w:r>
              <w:rPr>
                <w:sz w:val="18"/>
                <w:lang w:val="es-ES"/>
              </w:rPr>
              <w:br/>
            </w:r>
            <w:r w:rsidR="006E77CE" w:rsidRPr="00DB24E5">
              <w:rPr>
                <w:sz w:val="18"/>
                <w:lang w:val="es-ES"/>
              </w:rPr>
              <w:t>(</w:t>
            </w:r>
            <w:r w:rsidR="008C669C" w:rsidRPr="00DB24E5">
              <w:rPr>
                <w:sz w:val="18"/>
                <w:lang w:val="es-ES"/>
              </w:rPr>
              <w:t>$ EUA</w:t>
            </w:r>
            <w:r w:rsidR="006E77CE" w:rsidRPr="00DB24E5">
              <w:rPr>
                <w:sz w:val="18"/>
                <w:lang w:val="es-ES"/>
              </w:rPr>
              <w:t>)</w:t>
            </w:r>
          </w:p>
        </w:tc>
        <w:tc>
          <w:tcPr>
            <w:tcW w:w="1057" w:type="dxa"/>
            <w:shd w:val="clear" w:color="auto" w:fill="auto"/>
          </w:tcPr>
          <w:p w14:paraId="4AB1A423" w14:textId="52093290" w:rsidR="006E77CE" w:rsidRPr="00DB24E5" w:rsidRDefault="006E77CE" w:rsidP="0078039C">
            <w:pPr>
              <w:spacing w:after="60"/>
              <w:jc w:val="right"/>
              <w:rPr>
                <w:sz w:val="18"/>
                <w:szCs w:val="18"/>
                <w:lang w:val="es-ES"/>
              </w:rPr>
            </w:pPr>
            <w:r w:rsidRPr="00DB24E5">
              <w:rPr>
                <w:sz w:val="18"/>
                <w:szCs w:val="18"/>
                <w:lang w:val="es-ES"/>
              </w:rPr>
              <w:t>296</w:t>
            </w:r>
            <w:r w:rsidR="0078039C">
              <w:rPr>
                <w:sz w:val="18"/>
                <w:szCs w:val="18"/>
                <w:lang w:val="es-ES"/>
              </w:rPr>
              <w:t>.</w:t>
            </w:r>
            <w:r w:rsidRPr="00DB24E5">
              <w:rPr>
                <w:sz w:val="18"/>
                <w:szCs w:val="18"/>
                <w:lang w:val="es-ES"/>
              </w:rPr>
              <w:t>500</w:t>
            </w:r>
          </w:p>
        </w:tc>
        <w:tc>
          <w:tcPr>
            <w:tcW w:w="1057" w:type="dxa"/>
            <w:shd w:val="clear" w:color="auto" w:fill="auto"/>
          </w:tcPr>
          <w:p w14:paraId="1BF2B420" w14:textId="41102F58" w:rsidR="006E77CE" w:rsidRPr="00DB24E5" w:rsidRDefault="00A166F6" w:rsidP="006E77CE">
            <w:pPr>
              <w:spacing w:after="60"/>
              <w:jc w:val="right"/>
              <w:rPr>
                <w:sz w:val="18"/>
                <w:szCs w:val="18"/>
                <w:lang w:val="es-ES"/>
              </w:rPr>
            </w:pPr>
            <w:r w:rsidRPr="00DB24E5">
              <w:rPr>
                <w:sz w:val="18"/>
                <w:szCs w:val="18"/>
                <w:lang w:val="es-ES"/>
              </w:rPr>
              <w:t>0</w:t>
            </w:r>
          </w:p>
        </w:tc>
        <w:tc>
          <w:tcPr>
            <w:tcW w:w="1057" w:type="dxa"/>
            <w:shd w:val="clear" w:color="auto" w:fill="auto"/>
          </w:tcPr>
          <w:p w14:paraId="48F4E832" w14:textId="2F4F36E2" w:rsidR="006E77CE" w:rsidRPr="00DB24E5" w:rsidRDefault="006E77CE" w:rsidP="0078039C">
            <w:pPr>
              <w:spacing w:after="60"/>
              <w:jc w:val="right"/>
              <w:rPr>
                <w:sz w:val="18"/>
                <w:szCs w:val="18"/>
                <w:lang w:val="es-ES"/>
              </w:rPr>
            </w:pPr>
            <w:r w:rsidRPr="00DB24E5">
              <w:rPr>
                <w:color w:val="000000"/>
                <w:sz w:val="18"/>
                <w:szCs w:val="18"/>
                <w:lang w:val="es-ES" w:eastAsia="en-CA"/>
              </w:rPr>
              <w:t>275</w:t>
            </w:r>
            <w:r w:rsidR="0078039C">
              <w:rPr>
                <w:color w:val="000000"/>
                <w:sz w:val="18"/>
                <w:szCs w:val="18"/>
                <w:lang w:val="es-ES" w:eastAsia="en-CA"/>
              </w:rPr>
              <w:t>.</w:t>
            </w:r>
            <w:r w:rsidRPr="00DB24E5">
              <w:rPr>
                <w:color w:val="000000"/>
                <w:sz w:val="18"/>
                <w:szCs w:val="18"/>
                <w:lang w:val="es-ES" w:eastAsia="en-CA"/>
              </w:rPr>
              <w:t>000</w:t>
            </w:r>
          </w:p>
        </w:tc>
        <w:tc>
          <w:tcPr>
            <w:tcW w:w="1057" w:type="dxa"/>
            <w:shd w:val="clear" w:color="auto" w:fill="auto"/>
          </w:tcPr>
          <w:p w14:paraId="767CA552" w14:textId="6FED1379" w:rsidR="006E77CE" w:rsidRPr="00DB24E5" w:rsidRDefault="00A166F6" w:rsidP="006E77CE">
            <w:pPr>
              <w:spacing w:after="60"/>
              <w:jc w:val="right"/>
              <w:rPr>
                <w:sz w:val="18"/>
                <w:szCs w:val="18"/>
                <w:lang w:val="es-ES"/>
              </w:rPr>
            </w:pPr>
            <w:r w:rsidRPr="00DB24E5">
              <w:rPr>
                <w:sz w:val="18"/>
                <w:szCs w:val="18"/>
                <w:lang w:val="es-ES"/>
              </w:rPr>
              <w:t>0</w:t>
            </w:r>
          </w:p>
        </w:tc>
        <w:tc>
          <w:tcPr>
            <w:tcW w:w="1057" w:type="dxa"/>
            <w:shd w:val="clear" w:color="auto" w:fill="auto"/>
          </w:tcPr>
          <w:p w14:paraId="26DF2EDB" w14:textId="29365504" w:rsidR="006E77CE" w:rsidRPr="00DB24E5" w:rsidRDefault="00A166F6" w:rsidP="006E77CE">
            <w:pPr>
              <w:spacing w:after="60"/>
              <w:jc w:val="right"/>
              <w:rPr>
                <w:sz w:val="18"/>
                <w:szCs w:val="18"/>
                <w:lang w:val="es-ES"/>
              </w:rPr>
            </w:pPr>
            <w:r w:rsidRPr="00DB24E5">
              <w:rPr>
                <w:sz w:val="18"/>
                <w:szCs w:val="18"/>
                <w:lang w:val="es-ES"/>
              </w:rPr>
              <w:t>0</w:t>
            </w:r>
          </w:p>
        </w:tc>
        <w:tc>
          <w:tcPr>
            <w:tcW w:w="1057" w:type="dxa"/>
          </w:tcPr>
          <w:p w14:paraId="5B1548F8" w14:textId="7C66CF6B" w:rsidR="006E77CE" w:rsidRPr="00DB24E5" w:rsidRDefault="006E77CE" w:rsidP="0078039C">
            <w:pPr>
              <w:spacing w:after="60"/>
              <w:jc w:val="right"/>
              <w:rPr>
                <w:sz w:val="18"/>
                <w:szCs w:val="18"/>
                <w:lang w:val="es-ES"/>
              </w:rPr>
            </w:pPr>
            <w:r w:rsidRPr="00DB24E5">
              <w:rPr>
                <w:color w:val="000000"/>
                <w:sz w:val="18"/>
                <w:szCs w:val="18"/>
                <w:lang w:val="es-ES" w:eastAsia="en-CA"/>
              </w:rPr>
              <w:t>64</w:t>
            </w:r>
            <w:r w:rsidR="0078039C">
              <w:rPr>
                <w:color w:val="000000"/>
                <w:sz w:val="18"/>
                <w:szCs w:val="18"/>
                <w:lang w:val="es-ES" w:eastAsia="en-CA"/>
              </w:rPr>
              <w:t>.</w:t>
            </w:r>
            <w:r w:rsidRPr="00DB24E5">
              <w:rPr>
                <w:color w:val="000000"/>
                <w:sz w:val="18"/>
                <w:szCs w:val="18"/>
                <w:lang w:val="es-ES" w:eastAsia="en-CA"/>
              </w:rPr>
              <w:t>000</w:t>
            </w:r>
          </w:p>
        </w:tc>
        <w:tc>
          <w:tcPr>
            <w:tcW w:w="1057" w:type="dxa"/>
          </w:tcPr>
          <w:p w14:paraId="5A9D41E3" w14:textId="152109F9" w:rsidR="006E77CE" w:rsidRPr="00DB24E5" w:rsidRDefault="006E77CE" w:rsidP="0078039C">
            <w:pPr>
              <w:spacing w:after="60"/>
              <w:jc w:val="right"/>
              <w:rPr>
                <w:sz w:val="18"/>
                <w:szCs w:val="18"/>
                <w:lang w:val="es-ES"/>
              </w:rPr>
            </w:pPr>
            <w:r w:rsidRPr="00DB24E5">
              <w:rPr>
                <w:color w:val="000000"/>
                <w:sz w:val="18"/>
                <w:szCs w:val="18"/>
                <w:lang w:val="es-ES" w:eastAsia="en-CA"/>
              </w:rPr>
              <w:t>635</w:t>
            </w:r>
            <w:r w:rsidR="0078039C">
              <w:rPr>
                <w:color w:val="000000"/>
                <w:sz w:val="18"/>
                <w:szCs w:val="18"/>
                <w:lang w:val="es-ES" w:eastAsia="en-CA"/>
              </w:rPr>
              <w:t>.</w:t>
            </w:r>
            <w:r w:rsidRPr="00DB24E5">
              <w:rPr>
                <w:color w:val="000000"/>
                <w:sz w:val="18"/>
                <w:szCs w:val="18"/>
                <w:lang w:val="es-ES" w:eastAsia="en-CA"/>
              </w:rPr>
              <w:t>500</w:t>
            </w:r>
          </w:p>
        </w:tc>
      </w:tr>
      <w:tr w:rsidR="006E77CE" w:rsidRPr="0078039C" w14:paraId="047B0BAB" w14:textId="77777777" w:rsidTr="00A6655A">
        <w:trPr>
          <w:jc w:val="center"/>
        </w:trPr>
        <w:tc>
          <w:tcPr>
            <w:tcW w:w="3846" w:type="dxa"/>
            <w:gridSpan w:val="3"/>
            <w:shd w:val="clear" w:color="auto" w:fill="auto"/>
          </w:tcPr>
          <w:p w14:paraId="2D93B07E" w14:textId="1148E541" w:rsidR="006E77CE" w:rsidRPr="00DB24E5" w:rsidRDefault="006E77CE" w:rsidP="00946EBD">
            <w:pPr>
              <w:spacing w:after="60"/>
              <w:jc w:val="left"/>
              <w:rPr>
                <w:sz w:val="18"/>
                <w:lang w:val="es-ES"/>
              </w:rPr>
            </w:pPr>
            <w:proofErr w:type="gramStart"/>
            <w:r w:rsidRPr="00DB24E5">
              <w:rPr>
                <w:sz w:val="18"/>
                <w:lang w:val="es-ES"/>
              </w:rPr>
              <w:t>Total</w:t>
            </w:r>
            <w:proofErr w:type="gramEnd"/>
            <w:r w:rsidRPr="00DB24E5">
              <w:rPr>
                <w:sz w:val="18"/>
                <w:lang w:val="es-ES"/>
              </w:rPr>
              <w:t xml:space="preserve"> </w:t>
            </w:r>
            <w:r w:rsidR="00946EBD">
              <w:rPr>
                <w:sz w:val="18"/>
                <w:lang w:val="es-ES"/>
              </w:rPr>
              <w:t xml:space="preserve">de </w:t>
            </w:r>
            <w:r w:rsidR="008C669C" w:rsidRPr="00DB24E5">
              <w:rPr>
                <w:sz w:val="18"/>
                <w:lang w:val="es-ES"/>
              </w:rPr>
              <w:t>gastos de apoyo</w:t>
            </w:r>
            <w:r w:rsidRPr="00DB24E5">
              <w:rPr>
                <w:sz w:val="18"/>
                <w:lang w:val="es-ES"/>
              </w:rPr>
              <w:t xml:space="preserve"> </w:t>
            </w:r>
            <w:r w:rsidR="00946EBD">
              <w:rPr>
                <w:sz w:val="18"/>
                <w:lang w:val="es-ES"/>
              </w:rPr>
              <w:t>solicitados en principio</w:t>
            </w:r>
            <w:r w:rsidRPr="00DB24E5">
              <w:rPr>
                <w:sz w:val="18"/>
                <w:lang w:val="es-ES"/>
              </w:rPr>
              <w:t xml:space="preserve"> (</w:t>
            </w:r>
            <w:r w:rsidR="008C669C" w:rsidRPr="00DB24E5">
              <w:rPr>
                <w:sz w:val="18"/>
                <w:lang w:val="es-ES"/>
              </w:rPr>
              <w:t>$ EUA</w:t>
            </w:r>
            <w:r w:rsidRPr="00DB24E5">
              <w:rPr>
                <w:sz w:val="18"/>
                <w:lang w:val="es-ES"/>
              </w:rPr>
              <w:t>)</w:t>
            </w:r>
          </w:p>
        </w:tc>
        <w:tc>
          <w:tcPr>
            <w:tcW w:w="1057" w:type="dxa"/>
            <w:shd w:val="clear" w:color="auto" w:fill="auto"/>
          </w:tcPr>
          <w:p w14:paraId="15E69AAE" w14:textId="13BD4556" w:rsidR="006E77CE" w:rsidRPr="00DB24E5" w:rsidRDefault="006E77CE" w:rsidP="0078039C">
            <w:pPr>
              <w:spacing w:after="60"/>
              <w:jc w:val="right"/>
              <w:rPr>
                <w:sz w:val="18"/>
                <w:szCs w:val="18"/>
                <w:lang w:val="es-ES"/>
              </w:rPr>
            </w:pPr>
            <w:r w:rsidRPr="00DB24E5">
              <w:rPr>
                <w:color w:val="000000"/>
                <w:sz w:val="18"/>
                <w:szCs w:val="18"/>
                <w:lang w:val="es-ES"/>
              </w:rPr>
              <w:t>20</w:t>
            </w:r>
            <w:r w:rsidR="0078039C">
              <w:rPr>
                <w:color w:val="000000"/>
                <w:sz w:val="18"/>
                <w:szCs w:val="18"/>
                <w:lang w:val="es-ES"/>
              </w:rPr>
              <w:t>.</w:t>
            </w:r>
            <w:r w:rsidRPr="00DB24E5">
              <w:rPr>
                <w:color w:val="000000"/>
                <w:sz w:val="18"/>
                <w:szCs w:val="18"/>
                <w:lang w:val="es-ES"/>
              </w:rPr>
              <w:t>755</w:t>
            </w:r>
          </w:p>
        </w:tc>
        <w:tc>
          <w:tcPr>
            <w:tcW w:w="1057" w:type="dxa"/>
            <w:shd w:val="clear" w:color="auto" w:fill="auto"/>
          </w:tcPr>
          <w:p w14:paraId="4AC8D4EF" w14:textId="0895EAC9" w:rsidR="006E77CE" w:rsidRPr="00DB24E5" w:rsidRDefault="00A166F6" w:rsidP="006E77CE">
            <w:pPr>
              <w:spacing w:after="60"/>
              <w:jc w:val="right"/>
              <w:rPr>
                <w:sz w:val="18"/>
                <w:szCs w:val="18"/>
                <w:lang w:val="es-ES"/>
              </w:rPr>
            </w:pPr>
            <w:r w:rsidRPr="00DB24E5">
              <w:rPr>
                <w:sz w:val="18"/>
                <w:szCs w:val="18"/>
                <w:lang w:val="es-ES"/>
              </w:rPr>
              <w:t>0</w:t>
            </w:r>
          </w:p>
        </w:tc>
        <w:tc>
          <w:tcPr>
            <w:tcW w:w="1057" w:type="dxa"/>
            <w:shd w:val="clear" w:color="auto" w:fill="auto"/>
          </w:tcPr>
          <w:p w14:paraId="159DB8DB" w14:textId="5431F26C" w:rsidR="006E77CE" w:rsidRPr="00DB24E5" w:rsidRDefault="006E77CE" w:rsidP="0078039C">
            <w:pPr>
              <w:spacing w:after="60"/>
              <w:jc w:val="right"/>
              <w:rPr>
                <w:sz w:val="18"/>
                <w:szCs w:val="18"/>
                <w:lang w:val="es-ES"/>
              </w:rPr>
            </w:pPr>
            <w:r w:rsidRPr="00DB24E5">
              <w:rPr>
                <w:color w:val="000000"/>
                <w:sz w:val="18"/>
                <w:szCs w:val="18"/>
                <w:lang w:val="es-ES" w:eastAsia="en-CA"/>
              </w:rPr>
              <w:t>19</w:t>
            </w:r>
            <w:r w:rsidR="0078039C">
              <w:rPr>
                <w:color w:val="000000"/>
                <w:sz w:val="18"/>
                <w:szCs w:val="18"/>
                <w:lang w:val="es-ES" w:eastAsia="en-CA"/>
              </w:rPr>
              <w:t>.</w:t>
            </w:r>
            <w:r w:rsidRPr="00DB24E5">
              <w:rPr>
                <w:color w:val="000000"/>
                <w:sz w:val="18"/>
                <w:szCs w:val="18"/>
                <w:lang w:val="es-ES" w:eastAsia="en-CA"/>
              </w:rPr>
              <w:t>250</w:t>
            </w:r>
          </w:p>
        </w:tc>
        <w:tc>
          <w:tcPr>
            <w:tcW w:w="1057" w:type="dxa"/>
            <w:shd w:val="clear" w:color="auto" w:fill="auto"/>
          </w:tcPr>
          <w:p w14:paraId="5EC96FD7" w14:textId="01D6A301" w:rsidR="006E77CE" w:rsidRPr="00DB24E5" w:rsidRDefault="00A166F6" w:rsidP="006E77CE">
            <w:pPr>
              <w:spacing w:after="60"/>
              <w:jc w:val="right"/>
              <w:rPr>
                <w:sz w:val="18"/>
                <w:szCs w:val="18"/>
                <w:lang w:val="es-ES"/>
              </w:rPr>
            </w:pPr>
            <w:r w:rsidRPr="00DB24E5">
              <w:rPr>
                <w:sz w:val="18"/>
                <w:szCs w:val="18"/>
                <w:lang w:val="es-ES"/>
              </w:rPr>
              <w:t>0</w:t>
            </w:r>
          </w:p>
        </w:tc>
        <w:tc>
          <w:tcPr>
            <w:tcW w:w="1057" w:type="dxa"/>
            <w:shd w:val="clear" w:color="auto" w:fill="auto"/>
          </w:tcPr>
          <w:p w14:paraId="70D4737A" w14:textId="7EBE5FA9" w:rsidR="006E77CE" w:rsidRPr="00DB24E5" w:rsidRDefault="00A166F6" w:rsidP="006E77CE">
            <w:pPr>
              <w:spacing w:after="60"/>
              <w:jc w:val="right"/>
              <w:rPr>
                <w:sz w:val="18"/>
                <w:szCs w:val="18"/>
                <w:lang w:val="es-ES"/>
              </w:rPr>
            </w:pPr>
            <w:r w:rsidRPr="00DB24E5">
              <w:rPr>
                <w:sz w:val="18"/>
                <w:szCs w:val="18"/>
                <w:lang w:val="es-ES"/>
              </w:rPr>
              <w:t>0</w:t>
            </w:r>
          </w:p>
        </w:tc>
        <w:tc>
          <w:tcPr>
            <w:tcW w:w="1057" w:type="dxa"/>
          </w:tcPr>
          <w:p w14:paraId="215F1080" w14:textId="715F1D7B" w:rsidR="006E77CE" w:rsidRPr="00DB24E5" w:rsidRDefault="006E77CE" w:rsidP="0078039C">
            <w:pPr>
              <w:spacing w:after="60"/>
              <w:jc w:val="right"/>
              <w:rPr>
                <w:sz w:val="18"/>
                <w:szCs w:val="18"/>
                <w:lang w:val="es-ES"/>
              </w:rPr>
            </w:pPr>
            <w:r w:rsidRPr="00DB24E5">
              <w:rPr>
                <w:color w:val="000000"/>
                <w:sz w:val="18"/>
                <w:szCs w:val="18"/>
                <w:lang w:val="es-ES" w:eastAsia="en-CA"/>
              </w:rPr>
              <w:t>4</w:t>
            </w:r>
            <w:r w:rsidR="0078039C">
              <w:rPr>
                <w:color w:val="000000"/>
                <w:sz w:val="18"/>
                <w:szCs w:val="18"/>
                <w:lang w:val="es-ES" w:eastAsia="en-CA"/>
              </w:rPr>
              <w:t>.</w:t>
            </w:r>
            <w:r w:rsidRPr="00DB24E5">
              <w:rPr>
                <w:color w:val="000000"/>
                <w:sz w:val="18"/>
                <w:szCs w:val="18"/>
                <w:lang w:val="es-ES" w:eastAsia="en-CA"/>
              </w:rPr>
              <w:t>480</w:t>
            </w:r>
          </w:p>
        </w:tc>
        <w:tc>
          <w:tcPr>
            <w:tcW w:w="1057" w:type="dxa"/>
          </w:tcPr>
          <w:p w14:paraId="5708B7AB" w14:textId="19ECEFCD" w:rsidR="006E77CE" w:rsidRPr="00DB24E5" w:rsidRDefault="006E77CE" w:rsidP="0078039C">
            <w:pPr>
              <w:jc w:val="right"/>
              <w:rPr>
                <w:color w:val="000000"/>
                <w:sz w:val="18"/>
                <w:szCs w:val="18"/>
                <w:lang w:val="es-ES"/>
              </w:rPr>
            </w:pPr>
            <w:r w:rsidRPr="00DB24E5">
              <w:rPr>
                <w:color w:val="000000"/>
                <w:sz w:val="18"/>
                <w:szCs w:val="18"/>
                <w:lang w:val="es-ES" w:eastAsia="en-CA"/>
              </w:rPr>
              <w:t>44</w:t>
            </w:r>
            <w:r w:rsidR="0078039C">
              <w:rPr>
                <w:color w:val="000000"/>
                <w:sz w:val="18"/>
                <w:szCs w:val="18"/>
                <w:lang w:val="es-ES" w:eastAsia="en-CA"/>
              </w:rPr>
              <w:t>.</w:t>
            </w:r>
            <w:r w:rsidRPr="00DB24E5">
              <w:rPr>
                <w:color w:val="000000"/>
                <w:sz w:val="18"/>
                <w:szCs w:val="18"/>
                <w:lang w:val="es-ES" w:eastAsia="en-CA"/>
              </w:rPr>
              <w:t>485</w:t>
            </w:r>
          </w:p>
        </w:tc>
      </w:tr>
      <w:tr w:rsidR="006E77CE" w:rsidRPr="00DB24E5" w14:paraId="55D5E4B6" w14:textId="77777777" w:rsidTr="00A6655A">
        <w:trPr>
          <w:jc w:val="center"/>
        </w:trPr>
        <w:tc>
          <w:tcPr>
            <w:tcW w:w="3846" w:type="dxa"/>
            <w:gridSpan w:val="3"/>
            <w:shd w:val="clear" w:color="auto" w:fill="auto"/>
          </w:tcPr>
          <w:p w14:paraId="7F7B4BDA" w14:textId="071BD095" w:rsidR="006E77CE" w:rsidRPr="00946EBD" w:rsidRDefault="00946EBD" w:rsidP="00946EBD">
            <w:pPr>
              <w:spacing w:after="60"/>
              <w:jc w:val="left"/>
              <w:rPr>
                <w:sz w:val="18"/>
                <w:szCs w:val="18"/>
                <w:lang w:val="es-ES"/>
              </w:rPr>
            </w:pPr>
            <w:proofErr w:type="gramStart"/>
            <w:r w:rsidRPr="00946EBD">
              <w:rPr>
                <w:sz w:val="18"/>
                <w:szCs w:val="18"/>
                <w:lang w:val="es-ES"/>
              </w:rPr>
              <w:t>Total</w:t>
            </w:r>
            <w:proofErr w:type="gramEnd"/>
            <w:r w:rsidRPr="00946EBD">
              <w:rPr>
                <w:sz w:val="18"/>
                <w:szCs w:val="18"/>
                <w:lang w:val="es-ES"/>
              </w:rPr>
              <w:t xml:space="preserve"> de fondos solicitados en principio</w:t>
            </w:r>
          </w:p>
        </w:tc>
        <w:tc>
          <w:tcPr>
            <w:tcW w:w="1057" w:type="dxa"/>
            <w:shd w:val="clear" w:color="auto" w:fill="auto"/>
          </w:tcPr>
          <w:p w14:paraId="3819D4E5" w14:textId="75A036E2" w:rsidR="006E77CE" w:rsidRPr="00DB24E5" w:rsidRDefault="006E77CE" w:rsidP="0078039C">
            <w:pPr>
              <w:spacing w:after="60"/>
              <w:jc w:val="right"/>
              <w:rPr>
                <w:sz w:val="18"/>
                <w:szCs w:val="18"/>
                <w:lang w:val="es-ES"/>
              </w:rPr>
            </w:pPr>
            <w:r w:rsidRPr="00DB24E5">
              <w:rPr>
                <w:color w:val="000000"/>
                <w:sz w:val="18"/>
                <w:szCs w:val="18"/>
                <w:lang w:val="es-ES"/>
              </w:rPr>
              <w:t>317</w:t>
            </w:r>
            <w:r w:rsidR="0078039C">
              <w:rPr>
                <w:color w:val="000000"/>
                <w:sz w:val="18"/>
                <w:szCs w:val="18"/>
                <w:lang w:val="es-ES"/>
              </w:rPr>
              <w:t>.</w:t>
            </w:r>
            <w:r w:rsidRPr="00DB24E5">
              <w:rPr>
                <w:color w:val="000000"/>
                <w:sz w:val="18"/>
                <w:szCs w:val="18"/>
                <w:lang w:val="es-ES"/>
              </w:rPr>
              <w:t>255</w:t>
            </w:r>
          </w:p>
        </w:tc>
        <w:tc>
          <w:tcPr>
            <w:tcW w:w="1057" w:type="dxa"/>
            <w:shd w:val="clear" w:color="auto" w:fill="auto"/>
          </w:tcPr>
          <w:p w14:paraId="520921D8" w14:textId="3D174FC3" w:rsidR="006E77CE" w:rsidRPr="00DB24E5" w:rsidRDefault="00A166F6" w:rsidP="006E77CE">
            <w:pPr>
              <w:spacing w:after="60"/>
              <w:jc w:val="right"/>
              <w:rPr>
                <w:sz w:val="18"/>
                <w:szCs w:val="18"/>
                <w:lang w:val="es-ES"/>
              </w:rPr>
            </w:pPr>
            <w:r w:rsidRPr="00DB24E5">
              <w:rPr>
                <w:sz w:val="18"/>
                <w:szCs w:val="18"/>
                <w:lang w:val="es-ES"/>
              </w:rPr>
              <w:t>0</w:t>
            </w:r>
          </w:p>
        </w:tc>
        <w:tc>
          <w:tcPr>
            <w:tcW w:w="1057" w:type="dxa"/>
            <w:shd w:val="clear" w:color="auto" w:fill="auto"/>
          </w:tcPr>
          <w:p w14:paraId="43642E57" w14:textId="4BC1DDDC" w:rsidR="006E77CE" w:rsidRPr="00DB24E5" w:rsidRDefault="006E77CE" w:rsidP="0078039C">
            <w:pPr>
              <w:spacing w:after="60"/>
              <w:jc w:val="right"/>
              <w:rPr>
                <w:sz w:val="18"/>
                <w:szCs w:val="18"/>
                <w:lang w:val="es-ES"/>
              </w:rPr>
            </w:pPr>
            <w:r w:rsidRPr="00DB24E5">
              <w:rPr>
                <w:color w:val="000000"/>
                <w:sz w:val="18"/>
                <w:szCs w:val="18"/>
                <w:lang w:val="es-ES" w:eastAsia="en-CA"/>
              </w:rPr>
              <w:t>294</w:t>
            </w:r>
            <w:r w:rsidR="0078039C">
              <w:rPr>
                <w:color w:val="000000"/>
                <w:sz w:val="18"/>
                <w:szCs w:val="18"/>
                <w:lang w:val="es-ES" w:eastAsia="en-CA"/>
              </w:rPr>
              <w:t>.</w:t>
            </w:r>
            <w:r w:rsidRPr="00DB24E5">
              <w:rPr>
                <w:color w:val="000000"/>
                <w:sz w:val="18"/>
                <w:szCs w:val="18"/>
                <w:lang w:val="es-ES" w:eastAsia="en-CA"/>
              </w:rPr>
              <w:t>250 </w:t>
            </w:r>
          </w:p>
        </w:tc>
        <w:tc>
          <w:tcPr>
            <w:tcW w:w="1057" w:type="dxa"/>
            <w:shd w:val="clear" w:color="auto" w:fill="auto"/>
          </w:tcPr>
          <w:p w14:paraId="75529565" w14:textId="6C384250" w:rsidR="006E77CE" w:rsidRPr="00DB24E5" w:rsidRDefault="00A166F6" w:rsidP="006E77CE">
            <w:pPr>
              <w:spacing w:after="60"/>
              <w:jc w:val="right"/>
              <w:rPr>
                <w:sz w:val="18"/>
                <w:szCs w:val="18"/>
                <w:lang w:val="es-ES"/>
              </w:rPr>
            </w:pPr>
            <w:r w:rsidRPr="00DB24E5">
              <w:rPr>
                <w:sz w:val="18"/>
                <w:szCs w:val="18"/>
                <w:lang w:val="es-ES"/>
              </w:rPr>
              <w:t>0</w:t>
            </w:r>
          </w:p>
        </w:tc>
        <w:tc>
          <w:tcPr>
            <w:tcW w:w="1057" w:type="dxa"/>
            <w:shd w:val="clear" w:color="auto" w:fill="auto"/>
          </w:tcPr>
          <w:p w14:paraId="7C3A4311" w14:textId="502C4003" w:rsidR="006E77CE" w:rsidRPr="00DB24E5" w:rsidRDefault="00A166F6" w:rsidP="006E77CE">
            <w:pPr>
              <w:jc w:val="right"/>
              <w:rPr>
                <w:color w:val="000000"/>
                <w:sz w:val="18"/>
                <w:szCs w:val="18"/>
                <w:lang w:val="es-ES" w:eastAsia="en-CA"/>
              </w:rPr>
            </w:pPr>
            <w:r w:rsidRPr="00DB24E5">
              <w:rPr>
                <w:color w:val="000000"/>
                <w:sz w:val="18"/>
                <w:szCs w:val="18"/>
                <w:lang w:val="es-ES" w:eastAsia="en-CA"/>
              </w:rPr>
              <w:t>0</w:t>
            </w:r>
          </w:p>
        </w:tc>
        <w:tc>
          <w:tcPr>
            <w:tcW w:w="1057" w:type="dxa"/>
          </w:tcPr>
          <w:p w14:paraId="622BDB49" w14:textId="47510FB5" w:rsidR="006E77CE" w:rsidRPr="00DB24E5" w:rsidRDefault="006E77CE" w:rsidP="0078039C">
            <w:pPr>
              <w:jc w:val="right"/>
              <w:rPr>
                <w:color w:val="000000"/>
                <w:sz w:val="18"/>
                <w:szCs w:val="18"/>
                <w:lang w:val="es-ES" w:eastAsia="en-CA"/>
              </w:rPr>
            </w:pPr>
            <w:r w:rsidRPr="00DB24E5">
              <w:rPr>
                <w:color w:val="000000"/>
                <w:sz w:val="18"/>
                <w:szCs w:val="18"/>
                <w:lang w:val="es-ES" w:eastAsia="en-CA"/>
              </w:rPr>
              <w:t>68</w:t>
            </w:r>
            <w:r w:rsidR="0078039C">
              <w:rPr>
                <w:color w:val="000000"/>
                <w:sz w:val="18"/>
                <w:szCs w:val="18"/>
                <w:lang w:val="es-ES" w:eastAsia="en-CA"/>
              </w:rPr>
              <w:t>.</w:t>
            </w:r>
            <w:r w:rsidRPr="00DB24E5">
              <w:rPr>
                <w:color w:val="000000"/>
                <w:sz w:val="18"/>
                <w:szCs w:val="18"/>
                <w:lang w:val="es-ES" w:eastAsia="en-CA"/>
              </w:rPr>
              <w:t>480</w:t>
            </w:r>
          </w:p>
        </w:tc>
        <w:tc>
          <w:tcPr>
            <w:tcW w:w="1057" w:type="dxa"/>
          </w:tcPr>
          <w:p w14:paraId="47885FF4" w14:textId="069587F5" w:rsidR="006E77CE" w:rsidRPr="00DB24E5" w:rsidRDefault="006E77CE" w:rsidP="0078039C">
            <w:pPr>
              <w:jc w:val="right"/>
              <w:rPr>
                <w:color w:val="000000"/>
                <w:sz w:val="18"/>
                <w:szCs w:val="18"/>
                <w:lang w:val="es-ES" w:eastAsia="en-CA"/>
              </w:rPr>
            </w:pPr>
            <w:r w:rsidRPr="00DB24E5">
              <w:rPr>
                <w:color w:val="000000"/>
                <w:sz w:val="18"/>
                <w:szCs w:val="18"/>
                <w:lang w:val="es-ES" w:eastAsia="en-CA"/>
              </w:rPr>
              <w:t>679</w:t>
            </w:r>
            <w:r w:rsidR="0078039C">
              <w:rPr>
                <w:color w:val="000000"/>
                <w:sz w:val="18"/>
                <w:szCs w:val="18"/>
                <w:lang w:val="es-ES" w:eastAsia="en-CA"/>
              </w:rPr>
              <w:t>.</w:t>
            </w:r>
            <w:r w:rsidRPr="00DB24E5">
              <w:rPr>
                <w:color w:val="000000"/>
                <w:sz w:val="18"/>
                <w:szCs w:val="18"/>
                <w:lang w:val="es-ES" w:eastAsia="en-CA"/>
              </w:rPr>
              <w:t>985</w:t>
            </w:r>
          </w:p>
        </w:tc>
      </w:tr>
    </w:tbl>
    <w:p w14:paraId="09B4087D" w14:textId="77777777" w:rsidR="007A6564" w:rsidRPr="00DB24E5" w:rsidRDefault="007A6564" w:rsidP="007A6564">
      <w:pPr>
        <w:spacing w:after="60"/>
        <w:jc w:val="left"/>
        <w:rPr>
          <w:sz w:val="16"/>
          <w:szCs w:val="16"/>
          <w:lang w:val="es-ES"/>
        </w:rPr>
      </w:pPr>
    </w:p>
    <w:tbl>
      <w:tblPr>
        <w:tblStyle w:val="TableGrid10"/>
        <w:tblW w:w="5990" w:type="pct"/>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6"/>
        <w:gridCol w:w="3331"/>
        <w:gridCol w:w="4474"/>
      </w:tblGrid>
      <w:tr w:rsidR="007A6564" w:rsidRPr="00F048A9" w14:paraId="23634F48" w14:textId="77777777" w:rsidTr="001A5C5B">
        <w:trPr>
          <w:trHeight w:hRule="exact" w:val="227"/>
        </w:trPr>
        <w:tc>
          <w:tcPr>
            <w:tcW w:w="5000" w:type="pct"/>
            <w:gridSpan w:val="3"/>
            <w:shd w:val="clear" w:color="auto" w:fill="auto"/>
          </w:tcPr>
          <w:p w14:paraId="5AB66C3D" w14:textId="79BE837C" w:rsidR="007A6564" w:rsidRPr="00946EBD" w:rsidRDefault="007A6564" w:rsidP="00946EBD">
            <w:pPr>
              <w:rPr>
                <w:b/>
                <w:color w:val="000000" w:themeColor="text1"/>
                <w:sz w:val="18"/>
                <w:szCs w:val="18"/>
                <w:lang w:val="es-ES"/>
              </w:rPr>
            </w:pPr>
            <w:r w:rsidRPr="00946EBD">
              <w:rPr>
                <w:b/>
                <w:color w:val="000000" w:themeColor="text1"/>
                <w:sz w:val="18"/>
                <w:szCs w:val="18"/>
                <w:lang w:val="es-ES"/>
              </w:rPr>
              <w:t xml:space="preserve">VII) </w:t>
            </w:r>
            <w:r w:rsidR="00946EBD" w:rsidRPr="00946EBD">
              <w:rPr>
                <w:b/>
                <w:color w:val="000000" w:themeColor="text1"/>
                <w:sz w:val="18"/>
                <w:szCs w:val="18"/>
                <w:lang w:val="es-ES"/>
              </w:rPr>
              <w:t>Solicitud de financiación para el primer tramo</w:t>
            </w:r>
            <w:r w:rsidRPr="00946EBD">
              <w:rPr>
                <w:b/>
                <w:color w:val="000000" w:themeColor="text1"/>
                <w:sz w:val="18"/>
                <w:szCs w:val="18"/>
                <w:lang w:val="es-ES"/>
              </w:rPr>
              <w:t xml:space="preserve"> (2020)</w:t>
            </w:r>
          </w:p>
        </w:tc>
      </w:tr>
      <w:tr w:rsidR="007A6564" w:rsidRPr="00946EBD" w14:paraId="0B1B957F" w14:textId="77777777" w:rsidTr="001A5C5B">
        <w:trPr>
          <w:trHeight w:hRule="exact" w:val="227"/>
        </w:trPr>
        <w:tc>
          <w:tcPr>
            <w:tcW w:w="1516" w:type="pct"/>
            <w:shd w:val="clear" w:color="auto" w:fill="auto"/>
          </w:tcPr>
          <w:p w14:paraId="33E53EF2" w14:textId="1CCEC978" w:rsidR="007A6564" w:rsidRPr="00946EBD" w:rsidRDefault="00946EBD" w:rsidP="00E9738B">
            <w:pPr>
              <w:jc w:val="center"/>
              <w:rPr>
                <w:b/>
                <w:color w:val="000000" w:themeColor="text1"/>
                <w:sz w:val="18"/>
                <w:szCs w:val="18"/>
                <w:lang w:val="es-ES"/>
              </w:rPr>
            </w:pPr>
            <w:r>
              <w:rPr>
                <w:b/>
                <w:color w:val="000000" w:themeColor="text1"/>
                <w:sz w:val="18"/>
                <w:szCs w:val="18"/>
                <w:lang w:val="es-ES"/>
              </w:rPr>
              <w:t>Organismo</w:t>
            </w:r>
          </w:p>
        </w:tc>
        <w:tc>
          <w:tcPr>
            <w:tcW w:w="1487" w:type="pct"/>
            <w:shd w:val="clear" w:color="auto" w:fill="auto"/>
          </w:tcPr>
          <w:p w14:paraId="7CAC8FD2" w14:textId="2395A54D" w:rsidR="007A6564" w:rsidRPr="00946EBD" w:rsidRDefault="00946EBD" w:rsidP="00946EBD">
            <w:pPr>
              <w:jc w:val="center"/>
              <w:rPr>
                <w:b/>
                <w:color w:val="000000" w:themeColor="text1"/>
                <w:sz w:val="18"/>
                <w:szCs w:val="18"/>
                <w:lang w:val="es-ES"/>
              </w:rPr>
            </w:pPr>
            <w:r>
              <w:rPr>
                <w:b/>
                <w:color w:val="000000" w:themeColor="text1"/>
                <w:sz w:val="18"/>
                <w:szCs w:val="18"/>
                <w:lang w:val="es-ES"/>
              </w:rPr>
              <w:t>Fondos solicitados</w:t>
            </w:r>
            <w:r w:rsidR="007A6564" w:rsidRPr="00946EBD">
              <w:rPr>
                <w:b/>
                <w:color w:val="000000" w:themeColor="text1"/>
                <w:sz w:val="18"/>
                <w:szCs w:val="18"/>
                <w:lang w:val="es-ES"/>
              </w:rPr>
              <w:t xml:space="preserve"> (</w:t>
            </w:r>
            <w:r w:rsidR="008C669C" w:rsidRPr="00946EBD">
              <w:rPr>
                <w:b/>
                <w:color w:val="000000" w:themeColor="text1"/>
                <w:sz w:val="18"/>
                <w:szCs w:val="18"/>
                <w:lang w:val="es-ES"/>
              </w:rPr>
              <w:t>$ EUA</w:t>
            </w:r>
            <w:r w:rsidR="007A6564" w:rsidRPr="00946EBD">
              <w:rPr>
                <w:b/>
                <w:color w:val="000000" w:themeColor="text1"/>
                <w:sz w:val="18"/>
                <w:szCs w:val="18"/>
                <w:lang w:val="es-ES"/>
              </w:rPr>
              <w:t>)</w:t>
            </w:r>
          </w:p>
        </w:tc>
        <w:tc>
          <w:tcPr>
            <w:tcW w:w="1997" w:type="pct"/>
            <w:shd w:val="clear" w:color="auto" w:fill="auto"/>
          </w:tcPr>
          <w:p w14:paraId="03165731" w14:textId="6954ECC8" w:rsidR="007A6564" w:rsidRPr="00946EBD" w:rsidRDefault="008C669C" w:rsidP="00E9738B">
            <w:pPr>
              <w:jc w:val="center"/>
              <w:rPr>
                <w:b/>
                <w:color w:val="000000" w:themeColor="text1"/>
                <w:sz w:val="18"/>
                <w:szCs w:val="18"/>
                <w:lang w:val="es-ES"/>
              </w:rPr>
            </w:pPr>
            <w:r w:rsidRPr="00946EBD">
              <w:rPr>
                <w:b/>
                <w:color w:val="000000" w:themeColor="text1"/>
                <w:sz w:val="18"/>
                <w:szCs w:val="18"/>
                <w:lang w:val="es-ES"/>
              </w:rPr>
              <w:t>Gastos de apoyo</w:t>
            </w:r>
            <w:r w:rsidR="007A6564" w:rsidRPr="00946EBD">
              <w:rPr>
                <w:b/>
                <w:color w:val="000000" w:themeColor="text1"/>
                <w:sz w:val="18"/>
                <w:szCs w:val="18"/>
                <w:lang w:val="es-ES"/>
              </w:rPr>
              <w:t xml:space="preserve"> (</w:t>
            </w:r>
            <w:r w:rsidRPr="00946EBD">
              <w:rPr>
                <w:b/>
                <w:color w:val="000000" w:themeColor="text1"/>
                <w:sz w:val="18"/>
                <w:szCs w:val="18"/>
                <w:lang w:val="es-ES"/>
              </w:rPr>
              <w:t>$ EUA</w:t>
            </w:r>
            <w:r w:rsidR="007A6564" w:rsidRPr="00946EBD">
              <w:rPr>
                <w:b/>
                <w:color w:val="000000" w:themeColor="text1"/>
                <w:sz w:val="18"/>
                <w:szCs w:val="18"/>
                <w:lang w:val="es-ES"/>
              </w:rPr>
              <w:t>)</w:t>
            </w:r>
          </w:p>
        </w:tc>
      </w:tr>
      <w:tr w:rsidR="007A6564" w:rsidRPr="00946EBD" w14:paraId="4A184854" w14:textId="77777777" w:rsidTr="001A5C5B">
        <w:trPr>
          <w:trHeight w:hRule="exact" w:val="227"/>
        </w:trPr>
        <w:tc>
          <w:tcPr>
            <w:tcW w:w="1516" w:type="pct"/>
            <w:shd w:val="clear" w:color="auto" w:fill="auto"/>
          </w:tcPr>
          <w:p w14:paraId="3C42E070" w14:textId="7B175A33" w:rsidR="007A6564" w:rsidRPr="00946EBD" w:rsidRDefault="0088461E" w:rsidP="00E9738B">
            <w:pPr>
              <w:rPr>
                <w:color w:val="000000" w:themeColor="text1"/>
                <w:sz w:val="18"/>
                <w:szCs w:val="18"/>
                <w:lang w:val="es-ES"/>
              </w:rPr>
            </w:pPr>
            <w:r w:rsidRPr="00946EBD">
              <w:rPr>
                <w:color w:val="000000" w:themeColor="text1"/>
                <w:sz w:val="18"/>
                <w:szCs w:val="18"/>
                <w:lang w:val="es-ES"/>
              </w:rPr>
              <w:t>ONUDI</w:t>
            </w:r>
          </w:p>
        </w:tc>
        <w:tc>
          <w:tcPr>
            <w:tcW w:w="1487" w:type="pct"/>
            <w:shd w:val="clear" w:color="auto" w:fill="auto"/>
          </w:tcPr>
          <w:p w14:paraId="6CA8F51A" w14:textId="16771358" w:rsidR="007A6564" w:rsidRPr="00946EBD" w:rsidRDefault="007A6564" w:rsidP="00946EBD">
            <w:pPr>
              <w:jc w:val="right"/>
              <w:rPr>
                <w:color w:val="000000" w:themeColor="text1"/>
                <w:sz w:val="18"/>
                <w:szCs w:val="18"/>
                <w:lang w:val="es-ES"/>
              </w:rPr>
            </w:pPr>
            <w:r w:rsidRPr="00946EBD">
              <w:rPr>
                <w:color w:val="000000" w:themeColor="text1"/>
                <w:sz w:val="18"/>
                <w:szCs w:val="18"/>
                <w:lang w:val="es-ES"/>
              </w:rPr>
              <w:t>2</w:t>
            </w:r>
            <w:r w:rsidR="009D5073" w:rsidRPr="00946EBD">
              <w:rPr>
                <w:color w:val="000000" w:themeColor="text1"/>
                <w:sz w:val="18"/>
                <w:szCs w:val="18"/>
                <w:lang w:val="es-ES"/>
              </w:rPr>
              <w:t>9</w:t>
            </w:r>
            <w:r w:rsidRPr="00946EBD">
              <w:rPr>
                <w:color w:val="000000" w:themeColor="text1"/>
                <w:sz w:val="18"/>
                <w:szCs w:val="18"/>
                <w:lang w:val="es-ES"/>
              </w:rPr>
              <w:t>6</w:t>
            </w:r>
            <w:r w:rsidR="00946EBD">
              <w:rPr>
                <w:color w:val="000000" w:themeColor="text1"/>
                <w:sz w:val="18"/>
                <w:szCs w:val="18"/>
                <w:lang w:val="es-ES"/>
              </w:rPr>
              <w:t>.</w:t>
            </w:r>
            <w:r w:rsidRPr="00946EBD">
              <w:rPr>
                <w:color w:val="000000" w:themeColor="text1"/>
                <w:sz w:val="18"/>
                <w:szCs w:val="18"/>
                <w:lang w:val="es-ES"/>
              </w:rPr>
              <w:t>500</w:t>
            </w:r>
          </w:p>
        </w:tc>
        <w:tc>
          <w:tcPr>
            <w:tcW w:w="1997" w:type="pct"/>
            <w:shd w:val="clear" w:color="auto" w:fill="auto"/>
          </w:tcPr>
          <w:p w14:paraId="28CFE1DB" w14:textId="04E48747" w:rsidR="007A6564" w:rsidRPr="00946EBD" w:rsidRDefault="009D5073" w:rsidP="00946EBD">
            <w:pPr>
              <w:jc w:val="right"/>
              <w:rPr>
                <w:color w:val="000000" w:themeColor="text1"/>
                <w:sz w:val="18"/>
                <w:szCs w:val="18"/>
                <w:lang w:val="es-ES"/>
              </w:rPr>
            </w:pPr>
            <w:r w:rsidRPr="00946EBD">
              <w:rPr>
                <w:color w:val="000000"/>
                <w:sz w:val="18"/>
                <w:szCs w:val="18"/>
                <w:lang w:val="es-ES"/>
              </w:rPr>
              <w:t>20</w:t>
            </w:r>
            <w:r w:rsidR="00946EBD">
              <w:rPr>
                <w:color w:val="000000"/>
                <w:sz w:val="18"/>
                <w:szCs w:val="18"/>
                <w:lang w:val="es-ES"/>
              </w:rPr>
              <w:t>.</w:t>
            </w:r>
            <w:r w:rsidRPr="00946EBD">
              <w:rPr>
                <w:color w:val="000000"/>
                <w:sz w:val="18"/>
                <w:szCs w:val="18"/>
                <w:lang w:val="es-ES"/>
              </w:rPr>
              <w:t>7</w:t>
            </w:r>
            <w:r w:rsidR="007A6564" w:rsidRPr="00946EBD">
              <w:rPr>
                <w:color w:val="000000"/>
                <w:sz w:val="18"/>
                <w:szCs w:val="18"/>
                <w:lang w:val="es-ES"/>
              </w:rPr>
              <w:t>55</w:t>
            </w:r>
          </w:p>
        </w:tc>
      </w:tr>
      <w:tr w:rsidR="007A6564" w:rsidRPr="00F048A9" w14:paraId="656E0301" w14:textId="77777777" w:rsidTr="001A5C5B">
        <w:trPr>
          <w:trHeight w:hRule="exact" w:val="227"/>
        </w:trPr>
        <w:tc>
          <w:tcPr>
            <w:tcW w:w="1516" w:type="pct"/>
            <w:shd w:val="clear" w:color="auto" w:fill="auto"/>
          </w:tcPr>
          <w:p w14:paraId="00F31CB0" w14:textId="0004F1D9" w:rsidR="007A6564" w:rsidRPr="00946EBD" w:rsidRDefault="00946EBD" w:rsidP="00946EBD">
            <w:pPr>
              <w:rPr>
                <w:color w:val="000000" w:themeColor="text1"/>
                <w:sz w:val="18"/>
                <w:szCs w:val="18"/>
                <w:lang w:val="es-ES"/>
              </w:rPr>
            </w:pPr>
            <w:r>
              <w:rPr>
                <w:color w:val="000000" w:themeColor="text1"/>
                <w:sz w:val="18"/>
                <w:szCs w:val="18"/>
                <w:lang w:val="es-ES"/>
              </w:rPr>
              <w:t>Solicitud de financiación</w:t>
            </w:r>
            <w:r w:rsidR="007A6564" w:rsidRPr="00946EBD">
              <w:rPr>
                <w:color w:val="000000" w:themeColor="text1"/>
                <w:sz w:val="18"/>
                <w:szCs w:val="18"/>
                <w:lang w:val="es-ES"/>
              </w:rPr>
              <w:t>:</w:t>
            </w:r>
          </w:p>
        </w:tc>
        <w:tc>
          <w:tcPr>
            <w:tcW w:w="3484" w:type="pct"/>
            <w:gridSpan w:val="2"/>
            <w:shd w:val="clear" w:color="auto" w:fill="auto"/>
          </w:tcPr>
          <w:p w14:paraId="09A04B1B" w14:textId="2E24EF8B" w:rsidR="007A6564" w:rsidRPr="00946EBD" w:rsidRDefault="007A6564" w:rsidP="00946EBD">
            <w:pPr>
              <w:jc w:val="center"/>
              <w:rPr>
                <w:color w:val="000000" w:themeColor="text1"/>
                <w:sz w:val="18"/>
                <w:szCs w:val="18"/>
                <w:lang w:val="es-ES"/>
              </w:rPr>
            </w:pPr>
            <w:r w:rsidRPr="00946EBD">
              <w:rPr>
                <w:color w:val="000000" w:themeColor="text1"/>
                <w:sz w:val="18"/>
                <w:szCs w:val="18"/>
                <w:lang w:val="es-ES"/>
              </w:rPr>
              <w:t>Ap</w:t>
            </w:r>
            <w:r w:rsidR="00946EBD" w:rsidRPr="00946EBD">
              <w:rPr>
                <w:color w:val="000000" w:themeColor="text1"/>
                <w:sz w:val="18"/>
                <w:szCs w:val="18"/>
                <w:lang w:val="es-ES"/>
              </w:rPr>
              <w:t>robación de fondos para el primer</w:t>
            </w:r>
            <w:r w:rsidRPr="00946EBD">
              <w:rPr>
                <w:color w:val="000000" w:themeColor="text1"/>
                <w:sz w:val="18"/>
                <w:szCs w:val="18"/>
                <w:lang w:val="es-ES"/>
              </w:rPr>
              <w:t xml:space="preserve"> </w:t>
            </w:r>
            <w:r w:rsidR="008C669C" w:rsidRPr="00946EBD">
              <w:rPr>
                <w:color w:val="000000" w:themeColor="text1"/>
                <w:sz w:val="18"/>
                <w:szCs w:val="18"/>
                <w:lang w:val="es-ES"/>
              </w:rPr>
              <w:t>tramo</w:t>
            </w:r>
            <w:r w:rsidRPr="00946EBD">
              <w:rPr>
                <w:color w:val="000000" w:themeColor="text1"/>
                <w:sz w:val="18"/>
                <w:szCs w:val="18"/>
                <w:lang w:val="es-ES"/>
              </w:rPr>
              <w:t xml:space="preserve"> (2020) </w:t>
            </w:r>
            <w:r w:rsidR="00946EBD" w:rsidRPr="00946EBD">
              <w:rPr>
                <w:color w:val="000000" w:themeColor="text1"/>
                <w:sz w:val="18"/>
                <w:szCs w:val="18"/>
                <w:lang w:val="es-ES"/>
              </w:rPr>
              <w:t>como se acaba de indicar</w:t>
            </w:r>
          </w:p>
        </w:tc>
      </w:tr>
    </w:tbl>
    <w:p w14:paraId="48762B8C" w14:textId="77777777" w:rsidR="007A6564" w:rsidRPr="00946EBD" w:rsidRDefault="007A6564" w:rsidP="007A6564">
      <w:pPr>
        <w:spacing w:after="60"/>
        <w:jc w:val="left"/>
        <w:rPr>
          <w:sz w:val="18"/>
          <w:szCs w:val="18"/>
          <w:lang w:val="es-ES"/>
        </w:rPr>
      </w:pPr>
    </w:p>
    <w:tbl>
      <w:tblPr>
        <w:tblStyle w:val="TableGrid"/>
        <w:tblW w:w="1115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068"/>
        <w:gridCol w:w="7087"/>
      </w:tblGrid>
      <w:tr w:rsidR="007A6564" w:rsidRPr="00F048A9" w14:paraId="090A93B1" w14:textId="77777777" w:rsidTr="001A5C5B">
        <w:trPr>
          <w:trHeight w:val="240"/>
          <w:jc w:val="center"/>
        </w:trPr>
        <w:tc>
          <w:tcPr>
            <w:tcW w:w="4068" w:type="dxa"/>
            <w:shd w:val="clear" w:color="auto" w:fill="auto"/>
          </w:tcPr>
          <w:p w14:paraId="7871647C" w14:textId="31211932" w:rsidR="007A6564" w:rsidRPr="00946EBD" w:rsidRDefault="00946EBD" w:rsidP="00946EBD">
            <w:pPr>
              <w:spacing w:after="60"/>
              <w:jc w:val="left"/>
              <w:rPr>
                <w:b/>
                <w:sz w:val="18"/>
                <w:szCs w:val="18"/>
                <w:lang w:val="es-ES"/>
              </w:rPr>
            </w:pPr>
            <w:r>
              <w:rPr>
                <w:b/>
                <w:sz w:val="18"/>
                <w:szCs w:val="18"/>
                <w:lang w:val="es-ES"/>
              </w:rPr>
              <w:t>Recomendación de la S</w:t>
            </w:r>
            <w:r w:rsidR="007A6564" w:rsidRPr="00946EBD">
              <w:rPr>
                <w:b/>
                <w:sz w:val="18"/>
                <w:szCs w:val="18"/>
                <w:lang w:val="es-ES"/>
              </w:rPr>
              <w:t>ecretar</w:t>
            </w:r>
            <w:r>
              <w:rPr>
                <w:b/>
                <w:sz w:val="18"/>
                <w:szCs w:val="18"/>
                <w:lang w:val="es-ES"/>
              </w:rPr>
              <w:t>ía</w:t>
            </w:r>
            <w:r w:rsidR="007A6564" w:rsidRPr="00946EBD">
              <w:rPr>
                <w:b/>
                <w:sz w:val="18"/>
                <w:szCs w:val="18"/>
                <w:lang w:val="es-ES"/>
              </w:rPr>
              <w:t>:</w:t>
            </w:r>
          </w:p>
        </w:tc>
        <w:tc>
          <w:tcPr>
            <w:tcW w:w="7087" w:type="dxa"/>
            <w:shd w:val="clear" w:color="auto" w:fill="auto"/>
          </w:tcPr>
          <w:p w14:paraId="3128E5F4" w14:textId="02190D00" w:rsidR="007A6564" w:rsidRPr="00946EBD" w:rsidRDefault="00946EBD" w:rsidP="00946EBD">
            <w:pPr>
              <w:spacing w:after="60"/>
              <w:jc w:val="center"/>
              <w:rPr>
                <w:sz w:val="18"/>
                <w:szCs w:val="18"/>
                <w:lang w:val="es-ES"/>
              </w:rPr>
            </w:pPr>
            <w:r>
              <w:rPr>
                <w:sz w:val="18"/>
                <w:szCs w:val="18"/>
                <w:lang w:val="es-ES"/>
              </w:rPr>
              <w:t>Para su consideración por separado</w:t>
            </w:r>
          </w:p>
        </w:tc>
      </w:tr>
    </w:tbl>
    <w:p w14:paraId="75D09CCD" w14:textId="77777777" w:rsidR="007A6564" w:rsidRPr="00DB24E5" w:rsidRDefault="007A6564" w:rsidP="007A6564">
      <w:pPr>
        <w:rPr>
          <w:lang w:val="es-ES"/>
        </w:rPr>
      </w:pPr>
    </w:p>
    <w:p w14:paraId="5F1C6AD1" w14:textId="77777777" w:rsidR="007A6564" w:rsidRPr="00DB24E5" w:rsidRDefault="007A6564" w:rsidP="007A6564">
      <w:pPr>
        <w:jc w:val="left"/>
        <w:rPr>
          <w:lang w:val="es-ES"/>
        </w:rPr>
      </w:pPr>
      <w:r w:rsidRPr="00DB24E5">
        <w:rPr>
          <w:lang w:val="es-ES"/>
        </w:rPr>
        <w:br w:type="page"/>
      </w:r>
    </w:p>
    <w:p w14:paraId="603AC7FD" w14:textId="7449F62E" w:rsidR="007A6564" w:rsidRPr="00DB24E5" w:rsidRDefault="003A56DA" w:rsidP="007A6564">
      <w:pPr>
        <w:pStyle w:val="StyleHeader4Para4Left0Firstline0"/>
        <w:numPr>
          <w:ilvl w:val="0"/>
          <w:numId w:val="0"/>
        </w:numPr>
        <w:jc w:val="center"/>
        <w:rPr>
          <w:b/>
          <w:sz w:val="22"/>
          <w:lang w:val="es-ES"/>
        </w:rPr>
      </w:pPr>
      <w:r w:rsidRPr="00DB24E5">
        <w:rPr>
          <w:b/>
          <w:sz w:val="22"/>
          <w:lang w:val="es-ES"/>
        </w:rPr>
        <w:lastRenderedPageBreak/>
        <w:t>DESCRI</w:t>
      </w:r>
      <w:r w:rsidR="007A6564" w:rsidRPr="00DB24E5">
        <w:rPr>
          <w:b/>
          <w:sz w:val="22"/>
          <w:lang w:val="es-ES"/>
        </w:rPr>
        <w:t>P</w:t>
      </w:r>
      <w:r w:rsidRPr="00DB24E5">
        <w:rPr>
          <w:b/>
          <w:sz w:val="22"/>
          <w:lang w:val="es-ES"/>
        </w:rPr>
        <w:t>CIÓN DEL PROYECTO</w:t>
      </w:r>
    </w:p>
    <w:p w14:paraId="4A171C9C" w14:textId="0FFEF05C" w:rsidR="007A6564" w:rsidRPr="00DB24E5" w:rsidRDefault="003A56DA" w:rsidP="007A6564">
      <w:pPr>
        <w:rPr>
          <w:b/>
          <w:lang w:val="es-ES"/>
        </w:rPr>
      </w:pPr>
      <w:r w:rsidRPr="00DB24E5">
        <w:rPr>
          <w:b/>
          <w:lang w:val="es-ES"/>
        </w:rPr>
        <w:t>Información general</w:t>
      </w:r>
    </w:p>
    <w:p w14:paraId="73B1757E" w14:textId="77777777" w:rsidR="007A6564" w:rsidRPr="00DB24E5" w:rsidRDefault="007A6564" w:rsidP="007A6564">
      <w:pPr>
        <w:rPr>
          <w:lang w:val="es-ES"/>
        </w:rPr>
      </w:pPr>
    </w:p>
    <w:p w14:paraId="79F56765" w14:textId="75FDEC69" w:rsidR="007A6564" w:rsidRPr="00DA14C9" w:rsidRDefault="00DA14C9" w:rsidP="00D27153">
      <w:pPr>
        <w:pStyle w:val="Heading1"/>
        <w:tabs>
          <w:tab w:val="clear" w:pos="0"/>
          <w:tab w:val="clear" w:pos="1985"/>
        </w:tabs>
        <w:rPr>
          <w:lang w:val="es-ES"/>
        </w:rPr>
      </w:pPr>
      <w:r w:rsidRPr="00DA14C9">
        <w:rPr>
          <w:lang w:val="es-ES"/>
        </w:rPr>
        <w:t xml:space="preserve">En nombre del </w:t>
      </w:r>
      <w:r w:rsidR="00ED60EE" w:rsidRPr="00DA14C9">
        <w:rPr>
          <w:lang w:val="es-ES"/>
        </w:rPr>
        <w:t>Gobierno de</w:t>
      </w:r>
      <w:r w:rsidR="007A6564" w:rsidRPr="00DA14C9">
        <w:rPr>
          <w:lang w:val="es-ES"/>
        </w:rPr>
        <w:t xml:space="preserve"> Montenegro, </w:t>
      </w:r>
      <w:r w:rsidRPr="00DA14C9">
        <w:rPr>
          <w:lang w:val="es-ES"/>
        </w:rPr>
        <w:t xml:space="preserve">la </w:t>
      </w:r>
      <w:r w:rsidR="0088461E" w:rsidRPr="00DA14C9">
        <w:rPr>
          <w:lang w:val="es-ES"/>
        </w:rPr>
        <w:t>ONUDI</w:t>
      </w:r>
      <w:r w:rsidRPr="00DA14C9">
        <w:rPr>
          <w:lang w:val="es-ES"/>
        </w:rPr>
        <w:t>, en su calidad de organism</w:t>
      </w:r>
      <w:r>
        <w:rPr>
          <w:lang w:val="es-ES"/>
        </w:rPr>
        <w:t>o</w:t>
      </w:r>
      <w:r w:rsidRPr="00DA14C9">
        <w:rPr>
          <w:lang w:val="es-ES"/>
        </w:rPr>
        <w:t xml:space="preserve"> de ejecución designa</w:t>
      </w:r>
      <w:r>
        <w:rPr>
          <w:lang w:val="es-ES"/>
        </w:rPr>
        <w:t xml:space="preserve">do, ha presentado una solicitud para la </w:t>
      </w:r>
      <w:r w:rsidR="008C669C" w:rsidRPr="00DA14C9">
        <w:rPr>
          <w:lang w:val="es-ES"/>
        </w:rPr>
        <w:t>etapa</w:t>
      </w:r>
      <w:r w:rsidR="00306EAB" w:rsidRPr="00DA14C9">
        <w:rPr>
          <w:lang w:val="es-ES"/>
        </w:rPr>
        <w:t> </w:t>
      </w:r>
      <w:r w:rsidR="007A6564" w:rsidRPr="00DA14C9">
        <w:rPr>
          <w:lang w:val="es-ES"/>
        </w:rPr>
        <w:t xml:space="preserve">II </w:t>
      </w:r>
      <w:r>
        <w:rPr>
          <w:lang w:val="es-ES"/>
        </w:rPr>
        <w:t xml:space="preserve">del plan de gestión de eliminación de los </w:t>
      </w:r>
      <w:r w:rsidR="007A6564" w:rsidRPr="00DA14C9">
        <w:rPr>
          <w:lang w:val="es-ES"/>
        </w:rPr>
        <w:t>HCFC</w:t>
      </w:r>
      <w:r>
        <w:rPr>
          <w:lang w:val="es-ES"/>
        </w:rPr>
        <w:t xml:space="preserve"> por la suma de </w:t>
      </w:r>
      <w:r w:rsidR="007A6564" w:rsidRPr="00DA14C9">
        <w:rPr>
          <w:lang w:val="es-ES"/>
        </w:rPr>
        <w:t>635</w:t>
      </w:r>
      <w:r>
        <w:rPr>
          <w:lang w:val="es-ES"/>
        </w:rPr>
        <w:t>.</w:t>
      </w:r>
      <w:r w:rsidR="007A6564" w:rsidRPr="00DA14C9">
        <w:rPr>
          <w:lang w:val="es-ES"/>
        </w:rPr>
        <w:t>500</w:t>
      </w:r>
      <w:r>
        <w:rPr>
          <w:lang w:val="es-ES"/>
        </w:rPr>
        <w:t xml:space="preserve"> $ EUA</w:t>
      </w:r>
      <w:r w:rsidR="007A6564" w:rsidRPr="00DA14C9">
        <w:rPr>
          <w:lang w:val="es-ES"/>
        </w:rPr>
        <w:t xml:space="preserve">, </w:t>
      </w:r>
      <w:r>
        <w:rPr>
          <w:lang w:val="es-ES"/>
        </w:rPr>
        <w:t xml:space="preserve">más gastos de apoyo al organismo de </w:t>
      </w:r>
      <w:r w:rsidR="007A6564" w:rsidRPr="00DA14C9">
        <w:rPr>
          <w:lang w:val="es-ES"/>
        </w:rPr>
        <w:t>44</w:t>
      </w:r>
      <w:r>
        <w:rPr>
          <w:lang w:val="es-ES"/>
        </w:rPr>
        <w:t>.</w:t>
      </w:r>
      <w:r w:rsidR="007A6564" w:rsidRPr="00DA14C9">
        <w:rPr>
          <w:lang w:val="es-ES"/>
        </w:rPr>
        <w:t>485</w:t>
      </w:r>
      <w:r>
        <w:rPr>
          <w:lang w:val="es-ES"/>
        </w:rPr>
        <w:t xml:space="preserve"> $ EUA</w:t>
      </w:r>
      <w:r w:rsidR="007A6564" w:rsidRPr="00DA14C9">
        <w:rPr>
          <w:lang w:val="es-ES"/>
        </w:rPr>
        <w:t xml:space="preserve">, </w:t>
      </w:r>
      <w:r>
        <w:rPr>
          <w:lang w:val="es-ES"/>
        </w:rPr>
        <w:t>en su forma original</w:t>
      </w:r>
      <w:r w:rsidR="007A6564" w:rsidRPr="00DB24E5">
        <w:rPr>
          <w:rStyle w:val="FootnoteReference"/>
          <w:lang w:val="es-ES"/>
        </w:rPr>
        <w:footnoteReference w:id="3"/>
      </w:r>
      <w:r>
        <w:rPr>
          <w:lang w:val="es-ES"/>
        </w:rPr>
        <w:t>.</w:t>
      </w:r>
      <w:r w:rsidR="007A6564" w:rsidRPr="00DA14C9">
        <w:rPr>
          <w:lang w:val="es-ES"/>
        </w:rPr>
        <w:t xml:space="preserve"> </w:t>
      </w:r>
      <w:r>
        <w:rPr>
          <w:lang w:val="es-ES"/>
        </w:rPr>
        <w:t xml:space="preserve">Durante la ejecución de la </w:t>
      </w:r>
      <w:r w:rsidR="008C669C" w:rsidRPr="00DA14C9">
        <w:rPr>
          <w:lang w:val="es-ES"/>
        </w:rPr>
        <w:t>etapa</w:t>
      </w:r>
      <w:r w:rsidR="00306EAB" w:rsidRPr="00DA14C9">
        <w:rPr>
          <w:lang w:val="es-ES"/>
        </w:rPr>
        <w:t> </w:t>
      </w:r>
      <w:r w:rsidR="007A6564" w:rsidRPr="00DA14C9">
        <w:rPr>
          <w:lang w:val="es-ES"/>
        </w:rPr>
        <w:t xml:space="preserve">II </w:t>
      </w:r>
      <w:r w:rsidR="00135B60" w:rsidRPr="00DA14C9">
        <w:rPr>
          <w:lang w:val="es-ES"/>
        </w:rPr>
        <w:t>del plan de gestión de eliminación de los HCFC</w:t>
      </w:r>
      <w:r w:rsidR="007A6564" w:rsidRPr="00DA14C9">
        <w:rPr>
          <w:lang w:val="es-ES"/>
        </w:rPr>
        <w:t xml:space="preserve"> </w:t>
      </w:r>
      <w:r>
        <w:rPr>
          <w:lang w:val="es-ES"/>
        </w:rPr>
        <w:t xml:space="preserve">se eliminará el consumo restante de </w:t>
      </w:r>
      <w:r w:rsidR="007A6564" w:rsidRPr="00DA14C9">
        <w:rPr>
          <w:lang w:val="es-ES"/>
        </w:rPr>
        <w:t>HCFC</w:t>
      </w:r>
      <w:r>
        <w:rPr>
          <w:lang w:val="es-ES"/>
        </w:rPr>
        <w:t xml:space="preserve"> a más tardar en </w:t>
      </w:r>
      <w:r w:rsidR="007A6564" w:rsidRPr="00DA14C9">
        <w:rPr>
          <w:lang w:val="es-ES"/>
        </w:rPr>
        <w:t xml:space="preserve">2025. </w:t>
      </w:r>
    </w:p>
    <w:p w14:paraId="568C7B03" w14:textId="383BFC42" w:rsidR="007A6564" w:rsidRPr="00DB24E5" w:rsidRDefault="00DA14C9" w:rsidP="00D27153">
      <w:pPr>
        <w:pStyle w:val="Heading1"/>
        <w:tabs>
          <w:tab w:val="clear" w:pos="0"/>
          <w:tab w:val="clear" w:pos="1985"/>
        </w:tabs>
        <w:rPr>
          <w:lang w:val="es-ES"/>
        </w:rPr>
      </w:pPr>
      <w:r>
        <w:rPr>
          <w:lang w:val="es-ES"/>
        </w:rPr>
        <w:t xml:space="preserve">El primer </w:t>
      </w:r>
      <w:r w:rsidR="008C669C" w:rsidRPr="00DA14C9">
        <w:rPr>
          <w:lang w:val="es-ES"/>
        </w:rPr>
        <w:t>tramo</w:t>
      </w:r>
      <w:r w:rsidR="007A6564" w:rsidRPr="00DA14C9">
        <w:rPr>
          <w:lang w:val="es-ES"/>
        </w:rPr>
        <w:t xml:space="preserve"> </w:t>
      </w:r>
      <w:r>
        <w:rPr>
          <w:lang w:val="es-ES"/>
        </w:rPr>
        <w:t>de la</w:t>
      </w:r>
      <w:r w:rsidR="007A6564" w:rsidRPr="00DA14C9">
        <w:rPr>
          <w:lang w:val="es-ES"/>
        </w:rPr>
        <w:t xml:space="preserve"> </w:t>
      </w:r>
      <w:r w:rsidR="008C669C" w:rsidRPr="00DA14C9">
        <w:rPr>
          <w:lang w:val="es-ES"/>
        </w:rPr>
        <w:t>etapa</w:t>
      </w:r>
      <w:r w:rsidR="00306EAB" w:rsidRPr="00DA14C9">
        <w:rPr>
          <w:lang w:val="es-ES"/>
        </w:rPr>
        <w:t> </w:t>
      </w:r>
      <w:r w:rsidR="007A6564" w:rsidRPr="00DA14C9">
        <w:rPr>
          <w:lang w:val="es-ES"/>
        </w:rPr>
        <w:t xml:space="preserve">II </w:t>
      </w:r>
      <w:r w:rsidR="00135B60" w:rsidRPr="00DA14C9">
        <w:rPr>
          <w:lang w:val="es-ES"/>
        </w:rPr>
        <w:t>del plan de gestión de eliminación de los HCFC</w:t>
      </w:r>
      <w:r>
        <w:rPr>
          <w:lang w:val="es-ES"/>
        </w:rPr>
        <w:t xml:space="preserve"> que se solicita en la reunión en curso asciende a </w:t>
      </w:r>
      <w:r w:rsidR="007A6564" w:rsidRPr="00DB24E5">
        <w:rPr>
          <w:lang w:val="es-ES"/>
        </w:rPr>
        <w:t>2</w:t>
      </w:r>
      <w:r w:rsidR="00737C39" w:rsidRPr="00DB24E5">
        <w:rPr>
          <w:lang w:val="es-ES"/>
        </w:rPr>
        <w:t>9</w:t>
      </w:r>
      <w:r w:rsidR="007A6564" w:rsidRPr="00DB24E5">
        <w:rPr>
          <w:lang w:val="es-ES"/>
        </w:rPr>
        <w:t>6</w:t>
      </w:r>
      <w:r>
        <w:rPr>
          <w:lang w:val="es-ES"/>
        </w:rPr>
        <w:t>.</w:t>
      </w:r>
      <w:r w:rsidR="007A6564" w:rsidRPr="00DB24E5">
        <w:rPr>
          <w:lang w:val="es-ES"/>
        </w:rPr>
        <w:t>500</w:t>
      </w:r>
      <w:r>
        <w:rPr>
          <w:lang w:val="es-ES"/>
        </w:rPr>
        <w:t xml:space="preserve"> $ EUA</w:t>
      </w:r>
      <w:r w:rsidR="00A6655A" w:rsidRPr="00DB24E5">
        <w:rPr>
          <w:lang w:val="es-ES"/>
        </w:rPr>
        <w:t>,</w:t>
      </w:r>
      <w:r w:rsidR="007A6564" w:rsidRPr="00DB24E5">
        <w:rPr>
          <w:lang w:val="es-ES"/>
        </w:rPr>
        <w:t xml:space="preserve"> </w:t>
      </w:r>
      <w:r>
        <w:rPr>
          <w:lang w:val="es-ES"/>
        </w:rPr>
        <w:t xml:space="preserve">más gastos de apoyo al organismo de </w:t>
      </w:r>
      <w:r w:rsidR="00737C39" w:rsidRPr="00DB24E5">
        <w:rPr>
          <w:lang w:val="es-ES"/>
        </w:rPr>
        <w:t>20</w:t>
      </w:r>
      <w:r>
        <w:rPr>
          <w:lang w:val="es-ES"/>
        </w:rPr>
        <w:t>.</w:t>
      </w:r>
      <w:r w:rsidR="00737C39" w:rsidRPr="00DB24E5">
        <w:rPr>
          <w:lang w:val="es-ES"/>
        </w:rPr>
        <w:t>7</w:t>
      </w:r>
      <w:r w:rsidR="007A6564" w:rsidRPr="00DB24E5">
        <w:rPr>
          <w:lang w:val="es-ES"/>
        </w:rPr>
        <w:t xml:space="preserve">55 </w:t>
      </w:r>
      <w:r>
        <w:rPr>
          <w:lang w:val="es-ES"/>
        </w:rPr>
        <w:t>$ EUA para la</w:t>
      </w:r>
      <w:r w:rsidR="007A6564" w:rsidRPr="00DB24E5">
        <w:rPr>
          <w:lang w:val="es-ES"/>
        </w:rPr>
        <w:t xml:space="preserve"> </w:t>
      </w:r>
      <w:r w:rsidR="0088461E" w:rsidRPr="00DB24E5">
        <w:rPr>
          <w:lang w:val="es-ES"/>
        </w:rPr>
        <w:t>ONUDI</w:t>
      </w:r>
      <w:r w:rsidR="007A6564" w:rsidRPr="00DB24E5">
        <w:rPr>
          <w:lang w:val="es-ES"/>
        </w:rPr>
        <w:t xml:space="preserve">, </w:t>
      </w:r>
      <w:r>
        <w:rPr>
          <w:lang w:val="es-ES"/>
        </w:rPr>
        <w:t>tal como se presentó originalmente</w:t>
      </w:r>
      <w:r w:rsidR="007A6564" w:rsidRPr="00DB24E5">
        <w:rPr>
          <w:lang w:val="es-ES"/>
        </w:rPr>
        <w:t>.</w:t>
      </w:r>
    </w:p>
    <w:p w14:paraId="6657FC87" w14:textId="42E6BC7F" w:rsidR="007A6564" w:rsidRPr="00DB24E5" w:rsidRDefault="003A56DA" w:rsidP="007A6564">
      <w:pPr>
        <w:pStyle w:val="Heading1"/>
        <w:numPr>
          <w:ilvl w:val="0"/>
          <w:numId w:val="0"/>
        </w:numPr>
        <w:rPr>
          <w:b/>
          <w:lang w:val="es-ES"/>
        </w:rPr>
      </w:pPr>
      <w:r w:rsidRPr="00DB24E5">
        <w:rPr>
          <w:b/>
          <w:lang w:val="es-ES"/>
        </w:rPr>
        <w:t>Estado de la ejecución de la etapa I del plan de gestión de eliminación de los HCFC</w:t>
      </w:r>
    </w:p>
    <w:p w14:paraId="34AD5FDE" w14:textId="1FD3BCDB" w:rsidR="007A6564" w:rsidRPr="00C23F7A" w:rsidRDefault="00883ED4" w:rsidP="00B95DE6">
      <w:pPr>
        <w:pStyle w:val="Heading1"/>
        <w:tabs>
          <w:tab w:val="clear" w:pos="1985"/>
          <w:tab w:val="num" w:pos="709"/>
        </w:tabs>
        <w:rPr>
          <w:lang w:val="es-ES"/>
        </w:rPr>
      </w:pPr>
      <w:r w:rsidRPr="00C23F7A">
        <w:rPr>
          <w:lang w:val="es-ES"/>
        </w:rPr>
        <w:t>La e</w:t>
      </w:r>
      <w:r w:rsidR="008C669C" w:rsidRPr="00C23F7A">
        <w:rPr>
          <w:lang w:val="es-ES"/>
        </w:rPr>
        <w:t>tapa</w:t>
      </w:r>
      <w:r w:rsidR="00306EAB" w:rsidRPr="00C23F7A">
        <w:rPr>
          <w:lang w:val="es-ES"/>
        </w:rPr>
        <w:t> </w:t>
      </w:r>
      <w:r w:rsidR="007A6564" w:rsidRPr="00C23F7A">
        <w:rPr>
          <w:lang w:val="es-ES"/>
        </w:rPr>
        <w:t xml:space="preserve">I </w:t>
      </w:r>
      <w:r w:rsidR="00135B60" w:rsidRPr="00C23F7A">
        <w:rPr>
          <w:lang w:val="es-ES"/>
        </w:rPr>
        <w:t>del plan de gestión de eliminación de los HCFC</w:t>
      </w:r>
      <w:r w:rsidR="007A6564" w:rsidRPr="00C23F7A">
        <w:rPr>
          <w:lang w:val="es-ES"/>
        </w:rPr>
        <w:t xml:space="preserve"> </w:t>
      </w:r>
      <w:r w:rsidRPr="00C23F7A">
        <w:rPr>
          <w:lang w:val="es-ES"/>
        </w:rPr>
        <w:t>para</w:t>
      </w:r>
      <w:r w:rsidR="007A6564" w:rsidRPr="00C23F7A">
        <w:rPr>
          <w:lang w:val="es-ES"/>
        </w:rPr>
        <w:t xml:space="preserve"> Montenegro </w:t>
      </w:r>
      <w:r w:rsidRPr="00C23F7A">
        <w:rPr>
          <w:lang w:val="es-ES"/>
        </w:rPr>
        <w:t xml:space="preserve">fue aprobada </w:t>
      </w:r>
      <w:r w:rsidR="007A6564" w:rsidRPr="00C23F7A">
        <w:rPr>
          <w:lang w:val="es-ES"/>
        </w:rPr>
        <w:t>original</w:t>
      </w:r>
      <w:r w:rsidRPr="00C23F7A">
        <w:rPr>
          <w:lang w:val="es-ES"/>
        </w:rPr>
        <w:t>mente en la</w:t>
      </w:r>
      <w:r w:rsidR="007A6564" w:rsidRPr="00C23F7A">
        <w:rPr>
          <w:lang w:val="es-ES"/>
        </w:rPr>
        <w:t xml:space="preserve"> 63</w:t>
      </w:r>
      <w:r w:rsidRPr="00C23F7A">
        <w:rPr>
          <w:vertAlign w:val="superscript"/>
          <w:lang w:val="es-ES"/>
        </w:rPr>
        <w:t>a</w:t>
      </w:r>
      <w:r w:rsidR="007A6564" w:rsidRPr="00C23F7A">
        <w:rPr>
          <w:vertAlign w:val="superscript"/>
          <w:lang w:val="es-ES"/>
        </w:rPr>
        <w:t xml:space="preserve"> </w:t>
      </w:r>
      <w:r w:rsidRPr="00C23F7A">
        <w:rPr>
          <w:lang w:val="es-ES"/>
        </w:rPr>
        <w:t>reunión</w:t>
      </w:r>
      <w:r w:rsidR="007A6564" w:rsidRPr="00DB24E5">
        <w:rPr>
          <w:rStyle w:val="FootnoteReference"/>
          <w:lang w:val="es-ES"/>
        </w:rPr>
        <w:footnoteReference w:id="4"/>
      </w:r>
      <w:r w:rsidR="007A6564" w:rsidRPr="00C23F7A">
        <w:rPr>
          <w:lang w:val="es-ES"/>
        </w:rPr>
        <w:t xml:space="preserve"> </w:t>
      </w:r>
      <w:r w:rsidRPr="00C23F7A">
        <w:rPr>
          <w:lang w:val="es-ES"/>
        </w:rPr>
        <w:t>y revisada en la</w:t>
      </w:r>
      <w:r w:rsidR="007A6564" w:rsidRPr="00C23F7A">
        <w:rPr>
          <w:lang w:val="es-ES"/>
        </w:rPr>
        <w:t xml:space="preserve"> 7</w:t>
      </w:r>
      <w:r w:rsidR="00C22FA6" w:rsidRPr="00C23F7A">
        <w:rPr>
          <w:lang w:val="es-ES"/>
        </w:rPr>
        <w:t>1</w:t>
      </w:r>
      <w:r w:rsidRPr="00C23F7A">
        <w:rPr>
          <w:vertAlign w:val="superscript"/>
          <w:lang w:val="es-ES"/>
        </w:rPr>
        <w:t>a</w:t>
      </w:r>
      <w:r w:rsidR="00C22FA6" w:rsidRPr="00C23F7A">
        <w:rPr>
          <w:lang w:val="es-ES"/>
        </w:rPr>
        <w:t xml:space="preserve"> </w:t>
      </w:r>
      <w:r w:rsidRPr="00C23F7A">
        <w:rPr>
          <w:lang w:val="es-ES"/>
        </w:rPr>
        <w:t>reunión</w:t>
      </w:r>
      <w:r w:rsidR="007A6564" w:rsidRPr="00DB24E5">
        <w:rPr>
          <w:rStyle w:val="FootnoteReference"/>
          <w:lang w:val="es-ES"/>
        </w:rPr>
        <w:footnoteReference w:id="5"/>
      </w:r>
      <w:r w:rsidR="00A6655A" w:rsidRPr="00C23F7A">
        <w:rPr>
          <w:lang w:val="es-ES"/>
        </w:rPr>
        <w:t xml:space="preserve"> </w:t>
      </w:r>
      <w:r w:rsidR="00C23F7A" w:rsidRPr="00C23F7A">
        <w:rPr>
          <w:lang w:val="es-ES"/>
        </w:rPr>
        <w:t>para cumplir la meta de reducci</w:t>
      </w:r>
      <w:r w:rsidR="00C23F7A">
        <w:rPr>
          <w:lang w:val="es-ES"/>
        </w:rPr>
        <w:t xml:space="preserve">ón del </w:t>
      </w:r>
      <w:r w:rsidR="00996B6B" w:rsidRPr="00C23F7A">
        <w:rPr>
          <w:lang w:val="es-ES"/>
        </w:rPr>
        <w:t>35</w:t>
      </w:r>
      <w:r w:rsidR="00C23F7A">
        <w:rPr>
          <w:lang w:val="es-ES"/>
        </w:rPr>
        <w:t>%</w:t>
      </w:r>
      <w:r w:rsidR="00996B6B" w:rsidRPr="00C23F7A">
        <w:rPr>
          <w:lang w:val="es-ES"/>
        </w:rPr>
        <w:t xml:space="preserve"> </w:t>
      </w:r>
      <w:r w:rsidR="00C23F7A">
        <w:rPr>
          <w:lang w:val="es-ES"/>
        </w:rPr>
        <w:t xml:space="preserve"> respecto del nivel de referencia para</w:t>
      </w:r>
      <w:r w:rsidR="007A6564" w:rsidRPr="00C23F7A">
        <w:rPr>
          <w:lang w:val="es-ES"/>
        </w:rPr>
        <w:t xml:space="preserve"> 2020, a</w:t>
      </w:r>
      <w:r w:rsidR="00C23F7A">
        <w:rPr>
          <w:lang w:val="es-ES"/>
        </w:rPr>
        <w:t xml:space="preserve"> un costo</w:t>
      </w:r>
      <w:r w:rsidR="007A6564" w:rsidRPr="00C23F7A">
        <w:rPr>
          <w:lang w:val="es-ES"/>
        </w:rPr>
        <w:t xml:space="preserve"> total </w:t>
      </w:r>
      <w:r w:rsidR="00C23F7A">
        <w:rPr>
          <w:lang w:val="es-ES"/>
        </w:rPr>
        <w:t>de</w:t>
      </w:r>
      <w:r w:rsidR="007A6564" w:rsidRPr="00C23F7A">
        <w:rPr>
          <w:lang w:val="es-ES"/>
        </w:rPr>
        <w:t xml:space="preserve"> 40</w:t>
      </w:r>
      <w:r w:rsidR="00C22FA6" w:rsidRPr="00C23F7A">
        <w:rPr>
          <w:lang w:val="es-ES"/>
        </w:rPr>
        <w:t>4</w:t>
      </w:r>
      <w:r w:rsidR="00C23F7A">
        <w:rPr>
          <w:lang w:val="es-ES"/>
        </w:rPr>
        <w:t>.</w:t>
      </w:r>
      <w:r w:rsidR="00C22FA6" w:rsidRPr="00C23F7A">
        <w:rPr>
          <w:lang w:val="es-ES"/>
        </w:rPr>
        <w:t>5</w:t>
      </w:r>
      <w:r w:rsidR="007A6564" w:rsidRPr="00C23F7A">
        <w:rPr>
          <w:lang w:val="es-ES"/>
        </w:rPr>
        <w:t>00</w:t>
      </w:r>
      <w:r w:rsidR="00C23F7A">
        <w:rPr>
          <w:lang w:val="es-ES"/>
        </w:rPr>
        <w:t xml:space="preserve"> </w:t>
      </w:r>
      <w:r w:rsidR="00C23F7A" w:rsidRPr="00C23F7A">
        <w:rPr>
          <w:lang w:val="es-ES"/>
        </w:rPr>
        <w:t>$ EUA</w:t>
      </w:r>
      <w:r w:rsidR="00E32C69" w:rsidRPr="00C23F7A">
        <w:rPr>
          <w:lang w:val="es-ES"/>
        </w:rPr>
        <w:t>,</w:t>
      </w:r>
      <w:r w:rsidR="007A6564" w:rsidRPr="00C23F7A">
        <w:rPr>
          <w:lang w:val="es-ES"/>
        </w:rPr>
        <w:t xml:space="preserve"> </w:t>
      </w:r>
      <w:r w:rsidR="00C23F7A">
        <w:rPr>
          <w:lang w:val="es-ES"/>
        </w:rPr>
        <w:t>más gastos de apoyo al organismo para eliminar</w:t>
      </w:r>
      <w:r w:rsidR="007A6564" w:rsidRPr="00C23F7A">
        <w:rPr>
          <w:lang w:val="es-ES"/>
        </w:rPr>
        <w:t xml:space="preserve"> 0</w:t>
      </w:r>
      <w:r w:rsidR="00C23F7A">
        <w:rPr>
          <w:lang w:val="es-ES"/>
        </w:rPr>
        <w:t>,</w:t>
      </w:r>
      <w:r w:rsidR="007A6564" w:rsidRPr="00C23F7A">
        <w:rPr>
          <w:lang w:val="es-ES"/>
        </w:rPr>
        <w:t>52</w:t>
      </w:r>
      <w:r w:rsidR="00306EAB" w:rsidRPr="00C23F7A">
        <w:rPr>
          <w:lang w:val="es-ES"/>
        </w:rPr>
        <w:t> </w:t>
      </w:r>
      <w:r w:rsidR="0001658C" w:rsidRPr="00C23F7A">
        <w:rPr>
          <w:lang w:val="es-ES"/>
        </w:rPr>
        <w:t>toneladas PAO</w:t>
      </w:r>
      <w:r w:rsidR="007A6564" w:rsidRPr="00C23F7A">
        <w:rPr>
          <w:lang w:val="es-ES"/>
        </w:rPr>
        <w:t xml:space="preserve"> </w:t>
      </w:r>
      <w:r w:rsidR="00C23F7A">
        <w:rPr>
          <w:lang w:val="es-ES"/>
        </w:rPr>
        <w:t>de</w:t>
      </w:r>
      <w:r w:rsidR="007A6564" w:rsidRPr="00C23F7A">
        <w:rPr>
          <w:lang w:val="es-ES"/>
        </w:rPr>
        <w:t xml:space="preserve"> HCFC us</w:t>
      </w:r>
      <w:r w:rsidR="00C23F7A">
        <w:rPr>
          <w:lang w:val="es-ES"/>
        </w:rPr>
        <w:t xml:space="preserve">adas en el sector de mantenimiento de equipo de refrigeración y aire acondicionado y que incluye el fortalecimiento institucional por la suma de </w:t>
      </w:r>
      <w:r w:rsidR="00AD6957" w:rsidRPr="00C23F7A">
        <w:rPr>
          <w:lang w:val="es-ES"/>
        </w:rPr>
        <w:t>240</w:t>
      </w:r>
      <w:r w:rsidR="00C23F7A">
        <w:rPr>
          <w:lang w:val="es-ES"/>
        </w:rPr>
        <w:t>.</w:t>
      </w:r>
      <w:r w:rsidR="00AD6957" w:rsidRPr="00C23F7A">
        <w:rPr>
          <w:lang w:val="es-ES"/>
        </w:rPr>
        <w:t xml:space="preserve">000 </w:t>
      </w:r>
      <w:r w:rsidR="00C23F7A" w:rsidRPr="00C23F7A">
        <w:rPr>
          <w:lang w:val="es-ES"/>
        </w:rPr>
        <w:t xml:space="preserve">$ EUA </w:t>
      </w:r>
      <w:r w:rsidR="00C23F7A">
        <w:rPr>
          <w:lang w:val="es-ES"/>
        </w:rPr>
        <w:t>durante ocho años a partir de julio de</w:t>
      </w:r>
      <w:r w:rsidR="001134B8" w:rsidRPr="00C23F7A">
        <w:rPr>
          <w:lang w:val="es-ES"/>
        </w:rPr>
        <w:t> </w:t>
      </w:r>
      <w:r w:rsidR="00AD6957" w:rsidRPr="00C23F7A">
        <w:rPr>
          <w:lang w:val="es-ES"/>
        </w:rPr>
        <w:t>2012</w:t>
      </w:r>
      <w:r w:rsidR="007A6564" w:rsidRPr="00C23F7A">
        <w:rPr>
          <w:lang w:val="es-ES"/>
        </w:rPr>
        <w:t xml:space="preserve">. </w:t>
      </w:r>
      <w:r w:rsidR="00C23F7A">
        <w:rPr>
          <w:lang w:val="es-ES"/>
        </w:rPr>
        <w:t>En los párrafos 2 a 23 del presente documento se describen l</w:t>
      </w:r>
      <w:r w:rsidR="00C23F7A" w:rsidRPr="00C23F7A">
        <w:rPr>
          <w:lang w:val="es-ES"/>
        </w:rPr>
        <w:t>os progresos realizados en la ejecución de la</w:t>
      </w:r>
      <w:r w:rsidR="00E32C69" w:rsidRPr="00C23F7A">
        <w:rPr>
          <w:lang w:val="es-ES"/>
        </w:rPr>
        <w:t xml:space="preserve"> </w:t>
      </w:r>
      <w:r w:rsidR="008C669C" w:rsidRPr="00C23F7A">
        <w:rPr>
          <w:lang w:val="es-ES"/>
        </w:rPr>
        <w:t>etapa</w:t>
      </w:r>
      <w:r w:rsidR="00E32C69" w:rsidRPr="00C23F7A">
        <w:rPr>
          <w:lang w:val="es-ES"/>
        </w:rPr>
        <w:t xml:space="preserve"> I </w:t>
      </w:r>
      <w:r w:rsidR="00135B60" w:rsidRPr="00C23F7A">
        <w:rPr>
          <w:lang w:val="es-ES"/>
        </w:rPr>
        <w:t>del plan de gestión de eliminación de los HCFC</w:t>
      </w:r>
      <w:r w:rsidR="00E32C69" w:rsidRPr="00C23F7A">
        <w:rPr>
          <w:lang w:val="es-ES"/>
        </w:rPr>
        <w:t xml:space="preserve">, </w:t>
      </w:r>
      <w:r w:rsidR="00C23F7A" w:rsidRPr="00C23F7A">
        <w:rPr>
          <w:lang w:val="es-ES"/>
        </w:rPr>
        <w:t>incluido un análisis del consum</w:t>
      </w:r>
      <w:r w:rsidR="00C23F7A">
        <w:rPr>
          <w:lang w:val="es-ES"/>
        </w:rPr>
        <w:t>o</w:t>
      </w:r>
      <w:r w:rsidR="00C23F7A" w:rsidRPr="00C23F7A">
        <w:rPr>
          <w:lang w:val="es-ES"/>
        </w:rPr>
        <w:t xml:space="preserve"> de </w:t>
      </w:r>
      <w:r w:rsidR="007A6564" w:rsidRPr="00C23F7A">
        <w:rPr>
          <w:lang w:val="es-ES"/>
        </w:rPr>
        <w:t>HCFC</w:t>
      </w:r>
      <w:r w:rsidR="00E32C69" w:rsidRPr="00C23F7A">
        <w:rPr>
          <w:lang w:val="es-ES"/>
        </w:rPr>
        <w:t xml:space="preserve">; </w:t>
      </w:r>
      <w:r w:rsidR="00DA14C9">
        <w:rPr>
          <w:lang w:val="es-ES"/>
        </w:rPr>
        <w:t>los informes financieros y los progresos en la ejecución</w:t>
      </w:r>
      <w:r w:rsidR="00E32C69" w:rsidRPr="00C23F7A">
        <w:rPr>
          <w:lang w:val="es-ES"/>
        </w:rPr>
        <w:t xml:space="preserve">; </w:t>
      </w:r>
      <w:r w:rsidR="00DA14C9">
        <w:rPr>
          <w:lang w:val="es-ES"/>
        </w:rPr>
        <w:t>y la solicitud del tramo quinto y final</w:t>
      </w:r>
      <w:r w:rsidR="007A6564" w:rsidRPr="00C23F7A">
        <w:rPr>
          <w:lang w:val="es-ES"/>
        </w:rPr>
        <w:t>.</w:t>
      </w:r>
    </w:p>
    <w:p w14:paraId="0E4C78F5" w14:textId="40C77E74" w:rsidR="007A6564" w:rsidRPr="00DB24E5" w:rsidRDefault="003A56DA" w:rsidP="007A6564">
      <w:pPr>
        <w:autoSpaceDE w:val="0"/>
        <w:autoSpaceDN w:val="0"/>
        <w:adjustRightInd w:val="0"/>
        <w:rPr>
          <w:b/>
          <w:bCs/>
          <w:lang w:val="es-ES"/>
        </w:rPr>
      </w:pPr>
      <w:r w:rsidRPr="00DB24E5">
        <w:rPr>
          <w:b/>
          <w:bCs/>
          <w:lang w:val="es-ES"/>
        </w:rPr>
        <w:t>Etapa II del plan de gestión de eliminación de los HCFC</w:t>
      </w:r>
    </w:p>
    <w:p w14:paraId="26C90FAB" w14:textId="77777777" w:rsidR="007A6564" w:rsidRPr="00DB24E5" w:rsidRDefault="007A6564" w:rsidP="007A6564">
      <w:pPr>
        <w:rPr>
          <w:lang w:val="es-ES"/>
        </w:rPr>
      </w:pPr>
    </w:p>
    <w:p w14:paraId="0A6AE399" w14:textId="42F26B23" w:rsidR="007A6564" w:rsidRPr="00DB24E5" w:rsidRDefault="00C23F7A" w:rsidP="007A6564">
      <w:pPr>
        <w:pStyle w:val="Heading1"/>
        <w:numPr>
          <w:ilvl w:val="0"/>
          <w:numId w:val="0"/>
        </w:numPr>
        <w:rPr>
          <w:u w:val="single"/>
          <w:lang w:val="es-ES"/>
        </w:rPr>
      </w:pPr>
      <w:r>
        <w:rPr>
          <w:u w:val="single"/>
          <w:lang w:val="es-ES"/>
        </w:rPr>
        <w:t>Consumo restante admisible</w:t>
      </w:r>
      <w:r w:rsidR="00436A9D" w:rsidRPr="00DB24E5">
        <w:rPr>
          <w:u w:val="single"/>
          <w:lang w:val="es-ES"/>
        </w:rPr>
        <w:t xml:space="preserve"> para la financiación</w:t>
      </w:r>
    </w:p>
    <w:p w14:paraId="41AA1B34" w14:textId="2061DCA2" w:rsidR="007A6564" w:rsidRPr="00DB24E5" w:rsidRDefault="00436A9D" w:rsidP="00D27153">
      <w:pPr>
        <w:pStyle w:val="Heading1"/>
        <w:tabs>
          <w:tab w:val="clear" w:pos="0"/>
          <w:tab w:val="clear" w:pos="1985"/>
        </w:tabs>
        <w:rPr>
          <w:u w:val="single"/>
          <w:lang w:val="es-ES"/>
        </w:rPr>
      </w:pPr>
      <w:r w:rsidRPr="00DB24E5">
        <w:rPr>
          <w:lang w:val="es-ES"/>
        </w:rPr>
        <w:t xml:space="preserve">Tras deducir </w:t>
      </w:r>
      <w:r w:rsidR="007A6564" w:rsidRPr="00DB24E5">
        <w:rPr>
          <w:lang w:val="es-ES"/>
        </w:rPr>
        <w:t>0</w:t>
      </w:r>
      <w:r w:rsidRPr="00DB24E5">
        <w:rPr>
          <w:lang w:val="es-ES"/>
        </w:rPr>
        <w:t>,</w:t>
      </w:r>
      <w:r w:rsidR="007A6564" w:rsidRPr="00DB24E5">
        <w:rPr>
          <w:lang w:val="es-ES"/>
        </w:rPr>
        <w:t>28</w:t>
      </w:r>
      <w:r w:rsidR="00306EAB" w:rsidRPr="00DB24E5">
        <w:rPr>
          <w:lang w:val="es-ES"/>
        </w:rPr>
        <w:t> </w:t>
      </w:r>
      <w:r w:rsidR="0001658C" w:rsidRPr="00DB24E5">
        <w:rPr>
          <w:lang w:val="es-ES"/>
        </w:rPr>
        <w:t>toneladas PAO</w:t>
      </w:r>
      <w:r w:rsidR="007A6564" w:rsidRPr="00DB24E5">
        <w:rPr>
          <w:lang w:val="es-ES"/>
        </w:rPr>
        <w:t xml:space="preserve"> </w:t>
      </w:r>
      <w:r w:rsidRPr="00DB24E5">
        <w:rPr>
          <w:lang w:val="es-ES"/>
        </w:rPr>
        <w:t>de</w:t>
      </w:r>
      <w:r w:rsidR="007A6564" w:rsidRPr="00DB24E5">
        <w:rPr>
          <w:lang w:val="es-ES"/>
        </w:rPr>
        <w:t xml:space="preserve"> HCFC-22 </w:t>
      </w:r>
      <w:r w:rsidRPr="00DB24E5">
        <w:rPr>
          <w:lang w:val="es-ES"/>
        </w:rPr>
        <w:t>eliminadas en la etapa</w:t>
      </w:r>
      <w:r w:rsidR="00306EAB" w:rsidRPr="00DB24E5">
        <w:rPr>
          <w:lang w:val="es-ES"/>
        </w:rPr>
        <w:t> </w:t>
      </w:r>
      <w:r w:rsidR="007A6564" w:rsidRPr="00DB24E5">
        <w:rPr>
          <w:lang w:val="es-ES"/>
        </w:rPr>
        <w:t xml:space="preserve">I </w:t>
      </w:r>
      <w:r w:rsidR="00135B60" w:rsidRPr="00DB24E5">
        <w:rPr>
          <w:lang w:val="es-ES"/>
        </w:rPr>
        <w:t>del plan de gestión de eliminación de los HCFC</w:t>
      </w:r>
      <w:r w:rsidR="007A6564" w:rsidRPr="00DB24E5">
        <w:rPr>
          <w:lang w:val="es-ES"/>
        </w:rPr>
        <w:t xml:space="preserve">, </w:t>
      </w:r>
      <w:r w:rsidRPr="00DB24E5">
        <w:rPr>
          <w:lang w:val="es-ES"/>
        </w:rPr>
        <w:t xml:space="preserve">el consumo restante admisible para la financiación en la etapa </w:t>
      </w:r>
      <w:r w:rsidR="007A6564" w:rsidRPr="00DB24E5">
        <w:rPr>
          <w:lang w:val="es-ES"/>
        </w:rPr>
        <w:t xml:space="preserve">II </w:t>
      </w:r>
      <w:r w:rsidRPr="00DB24E5">
        <w:rPr>
          <w:lang w:val="es-ES"/>
        </w:rPr>
        <w:t xml:space="preserve">asciende a </w:t>
      </w:r>
      <w:r w:rsidR="007A6564" w:rsidRPr="00DB24E5">
        <w:rPr>
          <w:lang w:val="es-ES"/>
        </w:rPr>
        <w:t>0</w:t>
      </w:r>
      <w:r w:rsidRPr="00DB24E5">
        <w:rPr>
          <w:lang w:val="es-ES"/>
        </w:rPr>
        <w:t>,</w:t>
      </w:r>
      <w:r w:rsidR="007A6564" w:rsidRPr="00DB24E5">
        <w:rPr>
          <w:lang w:val="es-ES"/>
        </w:rPr>
        <w:t>52</w:t>
      </w:r>
      <w:r w:rsidR="00306EAB" w:rsidRPr="00DB24E5">
        <w:rPr>
          <w:lang w:val="es-ES"/>
        </w:rPr>
        <w:t> </w:t>
      </w:r>
      <w:r w:rsidR="0001658C" w:rsidRPr="00DB24E5">
        <w:rPr>
          <w:lang w:val="es-ES"/>
        </w:rPr>
        <w:t>toneladas PAO</w:t>
      </w:r>
      <w:r w:rsidR="007A6564" w:rsidRPr="00DB24E5">
        <w:rPr>
          <w:lang w:val="es-ES"/>
        </w:rPr>
        <w:t xml:space="preserve"> </w:t>
      </w:r>
      <w:r w:rsidRPr="00DB24E5">
        <w:rPr>
          <w:lang w:val="es-ES"/>
        </w:rPr>
        <w:t>de</w:t>
      </w:r>
      <w:r w:rsidR="007A6564" w:rsidRPr="00DB24E5">
        <w:rPr>
          <w:lang w:val="es-ES"/>
        </w:rPr>
        <w:t xml:space="preserve"> HCFC-22.</w:t>
      </w:r>
    </w:p>
    <w:p w14:paraId="35E283B1" w14:textId="29B6E2E6" w:rsidR="007A6564" w:rsidRPr="00DB24E5" w:rsidRDefault="00DA14C9" w:rsidP="007A6564">
      <w:pPr>
        <w:pStyle w:val="Heading1"/>
        <w:numPr>
          <w:ilvl w:val="0"/>
          <w:numId w:val="0"/>
        </w:numPr>
        <w:rPr>
          <w:u w:val="single"/>
          <w:lang w:val="es-ES"/>
        </w:rPr>
      </w:pPr>
      <w:r>
        <w:rPr>
          <w:u w:val="single"/>
          <w:lang w:val="es-ES"/>
        </w:rPr>
        <w:t>Distribución de los HCFC por sectores</w:t>
      </w:r>
    </w:p>
    <w:p w14:paraId="6DAE3B74" w14:textId="60E2CA1F" w:rsidR="009F7B70" w:rsidRPr="004726F0" w:rsidRDefault="007A6564" w:rsidP="00B95DE6">
      <w:pPr>
        <w:pStyle w:val="Heading1"/>
        <w:tabs>
          <w:tab w:val="clear" w:pos="1985"/>
          <w:tab w:val="num" w:pos="709"/>
        </w:tabs>
        <w:rPr>
          <w:lang w:val="es-ES" w:eastAsia="zh-CN"/>
        </w:rPr>
      </w:pPr>
      <w:r w:rsidRPr="00DA14C9">
        <w:rPr>
          <w:lang w:val="es-ES"/>
        </w:rPr>
        <w:t xml:space="preserve">Montenegro </w:t>
      </w:r>
      <w:r w:rsidR="00DA14C9" w:rsidRPr="00DA14C9">
        <w:rPr>
          <w:lang w:val="es-ES"/>
        </w:rPr>
        <w:t xml:space="preserve">solo consume </w:t>
      </w:r>
      <w:r w:rsidRPr="00DA14C9">
        <w:rPr>
          <w:lang w:val="es-ES"/>
        </w:rPr>
        <w:t xml:space="preserve">HCFC-22 </w:t>
      </w:r>
      <w:r w:rsidR="00DA14C9" w:rsidRPr="00DA14C9">
        <w:rPr>
          <w:lang w:val="es-ES"/>
        </w:rPr>
        <w:t>para el mantenimiento de sistemas unitarios y “</w:t>
      </w:r>
      <w:proofErr w:type="spellStart"/>
      <w:r w:rsidR="00DA14C9" w:rsidRPr="00DA14C9">
        <w:rPr>
          <w:lang w:val="es-ES"/>
        </w:rPr>
        <w:t>split</w:t>
      </w:r>
      <w:proofErr w:type="spellEnd"/>
      <w:r w:rsidR="00DA14C9" w:rsidRPr="00DA14C9">
        <w:rPr>
          <w:lang w:val="es-ES"/>
        </w:rPr>
        <w:t>”, frigoríficos comerciales, enfriadores y unidades de aire acondicionado y bombas de calor</w:t>
      </w:r>
      <w:r w:rsidRPr="00DA14C9">
        <w:rPr>
          <w:lang w:val="es-ES"/>
        </w:rPr>
        <w:t xml:space="preserve">. </w:t>
      </w:r>
      <w:r w:rsidR="00DA14C9" w:rsidRPr="00DA14C9">
        <w:rPr>
          <w:lang w:val="es-ES"/>
        </w:rPr>
        <w:t xml:space="preserve">Para la instalación y el montaje </w:t>
      </w:r>
      <w:r w:rsidR="006F0560">
        <w:rPr>
          <w:lang w:val="es-ES"/>
        </w:rPr>
        <w:t>de nuevos equipos no hay consumo</w:t>
      </w:r>
      <w:r w:rsidR="00DA14C9" w:rsidRPr="00DA14C9">
        <w:rPr>
          <w:lang w:val="es-ES"/>
        </w:rPr>
        <w:t xml:space="preserve"> debido a la prohibici</w:t>
      </w:r>
      <w:r w:rsidR="00DA14C9">
        <w:rPr>
          <w:lang w:val="es-ES"/>
        </w:rPr>
        <w:t xml:space="preserve">ón de </w:t>
      </w:r>
      <w:r w:rsidRPr="00DA14C9">
        <w:rPr>
          <w:lang w:val="es-ES"/>
        </w:rPr>
        <w:t>2012.</w:t>
      </w:r>
      <w:r w:rsidR="00A6655A" w:rsidRPr="00DA14C9">
        <w:rPr>
          <w:lang w:val="es-ES"/>
        </w:rPr>
        <w:t xml:space="preserve"> </w:t>
      </w:r>
      <w:r w:rsidR="00DA14C9" w:rsidRPr="00DA14C9">
        <w:rPr>
          <w:lang w:val="es-ES"/>
        </w:rPr>
        <w:t>E</w:t>
      </w:r>
      <w:r w:rsidRPr="00DA14C9">
        <w:rPr>
          <w:lang w:val="es-ES"/>
        </w:rPr>
        <w:t xml:space="preserve">n 2017 </w:t>
      </w:r>
      <w:r w:rsidR="00DA14C9" w:rsidRPr="00DA14C9">
        <w:rPr>
          <w:lang w:val="es-ES"/>
        </w:rPr>
        <w:t xml:space="preserve">se </w:t>
      </w:r>
      <w:r w:rsidR="00DA14C9">
        <w:rPr>
          <w:lang w:val="es-ES"/>
        </w:rPr>
        <w:t xml:space="preserve">hizo la reconversión a </w:t>
      </w:r>
      <w:r w:rsidR="00DA14C9" w:rsidRPr="00DA14C9">
        <w:rPr>
          <w:lang w:val="es-ES"/>
        </w:rPr>
        <w:t xml:space="preserve">R-404A </w:t>
      </w:r>
      <w:r w:rsidR="004726F0">
        <w:rPr>
          <w:lang w:val="es-ES"/>
        </w:rPr>
        <w:t>de</w:t>
      </w:r>
      <w:r w:rsidR="00DA14C9" w:rsidRPr="00DA14C9">
        <w:rPr>
          <w:lang w:val="es-ES"/>
        </w:rPr>
        <w:t xml:space="preserve"> </w:t>
      </w:r>
      <w:r w:rsidRPr="00DA14C9">
        <w:rPr>
          <w:lang w:val="es-ES"/>
        </w:rPr>
        <w:t>40</w:t>
      </w:r>
      <w:r w:rsidR="00DA14C9" w:rsidRPr="00DA14C9">
        <w:rPr>
          <w:lang w:val="es-ES"/>
        </w:rPr>
        <w:t xml:space="preserve"> equipos de aire acondicionado que usaban </w:t>
      </w:r>
      <w:r w:rsidR="00B30711" w:rsidRPr="00DA14C9">
        <w:rPr>
          <w:lang w:val="es-ES"/>
        </w:rPr>
        <w:t>HCFC-22</w:t>
      </w:r>
      <w:r w:rsidRPr="00DA14C9">
        <w:rPr>
          <w:lang w:val="es-ES"/>
        </w:rPr>
        <w:t xml:space="preserve"> </w:t>
      </w:r>
      <w:r w:rsidR="004726F0">
        <w:rPr>
          <w:lang w:val="es-ES"/>
        </w:rPr>
        <w:t xml:space="preserve">sin que mediara financiación del Fondo </w:t>
      </w:r>
      <w:r w:rsidRPr="00DA14C9">
        <w:rPr>
          <w:lang w:val="es-ES"/>
        </w:rPr>
        <w:t>Multilateral</w:t>
      </w:r>
      <w:r w:rsidR="003016A3" w:rsidRPr="00DA14C9">
        <w:rPr>
          <w:lang w:val="es-ES"/>
        </w:rPr>
        <w:t xml:space="preserve">. </w:t>
      </w:r>
      <w:r w:rsidR="004726F0" w:rsidRPr="004726F0">
        <w:rPr>
          <w:lang w:val="es-ES"/>
        </w:rPr>
        <w:t>En el cuadro 3</w:t>
      </w:r>
      <w:r w:rsidR="00CF1B4F">
        <w:rPr>
          <w:lang w:val="es-ES"/>
        </w:rPr>
        <w:t xml:space="preserve"> se indican</w:t>
      </w:r>
      <w:r w:rsidR="004726F0" w:rsidRPr="004726F0">
        <w:rPr>
          <w:lang w:val="es-ES"/>
        </w:rPr>
        <w:t xml:space="preserve"> las cantidades instaladas remanentes y las necesidades anuales</w:t>
      </w:r>
      <w:r w:rsidR="00AF3E3F" w:rsidRPr="004726F0">
        <w:rPr>
          <w:lang w:val="es-ES" w:eastAsia="zh-CN"/>
        </w:rPr>
        <w:t>.</w:t>
      </w:r>
      <w:r w:rsidR="003016A3" w:rsidRPr="004726F0">
        <w:rPr>
          <w:lang w:val="es-ES" w:eastAsia="zh-CN"/>
        </w:rPr>
        <w:t xml:space="preserve"> </w:t>
      </w:r>
    </w:p>
    <w:p w14:paraId="784D7E72" w14:textId="77777777" w:rsidR="007F0403" w:rsidRDefault="007F0403">
      <w:pPr>
        <w:jc w:val="left"/>
        <w:rPr>
          <w:b/>
          <w:lang w:val="es-ES" w:eastAsia="zh-CN"/>
        </w:rPr>
      </w:pPr>
      <w:r>
        <w:rPr>
          <w:b/>
          <w:lang w:val="es-ES" w:eastAsia="zh-CN"/>
        </w:rPr>
        <w:br w:type="page"/>
      </w:r>
    </w:p>
    <w:p w14:paraId="58A16CBD" w14:textId="42600285" w:rsidR="003016A3" w:rsidRPr="00DB24E5" w:rsidRDefault="00436A9D" w:rsidP="003016A3">
      <w:pPr>
        <w:spacing w:after="40"/>
        <w:rPr>
          <w:b/>
          <w:lang w:val="es-ES" w:eastAsia="zh-CN"/>
        </w:rPr>
      </w:pPr>
      <w:r w:rsidRPr="00DB24E5">
        <w:rPr>
          <w:b/>
          <w:lang w:val="es-ES" w:eastAsia="zh-CN"/>
        </w:rPr>
        <w:lastRenderedPageBreak/>
        <w:t>Cuadro</w:t>
      </w:r>
      <w:r w:rsidR="003016A3" w:rsidRPr="00DB24E5">
        <w:rPr>
          <w:b/>
          <w:lang w:val="es-ES" w:eastAsia="zh-CN"/>
        </w:rPr>
        <w:t xml:space="preserve"> </w:t>
      </w:r>
      <w:r w:rsidR="00DA3CA1" w:rsidRPr="00DB24E5">
        <w:rPr>
          <w:b/>
          <w:lang w:val="es-ES" w:eastAsia="zh-CN"/>
        </w:rPr>
        <w:t>3</w:t>
      </w:r>
      <w:r w:rsidR="003016A3" w:rsidRPr="00DB24E5">
        <w:rPr>
          <w:b/>
          <w:lang w:val="es-ES" w:eastAsia="zh-CN"/>
        </w:rPr>
        <w:t xml:space="preserve">. </w:t>
      </w:r>
      <w:r w:rsidRPr="00DB24E5">
        <w:rPr>
          <w:b/>
          <w:lang w:val="es-ES" w:eastAsia="zh-CN"/>
        </w:rPr>
        <w:t>Cantidades instaladas restantes</w:t>
      </w:r>
      <w:r w:rsidR="003016A3" w:rsidRPr="00DB24E5">
        <w:rPr>
          <w:b/>
          <w:lang w:val="es-ES" w:eastAsia="zh-CN"/>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75"/>
        <w:gridCol w:w="1170"/>
        <w:gridCol w:w="900"/>
        <w:gridCol w:w="988"/>
        <w:gridCol w:w="866"/>
        <w:gridCol w:w="1285"/>
        <w:gridCol w:w="1271"/>
      </w:tblGrid>
      <w:tr w:rsidR="0032051C" w:rsidRPr="00F048A9" w14:paraId="2A2C42AD" w14:textId="77777777" w:rsidTr="00E3110A">
        <w:trPr>
          <w:trHeight w:val="593"/>
        </w:trPr>
        <w:tc>
          <w:tcPr>
            <w:tcW w:w="4045" w:type="dxa"/>
            <w:gridSpan w:val="2"/>
            <w:tcBorders>
              <w:left w:val="single" w:sz="4" w:space="0" w:color="auto"/>
              <w:bottom w:val="single" w:sz="6" w:space="0" w:color="auto"/>
              <w:right w:val="single" w:sz="4" w:space="0" w:color="auto"/>
            </w:tcBorders>
            <w:shd w:val="clear" w:color="auto" w:fill="auto"/>
            <w:hideMark/>
          </w:tcPr>
          <w:p w14:paraId="43D582E0" w14:textId="77777777" w:rsidR="003016A3" w:rsidRPr="00DB24E5" w:rsidRDefault="003016A3" w:rsidP="00C71F69">
            <w:pPr>
              <w:tabs>
                <w:tab w:val="left" w:pos="2220"/>
              </w:tabs>
              <w:rPr>
                <w:b/>
                <w:sz w:val="20"/>
                <w:szCs w:val="20"/>
                <w:lang w:val="es-ES"/>
              </w:rPr>
            </w:pPr>
            <w:bookmarkStart w:id="0" w:name="_Hlk26931131"/>
            <w:r w:rsidRPr="00DB24E5">
              <w:rPr>
                <w:b/>
                <w:sz w:val="20"/>
                <w:szCs w:val="20"/>
                <w:lang w:val="es-ES"/>
              </w:rPr>
              <w:t>Sector</w:t>
            </w:r>
          </w:p>
        </w:tc>
        <w:tc>
          <w:tcPr>
            <w:tcW w:w="900" w:type="dxa"/>
            <w:tcBorders>
              <w:top w:val="single" w:sz="4" w:space="0" w:color="auto"/>
              <w:left w:val="single" w:sz="4" w:space="0" w:color="auto"/>
              <w:bottom w:val="single" w:sz="6" w:space="0" w:color="auto"/>
              <w:right w:val="single" w:sz="4" w:space="0" w:color="auto"/>
            </w:tcBorders>
            <w:shd w:val="clear" w:color="auto" w:fill="auto"/>
            <w:hideMark/>
          </w:tcPr>
          <w:p w14:paraId="710A9AA5" w14:textId="48278075" w:rsidR="003016A3" w:rsidRPr="00DB24E5" w:rsidRDefault="00436A9D" w:rsidP="00BF68CF">
            <w:pPr>
              <w:tabs>
                <w:tab w:val="left" w:pos="2220"/>
              </w:tabs>
              <w:jc w:val="center"/>
              <w:rPr>
                <w:b/>
                <w:sz w:val="20"/>
                <w:szCs w:val="20"/>
                <w:lang w:val="es-ES"/>
              </w:rPr>
            </w:pPr>
            <w:r w:rsidRPr="00DB24E5">
              <w:rPr>
                <w:b/>
                <w:sz w:val="20"/>
                <w:szCs w:val="20"/>
                <w:lang w:val="es-ES"/>
              </w:rPr>
              <w:t>Número de unidades</w:t>
            </w:r>
          </w:p>
        </w:tc>
        <w:tc>
          <w:tcPr>
            <w:tcW w:w="988" w:type="dxa"/>
            <w:tcBorders>
              <w:top w:val="single" w:sz="4" w:space="0" w:color="auto"/>
              <w:left w:val="single" w:sz="4" w:space="0" w:color="auto"/>
              <w:bottom w:val="single" w:sz="6" w:space="0" w:color="auto"/>
              <w:right w:val="single" w:sz="4" w:space="0" w:color="auto"/>
            </w:tcBorders>
            <w:shd w:val="clear" w:color="auto" w:fill="auto"/>
            <w:hideMark/>
          </w:tcPr>
          <w:p w14:paraId="0D6A8D8D" w14:textId="0E772B5E" w:rsidR="003016A3" w:rsidRPr="00DB24E5" w:rsidRDefault="00436A9D" w:rsidP="00436A9D">
            <w:pPr>
              <w:tabs>
                <w:tab w:val="left" w:pos="2220"/>
              </w:tabs>
              <w:jc w:val="center"/>
              <w:rPr>
                <w:b/>
                <w:spacing w:val="-6"/>
                <w:sz w:val="20"/>
                <w:szCs w:val="20"/>
                <w:lang w:val="es-ES"/>
              </w:rPr>
            </w:pPr>
            <w:r w:rsidRPr="00DB24E5">
              <w:rPr>
                <w:b/>
                <w:sz w:val="20"/>
                <w:szCs w:val="20"/>
                <w:lang w:val="es-ES"/>
              </w:rPr>
              <w:t xml:space="preserve">Banco de </w:t>
            </w:r>
            <w:r w:rsidR="003016A3" w:rsidRPr="00DB24E5">
              <w:rPr>
                <w:b/>
                <w:sz w:val="20"/>
                <w:szCs w:val="20"/>
                <w:lang w:val="es-ES"/>
              </w:rPr>
              <w:t xml:space="preserve">HCFC </w:t>
            </w:r>
            <w:r w:rsidR="00C71F69" w:rsidRPr="00DB24E5">
              <w:rPr>
                <w:b/>
                <w:spacing w:val="-6"/>
                <w:sz w:val="20"/>
                <w:szCs w:val="20"/>
                <w:lang w:val="es-ES"/>
              </w:rPr>
              <w:t>(</w:t>
            </w:r>
            <w:proofErr w:type="spellStart"/>
            <w:r w:rsidRPr="00DB24E5">
              <w:rPr>
                <w:b/>
                <w:spacing w:val="-6"/>
                <w:sz w:val="20"/>
                <w:szCs w:val="20"/>
                <w:lang w:val="es-ES"/>
              </w:rPr>
              <w:t>tm</w:t>
            </w:r>
            <w:proofErr w:type="spellEnd"/>
            <w:r w:rsidR="00C71F69" w:rsidRPr="00DB24E5">
              <w:rPr>
                <w:b/>
                <w:spacing w:val="-6"/>
                <w:sz w:val="20"/>
                <w:szCs w:val="20"/>
                <w:lang w:val="es-ES"/>
              </w:rPr>
              <w:t>)</w:t>
            </w:r>
          </w:p>
        </w:tc>
        <w:tc>
          <w:tcPr>
            <w:tcW w:w="866" w:type="dxa"/>
            <w:tcBorders>
              <w:top w:val="single" w:sz="4" w:space="0" w:color="auto"/>
              <w:left w:val="single" w:sz="4" w:space="0" w:color="auto"/>
              <w:bottom w:val="single" w:sz="6" w:space="0" w:color="auto"/>
              <w:right w:val="single" w:sz="4" w:space="0" w:color="auto"/>
            </w:tcBorders>
            <w:shd w:val="clear" w:color="auto" w:fill="auto"/>
            <w:hideMark/>
          </w:tcPr>
          <w:p w14:paraId="648E1C76" w14:textId="2D420EE5" w:rsidR="003016A3" w:rsidRPr="00DB24E5" w:rsidRDefault="00436A9D" w:rsidP="00436A9D">
            <w:pPr>
              <w:tabs>
                <w:tab w:val="left" w:pos="2220"/>
              </w:tabs>
              <w:jc w:val="center"/>
              <w:rPr>
                <w:b/>
                <w:sz w:val="20"/>
                <w:szCs w:val="20"/>
                <w:lang w:val="es-ES"/>
              </w:rPr>
            </w:pPr>
            <w:r w:rsidRPr="00DB24E5">
              <w:rPr>
                <w:b/>
                <w:sz w:val="20"/>
                <w:szCs w:val="20"/>
                <w:lang w:val="es-ES"/>
              </w:rPr>
              <w:t>Fugas</w:t>
            </w:r>
            <w:r w:rsidR="0032051C" w:rsidRPr="00DB24E5">
              <w:rPr>
                <w:b/>
                <w:sz w:val="20"/>
                <w:szCs w:val="20"/>
                <w:lang w:val="es-ES"/>
              </w:rPr>
              <w:t xml:space="preserve"> (</w:t>
            </w:r>
            <w:r w:rsidR="003016A3" w:rsidRPr="00DB24E5">
              <w:rPr>
                <w:b/>
                <w:sz w:val="20"/>
                <w:szCs w:val="20"/>
                <w:lang w:val="es-ES"/>
              </w:rPr>
              <w:t>%</w:t>
            </w:r>
            <w:r w:rsidR="00C71F69" w:rsidRPr="00DB24E5">
              <w:rPr>
                <w:b/>
                <w:sz w:val="20"/>
                <w:szCs w:val="20"/>
                <w:lang w:val="es-ES"/>
              </w:rPr>
              <w:t>)</w:t>
            </w:r>
          </w:p>
        </w:tc>
        <w:tc>
          <w:tcPr>
            <w:tcW w:w="1285" w:type="dxa"/>
            <w:tcBorders>
              <w:top w:val="single" w:sz="4" w:space="0" w:color="auto"/>
              <w:left w:val="single" w:sz="4" w:space="0" w:color="auto"/>
              <w:bottom w:val="single" w:sz="6" w:space="0" w:color="auto"/>
              <w:right w:val="single" w:sz="4" w:space="0" w:color="auto"/>
            </w:tcBorders>
            <w:shd w:val="clear" w:color="auto" w:fill="auto"/>
            <w:hideMark/>
          </w:tcPr>
          <w:p w14:paraId="41DFDC35" w14:textId="1D8F9CF5" w:rsidR="003016A3" w:rsidRPr="00DB24E5" w:rsidRDefault="00CF1B4F" w:rsidP="00436A9D">
            <w:pPr>
              <w:tabs>
                <w:tab w:val="left" w:pos="2220"/>
              </w:tabs>
              <w:jc w:val="center"/>
              <w:rPr>
                <w:b/>
                <w:sz w:val="20"/>
                <w:szCs w:val="20"/>
                <w:lang w:val="es-ES"/>
              </w:rPr>
            </w:pPr>
            <w:r>
              <w:rPr>
                <w:b/>
                <w:sz w:val="20"/>
                <w:szCs w:val="20"/>
                <w:lang w:val="es-ES"/>
              </w:rPr>
              <w:t>Necesidades anuales de serv</w:t>
            </w:r>
            <w:r w:rsidR="00436A9D" w:rsidRPr="00DB24E5">
              <w:rPr>
                <w:b/>
                <w:sz w:val="20"/>
                <w:szCs w:val="20"/>
                <w:lang w:val="es-ES"/>
              </w:rPr>
              <w:t xml:space="preserve">icios </w:t>
            </w:r>
            <w:r w:rsidR="00C71F69" w:rsidRPr="00DB24E5">
              <w:rPr>
                <w:b/>
                <w:sz w:val="20"/>
                <w:szCs w:val="20"/>
                <w:lang w:val="es-ES"/>
              </w:rPr>
              <w:t>(</w:t>
            </w:r>
            <w:proofErr w:type="spellStart"/>
            <w:r w:rsidR="00436A9D" w:rsidRPr="00DB24E5">
              <w:rPr>
                <w:b/>
                <w:sz w:val="20"/>
                <w:szCs w:val="20"/>
                <w:lang w:val="es-ES"/>
              </w:rPr>
              <w:t>tm</w:t>
            </w:r>
            <w:proofErr w:type="spellEnd"/>
            <w:r w:rsidR="00C71F69" w:rsidRPr="00DB24E5">
              <w:rPr>
                <w:b/>
                <w:sz w:val="20"/>
                <w:szCs w:val="20"/>
                <w:lang w:val="es-ES"/>
              </w:rPr>
              <w:t>)</w:t>
            </w:r>
          </w:p>
        </w:tc>
        <w:tc>
          <w:tcPr>
            <w:tcW w:w="1271" w:type="dxa"/>
            <w:tcBorders>
              <w:top w:val="single" w:sz="4" w:space="0" w:color="auto"/>
              <w:left w:val="single" w:sz="4" w:space="0" w:color="auto"/>
              <w:bottom w:val="single" w:sz="6" w:space="0" w:color="auto"/>
              <w:right w:val="single" w:sz="4" w:space="0" w:color="auto"/>
            </w:tcBorders>
            <w:shd w:val="clear" w:color="auto" w:fill="auto"/>
          </w:tcPr>
          <w:p w14:paraId="440FB8AB" w14:textId="25B8F4F5" w:rsidR="003016A3" w:rsidRPr="00DB24E5" w:rsidRDefault="003016A3" w:rsidP="00436A9D">
            <w:pPr>
              <w:tabs>
                <w:tab w:val="left" w:pos="2220"/>
              </w:tabs>
              <w:jc w:val="center"/>
              <w:rPr>
                <w:b/>
                <w:sz w:val="20"/>
                <w:szCs w:val="20"/>
                <w:lang w:val="es-ES"/>
              </w:rPr>
            </w:pPr>
            <w:r w:rsidRPr="00DB24E5">
              <w:rPr>
                <w:b/>
                <w:sz w:val="20"/>
                <w:szCs w:val="20"/>
                <w:lang w:val="es-ES"/>
              </w:rPr>
              <w:t xml:space="preserve">% </w:t>
            </w:r>
            <w:r w:rsidR="00436A9D" w:rsidRPr="00DB24E5">
              <w:rPr>
                <w:b/>
                <w:sz w:val="20"/>
                <w:szCs w:val="20"/>
                <w:lang w:val="es-ES"/>
              </w:rPr>
              <w:t>de las necesidades anuales de servicios</w:t>
            </w:r>
          </w:p>
        </w:tc>
      </w:tr>
      <w:tr w:rsidR="003016A3" w:rsidRPr="00DB24E5" w14:paraId="426C38F7" w14:textId="77777777" w:rsidTr="00E3110A">
        <w:trPr>
          <w:trHeight w:val="242"/>
        </w:trPr>
        <w:tc>
          <w:tcPr>
            <w:tcW w:w="2875" w:type="dxa"/>
            <w:vMerge w:val="restart"/>
            <w:tcBorders>
              <w:top w:val="single" w:sz="6" w:space="0" w:color="auto"/>
            </w:tcBorders>
          </w:tcPr>
          <w:p w14:paraId="3F912354" w14:textId="24AB9804" w:rsidR="003016A3" w:rsidRPr="00DB24E5" w:rsidRDefault="003016A3" w:rsidP="00436A9D">
            <w:pPr>
              <w:tabs>
                <w:tab w:val="left" w:pos="2220"/>
              </w:tabs>
              <w:jc w:val="left"/>
              <w:rPr>
                <w:spacing w:val="-10"/>
                <w:sz w:val="20"/>
                <w:szCs w:val="20"/>
                <w:lang w:val="es-ES"/>
              </w:rPr>
            </w:pPr>
            <w:r w:rsidRPr="00DB24E5">
              <w:rPr>
                <w:b/>
                <w:bCs/>
                <w:sz w:val="20"/>
                <w:szCs w:val="20"/>
                <w:lang w:val="es-ES"/>
              </w:rPr>
              <w:t>Air</w:t>
            </w:r>
            <w:r w:rsidR="00436A9D" w:rsidRPr="00DB24E5">
              <w:rPr>
                <w:b/>
                <w:bCs/>
                <w:sz w:val="20"/>
                <w:szCs w:val="20"/>
                <w:lang w:val="es-ES"/>
              </w:rPr>
              <w:t>e acondicionado</w:t>
            </w:r>
            <w:r w:rsidR="00BB6FE1" w:rsidRPr="00DB24E5">
              <w:rPr>
                <w:b/>
                <w:bCs/>
                <w:sz w:val="20"/>
                <w:szCs w:val="20"/>
                <w:lang w:val="es-ES"/>
              </w:rPr>
              <w:t xml:space="preserve"> </w:t>
            </w:r>
            <w:r w:rsidR="00436A9D" w:rsidRPr="00DB24E5">
              <w:rPr>
                <w:sz w:val="20"/>
                <w:szCs w:val="20"/>
                <w:lang w:val="es-ES"/>
              </w:rPr>
              <w:t>(sistemas unitarios y separados</w:t>
            </w:r>
            <w:r w:rsidRPr="00DB24E5">
              <w:rPr>
                <w:sz w:val="20"/>
                <w:szCs w:val="20"/>
                <w:lang w:val="es-ES"/>
              </w:rPr>
              <w:t>)</w:t>
            </w:r>
          </w:p>
        </w:tc>
        <w:tc>
          <w:tcPr>
            <w:tcW w:w="1170" w:type="dxa"/>
            <w:tcBorders>
              <w:top w:val="single" w:sz="6" w:space="0" w:color="auto"/>
              <w:right w:val="single" w:sz="4" w:space="0" w:color="auto"/>
            </w:tcBorders>
          </w:tcPr>
          <w:p w14:paraId="3E051C1E" w14:textId="4B43ACB8" w:rsidR="003016A3" w:rsidRPr="00DB24E5" w:rsidRDefault="003016A3" w:rsidP="00436A9D">
            <w:pPr>
              <w:tabs>
                <w:tab w:val="left" w:pos="2220"/>
              </w:tabs>
              <w:jc w:val="left"/>
              <w:rPr>
                <w:sz w:val="20"/>
                <w:szCs w:val="20"/>
                <w:lang w:val="es-ES"/>
              </w:rPr>
            </w:pPr>
            <w:r w:rsidRPr="00DB24E5">
              <w:rPr>
                <w:sz w:val="20"/>
                <w:szCs w:val="20"/>
                <w:lang w:val="es-ES"/>
              </w:rPr>
              <w:t>Ho</w:t>
            </w:r>
            <w:r w:rsidR="00436A9D" w:rsidRPr="00DB24E5">
              <w:rPr>
                <w:sz w:val="20"/>
                <w:szCs w:val="20"/>
                <w:lang w:val="es-ES"/>
              </w:rPr>
              <w:t>gares</w:t>
            </w:r>
          </w:p>
        </w:tc>
        <w:tc>
          <w:tcPr>
            <w:tcW w:w="900" w:type="dxa"/>
            <w:tcBorders>
              <w:top w:val="single" w:sz="6" w:space="0" w:color="auto"/>
            </w:tcBorders>
            <w:vAlign w:val="bottom"/>
          </w:tcPr>
          <w:p w14:paraId="65147321" w14:textId="4C92E27B" w:rsidR="003016A3" w:rsidRPr="00DB24E5" w:rsidRDefault="003016A3" w:rsidP="00CF1B4F">
            <w:pPr>
              <w:jc w:val="right"/>
              <w:rPr>
                <w:sz w:val="20"/>
                <w:szCs w:val="20"/>
                <w:vertAlign w:val="superscript"/>
                <w:lang w:val="es-ES"/>
              </w:rPr>
            </w:pPr>
            <w:r w:rsidRPr="00DB24E5">
              <w:rPr>
                <w:sz w:val="20"/>
                <w:szCs w:val="20"/>
                <w:lang w:val="es-ES"/>
              </w:rPr>
              <w:t>56</w:t>
            </w:r>
            <w:r w:rsidR="00CF1B4F">
              <w:rPr>
                <w:sz w:val="20"/>
                <w:szCs w:val="20"/>
                <w:lang w:val="es-ES"/>
              </w:rPr>
              <w:t>.</w:t>
            </w:r>
            <w:r w:rsidRPr="00DB24E5">
              <w:rPr>
                <w:sz w:val="20"/>
                <w:szCs w:val="20"/>
                <w:lang w:val="es-ES"/>
              </w:rPr>
              <w:t>455</w:t>
            </w:r>
          </w:p>
        </w:tc>
        <w:tc>
          <w:tcPr>
            <w:tcW w:w="988" w:type="dxa"/>
            <w:tcBorders>
              <w:top w:val="single" w:sz="6" w:space="0" w:color="auto"/>
            </w:tcBorders>
            <w:vAlign w:val="bottom"/>
          </w:tcPr>
          <w:p w14:paraId="5C9196B9" w14:textId="47F3D00C" w:rsidR="003016A3" w:rsidRPr="00DB24E5" w:rsidRDefault="003016A3" w:rsidP="00CF1B4F">
            <w:pPr>
              <w:tabs>
                <w:tab w:val="left" w:pos="2220"/>
              </w:tabs>
              <w:jc w:val="right"/>
              <w:rPr>
                <w:sz w:val="20"/>
                <w:szCs w:val="20"/>
                <w:lang w:val="es-ES"/>
              </w:rPr>
            </w:pPr>
            <w:r w:rsidRPr="00DB24E5">
              <w:rPr>
                <w:sz w:val="20"/>
                <w:szCs w:val="20"/>
                <w:lang w:val="es-ES"/>
              </w:rPr>
              <w:t>45</w:t>
            </w:r>
            <w:r w:rsidR="00CF1B4F">
              <w:rPr>
                <w:sz w:val="20"/>
                <w:szCs w:val="20"/>
                <w:lang w:val="es-ES"/>
              </w:rPr>
              <w:t>,</w:t>
            </w:r>
            <w:r w:rsidRPr="00DB24E5">
              <w:rPr>
                <w:sz w:val="20"/>
                <w:szCs w:val="20"/>
                <w:lang w:val="es-ES"/>
              </w:rPr>
              <w:t>16</w:t>
            </w:r>
          </w:p>
        </w:tc>
        <w:tc>
          <w:tcPr>
            <w:tcW w:w="866" w:type="dxa"/>
            <w:tcBorders>
              <w:top w:val="single" w:sz="6" w:space="0" w:color="auto"/>
            </w:tcBorders>
            <w:vAlign w:val="bottom"/>
          </w:tcPr>
          <w:p w14:paraId="585019F6" w14:textId="77777777" w:rsidR="003016A3" w:rsidRPr="00DB24E5" w:rsidRDefault="003016A3" w:rsidP="00D7629A">
            <w:pPr>
              <w:tabs>
                <w:tab w:val="left" w:pos="2220"/>
              </w:tabs>
              <w:jc w:val="right"/>
              <w:rPr>
                <w:sz w:val="20"/>
                <w:szCs w:val="20"/>
                <w:lang w:val="es-ES"/>
              </w:rPr>
            </w:pPr>
            <w:r w:rsidRPr="00DB24E5">
              <w:rPr>
                <w:sz w:val="20"/>
                <w:szCs w:val="20"/>
                <w:lang w:val="es-ES"/>
              </w:rPr>
              <w:t>10</w:t>
            </w:r>
          </w:p>
        </w:tc>
        <w:tc>
          <w:tcPr>
            <w:tcW w:w="1285" w:type="dxa"/>
            <w:tcBorders>
              <w:top w:val="single" w:sz="6" w:space="0" w:color="auto"/>
            </w:tcBorders>
            <w:vAlign w:val="bottom"/>
          </w:tcPr>
          <w:p w14:paraId="1400DBA5" w14:textId="49EDEE3F" w:rsidR="003016A3" w:rsidRPr="00DB24E5" w:rsidRDefault="003016A3" w:rsidP="00CF1B4F">
            <w:pPr>
              <w:tabs>
                <w:tab w:val="left" w:pos="2220"/>
              </w:tabs>
              <w:jc w:val="right"/>
              <w:rPr>
                <w:sz w:val="20"/>
                <w:szCs w:val="20"/>
                <w:lang w:val="es-ES"/>
              </w:rPr>
            </w:pPr>
            <w:r w:rsidRPr="00DB24E5">
              <w:rPr>
                <w:sz w:val="20"/>
                <w:szCs w:val="20"/>
                <w:lang w:val="es-ES"/>
              </w:rPr>
              <w:t>4</w:t>
            </w:r>
            <w:r w:rsidR="00CF1B4F">
              <w:rPr>
                <w:sz w:val="20"/>
                <w:szCs w:val="20"/>
                <w:lang w:val="es-ES"/>
              </w:rPr>
              <w:t>,</w:t>
            </w:r>
            <w:r w:rsidRPr="00DB24E5">
              <w:rPr>
                <w:sz w:val="20"/>
                <w:szCs w:val="20"/>
                <w:lang w:val="es-ES"/>
              </w:rPr>
              <w:t>52</w:t>
            </w:r>
          </w:p>
        </w:tc>
        <w:tc>
          <w:tcPr>
            <w:tcW w:w="1271" w:type="dxa"/>
            <w:tcBorders>
              <w:top w:val="single" w:sz="6" w:space="0" w:color="auto"/>
            </w:tcBorders>
            <w:vAlign w:val="bottom"/>
          </w:tcPr>
          <w:p w14:paraId="7FF70448" w14:textId="0778B49C" w:rsidR="003016A3" w:rsidRPr="00DB24E5" w:rsidRDefault="003016A3" w:rsidP="00CF1B4F">
            <w:pPr>
              <w:tabs>
                <w:tab w:val="left" w:pos="2220"/>
              </w:tabs>
              <w:jc w:val="right"/>
              <w:rPr>
                <w:sz w:val="20"/>
                <w:szCs w:val="20"/>
                <w:lang w:val="es-ES"/>
              </w:rPr>
            </w:pPr>
            <w:r w:rsidRPr="00DB24E5">
              <w:rPr>
                <w:sz w:val="20"/>
                <w:szCs w:val="20"/>
                <w:lang w:val="es-ES"/>
              </w:rPr>
              <w:t>64</w:t>
            </w:r>
            <w:r w:rsidR="00CF1B4F">
              <w:rPr>
                <w:sz w:val="20"/>
                <w:szCs w:val="20"/>
                <w:lang w:val="es-ES"/>
              </w:rPr>
              <w:t>,</w:t>
            </w:r>
            <w:r w:rsidRPr="00DB24E5">
              <w:rPr>
                <w:sz w:val="20"/>
                <w:szCs w:val="20"/>
                <w:lang w:val="es-ES"/>
              </w:rPr>
              <w:t>30</w:t>
            </w:r>
          </w:p>
        </w:tc>
      </w:tr>
      <w:tr w:rsidR="003016A3" w:rsidRPr="00DB24E5" w14:paraId="4BA6A7D6" w14:textId="77777777" w:rsidTr="00E3110A">
        <w:trPr>
          <w:trHeight w:val="242"/>
        </w:trPr>
        <w:tc>
          <w:tcPr>
            <w:tcW w:w="2875" w:type="dxa"/>
            <w:vMerge/>
          </w:tcPr>
          <w:p w14:paraId="4CD22A7B" w14:textId="77777777" w:rsidR="003016A3" w:rsidRPr="00DB24E5" w:rsidRDefault="003016A3" w:rsidP="0032051C">
            <w:pPr>
              <w:tabs>
                <w:tab w:val="left" w:pos="2220"/>
              </w:tabs>
              <w:jc w:val="left"/>
              <w:rPr>
                <w:b/>
                <w:bCs/>
                <w:sz w:val="20"/>
                <w:szCs w:val="20"/>
                <w:lang w:val="es-ES"/>
              </w:rPr>
            </w:pPr>
          </w:p>
        </w:tc>
        <w:tc>
          <w:tcPr>
            <w:tcW w:w="1170" w:type="dxa"/>
            <w:tcBorders>
              <w:bottom w:val="single" w:sz="6" w:space="0" w:color="auto"/>
              <w:right w:val="single" w:sz="4" w:space="0" w:color="auto"/>
            </w:tcBorders>
          </w:tcPr>
          <w:p w14:paraId="35B486DA" w14:textId="360C7EF2" w:rsidR="003016A3" w:rsidRPr="00DB24E5" w:rsidRDefault="003016A3" w:rsidP="00436A9D">
            <w:pPr>
              <w:tabs>
                <w:tab w:val="left" w:pos="2220"/>
              </w:tabs>
              <w:jc w:val="left"/>
              <w:rPr>
                <w:sz w:val="20"/>
                <w:szCs w:val="20"/>
                <w:lang w:val="es-ES"/>
              </w:rPr>
            </w:pPr>
            <w:r w:rsidRPr="00DB24E5">
              <w:rPr>
                <w:sz w:val="20"/>
                <w:szCs w:val="20"/>
                <w:lang w:val="es-ES"/>
              </w:rPr>
              <w:t>Otr</w:t>
            </w:r>
            <w:r w:rsidR="00436A9D" w:rsidRPr="00DB24E5">
              <w:rPr>
                <w:sz w:val="20"/>
                <w:szCs w:val="20"/>
                <w:lang w:val="es-ES"/>
              </w:rPr>
              <w:t>o</w:t>
            </w:r>
            <w:r w:rsidRPr="00DB24E5">
              <w:rPr>
                <w:sz w:val="20"/>
                <w:szCs w:val="20"/>
                <w:lang w:val="es-ES"/>
              </w:rPr>
              <w:t>s</w:t>
            </w:r>
          </w:p>
        </w:tc>
        <w:tc>
          <w:tcPr>
            <w:tcW w:w="900" w:type="dxa"/>
            <w:tcBorders>
              <w:bottom w:val="single" w:sz="6" w:space="0" w:color="auto"/>
            </w:tcBorders>
            <w:vAlign w:val="bottom"/>
          </w:tcPr>
          <w:p w14:paraId="69A62EB0" w14:textId="77E8A832" w:rsidR="003016A3" w:rsidRPr="00DB24E5" w:rsidRDefault="003016A3" w:rsidP="00CF1B4F">
            <w:pPr>
              <w:tabs>
                <w:tab w:val="left" w:pos="2220"/>
              </w:tabs>
              <w:jc w:val="right"/>
              <w:rPr>
                <w:sz w:val="20"/>
                <w:szCs w:val="20"/>
                <w:lang w:val="es-ES"/>
              </w:rPr>
            </w:pPr>
            <w:r w:rsidRPr="00DB24E5">
              <w:rPr>
                <w:sz w:val="20"/>
                <w:szCs w:val="20"/>
                <w:lang w:val="es-ES"/>
              </w:rPr>
              <w:t>14</w:t>
            </w:r>
            <w:r w:rsidR="00CF1B4F">
              <w:rPr>
                <w:sz w:val="20"/>
                <w:szCs w:val="20"/>
                <w:lang w:val="es-ES"/>
              </w:rPr>
              <w:t>.</w:t>
            </w:r>
            <w:r w:rsidRPr="00DB24E5">
              <w:rPr>
                <w:sz w:val="20"/>
                <w:szCs w:val="20"/>
                <w:lang w:val="es-ES"/>
              </w:rPr>
              <w:t>595</w:t>
            </w:r>
          </w:p>
        </w:tc>
        <w:tc>
          <w:tcPr>
            <w:tcW w:w="988" w:type="dxa"/>
            <w:tcBorders>
              <w:bottom w:val="single" w:sz="6" w:space="0" w:color="auto"/>
            </w:tcBorders>
            <w:vAlign w:val="bottom"/>
          </w:tcPr>
          <w:p w14:paraId="2759F972" w14:textId="482C211C" w:rsidR="003016A3" w:rsidRPr="00DB24E5" w:rsidRDefault="003016A3" w:rsidP="00CF1B4F">
            <w:pPr>
              <w:tabs>
                <w:tab w:val="left" w:pos="2220"/>
              </w:tabs>
              <w:jc w:val="right"/>
              <w:rPr>
                <w:sz w:val="20"/>
                <w:szCs w:val="20"/>
                <w:lang w:val="es-ES"/>
              </w:rPr>
            </w:pPr>
            <w:r w:rsidRPr="00DB24E5">
              <w:rPr>
                <w:sz w:val="20"/>
                <w:szCs w:val="20"/>
                <w:lang w:val="es-ES"/>
              </w:rPr>
              <w:t>11</w:t>
            </w:r>
            <w:r w:rsidR="00CF1B4F">
              <w:rPr>
                <w:sz w:val="20"/>
                <w:szCs w:val="20"/>
                <w:lang w:val="es-ES"/>
              </w:rPr>
              <w:t>,</w:t>
            </w:r>
            <w:r w:rsidRPr="00DB24E5">
              <w:rPr>
                <w:sz w:val="20"/>
                <w:szCs w:val="20"/>
                <w:lang w:val="es-ES"/>
              </w:rPr>
              <w:t>68</w:t>
            </w:r>
          </w:p>
        </w:tc>
        <w:tc>
          <w:tcPr>
            <w:tcW w:w="866" w:type="dxa"/>
            <w:tcBorders>
              <w:bottom w:val="single" w:sz="6" w:space="0" w:color="auto"/>
            </w:tcBorders>
            <w:vAlign w:val="bottom"/>
          </w:tcPr>
          <w:p w14:paraId="41C34648" w14:textId="77777777" w:rsidR="003016A3" w:rsidRPr="00DB24E5" w:rsidRDefault="003016A3" w:rsidP="00D7629A">
            <w:pPr>
              <w:tabs>
                <w:tab w:val="left" w:pos="2220"/>
              </w:tabs>
              <w:jc w:val="right"/>
              <w:rPr>
                <w:sz w:val="20"/>
                <w:szCs w:val="20"/>
                <w:lang w:val="es-ES"/>
              </w:rPr>
            </w:pPr>
            <w:r w:rsidRPr="00DB24E5">
              <w:rPr>
                <w:sz w:val="20"/>
                <w:szCs w:val="20"/>
                <w:lang w:val="es-ES"/>
              </w:rPr>
              <w:t>10</w:t>
            </w:r>
          </w:p>
        </w:tc>
        <w:tc>
          <w:tcPr>
            <w:tcW w:w="1285" w:type="dxa"/>
            <w:tcBorders>
              <w:bottom w:val="single" w:sz="6" w:space="0" w:color="auto"/>
            </w:tcBorders>
            <w:vAlign w:val="bottom"/>
          </w:tcPr>
          <w:p w14:paraId="7B6C1703" w14:textId="71D0614D" w:rsidR="003016A3" w:rsidRPr="00DB24E5" w:rsidRDefault="003016A3" w:rsidP="00CF1B4F">
            <w:pPr>
              <w:tabs>
                <w:tab w:val="left" w:pos="2220"/>
              </w:tabs>
              <w:jc w:val="right"/>
              <w:rPr>
                <w:sz w:val="20"/>
                <w:szCs w:val="20"/>
                <w:lang w:val="es-ES"/>
              </w:rPr>
            </w:pPr>
            <w:r w:rsidRPr="00DB24E5">
              <w:rPr>
                <w:sz w:val="20"/>
                <w:szCs w:val="20"/>
                <w:lang w:val="es-ES"/>
              </w:rPr>
              <w:t>1</w:t>
            </w:r>
            <w:r w:rsidR="00CF1B4F">
              <w:rPr>
                <w:sz w:val="20"/>
                <w:szCs w:val="20"/>
                <w:lang w:val="es-ES"/>
              </w:rPr>
              <w:t>,</w:t>
            </w:r>
            <w:r w:rsidRPr="00DB24E5">
              <w:rPr>
                <w:sz w:val="20"/>
                <w:szCs w:val="20"/>
                <w:lang w:val="es-ES"/>
              </w:rPr>
              <w:t>17</w:t>
            </w:r>
          </w:p>
        </w:tc>
        <w:tc>
          <w:tcPr>
            <w:tcW w:w="1271" w:type="dxa"/>
            <w:tcBorders>
              <w:bottom w:val="single" w:sz="6" w:space="0" w:color="auto"/>
            </w:tcBorders>
            <w:vAlign w:val="bottom"/>
          </w:tcPr>
          <w:p w14:paraId="7CBBCCA4" w14:textId="33E6927C" w:rsidR="003016A3" w:rsidRPr="00DB24E5" w:rsidRDefault="003016A3" w:rsidP="00CF1B4F">
            <w:pPr>
              <w:tabs>
                <w:tab w:val="left" w:pos="2220"/>
              </w:tabs>
              <w:jc w:val="right"/>
              <w:rPr>
                <w:sz w:val="20"/>
                <w:szCs w:val="20"/>
                <w:lang w:val="es-ES"/>
              </w:rPr>
            </w:pPr>
            <w:r w:rsidRPr="00DB24E5">
              <w:rPr>
                <w:sz w:val="20"/>
                <w:szCs w:val="20"/>
                <w:lang w:val="es-ES"/>
              </w:rPr>
              <w:t>16</w:t>
            </w:r>
            <w:r w:rsidR="00CF1B4F">
              <w:rPr>
                <w:sz w:val="20"/>
                <w:szCs w:val="20"/>
                <w:lang w:val="es-ES"/>
              </w:rPr>
              <w:t>,</w:t>
            </w:r>
            <w:r w:rsidRPr="00DB24E5">
              <w:rPr>
                <w:sz w:val="20"/>
                <w:szCs w:val="20"/>
                <w:lang w:val="es-ES"/>
              </w:rPr>
              <w:t>64</w:t>
            </w:r>
          </w:p>
        </w:tc>
      </w:tr>
      <w:tr w:rsidR="003016A3" w:rsidRPr="00DB24E5" w14:paraId="2F509790" w14:textId="77777777" w:rsidTr="00E3110A">
        <w:trPr>
          <w:trHeight w:val="242"/>
        </w:trPr>
        <w:tc>
          <w:tcPr>
            <w:tcW w:w="2875" w:type="dxa"/>
            <w:vMerge/>
            <w:tcBorders>
              <w:bottom w:val="single" w:sz="6" w:space="0" w:color="auto"/>
            </w:tcBorders>
          </w:tcPr>
          <w:p w14:paraId="5381AB1C" w14:textId="77777777" w:rsidR="003016A3" w:rsidRPr="00DB24E5" w:rsidRDefault="003016A3" w:rsidP="0032051C">
            <w:pPr>
              <w:tabs>
                <w:tab w:val="left" w:pos="2220"/>
              </w:tabs>
              <w:jc w:val="left"/>
              <w:rPr>
                <w:sz w:val="20"/>
                <w:szCs w:val="20"/>
                <w:lang w:val="es-ES"/>
              </w:rPr>
            </w:pPr>
          </w:p>
        </w:tc>
        <w:tc>
          <w:tcPr>
            <w:tcW w:w="1170" w:type="dxa"/>
            <w:tcBorders>
              <w:top w:val="single" w:sz="6" w:space="0" w:color="auto"/>
              <w:bottom w:val="single" w:sz="6" w:space="0" w:color="auto"/>
            </w:tcBorders>
            <w:shd w:val="clear" w:color="auto" w:fill="auto"/>
          </w:tcPr>
          <w:p w14:paraId="308E405E" w14:textId="186ECFFA" w:rsidR="003016A3" w:rsidRPr="00DB24E5" w:rsidRDefault="003016A3" w:rsidP="00BB6FE1">
            <w:pPr>
              <w:tabs>
                <w:tab w:val="left" w:pos="2220"/>
              </w:tabs>
              <w:jc w:val="left"/>
              <w:rPr>
                <w:b/>
                <w:bCs/>
                <w:sz w:val="20"/>
                <w:szCs w:val="20"/>
                <w:lang w:val="es-ES"/>
              </w:rPr>
            </w:pPr>
            <w:r w:rsidRPr="00DB24E5">
              <w:rPr>
                <w:b/>
                <w:bCs/>
                <w:sz w:val="20"/>
                <w:szCs w:val="20"/>
                <w:lang w:val="es-ES"/>
              </w:rPr>
              <w:t>Subtotal</w:t>
            </w:r>
          </w:p>
        </w:tc>
        <w:tc>
          <w:tcPr>
            <w:tcW w:w="900" w:type="dxa"/>
            <w:tcBorders>
              <w:top w:val="single" w:sz="6" w:space="0" w:color="auto"/>
              <w:bottom w:val="single" w:sz="6" w:space="0" w:color="auto"/>
            </w:tcBorders>
            <w:shd w:val="clear" w:color="auto" w:fill="auto"/>
            <w:vAlign w:val="bottom"/>
          </w:tcPr>
          <w:p w14:paraId="5C481EE7" w14:textId="3ECF0C11" w:rsidR="003016A3" w:rsidRPr="00DB24E5" w:rsidRDefault="003016A3" w:rsidP="00CF1B4F">
            <w:pPr>
              <w:tabs>
                <w:tab w:val="left" w:pos="2220"/>
              </w:tabs>
              <w:jc w:val="right"/>
              <w:rPr>
                <w:sz w:val="20"/>
                <w:szCs w:val="20"/>
                <w:lang w:val="es-ES"/>
              </w:rPr>
            </w:pPr>
            <w:r w:rsidRPr="00DB24E5">
              <w:rPr>
                <w:sz w:val="20"/>
                <w:szCs w:val="20"/>
                <w:lang w:val="es-ES"/>
              </w:rPr>
              <w:t>71</w:t>
            </w:r>
            <w:r w:rsidR="00CF1B4F">
              <w:rPr>
                <w:sz w:val="20"/>
                <w:szCs w:val="20"/>
                <w:lang w:val="es-ES"/>
              </w:rPr>
              <w:t>.</w:t>
            </w:r>
            <w:r w:rsidRPr="00DB24E5">
              <w:rPr>
                <w:sz w:val="20"/>
                <w:szCs w:val="20"/>
                <w:lang w:val="es-ES"/>
              </w:rPr>
              <w:t>050</w:t>
            </w:r>
          </w:p>
        </w:tc>
        <w:tc>
          <w:tcPr>
            <w:tcW w:w="988" w:type="dxa"/>
            <w:tcBorders>
              <w:top w:val="single" w:sz="6" w:space="0" w:color="auto"/>
              <w:bottom w:val="single" w:sz="6" w:space="0" w:color="auto"/>
            </w:tcBorders>
            <w:shd w:val="clear" w:color="auto" w:fill="auto"/>
            <w:vAlign w:val="bottom"/>
          </w:tcPr>
          <w:p w14:paraId="55D66C11" w14:textId="05BE08C5" w:rsidR="003016A3" w:rsidRPr="00DB24E5" w:rsidRDefault="003016A3" w:rsidP="00CF1B4F">
            <w:pPr>
              <w:tabs>
                <w:tab w:val="left" w:pos="2220"/>
              </w:tabs>
              <w:jc w:val="right"/>
              <w:rPr>
                <w:sz w:val="20"/>
                <w:szCs w:val="20"/>
                <w:lang w:val="es-ES"/>
              </w:rPr>
            </w:pPr>
            <w:r w:rsidRPr="00DB24E5">
              <w:rPr>
                <w:sz w:val="20"/>
                <w:szCs w:val="20"/>
                <w:lang w:val="es-ES"/>
              </w:rPr>
              <w:fldChar w:fldCharType="begin"/>
            </w:r>
            <w:r w:rsidRPr="00DB24E5">
              <w:rPr>
                <w:sz w:val="20"/>
                <w:szCs w:val="20"/>
                <w:lang w:val="es-ES"/>
              </w:rPr>
              <w:instrText xml:space="preserve"> =SUM(ABOVE) </w:instrText>
            </w:r>
            <w:r w:rsidRPr="00DB24E5">
              <w:rPr>
                <w:sz w:val="20"/>
                <w:szCs w:val="20"/>
                <w:lang w:val="es-ES"/>
              </w:rPr>
              <w:fldChar w:fldCharType="separate"/>
            </w:r>
            <w:r w:rsidRPr="00DB24E5">
              <w:rPr>
                <w:noProof/>
                <w:sz w:val="20"/>
                <w:szCs w:val="20"/>
                <w:lang w:val="es-ES"/>
              </w:rPr>
              <w:t>56</w:t>
            </w:r>
            <w:r w:rsidR="00CF1B4F">
              <w:rPr>
                <w:noProof/>
                <w:sz w:val="20"/>
                <w:szCs w:val="20"/>
                <w:lang w:val="es-ES"/>
              </w:rPr>
              <w:t>,</w:t>
            </w:r>
            <w:r w:rsidRPr="00DB24E5">
              <w:rPr>
                <w:noProof/>
                <w:sz w:val="20"/>
                <w:szCs w:val="20"/>
                <w:lang w:val="es-ES"/>
              </w:rPr>
              <w:t>84</w:t>
            </w:r>
            <w:r w:rsidRPr="00DB24E5">
              <w:rPr>
                <w:sz w:val="20"/>
                <w:szCs w:val="20"/>
                <w:lang w:val="es-ES"/>
              </w:rPr>
              <w:fldChar w:fldCharType="end"/>
            </w:r>
          </w:p>
        </w:tc>
        <w:tc>
          <w:tcPr>
            <w:tcW w:w="866" w:type="dxa"/>
            <w:tcBorders>
              <w:top w:val="single" w:sz="6" w:space="0" w:color="auto"/>
              <w:bottom w:val="single" w:sz="6" w:space="0" w:color="auto"/>
            </w:tcBorders>
            <w:shd w:val="clear" w:color="auto" w:fill="auto"/>
            <w:vAlign w:val="bottom"/>
          </w:tcPr>
          <w:p w14:paraId="1DFCB473" w14:textId="77777777" w:rsidR="003016A3" w:rsidRPr="00DB24E5" w:rsidRDefault="003016A3" w:rsidP="00D7629A">
            <w:pPr>
              <w:tabs>
                <w:tab w:val="left" w:pos="2220"/>
              </w:tabs>
              <w:jc w:val="right"/>
              <w:rPr>
                <w:sz w:val="20"/>
                <w:szCs w:val="20"/>
                <w:lang w:val="es-ES"/>
              </w:rPr>
            </w:pPr>
          </w:p>
        </w:tc>
        <w:tc>
          <w:tcPr>
            <w:tcW w:w="1285" w:type="dxa"/>
            <w:tcBorders>
              <w:top w:val="single" w:sz="6" w:space="0" w:color="auto"/>
              <w:bottom w:val="single" w:sz="6" w:space="0" w:color="auto"/>
            </w:tcBorders>
            <w:shd w:val="clear" w:color="auto" w:fill="auto"/>
            <w:vAlign w:val="bottom"/>
          </w:tcPr>
          <w:p w14:paraId="02A36551" w14:textId="0EC1F2A9" w:rsidR="003016A3" w:rsidRPr="00DB24E5" w:rsidRDefault="003016A3" w:rsidP="00CF1B4F">
            <w:pPr>
              <w:tabs>
                <w:tab w:val="left" w:pos="2220"/>
              </w:tabs>
              <w:jc w:val="right"/>
              <w:rPr>
                <w:sz w:val="20"/>
                <w:szCs w:val="20"/>
                <w:lang w:val="es-ES"/>
              </w:rPr>
            </w:pPr>
            <w:r w:rsidRPr="00DB24E5">
              <w:rPr>
                <w:sz w:val="20"/>
                <w:szCs w:val="20"/>
                <w:lang w:val="es-ES"/>
              </w:rPr>
              <w:fldChar w:fldCharType="begin"/>
            </w:r>
            <w:r w:rsidRPr="00DB24E5">
              <w:rPr>
                <w:sz w:val="20"/>
                <w:szCs w:val="20"/>
                <w:lang w:val="es-ES"/>
              </w:rPr>
              <w:instrText xml:space="preserve"> =SUM(ABOVE) </w:instrText>
            </w:r>
            <w:r w:rsidRPr="00DB24E5">
              <w:rPr>
                <w:sz w:val="20"/>
                <w:szCs w:val="20"/>
                <w:lang w:val="es-ES"/>
              </w:rPr>
              <w:fldChar w:fldCharType="separate"/>
            </w:r>
            <w:r w:rsidRPr="00DB24E5">
              <w:rPr>
                <w:noProof/>
                <w:sz w:val="20"/>
                <w:szCs w:val="20"/>
                <w:lang w:val="es-ES"/>
              </w:rPr>
              <w:t>5</w:t>
            </w:r>
            <w:r w:rsidR="00CF1B4F">
              <w:rPr>
                <w:noProof/>
                <w:sz w:val="20"/>
                <w:szCs w:val="20"/>
                <w:lang w:val="es-ES"/>
              </w:rPr>
              <w:t>,</w:t>
            </w:r>
            <w:r w:rsidRPr="00DB24E5">
              <w:rPr>
                <w:noProof/>
                <w:sz w:val="20"/>
                <w:szCs w:val="20"/>
                <w:lang w:val="es-ES"/>
              </w:rPr>
              <w:t>69</w:t>
            </w:r>
            <w:r w:rsidRPr="00DB24E5">
              <w:rPr>
                <w:sz w:val="20"/>
                <w:szCs w:val="20"/>
                <w:lang w:val="es-ES"/>
              </w:rPr>
              <w:fldChar w:fldCharType="end"/>
            </w:r>
          </w:p>
        </w:tc>
        <w:tc>
          <w:tcPr>
            <w:tcW w:w="1271" w:type="dxa"/>
            <w:tcBorders>
              <w:top w:val="single" w:sz="6" w:space="0" w:color="auto"/>
              <w:bottom w:val="single" w:sz="6" w:space="0" w:color="auto"/>
            </w:tcBorders>
            <w:shd w:val="clear" w:color="auto" w:fill="auto"/>
            <w:vAlign w:val="bottom"/>
          </w:tcPr>
          <w:p w14:paraId="5172771E" w14:textId="5F2A4691" w:rsidR="003016A3" w:rsidRPr="00DB24E5" w:rsidRDefault="003016A3" w:rsidP="00CF1B4F">
            <w:pPr>
              <w:tabs>
                <w:tab w:val="left" w:pos="2220"/>
              </w:tabs>
              <w:jc w:val="right"/>
              <w:rPr>
                <w:sz w:val="20"/>
                <w:szCs w:val="20"/>
                <w:lang w:val="es-ES"/>
              </w:rPr>
            </w:pPr>
            <w:r w:rsidRPr="00DB24E5">
              <w:rPr>
                <w:sz w:val="20"/>
                <w:szCs w:val="20"/>
                <w:lang w:val="es-ES"/>
              </w:rPr>
              <w:t>80</w:t>
            </w:r>
            <w:r w:rsidR="00CF1B4F">
              <w:rPr>
                <w:sz w:val="20"/>
                <w:szCs w:val="20"/>
                <w:lang w:val="es-ES"/>
              </w:rPr>
              <w:t>,</w:t>
            </w:r>
            <w:r w:rsidRPr="00DB24E5">
              <w:rPr>
                <w:sz w:val="20"/>
                <w:szCs w:val="20"/>
                <w:lang w:val="es-ES"/>
              </w:rPr>
              <w:t>94</w:t>
            </w:r>
          </w:p>
        </w:tc>
      </w:tr>
      <w:tr w:rsidR="003016A3" w:rsidRPr="00DB24E5" w14:paraId="4C1B898E" w14:textId="77777777" w:rsidTr="00E3110A">
        <w:trPr>
          <w:trHeight w:val="237"/>
        </w:trPr>
        <w:tc>
          <w:tcPr>
            <w:tcW w:w="2875" w:type="dxa"/>
            <w:tcBorders>
              <w:top w:val="single" w:sz="6" w:space="0" w:color="auto"/>
              <w:bottom w:val="single" w:sz="6" w:space="0" w:color="auto"/>
            </w:tcBorders>
          </w:tcPr>
          <w:p w14:paraId="41D33BBD" w14:textId="7504EFB5" w:rsidR="003016A3" w:rsidRPr="00DB24E5" w:rsidRDefault="00883ED4" w:rsidP="00883ED4">
            <w:pPr>
              <w:tabs>
                <w:tab w:val="left" w:pos="2220"/>
              </w:tabs>
              <w:jc w:val="left"/>
              <w:rPr>
                <w:sz w:val="20"/>
                <w:szCs w:val="20"/>
                <w:lang w:val="es-ES"/>
              </w:rPr>
            </w:pPr>
            <w:r>
              <w:rPr>
                <w:b/>
                <w:bCs/>
                <w:sz w:val="20"/>
                <w:szCs w:val="20"/>
                <w:lang w:val="es-ES"/>
              </w:rPr>
              <w:t>Refrigeración comercial</w:t>
            </w:r>
          </w:p>
        </w:tc>
        <w:tc>
          <w:tcPr>
            <w:tcW w:w="1170" w:type="dxa"/>
            <w:tcBorders>
              <w:top w:val="single" w:sz="6" w:space="0" w:color="auto"/>
              <w:bottom w:val="single" w:sz="6" w:space="0" w:color="auto"/>
            </w:tcBorders>
          </w:tcPr>
          <w:p w14:paraId="5FA7A5FD" w14:textId="58DCA84A" w:rsidR="003016A3" w:rsidRPr="00DB24E5" w:rsidRDefault="00883ED4" w:rsidP="00BB6FE1">
            <w:pPr>
              <w:tabs>
                <w:tab w:val="left" w:pos="2220"/>
              </w:tabs>
              <w:jc w:val="left"/>
              <w:rPr>
                <w:sz w:val="20"/>
                <w:szCs w:val="20"/>
                <w:lang w:val="es-ES"/>
              </w:rPr>
            </w:pPr>
            <w:r>
              <w:rPr>
                <w:sz w:val="20"/>
                <w:szCs w:val="20"/>
                <w:lang w:val="es-ES"/>
              </w:rPr>
              <w:t>Frigoríficos</w:t>
            </w:r>
          </w:p>
        </w:tc>
        <w:tc>
          <w:tcPr>
            <w:tcW w:w="900" w:type="dxa"/>
            <w:tcBorders>
              <w:top w:val="single" w:sz="6" w:space="0" w:color="auto"/>
              <w:bottom w:val="single" w:sz="6" w:space="0" w:color="auto"/>
            </w:tcBorders>
            <w:vAlign w:val="bottom"/>
          </w:tcPr>
          <w:p w14:paraId="3D97BD11" w14:textId="3E6F565B" w:rsidR="003016A3" w:rsidRPr="00DB24E5" w:rsidRDefault="003016A3" w:rsidP="00D7629A">
            <w:pPr>
              <w:tabs>
                <w:tab w:val="left" w:pos="2220"/>
              </w:tabs>
              <w:jc w:val="right"/>
              <w:rPr>
                <w:sz w:val="20"/>
                <w:szCs w:val="20"/>
                <w:vertAlign w:val="superscript"/>
                <w:lang w:val="es-ES"/>
              </w:rPr>
            </w:pPr>
            <w:r w:rsidRPr="00DB24E5">
              <w:rPr>
                <w:sz w:val="20"/>
                <w:szCs w:val="20"/>
                <w:lang w:val="es-ES"/>
              </w:rPr>
              <w:t>93</w:t>
            </w:r>
          </w:p>
        </w:tc>
        <w:tc>
          <w:tcPr>
            <w:tcW w:w="988" w:type="dxa"/>
            <w:tcBorders>
              <w:top w:val="single" w:sz="6" w:space="0" w:color="auto"/>
              <w:bottom w:val="single" w:sz="6" w:space="0" w:color="auto"/>
            </w:tcBorders>
            <w:vAlign w:val="bottom"/>
          </w:tcPr>
          <w:p w14:paraId="013D0D12" w14:textId="39C7443A" w:rsidR="003016A3" w:rsidRPr="00DB24E5" w:rsidRDefault="003016A3" w:rsidP="00CF1B4F">
            <w:pPr>
              <w:tabs>
                <w:tab w:val="left" w:pos="2220"/>
              </w:tabs>
              <w:jc w:val="right"/>
              <w:rPr>
                <w:sz w:val="20"/>
                <w:szCs w:val="20"/>
                <w:lang w:val="es-ES"/>
              </w:rPr>
            </w:pPr>
            <w:r w:rsidRPr="00DB24E5">
              <w:rPr>
                <w:sz w:val="20"/>
                <w:szCs w:val="20"/>
                <w:lang w:val="es-ES"/>
              </w:rPr>
              <w:t>2</w:t>
            </w:r>
            <w:r w:rsidR="00CF1B4F">
              <w:rPr>
                <w:sz w:val="20"/>
                <w:szCs w:val="20"/>
                <w:lang w:val="es-ES"/>
              </w:rPr>
              <w:t>,</w:t>
            </w:r>
            <w:r w:rsidRPr="00DB24E5">
              <w:rPr>
                <w:sz w:val="20"/>
                <w:szCs w:val="20"/>
                <w:lang w:val="es-ES"/>
              </w:rPr>
              <w:t>70</w:t>
            </w:r>
          </w:p>
        </w:tc>
        <w:tc>
          <w:tcPr>
            <w:tcW w:w="866" w:type="dxa"/>
            <w:tcBorders>
              <w:top w:val="single" w:sz="6" w:space="0" w:color="auto"/>
              <w:bottom w:val="single" w:sz="6" w:space="0" w:color="auto"/>
            </w:tcBorders>
            <w:vAlign w:val="bottom"/>
          </w:tcPr>
          <w:p w14:paraId="1E2B217D" w14:textId="77777777" w:rsidR="003016A3" w:rsidRPr="00DB24E5" w:rsidRDefault="003016A3" w:rsidP="00D7629A">
            <w:pPr>
              <w:tabs>
                <w:tab w:val="left" w:pos="2220"/>
              </w:tabs>
              <w:jc w:val="right"/>
              <w:rPr>
                <w:sz w:val="20"/>
                <w:szCs w:val="20"/>
                <w:lang w:val="es-ES"/>
              </w:rPr>
            </w:pPr>
            <w:r w:rsidRPr="00DB24E5">
              <w:rPr>
                <w:sz w:val="20"/>
                <w:szCs w:val="20"/>
                <w:lang w:val="es-ES"/>
              </w:rPr>
              <w:t>30</w:t>
            </w:r>
          </w:p>
        </w:tc>
        <w:tc>
          <w:tcPr>
            <w:tcW w:w="1285" w:type="dxa"/>
            <w:tcBorders>
              <w:top w:val="single" w:sz="6" w:space="0" w:color="auto"/>
              <w:bottom w:val="single" w:sz="6" w:space="0" w:color="auto"/>
            </w:tcBorders>
            <w:vAlign w:val="bottom"/>
          </w:tcPr>
          <w:p w14:paraId="77B089DB" w14:textId="305D9260" w:rsidR="003016A3" w:rsidRPr="00DB24E5" w:rsidRDefault="003016A3" w:rsidP="00CF1B4F">
            <w:pPr>
              <w:tabs>
                <w:tab w:val="left" w:pos="2220"/>
              </w:tabs>
              <w:jc w:val="right"/>
              <w:rPr>
                <w:sz w:val="20"/>
                <w:szCs w:val="20"/>
                <w:lang w:val="es-ES"/>
              </w:rPr>
            </w:pPr>
            <w:r w:rsidRPr="00DB24E5">
              <w:rPr>
                <w:sz w:val="20"/>
                <w:szCs w:val="20"/>
                <w:lang w:val="es-ES"/>
              </w:rPr>
              <w:t>0</w:t>
            </w:r>
            <w:r w:rsidR="00CF1B4F">
              <w:rPr>
                <w:sz w:val="20"/>
                <w:szCs w:val="20"/>
                <w:lang w:val="es-ES"/>
              </w:rPr>
              <w:t>,</w:t>
            </w:r>
            <w:r w:rsidRPr="00DB24E5">
              <w:rPr>
                <w:sz w:val="20"/>
                <w:szCs w:val="20"/>
                <w:lang w:val="es-ES"/>
              </w:rPr>
              <w:t>81</w:t>
            </w:r>
          </w:p>
        </w:tc>
        <w:tc>
          <w:tcPr>
            <w:tcW w:w="1271" w:type="dxa"/>
            <w:tcBorders>
              <w:top w:val="single" w:sz="6" w:space="0" w:color="auto"/>
              <w:bottom w:val="single" w:sz="6" w:space="0" w:color="auto"/>
            </w:tcBorders>
            <w:vAlign w:val="bottom"/>
          </w:tcPr>
          <w:p w14:paraId="4AA58CE8" w14:textId="435E64E6" w:rsidR="003016A3" w:rsidRPr="00DB24E5" w:rsidRDefault="003016A3" w:rsidP="00CF1B4F">
            <w:pPr>
              <w:tabs>
                <w:tab w:val="left" w:pos="2220"/>
              </w:tabs>
              <w:jc w:val="right"/>
              <w:rPr>
                <w:sz w:val="20"/>
                <w:szCs w:val="20"/>
                <w:lang w:val="es-ES"/>
              </w:rPr>
            </w:pPr>
            <w:r w:rsidRPr="00DB24E5">
              <w:rPr>
                <w:sz w:val="20"/>
                <w:szCs w:val="20"/>
                <w:lang w:val="es-ES"/>
              </w:rPr>
              <w:t>11</w:t>
            </w:r>
            <w:r w:rsidR="00CF1B4F">
              <w:rPr>
                <w:sz w:val="20"/>
                <w:szCs w:val="20"/>
                <w:lang w:val="es-ES"/>
              </w:rPr>
              <w:t>,</w:t>
            </w:r>
            <w:r w:rsidRPr="00DB24E5">
              <w:rPr>
                <w:sz w:val="20"/>
                <w:szCs w:val="20"/>
                <w:lang w:val="es-ES"/>
              </w:rPr>
              <w:t>52</w:t>
            </w:r>
          </w:p>
        </w:tc>
      </w:tr>
      <w:tr w:rsidR="003016A3" w:rsidRPr="00DB24E5" w14:paraId="407EE7D3" w14:textId="77777777" w:rsidTr="00E3110A">
        <w:trPr>
          <w:trHeight w:val="242"/>
        </w:trPr>
        <w:tc>
          <w:tcPr>
            <w:tcW w:w="2875" w:type="dxa"/>
            <w:tcBorders>
              <w:top w:val="single" w:sz="6" w:space="0" w:color="auto"/>
              <w:bottom w:val="single" w:sz="6" w:space="0" w:color="auto"/>
            </w:tcBorders>
          </w:tcPr>
          <w:p w14:paraId="555A87B0" w14:textId="2220614B" w:rsidR="003016A3" w:rsidRPr="00883ED4" w:rsidRDefault="00883ED4" w:rsidP="00883ED4">
            <w:pPr>
              <w:tabs>
                <w:tab w:val="left" w:pos="2220"/>
              </w:tabs>
              <w:jc w:val="left"/>
              <w:rPr>
                <w:sz w:val="20"/>
                <w:szCs w:val="20"/>
                <w:lang w:val="es-ES"/>
              </w:rPr>
            </w:pPr>
            <w:r w:rsidRPr="00883ED4">
              <w:rPr>
                <w:b/>
                <w:bCs/>
                <w:sz w:val="20"/>
                <w:szCs w:val="20"/>
                <w:lang w:val="es-ES"/>
              </w:rPr>
              <w:t>Enfriadores</w:t>
            </w:r>
            <w:r w:rsidR="00C71F69" w:rsidRPr="00883ED4">
              <w:rPr>
                <w:b/>
                <w:bCs/>
                <w:sz w:val="20"/>
                <w:szCs w:val="20"/>
                <w:lang w:val="es-ES"/>
              </w:rPr>
              <w:t xml:space="preserve"> </w:t>
            </w:r>
            <w:r w:rsidR="003016A3" w:rsidRPr="00883ED4">
              <w:rPr>
                <w:sz w:val="20"/>
                <w:szCs w:val="20"/>
                <w:lang w:val="es-ES"/>
              </w:rPr>
              <w:t>(air</w:t>
            </w:r>
            <w:r w:rsidRPr="00883ED4">
              <w:rPr>
                <w:sz w:val="20"/>
                <w:szCs w:val="20"/>
                <w:lang w:val="es-ES"/>
              </w:rPr>
              <w:t>e acondicionado e industria</w:t>
            </w:r>
            <w:r w:rsidR="003016A3" w:rsidRPr="00883ED4">
              <w:rPr>
                <w:sz w:val="20"/>
                <w:szCs w:val="20"/>
                <w:lang w:val="es-ES"/>
              </w:rPr>
              <w:t>)</w:t>
            </w:r>
          </w:p>
        </w:tc>
        <w:tc>
          <w:tcPr>
            <w:tcW w:w="1170" w:type="dxa"/>
            <w:tcBorders>
              <w:top w:val="single" w:sz="6" w:space="0" w:color="auto"/>
              <w:bottom w:val="single" w:sz="6" w:space="0" w:color="auto"/>
            </w:tcBorders>
          </w:tcPr>
          <w:p w14:paraId="0D145FFB" w14:textId="77777777" w:rsidR="003016A3" w:rsidRPr="00883ED4" w:rsidRDefault="003016A3" w:rsidP="00BB6FE1">
            <w:pPr>
              <w:tabs>
                <w:tab w:val="left" w:pos="2220"/>
              </w:tabs>
              <w:jc w:val="left"/>
              <w:rPr>
                <w:b/>
                <w:bCs/>
                <w:sz w:val="20"/>
                <w:szCs w:val="20"/>
                <w:lang w:val="es-ES"/>
              </w:rPr>
            </w:pPr>
          </w:p>
        </w:tc>
        <w:tc>
          <w:tcPr>
            <w:tcW w:w="900" w:type="dxa"/>
            <w:tcBorders>
              <w:top w:val="single" w:sz="6" w:space="0" w:color="auto"/>
              <w:bottom w:val="single" w:sz="6" w:space="0" w:color="auto"/>
            </w:tcBorders>
            <w:vAlign w:val="bottom"/>
          </w:tcPr>
          <w:p w14:paraId="61B2C905" w14:textId="7CDA3934" w:rsidR="003016A3" w:rsidRPr="00DB24E5" w:rsidRDefault="003016A3" w:rsidP="00D7629A">
            <w:pPr>
              <w:tabs>
                <w:tab w:val="left" w:pos="2220"/>
              </w:tabs>
              <w:jc w:val="right"/>
              <w:rPr>
                <w:sz w:val="20"/>
                <w:szCs w:val="20"/>
                <w:vertAlign w:val="superscript"/>
                <w:lang w:val="es-ES"/>
              </w:rPr>
            </w:pPr>
            <w:r w:rsidRPr="00DB24E5">
              <w:rPr>
                <w:sz w:val="20"/>
                <w:szCs w:val="20"/>
                <w:lang w:val="es-ES"/>
              </w:rPr>
              <w:t>10</w:t>
            </w:r>
          </w:p>
        </w:tc>
        <w:tc>
          <w:tcPr>
            <w:tcW w:w="988" w:type="dxa"/>
            <w:tcBorders>
              <w:top w:val="single" w:sz="6" w:space="0" w:color="auto"/>
              <w:bottom w:val="single" w:sz="6" w:space="0" w:color="auto"/>
            </w:tcBorders>
            <w:vAlign w:val="bottom"/>
          </w:tcPr>
          <w:p w14:paraId="22D69E6F" w14:textId="6634E036" w:rsidR="003016A3" w:rsidRPr="00DB24E5" w:rsidRDefault="003016A3" w:rsidP="00CF1B4F">
            <w:pPr>
              <w:tabs>
                <w:tab w:val="left" w:pos="2220"/>
              </w:tabs>
              <w:jc w:val="right"/>
              <w:rPr>
                <w:sz w:val="20"/>
                <w:szCs w:val="20"/>
                <w:lang w:val="es-ES"/>
              </w:rPr>
            </w:pPr>
            <w:r w:rsidRPr="00DB24E5">
              <w:rPr>
                <w:sz w:val="20"/>
                <w:szCs w:val="20"/>
                <w:lang w:val="es-ES"/>
              </w:rPr>
              <w:t>1</w:t>
            </w:r>
            <w:r w:rsidR="00CF1B4F">
              <w:rPr>
                <w:sz w:val="20"/>
                <w:szCs w:val="20"/>
                <w:lang w:val="es-ES"/>
              </w:rPr>
              <w:t>,</w:t>
            </w:r>
            <w:r w:rsidRPr="00DB24E5">
              <w:rPr>
                <w:sz w:val="20"/>
                <w:szCs w:val="20"/>
                <w:lang w:val="es-ES"/>
              </w:rPr>
              <w:t>39</w:t>
            </w:r>
          </w:p>
        </w:tc>
        <w:tc>
          <w:tcPr>
            <w:tcW w:w="866" w:type="dxa"/>
            <w:tcBorders>
              <w:top w:val="single" w:sz="6" w:space="0" w:color="auto"/>
              <w:bottom w:val="single" w:sz="6" w:space="0" w:color="auto"/>
            </w:tcBorders>
            <w:vAlign w:val="bottom"/>
          </w:tcPr>
          <w:p w14:paraId="1E88C518" w14:textId="77777777" w:rsidR="003016A3" w:rsidRPr="00DB24E5" w:rsidRDefault="003016A3" w:rsidP="00D7629A">
            <w:pPr>
              <w:tabs>
                <w:tab w:val="left" w:pos="2220"/>
              </w:tabs>
              <w:jc w:val="right"/>
              <w:rPr>
                <w:sz w:val="20"/>
                <w:szCs w:val="20"/>
                <w:lang w:val="es-ES"/>
              </w:rPr>
            </w:pPr>
            <w:r w:rsidRPr="00DB24E5">
              <w:rPr>
                <w:sz w:val="20"/>
                <w:szCs w:val="20"/>
                <w:lang w:val="es-ES"/>
              </w:rPr>
              <w:t>25</w:t>
            </w:r>
          </w:p>
        </w:tc>
        <w:tc>
          <w:tcPr>
            <w:tcW w:w="1285" w:type="dxa"/>
            <w:tcBorders>
              <w:top w:val="single" w:sz="6" w:space="0" w:color="auto"/>
              <w:bottom w:val="single" w:sz="6" w:space="0" w:color="auto"/>
            </w:tcBorders>
            <w:vAlign w:val="bottom"/>
          </w:tcPr>
          <w:p w14:paraId="7FFDE91B" w14:textId="07CECA46" w:rsidR="003016A3" w:rsidRPr="00DB24E5" w:rsidRDefault="003016A3" w:rsidP="00CF1B4F">
            <w:pPr>
              <w:tabs>
                <w:tab w:val="left" w:pos="2220"/>
              </w:tabs>
              <w:jc w:val="right"/>
              <w:rPr>
                <w:sz w:val="20"/>
                <w:szCs w:val="20"/>
                <w:lang w:val="es-ES"/>
              </w:rPr>
            </w:pPr>
            <w:r w:rsidRPr="00DB24E5">
              <w:rPr>
                <w:sz w:val="20"/>
                <w:szCs w:val="20"/>
                <w:lang w:val="es-ES"/>
              </w:rPr>
              <w:t>0</w:t>
            </w:r>
            <w:r w:rsidR="00CF1B4F">
              <w:rPr>
                <w:sz w:val="20"/>
                <w:szCs w:val="20"/>
                <w:lang w:val="es-ES"/>
              </w:rPr>
              <w:t>,</w:t>
            </w:r>
            <w:r w:rsidRPr="00DB24E5">
              <w:rPr>
                <w:sz w:val="20"/>
                <w:szCs w:val="20"/>
                <w:lang w:val="es-ES"/>
              </w:rPr>
              <w:t>35</w:t>
            </w:r>
          </w:p>
        </w:tc>
        <w:tc>
          <w:tcPr>
            <w:tcW w:w="1271" w:type="dxa"/>
            <w:tcBorders>
              <w:top w:val="single" w:sz="6" w:space="0" w:color="auto"/>
              <w:bottom w:val="single" w:sz="6" w:space="0" w:color="auto"/>
            </w:tcBorders>
            <w:vAlign w:val="bottom"/>
          </w:tcPr>
          <w:p w14:paraId="4AE4A446" w14:textId="03C11C2E" w:rsidR="003016A3" w:rsidRPr="00DB24E5" w:rsidRDefault="003016A3" w:rsidP="00CF1B4F">
            <w:pPr>
              <w:tabs>
                <w:tab w:val="left" w:pos="2220"/>
              </w:tabs>
              <w:jc w:val="right"/>
              <w:rPr>
                <w:sz w:val="20"/>
                <w:szCs w:val="20"/>
                <w:lang w:val="es-ES"/>
              </w:rPr>
            </w:pPr>
            <w:r w:rsidRPr="00DB24E5">
              <w:rPr>
                <w:sz w:val="20"/>
                <w:szCs w:val="20"/>
                <w:lang w:val="es-ES"/>
              </w:rPr>
              <w:t>4</w:t>
            </w:r>
            <w:r w:rsidR="00CF1B4F">
              <w:rPr>
                <w:sz w:val="20"/>
                <w:szCs w:val="20"/>
                <w:lang w:val="es-ES"/>
              </w:rPr>
              <w:t>,</w:t>
            </w:r>
            <w:r w:rsidRPr="00DB24E5">
              <w:rPr>
                <w:sz w:val="20"/>
                <w:szCs w:val="20"/>
                <w:lang w:val="es-ES"/>
              </w:rPr>
              <w:t>98</w:t>
            </w:r>
          </w:p>
        </w:tc>
      </w:tr>
      <w:tr w:rsidR="003016A3" w:rsidRPr="00DB24E5" w14:paraId="59AAA81E" w14:textId="77777777" w:rsidTr="00E3110A">
        <w:trPr>
          <w:trHeight w:val="147"/>
        </w:trPr>
        <w:tc>
          <w:tcPr>
            <w:tcW w:w="2875" w:type="dxa"/>
            <w:tcBorders>
              <w:top w:val="single" w:sz="6" w:space="0" w:color="auto"/>
              <w:bottom w:val="single" w:sz="6" w:space="0" w:color="auto"/>
            </w:tcBorders>
          </w:tcPr>
          <w:p w14:paraId="5F904DB0" w14:textId="131C3D07" w:rsidR="003016A3" w:rsidRPr="00DB24E5" w:rsidRDefault="00883ED4" w:rsidP="00883ED4">
            <w:pPr>
              <w:tabs>
                <w:tab w:val="left" w:pos="2220"/>
              </w:tabs>
              <w:jc w:val="left"/>
              <w:rPr>
                <w:b/>
                <w:bCs/>
                <w:sz w:val="20"/>
                <w:szCs w:val="20"/>
                <w:lang w:val="es-ES"/>
              </w:rPr>
            </w:pPr>
            <w:r>
              <w:rPr>
                <w:b/>
                <w:bCs/>
                <w:sz w:val="20"/>
                <w:szCs w:val="20"/>
                <w:lang w:val="es-ES"/>
              </w:rPr>
              <w:t>Aire acondicionado y bombas de calor</w:t>
            </w:r>
          </w:p>
        </w:tc>
        <w:tc>
          <w:tcPr>
            <w:tcW w:w="1170" w:type="dxa"/>
            <w:tcBorders>
              <w:top w:val="single" w:sz="6" w:space="0" w:color="auto"/>
              <w:bottom w:val="single" w:sz="6" w:space="0" w:color="auto"/>
            </w:tcBorders>
          </w:tcPr>
          <w:p w14:paraId="3E013014" w14:textId="77777777" w:rsidR="003016A3" w:rsidRPr="00DB24E5" w:rsidRDefault="003016A3" w:rsidP="00BB6FE1">
            <w:pPr>
              <w:tabs>
                <w:tab w:val="left" w:pos="2220"/>
              </w:tabs>
              <w:jc w:val="left"/>
              <w:rPr>
                <w:b/>
                <w:bCs/>
                <w:sz w:val="20"/>
                <w:szCs w:val="20"/>
                <w:lang w:val="es-ES"/>
              </w:rPr>
            </w:pPr>
          </w:p>
        </w:tc>
        <w:tc>
          <w:tcPr>
            <w:tcW w:w="900" w:type="dxa"/>
            <w:tcBorders>
              <w:top w:val="single" w:sz="6" w:space="0" w:color="auto"/>
              <w:bottom w:val="single" w:sz="6" w:space="0" w:color="auto"/>
            </w:tcBorders>
            <w:vAlign w:val="bottom"/>
          </w:tcPr>
          <w:p w14:paraId="4E9E529F" w14:textId="0AE6F7BB" w:rsidR="003016A3" w:rsidRPr="00DB24E5" w:rsidRDefault="003016A3" w:rsidP="000A02B8">
            <w:pPr>
              <w:tabs>
                <w:tab w:val="left" w:pos="2220"/>
              </w:tabs>
              <w:jc w:val="right"/>
              <w:rPr>
                <w:sz w:val="20"/>
                <w:szCs w:val="20"/>
                <w:vertAlign w:val="superscript"/>
                <w:lang w:val="es-ES"/>
              </w:rPr>
            </w:pPr>
            <w:r w:rsidRPr="00DB24E5">
              <w:rPr>
                <w:sz w:val="20"/>
                <w:szCs w:val="20"/>
                <w:lang w:val="es-ES"/>
              </w:rPr>
              <w:t>33</w:t>
            </w:r>
          </w:p>
        </w:tc>
        <w:tc>
          <w:tcPr>
            <w:tcW w:w="988" w:type="dxa"/>
            <w:tcBorders>
              <w:top w:val="single" w:sz="6" w:space="0" w:color="auto"/>
              <w:bottom w:val="single" w:sz="6" w:space="0" w:color="auto"/>
            </w:tcBorders>
            <w:vAlign w:val="bottom"/>
          </w:tcPr>
          <w:p w14:paraId="2AD4720F" w14:textId="778EB9B9" w:rsidR="003016A3" w:rsidRPr="00DB24E5" w:rsidRDefault="003016A3" w:rsidP="00CF1B4F">
            <w:pPr>
              <w:tabs>
                <w:tab w:val="left" w:pos="2220"/>
              </w:tabs>
              <w:jc w:val="right"/>
              <w:rPr>
                <w:sz w:val="20"/>
                <w:szCs w:val="20"/>
                <w:lang w:val="es-ES"/>
              </w:rPr>
            </w:pPr>
            <w:r w:rsidRPr="00DB24E5">
              <w:rPr>
                <w:sz w:val="20"/>
                <w:szCs w:val="20"/>
                <w:lang w:val="es-ES"/>
              </w:rPr>
              <w:t>0</w:t>
            </w:r>
            <w:r w:rsidR="00CF1B4F">
              <w:rPr>
                <w:sz w:val="20"/>
                <w:szCs w:val="20"/>
                <w:lang w:val="es-ES"/>
              </w:rPr>
              <w:t>,</w:t>
            </w:r>
            <w:r w:rsidRPr="00DB24E5">
              <w:rPr>
                <w:sz w:val="20"/>
                <w:szCs w:val="20"/>
                <w:lang w:val="es-ES"/>
              </w:rPr>
              <w:t>7</w:t>
            </w:r>
          </w:p>
        </w:tc>
        <w:tc>
          <w:tcPr>
            <w:tcW w:w="866" w:type="dxa"/>
            <w:tcBorders>
              <w:top w:val="single" w:sz="6" w:space="0" w:color="auto"/>
              <w:bottom w:val="single" w:sz="6" w:space="0" w:color="auto"/>
            </w:tcBorders>
            <w:vAlign w:val="bottom"/>
          </w:tcPr>
          <w:p w14:paraId="33286A30" w14:textId="77777777" w:rsidR="003016A3" w:rsidRPr="00DB24E5" w:rsidRDefault="003016A3" w:rsidP="00D7629A">
            <w:pPr>
              <w:tabs>
                <w:tab w:val="left" w:pos="2220"/>
              </w:tabs>
              <w:jc w:val="right"/>
              <w:rPr>
                <w:sz w:val="20"/>
                <w:szCs w:val="20"/>
                <w:lang w:val="es-ES"/>
              </w:rPr>
            </w:pPr>
            <w:r w:rsidRPr="00DB24E5">
              <w:rPr>
                <w:sz w:val="20"/>
                <w:szCs w:val="20"/>
                <w:lang w:val="es-ES"/>
              </w:rPr>
              <w:t>25</w:t>
            </w:r>
          </w:p>
        </w:tc>
        <w:tc>
          <w:tcPr>
            <w:tcW w:w="1285" w:type="dxa"/>
            <w:tcBorders>
              <w:top w:val="single" w:sz="6" w:space="0" w:color="auto"/>
              <w:bottom w:val="single" w:sz="6" w:space="0" w:color="auto"/>
            </w:tcBorders>
            <w:vAlign w:val="bottom"/>
          </w:tcPr>
          <w:p w14:paraId="307E8AE1" w14:textId="22A1AC67" w:rsidR="003016A3" w:rsidRPr="00DB24E5" w:rsidRDefault="003016A3" w:rsidP="00CF1B4F">
            <w:pPr>
              <w:tabs>
                <w:tab w:val="left" w:pos="2220"/>
              </w:tabs>
              <w:jc w:val="right"/>
              <w:rPr>
                <w:sz w:val="20"/>
                <w:szCs w:val="20"/>
                <w:lang w:val="es-ES"/>
              </w:rPr>
            </w:pPr>
            <w:r w:rsidRPr="00DB24E5">
              <w:rPr>
                <w:sz w:val="20"/>
                <w:szCs w:val="20"/>
                <w:lang w:val="es-ES"/>
              </w:rPr>
              <w:t>0</w:t>
            </w:r>
            <w:r w:rsidR="00CF1B4F">
              <w:rPr>
                <w:sz w:val="20"/>
                <w:szCs w:val="20"/>
                <w:lang w:val="es-ES"/>
              </w:rPr>
              <w:t>,</w:t>
            </w:r>
            <w:r w:rsidRPr="00DB24E5">
              <w:rPr>
                <w:sz w:val="20"/>
                <w:szCs w:val="20"/>
                <w:lang w:val="es-ES"/>
              </w:rPr>
              <w:t>18</w:t>
            </w:r>
          </w:p>
        </w:tc>
        <w:tc>
          <w:tcPr>
            <w:tcW w:w="1271" w:type="dxa"/>
            <w:tcBorders>
              <w:top w:val="single" w:sz="6" w:space="0" w:color="auto"/>
              <w:bottom w:val="single" w:sz="6" w:space="0" w:color="auto"/>
            </w:tcBorders>
            <w:vAlign w:val="bottom"/>
          </w:tcPr>
          <w:p w14:paraId="01A2B29B" w14:textId="436067D9" w:rsidR="003016A3" w:rsidRPr="00DB24E5" w:rsidRDefault="003016A3" w:rsidP="00CF1B4F">
            <w:pPr>
              <w:tabs>
                <w:tab w:val="left" w:pos="2220"/>
              </w:tabs>
              <w:jc w:val="right"/>
              <w:rPr>
                <w:sz w:val="20"/>
                <w:szCs w:val="20"/>
                <w:lang w:val="es-ES"/>
              </w:rPr>
            </w:pPr>
            <w:r w:rsidRPr="00DB24E5">
              <w:rPr>
                <w:sz w:val="20"/>
                <w:szCs w:val="20"/>
                <w:lang w:val="es-ES"/>
              </w:rPr>
              <w:t>2</w:t>
            </w:r>
            <w:r w:rsidR="00CF1B4F">
              <w:rPr>
                <w:sz w:val="20"/>
                <w:szCs w:val="20"/>
                <w:lang w:val="es-ES"/>
              </w:rPr>
              <w:t>,</w:t>
            </w:r>
            <w:r w:rsidRPr="00DB24E5">
              <w:rPr>
                <w:sz w:val="20"/>
                <w:szCs w:val="20"/>
                <w:lang w:val="es-ES"/>
              </w:rPr>
              <w:t>56</w:t>
            </w:r>
          </w:p>
        </w:tc>
      </w:tr>
      <w:tr w:rsidR="0032051C" w:rsidRPr="00DB24E5" w14:paraId="1FAE7F8C" w14:textId="77777777" w:rsidTr="00E3110A">
        <w:trPr>
          <w:trHeight w:val="65"/>
        </w:trPr>
        <w:tc>
          <w:tcPr>
            <w:tcW w:w="2875" w:type="dxa"/>
            <w:tcBorders>
              <w:top w:val="single" w:sz="6" w:space="0" w:color="auto"/>
              <w:bottom w:val="single" w:sz="6" w:space="0" w:color="auto"/>
            </w:tcBorders>
            <w:shd w:val="clear" w:color="auto" w:fill="auto"/>
            <w:vAlign w:val="center"/>
          </w:tcPr>
          <w:p w14:paraId="03006F81" w14:textId="77777777" w:rsidR="003016A3" w:rsidRPr="00DB24E5" w:rsidRDefault="003016A3" w:rsidP="00BF68CF">
            <w:pPr>
              <w:tabs>
                <w:tab w:val="left" w:pos="2220"/>
              </w:tabs>
              <w:jc w:val="center"/>
              <w:rPr>
                <w:sz w:val="20"/>
                <w:szCs w:val="20"/>
                <w:lang w:val="es-ES"/>
              </w:rPr>
            </w:pPr>
          </w:p>
        </w:tc>
        <w:tc>
          <w:tcPr>
            <w:tcW w:w="1170" w:type="dxa"/>
            <w:tcBorders>
              <w:top w:val="single" w:sz="6" w:space="0" w:color="auto"/>
              <w:bottom w:val="single" w:sz="6" w:space="0" w:color="auto"/>
            </w:tcBorders>
            <w:shd w:val="clear" w:color="auto" w:fill="auto"/>
          </w:tcPr>
          <w:p w14:paraId="42C25652" w14:textId="77777777" w:rsidR="003016A3" w:rsidRPr="00DB24E5" w:rsidRDefault="003016A3" w:rsidP="00BB6FE1">
            <w:pPr>
              <w:tabs>
                <w:tab w:val="left" w:pos="2220"/>
              </w:tabs>
              <w:jc w:val="left"/>
              <w:rPr>
                <w:b/>
                <w:bCs/>
                <w:sz w:val="20"/>
                <w:szCs w:val="20"/>
                <w:lang w:val="es-ES"/>
              </w:rPr>
            </w:pPr>
            <w:r w:rsidRPr="00DB24E5">
              <w:rPr>
                <w:b/>
                <w:bCs/>
                <w:sz w:val="20"/>
                <w:szCs w:val="20"/>
                <w:lang w:val="es-ES"/>
              </w:rPr>
              <w:t>Total</w:t>
            </w:r>
          </w:p>
        </w:tc>
        <w:tc>
          <w:tcPr>
            <w:tcW w:w="900" w:type="dxa"/>
            <w:tcBorders>
              <w:top w:val="single" w:sz="6" w:space="0" w:color="auto"/>
              <w:bottom w:val="single" w:sz="6" w:space="0" w:color="auto"/>
            </w:tcBorders>
            <w:shd w:val="clear" w:color="auto" w:fill="auto"/>
            <w:vAlign w:val="bottom"/>
          </w:tcPr>
          <w:p w14:paraId="347652F2" w14:textId="0AC97D8E" w:rsidR="003016A3" w:rsidRPr="00DB24E5" w:rsidRDefault="00CF1B4F" w:rsidP="00D7629A">
            <w:pPr>
              <w:tabs>
                <w:tab w:val="left" w:pos="2220"/>
              </w:tabs>
              <w:jc w:val="right"/>
              <w:rPr>
                <w:sz w:val="20"/>
                <w:szCs w:val="20"/>
                <w:lang w:val="es-ES"/>
              </w:rPr>
            </w:pPr>
            <w:r>
              <w:rPr>
                <w:sz w:val="20"/>
                <w:szCs w:val="20"/>
                <w:lang w:val="es-ES"/>
              </w:rPr>
              <w:t>71.</w:t>
            </w:r>
            <w:r w:rsidR="003016A3" w:rsidRPr="00DB24E5">
              <w:rPr>
                <w:sz w:val="20"/>
                <w:szCs w:val="20"/>
                <w:lang w:val="es-ES"/>
              </w:rPr>
              <w:t>186</w:t>
            </w:r>
          </w:p>
        </w:tc>
        <w:tc>
          <w:tcPr>
            <w:tcW w:w="988" w:type="dxa"/>
            <w:tcBorders>
              <w:top w:val="single" w:sz="6" w:space="0" w:color="auto"/>
              <w:bottom w:val="single" w:sz="6" w:space="0" w:color="auto"/>
            </w:tcBorders>
            <w:shd w:val="clear" w:color="auto" w:fill="auto"/>
            <w:vAlign w:val="bottom"/>
          </w:tcPr>
          <w:p w14:paraId="3A58DF83" w14:textId="00926F8E" w:rsidR="003016A3" w:rsidRPr="00DB24E5" w:rsidRDefault="003016A3" w:rsidP="00CF1B4F">
            <w:pPr>
              <w:tabs>
                <w:tab w:val="left" w:pos="2220"/>
              </w:tabs>
              <w:jc w:val="right"/>
              <w:rPr>
                <w:sz w:val="20"/>
                <w:szCs w:val="20"/>
                <w:lang w:val="es-ES"/>
              </w:rPr>
            </w:pPr>
            <w:r w:rsidRPr="00DB24E5">
              <w:rPr>
                <w:sz w:val="20"/>
                <w:szCs w:val="20"/>
                <w:lang w:val="es-ES"/>
              </w:rPr>
              <w:t>61</w:t>
            </w:r>
            <w:r w:rsidR="00CF1B4F">
              <w:rPr>
                <w:sz w:val="20"/>
                <w:szCs w:val="20"/>
                <w:lang w:val="es-ES"/>
              </w:rPr>
              <w:t>,</w:t>
            </w:r>
            <w:r w:rsidRPr="00DB24E5">
              <w:rPr>
                <w:sz w:val="20"/>
                <w:szCs w:val="20"/>
                <w:lang w:val="es-ES"/>
              </w:rPr>
              <w:t>63</w:t>
            </w:r>
          </w:p>
        </w:tc>
        <w:tc>
          <w:tcPr>
            <w:tcW w:w="866" w:type="dxa"/>
            <w:tcBorders>
              <w:top w:val="single" w:sz="6" w:space="0" w:color="auto"/>
              <w:bottom w:val="single" w:sz="6" w:space="0" w:color="auto"/>
            </w:tcBorders>
            <w:shd w:val="clear" w:color="auto" w:fill="auto"/>
            <w:vAlign w:val="bottom"/>
          </w:tcPr>
          <w:p w14:paraId="7E837702" w14:textId="77777777" w:rsidR="003016A3" w:rsidRPr="00DB24E5" w:rsidRDefault="003016A3" w:rsidP="00D7629A">
            <w:pPr>
              <w:tabs>
                <w:tab w:val="left" w:pos="2220"/>
              </w:tabs>
              <w:jc w:val="right"/>
              <w:rPr>
                <w:sz w:val="20"/>
                <w:szCs w:val="20"/>
                <w:lang w:val="es-ES"/>
              </w:rPr>
            </w:pPr>
          </w:p>
        </w:tc>
        <w:tc>
          <w:tcPr>
            <w:tcW w:w="1285" w:type="dxa"/>
            <w:tcBorders>
              <w:top w:val="single" w:sz="6" w:space="0" w:color="auto"/>
              <w:bottom w:val="single" w:sz="6" w:space="0" w:color="auto"/>
            </w:tcBorders>
            <w:shd w:val="clear" w:color="auto" w:fill="auto"/>
            <w:vAlign w:val="bottom"/>
          </w:tcPr>
          <w:p w14:paraId="14798070" w14:textId="605F1B73" w:rsidR="003016A3" w:rsidRPr="00DB24E5" w:rsidRDefault="003016A3" w:rsidP="00CF1B4F">
            <w:pPr>
              <w:tabs>
                <w:tab w:val="left" w:pos="2220"/>
              </w:tabs>
              <w:jc w:val="right"/>
              <w:rPr>
                <w:sz w:val="20"/>
                <w:szCs w:val="20"/>
                <w:lang w:val="es-ES"/>
              </w:rPr>
            </w:pPr>
            <w:r w:rsidRPr="00DB24E5">
              <w:rPr>
                <w:sz w:val="20"/>
                <w:szCs w:val="20"/>
                <w:lang w:val="es-ES"/>
              </w:rPr>
              <w:t>7</w:t>
            </w:r>
            <w:r w:rsidR="00CF1B4F">
              <w:rPr>
                <w:sz w:val="20"/>
                <w:szCs w:val="20"/>
                <w:lang w:val="es-ES"/>
              </w:rPr>
              <w:t>,</w:t>
            </w:r>
            <w:r w:rsidRPr="00DB24E5">
              <w:rPr>
                <w:sz w:val="20"/>
                <w:szCs w:val="20"/>
                <w:lang w:val="es-ES"/>
              </w:rPr>
              <w:t>03</w:t>
            </w:r>
          </w:p>
        </w:tc>
        <w:tc>
          <w:tcPr>
            <w:tcW w:w="1271" w:type="dxa"/>
            <w:tcBorders>
              <w:top w:val="single" w:sz="6" w:space="0" w:color="auto"/>
              <w:bottom w:val="single" w:sz="6" w:space="0" w:color="auto"/>
            </w:tcBorders>
            <w:shd w:val="clear" w:color="auto" w:fill="auto"/>
            <w:vAlign w:val="bottom"/>
          </w:tcPr>
          <w:p w14:paraId="14411425" w14:textId="77777777" w:rsidR="003016A3" w:rsidRPr="00DB24E5" w:rsidRDefault="003016A3" w:rsidP="00D7629A">
            <w:pPr>
              <w:tabs>
                <w:tab w:val="left" w:pos="2220"/>
              </w:tabs>
              <w:jc w:val="right"/>
              <w:rPr>
                <w:sz w:val="20"/>
                <w:szCs w:val="20"/>
                <w:lang w:val="es-ES"/>
              </w:rPr>
            </w:pPr>
            <w:r w:rsidRPr="00DB24E5">
              <w:rPr>
                <w:sz w:val="20"/>
                <w:szCs w:val="20"/>
                <w:lang w:val="es-ES"/>
              </w:rPr>
              <w:t>100</w:t>
            </w:r>
          </w:p>
        </w:tc>
      </w:tr>
      <w:bookmarkEnd w:id="0"/>
    </w:tbl>
    <w:p w14:paraId="7CBF7B66" w14:textId="34687305" w:rsidR="003016A3" w:rsidRPr="00DB24E5" w:rsidRDefault="003016A3" w:rsidP="003016A3">
      <w:pPr>
        <w:rPr>
          <w:lang w:val="es-ES"/>
        </w:rPr>
      </w:pPr>
    </w:p>
    <w:p w14:paraId="142D946A" w14:textId="55699532" w:rsidR="007A6564" w:rsidRPr="00883ED4" w:rsidRDefault="00883ED4" w:rsidP="00B30711">
      <w:pPr>
        <w:pStyle w:val="Heading1"/>
        <w:numPr>
          <w:ilvl w:val="0"/>
          <w:numId w:val="0"/>
        </w:numPr>
        <w:rPr>
          <w:u w:val="single"/>
          <w:lang w:val="es-ES"/>
        </w:rPr>
      </w:pPr>
      <w:r>
        <w:rPr>
          <w:u w:val="single"/>
          <w:lang w:val="es-ES"/>
        </w:rPr>
        <w:t>Estrategia de eliminac</w:t>
      </w:r>
      <w:r w:rsidRPr="00883ED4">
        <w:rPr>
          <w:u w:val="single"/>
          <w:lang w:val="es-ES"/>
        </w:rPr>
        <w:t>ión en la etapa</w:t>
      </w:r>
      <w:r w:rsidR="00306EAB" w:rsidRPr="00883ED4">
        <w:rPr>
          <w:u w:val="single"/>
          <w:lang w:val="es-ES"/>
        </w:rPr>
        <w:t> </w:t>
      </w:r>
      <w:r w:rsidR="007A6564" w:rsidRPr="00883ED4">
        <w:rPr>
          <w:u w:val="single"/>
          <w:lang w:val="es-ES"/>
        </w:rPr>
        <w:t>II</w:t>
      </w:r>
    </w:p>
    <w:p w14:paraId="07B9E4E4" w14:textId="77777777" w:rsidR="0078039C" w:rsidRDefault="005D7ECA" w:rsidP="0078039C">
      <w:pPr>
        <w:pStyle w:val="Heading1"/>
        <w:tabs>
          <w:tab w:val="clear" w:pos="0"/>
          <w:tab w:val="clear" w:pos="1985"/>
        </w:tabs>
        <w:rPr>
          <w:lang w:val="es-ES"/>
        </w:rPr>
      </w:pPr>
      <w:r w:rsidRPr="005D7ECA">
        <w:rPr>
          <w:lang w:val="es-ES"/>
        </w:rPr>
        <w:t>Durante la e</w:t>
      </w:r>
      <w:r w:rsidR="008C669C" w:rsidRPr="005D7ECA">
        <w:rPr>
          <w:lang w:val="es-ES"/>
        </w:rPr>
        <w:t>tapa</w:t>
      </w:r>
      <w:r w:rsidR="00306EAB" w:rsidRPr="005D7ECA">
        <w:rPr>
          <w:lang w:val="es-ES"/>
        </w:rPr>
        <w:t> </w:t>
      </w:r>
      <w:r w:rsidR="007A6564" w:rsidRPr="005D7ECA">
        <w:rPr>
          <w:lang w:val="es-ES"/>
        </w:rPr>
        <w:t xml:space="preserve">II </w:t>
      </w:r>
      <w:r w:rsidR="00135B60" w:rsidRPr="005D7ECA">
        <w:rPr>
          <w:lang w:val="es-ES"/>
        </w:rPr>
        <w:t>del plan de gestión de eliminación de los HCFC</w:t>
      </w:r>
      <w:r w:rsidR="007A6564" w:rsidRPr="005D7ECA">
        <w:rPr>
          <w:lang w:val="es-ES"/>
        </w:rPr>
        <w:t xml:space="preserve"> </w:t>
      </w:r>
      <w:r w:rsidRPr="005D7ECA">
        <w:rPr>
          <w:lang w:val="es-ES"/>
        </w:rPr>
        <w:t>para</w:t>
      </w:r>
      <w:r w:rsidR="007A6564" w:rsidRPr="005D7ECA">
        <w:rPr>
          <w:lang w:val="es-ES"/>
        </w:rPr>
        <w:t xml:space="preserve"> Montenegro </w:t>
      </w:r>
      <w:r w:rsidRPr="005D7ECA">
        <w:rPr>
          <w:lang w:val="es-ES"/>
        </w:rPr>
        <w:t>se eliminará el consum</w:t>
      </w:r>
      <w:r>
        <w:rPr>
          <w:lang w:val="es-ES"/>
        </w:rPr>
        <w:t>o</w:t>
      </w:r>
      <w:r w:rsidRPr="005D7ECA">
        <w:rPr>
          <w:lang w:val="es-ES"/>
        </w:rPr>
        <w:t xml:space="preserve"> restante de </w:t>
      </w:r>
      <w:r w:rsidR="007A6564" w:rsidRPr="005D7ECA">
        <w:rPr>
          <w:lang w:val="es-ES"/>
        </w:rPr>
        <w:t>HCFC</w:t>
      </w:r>
      <w:r>
        <w:rPr>
          <w:lang w:val="es-ES"/>
        </w:rPr>
        <w:t xml:space="preserve"> </w:t>
      </w:r>
      <w:proofErr w:type="gramStart"/>
      <w:r>
        <w:rPr>
          <w:lang w:val="es-ES"/>
        </w:rPr>
        <w:t>a  más</w:t>
      </w:r>
      <w:proofErr w:type="gramEnd"/>
      <w:r>
        <w:rPr>
          <w:lang w:val="es-ES"/>
        </w:rPr>
        <w:t xml:space="preserve"> tardar en </w:t>
      </w:r>
      <w:r w:rsidR="007A6564" w:rsidRPr="005D7ECA">
        <w:rPr>
          <w:lang w:val="es-ES"/>
        </w:rPr>
        <w:t>2025</w:t>
      </w:r>
      <w:r w:rsidR="00B30711" w:rsidRPr="005D7ECA">
        <w:rPr>
          <w:lang w:val="es-ES"/>
        </w:rPr>
        <w:t xml:space="preserve">, </w:t>
      </w:r>
      <w:r>
        <w:rPr>
          <w:lang w:val="es-ES"/>
        </w:rPr>
        <w:t>por medio de las siguientes actividades en el sector de mantenimiento de equipos de refrigeración y aire acondicionado</w:t>
      </w:r>
      <w:r w:rsidR="007A6564" w:rsidRPr="005D7ECA">
        <w:rPr>
          <w:lang w:val="es-ES"/>
        </w:rPr>
        <w:t>:</w:t>
      </w:r>
    </w:p>
    <w:p w14:paraId="4B0FD9D3" w14:textId="77777777" w:rsidR="0078039C" w:rsidRDefault="005D7ECA" w:rsidP="0078039C">
      <w:pPr>
        <w:pStyle w:val="Heading2"/>
        <w:ind w:left="1440"/>
        <w:rPr>
          <w:lang w:val="es-ES"/>
        </w:rPr>
      </w:pPr>
      <w:r w:rsidRPr="0078039C">
        <w:rPr>
          <w:lang w:val="es-ES"/>
        </w:rPr>
        <w:t>Dos cursillos de dos días de duración para</w:t>
      </w:r>
      <w:r w:rsidR="00A6578E" w:rsidRPr="0078039C">
        <w:rPr>
          <w:lang w:val="es-ES"/>
        </w:rPr>
        <w:t xml:space="preserve"> 50 </w:t>
      </w:r>
      <w:r w:rsidRPr="0078039C">
        <w:rPr>
          <w:lang w:val="es-ES"/>
        </w:rPr>
        <w:t>oficiales de aduanas sobre control de la importación de SAO y capacitación de cuatro inspectores ambientales para implantar el nuevo reglamento relacionado con la gestión de refrigerantes</w:t>
      </w:r>
      <w:r w:rsidR="00A6578E" w:rsidRPr="0078039C">
        <w:rPr>
          <w:lang w:val="es-ES"/>
        </w:rPr>
        <w:t xml:space="preserve">; </w:t>
      </w:r>
      <w:r w:rsidRPr="0078039C">
        <w:rPr>
          <w:lang w:val="es-ES"/>
        </w:rPr>
        <w:t xml:space="preserve">fortalecimiento de la coordinación entre la dependencia del ozono, la asociación de refrigeración </w:t>
      </w:r>
      <w:proofErr w:type="spellStart"/>
      <w:r w:rsidRPr="0078039C">
        <w:rPr>
          <w:lang w:val="es-ES"/>
        </w:rPr>
        <w:t>hy</w:t>
      </w:r>
      <w:proofErr w:type="spellEnd"/>
      <w:r w:rsidRPr="0078039C">
        <w:rPr>
          <w:lang w:val="es-ES"/>
        </w:rPr>
        <w:t xml:space="preserve"> aire acondicionado, la cadena de suministro de SAO y las autoridades aduaneras para prevenir y hacer frente al posible comercio ilícito</w:t>
      </w:r>
      <w:r w:rsidR="00D32A08" w:rsidRPr="0078039C">
        <w:rPr>
          <w:lang w:val="es-ES"/>
        </w:rPr>
        <w:t>;</w:t>
      </w:r>
      <w:r w:rsidR="00A6578E" w:rsidRPr="0078039C">
        <w:rPr>
          <w:lang w:val="es-ES"/>
        </w:rPr>
        <w:t xml:space="preserve"> </w:t>
      </w:r>
      <w:r w:rsidRPr="0078039C">
        <w:rPr>
          <w:lang w:val="es-ES"/>
        </w:rPr>
        <w:t>y adquisición de cinco  identificadores de refrigerantes para las inspecciones aduaneras y ambientales</w:t>
      </w:r>
      <w:r w:rsidR="00D32A08" w:rsidRPr="0078039C">
        <w:rPr>
          <w:lang w:val="es-ES"/>
        </w:rPr>
        <w:t xml:space="preserve"> </w:t>
      </w:r>
      <w:r w:rsidR="00A6578E" w:rsidRPr="0078039C">
        <w:rPr>
          <w:lang w:val="es-ES"/>
        </w:rPr>
        <w:t>(</w:t>
      </w:r>
      <w:r w:rsidR="00BF68CF" w:rsidRPr="0078039C">
        <w:rPr>
          <w:lang w:val="es-ES"/>
        </w:rPr>
        <w:t>5</w:t>
      </w:r>
      <w:r w:rsidR="0032051C" w:rsidRPr="0078039C">
        <w:rPr>
          <w:lang w:val="es-ES"/>
        </w:rPr>
        <w:t>4</w:t>
      </w:r>
      <w:r w:rsidR="00CB6D18" w:rsidRPr="0078039C">
        <w:rPr>
          <w:lang w:val="es-ES"/>
        </w:rPr>
        <w:t>.</w:t>
      </w:r>
      <w:r w:rsidR="0032051C" w:rsidRPr="0078039C">
        <w:rPr>
          <w:lang w:val="es-ES"/>
        </w:rPr>
        <w:t>250</w:t>
      </w:r>
      <w:r w:rsidR="00CB6D18" w:rsidRPr="0078039C">
        <w:rPr>
          <w:lang w:val="es-ES"/>
        </w:rPr>
        <w:t xml:space="preserve"> $ EUA</w:t>
      </w:r>
      <w:r w:rsidR="00A6578E" w:rsidRPr="0078039C">
        <w:rPr>
          <w:lang w:val="es-ES"/>
        </w:rPr>
        <w:t>);</w:t>
      </w:r>
    </w:p>
    <w:p w14:paraId="22220BFF" w14:textId="77777777" w:rsidR="0078039C" w:rsidRDefault="00CB6D18" w:rsidP="0078039C">
      <w:pPr>
        <w:pStyle w:val="Heading2"/>
        <w:ind w:left="1440"/>
        <w:rPr>
          <w:lang w:val="es-ES"/>
        </w:rPr>
      </w:pPr>
      <w:r w:rsidRPr="0078039C">
        <w:rPr>
          <w:lang w:val="es-ES"/>
        </w:rPr>
        <w:t>Capacitación de seis nuevos técnicos en refrigeración como instructores</w:t>
      </w:r>
      <w:r w:rsidR="007A6564" w:rsidRPr="0078039C">
        <w:rPr>
          <w:lang w:val="es-ES"/>
        </w:rPr>
        <w:t xml:space="preserve">; </w:t>
      </w:r>
      <w:r w:rsidR="00CF1B4F" w:rsidRPr="0078039C">
        <w:rPr>
          <w:lang w:val="es-ES"/>
        </w:rPr>
        <w:t xml:space="preserve">y capacitación y certificación de </w:t>
      </w:r>
      <w:r w:rsidR="007A6564" w:rsidRPr="0078039C">
        <w:rPr>
          <w:lang w:val="es-ES"/>
        </w:rPr>
        <w:t>100</w:t>
      </w:r>
      <w:r w:rsidR="00A6655A" w:rsidRPr="0078039C">
        <w:rPr>
          <w:lang w:val="es-ES"/>
        </w:rPr>
        <w:t xml:space="preserve"> </w:t>
      </w:r>
      <w:r w:rsidR="007A6564" w:rsidRPr="0078039C">
        <w:rPr>
          <w:lang w:val="es-ES"/>
        </w:rPr>
        <w:t>t</w:t>
      </w:r>
      <w:r w:rsidR="00CF1B4F" w:rsidRPr="0078039C">
        <w:rPr>
          <w:lang w:val="es-ES"/>
        </w:rPr>
        <w:t>écnicos mediante cinco cursillos sobre buenas prácticas de mantenimiento, que incluyen la gestión de los refrigerantes naturales y sintéticos</w:t>
      </w:r>
      <w:r w:rsidR="007A6564" w:rsidRPr="0078039C">
        <w:rPr>
          <w:lang w:val="es-ES"/>
        </w:rPr>
        <w:t xml:space="preserve">, </w:t>
      </w:r>
      <w:r w:rsidR="00CF1B4F" w:rsidRPr="0078039C">
        <w:rPr>
          <w:lang w:val="es-ES"/>
        </w:rPr>
        <w:t>la eficiencia energética, las cuestiones de seguridad, servicios y mantenimiento</w:t>
      </w:r>
      <w:r w:rsidR="007A6564" w:rsidRPr="0078039C">
        <w:rPr>
          <w:lang w:val="es-ES"/>
        </w:rPr>
        <w:t xml:space="preserve">, </w:t>
      </w:r>
      <w:r w:rsidR="00CF1B4F" w:rsidRPr="0078039C">
        <w:rPr>
          <w:lang w:val="es-ES"/>
        </w:rPr>
        <w:t>operaciones de reciclado y recuperación, instalación apropiada de los equipos de refrigeración y aire acondicionado</w:t>
      </w:r>
      <w:r w:rsidR="007A6564" w:rsidRPr="0078039C">
        <w:rPr>
          <w:lang w:val="es-ES"/>
        </w:rPr>
        <w:t xml:space="preserve">, </w:t>
      </w:r>
      <w:r w:rsidR="00CF1B4F" w:rsidRPr="0078039C">
        <w:rPr>
          <w:lang w:val="es-ES"/>
        </w:rPr>
        <w:t xml:space="preserve">reglamento de los gases </w:t>
      </w:r>
      <w:r w:rsidR="007A6564" w:rsidRPr="0078039C">
        <w:rPr>
          <w:lang w:val="es-ES"/>
        </w:rPr>
        <w:t xml:space="preserve">F, </w:t>
      </w:r>
      <w:r w:rsidR="00CF1B4F" w:rsidRPr="0078039C">
        <w:rPr>
          <w:lang w:val="es-ES"/>
        </w:rPr>
        <w:t>y normas</w:t>
      </w:r>
      <w:r w:rsidR="003560FD" w:rsidRPr="00DB24E5">
        <w:rPr>
          <w:rStyle w:val="FootnoteReference"/>
          <w:lang w:val="es-ES"/>
        </w:rPr>
        <w:footnoteReference w:id="6"/>
      </w:r>
      <w:r w:rsidR="000E1E4D" w:rsidRPr="0078039C">
        <w:rPr>
          <w:lang w:val="es-ES"/>
        </w:rPr>
        <w:t xml:space="preserve"> (133</w:t>
      </w:r>
      <w:r w:rsidR="00CF1B4F" w:rsidRPr="0078039C">
        <w:rPr>
          <w:lang w:val="es-ES"/>
        </w:rPr>
        <w:t>.</w:t>
      </w:r>
      <w:r w:rsidR="000E1E4D" w:rsidRPr="0078039C">
        <w:rPr>
          <w:lang w:val="es-ES"/>
        </w:rPr>
        <w:t>750</w:t>
      </w:r>
      <w:r w:rsidR="00CF1B4F" w:rsidRPr="0078039C">
        <w:rPr>
          <w:lang w:val="es-ES"/>
        </w:rPr>
        <w:t xml:space="preserve"> </w:t>
      </w:r>
      <w:r w:rsidR="007F0403" w:rsidRPr="0078039C">
        <w:rPr>
          <w:lang w:val="es-ES"/>
        </w:rPr>
        <w:t>$ EUA</w:t>
      </w:r>
      <w:r w:rsidR="0078039C">
        <w:rPr>
          <w:lang w:val="es-ES"/>
        </w:rPr>
        <w:t>);</w:t>
      </w:r>
    </w:p>
    <w:p w14:paraId="17CCF6BA" w14:textId="77777777" w:rsidR="0078039C" w:rsidRDefault="00CF1B4F" w:rsidP="0078039C">
      <w:pPr>
        <w:pStyle w:val="Heading2"/>
        <w:ind w:left="1440"/>
        <w:rPr>
          <w:lang w:val="es-ES"/>
        </w:rPr>
      </w:pPr>
      <w:r w:rsidRPr="0078039C">
        <w:rPr>
          <w:lang w:val="es-ES"/>
        </w:rPr>
        <w:t>Aumento de la capacidad de los centros de capacitación</w:t>
      </w:r>
      <w:r w:rsidR="004B2997" w:rsidRPr="0078039C">
        <w:rPr>
          <w:lang w:val="es-ES"/>
        </w:rPr>
        <w:t xml:space="preserve"> </w:t>
      </w:r>
      <w:r w:rsidRPr="0078039C">
        <w:rPr>
          <w:lang w:val="es-ES"/>
        </w:rPr>
        <w:t xml:space="preserve">mediante la adquisición </w:t>
      </w:r>
      <w:proofErr w:type="spellStart"/>
      <w:r w:rsidRPr="0078039C">
        <w:rPr>
          <w:lang w:val="es-ES"/>
        </w:rPr>
        <w:t>hy</w:t>
      </w:r>
      <w:proofErr w:type="spellEnd"/>
      <w:r w:rsidRPr="0078039C">
        <w:rPr>
          <w:lang w:val="es-ES"/>
        </w:rPr>
        <w:t xml:space="preserve"> transferencia de dos puestos de demostración del</w:t>
      </w:r>
      <w:r w:rsidR="00D7629A" w:rsidRPr="0078039C">
        <w:rPr>
          <w:lang w:val="es-ES"/>
        </w:rPr>
        <w:t> </w:t>
      </w:r>
      <w:r w:rsidR="007A6564" w:rsidRPr="0078039C">
        <w:rPr>
          <w:lang w:val="es-ES"/>
        </w:rPr>
        <w:t>CO</w:t>
      </w:r>
      <w:r w:rsidR="007A6564" w:rsidRPr="0078039C">
        <w:rPr>
          <w:vertAlign w:val="subscript"/>
          <w:lang w:val="es-ES"/>
        </w:rPr>
        <w:t>2</w:t>
      </w:r>
      <w:r w:rsidR="004B2997" w:rsidRPr="0078039C">
        <w:rPr>
          <w:lang w:val="es-ES"/>
        </w:rPr>
        <w:t xml:space="preserve">, </w:t>
      </w:r>
      <w:r w:rsidRPr="0078039C">
        <w:rPr>
          <w:lang w:val="es-ES"/>
        </w:rPr>
        <w:t>dos puestos de demostración de hidrocarbonos</w:t>
      </w:r>
      <w:r w:rsidR="007A6564" w:rsidRPr="0078039C">
        <w:rPr>
          <w:lang w:val="es-ES"/>
        </w:rPr>
        <w:t xml:space="preserve">, </w:t>
      </w:r>
      <w:r w:rsidRPr="0078039C">
        <w:rPr>
          <w:lang w:val="es-ES"/>
        </w:rPr>
        <w:t>y otros equipos y juegos de herr</w:t>
      </w:r>
      <w:r w:rsidR="0078039C">
        <w:rPr>
          <w:lang w:val="es-ES"/>
        </w:rPr>
        <w:t>amientas con fines de instrucció</w:t>
      </w:r>
      <w:r w:rsidRPr="0078039C">
        <w:rPr>
          <w:lang w:val="es-ES"/>
        </w:rPr>
        <w:t>n y simulación de diferentes tipos de</w:t>
      </w:r>
      <w:r w:rsidR="004B2997" w:rsidRPr="0078039C">
        <w:rPr>
          <w:lang w:val="es-ES"/>
        </w:rPr>
        <w:t xml:space="preserve"> </w:t>
      </w:r>
      <w:r w:rsidRPr="0078039C">
        <w:rPr>
          <w:lang w:val="es-ES"/>
        </w:rPr>
        <w:t xml:space="preserve">roturas de equipos e instalación y mantenimiento adecuados </w:t>
      </w:r>
      <w:r w:rsidR="00261A4E" w:rsidRPr="0078039C">
        <w:rPr>
          <w:lang w:val="es-ES"/>
        </w:rPr>
        <w:t>(65</w:t>
      </w:r>
      <w:r w:rsidRPr="0078039C">
        <w:rPr>
          <w:lang w:val="es-ES"/>
        </w:rPr>
        <w:t>.</w:t>
      </w:r>
      <w:r w:rsidR="00261A4E" w:rsidRPr="0078039C">
        <w:rPr>
          <w:lang w:val="es-ES"/>
        </w:rPr>
        <w:t>000</w:t>
      </w:r>
      <w:r w:rsidRPr="0078039C">
        <w:rPr>
          <w:lang w:val="es-ES"/>
        </w:rPr>
        <w:t xml:space="preserve"> $ EUA</w:t>
      </w:r>
      <w:r w:rsidR="00261A4E" w:rsidRPr="0078039C">
        <w:rPr>
          <w:lang w:val="es-ES"/>
        </w:rPr>
        <w:t>);</w:t>
      </w:r>
      <w:r w:rsidR="007A6564" w:rsidRPr="0078039C">
        <w:rPr>
          <w:lang w:val="es-ES"/>
        </w:rPr>
        <w:t xml:space="preserve"> </w:t>
      </w:r>
    </w:p>
    <w:p w14:paraId="6C9D1811" w14:textId="082305D7" w:rsidR="0078039C" w:rsidRDefault="007F0403" w:rsidP="00F048A9">
      <w:pPr>
        <w:pStyle w:val="Heading2"/>
        <w:keepNext/>
        <w:keepLines/>
        <w:ind w:left="1440"/>
        <w:rPr>
          <w:lang w:val="es-ES"/>
        </w:rPr>
      </w:pPr>
      <w:r w:rsidRPr="0078039C">
        <w:rPr>
          <w:lang w:val="es-ES"/>
        </w:rPr>
        <w:t xml:space="preserve">Adquisición de </w:t>
      </w:r>
      <w:r w:rsidR="007A6564" w:rsidRPr="0078039C">
        <w:rPr>
          <w:lang w:val="es-ES"/>
        </w:rPr>
        <w:t xml:space="preserve">100 </w:t>
      </w:r>
      <w:r w:rsidRPr="0078039C">
        <w:rPr>
          <w:lang w:val="es-ES"/>
        </w:rPr>
        <w:t>juegos de herramientas y equipos</w:t>
      </w:r>
      <w:r w:rsidR="003560FD" w:rsidRPr="00DB24E5">
        <w:rPr>
          <w:rStyle w:val="FootnoteReference"/>
          <w:lang w:val="es-ES"/>
        </w:rPr>
        <w:footnoteReference w:id="7"/>
      </w:r>
      <w:r w:rsidR="001E5E67" w:rsidRPr="0078039C">
        <w:rPr>
          <w:lang w:val="es-ES"/>
        </w:rPr>
        <w:t xml:space="preserve"> </w:t>
      </w:r>
      <w:r w:rsidRPr="0078039C">
        <w:rPr>
          <w:lang w:val="es-ES"/>
        </w:rPr>
        <w:t xml:space="preserve">para talleres y técnicos en gestión del </w:t>
      </w:r>
      <w:r w:rsidR="009F2ECC" w:rsidRPr="0078039C">
        <w:rPr>
          <w:lang w:val="es-ES"/>
        </w:rPr>
        <w:t>HCFC</w:t>
      </w:r>
      <w:r w:rsidR="003560FD" w:rsidRPr="0078039C">
        <w:rPr>
          <w:lang w:val="es-ES"/>
        </w:rPr>
        <w:noBreakHyphen/>
      </w:r>
      <w:r w:rsidR="009F2ECC" w:rsidRPr="0078039C">
        <w:rPr>
          <w:lang w:val="es-ES"/>
        </w:rPr>
        <w:t xml:space="preserve">22 </w:t>
      </w:r>
      <w:r w:rsidRPr="0078039C">
        <w:rPr>
          <w:lang w:val="es-ES"/>
        </w:rPr>
        <w:t>y los refrigerantes alternativos</w:t>
      </w:r>
      <w:r w:rsidR="00C64DCA" w:rsidRPr="0078039C">
        <w:rPr>
          <w:lang w:val="es-ES"/>
        </w:rPr>
        <w:t xml:space="preserve">. </w:t>
      </w:r>
      <w:r w:rsidRPr="0078039C">
        <w:rPr>
          <w:lang w:val="es-ES"/>
        </w:rPr>
        <w:t xml:space="preserve">Antes de la adquisición de los equipos propuestos se llevará a cabo una evaluación actualizada exacta de las necesidades </w:t>
      </w:r>
      <w:r w:rsidR="007A6564" w:rsidRPr="0078039C">
        <w:rPr>
          <w:lang w:val="es-ES"/>
        </w:rPr>
        <w:t>(</w:t>
      </w:r>
      <w:r w:rsidR="00261A4E" w:rsidRPr="0078039C">
        <w:rPr>
          <w:lang w:val="es-ES"/>
        </w:rPr>
        <w:t>100</w:t>
      </w:r>
      <w:r w:rsidRPr="0078039C">
        <w:rPr>
          <w:lang w:val="es-ES"/>
        </w:rPr>
        <w:t>.</w:t>
      </w:r>
      <w:r w:rsidR="00BF6491" w:rsidRPr="0078039C">
        <w:rPr>
          <w:lang w:val="es-ES"/>
        </w:rPr>
        <w:t>000</w:t>
      </w:r>
      <w:r w:rsidR="005F47AD">
        <w:rPr>
          <w:lang w:val="es-ES"/>
        </w:rPr>
        <w:t> </w:t>
      </w:r>
      <w:r w:rsidRPr="0078039C">
        <w:rPr>
          <w:lang w:val="es-ES"/>
        </w:rPr>
        <w:t>$ EUA</w:t>
      </w:r>
      <w:r w:rsidR="007A6564" w:rsidRPr="0078039C">
        <w:rPr>
          <w:lang w:val="es-ES"/>
        </w:rPr>
        <w:t>);</w:t>
      </w:r>
      <w:r w:rsidR="00291487" w:rsidRPr="0078039C">
        <w:rPr>
          <w:lang w:val="es-ES"/>
        </w:rPr>
        <w:t xml:space="preserve"> </w:t>
      </w:r>
    </w:p>
    <w:p w14:paraId="626862B5" w14:textId="77777777" w:rsidR="0078039C" w:rsidRDefault="007F0403" w:rsidP="0078039C">
      <w:pPr>
        <w:pStyle w:val="Heading2"/>
        <w:ind w:left="1440"/>
        <w:rPr>
          <w:lang w:val="es-ES"/>
        </w:rPr>
      </w:pPr>
      <w:r w:rsidRPr="0078039C">
        <w:rPr>
          <w:lang w:val="es-ES"/>
        </w:rPr>
        <w:t>Adquisición de un nuevo equipo de regeneración de ref</w:t>
      </w:r>
      <w:r w:rsidR="0078039C">
        <w:rPr>
          <w:lang w:val="es-ES"/>
        </w:rPr>
        <w:t>rigerantes y de equipo auxiliar</w:t>
      </w:r>
      <w:r w:rsidRPr="0078039C">
        <w:rPr>
          <w:lang w:val="es-ES"/>
        </w:rPr>
        <w:t xml:space="preserve"> </w:t>
      </w:r>
      <w:r w:rsidR="0078039C">
        <w:rPr>
          <w:lang w:val="es-ES"/>
        </w:rPr>
        <w:t xml:space="preserve">para </w:t>
      </w:r>
      <w:r w:rsidR="0078039C">
        <w:rPr>
          <w:lang w:val="es-ES"/>
        </w:rPr>
        <w:lastRenderedPageBreak/>
        <w:t>continuar</w:t>
      </w:r>
      <w:r w:rsidRPr="0078039C">
        <w:rPr>
          <w:lang w:val="es-ES"/>
        </w:rPr>
        <w:t xml:space="preserve"> </w:t>
      </w:r>
      <w:r w:rsidR="0078039C">
        <w:rPr>
          <w:lang w:val="es-ES"/>
        </w:rPr>
        <w:t xml:space="preserve">la aplicación del </w:t>
      </w:r>
      <w:r w:rsidRPr="0078039C">
        <w:rPr>
          <w:lang w:val="es-ES"/>
        </w:rPr>
        <w:t>programa de reutilización y supervisión de la calidad del refrigerante</w:t>
      </w:r>
      <w:r w:rsidR="007A6564" w:rsidRPr="0078039C">
        <w:rPr>
          <w:lang w:val="es-ES"/>
        </w:rPr>
        <w:t xml:space="preserve"> (30</w:t>
      </w:r>
      <w:r w:rsidRPr="0078039C">
        <w:rPr>
          <w:lang w:val="es-ES"/>
        </w:rPr>
        <w:t>.</w:t>
      </w:r>
      <w:r w:rsidR="007A6564" w:rsidRPr="0078039C">
        <w:rPr>
          <w:lang w:val="es-ES"/>
        </w:rPr>
        <w:t>000</w:t>
      </w:r>
      <w:r w:rsidRPr="0078039C">
        <w:rPr>
          <w:lang w:val="es-ES"/>
        </w:rPr>
        <w:t xml:space="preserve"> $ EUA</w:t>
      </w:r>
      <w:r w:rsidR="007A6564" w:rsidRPr="0078039C">
        <w:rPr>
          <w:lang w:val="es-ES"/>
        </w:rPr>
        <w:t xml:space="preserve">); </w:t>
      </w:r>
      <w:r w:rsidRPr="0078039C">
        <w:rPr>
          <w:lang w:val="es-ES"/>
        </w:rPr>
        <w:t>y</w:t>
      </w:r>
    </w:p>
    <w:p w14:paraId="676D9879" w14:textId="599FA7E6" w:rsidR="00291487" w:rsidRPr="0078039C" w:rsidRDefault="007F0403" w:rsidP="0078039C">
      <w:pPr>
        <w:pStyle w:val="Heading2"/>
        <w:ind w:left="1440"/>
        <w:rPr>
          <w:lang w:val="es-ES"/>
        </w:rPr>
      </w:pPr>
      <w:r w:rsidRPr="0078039C">
        <w:rPr>
          <w:lang w:val="es-ES"/>
        </w:rPr>
        <w:t>Apoyo a la asociación de refrigeración y aire acondicionado y perfeccionamiento del código de buenas prácticas</w:t>
      </w:r>
      <w:r w:rsidR="007A6564" w:rsidRPr="0078039C">
        <w:rPr>
          <w:lang w:val="es-ES"/>
        </w:rPr>
        <w:t>, inclu</w:t>
      </w:r>
      <w:r w:rsidRPr="0078039C">
        <w:rPr>
          <w:lang w:val="es-ES"/>
        </w:rPr>
        <w:t>idas las prácticas en condiciones seguras relacionadas con alternativas con bajo PCA</w:t>
      </w:r>
      <w:r w:rsidR="007A6564" w:rsidRPr="0078039C">
        <w:rPr>
          <w:lang w:val="es-ES"/>
        </w:rPr>
        <w:t xml:space="preserve"> (15</w:t>
      </w:r>
      <w:r w:rsidRPr="0078039C">
        <w:rPr>
          <w:lang w:val="es-ES"/>
        </w:rPr>
        <w:t>.</w:t>
      </w:r>
      <w:r w:rsidR="007A6564" w:rsidRPr="0078039C">
        <w:rPr>
          <w:lang w:val="es-ES"/>
        </w:rPr>
        <w:t>000</w:t>
      </w:r>
      <w:r w:rsidRPr="0078039C">
        <w:rPr>
          <w:lang w:val="es-ES"/>
        </w:rPr>
        <w:t xml:space="preserve"> $ EUA</w:t>
      </w:r>
      <w:r w:rsidR="007A6564" w:rsidRPr="0078039C">
        <w:rPr>
          <w:lang w:val="es-ES"/>
        </w:rPr>
        <w:t>).</w:t>
      </w:r>
      <w:r w:rsidR="00291487" w:rsidRPr="0078039C">
        <w:rPr>
          <w:lang w:val="es-ES"/>
        </w:rPr>
        <w:t xml:space="preserve"> </w:t>
      </w:r>
    </w:p>
    <w:p w14:paraId="60D19B3A" w14:textId="0994FDBA" w:rsidR="00EA6F33" w:rsidRPr="00DB24E5" w:rsidRDefault="004726F0" w:rsidP="00291487">
      <w:pPr>
        <w:rPr>
          <w:i/>
          <w:lang w:val="es-ES"/>
        </w:rPr>
      </w:pPr>
      <w:r>
        <w:rPr>
          <w:i/>
          <w:lang w:val="es-ES"/>
        </w:rPr>
        <w:t>Ejecución y supervisión del proyecto</w:t>
      </w:r>
    </w:p>
    <w:p w14:paraId="14B62DF0" w14:textId="77777777" w:rsidR="00291487" w:rsidRPr="00DB24E5" w:rsidRDefault="00291487" w:rsidP="00291487">
      <w:pPr>
        <w:rPr>
          <w:i/>
          <w:lang w:val="es-ES"/>
        </w:rPr>
      </w:pPr>
    </w:p>
    <w:p w14:paraId="584C6F96" w14:textId="213F8E60" w:rsidR="007A6564" w:rsidRPr="008701F9" w:rsidRDefault="008701F9" w:rsidP="00EA6F33">
      <w:pPr>
        <w:pStyle w:val="Heading1"/>
        <w:tabs>
          <w:tab w:val="clear" w:pos="0"/>
          <w:tab w:val="clear" w:pos="1985"/>
        </w:tabs>
        <w:rPr>
          <w:lang w:val="es-ES"/>
        </w:rPr>
      </w:pPr>
      <w:r w:rsidRPr="008701F9">
        <w:rPr>
          <w:lang w:val="es-ES"/>
        </w:rPr>
        <w:t xml:space="preserve">El sistema establecido durante la </w:t>
      </w:r>
      <w:r w:rsidR="008C669C" w:rsidRPr="008701F9">
        <w:rPr>
          <w:lang w:val="es-ES"/>
        </w:rPr>
        <w:t>etapa</w:t>
      </w:r>
      <w:r w:rsidR="00306EAB" w:rsidRPr="008701F9">
        <w:rPr>
          <w:lang w:val="es-ES"/>
        </w:rPr>
        <w:t> </w:t>
      </w:r>
      <w:r w:rsidR="007A6564" w:rsidRPr="008701F9">
        <w:rPr>
          <w:lang w:val="es-ES"/>
        </w:rPr>
        <w:t xml:space="preserve">I </w:t>
      </w:r>
      <w:r w:rsidR="00135B60" w:rsidRPr="008701F9">
        <w:rPr>
          <w:lang w:val="es-ES"/>
        </w:rPr>
        <w:t>del plan de gestión de eliminación de los HCFC</w:t>
      </w:r>
      <w:r w:rsidR="007A6564" w:rsidRPr="008701F9">
        <w:rPr>
          <w:lang w:val="es-ES"/>
        </w:rPr>
        <w:t xml:space="preserve"> </w:t>
      </w:r>
      <w:r>
        <w:rPr>
          <w:lang w:val="es-ES"/>
        </w:rPr>
        <w:t xml:space="preserve">se mantendrá en la </w:t>
      </w:r>
      <w:r w:rsidR="008C669C" w:rsidRPr="008701F9">
        <w:rPr>
          <w:lang w:val="es-ES"/>
        </w:rPr>
        <w:t>etapa</w:t>
      </w:r>
      <w:r w:rsidR="00306EAB" w:rsidRPr="008701F9">
        <w:rPr>
          <w:lang w:val="es-ES"/>
        </w:rPr>
        <w:t> </w:t>
      </w:r>
      <w:r w:rsidR="007A6564" w:rsidRPr="008701F9">
        <w:rPr>
          <w:lang w:val="es-ES"/>
        </w:rPr>
        <w:t>II</w:t>
      </w:r>
      <w:r w:rsidR="00C21F2D" w:rsidRPr="008701F9">
        <w:rPr>
          <w:lang w:val="es-ES"/>
        </w:rPr>
        <w:t xml:space="preserve">, </w:t>
      </w:r>
      <w:r>
        <w:rPr>
          <w:lang w:val="es-ES"/>
        </w:rPr>
        <w:t xml:space="preserve">en que la dependencia del ozono y la </w:t>
      </w:r>
      <w:r w:rsidR="0088461E" w:rsidRPr="008701F9">
        <w:rPr>
          <w:lang w:val="es-ES"/>
        </w:rPr>
        <w:t>ONUDI</w:t>
      </w:r>
      <w:r w:rsidR="00C21F2D" w:rsidRPr="008701F9">
        <w:rPr>
          <w:lang w:val="es-ES"/>
        </w:rPr>
        <w:t xml:space="preserve"> </w:t>
      </w:r>
      <w:r>
        <w:rPr>
          <w:lang w:val="es-ES"/>
        </w:rPr>
        <w:t>supervisarán los progresos realizados con las actividades</w:t>
      </w:r>
      <w:r w:rsidR="007A6564" w:rsidRPr="008701F9">
        <w:rPr>
          <w:lang w:val="es-ES"/>
        </w:rPr>
        <w:t xml:space="preserve">, </w:t>
      </w:r>
      <w:r>
        <w:rPr>
          <w:lang w:val="es-ES"/>
        </w:rPr>
        <w:t>informarán sobre los progresos</w:t>
      </w:r>
      <w:r w:rsidR="007A6564" w:rsidRPr="008701F9">
        <w:rPr>
          <w:lang w:val="es-ES"/>
        </w:rPr>
        <w:t xml:space="preserve">, </w:t>
      </w:r>
      <w:r>
        <w:rPr>
          <w:lang w:val="es-ES"/>
        </w:rPr>
        <w:t>y colabor</w:t>
      </w:r>
      <w:r w:rsidR="007A6564" w:rsidRPr="008701F9">
        <w:rPr>
          <w:lang w:val="es-ES"/>
        </w:rPr>
        <w:t>a</w:t>
      </w:r>
      <w:r>
        <w:rPr>
          <w:lang w:val="es-ES"/>
        </w:rPr>
        <w:t xml:space="preserve">rán con los interesados en la eliminación de los </w:t>
      </w:r>
      <w:r w:rsidR="007A6564" w:rsidRPr="008701F9">
        <w:rPr>
          <w:lang w:val="es-ES"/>
        </w:rPr>
        <w:t xml:space="preserve">HCFC. </w:t>
      </w:r>
      <w:r>
        <w:rPr>
          <w:lang w:val="es-ES"/>
        </w:rPr>
        <w:t>El costo de esas actividades asciende a</w:t>
      </w:r>
      <w:r w:rsidR="007A6564" w:rsidRPr="008701F9">
        <w:rPr>
          <w:lang w:val="es-ES"/>
        </w:rPr>
        <w:t xml:space="preserve"> 25</w:t>
      </w:r>
      <w:r>
        <w:rPr>
          <w:lang w:val="es-ES"/>
        </w:rPr>
        <w:t>.</w:t>
      </w:r>
      <w:r w:rsidR="007A6564" w:rsidRPr="008701F9">
        <w:rPr>
          <w:lang w:val="es-ES"/>
        </w:rPr>
        <w:t xml:space="preserve">000 </w:t>
      </w:r>
      <w:r>
        <w:rPr>
          <w:lang w:val="es-ES"/>
        </w:rPr>
        <w:t>$ EUA durante la</w:t>
      </w:r>
      <w:r w:rsidR="007A6564" w:rsidRPr="008701F9">
        <w:rPr>
          <w:lang w:val="es-ES"/>
        </w:rPr>
        <w:t xml:space="preserve"> </w:t>
      </w:r>
      <w:r w:rsidR="008C669C" w:rsidRPr="008701F9">
        <w:rPr>
          <w:lang w:val="es-ES"/>
        </w:rPr>
        <w:t>etapa</w:t>
      </w:r>
      <w:r w:rsidR="00306EAB" w:rsidRPr="008701F9">
        <w:rPr>
          <w:lang w:val="es-ES"/>
        </w:rPr>
        <w:t> </w:t>
      </w:r>
      <w:r w:rsidR="007A6564" w:rsidRPr="008701F9">
        <w:rPr>
          <w:lang w:val="es-ES"/>
        </w:rPr>
        <w:t>II.</w:t>
      </w:r>
    </w:p>
    <w:p w14:paraId="0761A7EF" w14:textId="18D42924" w:rsidR="007A6564" w:rsidRPr="00DB24E5" w:rsidRDefault="003A56DA" w:rsidP="007A6564">
      <w:pPr>
        <w:spacing w:after="240"/>
        <w:rPr>
          <w:i/>
          <w:lang w:val="es-ES"/>
        </w:rPr>
      </w:pPr>
      <w:r w:rsidRPr="00DB24E5">
        <w:rPr>
          <w:i/>
          <w:lang w:val="es-ES"/>
        </w:rPr>
        <w:t>Fortalecimiento institucional</w:t>
      </w:r>
    </w:p>
    <w:p w14:paraId="48743884" w14:textId="71714F3B" w:rsidR="007A6564" w:rsidRPr="005D7ECA" w:rsidRDefault="00AB0D46" w:rsidP="00D27153">
      <w:pPr>
        <w:pStyle w:val="Heading1"/>
        <w:tabs>
          <w:tab w:val="clear" w:pos="0"/>
          <w:tab w:val="clear" w:pos="1985"/>
        </w:tabs>
        <w:rPr>
          <w:lang w:val="es-ES"/>
        </w:rPr>
      </w:pPr>
      <w:r>
        <w:rPr>
          <w:lang w:val="es-ES"/>
        </w:rPr>
        <w:t>El</w:t>
      </w:r>
      <w:r w:rsidR="007A6564" w:rsidRPr="00DB24E5">
        <w:rPr>
          <w:lang w:val="es-ES"/>
        </w:rPr>
        <w:t xml:space="preserve"> </w:t>
      </w:r>
      <w:r w:rsidR="00ED60EE" w:rsidRPr="00DB24E5">
        <w:rPr>
          <w:lang w:val="es-ES"/>
        </w:rPr>
        <w:t>Gobierno de</w:t>
      </w:r>
      <w:r w:rsidR="007A6564" w:rsidRPr="00DB24E5">
        <w:rPr>
          <w:lang w:val="es-ES"/>
        </w:rPr>
        <w:t xml:space="preserve"> Montenegro </w:t>
      </w:r>
      <w:r w:rsidR="00181FE7" w:rsidRPr="00DB24E5">
        <w:rPr>
          <w:lang w:val="es-ES"/>
        </w:rPr>
        <w:t>decid</w:t>
      </w:r>
      <w:r>
        <w:rPr>
          <w:lang w:val="es-ES"/>
        </w:rPr>
        <w:t xml:space="preserve">ió incluir el fortalecimiento institucional como parte de la </w:t>
      </w:r>
      <w:r w:rsidR="008C669C" w:rsidRPr="00AB0D46">
        <w:rPr>
          <w:lang w:val="es-ES"/>
        </w:rPr>
        <w:t>etapa</w:t>
      </w:r>
      <w:r w:rsidR="00306EAB" w:rsidRPr="00AB0D46">
        <w:rPr>
          <w:lang w:val="es-ES"/>
        </w:rPr>
        <w:t> </w:t>
      </w:r>
      <w:r w:rsidR="007A6564" w:rsidRPr="00AB0D46">
        <w:rPr>
          <w:lang w:val="es-ES"/>
        </w:rPr>
        <w:t xml:space="preserve">II </w:t>
      </w:r>
      <w:r w:rsidR="00135B60" w:rsidRPr="00AB0D46">
        <w:rPr>
          <w:lang w:val="es-ES"/>
        </w:rPr>
        <w:t>del plan de gestión de eliminación de los HCFC</w:t>
      </w:r>
      <w:r w:rsidR="007A6564" w:rsidRPr="00AB0D46">
        <w:rPr>
          <w:lang w:val="es-ES"/>
        </w:rPr>
        <w:t>.</w:t>
      </w:r>
      <w:r w:rsidR="00A6655A" w:rsidRPr="00AB0D46">
        <w:rPr>
          <w:lang w:val="es-ES"/>
        </w:rPr>
        <w:t xml:space="preserve"> </w:t>
      </w:r>
      <w:r w:rsidRPr="00AB0D46">
        <w:rPr>
          <w:lang w:val="es-ES"/>
        </w:rPr>
        <w:t>Entre las responsabilidades de la dependencia del ozono figuran</w:t>
      </w:r>
      <w:r w:rsidR="007A6564" w:rsidRPr="00AB0D46">
        <w:rPr>
          <w:lang w:val="es-ES"/>
        </w:rPr>
        <w:t xml:space="preserve">: </w:t>
      </w:r>
      <w:r w:rsidR="005D7ECA">
        <w:rPr>
          <w:lang w:val="es-ES"/>
        </w:rPr>
        <w:t xml:space="preserve">emisión de permisos de importación y exportación de </w:t>
      </w:r>
      <w:r w:rsidR="007A6564" w:rsidRPr="00AB0D46">
        <w:rPr>
          <w:lang w:val="es-ES" w:eastAsia="sr-Latn-ME"/>
        </w:rPr>
        <w:t xml:space="preserve">HCFC, </w:t>
      </w:r>
      <w:r w:rsidR="00181FE7" w:rsidRPr="00AB0D46">
        <w:rPr>
          <w:lang w:val="es-ES" w:eastAsia="sr-Latn-ME"/>
        </w:rPr>
        <w:t>prop</w:t>
      </w:r>
      <w:r>
        <w:rPr>
          <w:lang w:val="es-ES" w:eastAsia="sr-Latn-ME"/>
        </w:rPr>
        <w:t xml:space="preserve">uesta, preparación e introducción de medidas legislativas y administrativas en apoyo de la </w:t>
      </w:r>
      <w:r w:rsidR="008701F9" w:rsidRPr="00AB0D46">
        <w:rPr>
          <w:lang w:val="es-ES" w:eastAsia="sr-Latn-ME"/>
        </w:rPr>
        <w:t>e</w:t>
      </w:r>
      <w:r w:rsidR="008C669C" w:rsidRPr="00AB0D46">
        <w:rPr>
          <w:lang w:val="es-ES" w:eastAsia="sr-Latn-ME"/>
        </w:rPr>
        <w:t>liminación de SAO</w:t>
      </w:r>
      <w:r w:rsidR="007A6564" w:rsidRPr="00AB0D46">
        <w:rPr>
          <w:lang w:val="es-ES" w:eastAsia="sr-Latn-ME"/>
        </w:rPr>
        <w:t xml:space="preserve">, </w:t>
      </w:r>
      <w:r>
        <w:rPr>
          <w:lang w:val="es-ES" w:eastAsia="sr-Latn-ME"/>
        </w:rPr>
        <w:t xml:space="preserve">supervisión de la aplicación de la </w:t>
      </w:r>
      <w:r w:rsidR="005D7ECA">
        <w:rPr>
          <w:lang w:val="es-ES" w:eastAsia="sr-Latn-ME"/>
        </w:rPr>
        <w:t>estrategia de eliminac</w:t>
      </w:r>
      <w:r>
        <w:rPr>
          <w:lang w:val="es-ES" w:eastAsia="sr-Latn-ME"/>
        </w:rPr>
        <w:t xml:space="preserve">ión de los </w:t>
      </w:r>
      <w:r w:rsidR="00181FE7" w:rsidRPr="00AB0D46">
        <w:rPr>
          <w:lang w:val="es-ES" w:eastAsia="sr-Latn-ME"/>
        </w:rPr>
        <w:t xml:space="preserve">HCFC </w:t>
      </w:r>
      <w:r>
        <w:rPr>
          <w:lang w:val="es-ES" w:eastAsia="sr-Latn-ME"/>
        </w:rPr>
        <w:t>y actividades que garanticen</w:t>
      </w:r>
      <w:r w:rsidR="007A6564" w:rsidRPr="00AB0D46">
        <w:rPr>
          <w:lang w:val="es-ES" w:eastAsia="sr-Latn-ME"/>
        </w:rPr>
        <w:t xml:space="preserve"> </w:t>
      </w:r>
      <w:r>
        <w:rPr>
          <w:lang w:val="es-ES" w:eastAsia="sr-Latn-ME"/>
        </w:rPr>
        <w:t xml:space="preserve">el </w:t>
      </w:r>
      <w:r w:rsidR="005D7ECA">
        <w:rPr>
          <w:lang w:val="es-ES" w:eastAsia="sr-Latn-ME"/>
        </w:rPr>
        <w:t xml:space="preserve">enlace con los </w:t>
      </w:r>
      <w:r>
        <w:rPr>
          <w:lang w:val="es-ES" w:eastAsia="sr-Latn-ME"/>
        </w:rPr>
        <w:t xml:space="preserve">organismos gubernamentales que participan en la eliminación </w:t>
      </w:r>
      <w:r w:rsidR="008C669C" w:rsidRPr="00AB0D46">
        <w:rPr>
          <w:lang w:val="es-ES" w:eastAsia="sr-Latn-ME"/>
        </w:rPr>
        <w:t>de SAO</w:t>
      </w:r>
      <w:r w:rsidR="007A6564" w:rsidRPr="00AB0D46">
        <w:rPr>
          <w:lang w:val="es-ES" w:eastAsia="sr-Latn-ME"/>
        </w:rPr>
        <w:t xml:space="preserve">, </w:t>
      </w:r>
      <w:r w:rsidRPr="00AB0D46">
        <w:rPr>
          <w:lang w:val="es-ES" w:eastAsia="sr-Latn-ME"/>
        </w:rPr>
        <w:t xml:space="preserve">notificación del consumo de las sustancias controladas a la Secretaría del Fondo </w:t>
      </w:r>
      <w:r w:rsidR="007A6564" w:rsidRPr="00AB0D46">
        <w:rPr>
          <w:lang w:val="es-ES" w:eastAsia="ru-RU"/>
        </w:rPr>
        <w:t xml:space="preserve">Multilateral </w:t>
      </w:r>
      <w:r w:rsidR="00181FE7" w:rsidRPr="00AB0D46">
        <w:rPr>
          <w:lang w:val="es-ES" w:eastAsia="ru-RU"/>
        </w:rPr>
        <w:t>(</w:t>
      </w:r>
      <w:r w:rsidRPr="00AB0D46">
        <w:rPr>
          <w:lang w:val="es-ES" w:eastAsia="ru-RU"/>
        </w:rPr>
        <w:t>informe de los datos del programa de país</w:t>
      </w:r>
      <w:r w:rsidR="00181FE7" w:rsidRPr="00AB0D46">
        <w:rPr>
          <w:lang w:val="es-ES" w:eastAsia="ru-RU"/>
        </w:rPr>
        <w:t xml:space="preserve">) </w:t>
      </w:r>
      <w:r w:rsidRPr="00AB0D46">
        <w:rPr>
          <w:lang w:val="es-ES" w:eastAsia="ru-RU"/>
        </w:rPr>
        <w:t xml:space="preserve">y la Secretaría del </w:t>
      </w:r>
      <w:r w:rsidR="007A6564" w:rsidRPr="00AB0D46">
        <w:rPr>
          <w:lang w:val="es-ES" w:eastAsia="ru-RU"/>
        </w:rPr>
        <w:t>Ozon</w:t>
      </w:r>
      <w:r w:rsidRPr="00AB0D46">
        <w:rPr>
          <w:lang w:val="es-ES" w:eastAsia="ru-RU"/>
        </w:rPr>
        <w:t>o</w:t>
      </w:r>
      <w:r w:rsidR="007A6564" w:rsidRPr="00AB0D46">
        <w:rPr>
          <w:lang w:val="es-ES" w:eastAsia="ru-RU"/>
        </w:rPr>
        <w:t xml:space="preserve"> (</w:t>
      </w:r>
      <w:r w:rsidRPr="00AB0D46">
        <w:rPr>
          <w:lang w:val="es-ES" w:eastAsia="ru-RU"/>
        </w:rPr>
        <w:t xml:space="preserve">artículo </w:t>
      </w:r>
      <w:r w:rsidR="007A6564" w:rsidRPr="00AB0D46">
        <w:rPr>
          <w:lang w:val="es-ES" w:eastAsia="ru-RU"/>
        </w:rPr>
        <w:t>7</w:t>
      </w:r>
      <w:r w:rsidR="00181FE7" w:rsidRPr="00AB0D46">
        <w:rPr>
          <w:lang w:val="es-ES" w:eastAsia="ru-RU"/>
        </w:rPr>
        <w:t xml:space="preserve"> </w:t>
      </w:r>
      <w:r w:rsidRPr="00AB0D46">
        <w:rPr>
          <w:lang w:val="es-ES" w:eastAsia="ru-RU"/>
        </w:rPr>
        <w:t>del Protocolo</w:t>
      </w:r>
      <w:r w:rsidR="007A6564" w:rsidRPr="00AB0D46">
        <w:rPr>
          <w:lang w:val="es-ES" w:eastAsia="ru-RU"/>
        </w:rPr>
        <w:t>), preven</w:t>
      </w:r>
      <w:r>
        <w:rPr>
          <w:lang w:val="es-ES" w:eastAsia="ru-RU"/>
        </w:rPr>
        <w:t>ción del posible comercio ilícito de sustancias controladas</w:t>
      </w:r>
      <w:r w:rsidR="007F4DD5" w:rsidRPr="00AB0D46">
        <w:rPr>
          <w:lang w:val="es-ES" w:eastAsia="ru-RU"/>
        </w:rPr>
        <w:t xml:space="preserve">, </w:t>
      </w:r>
      <w:r>
        <w:rPr>
          <w:lang w:val="es-ES"/>
        </w:rPr>
        <w:t>y</w:t>
      </w:r>
      <w:r w:rsidR="007A6564" w:rsidRPr="00AB0D46">
        <w:rPr>
          <w:lang w:val="es-ES"/>
        </w:rPr>
        <w:t xml:space="preserve"> </w:t>
      </w:r>
      <w:r>
        <w:rPr>
          <w:lang w:val="es-ES"/>
        </w:rPr>
        <w:t>actividades de sensibilización del público como la organización de seminarios y cursos técnicos, e impresión y distribución de folletos</w:t>
      </w:r>
      <w:r w:rsidR="007A6564" w:rsidRPr="00AB0D46">
        <w:rPr>
          <w:lang w:val="es-ES"/>
        </w:rPr>
        <w:t xml:space="preserve">. </w:t>
      </w:r>
      <w:r w:rsidR="005D7ECA">
        <w:rPr>
          <w:lang w:val="es-ES"/>
        </w:rPr>
        <w:t>Se solicita en total una financiación de 212.500 $ EUA para el fortalecimiento institucional</w:t>
      </w:r>
      <w:r w:rsidR="007A6564" w:rsidRPr="005D7ECA">
        <w:rPr>
          <w:lang w:val="es-ES"/>
        </w:rPr>
        <w:t>.</w:t>
      </w:r>
      <w:r w:rsidR="00A6655A" w:rsidRPr="005D7ECA">
        <w:rPr>
          <w:lang w:val="es-ES"/>
        </w:rPr>
        <w:t xml:space="preserve"> </w:t>
      </w:r>
    </w:p>
    <w:p w14:paraId="2DA8FEBD" w14:textId="5B57C55C" w:rsidR="007A6564" w:rsidRPr="00DB24E5" w:rsidRDefault="004726F0" w:rsidP="007A6564">
      <w:pPr>
        <w:rPr>
          <w:i/>
          <w:lang w:val="es-ES"/>
        </w:rPr>
      </w:pPr>
      <w:r>
        <w:rPr>
          <w:i/>
          <w:lang w:val="es-ES"/>
        </w:rPr>
        <w:t>Aplicación de la política de género</w:t>
      </w:r>
      <w:r w:rsidR="00D32A08" w:rsidRPr="00DB24E5">
        <w:rPr>
          <w:rStyle w:val="FootnoteReference"/>
          <w:i/>
          <w:lang w:val="es-ES"/>
        </w:rPr>
        <w:footnoteReference w:id="8"/>
      </w:r>
    </w:p>
    <w:p w14:paraId="474169E2" w14:textId="77777777" w:rsidR="007A6564" w:rsidRPr="00DB24E5" w:rsidRDefault="007A6564" w:rsidP="007A6564">
      <w:pPr>
        <w:pStyle w:val="Default"/>
        <w:jc w:val="both"/>
        <w:rPr>
          <w:color w:val="auto"/>
          <w:lang w:val="es-ES"/>
        </w:rPr>
      </w:pPr>
    </w:p>
    <w:p w14:paraId="3387D90C" w14:textId="0D42238C" w:rsidR="007A6564" w:rsidRPr="000064A9" w:rsidRDefault="00181FE7" w:rsidP="00CB6D18">
      <w:pPr>
        <w:pStyle w:val="Heading1"/>
        <w:tabs>
          <w:tab w:val="clear" w:pos="0"/>
          <w:tab w:val="clear" w:pos="1985"/>
        </w:tabs>
        <w:spacing w:after="120"/>
        <w:rPr>
          <w:lang w:val="es-ES"/>
        </w:rPr>
      </w:pPr>
      <w:r w:rsidRPr="007F0403">
        <w:rPr>
          <w:lang w:val="es-ES"/>
        </w:rPr>
        <w:t>Dur</w:t>
      </w:r>
      <w:r w:rsidR="007F0403" w:rsidRPr="007F0403">
        <w:rPr>
          <w:lang w:val="es-ES"/>
        </w:rPr>
        <w:t xml:space="preserve">ante la ejecución </w:t>
      </w:r>
      <w:r w:rsidR="00135B60" w:rsidRPr="007F0403">
        <w:rPr>
          <w:lang w:val="es-ES"/>
        </w:rPr>
        <w:t>del plan de gestión de eliminación de los HCFC</w:t>
      </w:r>
      <w:r w:rsidR="007F0403" w:rsidRPr="007F0403">
        <w:rPr>
          <w:lang w:val="es-ES"/>
        </w:rPr>
        <w:t xml:space="preserve"> se promoverá la participación de representantes </w:t>
      </w:r>
      <w:r w:rsidR="007F0403">
        <w:rPr>
          <w:lang w:val="es-ES"/>
        </w:rPr>
        <w:t>gubernamentales y de la industria con una representación equilibrada de géneros y se recopilarán datos específicos teniendo en cuenta el género</w:t>
      </w:r>
      <w:r w:rsidR="007A6564" w:rsidRPr="007F0403">
        <w:rPr>
          <w:lang w:val="es-ES"/>
        </w:rPr>
        <w:t xml:space="preserve">. </w:t>
      </w:r>
      <w:r w:rsidR="007F0403" w:rsidRPr="007F0403">
        <w:rPr>
          <w:lang w:val="es-ES"/>
        </w:rPr>
        <w:t>Se procurará asegurar que las expertas del sector privado y del gobierno tengan igualdad de oportunidades para participar en l</w:t>
      </w:r>
      <w:r w:rsidR="007F0403">
        <w:rPr>
          <w:lang w:val="es-ES"/>
        </w:rPr>
        <w:t>a</w:t>
      </w:r>
      <w:r w:rsidR="007F0403" w:rsidRPr="007F0403">
        <w:rPr>
          <w:lang w:val="es-ES"/>
        </w:rPr>
        <w:t xml:space="preserve"> realización de actividades, </w:t>
      </w:r>
      <w:r w:rsidR="007F0403">
        <w:rPr>
          <w:lang w:val="es-ES"/>
        </w:rPr>
        <w:t xml:space="preserve">incluso garantizando que tanto hombres como mujeres tengan igual acceso al equipo y a </w:t>
      </w:r>
      <w:proofErr w:type="gramStart"/>
      <w:r w:rsidR="007F0403">
        <w:rPr>
          <w:lang w:val="es-ES"/>
        </w:rPr>
        <w:t>los  materiales</w:t>
      </w:r>
      <w:proofErr w:type="gramEnd"/>
      <w:r w:rsidR="007F0403">
        <w:rPr>
          <w:lang w:val="es-ES"/>
        </w:rPr>
        <w:t xml:space="preserve"> </w:t>
      </w:r>
      <w:r w:rsidR="000064A9">
        <w:rPr>
          <w:lang w:val="es-ES"/>
        </w:rPr>
        <w:t>destinados a la capacitación y a los talles</w:t>
      </w:r>
      <w:r w:rsidR="007A6564" w:rsidRPr="007F0403">
        <w:rPr>
          <w:lang w:val="es-ES"/>
        </w:rPr>
        <w:t xml:space="preserve">, </w:t>
      </w:r>
      <w:r w:rsidR="000064A9">
        <w:rPr>
          <w:lang w:val="es-ES"/>
        </w:rPr>
        <w:t>y promoviendo a mujeres como instructoras en el sector de refrigeración y aire acondicionado</w:t>
      </w:r>
      <w:r w:rsidR="007A6564" w:rsidRPr="007F0403">
        <w:rPr>
          <w:lang w:val="es-ES"/>
        </w:rPr>
        <w:t xml:space="preserve">. </w:t>
      </w:r>
      <w:r w:rsidR="000064A9" w:rsidRPr="000064A9">
        <w:rPr>
          <w:lang w:val="es-ES"/>
        </w:rPr>
        <w:t>Las cuestiones de género se incluirán en los materiales de capacitaci</w:t>
      </w:r>
      <w:r w:rsidR="000064A9">
        <w:rPr>
          <w:lang w:val="es-ES"/>
        </w:rPr>
        <w:t>ón</w:t>
      </w:r>
      <w:r w:rsidR="007A6564" w:rsidRPr="000064A9">
        <w:rPr>
          <w:lang w:val="es-ES"/>
        </w:rPr>
        <w:t>.</w:t>
      </w:r>
      <w:r w:rsidRPr="000064A9">
        <w:rPr>
          <w:lang w:val="es-ES"/>
        </w:rPr>
        <w:t xml:space="preserve"> </w:t>
      </w:r>
      <w:r w:rsidR="000064A9" w:rsidRPr="000064A9">
        <w:rPr>
          <w:lang w:val="es-ES"/>
        </w:rPr>
        <w:t xml:space="preserve">Además, </w:t>
      </w:r>
      <w:r w:rsidR="000064A9">
        <w:rPr>
          <w:lang w:val="es-ES"/>
        </w:rPr>
        <w:t xml:space="preserve">la dependencia nacional del ozono en pleno, </w:t>
      </w:r>
      <w:r w:rsidR="00322ECA">
        <w:rPr>
          <w:lang w:val="es-ES"/>
        </w:rPr>
        <w:t xml:space="preserve">todos los expertos nacionales e internacionales que se contraten en la </w:t>
      </w:r>
      <w:r w:rsidR="008C669C" w:rsidRPr="000064A9">
        <w:rPr>
          <w:lang w:val="es-ES"/>
        </w:rPr>
        <w:t>etapa</w:t>
      </w:r>
      <w:r w:rsidRPr="000064A9">
        <w:rPr>
          <w:lang w:val="es-ES"/>
        </w:rPr>
        <w:t xml:space="preserve"> II </w:t>
      </w:r>
      <w:r w:rsidR="00135B60" w:rsidRPr="000064A9">
        <w:rPr>
          <w:lang w:val="es-ES"/>
        </w:rPr>
        <w:t>del plan de gestión de eliminación de los HCFC</w:t>
      </w:r>
      <w:r w:rsidRPr="000064A9">
        <w:rPr>
          <w:lang w:val="es-ES"/>
        </w:rPr>
        <w:t xml:space="preserve"> </w:t>
      </w:r>
      <w:r w:rsidR="00322ECA">
        <w:rPr>
          <w:lang w:val="es-ES"/>
        </w:rPr>
        <w:t>tendrán que completar satisfactoriamente el curso en línea</w:t>
      </w:r>
      <w:r w:rsidRPr="000064A9">
        <w:rPr>
          <w:lang w:val="es-ES"/>
        </w:rPr>
        <w:t xml:space="preserve"> “I </w:t>
      </w:r>
      <w:proofErr w:type="spellStart"/>
      <w:r w:rsidRPr="000064A9">
        <w:rPr>
          <w:lang w:val="es-ES"/>
        </w:rPr>
        <w:t>Know</w:t>
      </w:r>
      <w:proofErr w:type="spellEnd"/>
      <w:r w:rsidRPr="000064A9">
        <w:rPr>
          <w:lang w:val="es-ES"/>
        </w:rPr>
        <w:t xml:space="preserve"> </w:t>
      </w:r>
      <w:proofErr w:type="spellStart"/>
      <w:r w:rsidRPr="000064A9">
        <w:rPr>
          <w:lang w:val="es-ES"/>
        </w:rPr>
        <w:t>Gender</w:t>
      </w:r>
      <w:proofErr w:type="spellEnd"/>
      <w:r w:rsidRPr="000064A9">
        <w:rPr>
          <w:lang w:val="es-ES"/>
        </w:rPr>
        <w:t xml:space="preserve">” </w:t>
      </w:r>
      <w:r w:rsidR="00322ECA">
        <w:rPr>
          <w:lang w:val="es-ES"/>
        </w:rPr>
        <w:t>en el sitio de aprendizaje electrónico de ONU M</w:t>
      </w:r>
      <w:r w:rsidR="00322ECA" w:rsidRPr="00322ECA">
        <w:rPr>
          <w:sz w:val="24"/>
          <w:lang w:val="es-ES"/>
        </w:rPr>
        <w:t>ujeres</w:t>
      </w:r>
      <w:r w:rsidRPr="000064A9">
        <w:rPr>
          <w:lang w:val="es-ES"/>
        </w:rPr>
        <w:t>.</w:t>
      </w:r>
    </w:p>
    <w:p w14:paraId="402070C8" w14:textId="3BCA64C7" w:rsidR="007A6564" w:rsidRPr="00DB24E5" w:rsidRDefault="003A56DA" w:rsidP="00CB6D18">
      <w:pPr>
        <w:pStyle w:val="Heading1"/>
        <w:numPr>
          <w:ilvl w:val="0"/>
          <w:numId w:val="0"/>
        </w:numPr>
        <w:spacing w:after="120"/>
        <w:rPr>
          <w:u w:val="single"/>
          <w:lang w:val="es-ES"/>
        </w:rPr>
      </w:pPr>
      <w:r w:rsidRPr="00DB24E5">
        <w:rPr>
          <w:u w:val="single"/>
          <w:lang w:val="es-ES"/>
        </w:rPr>
        <w:t>Costo total de la etapa II del plan de gestión de eliminación de los HCFC</w:t>
      </w:r>
    </w:p>
    <w:p w14:paraId="379389D7" w14:textId="51FF4E1E" w:rsidR="007A6564" w:rsidRPr="00CB6D18" w:rsidRDefault="00322ECA" w:rsidP="00CB6D18">
      <w:pPr>
        <w:pStyle w:val="Heading1"/>
        <w:tabs>
          <w:tab w:val="clear" w:pos="0"/>
          <w:tab w:val="clear" w:pos="1985"/>
        </w:tabs>
        <w:spacing w:after="120"/>
        <w:rPr>
          <w:lang w:val="es-ES"/>
        </w:rPr>
      </w:pPr>
      <w:r>
        <w:rPr>
          <w:lang w:val="es-ES"/>
        </w:rPr>
        <w:t>El co</w:t>
      </w:r>
      <w:r w:rsidR="00CB6D18" w:rsidRPr="00CB6D18">
        <w:rPr>
          <w:lang w:val="es-ES"/>
        </w:rPr>
        <w:t xml:space="preserve">sto total de la </w:t>
      </w:r>
      <w:r w:rsidR="008C669C" w:rsidRPr="00CB6D18">
        <w:rPr>
          <w:lang w:val="es-ES"/>
        </w:rPr>
        <w:t>etapa</w:t>
      </w:r>
      <w:r w:rsidR="00306EAB" w:rsidRPr="00CB6D18">
        <w:rPr>
          <w:lang w:val="es-ES"/>
        </w:rPr>
        <w:t> </w:t>
      </w:r>
      <w:r w:rsidR="007A6564" w:rsidRPr="00CB6D18">
        <w:rPr>
          <w:lang w:val="es-ES"/>
        </w:rPr>
        <w:t xml:space="preserve">II </w:t>
      </w:r>
      <w:r w:rsidR="00135B60" w:rsidRPr="00CB6D18">
        <w:rPr>
          <w:lang w:val="es-ES"/>
        </w:rPr>
        <w:t>del plan de gestión de eliminación de los HCFC</w:t>
      </w:r>
      <w:r w:rsidR="007A6564" w:rsidRPr="00CB6D18">
        <w:rPr>
          <w:lang w:val="es-ES"/>
        </w:rPr>
        <w:t xml:space="preserve"> </w:t>
      </w:r>
      <w:r w:rsidR="00CB6D18" w:rsidRPr="00CB6D18">
        <w:rPr>
          <w:lang w:val="es-ES"/>
        </w:rPr>
        <w:t xml:space="preserve">para </w:t>
      </w:r>
      <w:r w:rsidR="007A6564" w:rsidRPr="00CB6D18">
        <w:rPr>
          <w:lang w:val="es-ES"/>
        </w:rPr>
        <w:t>Montenegro</w:t>
      </w:r>
      <w:r w:rsidR="00CB6D18">
        <w:rPr>
          <w:lang w:val="es-ES"/>
        </w:rPr>
        <w:t xml:space="preserve"> se ha estimado en </w:t>
      </w:r>
      <w:r w:rsidR="007A6564" w:rsidRPr="00CB6D18">
        <w:rPr>
          <w:lang w:val="es-ES"/>
        </w:rPr>
        <w:t>635</w:t>
      </w:r>
      <w:r w:rsidR="00CB6D18">
        <w:rPr>
          <w:lang w:val="es-ES"/>
        </w:rPr>
        <w:t>.</w:t>
      </w:r>
      <w:r w:rsidR="007A6564" w:rsidRPr="00CB6D18">
        <w:rPr>
          <w:lang w:val="es-ES"/>
        </w:rPr>
        <w:t>500</w:t>
      </w:r>
      <w:r w:rsidR="00044E8D" w:rsidRPr="00CB6D18">
        <w:rPr>
          <w:lang w:val="es-ES"/>
        </w:rPr>
        <w:t xml:space="preserve"> </w:t>
      </w:r>
      <w:r w:rsidR="00CB6D18">
        <w:rPr>
          <w:lang w:val="es-ES"/>
        </w:rPr>
        <w:t xml:space="preserve">$ EUA </w:t>
      </w:r>
      <w:r w:rsidR="00044E8D" w:rsidRPr="00CB6D18">
        <w:rPr>
          <w:lang w:val="es-ES"/>
        </w:rPr>
        <w:t>(</w:t>
      </w:r>
      <w:r w:rsidR="00CB6D18">
        <w:rPr>
          <w:lang w:val="es-ES"/>
        </w:rPr>
        <w:t>más gastos de apoyo al organismo</w:t>
      </w:r>
      <w:r w:rsidR="00044E8D" w:rsidRPr="00CB6D18">
        <w:rPr>
          <w:lang w:val="es-ES"/>
        </w:rPr>
        <w:t>)</w:t>
      </w:r>
      <w:r w:rsidR="001D6EAF" w:rsidRPr="00CB6D18">
        <w:rPr>
          <w:lang w:val="es-ES"/>
        </w:rPr>
        <w:t xml:space="preserve">, </w:t>
      </w:r>
      <w:r w:rsidR="00CB6D18">
        <w:rPr>
          <w:lang w:val="es-ES"/>
        </w:rPr>
        <w:t xml:space="preserve">según la solicitud original para lograr la reducción del </w:t>
      </w:r>
      <w:r w:rsidR="001D6EAF" w:rsidRPr="00CB6D18">
        <w:rPr>
          <w:lang w:val="es-ES"/>
        </w:rPr>
        <w:t>100</w:t>
      </w:r>
      <w:r w:rsidR="00CB6D18">
        <w:rPr>
          <w:lang w:val="es-ES"/>
        </w:rPr>
        <w:t xml:space="preserve">% respecto del consumo de </w:t>
      </w:r>
      <w:r w:rsidR="001D6EAF" w:rsidRPr="00CB6D18">
        <w:rPr>
          <w:lang w:val="es-ES"/>
        </w:rPr>
        <w:t>HCFC</w:t>
      </w:r>
      <w:r w:rsidR="00CB6D18">
        <w:rPr>
          <w:lang w:val="es-ES"/>
        </w:rPr>
        <w:t xml:space="preserve"> de referencia para</w:t>
      </w:r>
      <w:r w:rsidR="001D6EAF" w:rsidRPr="00CB6D18">
        <w:rPr>
          <w:lang w:val="es-ES"/>
        </w:rPr>
        <w:t xml:space="preserve"> 2025</w:t>
      </w:r>
      <w:r w:rsidR="007A6564" w:rsidRPr="00CB6D18">
        <w:rPr>
          <w:lang w:val="es-ES"/>
        </w:rPr>
        <w:t xml:space="preserve">. </w:t>
      </w:r>
      <w:r w:rsidR="00CB6D18">
        <w:rPr>
          <w:lang w:val="es-ES"/>
        </w:rPr>
        <w:t>En el cuadro 4 se resumen las actividades y los costos propuestos</w:t>
      </w:r>
      <w:r w:rsidR="007A6564" w:rsidRPr="00CB6D18">
        <w:rPr>
          <w:lang w:val="es-ES"/>
        </w:rPr>
        <w:t>.</w:t>
      </w:r>
    </w:p>
    <w:p w14:paraId="321BC723" w14:textId="1699D725" w:rsidR="007A6564" w:rsidRPr="00DB24E5" w:rsidRDefault="00436A9D" w:rsidP="007A6564">
      <w:pPr>
        <w:keepNext/>
        <w:rPr>
          <w:b/>
          <w:lang w:val="es-ES"/>
        </w:rPr>
      </w:pPr>
      <w:r w:rsidRPr="00DB24E5">
        <w:rPr>
          <w:b/>
          <w:lang w:val="es-ES"/>
        </w:rPr>
        <w:lastRenderedPageBreak/>
        <w:t>Cuadro</w:t>
      </w:r>
      <w:r w:rsidR="007A6564" w:rsidRPr="00DB24E5">
        <w:rPr>
          <w:b/>
          <w:lang w:val="es-ES"/>
        </w:rPr>
        <w:t xml:space="preserve"> </w:t>
      </w:r>
      <w:r w:rsidR="00306EAB" w:rsidRPr="00DB24E5">
        <w:rPr>
          <w:b/>
          <w:lang w:val="es-ES"/>
        </w:rPr>
        <w:t>4</w:t>
      </w:r>
      <w:r w:rsidR="007A6564" w:rsidRPr="00DB24E5">
        <w:rPr>
          <w:b/>
          <w:lang w:val="es-ES"/>
        </w:rPr>
        <w:t xml:space="preserve">. </w:t>
      </w:r>
      <w:r w:rsidR="00322ECA">
        <w:rPr>
          <w:b/>
          <w:lang w:val="es-ES"/>
        </w:rPr>
        <w:t>Costo t</w:t>
      </w:r>
      <w:r w:rsidR="007A6564" w:rsidRPr="00DB24E5">
        <w:rPr>
          <w:b/>
          <w:lang w:val="es-ES"/>
        </w:rPr>
        <w:t xml:space="preserve">otal </w:t>
      </w:r>
      <w:r w:rsidR="00322ECA">
        <w:rPr>
          <w:b/>
          <w:lang w:val="es-ES"/>
        </w:rPr>
        <w:t>de la</w:t>
      </w:r>
      <w:r w:rsidR="007A6564" w:rsidRPr="00DB24E5">
        <w:rPr>
          <w:b/>
          <w:lang w:val="es-ES"/>
        </w:rPr>
        <w:t xml:space="preserve"> </w:t>
      </w:r>
      <w:r w:rsidR="008C669C" w:rsidRPr="00DB24E5">
        <w:rPr>
          <w:b/>
          <w:lang w:val="es-ES"/>
        </w:rPr>
        <w:t>etapa</w:t>
      </w:r>
      <w:r w:rsidR="00306EAB" w:rsidRPr="00DB24E5">
        <w:rPr>
          <w:b/>
          <w:lang w:val="es-ES"/>
        </w:rPr>
        <w:t> </w:t>
      </w:r>
      <w:r w:rsidR="007A6564" w:rsidRPr="00DB24E5">
        <w:rPr>
          <w:b/>
          <w:lang w:val="es-ES"/>
        </w:rPr>
        <w:t xml:space="preserve">II </w:t>
      </w:r>
      <w:r w:rsidR="00135B60" w:rsidRPr="00DB24E5">
        <w:rPr>
          <w:b/>
          <w:lang w:val="es-ES"/>
        </w:rPr>
        <w:t>del plan de gestión de eliminación de los HCFC</w:t>
      </w:r>
      <w:r w:rsidR="007A6564" w:rsidRPr="00DB24E5">
        <w:rPr>
          <w:b/>
          <w:lang w:val="es-ES"/>
        </w:rPr>
        <w:t xml:space="preserve"> </w:t>
      </w:r>
      <w:r w:rsidR="00322ECA">
        <w:rPr>
          <w:b/>
          <w:lang w:val="es-ES"/>
        </w:rPr>
        <w:t>para</w:t>
      </w:r>
      <w:r w:rsidR="007A6564" w:rsidRPr="00DB24E5">
        <w:rPr>
          <w:b/>
          <w:lang w:val="es-ES"/>
        </w:rPr>
        <w:t xml:space="preserve"> Montenegro </w:t>
      </w:r>
      <w:r w:rsidR="00322ECA">
        <w:rPr>
          <w:b/>
          <w:lang w:val="es-ES"/>
        </w:rPr>
        <w:t>tal como fue presentado</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2"/>
        <w:gridCol w:w="2068"/>
      </w:tblGrid>
      <w:tr w:rsidR="007A6564" w:rsidRPr="00DB24E5" w14:paraId="5A3563B1" w14:textId="77777777" w:rsidTr="00A6655A">
        <w:trPr>
          <w:trHeight w:val="251"/>
        </w:trPr>
        <w:tc>
          <w:tcPr>
            <w:tcW w:w="3894" w:type="pct"/>
            <w:shd w:val="clear" w:color="auto" w:fill="auto"/>
            <w:vAlign w:val="center"/>
            <w:hideMark/>
          </w:tcPr>
          <w:p w14:paraId="6EB34EDF" w14:textId="6E6F8128" w:rsidR="007A6564" w:rsidRPr="00DB24E5" w:rsidRDefault="007A6564" w:rsidP="00A6655A">
            <w:pPr>
              <w:jc w:val="left"/>
              <w:rPr>
                <w:b/>
                <w:bCs/>
                <w:color w:val="000000"/>
                <w:sz w:val="20"/>
                <w:szCs w:val="20"/>
                <w:lang w:val="es-ES" w:eastAsia="zh-CN"/>
              </w:rPr>
            </w:pPr>
            <w:r w:rsidRPr="00DB24E5">
              <w:rPr>
                <w:b/>
                <w:bCs/>
                <w:color w:val="000000"/>
                <w:sz w:val="20"/>
                <w:szCs w:val="20"/>
                <w:lang w:val="es-ES" w:eastAsia="zh-CN"/>
              </w:rPr>
              <w:t>Activi</w:t>
            </w:r>
            <w:r w:rsidR="0088461E" w:rsidRPr="00DB24E5">
              <w:rPr>
                <w:b/>
                <w:bCs/>
                <w:color w:val="000000"/>
                <w:sz w:val="20"/>
                <w:szCs w:val="20"/>
                <w:lang w:val="es-ES" w:eastAsia="zh-CN"/>
              </w:rPr>
              <w:t>dad</w:t>
            </w:r>
          </w:p>
        </w:tc>
        <w:tc>
          <w:tcPr>
            <w:tcW w:w="1106" w:type="pct"/>
            <w:shd w:val="clear" w:color="auto" w:fill="auto"/>
            <w:vAlign w:val="center"/>
            <w:hideMark/>
          </w:tcPr>
          <w:p w14:paraId="6FE5B3F3" w14:textId="019D5B2C" w:rsidR="007A6564" w:rsidRPr="00DB24E5" w:rsidRDefault="0088461E" w:rsidP="0088461E">
            <w:pPr>
              <w:jc w:val="center"/>
              <w:rPr>
                <w:b/>
                <w:bCs/>
                <w:color w:val="000000"/>
                <w:sz w:val="20"/>
                <w:szCs w:val="20"/>
                <w:lang w:val="es-ES" w:eastAsia="zh-CN"/>
              </w:rPr>
            </w:pPr>
            <w:r w:rsidRPr="00DB24E5">
              <w:rPr>
                <w:b/>
                <w:bCs/>
                <w:color w:val="000000"/>
                <w:sz w:val="20"/>
                <w:szCs w:val="20"/>
                <w:lang w:val="es-ES" w:eastAsia="zh-CN"/>
              </w:rPr>
              <w:t>Costo</w:t>
            </w:r>
            <w:r w:rsidR="007A6564" w:rsidRPr="00DB24E5">
              <w:rPr>
                <w:b/>
                <w:bCs/>
                <w:color w:val="000000"/>
                <w:sz w:val="20"/>
                <w:szCs w:val="20"/>
                <w:lang w:val="es-ES" w:eastAsia="zh-CN"/>
              </w:rPr>
              <w:t xml:space="preserve"> (</w:t>
            </w:r>
            <w:r w:rsidR="00A6655A" w:rsidRPr="00DB24E5">
              <w:rPr>
                <w:b/>
                <w:bCs/>
                <w:color w:val="000000"/>
                <w:sz w:val="20"/>
                <w:szCs w:val="20"/>
                <w:lang w:val="es-ES" w:eastAsia="zh-CN"/>
              </w:rPr>
              <w:t>$</w:t>
            </w:r>
            <w:r w:rsidRPr="00DB24E5">
              <w:rPr>
                <w:b/>
                <w:bCs/>
                <w:color w:val="000000"/>
                <w:sz w:val="20"/>
                <w:szCs w:val="20"/>
                <w:lang w:val="es-ES" w:eastAsia="zh-CN"/>
              </w:rPr>
              <w:t xml:space="preserve"> EUA</w:t>
            </w:r>
            <w:r w:rsidR="007A6564" w:rsidRPr="00DB24E5">
              <w:rPr>
                <w:b/>
                <w:bCs/>
                <w:color w:val="000000"/>
                <w:sz w:val="20"/>
                <w:szCs w:val="20"/>
                <w:lang w:val="es-ES" w:eastAsia="zh-CN"/>
              </w:rPr>
              <w:t>)</w:t>
            </w:r>
          </w:p>
        </w:tc>
      </w:tr>
      <w:tr w:rsidR="00BF68CF" w:rsidRPr="00DB24E5" w14:paraId="570637B6" w14:textId="77777777" w:rsidTr="00A6655A">
        <w:tc>
          <w:tcPr>
            <w:tcW w:w="3894" w:type="pct"/>
            <w:shd w:val="clear" w:color="auto" w:fill="auto"/>
            <w:noWrap/>
          </w:tcPr>
          <w:p w14:paraId="4E154C22" w14:textId="1E6ED3D7" w:rsidR="00BF68CF" w:rsidRPr="00DB24E5" w:rsidRDefault="0088461E" w:rsidP="00322ECA">
            <w:pPr>
              <w:jc w:val="left"/>
              <w:rPr>
                <w:b/>
                <w:color w:val="000000"/>
                <w:sz w:val="20"/>
                <w:szCs w:val="20"/>
                <w:lang w:val="es-ES" w:eastAsia="zh-CN"/>
              </w:rPr>
            </w:pPr>
            <w:r w:rsidRPr="00DB24E5">
              <w:rPr>
                <w:b/>
                <w:color w:val="000000"/>
                <w:sz w:val="20"/>
                <w:szCs w:val="20"/>
                <w:lang w:val="es-ES" w:eastAsia="zh-CN"/>
              </w:rPr>
              <w:t xml:space="preserve">Aduanas y </w:t>
            </w:r>
            <w:r w:rsidR="00322ECA">
              <w:rPr>
                <w:b/>
                <w:color w:val="000000"/>
                <w:sz w:val="20"/>
                <w:szCs w:val="20"/>
                <w:lang w:val="es-ES" w:eastAsia="zh-CN"/>
              </w:rPr>
              <w:t>aplicación</w:t>
            </w:r>
          </w:p>
        </w:tc>
        <w:tc>
          <w:tcPr>
            <w:tcW w:w="1106" w:type="pct"/>
            <w:shd w:val="clear" w:color="auto" w:fill="auto"/>
          </w:tcPr>
          <w:p w14:paraId="221692B0" w14:textId="77777777" w:rsidR="00BF68CF" w:rsidRPr="00DB24E5" w:rsidRDefault="00BF68CF" w:rsidP="00E9738B">
            <w:pPr>
              <w:jc w:val="right"/>
              <w:rPr>
                <w:color w:val="000000"/>
                <w:sz w:val="20"/>
                <w:szCs w:val="20"/>
                <w:lang w:val="es-ES" w:eastAsia="zh-CN"/>
              </w:rPr>
            </w:pPr>
          </w:p>
        </w:tc>
      </w:tr>
      <w:tr w:rsidR="00BF68CF" w:rsidRPr="00DB24E5" w14:paraId="402BF324" w14:textId="77777777" w:rsidTr="00A6655A">
        <w:tc>
          <w:tcPr>
            <w:tcW w:w="3894" w:type="pct"/>
            <w:shd w:val="clear" w:color="auto" w:fill="auto"/>
            <w:noWrap/>
          </w:tcPr>
          <w:p w14:paraId="11440F56" w14:textId="332F6DF4" w:rsidR="00BF68CF" w:rsidRPr="00DB24E5" w:rsidRDefault="0088461E" w:rsidP="0088461E">
            <w:pPr>
              <w:jc w:val="left"/>
              <w:rPr>
                <w:b/>
                <w:color w:val="000000"/>
                <w:sz w:val="20"/>
                <w:szCs w:val="20"/>
                <w:lang w:val="es-ES" w:eastAsia="zh-CN"/>
              </w:rPr>
            </w:pPr>
            <w:r w:rsidRPr="00DB24E5">
              <w:rPr>
                <w:color w:val="000000"/>
                <w:sz w:val="20"/>
                <w:szCs w:val="20"/>
                <w:lang w:val="es-ES" w:eastAsia="zh-CN"/>
              </w:rPr>
              <w:t>Capacitación</w:t>
            </w:r>
            <w:r w:rsidR="00BF68CF" w:rsidRPr="00DB24E5">
              <w:rPr>
                <w:color w:val="000000"/>
                <w:sz w:val="20"/>
                <w:szCs w:val="20"/>
                <w:lang w:val="es-ES" w:eastAsia="zh-CN"/>
              </w:rPr>
              <w:t xml:space="preserve"> </w:t>
            </w:r>
          </w:p>
        </w:tc>
        <w:tc>
          <w:tcPr>
            <w:tcW w:w="1106" w:type="pct"/>
            <w:shd w:val="clear" w:color="auto" w:fill="auto"/>
          </w:tcPr>
          <w:p w14:paraId="7B0D16AD" w14:textId="4B79F4C5" w:rsidR="00BF68CF" w:rsidRPr="00DB24E5" w:rsidRDefault="00322ECA" w:rsidP="00BF68CF">
            <w:pPr>
              <w:jc w:val="right"/>
              <w:rPr>
                <w:color w:val="000000"/>
                <w:sz w:val="20"/>
                <w:szCs w:val="20"/>
                <w:lang w:val="es-ES" w:eastAsia="zh-CN"/>
              </w:rPr>
            </w:pPr>
            <w:r>
              <w:rPr>
                <w:color w:val="000000"/>
                <w:sz w:val="20"/>
                <w:szCs w:val="20"/>
                <w:lang w:val="es-ES" w:eastAsia="zh-CN"/>
              </w:rPr>
              <w:t>34.</w:t>
            </w:r>
            <w:r w:rsidR="00BF68CF" w:rsidRPr="00DB24E5">
              <w:rPr>
                <w:color w:val="000000"/>
                <w:sz w:val="20"/>
                <w:szCs w:val="20"/>
                <w:lang w:val="es-ES" w:eastAsia="zh-CN"/>
              </w:rPr>
              <w:t>250</w:t>
            </w:r>
          </w:p>
        </w:tc>
      </w:tr>
      <w:tr w:rsidR="00BF68CF" w:rsidRPr="00DB24E5" w14:paraId="5EBD6C62" w14:textId="77777777" w:rsidTr="00A6655A">
        <w:tc>
          <w:tcPr>
            <w:tcW w:w="3894" w:type="pct"/>
            <w:shd w:val="clear" w:color="auto" w:fill="auto"/>
            <w:noWrap/>
          </w:tcPr>
          <w:p w14:paraId="5817D7C2" w14:textId="57AB511E" w:rsidR="00BF68CF" w:rsidRPr="00DB24E5" w:rsidRDefault="0088461E" w:rsidP="0088461E">
            <w:pPr>
              <w:jc w:val="left"/>
              <w:rPr>
                <w:b/>
                <w:color w:val="000000"/>
                <w:sz w:val="20"/>
                <w:szCs w:val="20"/>
                <w:lang w:val="es-ES" w:eastAsia="zh-CN"/>
              </w:rPr>
            </w:pPr>
            <w:r w:rsidRPr="00DB24E5">
              <w:rPr>
                <w:color w:val="000000"/>
                <w:sz w:val="20"/>
                <w:szCs w:val="20"/>
                <w:lang w:val="es-ES" w:eastAsia="zh-CN"/>
              </w:rPr>
              <w:t>Identificadores de refrigerantes</w:t>
            </w:r>
          </w:p>
        </w:tc>
        <w:tc>
          <w:tcPr>
            <w:tcW w:w="1106" w:type="pct"/>
            <w:shd w:val="clear" w:color="auto" w:fill="auto"/>
          </w:tcPr>
          <w:p w14:paraId="25BD0033" w14:textId="1E95FAE4" w:rsidR="00BF68CF" w:rsidRPr="00DB24E5" w:rsidRDefault="00BF68CF" w:rsidP="00322ECA">
            <w:pPr>
              <w:jc w:val="right"/>
              <w:rPr>
                <w:color w:val="000000"/>
                <w:sz w:val="20"/>
                <w:szCs w:val="20"/>
                <w:lang w:val="es-ES" w:eastAsia="zh-CN"/>
              </w:rPr>
            </w:pPr>
            <w:r w:rsidRPr="00DB24E5">
              <w:rPr>
                <w:color w:val="000000"/>
                <w:sz w:val="20"/>
                <w:szCs w:val="20"/>
                <w:lang w:val="es-ES" w:eastAsia="zh-CN"/>
              </w:rPr>
              <w:t>20</w:t>
            </w:r>
            <w:r w:rsidR="00322ECA">
              <w:rPr>
                <w:color w:val="000000"/>
                <w:sz w:val="20"/>
                <w:szCs w:val="20"/>
                <w:lang w:val="es-ES" w:eastAsia="zh-CN"/>
              </w:rPr>
              <w:t>.</w:t>
            </w:r>
            <w:r w:rsidRPr="00DB24E5">
              <w:rPr>
                <w:color w:val="000000"/>
                <w:sz w:val="20"/>
                <w:szCs w:val="20"/>
                <w:lang w:val="es-ES" w:eastAsia="zh-CN"/>
              </w:rPr>
              <w:t>000</w:t>
            </w:r>
          </w:p>
        </w:tc>
      </w:tr>
      <w:tr w:rsidR="00BF68CF" w:rsidRPr="00F048A9" w14:paraId="35AE4F96" w14:textId="77777777" w:rsidTr="00A6655A">
        <w:tc>
          <w:tcPr>
            <w:tcW w:w="3894" w:type="pct"/>
            <w:shd w:val="clear" w:color="auto" w:fill="auto"/>
            <w:noWrap/>
          </w:tcPr>
          <w:p w14:paraId="4D3E653A" w14:textId="38DF9C98" w:rsidR="00BF68CF" w:rsidRPr="00DB24E5" w:rsidRDefault="00322ECA" w:rsidP="00322ECA">
            <w:pPr>
              <w:jc w:val="left"/>
              <w:rPr>
                <w:b/>
                <w:color w:val="000000"/>
                <w:sz w:val="20"/>
                <w:szCs w:val="20"/>
                <w:lang w:val="es-ES" w:eastAsia="zh-CN"/>
              </w:rPr>
            </w:pPr>
            <w:r>
              <w:rPr>
                <w:b/>
                <w:color w:val="000000"/>
                <w:sz w:val="20"/>
                <w:szCs w:val="20"/>
                <w:lang w:val="es-ES" w:eastAsia="zh-CN"/>
              </w:rPr>
              <w:t>Mantenimiento de equipos de refrigeración</w:t>
            </w:r>
          </w:p>
        </w:tc>
        <w:tc>
          <w:tcPr>
            <w:tcW w:w="1106" w:type="pct"/>
            <w:shd w:val="clear" w:color="auto" w:fill="auto"/>
          </w:tcPr>
          <w:p w14:paraId="6DBE396F" w14:textId="77777777" w:rsidR="00BF68CF" w:rsidRPr="00DB24E5" w:rsidRDefault="00BF68CF" w:rsidP="00BF68CF">
            <w:pPr>
              <w:jc w:val="right"/>
              <w:rPr>
                <w:color w:val="000000"/>
                <w:sz w:val="20"/>
                <w:szCs w:val="20"/>
                <w:lang w:val="es-ES" w:eastAsia="zh-CN"/>
              </w:rPr>
            </w:pPr>
          </w:p>
        </w:tc>
      </w:tr>
      <w:tr w:rsidR="00BF68CF" w:rsidRPr="00DB24E5" w14:paraId="1FE89DA3" w14:textId="77777777" w:rsidTr="00A6655A">
        <w:trPr>
          <w:trHeight w:val="188"/>
        </w:trPr>
        <w:tc>
          <w:tcPr>
            <w:tcW w:w="3894" w:type="pct"/>
            <w:shd w:val="clear" w:color="auto" w:fill="auto"/>
            <w:noWrap/>
          </w:tcPr>
          <w:p w14:paraId="7B2FF57F" w14:textId="3CF40163" w:rsidR="00BF68CF" w:rsidRPr="00DB24E5" w:rsidRDefault="00322ECA" w:rsidP="00322ECA">
            <w:pPr>
              <w:tabs>
                <w:tab w:val="left" w:pos="360"/>
              </w:tabs>
              <w:jc w:val="left"/>
              <w:rPr>
                <w:color w:val="000000"/>
                <w:sz w:val="20"/>
                <w:szCs w:val="20"/>
                <w:lang w:val="es-ES" w:eastAsia="zh-CN"/>
              </w:rPr>
            </w:pPr>
            <w:r>
              <w:rPr>
                <w:color w:val="000000"/>
                <w:sz w:val="20"/>
                <w:szCs w:val="20"/>
                <w:lang w:val="es-ES" w:eastAsia="zh-CN"/>
              </w:rPr>
              <w:t>Capacitación</w:t>
            </w:r>
            <w:r w:rsidR="00BF68CF" w:rsidRPr="00DB24E5">
              <w:rPr>
                <w:color w:val="000000"/>
                <w:sz w:val="20"/>
                <w:szCs w:val="20"/>
                <w:lang w:val="es-ES" w:eastAsia="zh-CN"/>
              </w:rPr>
              <w:t xml:space="preserve"> </w:t>
            </w:r>
          </w:p>
        </w:tc>
        <w:tc>
          <w:tcPr>
            <w:tcW w:w="1106" w:type="pct"/>
            <w:shd w:val="clear" w:color="auto" w:fill="auto"/>
            <w:tcMar>
              <w:left w:w="115" w:type="dxa"/>
              <w:right w:w="432" w:type="dxa"/>
            </w:tcMar>
          </w:tcPr>
          <w:p w14:paraId="79E9F854" w14:textId="35F8B465" w:rsidR="00BF68CF" w:rsidRPr="00DB24E5" w:rsidRDefault="00BF68CF" w:rsidP="00322ECA">
            <w:pPr>
              <w:ind w:right="-297"/>
              <w:jc w:val="right"/>
              <w:rPr>
                <w:color w:val="000000"/>
                <w:sz w:val="20"/>
                <w:szCs w:val="20"/>
                <w:lang w:val="es-ES" w:eastAsia="zh-CN"/>
              </w:rPr>
            </w:pPr>
            <w:r w:rsidRPr="00DB24E5">
              <w:rPr>
                <w:color w:val="000000"/>
                <w:sz w:val="20"/>
                <w:szCs w:val="20"/>
                <w:lang w:val="es-ES" w:eastAsia="zh-CN"/>
              </w:rPr>
              <w:t>133</w:t>
            </w:r>
            <w:r w:rsidR="00322ECA">
              <w:rPr>
                <w:color w:val="000000"/>
                <w:sz w:val="20"/>
                <w:szCs w:val="20"/>
                <w:lang w:val="es-ES" w:eastAsia="zh-CN"/>
              </w:rPr>
              <w:t>.</w:t>
            </w:r>
            <w:r w:rsidRPr="00DB24E5">
              <w:rPr>
                <w:color w:val="000000"/>
                <w:sz w:val="20"/>
                <w:szCs w:val="20"/>
                <w:lang w:val="es-ES" w:eastAsia="zh-CN"/>
              </w:rPr>
              <w:t>750</w:t>
            </w:r>
          </w:p>
        </w:tc>
      </w:tr>
      <w:tr w:rsidR="00BF68CF" w:rsidRPr="00DB24E5" w14:paraId="5E2F60DA" w14:textId="77777777" w:rsidTr="00A6655A">
        <w:trPr>
          <w:trHeight w:val="188"/>
        </w:trPr>
        <w:tc>
          <w:tcPr>
            <w:tcW w:w="3894" w:type="pct"/>
            <w:shd w:val="clear" w:color="auto" w:fill="auto"/>
            <w:noWrap/>
          </w:tcPr>
          <w:p w14:paraId="39F43814" w14:textId="1412C6D5" w:rsidR="00BF68CF" w:rsidRPr="00DB24E5" w:rsidRDefault="00322ECA" w:rsidP="00322ECA">
            <w:pPr>
              <w:tabs>
                <w:tab w:val="left" w:pos="360"/>
              </w:tabs>
              <w:jc w:val="left"/>
              <w:rPr>
                <w:color w:val="000000"/>
                <w:sz w:val="20"/>
                <w:szCs w:val="20"/>
                <w:lang w:val="es-ES" w:eastAsia="zh-CN"/>
              </w:rPr>
            </w:pPr>
            <w:r>
              <w:rPr>
                <w:color w:val="000000"/>
                <w:sz w:val="20"/>
                <w:szCs w:val="20"/>
                <w:lang w:val="es-ES" w:eastAsia="zh-CN"/>
              </w:rPr>
              <w:t>Equipo técnico</w:t>
            </w:r>
            <w:r w:rsidR="00BF68CF" w:rsidRPr="00DB24E5">
              <w:rPr>
                <w:color w:val="000000"/>
                <w:sz w:val="20"/>
                <w:szCs w:val="20"/>
                <w:lang w:val="es-ES" w:eastAsia="zh-CN"/>
              </w:rPr>
              <w:t xml:space="preserve"> </w:t>
            </w:r>
          </w:p>
        </w:tc>
        <w:tc>
          <w:tcPr>
            <w:tcW w:w="1106" w:type="pct"/>
            <w:shd w:val="clear" w:color="auto" w:fill="auto"/>
            <w:noWrap/>
            <w:tcMar>
              <w:left w:w="115" w:type="dxa"/>
              <w:right w:w="432" w:type="dxa"/>
            </w:tcMar>
          </w:tcPr>
          <w:p w14:paraId="69182424" w14:textId="615C3B6D" w:rsidR="00BF68CF" w:rsidRPr="00DB24E5" w:rsidRDefault="00C37BEC" w:rsidP="00322ECA">
            <w:pPr>
              <w:ind w:right="-297"/>
              <w:jc w:val="right"/>
              <w:rPr>
                <w:color w:val="000000"/>
                <w:sz w:val="20"/>
                <w:szCs w:val="20"/>
                <w:lang w:val="es-ES" w:eastAsia="zh-CN"/>
              </w:rPr>
            </w:pPr>
            <w:r w:rsidRPr="00DB24E5">
              <w:rPr>
                <w:color w:val="000000"/>
                <w:sz w:val="20"/>
                <w:szCs w:val="20"/>
                <w:lang w:val="es-ES" w:eastAsia="zh-CN"/>
              </w:rPr>
              <w:t>165</w:t>
            </w:r>
            <w:r w:rsidR="00322ECA">
              <w:rPr>
                <w:color w:val="000000"/>
                <w:sz w:val="20"/>
                <w:szCs w:val="20"/>
                <w:lang w:val="es-ES" w:eastAsia="zh-CN"/>
              </w:rPr>
              <w:t>.</w:t>
            </w:r>
            <w:r w:rsidRPr="00DB24E5">
              <w:rPr>
                <w:color w:val="000000"/>
                <w:sz w:val="20"/>
                <w:szCs w:val="20"/>
                <w:lang w:val="es-ES" w:eastAsia="zh-CN"/>
              </w:rPr>
              <w:t>000</w:t>
            </w:r>
          </w:p>
        </w:tc>
      </w:tr>
      <w:tr w:rsidR="00BF68CF" w:rsidRPr="00DB24E5" w14:paraId="6704B7E7" w14:textId="77777777" w:rsidTr="00A6655A">
        <w:trPr>
          <w:trHeight w:val="188"/>
        </w:trPr>
        <w:tc>
          <w:tcPr>
            <w:tcW w:w="3894" w:type="pct"/>
            <w:shd w:val="clear" w:color="auto" w:fill="auto"/>
            <w:noWrap/>
          </w:tcPr>
          <w:p w14:paraId="5AA37AFD" w14:textId="7194ACCF" w:rsidR="00BF68CF" w:rsidRPr="00DB24E5" w:rsidRDefault="0088461E" w:rsidP="00322ECA">
            <w:pPr>
              <w:tabs>
                <w:tab w:val="left" w:pos="360"/>
              </w:tabs>
              <w:jc w:val="left"/>
              <w:rPr>
                <w:color w:val="000000"/>
                <w:sz w:val="20"/>
                <w:szCs w:val="20"/>
                <w:lang w:val="es-ES" w:eastAsia="zh-CN"/>
              </w:rPr>
            </w:pPr>
            <w:r w:rsidRPr="00DB24E5">
              <w:rPr>
                <w:color w:val="000000"/>
                <w:sz w:val="20"/>
                <w:szCs w:val="20"/>
                <w:lang w:val="es-ES" w:eastAsia="zh-CN"/>
              </w:rPr>
              <w:t>Plan de reutilización y capacidad para supervis</w:t>
            </w:r>
            <w:r w:rsidR="00322ECA">
              <w:rPr>
                <w:color w:val="000000"/>
                <w:sz w:val="20"/>
                <w:szCs w:val="20"/>
                <w:lang w:val="es-ES" w:eastAsia="zh-CN"/>
              </w:rPr>
              <w:t>a</w:t>
            </w:r>
            <w:r w:rsidRPr="00DB24E5">
              <w:rPr>
                <w:color w:val="000000"/>
                <w:sz w:val="20"/>
                <w:szCs w:val="20"/>
                <w:lang w:val="es-ES" w:eastAsia="zh-CN"/>
              </w:rPr>
              <w:t>r la calidad de los refrigerantes</w:t>
            </w:r>
          </w:p>
        </w:tc>
        <w:tc>
          <w:tcPr>
            <w:tcW w:w="1106" w:type="pct"/>
            <w:shd w:val="clear" w:color="auto" w:fill="auto"/>
            <w:noWrap/>
            <w:tcMar>
              <w:left w:w="115" w:type="dxa"/>
              <w:right w:w="432" w:type="dxa"/>
            </w:tcMar>
          </w:tcPr>
          <w:p w14:paraId="4CB2160C" w14:textId="5A909EFE" w:rsidR="00BF68CF" w:rsidRPr="00DB24E5" w:rsidRDefault="00BF68CF" w:rsidP="00322ECA">
            <w:pPr>
              <w:ind w:right="-297"/>
              <w:jc w:val="right"/>
              <w:rPr>
                <w:color w:val="000000"/>
                <w:sz w:val="20"/>
                <w:szCs w:val="20"/>
                <w:lang w:val="es-ES" w:eastAsia="zh-CN"/>
              </w:rPr>
            </w:pPr>
            <w:r w:rsidRPr="00DB24E5">
              <w:rPr>
                <w:color w:val="000000"/>
                <w:sz w:val="20"/>
                <w:szCs w:val="20"/>
                <w:lang w:val="es-ES" w:eastAsia="zh-CN"/>
              </w:rPr>
              <w:t>30</w:t>
            </w:r>
            <w:r w:rsidR="00322ECA">
              <w:rPr>
                <w:color w:val="000000"/>
                <w:sz w:val="20"/>
                <w:szCs w:val="20"/>
                <w:lang w:val="es-ES" w:eastAsia="zh-CN"/>
              </w:rPr>
              <w:t>.</w:t>
            </w:r>
            <w:r w:rsidRPr="00DB24E5">
              <w:rPr>
                <w:color w:val="000000"/>
                <w:sz w:val="20"/>
                <w:szCs w:val="20"/>
                <w:lang w:val="es-ES" w:eastAsia="zh-CN"/>
              </w:rPr>
              <w:t>000</w:t>
            </w:r>
          </w:p>
        </w:tc>
      </w:tr>
      <w:tr w:rsidR="00BF68CF" w:rsidRPr="00DB24E5" w14:paraId="16FBADED" w14:textId="77777777" w:rsidTr="00A6655A">
        <w:trPr>
          <w:trHeight w:val="218"/>
        </w:trPr>
        <w:tc>
          <w:tcPr>
            <w:tcW w:w="3894" w:type="pct"/>
            <w:shd w:val="clear" w:color="auto" w:fill="auto"/>
            <w:noWrap/>
            <w:vAlign w:val="center"/>
          </w:tcPr>
          <w:p w14:paraId="3B100830" w14:textId="6749AABC" w:rsidR="00BF68CF" w:rsidRPr="00322ECA" w:rsidRDefault="00322ECA" w:rsidP="00322ECA">
            <w:pPr>
              <w:tabs>
                <w:tab w:val="left" w:pos="360"/>
              </w:tabs>
              <w:jc w:val="left"/>
              <w:rPr>
                <w:color w:val="000000"/>
                <w:sz w:val="20"/>
                <w:szCs w:val="20"/>
                <w:lang w:val="es-ES" w:eastAsia="zh-CN"/>
              </w:rPr>
            </w:pPr>
            <w:r w:rsidRPr="00322ECA">
              <w:rPr>
                <w:color w:val="000000"/>
                <w:sz w:val="20"/>
                <w:szCs w:val="20"/>
                <w:lang w:val="es-ES" w:eastAsia="zh-CN"/>
              </w:rPr>
              <w:t>Apoyo a la asociación de refrigeración y aire acondicionado y perfeccionamiento del c</w:t>
            </w:r>
            <w:r>
              <w:rPr>
                <w:color w:val="000000"/>
                <w:sz w:val="20"/>
                <w:szCs w:val="20"/>
                <w:lang w:val="es-ES" w:eastAsia="zh-CN"/>
              </w:rPr>
              <w:t>ódigo de buenas prácticas</w:t>
            </w:r>
          </w:p>
        </w:tc>
        <w:tc>
          <w:tcPr>
            <w:tcW w:w="1106" w:type="pct"/>
            <w:shd w:val="clear" w:color="auto" w:fill="auto"/>
            <w:tcMar>
              <w:left w:w="115" w:type="dxa"/>
              <w:right w:w="432" w:type="dxa"/>
            </w:tcMar>
          </w:tcPr>
          <w:p w14:paraId="7116E929" w14:textId="4F10A81A" w:rsidR="00BF68CF" w:rsidRPr="00DB24E5" w:rsidRDefault="00BF68CF" w:rsidP="00322ECA">
            <w:pPr>
              <w:ind w:right="-297"/>
              <w:jc w:val="right"/>
              <w:rPr>
                <w:color w:val="000000"/>
                <w:sz w:val="20"/>
                <w:szCs w:val="20"/>
                <w:lang w:val="es-ES" w:eastAsia="zh-CN"/>
              </w:rPr>
            </w:pPr>
            <w:r w:rsidRPr="00DB24E5">
              <w:rPr>
                <w:color w:val="000000"/>
                <w:sz w:val="20"/>
                <w:szCs w:val="20"/>
                <w:lang w:val="es-ES" w:eastAsia="zh-CN"/>
              </w:rPr>
              <w:t>15</w:t>
            </w:r>
            <w:r w:rsidR="00322ECA">
              <w:rPr>
                <w:color w:val="000000"/>
                <w:sz w:val="20"/>
                <w:szCs w:val="20"/>
                <w:lang w:val="es-ES" w:eastAsia="zh-CN"/>
              </w:rPr>
              <w:t>.</w:t>
            </w:r>
            <w:r w:rsidRPr="00DB24E5">
              <w:rPr>
                <w:color w:val="000000"/>
                <w:sz w:val="20"/>
                <w:szCs w:val="20"/>
                <w:lang w:val="es-ES" w:eastAsia="zh-CN"/>
              </w:rPr>
              <w:t>000</w:t>
            </w:r>
          </w:p>
        </w:tc>
      </w:tr>
      <w:tr w:rsidR="00BF68CF" w:rsidRPr="00DB24E5" w14:paraId="53C753BD" w14:textId="77777777" w:rsidTr="00A6655A">
        <w:trPr>
          <w:trHeight w:val="43"/>
        </w:trPr>
        <w:tc>
          <w:tcPr>
            <w:tcW w:w="3894" w:type="pct"/>
            <w:shd w:val="clear" w:color="auto" w:fill="auto"/>
            <w:noWrap/>
          </w:tcPr>
          <w:p w14:paraId="504C2374" w14:textId="70DF9F34" w:rsidR="00BF68CF" w:rsidRPr="00DB24E5" w:rsidRDefault="00322ECA" w:rsidP="00322ECA">
            <w:pPr>
              <w:jc w:val="left"/>
              <w:rPr>
                <w:b/>
                <w:color w:val="000000"/>
                <w:sz w:val="20"/>
                <w:szCs w:val="20"/>
                <w:lang w:val="es-ES" w:eastAsia="zh-CN"/>
              </w:rPr>
            </w:pPr>
            <w:r>
              <w:rPr>
                <w:b/>
                <w:color w:val="000000"/>
                <w:sz w:val="20"/>
                <w:szCs w:val="20"/>
                <w:lang w:val="es-ES" w:eastAsia="zh-CN"/>
              </w:rPr>
              <w:t>Supervisión y presentación de informes</w:t>
            </w:r>
          </w:p>
        </w:tc>
        <w:tc>
          <w:tcPr>
            <w:tcW w:w="1106" w:type="pct"/>
            <w:shd w:val="clear" w:color="auto" w:fill="auto"/>
            <w:noWrap/>
            <w:tcMar>
              <w:left w:w="115" w:type="dxa"/>
              <w:right w:w="432" w:type="dxa"/>
            </w:tcMar>
          </w:tcPr>
          <w:p w14:paraId="13F9087D" w14:textId="245E104C" w:rsidR="00BF68CF" w:rsidRPr="00DB24E5" w:rsidRDefault="00BF68CF" w:rsidP="00322ECA">
            <w:pPr>
              <w:ind w:right="-297"/>
              <w:jc w:val="right"/>
              <w:rPr>
                <w:color w:val="000000"/>
                <w:sz w:val="20"/>
                <w:szCs w:val="20"/>
                <w:lang w:val="es-ES" w:eastAsia="zh-CN"/>
              </w:rPr>
            </w:pPr>
            <w:r w:rsidRPr="00DB24E5">
              <w:rPr>
                <w:color w:val="000000"/>
                <w:sz w:val="20"/>
                <w:szCs w:val="20"/>
                <w:lang w:val="es-ES" w:eastAsia="zh-CN"/>
              </w:rPr>
              <w:t>25</w:t>
            </w:r>
            <w:r w:rsidR="00322ECA">
              <w:rPr>
                <w:color w:val="000000"/>
                <w:sz w:val="20"/>
                <w:szCs w:val="20"/>
                <w:lang w:val="es-ES" w:eastAsia="zh-CN"/>
              </w:rPr>
              <w:t>.</w:t>
            </w:r>
            <w:r w:rsidRPr="00DB24E5">
              <w:rPr>
                <w:color w:val="000000"/>
                <w:sz w:val="20"/>
                <w:szCs w:val="20"/>
                <w:lang w:val="es-ES" w:eastAsia="zh-CN"/>
              </w:rPr>
              <w:t>000</w:t>
            </w:r>
          </w:p>
        </w:tc>
      </w:tr>
      <w:tr w:rsidR="00BF68CF" w:rsidRPr="00DB24E5" w14:paraId="6B871D84" w14:textId="77777777" w:rsidTr="00A6655A">
        <w:trPr>
          <w:trHeight w:val="197"/>
        </w:trPr>
        <w:tc>
          <w:tcPr>
            <w:tcW w:w="3894" w:type="pct"/>
            <w:shd w:val="clear" w:color="auto" w:fill="auto"/>
            <w:noWrap/>
          </w:tcPr>
          <w:p w14:paraId="20E45992" w14:textId="49388012" w:rsidR="00BF68CF" w:rsidRPr="00322ECA" w:rsidRDefault="00322ECA" w:rsidP="00322ECA">
            <w:pPr>
              <w:jc w:val="left"/>
              <w:rPr>
                <w:color w:val="000000"/>
                <w:sz w:val="20"/>
                <w:szCs w:val="20"/>
                <w:lang w:val="es-ES" w:eastAsia="zh-CN"/>
              </w:rPr>
            </w:pPr>
            <w:r w:rsidRPr="00322ECA">
              <w:rPr>
                <w:b/>
                <w:color w:val="000000"/>
                <w:sz w:val="20"/>
                <w:szCs w:val="20"/>
                <w:lang w:val="es-ES" w:eastAsia="zh-CN"/>
              </w:rPr>
              <w:t>Fortalecimiento institucional</w:t>
            </w:r>
            <w:r w:rsidR="00BF68CF" w:rsidRPr="00322ECA">
              <w:rPr>
                <w:color w:val="000000"/>
                <w:sz w:val="20"/>
                <w:szCs w:val="20"/>
                <w:lang w:val="es-ES" w:eastAsia="zh-CN"/>
              </w:rPr>
              <w:t xml:space="preserve"> (</w:t>
            </w:r>
            <w:r w:rsidRPr="00322ECA">
              <w:rPr>
                <w:color w:val="000000"/>
                <w:sz w:val="20"/>
                <w:szCs w:val="20"/>
                <w:lang w:val="es-ES" w:eastAsia="zh-CN"/>
              </w:rPr>
              <w:t>que incluye sensibilización e informaci</w:t>
            </w:r>
            <w:r>
              <w:rPr>
                <w:color w:val="000000"/>
                <w:sz w:val="20"/>
                <w:szCs w:val="20"/>
                <w:lang w:val="es-ES" w:eastAsia="zh-CN"/>
              </w:rPr>
              <w:t>ón al público</w:t>
            </w:r>
            <w:r w:rsidR="00BF68CF" w:rsidRPr="00322ECA">
              <w:rPr>
                <w:color w:val="000000"/>
                <w:sz w:val="20"/>
                <w:szCs w:val="20"/>
                <w:lang w:val="es-ES" w:eastAsia="zh-CN"/>
              </w:rPr>
              <w:t>)</w:t>
            </w:r>
          </w:p>
        </w:tc>
        <w:tc>
          <w:tcPr>
            <w:tcW w:w="1106" w:type="pct"/>
            <w:shd w:val="clear" w:color="auto" w:fill="auto"/>
            <w:noWrap/>
            <w:tcMar>
              <w:left w:w="115" w:type="dxa"/>
              <w:right w:w="432" w:type="dxa"/>
            </w:tcMar>
          </w:tcPr>
          <w:p w14:paraId="734CFCB2" w14:textId="7926A328" w:rsidR="00BF68CF" w:rsidRPr="00DB24E5" w:rsidRDefault="00BF68CF" w:rsidP="00322ECA">
            <w:pPr>
              <w:ind w:right="-297"/>
              <w:jc w:val="right"/>
              <w:rPr>
                <w:color w:val="000000"/>
                <w:sz w:val="20"/>
                <w:szCs w:val="20"/>
                <w:lang w:val="es-ES" w:eastAsia="zh-CN"/>
              </w:rPr>
            </w:pPr>
            <w:r w:rsidRPr="00DB24E5">
              <w:rPr>
                <w:color w:val="000000"/>
                <w:sz w:val="20"/>
                <w:szCs w:val="20"/>
                <w:lang w:val="es-ES" w:eastAsia="zh-CN"/>
              </w:rPr>
              <w:t>212</w:t>
            </w:r>
            <w:r w:rsidR="00322ECA">
              <w:rPr>
                <w:color w:val="000000"/>
                <w:sz w:val="20"/>
                <w:szCs w:val="20"/>
                <w:lang w:val="es-ES" w:eastAsia="zh-CN"/>
              </w:rPr>
              <w:t>.</w:t>
            </w:r>
            <w:r w:rsidRPr="00DB24E5">
              <w:rPr>
                <w:color w:val="000000"/>
                <w:sz w:val="20"/>
                <w:szCs w:val="20"/>
                <w:lang w:val="es-ES" w:eastAsia="zh-CN"/>
              </w:rPr>
              <w:t>500</w:t>
            </w:r>
          </w:p>
        </w:tc>
      </w:tr>
      <w:tr w:rsidR="00BF68CF" w:rsidRPr="00DB24E5" w14:paraId="03FA2195" w14:textId="77777777" w:rsidTr="00A6655A">
        <w:trPr>
          <w:trHeight w:val="43"/>
        </w:trPr>
        <w:tc>
          <w:tcPr>
            <w:tcW w:w="3894" w:type="pct"/>
            <w:shd w:val="clear" w:color="auto" w:fill="auto"/>
            <w:noWrap/>
            <w:vAlign w:val="center"/>
            <w:hideMark/>
          </w:tcPr>
          <w:p w14:paraId="39843DAD" w14:textId="77777777" w:rsidR="00BF68CF" w:rsidRPr="00DB24E5" w:rsidRDefault="00BF68CF" w:rsidP="00BF68CF">
            <w:pPr>
              <w:jc w:val="left"/>
              <w:rPr>
                <w:b/>
                <w:bCs/>
                <w:color w:val="000000"/>
                <w:sz w:val="20"/>
                <w:szCs w:val="20"/>
                <w:lang w:val="es-ES" w:eastAsia="zh-CN"/>
              </w:rPr>
            </w:pPr>
            <w:r w:rsidRPr="00DB24E5">
              <w:rPr>
                <w:b/>
                <w:bCs/>
                <w:color w:val="000000"/>
                <w:sz w:val="20"/>
                <w:szCs w:val="20"/>
                <w:lang w:val="es-ES" w:eastAsia="zh-CN"/>
              </w:rPr>
              <w:t xml:space="preserve">Total </w:t>
            </w:r>
          </w:p>
        </w:tc>
        <w:tc>
          <w:tcPr>
            <w:tcW w:w="1106" w:type="pct"/>
            <w:shd w:val="clear" w:color="auto" w:fill="auto"/>
            <w:tcMar>
              <w:left w:w="115" w:type="dxa"/>
              <w:right w:w="432" w:type="dxa"/>
            </w:tcMar>
            <w:hideMark/>
          </w:tcPr>
          <w:p w14:paraId="213EDEE8" w14:textId="047EC9E9" w:rsidR="00BF68CF" w:rsidRPr="00DB24E5" w:rsidRDefault="00BF68CF" w:rsidP="00322ECA">
            <w:pPr>
              <w:ind w:right="-297"/>
              <w:jc w:val="right"/>
              <w:rPr>
                <w:b/>
                <w:bCs/>
                <w:color w:val="000000"/>
                <w:sz w:val="20"/>
                <w:szCs w:val="20"/>
                <w:lang w:val="es-ES" w:eastAsia="zh-CN"/>
              </w:rPr>
            </w:pPr>
            <w:r w:rsidRPr="00DB24E5">
              <w:rPr>
                <w:b/>
                <w:bCs/>
                <w:color w:val="000000"/>
                <w:sz w:val="20"/>
                <w:szCs w:val="20"/>
                <w:lang w:val="es-ES" w:eastAsia="zh-CN"/>
              </w:rPr>
              <w:t>635</w:t>
            </w:r>
            <w:r w:rsidR="00322ECA">
              <w:rPr>
                <w:b/>
                <w:bCs/>
                <w:color w:val="000000"/>
                <w:sz w:val="20"/>
                <w:szCs w:val="20"/>
                <w:lang w:val="es-ES" w:eastAsia="zh-CN"/>
              </w:rPr>
              <w:t>.</w:t>
            </w:r>
            <w:r w:rsidRPr="00DB24E5">
              <w:rPr>
                <w:b/>
                <w:bCs/>
                <w:color w:val="000000"/>
                <w:sz w:val="20"/>
                <w:szCs w:val="20"/>
                <w:lang w:val="es-ES" w:eastAsia="zh-CN"/>
              </w:rPr>
              <w:t>500</w:t>
            </w:r>
          </w:p>
        </w:tc>
      </w:tr>
    </w:tbl>
    <w:p w14:paraId="0F14AA8B" w14:textId="77777777" w:rsidR="00322ECA" w:rsidRDefault="00322ECA" w:rsidP="0078039C">
      <w:pPr>
        <w:spacing w:after="120"/>
        <w:rPr>
          <w:u w:val="single"/>
          <w:lang w:val="es-ES"/>
        </w:rPr>
      </w:pPr>
    </w:p>
    <w:p w14:paraId="12F33C9F" w14:textId="0B1CC11B" w:rsidR="007A6564" w:rsidRPr="00DB24E5" w:rsidRDefault="007A6564" w:rsidP="00D9416E">
      <w:pPr>
        <w:spacing w:after="240"/>
        <w:rPr>
          <w:u w:val="single"/>
          <w:lang w:val="es-ES"/>
        </w:rPr>
      </w:pPr>
      <w:r w:rsidRPr="00DB24E5">
        <w:rPr>
          <w:u w:val="single"/>
          <w:lang w:val="es-ES"/>
        </w:rPr>
        <w:t>Activi</w:t>
      </w:r>
      <w:r w:rsidR="00135B60" w:rsidRPr="00DB24E5">
        <w:rPr>
          <w:u w:val="single"/>
          <w:lang w:val="es-ES"/>
        </w:rPr>
        <w:t>dades previstas para el primer tramo de la etapa</w:t>
      </w:r>
      <w:r w:rsidR="00306EAB" w:rsidRPr="00DB24E5">
        <w:rPr>
          <w:u w:val="single"/>
          <w:lang w:val="es-ES"/>
        </w:rPr>
        <w:t> </w:t>
      </w:r>
      <w:r w:rsidRPr="00DB24E5">
        <w:rPr>
          <w:u w:val="single"/>
          <w:lang w:val="es-ES"/>
        </w:rPr>
        <w:t xml:space="preserve">II </w:t>
      </w:r>
    </w:p>
    <w:p w14:paraId="18695ABC" w14:textId="19156E5C" w:rsidR="007A6564" w:rsidRPr="00DB24E5" w:rsidRDefault="00135B60" w:rsidP="00D27153">
      <w:pPr>
        <w:pStyle w:val="Heading1"/>
        <w:tabs>
          <w:tab w:val="clear" w:pos="0"/>
          <w:tab w:val="clear" w:pos="1985"/>
        </w:tabs>
        <w:rPr>
          <w:lang w:val="es-ES"/>
        </w:rPr>
      </w:pPr>
      <w:r w:rsidRPr="00DB24E5">
        <w:rPr>
          <w:lang w:val="es-ES"/>
        </w:rPr>
        <w:t>El primer tramo de financiación de la etapa</w:t>
      </w:r>
      <w:r w:rsidR="00306EAB" w:rsidRPr="00DB24E5">
        <w:rPr>
          <w:lang w:val="es-ES"/>
        </w:rPr>
        <w:t> </w:t>
      </w:r>
      <w:r w:rsidR="007A6564" w:rsidRPr="00DB24E5">
        <w:rPr>
          <w:lang w:val="es-ES"/>
        </w:rPr>
        <w:t xml:space="preserve">II </w:t>
      </w:r>
      <w:r w:rsidRPr="00DB24E5">
        <w:rPr>
          <w:lang w:val="es-ES"/>
        </w:rPr>
        <w:t>del plan de ge</w:t>
      </w:r>
      <w:r w:rsidR="00F92E29" w:rsidRPr="00DB24E5">
        <w:rPr>
          <w:lang w:val="es-ES"/>
        </w:rPr>
        <w:t xml:space="preserve">stión de eliminación de los HCFC por un total de </w:t>
      </w:r>
      <w:r w:rsidR="007A6564" w:rsidRPr="00DB24E5">
        <w:rPr>
          <w:lang w:val="es-ES"/>
        </w:rPr>
        <w:t>2</w:t>
      </w:r>
      <w:r w:rsidR="00796A2D" w:rsidRPr="00DB24E5">
        <w:rPr>
          <w:lang w:val="es-ES"/>
        </w:rPr>
        <w:t>9</w:t>
      </w:r>
      <w:r w:rsidR="007A6564" w:rsidRPr="00DB24E5">
        <w:rPr>
          <w:lang w:val="es-ES"/>
        </w:rPr>
        <w:t>6</w:t>
      </w:r>
      <w:r w:rsidR="00F92E29" w:rsidRPr="00DB24E5">
        <w:rPr>
          <w:lang w:val="es-ES"/>
        </w:rPr>
        <w:t>.</w:t>
      </w:r>
      <w:r w:rsidR="007A6564" w:rsidRPr="00DB24E5">
        <w:rPr>
          <w:lang w:val="es-ES"/>
        </w:rPr>
        <w:t>500</w:t>
      </w:r>
      <w:r w:rsidR="00F92E29" w:rsidRPr="00DB24E5">
        <w:rPr>
          <w:lang w:val="es-ES"/>
        </w:rPr>
        <w:t xml:space="preserve"> $ EUA</w:t>
      </w:r>
      <w:r w:rsidR="007A6564" w:rsidRPr="00DB24E5">
        <w:rPr>
          <w:lang w:val="es-ES"/>
        </w:rPr>
        <w:t xml:space="preserve">, </w:t>
      </w:r>
      <w:r w:rsidR="00F92E29" w:rsidRPr="00DB24E5">
        <w:rPr>
          <w:lang w:val="es-ES"/>
        </w:rPr>
        <w:t>se ejecutará e</w:t>
      </w:r>
      <w:r w:rsidR="00796A2D" w:rsidRPr="00DB24E5">
        <w:rPr>
          <w:lang w:val="es-ES"/>
        </w:rPr>
        <w:t xml:space="preserve">n 2020 </w:t>
      </w:r>
      <w:r w:rsidR="00F92E29" w:rsidRPr="00DB24E5">
        <w:rPr>
          <w:lang w:val="es-ES"/>
        </w:rPr>
        <w:t>y</w:t>
      </w:r>
      <w:r w:rsidR="00796A2D" w:rsidRPr="00DB24E5">
        <w:rPr>
          <w:lang w:val="es-ES"/>
        </w:rPr>
        <w:t xml:space="preserve"> </w:t>
      </w:r>
      <w:r w:rsidR="006E77CE" w:rsidRPr="00DB24E5">
        <w:rPr>
          <w:lang w:val="es-ES"/>
        </w:rPr>
        <w:t>2021</w:t>
      </w:r>
      <w:r w:rsidR="007A6564" w:rsidRPr="00DB24E5">
        <w:rPr>
          <w:lang w:val="es-ES"/>
        </w:rPr>
        <w:t xml:space="preserve"> </w:t>
      </w:r>
      <w:r w:rsidR="00F92E29" w:rsidRPr="00DB24E5">
        <w:rPr>
          <w:lang w:val="es-ES"/>
        </w:rPr>
        <w:t>e incluirá las actividades siguientes</w:t>
      </w:r>
      <w:r w:rsidR="007A6564" w:rsidRPr="00DB24E5">
        <w:rPr>
          <w:lang w:val="es-ES"/>
        </w:rPr>
        <w:t xml:space="preserve">: </w:t>
      </w:r>
    </w:p>
    <w:p w14:paraId="7DA166A4" w14:textId="7CF21AB0" w:rsidR="008704A8" w:rsidRPr="00DB24E5" w:rsidRDefault="00135B60" w:rsidP="00D9416E">
      <w:pPr>
        <w:pStyle w:val="Heading2"/>
        <w:numPr>
          <w:ilvl w:val="1"/>
          <w:numId w:val="1"/>
        </w:numPr>
        <w:tabs>
          <w:tab w:val="clear" w:pos="-720"/>
          <w:tab w:val="num" w:pos="0"/>
        </w:tabs>
        <w:ind w:left="1440"/>
        <w:rPr>
          <w:lang w:val="es-ES"/>
        </w:rPr>
      </w:pPr>
      <w:r w:rsidRPr="00DB24E5">
        <w:rPr>
          <w:lang w:val="es-ES"/>
        </w:rPr>
        <w:t xml:space="preserve">Capacitación de </w:t>
      </w:r>
      <w:r w:rsidR="008704A8" w:rsidRPr="00DB24E5">
        <w:rPr>
          <w:lang w:val="es-ES"/>
        </w:rPr>
        <w:t xml:space="preserve">20 </w:t>
      </w:r>
      <w:r w:rsidRPr="00DB24E5">
        <w:rPr>
          <w:lang w:val="es-ES"/>
        </w:rPr>
        <w:t>oficiales de aduanas y cuatro inspectores ambientales sobre control de las importaciones de SAO y capacitación de cuatro inspectores ambientales en el cumplimiento del nuevo reglamento relacionado con la gestión de los refrigerantes y adquisición de cinco identificadores de refrigerantes</w:t>
      </w:r>
      <w:r w:rsidR="008704A8" w:rsidRPr="00DB24E5">
        <w:rPr>
          <w:lang w:val="es-ES"/>
        </w:rPr>
        <w:t xml:space="preserve"> (</w:t>
      </w:r>
      <w:r w:rsidR="00C37BEC" w:rsidRPr="00DB24E5">
        <w:rPr>
          <w:lang w:val="es-ES"/>
        </w:rPr>
        <w:t>30</w:t>
      </w:r>
      <w:r w:rsidRPr="00DB24E5">
        <w:rPr>
          <w:lang w:val="es-ES"/>
        </w:rPr>
        <w:t>.</w:t>
      </w:r>
      <w:r w:rsidR="00C37BEC" w:rsidRPr="00DB24E5">
        <w:rPr>
          <w:lang w:val="es-ES"/>
        </w:rPr>
        <w:t>000</w:t>
      </w:r>
      <w:r w:rsidRPr="00DB24E5">
        <w:rPr>
          <w:lang w:val="es-ES"/>
        </w:rPr>
        <w:t xml:space="preserve"> $ EUA</w:t>
      </w:r>
      <w:r w:rsidR="008704A8" w:rsidRPr="00DB24E5">
        <w:rPr>
          <w:lang w:val="es-ES"/>
        </w:rPr>
        <w:t>)</w:t>
      </w:r>
    </w:p>
    <w:p w14:paraId="3AC22C1F" w14:textId="4CDB2B44" w:rsidR="00C971E6" w:rsidRPr="00DB24E5" w:rsidRDefault="00F92E29" w:rsidP="00C971E6">
      <w:pPr>
        <w:pStyle w:val="Heading2"/>
        <w:numPr>
          <w:ilvl w:val="1"/>
          <w:numId w:val="1"/>
        </w:numPr>
        <w:tabs>
          <w:tab w:val="num" w:pos="0"/>
        </w:tabs>
        <w:ind w:left="1440"/>
        <w:rPr>
          <w:lang w:val="es-ES"/>
        </w:rPr>
      </w:pPr>
      <w:r w:rsidRPr="00DB24E5">
        <w:rPr>
          <w:lang w:val="es-ES" w:eastAsia="zh-CN"/>
        </w:rPr>
        <w:t xml:space="preserve">Capacitación y certificación de seis instructores conforme a los requisitos del </w:t>
      </w:r>
      <w:r w:rsidR="007A6564" w:rsidRPr="00DB24E5">
        <w:rPr>
          <w:lang w:val="es-ES" w:eastAsia="zh-CN"/>
        </w:rPr>
        <w:t xml:space="preserve">F-gas </w:t>
      </w:r>
      <w:r w:rsidRPr="00DB24E5">
        <w:rPr>
          <w:lang w:val="es-ES" w:eastAsia="zh-CN"/>
        </w:rPr>
        <w:t xml:space="preserve">y de aproximadamente </w:t>
      </w:r>
      <w:r w:rsidR="007A6564" w:rsidRPr="00DB24E5">
        <w:rPr>
          <w:lang w:val="es-ES" w:eastAsia="zh-CN"/>
        </w:rPr>
        <w:t xml:space="preserve">20 </w:t>
      </w:r>
      <w:r w:rsidR="007A6564" w:rsidRPr="00DB24E5">
        <w:rPr>
          <w:lang w:val="es-ES"/>
        </w:rPr>
        <w:t>t</w:t>
      </w:r>
      <w:r w:rsidRPr="00DB24E5">
        <w:rPr>
          <w:lang w:val="es-ES"/>
        </w:rPr>
        <w:t>écnicos en buenas prácticas de mantenimiento</w:t>
      </w:r>
      <w:r w:rsidR="00105F67" w:rsidRPr="00DB24E5">
        <w:rPr>
          <w:lang w:val="es-ES"/>
        </w:rPr>
        <w:t>,</w:t>
      </w:r>
      <w:r w:rsidR="00C971E6" w:rsidRPr="00DB24E5">
        <w:rPr>
          <w:lang w:val="es-ES"/>
        </w:rPr>
        <w:t xml:space="preserve"> </w:t>
      </w:r>
      <w:r w:rsidRPr="00DB24E5">
        <w:rPr>
          <w:lang w:val="es-ES"/>
        </w:rPr>
        <w:t>que incluyen la gestión de refrigerantes naturales y sintéticos</w:t>
      </w:r>
      <w:r w:rsidR="00C971E6" w:rsidRPr="00DB24E5">
        <w:rPr>
          <w:lang w:val="es-ES"/>
        </w:rPr>
        <w:t xml:space="preserve"> (</w:t>
      </w:r>
      <w:r w:rsidR="00C37BEC" w:rsidRPr="00DB24E5">
        <w:rPr>
          <w:lang w:val="es-ES"/>
        </w:rPr>
        <w:t>74</w:t>
      </w:r>
      <w:r w:rsidRPr="00DB24E5">
        <w:rPr>
          <w:lang w:val="es-ES"/>
        </w:rPr>
        <w:t>.</w:t>
      </w:r>
      <w:r w:rsidR="00C37BEC" w:rsidRPr="00DB24E5">
        <w:rPr>
          <w:lang w:val="es-ES"/>
        </w:rPr>
        <w:t>000</w:t>
      </w:r>
      <w:r w:rsidRPr="00DB24E5">
        <w:rPr>
          <w:lang w:val="es-ES"/>
        </w:rPr>
        <w:t xml:space="preserve"> $ EUA</w:t>
      </w:r>
      <w:r w:rsidR="007A6564" w:rsidRPr="00DB24E5">
        <w:rPr>
          <w:lang w:val="es-ES"/>
        </w:rPr>
        <w:t>);</w:t>
      </w:r>
    </w:p>
    <w:p w14:paraId="6AE6AB01" w14:textId="60BEAC7F" w:rsidR="00C64DCA" w:rsidRPr="00DB24E5" w:rsidRDefault="0016768F" w:rsidP="00C64DCA">
      <w:pPr>
        <w:pStyle w:val="Heading2"/>
        <w:numPr>
          <w:ilvl w:val="1"/>
          <w:numId w:val="1"/>
        </w:numPr>
        <w:tabs>
          <w:tab w:val="num" w:pos="0"/>
        </w:tabs>
        <w:ind w:left="1440"/>
        <w:rPr>
          <w:lang w:val="es-ES"/>
        </w:rPr>
      </w:pPr>
      <w:r w:rsidRPr="00DB24E5">
        <w:rPr>
          <w:lang w:val="es-ES"/>
        </w:rPr>
        <w:t>Adquisición de cuatro</w:t>
      </w:r>
      <w:r w:rsidR="00135B60" w:rsidRPr="00DB24E5">
        <w:rPr>
          <w:lang w:val="es-ES"/>
        </w:rPr>
        <w:t xml:space="preserve"> </w:t>
      </w:r>
      <w:r w:rsidRPr="00DB24E5">
        <w:rPr>
          <w:lang w:val="es-ES"/>
        </w:rPr>
        <w:t>unidades para demostrar el uso correcto de los refrigerantes y simulación de roturas de equipos y reparaciones para los centros de capacitación</w:t>
      </w:r>
      <w:r w:rsidR="00B930C8" w:rsidRPr="00DB24E5">
        <w:rPr>
          <w:lang w:val="es-ES"/>
        </w:rPr>
        <w:t xml:space="preserve"> </w:t>
      </w:r>
      <w:r w:rsidR="00C64DCA" w:rsidRPr="00DB24E5">
        <w:rPr>
          <w:lang w:val="es-ES"/>
        </w:rPr>
        <w:t>(62</w:t>
      </w:r>
      <w:r w:rsidRPr="00DB24E5">
        <w:rPr>
          <w:lang w:val="es-ES"/>
        </w:rPr>
        <w:t>.</w:t>
      </w:r>
      <w:r w:rsidR="00C64DCA" w:rsidRPr="00DB24E5">
        <w:rPr>
          <w:lang w:val="es-ES"/>
        </w:rPr>
        <w:t>500</w:t>
      </w:r>
      <w:r w:rsidRPr="00DB24E5">
        <w:rPr>
          <w:lang w:val="es-ES"/>
        </w:rPr>
        <w:t xml:space="preserve"> $ EUA</w:t>
      </w:r>
      <w:r w:rsidR="00C64DCA" w:rsidRPr="00DB24E5">
        <w:rPr>
          <w:lang w:val="es-ES"/>
        </w:rPr>
        <w:t>);</w:t>
      </w:r>
    </w:p>
    <w:p w14:paraId="07496F9C" w14:textId="33B175DE" w:rsidR="00C64DCA" w:rsidRPr="00DB24E5" w:rsidRDefault="00135B60" w:rsidP="00A62D61">
      <w:pPr>
        <w:pStyle w:val="Heading2"/>
        <w:keepNext/>
        <w:keepLines/>
        <w:numPr>
          <w:ilvl w:val="1"/>
          <w:numId w:val="1"/>
        </w:numPr>
        <w:tabs>
          <w:tab w:val="num" w:pos="0"/>
        </w:tabs>
        <w:ind w:left="1440"/>
        <w:rPr>
          <w:lang w:val="es-ES"/>
        </w:rPr>
      </w:pPr>
      <w:r w:rsidRPr="00DB24E5">
        <w:rPr>
          <w:lang w:val="es-ES"/>
        </w:rPr>
        <w:t xml:space="preserve">Adquisición de </w:t>
      </w:r>
      <w:r w:rsidR="007A6564" w:rsidRPr="00DB24E5">
        <w:rPr>
          <w:lang w:val="es-ES"/>
        </w:rPr>
        <w:t xml:space="preserve">15 </w:t>
      </w:r>
      <w:r w:rsidRPr="00DB24E5">
        <w:rPr>
          <w:lang w:val="es-ES"/>
        </w:rPr>
        <w:t>juegos de herramientas y equipos que se distribuirán entre los talleres y los técnicos</w:t>
      </w:r>
      <w:r w:rsidR="00222159" w:rsidRPr="00DB24E5">
        <w:rPr>
          <w:lang w:val="es-ES"/>
        </w:rPr>
        <w:t xml:space="preserve"> </w:t>
      </w:r>
      <w:r w:rsidR="00796A2D" w:rsidRPr="00DB24E5">
        <w:rPr>
          <w:lang w:val="es-ES"/>
        </w:rPr>
        <w:t>(</w:t>
      </w:r>
      <w:r w:rsidR="00C64DCA" w:rsidRPr="00DB24E5">
        <w:rPr>
          <w:lang w:val="es-ES"/>
        </w:rPr>
        <w:t>2</w:t>
      </w:r>
      <w:r w:rsidR="00796A2D" w:rsidRPr="00DB24E5">
        <w:rPr>
          <w:lang w:val="es-ES"/>
        </w:rPr>
        <w:t>5</w:t>
      </w:r>
      <w:r w:rsidRPr="00DB24E5">
        <w:rPr>
          <w:lang w:val="es-ES"/>
        </w:rPr>
        <w:t>.</w:t>
      </w:r>
      <w:r w:rsidR="00C64DCA" w:rsidRPr="00DB24E5">
        <w:rPr>
          <w:lang w:val="es-ES"/>
        </w:rPr>
        <w:t>0</w:t>
      </w:r>
      <w:r w:rsidR="007A6564" w:rsidRPr="00DB24E5">
        <w:rPr>
          <w:lang w:val="es-ES"/>
        </w:rPr>
        <w:t>00</w:t>
      </w:r>
      <w:r w:rsidRPr="00DB24E5">
        <w:rPr>
          <w:lang w:val="es-ES"/>
        </w:rPr>
        <w:t xml:space="preserve"> $ EUA</w:t>
      </w:r>
      <w:r w:rsidR="007A6564" w:rsidRPr="00DB24E5">
        <w:rPr>
          <w:lang w:val="es-ES"/>
        </w:rPr>
        <w:t>);</w:t>
      </w:r>
    </w:p>
    <w:p w14:paraId="5A59D811" w14:textId="4A525DA9" w:rsidR="007A6564" w:rsidRPr="00DB24E5" w:rsidRDefault="00135B60" w:rsidP="00D9416E">
      <w:pPr>
        <w:pStyle w:val="Heading2"/>
        <w:numPr>
          <w:ilvl w:val="1"/>
          <w:numId w:val="1"/>
        </w:numPr>
        <w:tabs>
          <w:tab w:val="clear" w:pos="-720"/>
          <w:tab w:val="num" w:pos="0"/>
        </w:tabs>
        <w:ind w:left="1440"/>
        <w:rPr>
          <w:lang w:val="es-ES"/>
        </w:rPr>
      </w:pPr>
      <w:r w:rsidRPr="00DB24E5">
        <w:rPr>
          <w:lang w:val="es-ES"/>
        </w:rPr>
        <w:t>Apoyo a la asociación de refrigeración y aire acondicionado y perfeccionamiento del código de buenas prácticas</w:t>
      </w:r>
      <w:r w:rsidR="007A6564" w:rsidRPr="00DB24E5">
        <w:rPr>
          <w:lang w:val="es-ES"/>
        </w:rPr>
        <w:t xml:space="preserve"> (</w:t>
      </w:r>
      <w:r w:rsidR="00C37BEC" w:rsidRPr="00DB24E5">
        <w:rPr>
          <w:lang w:val="es-ES"/>
        </w:rPr>
        <w:t>10</w:t>
      </w:r>
      <w:r w:rsidRPr="00DB24E5">
        <w:rPr>
          <w:lang w:val="es-ES"/>
        </w:rPr>
        <w:t>.</w:t>
      </w:r>
      <w:r w:rsidR="007A6564" w:rsidRPr="00DB24E5">
        <w:rPr>
          <w:lang w:val="es-ES"/>
        </w:rPr>
        <w:t>000</w:t>
      </w:r>
      <w:r w:rsidRPr="00DB24E5">
        <w:rPr>
          <w:lang w:val="es-ES"/>
        </w:rPr>
        <w:t xml:space="preserve"> $ EUA</w:t>
      </w:r>
      <w:r w:rsidR="007A6564" w:rsidRPr="00DB24E5">
        <w:rPr>
          <w:lang w:val="es-ES"/>
        </w:rPr>
        <w:t xml:space="preserve">); </w:t>
      </w:r>
    </w:p>
    <w:p w14:paraId="43C2EF66" w14:textId="314862D8" w:rsidR="007A6564" w:rsidRPr="00DB24E5" w:rsidRDefault="00135B60" w:rsidP="00D9416E">
      <w:pPr>
        <w:pStyle w:val="Heading2"/>
        <w:numPr>
          <w:ilvl w:val="1"/>
          <w:numId w:val="1"/>
        </w:numPr>
        <w:tabs>
          <w:tab w:val="num" w:pos="0"/>
        </w:tabs>
        <w:ind w:left="1440"/>
        <w:rPr>
          <w:lang w:val="es-ES"/>
        </w:rPr>
      </w:pPr>
      <w:r w:rsidRPr="00DB24E5">
        <w:rPr>
          <w:lang w:val="es-ES" w:eastAsia="sr-Latn-ME"/>
        </w:rPr>
        <w:t xml:space="preserve">Supervisión de las metas de </w:t>
      </w:r>
      <w:r w:rsidR="007A6564" w:rsidRPr="00DB24E5">
        <w:rPr>
          <w:lang w:val="es-ES" w:eastAsia="sr-Latn-ME"/>
        </w:rPr>
        <w:t xml:space="preserve">performance </w:t>
      </w:r>
      <w:r w:rsidRPr="00DB24E5">
        <w:rPr>
          <w:lang w:val="es-ES" w:eastAsia="sr-Latn-ME"/>
        </w:rPr>
        <w:t>del plan de gestión de eliminación de los HCFC</w:t>
      </w:r>
      <w:r w:rsidR="007A6564" w:rsidRPr="00DB24E5">
        <w:rPr>
          <w:lang w:val="es-ES" w:eastAsia="sr-Latn-ME"/>
        </w:rPr>
        <w:t xml:space="preserve"> </w:t>
      </w:r>
      <w:r w:rsidR="00796A2D" w:rsidRPr="00DB24E5">
        <w:rPr>
          <w:lang w:val="es-ES"/>
        </w:rPr>
        <w:t>(10</w:t>
      </w:r>
      <w:r w:rsidRPr="00DB24E5">
        <w:rPr>
          <w:lang w:val="es-ES"/>
        </w:rPr>
        <w:t>.</w:t>
      </w:r>
      <w:r w:rsidR="007A6564" w:rsidRPr="00DB24E5">
        <w:rPr>
          <w:lang w:val="es-ES"/>
        </w:rPr>
        <w:t>000</w:t>
      </w:r>
      <w:r w:rsidRPr="00DB24E5">
        <w:rPr>
          <w:lang w:val="es-ES"/>
        </w:rPr>
        <w:t xml:space="preserve"> $ EUA</w:t>
      </w:r>
      <w:r w:rsidR="007A6564" w:rsidRPr="00DB24E5">
        <w:rPr>
          <w:lang w:val="es-ES"/>
        </w:rPr>
        <w:t xml:space="preserve">); </w:t>
      </w:r>
      <w:r w:rsidRPr="00DB24E5">
        <w:rPr>
          <w:lang w:val="es-ES"/>
        </w:rPr>
        <w:t>y</w:t>
      </w:r>
    </w:p>
    <w:p w14:paraId="2866F320" w14:textId="15FF286D" w:rsidR="007A6564" w:rsidRPr="00DB24E5" w:rsidRDefault="007A6564" w:rsidP="00CB6D18">
      <w:pPr>
        <w:pStyle w:val="Heading2"/>
        <w:numPr>
          <w:ilvl w:val="1"/>
          <w:numId w:val="1"/>
        </w:numPr>
        <w:tabs>
          <w:tab w:val="clear" w:pos="-720"/>
          <w:tab w:val="num" w:pos="0"/>
        </w:tabs>
        <w:spacing w:after="360"/>
        <w:ind w:left="1440"/>
        <w:rPr>
          <w:lang w:val="es-ES" w:eastAsia="sr-Latn-ME"/>
        </w:rPr>
      </w:pPr>
      <w:r w:rsidRPr="00DB24E5">
        <w:rPr>
          <w:lang w:val="es-ES"/>
        </w:rPr>
        <w:t>Ren</w:t>
      </w:r>
      <w:r w:rsidR="0016768F" w:rsidRPr="00DB24E5">
        <w:rPr>
          <w:lang w:val="es-ES"/>
        </w:rPr>
        <w:t>ovación del apoyo al fortalecimiento institucional</w:t>
      </w:r>
      <w:r w:rsidRPr="00DB24E5">
        <w:rPr>
          <w:lang w:val="es-ES"/>
        </w:rPr>
        <w:t xml:space="preserve"> (</w:t>
      </w:r>
      <w:r w:rsidR="00796A2D" w:rsidRPr="00DB24E5">
        <w:rPr>
          <w:lang w:val="es-ES"/>
        </w:rPr>
        <w:t>85</w:t>
      </w:r>
      <w:r w:rsidR="0016768F" w:rsidRPr="00DB24E5">
        <w:rPr>
          <w:lang w:val="es-ES"/>
        </w:rPr>
        <w:t>.</w:t>
      </w:r>
      <w:r w:rsidR="00796A2D" w:rsidRPr="00DB24E5">
        <w:rPr>
          <w:lang w:val="es-ES"/>
        </w:rPr>
        <w:t>0</w:t>
      </w:r>
      <w:r w:rsidRPr="00DB24E5">
        <w:rPr>
          <w:lang w:val="es-ES"/>
        </w:rPr>
        <w:t>00</w:t>
      </w:r>
      <w:r w:rsidR="0016768F" w:rsidRPr="00DB24E5">
        <w:rPr>
          <w:lang w:val="es-ES"/>
        </w:rPr>
        <w:t xml:space="preserve"> $ EUA</w:t>
      </w:r>
      <w:r w:rsidRPr="00DB24E5">
        <w:rPr>
          <w:lang w:val="es-ES"/>
        </w:rPr>
        <w:t>)</w:t>
      </w:r>
      <w:r w:rsidRPr="00DB24E5">
        <w:rPr>
          <w:lang w:val="es-ES" w:eastAsia="sr-Latn-ME"/>
        </w:rPr>
        <w:t>.</w:t>
      </w:r>
    </w:p>
    <w:p w14:paraId="4F15059F" w14:textId="77777777" w:rsidR="00F048A9" w:rsidRDefault="00F048A9">
      <w:pPr>
        <w:jc w:val="left"/>
        <w:rPr>
          <w:b/>
          <w:bCs/>
          <w:lang w:val="es-ES"/>
        </w:rPr>
      </w:pPr>
      <w:r>
        <w:rPr>
          <w:b/>
          <w:bCs/>
          <w:lang w:val="es-ES"/>
        </w:rPr>
        <w:br w:type="page"/>
      </w:r>
    </w:p>
    <w:p w14:paraId="10E360B9" w14:textId="605F9CF3" w:rsidR="007A6564" w:rsidRPr="00DB24E5" w:rsidRDefault="0088461E" w:rsidP="00CB6D18">
      <w:pPr>
        <w:spacing w:before="120" w:after="240"/>
        <w:jc w:val="center"/>
        <w:rPr>
          <w:b/>
          <w:lang w:val="es-ES"/>
        </w:rPr>
      </w:pPr>
      <w:r w:rsidRPr="00DB24E5">
        <w:rPr>
          <w:b/>
          <w:bCs/>
          <w:lang w:val="es-ES"/>
        </w:rPr>
        <w:lastRenderedPageBreak/>
        <w:t>OBSERVACIONES Y RECOMEDACIÓN DE LA SECRETARÍA</w:t>
      </w:r>
    </w:p>
    <w:p w14:paraId="7E025991" w14:textId="50306360" w:rsidR="007A6564" w:rsidRPr="00DB24E5" w:rsidRDefault="0088461E" w:rsidP="007A6564">
      <w:pPr>
        <w:spacing w:after="240"/>
        <w:rPr>
          <w:b/>
          <w:lang w:val="es-ES"/>
        </w:rPr>
      </w:pPr>
      <w:r w:rsidRPr="00DB24E5">
        <w:rPr>
          <w:b/>
          <w:lang w:val="es-ES"/>
        </w:rPr>
        <w:t>OBSERVACIONES</w:t>
      </w:r>
    </w:p>
    <w:p w14:paraId="7359C58B" w14:textId="2BBA8024" w:rsidR="008704A8" w:rsidRPr="00DB24E5" w:rsidRDefault="002429C7" w:rsidP="00405A9A">
      <w:pPr>
        <w:pStyle w:val="Heading1"/>
        <w:tabs>
          <w:tab w:val="clear" w:pos="0"/>
          <w:tab w:val="clear" w:pos="1985"/>
        </w:tabs>
        <w:rPr>
          <w:lang w:val="es-ES"/>
        </w:rPr>
      </w:pPr>
      <w:r w:rsidRPr="00DB24E5">
        <w:rPr>
          <w:lang w:val="es-ES"/>
        </w:rPr>
        <w:t xml:space="preserve">La Secretaría examinó la etapa </w:t>
      </w:r>
      <w:r w:rsidR="008704A8" w:rsidRPr="00DB24E5">
        <w:rPr>
          <w:lang w:val="es-ES"/>
        </w:rPr>
        <w:t xml:space="preserve">II </w:t>
      </w:r>
      <w:r w:rsidRPr="00DB24E5">
        <w:rPr>
          <w:lang w:val="es-ES"/>
        </w:rPr>
        <w:t>del plan de gestión de eliminación de los HCFC tomando en consideración los resultados de la etapa</w:t>
      </w:r>
      <w:r w:rsidR="008704A8" w:rsidRPr="00DB24E5">
        <w:rPr>
          <w:lang w:val="es-ES"/>
        </w:rPr>
        <w:t xml:space="preserve"> I, </w:t>
      </w:r>
      <w:r w:rsidRPr="00DB24E5">
        <w:rPr>
          <w:lang w:val="es-ES"/>
        </w:rPr>
        <w:t>las políticas y directrices del Fondo</w:t>
      </w:r>
      <w:r w:rsidR="008704A8" w:rsidRPr="00DB24E5">
        <w:rPr>
          <w:lang w:val="es-ES"/>
        </w:rPr>
        <w:t xml:space="preserve"> Multilateral, </w:t>
      </w:r>
      <w:r w:rsidRPr="00DB24E5">
        <w:rPr>
          <w:lang w:val="es-ES"/>
        </w:rPr>
        <w:t>en particular los criterios para la financiación de la eliminación de</w:t>
      </w:r>
      <w:r w:rsidR="008704A8" w:rsidRPr="00DB24E5">
        <w:rPr>
          <w:lang w:val="es-ES"/>
        </w:rPr>
        <w:t xml:space="preserve"> HCFC </w:t>
      </w:r>
      <w:r w:rsidRPr="00DB24E5">
        <w:rPr>
          <w:lang w:val="es-ES"/>
        </w:rPr>
        <w:t xml:space="preserve">en el sector de consumo durante la etapa </w:t>
      </w:r>
      <w:r w:rsidR="008704A8" w:rsidRPr="00DB24E5">
        <w:rPr>
          <w:lang w:val="es-ES"/>
        </w:rPr>
        <w:t>II</w:t>
      </w:r>
      <w:r w:rsidRPr="00DB24E5">
        <w:rPr>
          <w:lang w:val="es-ES"/>
        </w:rPr>
        <w:t xml:space="preserve"> del plan de gestión de eliminación de los HCFC</w:t>
      </w:r>
      <w:r w:rsidR="008704A8" w:rsidRPr="00DB24E5">
        <w:rPr>
          <w:lang w:val="es-ES"/>
        </w:rPr>
        <w:t xml:space="preserve"> (decisi</w:t>
      </w:r>
      <w:r w:rsidRPr="00DB24E5">
        <w:rPr>
          <w:lang w:val="es-ES"/>
        </w:rPr>
        <w:t>ó</w:t>
      </w:r>
      <w:r w:rsidR="008704A8" w:rsidRPr="00DB24E5">
        <w:rPr>
          <w:lang w:val="es-ES"/>
        </w:rPr>
        <w:t xml:space="preserve">n 74/50), </w:t>
      </w:r>
      <w:r w:rsidRPr="00DB24E5">
        <w:rPr>
          <w:lang w:val="es-ES"/>
        </w:rPr>
        <w:t xml:space="preserve">y el plan administrativo del Fondo Multilateral para </w:t>
      </w:r>
      <w:r w:rsidR="008704A8" w:rsidRPr="00DB24E5">
        <w:rPr>
          <w:lang w:val="es-ES"/>
        </w:rPr>
        <w:t>2020-2022.</w:t>
      </w:r>
    </w:p>
    <w:p w14:paraId="3B331101" w14:textId="6CDB2378" w:rsidR="007A6564" w:rsidRPr="00DB24E5" w:rsidRDefault="007A6564" w:rsidP="007A6564">
      <w:pPr>
        <w:spacing w:after="240"/>
        <w:rPr>
          <w:u w:val="single"/>
          <w:lang w:val="es-ES"/>
        </w:rPr>
      </w:pPr>
      <w:r w:rsidRPr="00DB24E5">
        <w:rPr>
          <w:u w:val="single"/>
          <w:lang w:val="es-ES"/>
        </w:rPr>
        <w:t>Reg</w:t>
      </w:r>
      <w:r w:rsidR="00F6067A" w:rsidRPr="00DB24E5">
        <w:rPr>
          <w:u w:val="single"/>
          <w:lang w:val="es-ES"/>
        </w:rPr>
        <w:t>lamento para apoyar la eliminación de los</w:t>
      </w:r>
      <w:r w:rsidRPr="00DB24E5">
        <w:rPr>
          <w:u w:val="single"/>
          <w:lang w:val="es-ES"/>
        </w:rPr>
        <w:t xml:space="preserve"> HCFC </w:t>
      </w:r>
    </w:p>
    <w:p w14:paraId="4EA0914A" w14:textId="428058A5" w:rsidR="00A856D0" w:rsidRPr="005E3093" w:rsidRDefault="005E3093" w:rsidP="00316753">
      <w:pPr>
        <w:pStyle w:val="Heading1"/>
        <w:tabs>
          <w:tab w:val="clear" w:pos="0"/>
          <w:tab w:val="clear" w:pos="1985"/>
        </w:tabs>
        <w:rPr>
          <w:lang w:val="es-ES"/>
        </w:rPr>
      </w:pPr>
      <w:r>
        <w:rPr>
          <w:lang w:val="es-ES"/>
        </w:rPr>
        <w:t xml:space="preserve">Se seguirá aplicando </w:t>
      </w:r>
      <w:r w:rsidR="00322ECA" w:rsidRPr="005E3093">
        <w:rPr>
          <w:lang w:val="es-ES"/>
        </w:rPr>
        <w:t>el reglamento por el que se prohíbe la importaci</w:t>
      </w:r>
      <w:r w:rsidRPr="005E3093">
        <w:rPr>
          <w:lang w:val="es-ES"/>
        </w:rPr>
        <w:t>ón de equipo que use</w:t>
      </w:r>
      <w:r w:rsidR="00A856D0" w:rsidRPr="005E3093">
        <w:rPr>
          <w:lang w:val="es-ES"/>
        </w:rPr>
        <w:t xml:space="preserve"> HCFC</w:t>
      </w:r>
      <w:r>
        <w:rPr>
          <w:lang w:val="es-ES"/>
        </w:rPr>
        <w:t xml:space="preserve">, establecido por el Gobierno desde el </w:t>
      </w:r>
      <w:r w:rsidR="00A856D0" w:rsidRPr="005E3093">
        <w:rPr>
          <w:lang w:val="es-ES"/>
        </w:rPr>
        <w:t xml:space="preserve">1 </w:t>
      </w:r>
      <w:r>
        <w:rPr>
          <w:lang w:val="es-ES"/>
        </w:rPr>
        <w:t>de enero de</w:t>
      </w:r>
      <w:r w:rsidR="00A856D0" w:rsidRPr="005E3093">
        <w:rPr>
          <w:lang w:val="es-ES"/>
        </w:rPr>
        <w:t xml:space="preserve"> 2012. </w:t>
      </w:r>
      <w:r w:rsidRPr="005E3093">
        <w:rPr>
          <w:lang w:val="es-ES"/>
        </w:rPr>
        <w:t xml:space="preserve">El sistema de concesión de licencias y de cupos de importación y exportación se actualizará sobre la base de las reducciones del nivel de referencia de HCFFC para el cumplimiento que se </w:t>
      </w:r>
      <w:r>
        <w:rPr>
          <w:lang w:val="es-ES"/>
        </w:rPr>
        <w:t>indican</w:t>
      </w:r>
      <w:r w:rsidRPr="005E3093">
        <w:rPr>
          <w:lang w:val="es-ES"/>
        </w:rPr>
        <w:t xml:space="preserve"> a continuaci</w:t>
      </w:r>
      <w:r>
        <w:rPr>
          <w:lang w:val="es-ES"/>
        </w:rPr>
        <w:t>ón</w:t>
      </w:r>
      <w:r w:rsidR="00A856D0" w:rsidRPr="005E3093">
        <w:rPr>
          <w:lang w:val="es-ES"/>
        </w:rPr>
        <w:t xml:space="preserve">: </w:t>
      </w:r>
      <w:r>
        <w:rPr>
          <w:lang w:val="es-ES"/>
        </w:rPr>
        <w:t>50%</w:t>
      </w:r>
      <w:r w:rsidR="00A856D0" w:rsidRPr="005E3093">
        <w:rPr>
          <w:lang w:val="es-ES"/>
        </w:rPr>
        <w:t xml:space="preserve"> </w:t>
      </w:r>
      <w:r>
        <w:rPr>
          <w:lang w:val="es-ES"/>
        </w:rPr>
        <w:t>e</w:t>
      </w:r>
      <w:r w:rsidR="00A856D0" w:rsidRPr="005E3093">
        <w:rPr>
          <w:lang w:val="es-ES"/>
        </w:rPr>
        <w:t>n 2021; 70</w:t>
      </w:r>
      <w:r>
        <w:rPr>
          <w:lang w:val="es-ES"/>
        </w:rPr>
        <w:t xml:space="preserve">% en </w:t>
      </w:r>
      <w:r w:rsidR="00A856D0" w:rsidRPr="005E3093">
        <w:rPr>
          <w:lang w:val="es-ES"/>
        </w:rPr>
        <w:t>2022; 80</w:t>
      </w:r>
      <w:r>
        <w:rPr>
          <w:lang w:val="es-ES"/>
        </w:rPr>
        <w:t xml:space="preserve">% en </w:t>
      </w:r>
      <w:r w:rsidR="00A856D0" w:rsidRPr="005E3093">
        <w:rPr>
          <w:lang w:val="es-ES"/>
        </w:rPr>
        <w:t>2023; 90</w:t>
      </w:r>
      <w:r>
        <w:rPr>
          <w:lang w:val="es-ES"/>
        </w:rPr>
        <w:t xml:space="preserve">% en </w:t>
      </w:r>
      <w:r w:rsidR="00A856D0" w:rsidRPr="005E3093">
        <w:rPr>
          <w:lang w:val="es-ES"/>
        </w:rPr>
        <w:t xml:space="preserve">2024; </w:t>
      </w:r>
      <w:r>
        <w:rPr>
          <w:lang w:val="es-ES"/>
        </w:rPr>
        <w:t>y</w:t>
      </w:r>
      <w:r w:rsidR="00A856D0" w:rsidRPr="005E3093">
        <w:rPr>
          <w:lang w:val="es-ES"/>
        </w:rPr>
        <w:t xml:space="preserve"> 100 </w:t>
      </w:r>
      <w:r>
        <w:rPr>
          <w:lang w:val="es-ES"/>
        </w:rPr>
        <w:t xml:space="preserve">% en </w:t>
      </w:r>
      <w:r w:rsidR="00A856D0" w:rsidRPr="005E3093">
        <w:rPr>
          <w:lang w:val="es-ES"/>
        </w:rPr>
        <w:t>2025.</w:t>
      </w:r>
    </w:p>
    <w:p w14:paraId="4C9E6BE3" w14:textId="73BD854C" w:rsidR="007A6564" w:rsidRPr="00DB24E5" w:rsidRDefault="00F6067A" w:rsidP="007A6564">
      <w:pPr>
        <w:keepNext/>
        <w:spacing w:after="240"/>
        <w:rPr>
          <w:u w:val="single"/>
          <w:lang w:val="es-ES"/>
        </w:rPr>
      </w:pPr>
      <w:r w:rsidRPr="00DB24E5">
        <w:rPr>
          <w:u w:val="single"/>
          <w:lang w:val="es-ES"/>
        </w:rPr>
        <w:t>Cuestiones técnicas y relacionadas con los costos</w:t>
      </w:r>
    </w:p>
    <w:p w14:paraId="7B9A0888" w14:textId="5071602C" w:rsidR="007A6564" w:rsidRPr="00941809" w:rsidRDefault="0078039C" w:rsidP="00F85F14">
      <w:pPr>
        <w:pStyle w:val="Heading1"/>
        <w:tabs>
          <w:tab w:val="clear" w:pos="0"/>
          <w:tab w:val="clear" w:pos="1985"/>
        </w:tabs>
        <w:rPr>
          <w:lang w:val="es-ES"/>
        </w:rPr>
      </w:pPr>
      <w:r w:rsidRPr="0078039C">
        <w:rPr>
          <w:lang w:val="es-ES"/>
        </w:rPr>
        <w:t>Tomando nota de la prohibición de 2012 de importar equipo que use</w:t>
      </w:r>
      <w:r w:rsidR="007A6564" w:rsidRPr="0078039C">
        <w:rPr>
          <w:lang w:val="es-ES"/>
        </w:rPr>
        <w:t xml:space="preserve"> HCFC, </w:t>
      </w:r>
      <w:r w:rsidRPr="0078039C">
        <w:rPr>
          <w:lang w:val="es-ES"/>
        </w:rPr>
        <w:t xml:space="preserve">y de que parte de ese equipo tal vez siga teniendo vida útil después de </w:t>
      </w:r>
      <w:r w:rsidR="007A6564" w:rsidRPr="0078039C">
        <w:rPr>
          <w:lang w:val="es-ES"/>
        </w:rPr>
        <w:t xml:space="preserve">2025, </w:t>
      </w:r>
      <w:r w:rsidR="00F92E29" w:rsidRPr="0078039C">
        <w:rPr>
          <w:lang w:val="es-ES"/>
        </w:rPr>
        <w:t>la Secretaría</w:t>
      </w:r>
      <w:r w:rsidR="007A6564" w:rsidRPr="0078039C">
        <w:rPr>
          <w:lang w:val="es-ES"/>
        </w:rPr>
        <w:t xml:space="preserve"> </w:t>
      </w:r>
      <w:r w:rsidRPr="0078039C">
        <w:rPr>
          <w:lang w:val="es-ES"/>
        </w:rPr>
        <w:t>pregunt</w:t>
      </w:r>
      <w:r>
        <w:rPr>
          <w:lang w:val="es-ES"/>
        </w:rPr>
        <w:t xml:space="preserve">ó si el país estaría en condiciones de lograr la eliminación total de los </w:t>
      </w:r>
      <w:r w:rsidR="007A6564" w:rsidRPr="0078039C">
        <w:rPr>
          <w:lang w:val="es-ES"/>
        </w:rPr>
        <w:t xml:space="preserve">HCFC </w:t>
      </w:r>
      <w:r>
        <w:rPr>
          <w:lang w:val="es-ES"/>
        </w:rPr>
        <w:t>en</w:t>
      </w:r>
      <w:r w:rsidR="007A6564" w:rsidRPr="0078039C">
        <w:rPr>
          <w:lang w:val="es-ES"/>
        </w:rPr>
        <w:t xml:space="preserve"> 2025, </w:t>
      </w:r>
      <w:r>
        <w:rPr>
          <w:lang w:val="es-ES"/>
        </w:rPr>
        <w:t xml:space="preserve">y cómo se podría dar mantenimiento a cualquier equipo que use </w:t>
      </w:r>
      <w:r w:rsidR="007A6564" w:rsidRPr="0078039C">
        <w:rPr>
          <w:lang w:val="es-ES"/>
        </w:rPr>
        <w:t>HCFC</w:t>
      </w:r>
      <w:r>
        <w:rPr>
          <w:lang w:val="es-ES"/>
        </w:rPr>
        <w:t xml:space="preserve"> que siga funcionando después de ese año</w:t>
      </w:r>
      <w:r w:rsidR="007A6564" w:rsidRPr="0078039C">
        <w:rPr>
          <w:lang w:val="es-ES"/>
        </w:rPr>
        <w:t xml:space="preserve">. </w:t>
      </w:r>
      <w:r w:rsidRPr="00941809">
        <w:rPr>
          <w:lang w:val="es-ES"/>
        </w:rPr>
        <w:t xml:space="preserve">La </w:t>
      </w:r>
      <w:r w:rsidR="0088461E" w:rsidRPr="00941809">
        <w:rPr>
          <w:lang w:val="es-ES"/>
        </w:rPr>
        <w:t>ONUDI</w:t>
      </w:r>
      <w:r w:rsidR="007A6564" w:rsidRPr="00941809">
        <w:rPr>
          <w:lang w:val="es-ES"/>
        </w:rPr>
        <w:t xml:space="preserve"> </w:t>
      </w:r>
      <w:r w:rsidRPr="00941809">
        <w:rPr>
          <w:lang w:val="es-ES"/>
        </w:rPr>
        <w:t xml:space="preserve">confirmó que el Gobierno prohibiría la importación de </w:t>
      </w:r>
      <w:r w:rsidR="007A6564" w:rsidRPr="00941809">
        <w:rPr>
          <w:lang w:val="es-ES"/>
        </w:rPr>
        <w:t>HCFC</w:t>
      </w:r>
      <w:r w:rsidRPr="00941809">
        <w:rPr>
          <w:lang w:val="es-ES"/>
        </w:rPr>
        <w:t xml:space="preserve"> el </w:t>
      </w:r>
      <w:r w:rsidR="007A6564" w:rsidRPr="00941809">
        <w:rPr>
          <w:lang w:val="es-ES"/>
        </w:rPr>
        <w:t xml:space="preserve">1 </w:t>
      </w:r>
      <w:r w:rsidRPr="00941809">
        <w:rPr>
          <w:lang w:val="es-ES"/>
        </w:rPr>
        <w:t>de enero de</w:t>
      </w:r>
      <w:r w:rsidR="007A6564" w:rsidRPr="00941809">
        <w:rPr>
          <w:lang w:val="es-ES"/>
        </w:rPr>
        <w:t xml:space="preserve"> 2025</w:t>
      </w:r>
      <w:r w:rsidR="00604B79" w:rsidRPr="00941809">
        <w:rPr>
          <w:lang w:val="es-ES"/>
        </w:rPr>
        <w:t xml:space="preserve">; </w:t>
      </w:r>
      <w:r w:rsidR="00941809" w:rsidRPr="00941809">
        <w:rPr>
          <w:lang w:val="es-ES"/>
        </w:rPr>
        <w:t xml:space="preserve">cabía esperar que </w:t>
      </w:r>
      <w:proofErr w:type="spellStart"/>
      <w:r w:rsidR="00941809" w:rsidRPr="00941809">
        <w:rPr>
          <w:lang w:val="es-ES"/>
        </w:rPr>
        <w:t>lal</w:t>
      </w:r>
      <w:proofErr w:type="spellEnd"/>
      <w:r w:rsidR="00941809" w:rsidRPr="00941809">
        <w:rPr>
          <w:lang w:val="es-ES"/>
        </w:rPr>
        <w:t xml:space="preserve"> vida útil del equipo que usa </w:t>
      </w:r>
      <w:r w:rsidR="007A6564" w:rsidRPr="00941809">
        <w:rPr>
          <w:lang w:val="es-ES" w:eastAsia="zh-CN"/>
        </w:rPr>
        <w:t>HCFC</w:t>
      </w:r>
      <w:r w:rsidR="00941809" w:rsidRPr="00941809">
        <w:rPr>
          <w:lang w:val="es-ES" w:eastAsia="zh-CN"/>
        </w:rPr>
        <w:t xml:space="preserve"> que se hubiera instalado </w:t>
      </w:r>
      <w:r w:rsidR="00941809">
        <w:rPr>
          <w:lang w:val="es-ES" w:eastAsia="zh-CN"/>
        </w:rPr>
        <w:t>h</w:t>
      </w:r>
      <w:r w:rsidR="00941809" w:rsidRPr="00941809">
        <w:rPr>
          <w:lang w:val="es-ES" w:eastAsia="zh-CN"/>
        </w:rPr>
        <w:t xml:space="preserve">asta </w:t>
      </w:r>
      <w:r w:rsidR="007A6564" w:rsidRPr="00941809">
        <w:rPr>
          <w:lang w:val="es-ES" w:eastAsia="zh-CN"/>
        </w:rPr>
        <w:t xml:space="preserve">2012 </w:t>
      </w:r>
      <w:r w:rsidR="00941809">
        <w:rPr>
          <w:lang w:val="es-ES" w:eastAsia="zh-CN"/>
        </w:rPr>
        <w:t>estaría llegando al final de su vida útil y. por consiguiente, se reduciría la demanda de</w:t>
      </w:r>
      <w:r w:rsidR="00472462" w:rsidRPr="00941809">
        <w:rPr>
          <w:lang w:val="es-ES" w:eastAsia="zh-CN"/>
        </w:rPr>
        <w:t xml:space="preserve"> HCFC-22</w:t>
      </w:r>
      <w:r w:rsidR="007A6564" w:rsidRPr="00941809">
        <w:rPr>
          <w:lang w:val="es-ES" w:eastAsia="zh-CN"/>
        </w:rPr>
        <w:t xml:space="preserve">. </w:t>
      </w:r>
      <w:r w:rsidR="00941809" w:rsidRPr="00941809">
        <w:rPr>
          <w:lang w:val="es-ES" w:eastAsia="zh-CN"/>
        </w:rPr>
        <w:t xml:space="preserve">El equipo que siguiera funcionando después del </w:t>
      </w:r>
      <w:r w:rsidR="007A6564" w:rsidRPr="00941809">
        <w:rPr>
          <w:lang w:val="es-ES" w:eastAsia="zh-CN"/>
        </w:rPr>
        <w:t xml:space="preserve">1 </w:t>
      </w:r>
      <w:r w:rsidR="00941809" w:rsidRPr="00941809">
        <w:rPr>
          <w:lang w:val="es-ES" w:eastAsia="zh-CN"/>
        </w:rPr>
        <w:t xml:space="preserve">de enero de </w:t>
      </w:r>
      <w:r w:rsidR="007A6564" w:rsidRPr="00941809">
        <w:rPr>
          <w:lang w:val="es-ES" w:eastAsia="zh-CN"/>
        </w:rPr>
        <w:t xml:space="preserve">2025 </w:t>
      </w:r>
      <w:r w:rsidR="00941809" w:rsidRPr="00941809">
        <w:rPr>
          <w:lang w:val="es-ES" w:eastAsia="zh-CN"/>
        </w:rPr>
        <w:t>se beneficiar</w:t>
      </w:r>
      <w:r w:rsidR="00941809">
        <w:rPr>
          <w:lang w:val="es-ES" w:eastAsia="zh-CN"/>
        </w:rPr>
        <w:t>ía del plan de reutilización o sería sustituido por nuevo equipo</w:t>
      </w:r>
      <w:r w:rsidR="007A6564" w:rsidRPr="00941809">
        <w:rPr>
          <w:lang w:val="es-ES"/>
        </w:rPr>
        <w:t xml:space="preserve">. </w:t>
      </w:r>
      <w:r w:rsidR="00941809" w:rsidRPr="00941809">
        <w:rPr>
          <w:lang w:val="es-ES"/>
        </w:rPr>
        <w:t>No se preveía ningún programa de incentivos para la sustituci</w:t>
      </w:r>
      <w:r w:rsidR="00941809">
        <w:rPr>
          <w:lang w:val="es-ES"/>
        </w:rPr>
        <w:t>ón de esos equipos</w:t>
      </w:r>
      <w:r w:rsidR="007A6564" w:rsidRPr="00941809">
        <w:rPr>
          <w:lang w:val="es-ES"/>
        </w:rPr>
        <w:t>.</w:t>
      </w:r>
      <w:r w:rsidR="00AB2D1E" w:rsidRPr="00941809">
        <w:rPr>
          <w:lang w:val="es-ES"/>
        </w:rPr>
        <w:t xml:space="preserve"> </w:t>
      </w:r>
    </w:p>
    <w:p w14:paraId="094F05E3" w14:textId="419A1B74" w:rsidR="00472462" w:rsidRPr="00DB24E5" w:rsidRDefault="00F6067A" w:rsidP="00472462">
      <w:pPr>
        <w:rPr>
          <w:u w:val="single"/>
          <w:lang w:val="es-ES"/>
        </w:rPr>
      </w:pPr>
      <w:r w:rsidRPr="00DB24E5">
        <w:rPr>
          <w:u w:val="single"/>
          <w:lang w:val="es-ES"/>
        </w:rPr>
        <w:t>Componente de fortalecimiento institucional</w:t>
      </w:r>
    </w:p>
    <w:p w14:paraId="3C34B812" w14:textId="77777777" w:rsidR="00472462" w:rsidRPr="00DB24E5" w:rsidRDefault="00472462" w:rsidP="00472462">
      <w:pPr>
        <w:rPr>
          <w:lang w:val="es-ES"/>
        </w:rPr>
      </w:pPr>
    </w:p>
    <w:p w14:paraId="54AE2203" w14:textId="45F55C3C" w:rsidR="00AB2D1E" w:rsidRPr="00386035" w:rsidRDefault="00F92E29" w:rsidP="00F85F14">
      <w:pPr>
        <w:pStyle w:val="Heading1"/>
        <w:tabs>
          <w:tab w:val="clear" w:pos="0"/>
          <w:tab w:val="clear" w:pos="1985"/>
        </w:tabs>
        <w:rPr>
          <w:lang w:val="es-ES"/>
        </w:rPr>
      </w:pPr>
      <w:r w:rsidRPr="00DB24E5">
        <w:rPr>
          <w:lang w:val="es-ES"/>
        </w:rPr>
        <w:t>El Comité Ejecutivo</w:t>
      </w:r>
      <w:r w:rsidR="00472462" w:rsidRPr="00DB24E5">
        <w:rPr>
          <w:lang w:val="es-ES"/>
        </w:rPr>
        <w:t xml:space="preserve"> decid</w:t>
      </w:r>
      <w:r w:rsidRPr="00DB24E5">
        <w:rPr>
          <w:lang w:val="es-ES"/>
        </w:rPr>
        <w:t>ió examinar el fortalecimiento institucional</w:t>
      </w:r>
      <w:r w:rsidR="00472462" w:rsidRPr="00DB24E5">
        <w:rPr>
          <w:lang w:val="es-ES"/>
        </w:rPr>
        <w:t xml:space="preserve">, </w:t>
      </w:r>
      <w:r w:rsidRPr="00DB24E5">
        <w:rPr>
          <w:lang w:val="es-ES"/>
        </w:rPr>
        <w:t xml:space="preserve">incluso los niveles de financiación, en su primera reunión de </w:t>
      </w:r>
      <w:r w:rsidR="00472462" w:rsidRPr="00DB24E5">
        <w:rPr>
          <w:lang w:val="es-ES"/>
        </w:rPr>
        <w:t>2020</w:t>
      </w:r>
      <w:r w:rsidR="00820570" w:rsidRPr="00DB24E5">
        <w:rPr>
          <w:lang w:val="es-ES"/>
        </w:rPr>
        <w:t xml:space="preserve"> (decisi</w:t>
      </w:r>
      <w:r w:rsidRPr="00DB24E5">
        <w:rPr>
          <w:lang w:val="es-ES"/>
        </w:rPr>
        <w:t>ó</w:t>
      </w:r>
      <w:r w:rsidR="00820570" w:rsidRPr="00DB24E5">
        <w:rPr>
          <w:lang w:val="es-ES"/>
        </w:rPr>
        <w:t>n</w:t>
      </w:r>
      <w:r w:rsidR="00F52BE8" w:rsidRPr="00DB24E5">
        <w:rPr>
          <w:lang w:val="es-ES"/>
        </w:rPr>
        <w:t> </w:t>
      </w:r>
      <w:r w:rsidR="00820570" w:rsidRPr="00DB24E5">
        <w:rPr>
          <w:lang w:val="es-ES"/>
        </w:rPr>
        <w:t xml:space="preserve">74/51), </w:t>
      </w:r>
      <w:r w:rsidRPr="00DB24E5">
        <w:rPr>
          <w:lang w:val="es-ES"/>
        </w:rPr>
        <w:t xml:space="preserve">y considerar la posibilidad de incrementar los fondos para el fortalecimiento institucional en una reunión futura de conformidad con el párrafo </w:t>
      </w:r>
      <w:r w:rsidR="00820570" w:rsidRPr="00DB24E5">
        <w:rPr>
          <w:lang w:val="es-ES"/>
        </w:rPr>
        <w:t xml:space="preserve">20 </w:t>
      </w:r>
      <w:r w:rsidRPr="00DB24E5">
        <w:rPr>
          <w:lang w:val="es-ES"/>
        </w:rPr>
        <w:t>de la decisión</w:t>
      </w:r>
      <w:r w:rsidR="00820570" w:rsidRPr="00DB24E5">
        <w:rPr>
          <w:lang w:val="es-ES"/>
        </w:rPr>
        <w:t> XXVIII/2 (decisi</w:t>
      </w:r>
      <w:r w:rsidRPr="00DB24E5">
        <w:rPr>
          <w:lang w:val="es-ES"/>
        </w:rPr>
        <w:t>ó</w:t>
      </w:r>
      <w:r w:rsidR="00820570" w:rsidRPr="00DB24E5">
        <w:rPr>
          <w:lang w:val="es-ES"/>
        </w:rPr>
        <w:t>n</w:t>
      </w:r>
      <w:r w:rsidR="00F52BE8" w:rsidRPr="00DB24E5">
        <w:rPr>
          <w:lang w:val="es-ES"/>
        </w:rPr>
        <w:t> </w:t>
      </w:r>
      <w:r w:rsidR="00820570" w:rsidRPr="00DB24E5">
        <w:rPr>
          <w:lang w:val="es-ES"/>
        </w:rPr>
        <w:t>78/4</w:t>
      </w:r>
      <w:r w:rsidRPr="00DB24E5">
        <w:rPr>
          <w:lang w:val="es-ES"/>
        </w:rPr>
        <w:t xml:space="preserve"> </w:t>
      </w:r>
      <w:r w:rsidR="00820570" w:rsidRPr="00DB24E5">
        <w:rPr>
          <w:lang w:val="es-ES"/>
        </w:rPr>
        <w:t>b))</w:t>
      </w:r>
      <w:r w:rsidR="00472462" w:rsidRPr="00DB24E5">
        <w:rPr>
          <w:lang w:val="es-ES"/>
        </w:rPr>
        <w:t xml:space="preserve">. </w:t>
      </w:r>
      <w:r w:rsidRPr="00DB24E5">
        <w:rPr>
          <w:lang w:val="es-ES"/>
        </w:rPr>
        <w:t xml:space="preserve">En su examen de la etapa </w:t>
      </w:r>
      <w:r w:rsidR="00472462" w:rsidRPr="00DB24E5">
        <w:rPr>
          <w:lang w:val="es-ES"/>
        </w:rPr>
        <w:t xml:space="preserve">II </w:t>
      </w:r>
      <w:r w:rsidR="00135B60" w:rsidRPr="00DB24E5">
        <w:rPr>
          <w:lang w:val="es-ES"/>
        </w:rPr>
        <w:t>del plan de gestión de eliminación de los HCFC</w:t>
      </w:r>
      <w:r w:rsidR="00472462" w:rsidRPr="00DB24E5">
        <w:rPr>
          <w:lang w:val="es-ES"/>
        </w:rPr>
        <w:t xml:space="preserve">, </w:t>
      </w:r>
      <w:r w:rsidRPr="00DB24E5">
        <w:rPr>
          <w:lang w:val="es-ES"/>
        </w:rPr>
        <w:t>la Secretaría observó que, en consonancia con el párrafo</w:t>
      </w:r>
      <w:r w:rsidR="00815D2E" w:rsidRPr="00DB24E5">
        <w:rPr>
          <w:lang w:val="es-ES"/>
        </w:rPr>
        <w:t> </w:t>
      </w:r>
      <w:r w:rsidR="00AB2D1E" w:rsidRPr="00DB24E5">
        <w:rPr>
          <w:lang w:val="es-ES"/>
        </w:rPr>
        <w:t xml:space="preserve">16 </w:t>
      </w:r>
      <w:r w:rsidRPr="00DB24E5">
        <w:rPr>
          <w:lang w:val="es-ES"/>
        </w:rPr>
        <w:t>del Acuerdo entre el Gobierno y el Comité Ejecutivo</w:t>
      </w:r>
      <w:r w:rsidR="00AB2D1E" w:rsidRPr="00DB24E5">
        <w:rPr>
          <w:lang w:val="es-ES"/>
        </w:rPr>
        <w:t xml:space="preserve">, Montenegro </w:t>
      </w:r>
      <w:r w:rsidR="00B63892">
        <w:rPr>
          <w:lang w:val="es-ES"/>
        </w:rPr>
        <w:t>no se benefi</w:t>
      </w:r>
      <w:r w:rsidR="00B63892" w:rsidRPr="00455F35">
        <w:rPr>
          <w:lang w:val="es-ES"/>
        </w:rPr>
        <w:t>ciaría de ningún aumento del apoyo al fortalecimiento instituciona</w:t>
      </w:r>
      <w:r w:rsidR="00455F35" w:rsidRPr="00455F35">
        <w:rPr>
          <w:lang w:val="es-ES"/>
        </w:rPr>
        <w:t xml:space="preserve">l que el </w:t>
      </w:r>
      <w:r w:rsidRPr="00455F35">
        <w:rPr>
          <w:lang w:val="es-ES"/>
        </w:rPr>
        <w:t>Comité Ejecutivo</w:t>
      </w:r>
      <w:r w:rsidR="00AB2D1E" w:rsidRPr="00455F35">
        <w:rPr>
          <w:lang w:val="es-ES"/>
        </w:rPr>
        <w:t xml:space="preserve"> </w:t>
      </w:r>
      <w:r w:rsidR="00455F35" w:rsidRPr="00455F35">
        <w:rPr>
          <w:lang w:val="es-ES"/>
        </w:rPr>
        <w:t>pueda determinar</w:t>
      </w:r>
      <w:r w:rsidR="00FB69FF" w:rsidRPr="00455F35">
        <w:rPr>
          <w:lang w:val="es-ES"/>
        </w:rPr>
        <w:t>,</w:t>
      </w:r>
      <w:r w:rsidR="00AB2D1E" w:rsidRPr="00455F35">
        <w:rPr>
          <w:lang w:val="es-ES"/>
        </w:rPr>
        <w:t xml:space="preserve"> </w:t>
      </w:r>
      <w:r w:rsidR="00B63892" w:rsidRPr="00455F35">
        <w:rPr>
          <w:lang w:val="es-ES"/>
        </w:rPr>
        <w:t>a menos que se decida otra cosa</w:t>
      </w:r>
      <w:r w:rsidR="00AB2D1E" w:rsidRPr="00455F35">
        <w:rPr>
          <w:lang w:val="es-ES"/>
        </w:rPr>
        <w:t xml:space="preserve">. </w:t>
      </w:r>
      <w:r w:rsidR="00B63892" w:rsidRPr="00455F35">
        <w:rPr>
          <w:lang w:val="es-ES"/>
        </w:rPr>
        <w:t>En consecuencia</w:t>
      </w:r>
      <w:r w:rsidR="00AB2D1E" w:rsidRPr="00455F35">
        <w:rPr>
          <w:lang w:val="es-ES"/>
        </w:rPr>
        <w:t xml:space="preserve">, </w:t>
      </w:r>
      <w:r w:rsidRPr="00455F35">
        <w:rPr>
          <w:lang w:val="es-ES"/>
        </w:rPr>
        <w:t>la Secretaría</w:t>
      </w:r>
      <w:r w:rsidR="00B63892" w:rsidRPr="00455F35">
        <w:rPr>
          <w:lang w:val="es-ES"/>
        </w:rPr>
        <w:t xml:space="preserve"> </w:t>
      </w:r>
      <w:r w:rsidR="00455F35" w:rsidRPr="00455F35">
        <w:rPr>
          <w:lang w:val="es-ES"/>
        </w:rPr>
        <w:t xml:space="preserve">dio a entender </w:t>
      </w:r>
      <w:r w:rsidR="00B63892" w:rsidRPr="00455F35">
        <w:rPr>
          <w:lang w:val="es-ES"/>
        </w:rPr>
        <w:t xml:space="preserve">que el país </w:t>
      </w:r>
      <w:r w:rsidR="00455F35" w:rsidRPr="00455F35">
        <w:rPr>
          <w:lang w:val="es-ES"/>
        </w:rPr>
        <w:t>tal vez desearía considerar la posibilidad de no integrar el proyecto de fortalecimiento institucional en el plan de gestión de eliminación de los HCFC</w:t>
      </w:r>
      <w:r w:rsidR="00AB2D1E" w:rsidRPr="00455F35">
        <w:rPr>
          <w:kern w:val="36"/>
          <w:lang w:val="es-ES"/>
        </w:rPr>
        <w:t xml:space="preserve"> </w:t>
      </w:r>
      <w:r w:rsidR="00455F35" w:rsidRPr="00455F35">
        <w:rPr>
          <w:kern w:val="36"/>
          <w:lang w:val="es-ES"/>
        </w:rPr>
        <w:t xml:space="preserve">y, en cambio, presentar sus proyectos de renovación del fortalecimiento institucional </w:t>
      </w:r>
      <w:r w:rsidR="00B63892" w:rsidRPr="00455F35">
        <w:rPr>
          <w:kern w:val="36"/>
          <w:lang w:val="es-ES"/>
        </w:rPr>
        <w:t>por separado</w:t>
      </w:r>
      <w:r w:rsidR="00AB2D1E" w:rsidRPr="00455F35">
        <w:rPr>
          <w:kern w:val="36"/>
          <w:lang w:val="es-ES"/>
        </w:rPr>
        <w:t xml:space="preserve">. </w:t>
      </w:r>
      <w:r w:rsidRPr="00455F35">
        <w:rPr>
          <w:kern w:val="36"/>
          <w:lang w:val="es-ES"/>
        </w:rPr>
        <w:t>La Secretaría</w:t>
      </w:r>
      <w:r w:rsidR="00AB2D1E" w:rsidRPr="00455F35">
        <w:rPr>
          <w:kern w:val="36"/>
          <w:lang w:val="es-ES"/>
        </w:rPr>
        <w:t xml:space="preserve"> </w:t>
      </w:r>
      <w:r w:rsidR="00455F35" w:rsidRPr="00455F35">
        <w:rPr>
          <w:kern w:val="36"/>
          <w:lang w:val="es-ES"/>
        </w:rPr>
        <w:t xml:space="preserve">señaló además que </w:t>
      </w:r>
      <w:proofErr w:type="spellStart"/>
      <w:r w:rsidR="00455F35" w:rsidRPr="00455F35">
        <w:rPr>
          <w:kern w:val="36"/>
          <w:lang w:val="es-ES"/>
        </w:rPr>
        <w:t>si</w:t>
      </w:r>
      <w:proofErr w:type="spellEnd"/>
      <w:r w:rsidR="00455F35" w:rsidRPr="00455F35">
        <w:rPr>
          <w:kern w:val="36"/>
          <w:lang w:val="es-ES"/>
        </w:rPr>
        <w:t>, no obstante, el</w:t>
      </w:r>
      <w:r w:rsidR="00AB2D1E" w:rsidRPr="00455F35">
        <w:rPr>
          <w:kern w:val="36"/>
          <w:lang w:val="es-ES"/>
        </w:rPr>
        <w:t xml:space="preserve"> </w:t>
      </w:r>
      <w:r w:rsidR="00ED60EE" w:rsidRPr="00455F35">
        <w:rPr>
          <w:kern w:val="36"/>
          <w:lang w:val="es-ES"/>
        </w:rPr>
        <w:t>Gobierno de</w:t>
      </w:r>
      <w:r w:rsidR="00AB2D1E" w:rsidRPr="00455F35">
        <w:rPr>
          <w:kern w:val="36"/>
          <w:lang w:val="es-ES"/>
        </w:rPr>
        <w:t xml:space="preserve"> Montenegro </w:t>
      </w:r>
      <w:r w:rsidR="00455F35" w:rsidRPr="00455F35">
        <w:rPr>
          <w:kern w:val="36"/>
          <w:lang w:val="es-ES"/>
        </w:rPr>
        <w:t xml:space="preserve">desease mantener su proyecto de fortalecimiento institucional como parte del </w:t>
      </w:r>
      <w:r w:rsidR="00135B60" w:rsidRPr="00455F35">
        <w:rPr>
          <w:kern w:val="36"/>
          <w:lang w:val="es-ES"/>
        </w:rPr>
        <w:t>plan de gestión de eliminación de los HCFC</w:t>
      </w:r>
      <w:r w:rsidR="00AB2D1E" w:rsidRPr="00455F35">
        <w:rPr>
          <w:kern w:val="36"/>
          <w:lang w:val="es-ES"/>
        </w:rPr>
        <w:t xml:space="preserve">, </w:t>
      </w:r>
      <w:r w:rsidR="00455F35" w:rsidRPr="00455F35">
        <w:rPr>
          <w:kern w:val="36"/>
          <w:lang w:val="es-ES"/>
        </w:rPr>
        <w:t>en las futuras solicitudes de tramos deberá incluir la solicitud de renovación debidamente completada, de c</w:t>
      </w:r>
      <w:r w:rsidR="00F3642C">
        <w:rPr>
          <w:kern w:val="36"/>
          <w:lang w:val="es-ES"/>
        </w:rPr>
        <w:t>onformidad con el formato aprob</w:t>
      </w:r>
      <w:r w:rsidR="00455F35" w:rsidRPr="00455F35">
        <w:rPr>
          <w:kern w:val="36"/>
          <w:lang w:val="es-ES"/>
        </w:rPr>
        <w:t>ado</w:t>
      </w:r>
      <w:r w:rsidR="00AB2D1E" w:rsidRPr="00455F35">
        <w:rPr>
          <w:kern w:val="36"/>
          <w:lang w:val="es-ES"/>
        </w:rPr>
        <w:t xml:space="preserve"> (</w:t>
      </w:r>
      <w:r w:rsidR="00815D2E" w:rsidRPr="00455F35">
        <w:rPr>
          <w:kern w:val="36"/>
          <w:lang w:val="es-ES"/>
        </w:rPr>
        <w:t>decisi</w:t>
      </w:r>
      <w:r w:rsidR="00455F35" w:rsidRPr="00455F35">
        <w:rPr>
          <w:kern w:val="36"/>
          <w:lang w:val="es-ES"/>
        </w:rPr>
        <w:t>ó</w:t>
      </w:r>
      <w:r w:rsidR="00815D2E" w:rsidRPr="00455F35">
        <w:rPr>
          <w:kern w:val="36"/>
          <w:lang w:val="es-ES"/>
        </w:rPr>
        <w:t>n </w:t>
      </w:r>
      <w:r w:rsidR="00AB2D1E" w:rsidRPr="00455F35">
        <w:rPr>
          <w:kern w:val="36"/>
          <w:lang w:val="es-ES"/>
        </w:rPr>
        <w:t xml:space="preserve">74/51). </w:t>
      </w:r>
      <w:r w:rsidR="00386035" w:rsidRPr="00386035">
        <w:rPr>
          <w:kern w:val="36"/>
          <w:lang w:val="es-ES"/>
        </w:rPr>
        <w:t>Sin embargo</w:t>
      </w:r>
      <w:r w:rsidR="00FB69FF" w:rsidRPr="00386035">
        <w:rPr>
          <w:kern w:val="36"/>
          <w:lang w:val="es-ES"/>
        </w:rPr>
        <w:t xml:space="preserve">, </w:t>
      </w:r>
      <w:r w:rsidR="00386035" w:rsidRPr="00386035">
        <w:rPr>
          <w:kern w:val="36"/>
          <w:lang w:val="es-ES"/>
        </w:rPr>
        <w:t xml:space="preserve">la </w:t>
      </w:r>
      <w:r w:rsidR="0088461E" w:rsidRPr="00386035">
        <w:rPr>
          <w:kern w:val="36"/>
          <w:lang w:val="es-ES"/>
        </w:rPr>
        <w:t>ONUDI</w:t>
      </w:r>
      <w:r w:rsidR="007A1252" w:rsidRPr="00386035">
        <w:rPr>
          <w:kern w:val="36"/>
          <w:lang w:val="es-ES"/>
        </w:rPr>
        <w:t>,</w:t>
      </w:r>
      <w:r w:rsidR="00B30237" w:rsidRPr="00386035">
        <w:rPr>
          <w:kern w:val="36"/>
          <w:lang w:val="es-ES"/>
        </w:rPr>
        <w:t xml:space="preserve"> </w:t>
      </w:r>
      <w:r w:rsidR="00386035" w:rsidRPr="00386035">
        <w:rPr>
          <w:kern w:val="36"/>
          <w:lang w:val="es-ES"/>
        </w:rPr>
        <w:t xml:space="preserve">en nombre del </w:t>
      </w:r>
      <w:r w:rsidR="00ED60EE" w:rsidRPr="00386035">
        <w:rPr>
          <w:kern w:val="36"/>
          <w:lang w:val="es-ES"/>
        </w:rPr>
        <w:t>Gobierno de</w:t>
      </w:r>
      <w:r w:rsidR="00AB2D1E" w:rsidRPr="00386035">
        <w:rPr>
          <w:kern w:val="36"/>
          <w:lang w:val="es-ES"/>
        </w:rPr>
        <w:t xml:space="preserve"> Montenegro</w:t>
      </w:r>
      <w:r w:rsidR="007A1252" w:rsidRPr="00386035">
        <w:rPr>
          <w:kern w:val="36"/>
          <w:lang w:val="es-ES"/>
        </w:rPr>
        <w:t>,</w:t>
      </w:r>
      <w:r w:rsidR="00AB2D1E" w:rsidRPr="00386035">
        <w:rPr>
          <w:kern w:val="36"/>
          <w:lang w:val="es-ES"/>
        </w:rPr>
        <w:t xml:space="preserve"> </w:t>
      </w:r>
      <w:r w:rsidR="007A1252" w:rsidRPr="00386035">
        <w:rPr>
          <w:kern w:val="36"/>
          <w:lang w:val="es-ES"/>
        </w:rPr>
        <w:t>reiter</w:t>
      </w:r>
      <w:r w:rsidR="00386035" w:rsidRPr="00386035">
        <w:rPr>
          <w:kern w:val="36"/>
          <w:lang w:val="es-ES"/>
        </w:rPr>
        <w:t>ó la solicitud del país de mantener el proyecto de fortalecimiento institucional</w:t>
      </w:r>
      <w:r w:rsidR="00B30237" w:rsidRPr="00386035">
        <w:rPr>
          <w:kern w:val="36"/>
          <w:lang w:val="es-ES"/>
        </w:rPr>
        <w:t xml:space="preserve"> </w:t>
      </w:r>
      <w:r w:rsidR="00E05D67" w:rsidRPr="00386035">
        <w:rPr>
          <w:kern w:val="36"/>
          <w:lang w:val="es-ES"/>
        </w:rPr>
        <w:t xml:space="preserve">como parte </w:t>
      </w:r>
      <w:r w:rsidR="00135B60" w:rsidRPr="00386035">
        <w:rPr>
          <w:kern w:val="36"/>
          <w:lang w:val="es-ES"/>
        </w:rPr>
        <w:t>del plan de gestión de eliminación de los HCFC</w:t>
      </w:r>
      <w:r w:rsidR="00B30237" w:rsidRPr="00386035">
        <w:rPr>
          <w:kern w:val="36"/>
          <w:lang w:val="es-ES"/>
        </w:rPr>
        <w:t>.</w:t>
      </w:r>
    </w:p>
    <w:p w14:paraId="6A7D2013" w14:textId="254FE891" w:rsidR="007A6564" w:rsidRPr="00DB24E5" w:rsidRDefault="00F6067A" w:rsidP="007A6564">
      <w:pPr>
        <w:pStyle w:val="Heading1"/>
        <w:keepNext/>
        <w:numPr>
          <w:ilvl w:val="0"/>
          <w:numId w:val="0"/>
        </w:numPr>
        <w:rPr>
          <w:u w:val="single"/>
          <w:lang w:val="es-ES"/>
        </w:rPr>
      </w:pPr>
      <w:r w:rsidRPr="00DB24E5">
        <w:rPr>
          <w:u w:val="single"/>
          <w:lang w:val="es-ES"/>
        </w:rPr>
        <w:t>Costo t</w:t>
      </w:r>
      <w:r w:rsidR="007A6564" w:rsidRPr="00DB24E5">
        <w:rPr>
          <w:u w:val="single"/>
          <w:lang w:val="es-ES"/>
        </w:rPr>
        <w:t>otal</w:t>
      </w:r>
      <w:r w:rsidRPr="00DB24E5">
        <w:rPr>
          <w:u w:val="single"/>
          <w:lang w:val="es-ES"/>
        </w:rPr>
        <w:t xml:space="preserve"> del</w:t>
      </w:r>
      <w:r w:rsidR="007A6564" w:rsidRPr="00DB24E5">
        <w:rPr>
          <w:u w:val="single"/>
          <w:lang w:val="es-ES"/>
        </w:rPr>
        <w:t xml:space="preserve"> pro</w:t>
      </w:r>
      <w:r w:rsidRPr="00DB24E5">
        <w:rPr>
          <w:u w:val="single"/>
          <w:lang w:val="es-ES"/>
        </w:rPr>
        <w:t>yecto</w:t>
      </w:r>
    </w:p>
    <w:p w14:paraId="5D4466AC" w14:textId="7E7ABA40" w:rsidR="007A6564" w:rsidRPr="00386035" w:rsidRDefault="00386035" w:rsidP="00F85F14">
      <w:pPr>
        <w:pStyle w:val="Heading1"/>
        <w:tabs>
          <w:tab w:val="clear" w:pos="0"/>
          <w:tab w:val="clear" w:pos="1985"/>
        </w:tabs>
        <w:rPr>
          <w:lang w:val="es-ES"/>
        </w:rPr>
      </w:pPr>
      <w:r w:rsidRPr="00386035">
        <w:rPr>
          <w:lang w:val="es-ES"/>
        </w:rPr>
        <w:t xml:space="preserve">El costo total de la </w:t>
      </w:r>
      <w:r w:rsidR="008C669C" w:rsidRPr="00386035">
        <w:rPr>
          <w:lang w:val="es-ES"/>
        </w:rPr>
        <w:t>etapa</w:t>
      </w:r>
      <w:r w:rsidR="00306EAB" w:rsidRPr="00386035">
        <w:rPr>
          <w:lang w:val="es-ES"/>
        </w:rPr>
        <w:t> </w:t>
      </w:r>
      <w:r w:rsidR="007A6564" w:rsidRPr="00386035">
        <w:rPr>
          <w:lang w:val="es-ES"/>
        </w:rPr>
        <w:t xml:space="preserve">II </w:t>
      </w:r>
      <w:r w:rsidR="00135B60" w:rsidRPr="00386035">
        <w:rPr>
          <w:lang w:val="es-ES"/>
        </w:rPr>
        <w:t>del plan de gestión de eliminación de los HCFC</w:t>
      </w:r>
      <w:r w:rsidR="007A6564" w:rsidRPr="00386035">
        <w:rPr>
          <w:lang w:val="es-ES"/>
        </w:rPr>
        <w:t xml:space="preserve"> </w:t>
      </w:r>
      <w:r w:rsidRPr="00386035">
        <w:rPr>
          <w:lang w:val="es-ES"/>
        </w:rPr>
        <w:t xml:space="preserve">es de </w:t>
      </w:r>
      <w:r w:rsidR="007A6564" w:rsidRPr="00386035">
        <w:rPr>
          <w:lang w:val="es-ES"/>
        </w:rPr>
        <w:t>635</w:t>
      </w:r>
      <w:r w:rsidRPr="00386035">
        <w:rPr>
          <w:lang w:val="es-ES"/>
        </w:rPr>
        <w:t>.</w:t>
      </w:r>
      <w:r w:rsidR="007A6564" w:rsidRPr="00386035">
        <w:rPr>
          <w:lang w:val="es-ES"/>
        </w:rPr>
        <w:t>500</w:t>
      </w:r>
      <w:r w:rsidRPr="00386035">
        <w:rPr>
          <w:lang w:val="es-ES"/>
        </w:rPr>
        <w:t xml:space="preserve"> $ EUA</w:t>
      </w:r>
      <w:r w:rsidR="007A6564" w:rsidRPr="00386035">
        <w:rPr>
          <w:lang w:val="es-ES"/>
        </w:rPr>
        <w:t>,</w:t>
      </w:r>
      <w:r w:rsidR="007A6564" w:rsidRPr="00386035">
        <w:rPr>
          <w:bCs/>
          <w:color w:val="000000"/>
          <w:lang w:val="es-ES" w:eastAsia="zh-CN"/>
        </w:rPr>
        <w:t xml:space="preserve"> </w:t>
      </w:r>
      <w:r w:rsidRPr="00386035">
        <w:rPr>
          <w:bCs/>
          <w:color w:val="000000"/>
          <w:lang w:val="es-ES" w:eastAsia="zh-CN"/>
        </w:rPr>
        <w:t xml:space="preserve">y </w:t>
      </w:r>
      <w:r>
        <w:rPr>
          <w:bCs/>
          <w:color w:val="000000"/>
          <w:lang w:val="es-ES" w:eastAsia="zh-CN"/>
        </w:rPr>
        <w:t xml:space="preserve">se basa en la </w:t>
      </w:r>
      <w:r w:rsidR="00815D2E" w:rsidRPr="00386035">
        <w:rPr>
          <w:lang w:val="es-ES"/>
        </w:rPr>
        <w:t>d</w:t>
      </w:r>
      <w:r w:rsidR="007A6564" w:rsidRPr="00386035">
        <w:rPr>
          <w:lang w:val="es-ES"/>
        </w:rPr>
        <w:t>ecisi</w:t>
      </w:r>
      <w:r>
        <w:rPr>
          <w:lang w:val="es-ES"/>
        </w:rPr>
        <w:t>ó</w:t>
      </w:r>
      <w:r w:rsidR="007A6564" w:rsidRPr="00386035">
        <w:rPr>
          <w:lang w:val="es-ES"/>
        </w:rPr>
        <w:t>n</w:t>
      </w:r>
      <w:r w:rsidR="00553624" w:rsidRPr="00386035">
        <w:rPr>
          <w:lang w:val="es-ES"/>
        </w:rPr>
        <w:t> </w:t>
      </w:r>
      <w:r w:rsidR="007A6564" w:rsidRPr="00386035">
        <w:rPr>
          <w:lang w:val="es-ES"/>
        </w:rPr>
        <w:t>74/50</w:t>
      </w:r>
      <w:r>
        <w:rPr>
          <w:lang w:val="es-ES"/>
        </w:rPr>
        <w:t xml:space="preserve"> </w:t>
      </w:r>
      <w:r w:rsidR="008545B2" w:rsidRPr="00386035">
        <w:rPr>
          <w:lang w:val="es-ES"/>
        </w:rPr>
        <w:t>c)</w:t>
      </w:r>
      <w:r>
        <w:rPr>
          <w:lang w:val="es-ES"/>
        </w:rPr>
        <w:t xml:space="preserve"> </w:t>
      </w:r>
      <w:proofErr w:type="spellStart"/>
      <w:r w:rsidR="008545B2" w:rsidRPr="00386035">
        <w:rPr>
          <w:lang w:val="es-ES"/>
        </w:rPr>
        <w:t>xii</w:t>
      </w:r>
      <w:proofErr w:type="spellEnd"/>
      <w:r w:rsidR="008545B2" w:rsidRPr="00386035">
        <w:rPr>
          <w:lang w:val="es-ES"/>
        </w:rPr>
        <w:t xml:space="preserve">) </w:t>
      </w:r>
      <w:r>
        <w:rPr>
          <w:lang w:val="es-ES"/>
        </w:rPr>
        <w:t>sobre el nivel de financiación admisible para un país de bajo consumo</w:t>
      </w:r>
      <w:r w:rsidR="008545B2" w:rsidRPr="00386035">
        <w:rPr>
          <w:lang w:val="es-ES"/>
        </w:rPr>
        <w:t xml:space="preserve"> </w:t>
      </w:r>
      <w:r w:rsidR="008545B2" w:rsidRPr="00386035">
        <w:rPr>
          <w:lang w:val="es-ES"/>
        </w:rPr>
        <w:lastRenderedPageBreak/>
        <w:t xml:space="preserve">(i.e., </w:t>
      </w:r>
      <w:r w:rsidR="009D03CA" w:rsidRPr="00386035">
        <w:rPr>
          <w:lang w:val="es-ES"/>
        </w:rPr>
        <w:t>587</w:t>
      </w:r>
      <w:r>
        <w:rPr>
          <w:lang w:val="es-ES"/>
        </w:rPr>
        <w:t>.</w:t>
      </w:r>
      <w:r w:rsidR="009D03CA" w:rsidRPr="00386035">
        <w:rPr>
          <w:lang w:val="es-ES"/>
        </w:rPr>
        <w:t xml:space="preserve">500 </w:t>
      </w:r>
      <w:r w:rsidRPr="00386035">
        <w:rPr>
          <w:lang w:val="es-ES"/>
        </w:rPr>
        <w:t xml:space="preserve">$ EUA </w:t>
      </w:r>
      <w:r>
        <w:rPr>
          <w:lang w:val="es-ES"/>
        </w:rPr>
        <w:t>para la eliminación total menos</w:t>
      </w:r>
      <w:r w:rsidR="008545B2" w:rsidRPr="00386035">
        <w:rPr>
          <w:lang w:val="es-ES"/>
        </w:rPr>
        <w:t xml:space="preserve"> 164</w:t>
      </w:r>
      <w:r>
        <w:rPr>
          <w:lang w:val="es-ES"/>
        </w:rPr>
        <w:t>.</w:t>
      </w:r>
      <w:r w:rsidR="008545B2" w:rsidRPr="00386035">
        <w:rPr>
          <w:lang w:val="es-ES"/>
        </w:rPr>
        <w:t xml:space="preserve">500 </w:t>
      </w:r>
      <w:r w:rsidRPr="00386035">
        <w:rPr>
          <w:lang w:val="es-ES"/>
        </w:rPr>
        <w:t xml:space="preserve">$ EUA </w:t>
      </w:r>
      <w:r>
        <w:rPr>
          <w:lang w:val="es-ES"/>
        </w:rPr>
        <w:t>que se habían aprobado para la reducción del</w:t>
      </w:r>
      <w:r w:rsidR="008545B2" w:rsidRPr="00386035">
        <w:rPr>
          <w:lang w:val="es-ES"/>
        </w:rPr>
        <w:t xml:space="preserve"> 35</w:t>
      </w:r>
      <w:r>
        <w:rPr>
          <w:lang w:val="es-ES"/>
        </w:rPr>
        <w:t>%</w:t>
      </w:r>
      <w:r w:rsidR="008545B2" w:rsidRPr="00386035">
        <w:rPr>
          <w:lang w:val="es-ES"/>
        </w:rPr>
        <w:t xml:space="preserve"> </w:t>
      </w:r>
      <w:r>
        <w:rPr>
          <w:lang w:val="es-ES"/>
        </w:rPr>
        <w:t>e</w:t>
      </w:r>
      <w:r w:rsidR="008545B2" w:rsidRPr="00386035">
        <w:rPr>
          <w:lang w:val="es-ES"/>
        </w:rPr>
        <w:t>n 2020)</w:t>
      </w:r>
      <w:r w:rsidR="007A6564" w:rsidRPr="00386035">
        <w:rPr>
          <w:lang w:val="es-ES"/>
        </w:rPr>
        <w:t xml:space="preserve"> </w:t>
      </w:r>
      <w:r>
        <w:rPr>
          <w:lang w:val="es-ES"/>
        </w:rPr>
        <w:t xml:space="preserve">y el proyecto de fortalecimiento institucional incluido en la </w:t>
      </w:r>
      <w:r w:rsidR="008C669C" w:rsidRPr="00386035">
        <w:rPr>
          <w:lang w:val="es-ES"/>
        </w:rPr>
        <w:t>etapa</w:t>
      </w:r>
      <w:r w:rsidR="006044B0" w:rsidRPr="00386035">
        <w:rPr>
          <w:lang w:val="es-ES"/>
        </w:rPr>
        <w:t xml:space="preserve"> II </w:t>
      </w:r>
      <w:r w:rsidR="00135B60" w:rsidRPr="00386035">
        <w:rPr>
          <w:lang w:val="es-ES"/>
        </w:rPr>
        <w:t>del plan de gestión de eliminación de los HCFC</w:t>
      </w:r>
      <w:r w:rsidR="00152A7C" w:rsidRPr="00386035">
        <w:rPr>
          <w:lang w:val="es-ES"/>
        </w:rPr>
        <w:t>,</w:t>
      </w:r>
      <w:r w:rsidR="007A6564" w:rsidRPr="00386035">
        <w:rPr>
          <w:lang w:val="es-ES"/>
        </w:rPr>
        <w:t xml:space="preserve"> </w:t>
      </w:r>
      <w:r w:rsidR="005571D0">
        <w:rPr>
          <w:lang w:val="es-ES"/>
        </w:rPr>
        <w:t xml:space="preserve">por la suma de </w:t>
      </w:r>
      <w:r w:rsidR="006044B0" w:rsidRPr="00386035">
        <w:rPr>
          <w:lang w:val="es-ES"/>
        </w:rPr>
        <w:t>212</w:t>
      </w:r>
      <w:r>
        <w:rPr>
          <w:lang w:val="es-ES"/>
        </w:rPr>
        <w:t>.</w:t>
      </w:r>
      <w:r w:rsidR="006044B0" w:rsidRPr="00386035">
        <w:rPr>
          <w:lang w:val="es-ES"/>
        </w:rPr>
        <w:t>500</w:t>
      </w:r>
      <w:r>
        <w:rPr>
          <w:lang w:val="es-ES"/>
        </w:rPr>
        <w:t xml:space="preserve"> </w:t>
      </w:r>
      <w:r w:rsidRPr="00386035">
        <w:rPr>
          <w:lang w:val="es-ES"/>
        </w:rPr>
        <w:t>$ EUA</w:t>
      </w:r>
      <w:r w:rsidR="007A6564" w:rsidRPr="00386035">
        <w:rPr>
          <w:lang w:val="es-ES"/>
        </w:rPr>
        <w:t xml:space="preserve">. </w:t>
      </w:r>
      <w:r w:rsidR="005571D0">
        <w:rPr>
          <w:lang w:val="es-ES"/>
        </w:rPr>
        <w:t xml:space="preserve">La financiación del primer </w:t>
      </w:r>
      <w:r w:rsidR="008C669C" w:rsidRPr="00386035">
        <w:rPr>
          <w:lang w:val="es-ES"/>
        </w:rPr>
        <w:t>tramo</w:t>
      </w:r>
      <w:r w:rsidR="007A6564" w:rsidRPr="00386035">
        <w:rPr>
          <w:lang w:val="es-ES"/>
        </w:rPr>
        <w:t xml:space="preserve"> </w:t>
      </w:r>
      <w:r w:rsidR="005571D0">
        <w:rPr>
          <w:lang w:val="es-ES"/>
        </w:rPr>
        <w:t>fue acordada tal como se presentó</w:t>
      </w:r>
      <w:r w:rsidR="008545B2" w:rsidRPr="00386035">
        <w:rPr>
          <w:lang w:val="es-ES"/>
        </w:rPr>
        <w:t xml:space="preserve">, </w:t>
      </w:r>
      <w:r w:rsidR="005571D0">
        <w:rPr>
          <w:lang w:val="es-ES"/>
        </w:rPr>
        <w:t>es decir</w:t>
      </w:r>
      <w:r w:rsidR="008545B2" w:rsidRPr="00386035">
        <w:rPr>
          <w:lang w:val="es-ES"/>
        </w:rPr>
        <w:t>,</w:t>
      </w:r>
      <w:r w:rsidR="00152A7C" w:rsidRPr="00386035">
        <w:rPr>
          <w:lang w:val="es-ES"/>
        </w:rPr>
        <w:t xml:space="preserve"> </w:t>
      </w:r>
      <w:r w:rsidR="007A6564" w:rsidRPr="00386035">
        <w:rPr>
          <w:lang w:val="es-ES"/>
        </w:rPr>
        <w:t>2</w:t>
      </w:r>
      <w:r w:rsidR="006E77CE" w:rsidRPr="00386035">
        <w:rPr>
          <w:lang w:val="es-ES"/>
        </w:rPr>
        <w:t>11</w:t>
      </w:r>
      <w:r w:rsidRPr="00386035">
        <w:rPr>
          <w:lang w:val="es-ES"/>
        </w:rPr>
        <w:t>.</w:t>
      </w:r>
      <w:r w:rsidR="007A6564" w:rsidRPr="00386035">
        <w:rPr>
          <w:lang w:val="es-ES"/>
        </w:rPr>
        <w:t>500</w:t>
      </w:r>
      <w:r w:rsidR="006E77CE" w:rsidRPr="00386035">
        <w:rPr>
          <w:lang w:val="es-ES"/>
        </w:rPr>
        <w:t xml:space="preserve"> </w:t>
      </w:r>
      <w:r w:rsidRPr="00386035">
        <w:rPr>
          <w:lang w:val="es-ES"/>
        </w:rPr>
        <w:t xml:space="preserve">$ EUA para actividades del </w:t>
      </w:r>
      <w:r w:rsidR="00135B60" w:rsidRPr="00386035">
        <w:rPr>
          <w:lang w:val="es-ES"/>
        </w:rPr>
        <w:t>plan de gestión de eliminación de los HCFC</w:t>
      </w:r>
      <w:r w:rsidR="006E77CE" w:rsidRPr="00386035">
        <w:rPr>
          <w:lang w:val="es-ES"/>
        </w:rPr>
        <w:t xml:space="preserve">, </w:t>
      </w:r>
      <w:r w:rsidRPr="00386035">
        <w:rPr>
          <w:lang w:val="es-ES"/>
        </w:rPr>
        <w:t>y</w:t>
      </w:r>
      <w:r w:rsidR="006E77CE" w:rsidRPr="00386035">
        <w:rPr>
          <w:lang w:val="es-ES"/>
        </w:rPr>
        <w:t xml:space="preserve"> 85</w:t>
      </w:r>
      <w:r w:rsidRPr="00386035">
        <w:rPr>
          <w:lang w:val="es-ES"/>
        </w:rPr>
        <w:t>.</w:t>
      </w:r>
      <w:r w:rsidR="006E77CE" w:rsidRPr="00386035">
        <w:rPr>
          <w:lang w:val="es-ES"/>
        </w:rPr>
        <w:t xml:space="preserve">000 </w:t>
      </w:r>
      <w:r w:rsidRPr="00386035">
        <w:rPr>
          <w:lang w:val="es-ES"/>
        </w:rPr>
        <w:t xml:space="preserve">$ EUA </w:t>
      </w:r>
      <w:r w:rsidR="005571D0">
        <w:rPr>
          <w:lang w:val="es-ES"/>
        </w:rPr>
        <w:t>para el proyecto de fortalecimiento institucional</w:t>
      </w:r>
      <w:r w:rsidR="007A6564" w:rsidRPr="00386035">
        <w:rPr>
          <w:lang w:val="es-ES"/>
        </w:rPr>
        <w:t xml:space="preserve">. </w:t>
      </w:r>
    </w:p>
    <w:p w14:paraId="2423B24C" w14:textId="18D39850" w:rsidR="007A6564" w:rsidRPr="00386035" w:rsidRDefault="007A6564" w:rsidP="007A6564">
      <w:pPr>
        <w:keepNext/>
        <w:spacing w:after="240"/>
        <w:rPr>
          <w:u w:val="single"/>
          <w:lang w:val="es-ES"/>
        </w:rPr>
      </w:pPr>
      <w:r w:rsidRPr="00386035">
        <w:rPr>
          <w:u w:val="single"/>
          <w:lang w:val="es-ES"/>
        </w:rPr>
        <w:t>Impact</w:t>
      </w:r>
      <w:r w:rsidR="00F6067A" w:rsidRPr="00386035">
        <w:rPr>
          <w:u w:val="single"/>
          <w:lang w:val="es-ES"/>
        </w:rPr>
        <w:t>o en el clima</w:t>
      </w:r>
    </w:p>
    <w:p w14:paraId="110C9F40" w14:textId="0D8F8C74" w:rsidR="007A6564" w:rsidRPr="00386035" w:rsidRDefault="005E3093" w:rsidP="00BB6FE1">
      <w:pPr>
        <w:pStyle w:val="Heading1"/>
        <w:tabs>
          <w:tab w:val="clear" w:pos="0"/>
          <w:tab w:val="clear" w:pos="1985"/>
        </w:tabs>
        <w:rPr>
          <w:lang w:val="es-ES"/>
        </w:rPr>
      </w:pPr>
      <w:r w:rsidRPr="00386035">
        <w:rPr>
          <w:lang w:val="es-ES"/>
        </w:rPr>
        <w:t xml:space="preserve">Las actividades propuestas en el sector de mantenimiento </w:t>
      </w:r>
      <w:r w:rsidRPr="005E3093">
        <w:rPr>
          <w:lang w:val="es-ES"/>
        </w:rPr>
        <w:t>de equipos de refrigeración</w:t>
      </w:r>
      <w:r w:rsidR="007A6564" w:rsidRPr="005E3093">
        <w:rPr>
          <w:lang w:val="es-ES"/>
        </w:rPr>
        <w:t xml:space="preserve">, </w:t>
      </w:r>
      <w:r w:rsidRPr="005E3093">
        <w:rPr>
          <w:lang w:val="es-ES"/>
        </w:rPr>
        <w:t>que incluyen mejorar la contenci</w:t>
      </w:r>
      <w:r>
        <w:rPr>
          <w:lang w:val="es-ES"/>
        </w:rPr>
        <w:t xml:space="preserve">ón de los refrigerantes mediante la capacitación y la entrega de equipos, </w:t>
      </w:r>
      <w:proofErr w:type="gramStart"/>
      <w:r>
        <w:rPr>
          <w:lang w:val="es-ES"/>
        </w:rPr>
        <w:t>reducirá</w:t>
      </w:r>
      <w:proofErr w:type="gramEnd"/>
      <w:r>
        <w:rPr>
          <w:lang w:val="es-ES"/>
        </w:rPr>
        <w:t xml:space="preserve"> la cantidad de HCFC</w:t>
      </w:r>
      <w:r>
        <w:rPr>
          <w:lang w:val="es-ES"/>
        </w:rPr>
        <w:noBreakHyphen/>
        <w:t>22 usa</w:t>
      </w:r>
      <w:r w:rsidR="007A6564" w:rsidRPr="005E3093">
        <w:rPr>
          <w:lang w:val="es-ES"/>
        </w:rPr>
        <w:t>d</w:t>
      </w:r>
      <w:r>
        <w:rPr>
          <w:lang w:val="es-ES"/>
        </w:rPr>
        <w:t>a para el mantenimiento de equipos de refrigeración</w:t>
      </w:r>
      <w:r w:rsidR="007A6564" w:rsidRPr="005E3093">
        <w:rPr>
          <w:lang w:val="es-ES"/>
        </w:rPr>
        <w:t>.</w:t>
      </w:r>
      <w:r w:rsidR="002A6368" w:rsidRPr="005E3093">
        <w:rPr>
          <w:lang w:val="es-ES"/>
        </w:rPr>
        <w:t xml:space="preserve"> </w:t>
      </w:r>
      <w:r w:rsidRPr="005E3093">
        <w:rPr>
          <w:lang w:val="es-ES"/>
        </w:rPr>
        <w:t xml:space="preserve">Cada kilogramo de </w:t>
      </w:r>
      <w:r w:rsidR="007A6564" w:rsidRPr="005E3093">
        <w:rPr>
          <w:lang w:val="es-ES"/>
        </w:rPr>
        <w:t>HCFC-22 no</w:t>
      </w:r>
      <w:r w:rsidRPr="005E3093">
        <w:rPr>
          <w:lang w:val="es-ES"/>
        </w:rPr>
        <w:t xml:space="preserve"> emitido gracias a mejores pr</w:t>
      </w:r>
      <w:r>
        <w:rPr>
          <w:lang w:val="es-ES"/>
        </w:rPr>
        <w:t>á</w:t>
      </w:r>
      <w:r w:rsidRPr="005E3093">
        <w:rPr>
          <w:lang w:val="es-ES"/>
        </w:rPr>
        <w:t xml:space="preserve">cticas </w:t>
      </w:r>
      <w:r>
        <w:rPr>
          <w:lang w:val="es-ES"/>
        </w:rPr>
        <w:t xml:space="preserve">de refrigeración </w:t>
      </w:r>
      <w:r w:rsidR="00386035">
        <w:rPr>
          <w:lang w:val="es-ES"/>
        </w:rPr>
        <w:t xml:space="preserve">redunda en un ahorro de aproximadamente </w:t>
      </w:r>
      <w:r w:rsidR="007A6564" w:rsidRPr="005E3093">
        <w:rPr>
          <w:lang w:val="es-ES"/>
        </w:rPr>
        <w:t>1</w:t>
      </w:r>
      <w:r w:rsidR="00386035">
        <w:rPr>
          <w:lang w:val="es-ES"/>
        </w:rPr>
        <w:t>,</w:t>
      </w:r>
      <w:r w:rsidR="007A6564" w:rsidRPr="005E3093">
        <w:rPr>
          <w:lang w:val="es-ES"/>
        </w:rPr>
        <w:t>8</w:t>
      </w:r>
      <w:r w:rsidR="00364CF1" w:rsidRPr="005E3093">
        <w:rPr>
          <w:lang w:val="es-ES"/>
        </w:rPr>
        <w:t> </w:t>
      </w:r>
      <w:r w:rsidR="00386035">
        <w:rPr>
          <w:lang w:val="es-ES"/>
        </w:rPr>
        <w:t xml:space="preserve">toneladas de equivalente de </w:t>
      </w:r>
      <w:r w:rsidR="007A6564" w:rsidRPr="005E3093">
        <w:rPr>
          <w:lang w:val="es-ES"/>
        </w:rPr>
        <w:t>CO</w:t>
      </w:r>
      <w:r w:rsidR="007A6564" w:rsidRPr="005E3093">
        <w:rPr>
          <w:vertAlign w:val="subscript"/>
          <w:lang w:val="es-ES"/>
        </w:rPr>
        <w:t>2</w:t>
      </w:r>
      <w:r w:rsidR="007A6564" w:rsidRPr="005E3093">
        <w:rPr>
          <w:lang w:val="es-ES"/>
        </w:rPr>
        <w:t xml:space="preserve">. </w:t>
      </w:r>
      <w:r w:rsidR="007A6564" w:rsidRPr="00386035">
        <w:rPr>
          <w:lang w:val="es-ES"/>
        </w:rPr>
        <w:t>A</w:t>
      </w:r>
      <w:r w:rsidR="00386035" w:rsidRPr="00386035">
        <w:rPr>
          <w:lang w:val="es-ES"/>
        </w:rPr>
        <w:t>unque en el plan de gestión de eliminaci</w:t>
      </w:r>
      <w:r w:rsidR="00386035">
        <w:rPr>
          <w:lang w:val="es-ES"/>
        </w:rPr>
        <w:t>ón de los HCFC</w:t>
      </w:r>
      <w:r w:rsidR="00386035" w:rsidRPr="00386035">
        <w:rPr>
          <w:lang w:val="es-ES"/>
        </w:rPr>
        <w:t xml:space="preserve"> no se incluyó un cálculo del impacto en el clima</w:t>
      </w:r>
      <w:r w:rsidR="007A6564" w:rsidRPr="00386035">
        <w:rPr>
          <w:lang w:val="es-ES"/>
        </w:rPr>
        <w:t xml:space="preserve">, </w:t>
      </w:r>
      <w:r w:rsidR="00386035">
        <w:rPr>
          <w:lang w:val="es-ES"/>
        </w:rPr>
        <w:t xml:space="preserve">las actividades previstas por </w:t>
      </w:r>
      <w:r w:rsidR="007A6564" w:rsidRPr="00386035">
        <w:rPr>
          <w:lang w:val="es-ES"/>
        </w:rPr>
        <w:t xml:space="preserve">Montenegro, </w:t>
      </w:r>
      <w:r w:rsidR="00386035">
        <w:rPr>
          <w:lang w:val="es-ES"/>
        </w:rPr>
        <w:t>entre otras, sus esfuerzos para promover alternativas con bajo PCA</w:t>
      </w:r>
      <w:r w:rsidR="007A6564" w:rsidRPr="00386035">
        <w:rPr>
          <w:lang w:val="es-ES"/>
        </w:rPr>
        <w:t>, as</w:t>
      </w:r>
      <w:r w:rsidR="00386035">
        <w:rPr>
          <w:lang w:val="es-ES"/>
        </w:rPr>
        <w:t>í como la recuperación y reutilización de refrigerantes</w:t>
      </w:r>
      <w:r w:rsidR="007A6564" w:rsidRPr="00386035">
        <w:rPr>
          <w:lang w:val="es-ES"/>
        </w:rPr>
        <w:t xml:space="preserve">, </w:t>
      </w:r>
      <w:r w:rsidR="00386035">
        <w:rPr>
          <w:lang w:val="es-ES"/>
        </w:rPr>
        <w:t xml:space="preserve">indican que la ejecución del </w:t>
      </w:r>
      <w:r w:rsidR="00135B60" w:rsidRPr="00386035">
        <w:rPr>
          <w:lang w:val="es-ES"/>
        </w:rPr>
        <w:t>plan de gestión de eliminación de los HCFC</w:t>
      </w:r>
      <w:r w:rsidR="007A6564" w:rsidRPr="00386035">
        <w:rPr>
          <w:lang w:val="es-ES"/>
        </w:rPr>
        <w:t xml:space="preserve"> </w:t>
      </w:r>
      <w:r w:rsidR="002429C7" w:rsidRPr="00386035">
        <w:rPr>
          <w:lang w:val="es-ES"/>
        </w:rPr>
        <w:t>reducirá la emis</w:t>
      </w:r>
      <w:r w:rsidR="007A6564" w:rsidRPr="00386035">
        <w:rPr>
          <w:lang w:val="es-ES"/>
        </w:rPr>
        <w:t>i</w:t>
      </w:r>
      <w:r w:rsidR="002429C7" w:rsidRPr="00386035">
        <w:rPr>
          <w:lang w:val="es-ES"/>
        </w:rPr>
        <w:t>ó</w:t>
      </w:r>
      <w:r w:rsidR="007A6564" w:rsidRPr="00386035">
        <w:rPr>
          <w:lang w:val="es-ES"/>
        </w:rPr>
        <w:t xml:space="preserve">n </w:t>
      </w:r>
      <w:r w:rsidR="002429C7" w:rsidRPr="00386035">
        <w:rPr>
          <w:lang w:val="es-ES"/>
        </w:rPr>
        <w:t>de</w:t>
      </w:r>
      <w:r w:rsidR="007A6564" w:rsidRPr="00386035">
        <w:rPr>
          <w:lang w:val="es-ES"/>
        </w:rPr>
        <w:t xml:space="preserve"> refrigerant</w:t>
      </w:r>
      <w:r w:rsidR="002429C7" w:rsidRPr="00386035">
        <w:rPr>
          <w:lang w:val="es-ES"/>
        </w:rPr>
        <w:t>e</w:t>
      </w:r>
      <w:r w:rsidR="007A6564" w:rsidRPr="00386035">
        <w:rPr>
          <w:lang w:val="es-ES"/>
        </w:rPr>
        <w:t xml:space="preserve">s </w:t>
      </w:r>
      <w:r w:rsidR="00386035">
        <w:rPr>
          <w:lang w:val="es-ES"/>
        </w:rPr>
        <w:t>a la atmósfera y traerá consigo beneficios para el clima</w:t>
      </w:r>
      <w:r w:rsidR="007A6564" w:rsidRPr="00386035">
        <w:rPr>
          <w:lang w:val="es-ES"/>
        </w:rPr>
        <w:t xml:space="preserve">. </w:t>
      </w:r>
    </w:p>
    <w:p w14:paraId="2C4615F8" w14:textId="1378231E" w:rsidR="007A6564" w:rsidRPr="00DB24E5" w:rsidRDefault="007A6564" w:rsidP="007A6564">
      <w:pPr>
        <w:pStyle w:val="Heading1"/>
        <w:keepNext/>
        <w:numPr>
          <w:ilvl w:val="0"/>
          <w:numId w:val="0"/>
        </w:numPr>
        <w:rPr>
          <w:b/>
          <w:lang w:val="es-ES"/>
        </w:rPr>
      </w:pPr>
      <w:r w:rsidRPr="00DB24E5">
        <w:rPr>
          <w:b/>
          <w:lang w:val="es-ES"/>
        </w:rPr>
        <w:t>Co</w:t>
      </w:r>
      <w:r w:rsidR="00F6067A" w:rsidRPr="00DB24E5">
        <w:rPr>
          <w:b/>
          <w:lang w:val="es-ES"/>
        </w:rPr>
        <w:t>financiación</w:t>
      </w:r>
    </w:p>
    <w:p w14:paraId="17C59C05" w14:textId="5FF16D81" w:rsidR="007A6564" w:rsidRPr="00DB24E5" w:rsidRDefault="0016768F" w:rsidP="00F85F14">
      <w:pPr>
        <w:pStyle w:val="Heading1"/>
        <w:tabs>
          <w:tab w:val="clear" w:pos="0"/>
          <w:tab w:val="clear" w:pos="1985"/>
        </w:tabs>
        <w:rPr>
          <w:lang w:val="es-ES"/>
        </w:rPr>
      </w:pPr>
      <w:r w:rsidRPr="00DB24E5">
        <w:rPr>
          <w:lang w:val="es-ES"/>
        </w:rPr>
        <w:t>El Gobierno y los principal</w:t>
      </w:r>
      <w:r w:rsidR="002429C7" w:rsidRPr="00DB24E5">
        <w:rPr>
          <w:lang w:val="es-ES"/>
        </w:rPr>
        <w:t>e</w:t>
      </w:r>
      <w:r w:rsidRPr="00DB24E5">
        <w:rPr>
          <w:lang w:val="es-ES"/>
        </w:rPr>
        <w:t>s interesados del país apoyarán la elaboración de programas y proyectos con sus capacidades técnicas y logísticas</w:t>
      </w:r>
      <w:r w:rsidR="007A6564" w:rsidRPr="00DB24E5">
        <w:rPr>
          <w:lang w:val="es-ES"/>
        </w:rPr>
        <w:t>.</w:t>
      </w:r>
    </w:p>
    <w:p w14:paraId="12FF25E4" w14:textId="150E2945" w:rsidR="007A6564" w:rsidRPr="00DB24E5" w:rsidRDefault="00F6067A" w:rsidP="007A6564">
      <w:pPr>
        <w:pStyle w:val="Heading1"/>
        <w:keepNext/>
        <w:widowControl w:val="0"/>
        <w:numPr>
          <w:ilvl w:val="0"/>
          <w:numId w:val="0"/>
        </w:numPr>
        <w:rPr>
          <w:b/>
          <w:lang w:val="es-ES"/>
        </w:rPr>
      </w:pPr>
      <w:r w:rsidRPr="00DB24E5">
        <w:rPr>
          <w:b/>
          <w:lang w:val="es-ES"/>
        </w:rPr>
        <w:t>Proyecto de plan administrativ</w:t>
      </w:r>
      <w:r w:rsidR="0016768F" w:rsidRPr="00DB24E5">
        <w:rPr>
          <w:b/>
          <w:lang w:val="es-ES"/>
        </w:rPr>
        <w:t>o</w:t>
      </w:r>
      <w:r w:rsidRPr="00DB24E5">
        <w:rPr>
          <w:b/>
          <w:lang w:val="es-ES"/>
        </w:rPr>
        <w:t xml:space="preserve"> </w:t>
      </w:r>
      <w:r w:rsidR="0016768F" w:rsidRPr="00DB24E5">
        <w:rPr>
          <w:b/>
          <w:lang w:val="es-ES"/>
        </w:rPr>
        <w:t>del Fon</w:t>
      </w:r>
      <w:r w:rsidRPr="00DB24E5">
        <w:rPr>
          <w:b/>
          <w:lang w:val="es-ES"/>
        </w:rPr>
        <w:t xml:space="preserve">do Multilateral para </w:t>
      </w:r>
      <w:r w:rsidR="007A6564" w:rsidRPr="00DB24E5">
        <w:rPr>
          <w:b/>
          <w:lang w:val="es-ES"/>
        </w:rPr>
        <w:t>20</w:t>
      </w:r>
      <w:r w:rsidR="00364CF1" w:rsidRPr="00DB24E5">
        <w:rPr>
          <w:b/>
          <w:lang w:val="es-ES"/>
        </w:rPr>
        <w:t>20</w:t>
      </w:r>
      <w:r w:rsidR="007A6564" w:rsidRPr="00DB24E5">
        <w:rPr>
          <w:b/>
          <w:lang w:val="es-ES"/>
        </w:rPr>
        <w:t>-202</w:t>
      </w:r>
      <w:r w:rsidR="00364CF1" w:rsidRPr="00DB24E5">
        <w:rPr>
          <w:b/>
          <w:lang w:val="es-ES"/>
        </w:rPr>
        <w:t>2</w:t>
      </w:r>
      <w:r w:rsidR="007A6564" w:rsidRPr="00DB24E5">
        <w:rPr>
          <w:b/>
          <w:lang w:val="es-ES"/>
        </w:rPr>
        <w:t xml:space="preserve"> </w:t>
      </w:r>
    </w:p>
    <w:p w14:paraId="0595A0E4" w14:textId="325C0F38" w:rsidR="00413594" w:rsidRPr="00DB24E5" w:rsidRDefault="0088461E" w:rsidP="00F85F14">
      <w:pPr>
        <w:pStyle w:val="Heading1"/>
        <w:keepNext/>
        <w:tabs>
          <w:tab w:val="clear" w:pos="1985"/>
        </w:tabs>
        <w:rPr>
          <w:lang w:val="es-ES"/>
        </w:rPr>
      </w:pPr>
      <w:r w:rsidRPr="00DB24E5">
        <w:rPr>
          <w:lang w:val="es-ES"/>
        </w:rPr>
        <w:t>La ONUDI</w:t>
      </w:r>
      <w:r w:rsidR="007A6564" w:rsidRPr="00DB24E5">
        <w:rPr>
          <w:lang w:val="es-ES"/>
        </w:rPr>
        <w:t xml:space="preserve"> </w:t>
      </w:r>
      <w:r w:rsidR="0016768F" w:rsidRPr="00DB24E5">
        <w:rPr>
          <w:lang w:val="es-ES"/>
        </w:rPr>
        <w:t xml:space="preserve">está solicitando </w:t>
      </w:r>
      <w:r w:rsidR="007A6564" w:rsidRPr="00DB24E5">
        <w:rPr>
          <w:lang w:val="es-ES"/>
        </w:rPr>
        <w:t>679</w:t>
      </w:r>
      <w:r w:rsidR="005E3093">
        <w:rPr>
          <w:lang w:val="es-ES"/>
        </w:rPr>
        <w:t>.</w:t>
      </w:r>
      <w:r w:rsidR="007A6564" w:rsidRPr="00DB24E5">
        <w:rPr>
          <w:lang w:val="es-ES"/>
        </w:rPr>
        <w:t>985</w:t>
      </w:r>
      <w:r w:rsidR="005E3093">
        <w:rPr>
          <w:lang w:val="es-ES"/>
        </w:rPr>
        <w:t xml:space="preserve"> </w:t>
      </w:r>
      <w:r w:rsidR="005E3093" w:rsidRPr="00DB24E5">
        <w:rPr>
          <w:lang w:val="es-ES"/>
        </w:rPr>
        <w:t>$ EUA</w:t>
      </w:r>
      <w:r w:rsidR="007A6564" w:rsidRPr="00DB24E5">
        <w:rPr>
          <w:lang w:val="es-ES"/>
        </w:rPr>
        <w:t xml:space="preserve"> (</w:t>
      </w:r>
      <w:r w:rsidR="0016768F" w:rsidRPr="00DB24E5">
        <w:rPr>
          <w:lang w:val="es-ES"/>
        </w:rPr>
        <w:t>que incluyen los gastos de apoyo</w:t>
      </w:r>
      <w:r w:rsidR="007A6564" w:rsidRPr="00DB24E5">
        <w:rPr>
          <w:lang w:val="es-ES"/>
        </w:rPr>
        <w:t xml:space="preserve">) </w:t>
      </w:r>
      <w:r w:rsidR="002429C7" w:rsidRPr="00DB24E5">
        <w:rPr>
          <w:lang w:val="es-ES"/>
        </w:rPr>
        <w:t xml:space="preserve">para la ejecución de la etapa </w:t>
      </w:r>
      <w:r w:rsidR="007A6564" w:rsidRPr="00DB24E5">
        <w:rPr>
          <w:lang w:val="es-ES"/>
        </w:rPr>
        <w:t xml:space="preserve">II </w:t>
      </w:r>
      <w:r w:rsidR="002429C7" w:rsidRPr="00DB24E5">
        <w:rPr>
          <w:lang w:val="es-ES"/>
        </w:rPr>
        <w:t>del plan de gestión de eliminación de los HCFC para</w:t>
      </w:r>
      <w:r w:rsidR="007A6564" w:rsidRPr="00DB24E5">
        <w:rPr>
          <w:lang w:val="es-ES"/>
        </w:rPr>
        <w:t xml:space="preserve"> Montenegro. </w:t>
      </w:r>
      <w:r w:rsidR="002429C7" w:rsidRPr="00DB24E5">
        <w:rPr>
          <w:lang w:val="es-ES"/>
        </w:rPr>
        <w:t>El valor total solicitado de</w:t>
      </w:r>
      <w:r w:rsidR="007A6564" w:rsidRPr="00DB24E5">
        <w:rPr>
          <w:lang w:val="es-ES"/>
        </w:rPr>
        <w:t xml:space="preserve"> </w:t>
      </w:r>
      <w:r w:rsidR="002429C7" w:rsidRPr="00DB24E5">
        <w:rPr>
          <w:lang w:val="es-ES"/>
        </w:rPr>
        <w:t>504</w:t>
      </w:r>
      <w:r w:rsidR="005E3093">
        <w:rPr>
          <w:lang w:val="es-ES"/>
        </w:rPr>
        <w:t>.</w:t>
      </w:r>
      <w:r w:rsidR="002429C7" w:rsidRPr="00DB24E5">
        <w:rPr>
          <w:lang w:val="es-ES"/>
        </w:rPr>
        <w:t>505</w:t>
      </w:r>
      <w:r w:rsidR="005E3093">
        <w:rPr>
          <w:lang w:val="es-ES"/>
        </w:rPr>
        <w:t xml:space="preserve"> $ EUA</w:t>
      </w:r>
      <w:r w:rsidR="002429C7" w:rsidRPr="00DB24E5">
        <w:rPr>
          <w:lang w:val="es-ES"/>
        </w:rPr>
        <w:t>, que incluye los gastos de apoyo para el período</w:t>
      </w:r>
      <w:r w:rsidR="007A6564" w:rsidRPr="00DB24E5">
        <w:rPr>
          <w:lang w:val="es-ES"/>
        </w:rPr>
        <w:t xml:space="preserve"> 2020–2022, </w:t>
      </w:r>
      <w:r w:rsidR="002429C7" w:rsidRPr="00DB24E5">
        <w:rPr>
          <w:lang w:val="es-ES"/>
        </w:rPr>
        <w:t>supera la cifra establecida en el plan administrativo</w:t>
      </w:r>
      <w:r w:rsidR="005E3093" w:rsidRPr="005E3093">
        <w:rPr>
          <w:lang w:val="es-ES"/>
        </w:rPr>
        <w:t xml:space="preserve"> </w:t>
      </w:r>
      <w:r w:rsidR="005E3093" w:rsidRPr="00DB24E5">
        <w:rPr>
          <w:lang w:val="es-ES"/>
        </w:rPr>
        <w:t>en 188</w:t>
      </w:r>
      <w:r w:rsidR="005E3093">
        <w:rPr>
          <w:lang w:val="es-ES"/>
        </w:rPr>
        <w:t>.</w:t>
      </w:r>
      <w:r w:rsidR="005E3093" w:rsidRPr="00DB24E5">
        <w:rPr>
          <w:lang w:val="es-ES"/>
        </w:rPr>
        <w:t>625 $ EUA</w:t>
      </w:r>
      <w:r w:rsidR="007A6564" w:rsidRPr="00DB24E5">
        <w:rPr>
          <w:lang w:val="es-ES"/>
        </w:rPr>
        <w:t xml:space="preserve">. </w:t>
      </w:r>
    </w:p>
    <w:p w14:paraId="5267E423" w14:textId="2C1B3304" w:rsidR="007A6564" w:rsidRPr="00DB24E5" w:rsidRDefault="0088461E" w:rsidP="007A6564">
      <w:pPr>
        <w:pStyle w:val="Heading1"/>
        <w:numPr>
          <w:ilvl w:val="0"/>
          <w:numId w:val="0"/>
        </w:numPr>
        <w:rPr>
          <w:b/>
          <w:lang w:val="es-ES"/>
        </w:rPr>
      </w:pPr>
      <w:r w:rsidRPr="00DB24E5">
        <w:rPr>
          <w:b/>
          <w:lang w:val="es-ES"/>
        </w:rPr>
        <w:t>Proyecto de acuerdo</w:t>
      </w:r>
      <w:r w:rsidR="007A6564" w:rsidRPr="00DB24E5">
        <w:rPr>
          <w:b/>
          <w:lang w:val="es-ES"/>
        </w:rPr>
        <w:t xml:space="preserve"> </w:t>
      </w:r>
    </w:p>
    <w:p w14:paraId="76A801E8" w14:textId="1BB73ED0" w:rsidR="007A6564" w:rsidRPr="00DB24E5" w:rsidRDefault="002429C7" w:rsidP="00F07B7A">
      <w:pPr>
        <w:pStyle w:val="Heading1"/>
        <w:tabs>
          <w:tab w:val="clear" w:pos="0"/>
          <w:tab w:val="clear" w:pos="1985"/>
        </w:tabs>
        <w:rPr>
          <w:lang w:val="es-ES"/>
        </w:rPr>
      </w:pPr>
      <w:r w:rsidRPr="00DB24E5">
        <w:rPr>
          <w:lang w:val="es-ES"/>
        </w:rPr>
        <w:t xml:space="preserve">En el anexo I del presente informe figura un proyecto de acuerdo entre el Gobierno de </w:t>
      </w:r>
      <w:r w:rsidR="007A6564" w:rsidRPr="00DB24E5">
        <w:rPr>
          <w:lang w:val="es-ES"/>
        </w:rPr>
        <w:t xml:space="preserve">Montenegro </w:t>
      </w:r>
      <w:r w:rsidRPr="00DB24E5">
        <w:rPr>
          <w:lang w:val="es-ES"/>
        </w:rPr>
        <w:t xml:space="preserve">y el Comité Ejecutivo para la eliminación de los </w:t>
      </w:r>
      <w:r w:rsidR="007A6564" w:rsidRPr="00DB24E5">
        <w:rPr>
          <w:lang w:val="es-ES"/>
        </w:rPr>
        <w:t>HCFC</w:t>
      </w:r>
      <w:r w:rsidRPr="00DB24E5">
        <w:rPr>
          <w:lang w:val="es-ES"/>
        </w:rPr>
        <w:t xml:space="preserve"> en la etapa</w:t>
      </w:r>
      <w:r w:rsidR="00306EAB" w:rsidRPr="00DB24E5">
        <w:rPr>
          <w:lang w:val="es-ES"/>
        </w:rPr>
        <w:t> </w:t>
      </w:r>
      <w:r w:rsidR="007A6564" w:rsidRPr="00DB24E5">
        <w:rPr>
          <w:lang w:val="es-ES"/>
        </w:rPr>
        <w:t xml:space="preserve">II </w:t>
      </w:r>
      <w:r w:rsidRPr="00DB24E5">
        <w:rPr>
          <w:lang w:val="es-ES"/>
        </w:rPr>
        <w:t>del plan de gestión de eliminación de los HCFC</w:t>
      </w:r>
      <w:r w:rsidR="007A6564" w:rsidRPr="00DB24E5">
        <w:rPr>
          <w:lang w:val="es-ES"/>
        </w:rPr>
        <w:t>.</w:t>
      </w:r>
    </w:p>
    <w:p w14:paraId="2545F409" w14:textId="4E095757" w:rsidR="007A6564" w:rsidRPr="00DB24E5" w:rsidRDefault="0088461E" w:rsidP="007A6564">
      <w:pPr>
        <w:pStyle w:val="Heading1"/>
        <w:keepNext/>
        <w:numPr>
          <w:ilvl w:val="0"/>
          <w:numId w:val="0"/>
        </w:numPr>
        <w:autoSpaceDE w:val="0"/>
        <w:autoSpaceDN w:val="0"/>
        <w:adjustRightInd w:val="0"/>
        <w:rPr>
          <w:b/>
          <w:lang w:val="es-ES"/>
        </w:rPr>
      </w:pPr>
      <w:r w:rsidRPr="00DB24E5">
        <w:rPr>
          <w:b/>
          <w:lang w:val="es-ES"/>
        </w:rPr>
        <w:t>RECOM</w:t>
      </w:r>
      <w:r w:rsidR="007A6564" w:rsidRPr="00DB24E5">
        <w:rPr>
          <w:b/>
          <w:lang w:val="es-ES"/>
        </w:rPr>
        <w:t>ENDA</w:t>
      </w:r>
      <w:r w:rsidRPr="00DB24E5">
        <w:rPr>
          <w:b/>
          <w:lang w:val="es-ES"/>
        </w:rPr>
        <w:t>C</w:t>
      </w:r>
      <w:r w:rsidR="007A6564" w:rsidRPr="00DB24E5">
        <w:rPr>
          <w:b/>
          <w:lang w:val="es-ES"/>
        </w:rPr>
        <w:t>I</w:t>
      </w:r>
      <w:r w:rsidRPr="00DB24E5">
        <w:rPr>
          <w:b/>
          <w:lang w:val="es-ES"/>
        </w:rPr>
        <w:t>Ó</w:t>
      </w:r>
      <w:r w:rsidR="007A6564" w:rsidRPr="00DB24E5">
        <w:rPr>
          <w:b/>
          <w:lang w:val="es-ES"/>
        </w:rPr>
        <w:t xml:space="preserve">N </w:t>
      </w:r>
    </w:p>
    <w:p w14:paraId="07AFBEB0" w14:textId="5EB81EC6" w:rsidR="007A6564" w:rsidRPr="00DB24E5" w:rsidRDefault="0088461E" w:rsidP="00316753">
      <w:pPr>
        <w:pStyle w:val="Heading1"/>
        <w:keepNext/>
        <w:tabs>
          <w:tab w:val="clear" w:pos="0"/>
          <w:tab w:val="clear" w:pos="1985"/>
        </w:tabs>
        <w:rPr>
          <w:u w:val="single"/>
          <w:lang w:val="es-ES"/>
        </w:rPr>
      </w:pPr>
      <w:r w:rsidRPr="00DB24E5">
        <w:rPr>
          <w:lang w:val="es-ES"/>
        </w:rPr>
        <w:t>El Comité Ejecutivo tal vez desee examinar la posibilidad de</w:t>
      </w:r>
      <w:r w:rsidR="007A6564" w:rsidRPr="00DB24E5">
        <w:rPr>
          <w:lang w:val="es-ES"/>
        </w:rPr>
        <w:t>:</w:t>
      </w:r>
    </w:p>
    <w:p w14:paraId="7C331481" w14:textId="518AB5F4" w:rsidR="007A6564" w:rsidRPr="00DB24E5" w:rsidRDefault="00E05D67" w:rsidP="007A6564">
      <w:pPr>
        <w:pStyle w:val="Heading2"/>
        <w:numPr>
          <w:ilvl w:val="1"/>
          <w:numId w:val="1"/>
        </w:numPr>
        <w:tabs>
          <w:tab w:val="clear" w:pos="-720"/>
          <w:tab w:val="num" w:pos="0"/>
        </w:tabs>
        <w:ind w:left="1440"/>
        <w:rPr>
          <w:lang w:val="es-ES"/>
        </w:rPr>
      </w:pPr>
      <w:r w:rsidRPr="00DB24E5">
        <w:rPr>
          <w:lang w:val="es-ES"/>
        </w:rPr>
        <w:t>Aprobar, en principio</w:t>
      </w:r>
      <w:r w:rsidR="007A6564" w:rsidRPr="00DB24E5">
        <w:rPr>
          <w:lang w:val="es-ES"/>
        </w:rPr>
        <w:t xml:space="preserve">, </w:t>
      </w:r>
      <w:r w:rsidRPr="00DB24E5">
        <w:rPr>
          <w:lang w:val="es-ES"/>
        </w:rPr>
        <w:t>la etapa II del plan de gestión de eliminación de los HCFC para</w:t>
      </w:r>
      <w:r w:rsidR="007A6564" w:rsidRPr="00DB24E5">
        <w:rPr>
          <w:lang w:val="es-ES"/>
        </w:rPr>
        <w:t xml:space="preserve"> Montenegro </w:t>
      </w:r>
      <w:r w:rsidRPr="00DB24E5">
        <w:rPr>
          <w:lang w:val="es-ES"/>
        </w:rPr>
        <w:t>para el período comprendido entre</w:t>
      </w:r>
      <w:r w:rsidR="007A6564" w:rsidRPr="00DB24E5">
        <w:rPr>
          <w:lang w:val="es-ES"/>
        </w:rPr>
        <w:t xml:space="preserve"> 2020 </w:t>
      </w:r>
      <w:r w:rsidRPr="00DB24E5">
        <w:rPr>
          <w:lang w:val="es-ES"/>
        </w:rPr>
        <w:t>y</w:t>
      </w:r>
      <w:r w:rsidR="007A6564" w:rsidRPr="00DB24E5">
        <w:rPr>
          <w:lang w:val="es-ES"/>
        </w:rPr>
        <w:t xml:space="preserve"> 2025 </w:t>
      </w:r>
      <w:r w:rsidRPr="00DB24E5">
        <w:rPr>
          <w:lang w:val="es-ES"/>
        </w:rPr>
        <w:t xml:space="preserve">con miras a la eliminación completa del consumo de </w:t>
      </w:r>
      <w:r w:rsidR="007A6564" w:rsidRPr="00DB24E5">
        <w:rPr>
          <w:lang w:val="es-ES"/>
        </w:rPr>
        <w:t xml:space="preserve">HCFC, </w:t>
      </w:r>
      <w:r w:rsidRPr="00DB24E5">
        <w:rPr>
          <w:lang w:val="es-ES"/>
        </w:rPr>
        <w:t xml:space="preserve">por la suma de </w:t>
      </w:r>
      <w:r w:rsidR="007A6564" w:rsidRPr="00DB24E5">
        <w:rPr>
          <w:lang w:val="es-ES"/>
        </w:rPr>
        <w:t>635</w:t>
      </w:r>
      <w:r w:rsidRPr="00DB24E5">
        <w:rPr>
          <w:lang w:val="es-ES"/>
        </w:rPr>
        <w:t>.</w:t>
      </w:r>
      <w:r w:rsidR="007A6564" w:rsidRPr="00DB24E5">
        <w:rPr>
          <w:lang w:val="es-ES"/>
        </w:rPr>
        <w:t>500</w:t>
      </w:r>
      <w:r w:rsidRPr="00DB24E5">
        <w:rPr>
          <w:lang w:val="es-ES"/>
        </w:rPr>
        <w:t xml:space="preserve"> $ EUA</w:t>
      </w:r>
      <w:r w:rsidR="000B1E34" w:rsidRPr="00DB24E5">
        <w:rPr>
          <w:lang w:val="es-ES"/>
        </w:rPr>
        <w:t>,</w:t>
      </w:r>
      <w:r w:rsidR="007A6564" w:rsidRPr="00DB24E5">
        <w:rPr>
          <w:lang w:val="es-ES"/>
        </w:rPr>
        <w:t xml:space="preserve"> </w:t>
      </w:r>
      <w:r w:rsidRPr="00DB24E5">
        <w:rPr>
          <w:lang w:val="es-ES"/>
        </w:rPr>
        <w:t xml:space="preserve">más gastos de apoyo al organismo de </w:t>
      </w:r>
      <w:r w:rsidR="007A6564" w:rsidRPr="00DB24E5">
        <w:rPr>
          <w:lang w:val="es-ES"/>
        </w:rPr>
        <w:t>44</w:t>
      </w:r>
      <w:r w:rsidRPr="00DB24E5">
        <w:rPr>
          <w:lang w:val="es-ES"/>
        </w:rPr>
        <w:t>.</w:t>
      </w:r>
      <w:r w:rsidR="007A6564" w:rsidRPr="00DB24E5">
        <w:rPr>
          <w:lang w:val="es-ES"/>
        </w:rPr>
        <w:t xml:space="preserve">485 </w:t>
      </w:r>
      <w:r w:rsidRPr="00DB24E5">
        <w:rPr>
          <w:lang w:val="es-ES"/>
        </w:rPr>
        <w:t xml:space="preserve">$ EUA para la </w:t>
      </w:r>
      <w:r w:rsidR="0088461E" w:rsidRPr="00DB24E5">
        <w:rPr>
          <w:lang w:val="es-ES"/>
        </w:rPr>
        <w:t>ONUDI</w:t>
      </w:r>
      <w:r w:rsidR="007A6564" w:rsidRPr="00DB24E5">
        <w:rPr>
          <w:lang w:val="es-ES"/>
        </w:rPr>
        <w:t>,</w:t>
      </w:r>
      <w:r w:rsidR="00793E93" w:rsidRPr="00DB24E5">
        <w:rPr>
          <w:lang w:val="es-ES"/>
        </w:rPr>
        <w:t xml:space="preserve"> </w:t>
      </w:r>
      <w:r w:rsidRPr="00DB24E5">
        <w:rPr>
          <w:lang w:val="es-ES"/>
        </w:rPr>
        <w:t xml:space="preserve">en el entendimiento de que el Fondo Multilateral no proporcionaría más financiación para la eliminación de los </w:t>
      </w:r>
      <w:r w:rsidR="007A6564" w:rsidRPr="00DB24E5">
        <w:rPr>
          <w:lang w:val="es-ES"/>
        </w:rPr>
        <w:t>HCFC</w:t>
      </w:r>
      <w:r w:rsidR="00793E93" w:rsidRPr="00DB24E5">
        <w:rPr>
          <w:lang w:val="es-ES"/>
        </w:rPr>
        <w:t xml:space="preserve"> </w:t>
      </w:r>
      <w:r w:rsidRPr="00DB24E5">
        <w:rPr>
          <w:lang w:val="es-ES"/>
        </w:rPr>
        <w:t xml:space="preserve">y no se necesitaría </w:t>
      </w:r>
      <w:r w:rsidR="00ED60EE" w:rsidRPr="00DB24E5">
        <w:rPr>
          <w:lang w:val="es-ES"/>
        </w:rPr>
        <w:t>reserva para mantenimiento</w:t>
      </w:r>
      <w:r w:rsidR="007A6564" w:rsidRPr="00DB24E5">
        <w:rPr>
          <w:lang w:val="es-ES"/>
        </w:rPr>
        <w:t xml:space="preserve">; </w:t>
      </w:r>
    </w:p>
    <w:p w14:paraId="4EA681A6" w14:textId="0AFB2A67" w:rsidR="007A6564" w:rsidRPr="00DB24E5" w:rsidRDefault="00ED60EE" w:rsidP="007A6564">
      <w:pPr>
        <w:pStyle w:val="Heading2"/>
        <w:numPr>
          <w:ilvl w:val="1"/>
          <w:numId w:val="1"/>
        </w:numPr>
        <w:tabs>
          <w:tab w:val="clear" w:pos="-720"/>
          <w:tab w:val="num" w:pos="0"/>
        </w:tabs>
        <w:ind w:left="1440"/>
        <w:rPr>
          <w:lang w:val="es-ES"/>
        </w:rPr>
      </w:pPr>
      <w:r w:rsidRPr="00DB24E5">
        <w:rPr>
          <w:lang w:val="es-ES"/>
        </w:rPr>
        <w:t>Tomar nota del compromiso del</w:t>
      </w:r>
      <w:r w:rsidR="007A6564" w:rsidRPr="00DB24E5">
        <w:rPr>
          <w:lang w:val="es-ES"/>
        </w:rPr>
        <w:t xml:space="preserve"> </w:t>
      </w:r>
      <w:r w:rsidRPr="00DB24E5">
        <w:rPr>
          <w:lang w:val="es-ES"/>
        </w:rPr>
        <w:t>Gobierno de</w:t>
      </w:r>
      <w:r w:rsidR="007A6564" w:rsidRPr="00DB24E5">
        <w:rPr>
          <w:lang w:val="es-ES"/>
        </w:rPr>
        <w:t xml:space="preserve"> Montenegro </w:t>
      </w:r>
      <w:r w:rsidRPr="00DB24E5">
        <w:rPr>
          <w:lang w:val="es-ES"/>
        </w:rPr>
        <w:t xml:space="preserve">de eliminar completamente los </w:t>
      </w:r>
      <w:r w:rsidR="000B1E34" w:rsidRPr="00DB24E5">
        <w:rPr>
          <w:lang w:val="es-ES"/>
        </w:rPr>
        <w:t>HCFC</w:t>
      </w:r>
      <w:r w:rsidRPr="00DB24E5">
        <w:rPr>
          <w:lang w:val="es-ES"/>
        </w:rPr>
        <w:t xml:space="preserve"> para el </w:t>
      </w:r>
      <w:r w:rsidR="000B1E34" w:rsidRPr="00DB24E5">
        <w:rPr>
          <w:lang w:val="es-ES"/>
        </w:rPr>
        <w:t>1</w:t>
      </w:r>
      <w:r w:rsidR="00AD69E3" w:rsidRPr="00DB24E5">
        <w:rPr>
          <w:lang w:val="es-ES"/>
        </w:rPr>
        <w:t> </w:t>
      </w:r>
      <w:r w:rsidRPr="00DB24E5">
        <w:rPr>
          <w:lang w:val="es-ES"/>
        </w:rPr>
        <w:t xml:space="preserve">de enero de </w:t>
      </w:r>
      <w:r w:rsidR="000B1E34" w:rsidRPr="00DB24E5">
        <w:rPr>
          <w:lang w:val="es-ES"/>
        </w:rPr>
        <w:t xml:space="preserve">2025 </w:t>
      </w:r>
      <w:r w:rsidRPr="00DB24E5">
        <w:rPr>
          <w:lang w:val="es-ES"/>
        </w:rPr>
        <w:t>con antelación a la fecha programada para la eliminación establecida en el Protocolo de Montreal</w:t>
      </w:r>
      <w:r w:rsidR="000B1E34" w:rsidRPr="00DB24E5">
        <w:rPr>
          <w:lang w:val="es-ES"/>
        </w:rPr>
        <w:t xml:space="preserve">, </w:t>
      </w:r>
      <w:r w:rsidRPr="00DB24E5">
        <w:rPr>
          <w:lang w:val="es-ES"/>
        </w:rPr>
        <w:t xml:space="preserve">y prohibir la importación de </w:t>
      </w:r>
      <w:r w:rsidR="007A6564" w:rsidRPr="00DB24E5">
        <w:rPr>
          <w:lang w:val="es-ES"/>
        </w:rPr>
        <w:t xml:space="preserve">HCFC </w:t>
      </w:r>
      <w:r w:rsidRPr="00DB24E5">
        <w:rPr>
          <w:lang w:val="es-ES"/>
        </w:rPr>
        <w:t>para el</w:t>
      </w:r>
      <w:r w:rsidR="007A6564" w:rsidRPr="00DB24E5">
        <w:rPr>
          <w:lang w:val="es-ES"/>
        </w:rPr>
        <w:t xml:space="preserve"> </w:t>
      </w:r>
      <w:r w:rsidR="000B1E34" w:rsidRPr="00DB24E5">
        <w:rPr>
          <w:lang w:val="es-ES"/>
        </w:rPr>
        <w:t>1</w:t>
      </w:r>
      <w:r w:rsidR="00AD69E3" w:rsidRPr="00DB24E5">
        <w:rPr>
          <w:lang w:val="es-ES"/>
        </w:rPr>
        <w:t> </w:t>
      </w:r>
      <w:r w:rsidRPr="00DB24E5">
        <w:rPr>
          <w:lang w:val="es-ES"/>
        </w:rPr>
        <w:t xml:space="preserve">de enero de </w:t>
      </w:r>
      <w:r w:rsidR="007A6564" w:rsidRPr="00DB24E5">
        <w:rPr>
          <w:lang w:val="es-ES"/>
        </w:rPr>
        <w:t xml:space="preserve">2025; </w:t>
      </w:r>
    </w:p>
    <w:p w14:paraId="6FEAC476" w14:textId="2AC686A4" w:rsidR="00373295" w:rsidRPr="00DB24E5" w:rsidRDefault="00ED60EE" w:rsidP="00373295">
      <w:pPr>
        <w:pStyle w:val="Heading2"/>
        <w:numPr>
          <w:ilvl w:val="1"/>
          <w:numId w:val="1"/>
        </w:numPr>
        <w:tabs>
          <w:tab w:val="clear" w:pos="-720"/>
          <w:tab w:val="num" w:pos="0"/>
        </w:tabs>
        <w:ind w:left="1440"/>
        <w:rPr>
          <w:lang w:val="es-ES"/>
        </w:rPr>
      </w:pPr>
      <w:r w:rsidRPr="00DB24E5">
        <w:rPr>
          <w:lang w:val="es-ES"/>
        </w:rPr>
        <w:t xml:space="preserve">Señalar que la documentación para la solicitud de tramos en el futuro incluiría el informe sobre las actividades de fortalecimiento institucional en consonancia con el formato </w:t>
      </w:r>
      <w:r w:rsidRPr="00DB24E5">
        <w:rPr>
          <w:lang w:val="es-ES"/>
        </w:rPr>
        <w:lastRenderedPageBreak/>
        <w:t xml:space="preserve">aprobado en la decisión </w:t>
      </w:r>
      <w:r w:rsidR="005A20D6" w:rsidRPr="00DB24E5">
        <w:rPr>
          <w:lang w:val="es-ES"/>
        </w:rPr>
        <w:t>74/51, o</w:t>
      </w:r>
      <w:r w:rsidR="0001658C" w:rsidRPr="00DB24E5">
        <w:rPr>
          <w:lang w:val="es-ES"/>
        </w:rPr>
        <w:t xml:space="preserve"> cualquiera otra decisión posterior adoptada por el </w:t>
      </w:r>
      <w:r w:rsidR="00F92E29" w:rsidRPr="00DB24E5">
        <w:rPr>
          <w:lang w:val="es-ES"/>
        </w:rPr>
        <w:t>Comité Ejecutivo</w:t>
      </w:r>
      <w:r w:rsidR="005A20D6" w:rsidRPr="00DB24E5">
        <w:rPr>
          <w:lang w:val="es-ES"/>
        </w:rPr>
        <w:t xml:space="preserve"> </w:t>
      </w:r>
      <w:r w:rsidR="0001658C" w:rsidRPr="00DB24E5">
        <w:rPr>
          <w:lang w:val="es-ES"/>
        </w:rPr>
        <w:t>sobre el formato para las renovaciones relacionadas con el fortalecimiento institucional</w:t>
      </w:r>
      <w:r w:rsidR="006E77CE" w:rsidRPr="00DB24E5">
        <w:rPr>
          <w:lang w:val="es-ES"/>
        </w:rPr>
        <w:t>;</w:t>
      </w:r>
      <w:r w:rsidR="00373295" w:rsidRPr="00DB24E5">
        <w:rPr>
          <w:lang w:val="es-ES"/>
        </w:rPr>
        <w:t xml:space="preserve"> </w:t>
      </w:r>
    </w:p>
    <w:p w14:paraId="64C8AB5F" w14:textId="3FBE2EB6" w:rsidR="007A6564" w:rsidRPr="00DB24E5" w:rsidRDefault="000B1E34" w:rsidP="00814701">
      <w:pPr>
        <w:pStyle w:val="Heading2"/>
        <w:numPr>
          <w:ilvl w:val="1"/>
          <w:numId w:val="1"/>
        </w:numPr>
        <w:ind w:left="1418" w:hanging="709"/>
        <w:rPr>
          <w:lang w:val="es-ES"/>
        </w:rPr>
      </w:pPr>
      <w:r w:rsidRPr="00DB24E5">
        <w:rPr>
          <w:lang w:val="es-ES"/>
        </w:rPr>
        <w:t>Deduc</w:t>
      </w:r>
      <w:r w:rsidR="0001658C" w:rsidRPr="00DB24E5">
        <w:rPr>
          <w:lang w:val="es-ES"/>
        </w:rPr>
        <w:t xml:space="preserve">ir </w:t>
      </w:r>
      <w:r w:rsidR="007A6564" w:rsidRPr="00DB24E5">
        <w:rPr>
          <w:lang w:val="es-ES"/>
        </w:rPr>
        <w:t>0</w:t>
      </w:r>
      <w:r w:rsidR="0001658C" w:rsidRPr="00DB24E5">
        <w:rPr>
          <w:lang w:val="es-ES"/>
        </w:rPr>
        <w:t>,</w:t>
      </w:r>
      <w:r w:rsidR="007A6564" w:rsidRPr="00DB24E5">
        <w:rPr>
          <w:lang w:val="es-ES"/>
        </w:rPr>
        <w:t>52 </w:t>
      </w:r>
      <w:r w:rsidR="0001658C" w:rsidRPr="00DB24E5">
        <w:rPr>
          <w:lang w:val="es-ES"/>
        </w:rPr>
        <w:t>toneladas PAO</w:t>
      </w:r>
      <w:r w:rsidR="007A6564" w:rsidRPr="00DB24E5">
        <w:rPr>
          <w:lang w:val="es-ES"/>
        </w:rPr>
        <w:t xml:space="preserve"> </w:t>
      </w:r>
      <w:r w:rsidR="0001658C" w:rsidRPr="00DB24E5">
        <w:rPr>
          <w:lang w:val="es-ES"/>
        </w:rPr>
        <w:t>de</w:t>
      </w:r>
      <w:r w:rsidR="007A6564" w:rsidRPr="00DB24E5">
        <w:rPr>
          <w:lang w:val="es-ES"/>
        </w:rPr>
        <w:t xml:space="preserve"> HCFC</w:t>
      </w:r>
      <w:r w:rsidR="0001658C" w:rsidRPr="00DB24E5">
        <w:rPr>
          <w:lang w:val="es-ES"/>
        </w:rPr>
        <w:t xml:space="preserve"> del consumo restante de</w:t>
      </w:r>
      <w:r w:rsidR="007A6564" w:rsidRPr="00DB24E5">
        <w:rPr>
          <w:lang w:val="es-ES"/>
        </w:rPr>
        <w:t xml:space="preserve"> HCFC </w:t>
      </w:r>
      <w:r w:rsidR="0001658C" w:rsidRPr="00DB24E5">
        <w:rPr>
          <w:lang w:val="es-ES"/>
        </w:rPr>
        <w:t>admisible para la financiación</w:t>
      </w:r>
      <w:r w:rsidR="007A6564" w:rsidRPr="00DB24E5">
        <w:rPr>
          <w:lang w:val="es-ES"/>
        </w:rPr>
        <w:t xml:space="preserve">; </w:t>
      </w:r>
    </w:p>
    <w:p w14:paraId="01635533" w14:textId="53A74404" w:rsidR="007A6564" w:rsidRPr="00DB24E5" w:rsidRDefault="000B1E34" w:rsidP="005A20D6">
      <w:pPr>
        <w:pStyle w:val="Heading2"/>
        <w:numPr>
          <w:ilvl w:val="1"/>
          <w:numId w:val="1"/>
        </w:numPr>
        <w:ind w:left="1418" w:hanging="709"/>
        <w:rPr>
          <w:lang w:val="es-ES"/>
        </w:rPr>
      </w:pPr>
      <w:r w:rsidRPr="00DB24E5">
        <w:rPr>
          <w:lang w:val="es-ES"/>
        </w:rPr>
        <w:t>A</w:t>
      </w:r>
      <w:r w:rsidR="0001658C" w:rsidRPr="00DB24E5">
        <w:rPr>
          <w:lang w:val="es-ES"/>
        </w:rPr>
        <w:t xml:space="preserve">probar el proyecto de acuerdo entre el </w:t>
      </w:r>
      <w:r w:rsidR="00ED60EE" w:rsidRPr="00DB24E5">
        <w:rPr>
          <w:lang w:val="es-ES"/>
        </w:rPr>
        <w:t>Gobierno de</w:t>
      </w:r>
      <w:r w:rsidR="007A6564" w:rsidRPr="00DB24E5">
        <w:rPr>
          <w:lang w:val="es-ES"/>
        </w:rPr>
        <w:t xml:space="preserve"> Montenegro </w:t>
      </w:r>
      <w:r w:rsidR="0001658C" w:rsidRPr="00DB24E5">
        <w:rPr>
          <w:lang w:val="es-ES"/>
        </w:rPr>
        <w:t>y</w:t>
      </w:r>
      <w:r w:rsidR="007A6564" w:rsidRPr="00DB24E5">
        <w:rPr>
          <w:lang w:val="es-ES"/>
        </w:rPr>
        <w:t xml:space="preserve"> </w:t>
      </w:r>
      <w:r w:rsidR="00F92E29" w:rsidRPr="00DB24E5">
        <w:rPr>
          <w:lang w:val="es-ES"/>
        </w:rPr>
        <w:t>el Comité Ejecutivo</w:t>
      </w:r>
      <w:r w:rsidR="007A6564" w:rsidRPr="00DB24E5">
        <w:rPr>
          <w:lang w:val="es-ES"/>
        </w:rPr>
        <w:t xml:space="preserve"> </w:t>
      </w:r>
      <w:r w:rsidR="0001658C" w:rsidRPr="00DB24E5">
        <w:rPr>
          <w:lang w:val="es-ES"/>
        </w:rPr>
        <w:t xml:space="preserve">para la reducción del consumo de </w:t>
      </w:r>
      <w:r w:rsidR="007A6564" w:rsidRPr="00DB24E5">
        <w:rPr>
          <w:lang w:val="es-ES"/>
        </w:rPr>
        <w:t xml:space="preserve">HCFC, </w:t>
      </w:r>
      <w:r w:rsidR="0001658C" w:rsidRPr="00DB24E5">
        <w:rPr>
          <w:lang w:val="es-ES"/>
        </w:rPr>
        <w:t xml:space="preserve">de conformidad con la etapa II </w:t>
      </w:r>
      <w:r w:rsidR="00135B60" w:rsidRPr="00DB24E5">
        <w:rPr>
          <w:lang w:val="es-ES"/>
        </w:rPr>
        <w:t>del plan de gestión de eliminación de los HCFC</w:t>
      </w:r>
      <w:r w:rsidR="007A6564" w:rsidRPr="00DB24E5">
        <w:rPr>
          <w:lang w:val="es-ES"/>
        </w:rPr>
        <w:t xml:space="preserve">, </w:t>
      </w:r>
      <w:r w:rsidR="0001658C" w:rsidRPr="00DB24E5">
        <w:rPr>
          <w:lang w:val="es-ES"/>
        </w:rPr>
        <w:t>que figura en el anexo I del presente informe</w:t>
      </w:r>
      <w:r w:rsidR="007A6564" w:rsidRPr="00DB24E5">
        <w:rPr>
          <w:lang w:val="es-ES"/>
        </w:rPr>
        <w:t xml:space="preserve">; </w:t>
      </w:r>
      <w:r w:rsidR="0001658C" w:rsidRPr="00DB24E5">
        <w:rPr>
          <w:lang w:val="es-ES"/>
        </w:rPr>
        <w:t>y</w:t>
      </w:r>
    </w:p>
    <w:p w14:paraId="4E28AE12" w14:textId="1DAD658B" w:rsidR="007A6564" w:rsidRPr="00DB24E5" w:rsidRDefault="000B1E34" w:rsidP="005A20D6">
      <w:pPr>
        <w:pStyle w:val="Heading2"/>
        <w:numPr>
          <w:ilvl w:val="1"/>
          <w:numId w:val="1"/>
        </w:numPr>
        <w:ind w:left="1418"/>
        <w:rPr>
          <w:lang w:val="es-ES"/>
        </w:rPr>
      </w:pPr>
      <w:r w:rsidRPr="00DB24E5">
        <w:rPr>
          <w:lang w:val="es-ES"/>
        </w:rPr>
        <w:t>A</w:t>
      </w:r>
      <w:r w:rsidR="00AD69E3" w:rsidRPr="00DB24E5">
        <w:rPr>
          <w:lang w:val="es-ES"/>
        </w:rPr>
        <w:t>p</w:t>
      </w:r>
      <w:r w:rsidR="0001658C" w:rsidRPr="00DB24E5">
        <w:rPr>
          <w:lang w:val="es-ES"/>
        </w:rPr>
        <w:t>robar el primer tramo de la etapa</w:t>
      </w:r>
      <w:r w:rsidR="00306EAB" w:rsidRPr="00DB24E5">
        <w:rPr>
          <w:lang w:val="es-ES"/>
        </w:rPr>
        <w:t> </w:t>
      </w:r>
      <w:r w:rsidR="007A6564" w:rsidRPr="00DB24E5">
        <w:rPr>
          <w:lang w:val="es-ES"/>
        </w:rPr>
        <w:t xml:space="preserve">II </w:t>
      </w:r>
      <w:r w:rsidR="00135B60" w:rsidRPr="00DB24E5">
        <w:rPr>
          <w:lang w:val="es-ES"/>
        </w:rPr>
        <w:t>del plan de gestión de eliminación de los HCFC</w:t>
      </w:r>
      <w:r w:rsidR="007A6564" w:rsidRPr="00DB24E5">
        <w:rPr>
          <w:lang w:val="es-ES"/>
        </w:rPr>
        <w:t xml:space="preserve"> </w:t>
      </w:r>
      <w:r w:rsidR="0001658C" w:rsidRPr="00DB24E5">
        <w:rPr>
          <w:lang w:val="es-ES"/>
        </w:rPr>
        <w:t>para</w:t>
      </w:r>
      <w:r w:rsidR="007A6564" w:rsidRPr="00DB24E5">
        <w:rPr>
          <w:lang w:val="es-ES"/>
        </w:rPr>
        <w:t xml:space="preserve"> Montenegro, </w:t>
      </w:r>
      <w:r w:rsidR="0001658C" w:rsidRPr="00DB24E5">
        <w:rPr>
          <w:lang w:val="es-ES"/>
        </w:rPr>
        <w:t xml:space="preserve">y el plan de ejecución del tramo correspondiente por la suma de </w:t>
      </w:r>
      <w:r w:rsidR="00D95CE9" w:rsidRPr="00DB24E5">
        <w:rPr>
          <w:lang w:val="es-ES"/>
        </w:rPr>
        <w:t>296</w:t>
      </w:r>
      <w:r w:rsidR="0001658C" w:rsidRPr="00DB24E5">
        <w:rPr>
          <w:lang w:val="es-ES"/>
        </w:rPr>
        <w:t>.</w:t>
      </w:r>
      <w:r w:rsidR="00D95CE9" w:rsidRPr="00DB24E5">
        <w:rPr>
          <w:lang w:val="es-ES"/>
        </w:rPr>
        <w:t>500</w:t>
      </w:r>
      <w:r w:rsidR="0001658C" w:rsidRPr="00DB24E5">
        <w:rPr>
          <w:lang w:val="es-ES"/>
        </w:rPr>
        <w:t xml:space="preserve"> $ EUA</w:t>
      </w:r>
      <w:r w:rsidR="007A6564" w:rsidRPr="00DB24E5">
        <w:rPr>
          <w:lang w:val="es-ES"/>
        </w:rPr>
        <w:t xml:space="preserve">, </w:t>
      </w:r>
      <w:r w:rsidR="0001658C" w:rsidRPr="00DB24E5">
        <w:rPr>
          <w:lang w:val="es-ES"/>
        </w:rPr>
        <w:t>más gastos de apoyo al organismo de</w:t>
      </w:r>
      <w:r w:rsidR="007A6564" w:rsidRPr="00DB24E5">
        <w:rPr>
          <w:lang w:val="es-ES"/>
        </w:rPr>
        <w:t xml:space="preserve"> </w:t>
      </w:r>
      <w:r w:rsidR="00C528BD" w:rsidRPr="00DB24E5">
        <w:rPr>
          <w:color w:val="000000"/>
          <w:lang w:val="es-ES" w:eastAsia="en-CA"/>
        </w:rPr>
        <w:t>20</w:t>
      </w:r>
      <w:r w:rsidR="0001658C" w:rsidRPr="00DB24E5">
        <w:rPr>
          <w:color w:val="000000"/>
          <w:lang w:val="es-ES" w:eastAsia="en-CA"/>
        </w:rPr>
        <w:t>.</w:t>
      </w:r>
      <w:r w:rsidR="00C528BD" w:rsidRPr="00DB24E5">
        <w:rPr>
          <w:color w:val="000000"/>
          <w:lang w:val="es-ES" w:eastAsia="en-CA"/>
        </w:rPr>
        <w:t xml:space="preserve">755 </w:t>
      </w:r>
      <w:r w:rsidR="0001658C" w:rsidRPr="00DB24E5">
        <w:rPr>
          <w:color w:val="000000"/>
          <w:lang w:val="es-ES" w:eastAsia="en-CA"/>
        </w:rPr>
        <w:t>$ EUA para la</w:t>
      </w:r>
      <w:r w:rsidR="007A6564" w:rsidRPr="00DB24E5">
        <w:rPr>
          <w:lang w:val="es-ES"/>
        </w:rPr>
        <w:t xml:space="preserve"> </w:t>
      </w:r>
      <w:r w:rsidR="0088461E" w:rsidRPr="00DB24E5">
        <w:rPr>
          <w:lang w:val="es-ES"/>
        </w:rPr>
        <w:t>ONUDI</w:t>
      </w:r>
      <w:r w:rsidR="007A6564" w:rsidRPr="00DB24E5">
        <w:rPr>
          <w:lang w:val="es-ES"/>
        </w:rPr>
        <w:t>.</w:t>
      </w:r>
    </w:p>
    <w:p w14:paraId="0C4E47C5" w14:textId="77777777" w:rsidR="00A166F6" w:rsidRPr="00DB24E5" w:rsidRDefault="00A166F6" w:rsidP="00A166F6">
      <w:pPr>
        <w:rPr>
          <w:lang w:val="es-ES"/>
        </w:rPr>
      </w:pPr>
    </w:p>
    <w:p w14:paraId="09AAC800" w14:textId="2142E899" w:rsidR="007A6564" w:rsidRPr="00DB24E5" w:rsidRDefault="007A6564" w:rsidP="007A6564">
      <w:pPr>
        <w:rPr>
          <w:lang w:val="es-ES"/>
        </w:rPr>
      </w:pPr>
    </w:p>
    <w:p w14:paraId="1EE20250" w14:textId="63084FC1" w:rsidR="00AD69E3" w:rsidRPr="00DB24E5" w:rsidRDefault="00AD69E3" w:rsidP="007A6564">
      <w:pPr>
        <w:rPr>
          <w:lang w:val="es-ES"/>
        </w:rPr>
      </w:pPr>
    </w:p>
    <w:p w14:paraId="50E89473" w14:textId="4E892D1A" w:rsidR="00AD69E3" w:rsidRPr="00DB24E5" w:rsidRDefault="00AD69E3" w:rsidP="007A6564">
      <w:pPr>
        <w:rPr>
          <w:lang w:val="es-ES"/>
        </w:rPr>
      </w:pPr>
    </w:p>
    <w:p w14:paraId="7F942A1D" w14:textId="77777777" w:rsidR="00AD69E3" w:rsidRPr="00DB24E5" w:rsidRDefault="00AD69E3" w:rsidP="007A6564">
      <w:pPr>
        <w:rPr>
          <w:lang w:val="es-ES"/>
        </w:rPr>
        <w:sectPr w:rsidR="00AD69E3" w:rsidRPr="00DB24E5"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35E955B3" w14:textId="77777777" w:rsidR="00E85409" w:rsidRPr="00DB24E5" w:rsidRDefault="00E85409" w:rsidP="007A6564">
      <w:pPr>
        <w:spacing w:after="80"/>
        <w:jc w:val="center"/>
        <w:rPr>
          <w:lang w:val="es-ES"/>
        </w:rPr>
      </w:pPr>
    </w:p>
    <w:sectPr w:rsidR="00E85409" w:rsidRPr="00DB24E5" w:rsidSect="00D00D85">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AE62C" w14:textId="77777777" w:rsidR="001C0BD0" w:rsidRDefault="001C0BD0" w:rsidP="004A504B">
      <w:r>
        <w:separator/>
      </w:r>
    </w:p>
  </w:endnote>
  <w:endnote w:type="continuationSeparator" w:id="0">
    <w:p w14:paraId="3DA0F630" w14:textId="77777777" w:rsidR="001C0BD0" w:rsidRDefault="001C0BD0"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535022"/>
      <w:docPartObj>
        <w:docPartGallery w:val="Page Numbers (Bottom of Page)"/>
        <w:docPartUnique/>
      </w:docPartObj>
    </w:sdtPr>
    <w:sdtEndPr>
      <w:rPr>
        <w:noProof/>
      </w:rPr>
    </w:sdtEndPr>
    <w:sdtContent>
      <w:p w14:paraId="4869A064" w14:textId="353120D7" w:rsidR="0078039C" w:rsidRDefault="0078039C">
        <w:pPr>
          <w:pStyle w:val="Footer"/>
          <w:jc w:val="center"/>
        </w:pPr>
        <w:r>
          <w:fldChar w:fldCharType="begin"/>
        </w:r>
        <w:r>
          <w:instrText xml:space="preserve"> PAGE   \* MERGEFORMAT </w:instrText>
        </w:r>
        <w:r>
          <w:fldChar w:fldCharType="separate"/>
        </w:r>
        <w:r w:rsidR="005F47AD">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560898"/>
      <w:docPartObj>
        <w:docPartGallery w:val="Page Numbers (Bottom of Page)"/>
        <w:docPartUnique/>
      </w:docPartObj>
    </w:sdtPr>
    <w:sdtEndPr>
      <w:rPr>
        <w:noProof/>
      </w:rPr>
    </w:sdtEndPr>
    <w:sdtContent>
      <w:p w14:paraId="4E1C291C" w14:textId="7B4E6124" w:rsidR="0078039C" w:rsidRDefault="0078039C">
        <w:pPr>
          <w:pStyle w:val="Footer"/>
          <w:jc w:val="center"/>
        </w:pPr>
        <w:r>
          <w:fldChar w:fldCharType="begin"/>
        </w:r>
        <w:r>
          <w:instrText xml:space="preserve"> PAGE   \* MERGEFORMAT </w:instrText>
        </w:r>
        <w:r>
          <w:fldChar w:fldCharType="separate"/>
        </w:r>
        <w:r w:rsidR="005F47AD">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FE6CF" w14:textId="77777777" w:rsidR="0078039C" w:rsidRDefault="0078039C" w:rsidP="00C72EB0">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4AA64E51" w14:textId="77777777" w:rsidR="0078039C" w:rsidRDefault="0078039C" w:rsidP="00C72EB0">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4091C" w14:textId="6EC27BB8" w:rsidR="0078039C" w:rsidRPr="0033525D" w:rsidRDefault="0078039C">
    <w:pPr>
      <w:jc w:val="center"/>
    </w:pPr>
    <w:r>
      <w:fldChar w:fldCharType="begin"/>
    </w:r>
    <w:r>
      <w:instrText xml:space="preserve"> PAGE </w:instrText>
    </w:r>
    <w:r>
      <w:fldChar w:fldCharType="separate"/>
    </w:r>
    <w:r>
      <w:rPr>
        <w:noProof/>
      </w:rPr>
      <w:t>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2313E" w14:textId="45E76441" w:rsidR="0078039C" w:rsidRPr="0033525D" w:rsidRDefault="0078039C">
    <w:pPr>
      <w:jc w:val="center"/>
    </w:pPr>
    <w:r>
      <w:fldChar w:fldCharType="begin"/>
    </w:r>
    <w:r>
      <w:instrText xml:space="preserve"> PAGE </w:instrText>
    </w:r>
    <w:r>
      <w:fldChar w:fldCharType="separate"/>
    </w:r>
    <w:r w:rsidR="005F47AD">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6978" w14:textId="77777777" w:rsidR="0078039C" w:rsidRDefault="007803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0D1004A0" w14:textId="77777777" w:rsidR="0078039C" w:rsidRDefault="007803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6DEBE" w14:textId="77777777" w:rsidR="001C0BD0" w:rsidRDefault="001C0BD0" w:rsidP="004A504B">
      <w:r>
        <w:separator/>
      </w:r>
    </w:p>
  </w:footnote>
  <w:footnote w:type="continuationSeparator" w:id="0">
    <w:p w14:paraId="74B059DC" w14:textId="77777777" w:rsidR="001C0BD0" w:rsidRDefault="001C0BD0" w:rsidP="004A504B">
      <w:r>
        <w:continuationSeparator/>
      </w:r>
    </w:p>
  </w:footnote>
  <w:footnote w:id="1">
    <w:p w14:paraId="416A6F9C" w14:textId="7A6FEBE4" w:rsidR="0078039C" w:rsidRPr="00B1395B" w:rsidRDefault="0078039C" w:rsidP="007A6564">
      <w:pPr>
        <w:pStyle w:val="FootnoteText"/>
        <w:rPr>
          <w:lang w:val="es-ES"/>
        </w:rPr>
      </w:pPr>
      <w:r w:rsidRPr="00FE3307">
        <w:rPr>
          <w:rStyle w:val="FootnoteReference"/>
        </w:rPr>
        <w:footnoteRef/>
      </w:r>
      <w:r w:rsidRPr="00B1395B">
        <w:rPr>
          <w:lang w:val="es-ES"/>
        </w:rPr>
        <w:t xml:space="preserve"> Según la carta de 3 de marzo de 2020 </w:t>
      </w:r>
      <w:r>
        <w:rPr>
          <w:lang w:val="es-ES"/>
        </w:rPr>
        <w:t>di</w:t>
      </w:r>
      <w:r w:rsidRPr="00B1395B">
        <w:rPr>
          <w:lang w:val="es-ES"/>
        </w:rPr>
        <w:t xml:space="preserve">rigida </w:t>
      </w:r>
      <w:r>
        <w:rPr>
          <w:lang w:val="es-ES"/>
        </w:rPr>
        <w:t xml:space="preserve">a la ONUDI por el Organismo de Protección de la Naturaleza y el Medio Ambiente de </w:t>
      </w:r>
      <w:r w:rsidRPr="00B1395B">
        <w:rPr>
          <w:lang w:val="es-ES"/>
        </w:rPr>
        <w:t>Montenegro.</w:t>
      </w:r>
    </w:p>
  </w:footnote>
  <w:footnote w:id="2">
    <w:p w14:paraId="6F87F8F8" w14:textId="7FD2DA04" w:rsidR="0078039C" w:rsidRPr="008D2192" w:rsidRDefault="0078039C" w:rsidP="007C1B38">
      <w:pPr>
        <w:pStyle w:val="FootnoteText"/>
        <w:rPr>
          <w:lang w:val="es-ES"/>
        </w:rPr>
      </w:pPr>
      <w:r>
        <w:rPr>
          <w:rStyle w:val="FootnoteReference"/>
        </w:rPr>
        <w:footnoteRef/>
      </w:r>
      <w:r w:rsidRPr="008D2192">
        <w:rPr>
          <w:lang w:val="es-ES"/>
        </w:rPr>
        <w:t xml:space="preserve"> En la decisión 84/92 d) se pidió a los organismos bilaterales y de ejecución que aplica</w:t>
      </w:r>
      <w:r>
        <w:rPr>
          <w:lang w:val="es-ES"/>
        </w:rPr>
        <w:t>ran la política operacional sobre incorporación de las cuestiones de género en todo el ciclo del proyecto</w:t>
      </w:r>
      <w:r w:rsidRPr="008D2192">
        <w:rPr>
          <w:lang w:val="es-ES"/>
        </w:rPr>
        <w:t>.</w:t>
      </w:r>
    </w:p>
  </w:footnote>
  <w:footnote w:id="3">
    <w:p w14:paraId="2B489920" w14:textId="1211F298" w:rsidR="0078039C" w:rsidRPr="00132DAB" w:rsidRDefault="0078039C" w:rsidP="007A6564">
      <w:pPr>
        <w:pStyle w:val="FootnoteText"/>
        <w:rPr>
          <w:lang w:val="es-ES"/>
        </w:rPr>
      </w:pPr>
      <w:r>
        <w:rPr>
          <w:rStyle w:val="FootnoteReference"/>
        </w:rPr>
        <w:footnoteRef/>
      </w:r>
      <w:r w:rsidRPr="00132DAB">
        <w:rPr>
          <w:lang w:val="es-ES"/>
        </w:rPr>
        <w:t>Según la carta de 30 de enero de 2020 dirigida a la ONUDI por el Organismo de Protecci</w:t>
      </w:r>
      <w:r>
        <w:rPr>
          <w:lang w:val="es-ES"/>
        </w:rPr>
        <w:t>ón de la Naturaleza y el Medio Ambiente de</w:t>
      </w:r>
      <w:r w:rsidRPr="00132DAB">
        <w:rPr>
          <w:lang w:val="es-ES"/>
        </w:rPr>
        <w:t xml:space="preserve"> Montenegro.</w:t>
      </w:r>
    </w:p>
  </w:footnote>
  <w:footnote w:id="4">
    <w:p w14:paraId="1B273838" w14:textId="5B074841" w:rsidR="0078039C" w:rsidRPr="00EB4A0E" w:rsidRDefault="0078039C" w:rsidP="007A6564">
      <w:pPr>
        <w:pStyle w:val="FootnoteText"/>
        <w:rPr>
          <w:lang w:val="pt-BR"/>
        </w:rPr>
      </w:pPr>
      <w:r>
        <w:rPr>
          <w:rStyle w:val="FootnoteReference"/>
        </w:rPr>
        <w:footnoteRef/>
      </w:r>
      <w:r w:rsidRPr="00EB4A0E">
        <w:rPr>
          <w:lang w:val="pt-BR"/>
        </w:rPr>
        <w:t>UNEP/OzL.Pro/ExCom/63/44</w:t>
      </w:r>
      <w:r>
        <w:rPr>
          <w:lang w:val="pt-BR"/>
        </w:rPr>
        <w:t>.</w:t>
      </w:r>
    </w:p>
  </w:footnote>
  <w:footnote w:id="5">
    <w:p w14:paraId="4AA47CC8" w14:textId="20E6A3A5" w:rsidR="0078039C" w:rsidRPr="00EB4A0E" w:rsidRDefault="0078039C" w:rsidP="007A6564">
      <w:pPr>
        <w:pStyle w:val="FootnoteText"/>
        <w:rPr>
          <w:lang w:val="pt-BR"/>
        </w:rPr>
      </w:pPr>
      <w:r w:rsidRPr="00FC3D87">
        <w:rPr>
          <w:rStyle w:val="FootnoteReference"/>
        </w:rPr>
        <w:footnoteRef/>
      </w:r>
      <w:r>
        <w:rPr>
          <w:lang w:val="pt-BR"/>
        </w:rPr>
        <w:t xml:space="preserve">Anexo XXII del documento </w:t>
      </w:r>
      <w:r w:rsidRPr="00FC3D87">
        <w:rPr>
          <w:lang w:val="pt-BR"/>
        </w:rPr>
        <w:t>UNEP/OzL.Pro/ExCom/71</w:t>
      </w:r>
      <w:r>
        <w:rPr>
          <w:lang w:val="pt-BR"/>
        </w:rPr>
        <w:t>/64.</w:t>
      </w:r>
    </w:p>
  </w:footnote>
  <w:footnote w:id="6">
    <w:p w14:paraId="3CAA6D81" w14:textId="3B5084DF" w:rsidR="0078039C" w:rsidRPr="004726F0" w:rsidRDefault="0078039C">
      <w:pPr>
        <w:pStyle w:val="FootnoteText"/>
        <w:rPr>
          <w:lang w:val="pt-BR"/>
        </w:rPr>
      </w:pPr>
      <w:r w:rsidRPr="00535D31">
        <w:rPr>
          <w:rStyle w:val="FootnoteReference"/>
        </w:rPr>
        <w:footnoteRef/>
      </w:r>
      <w:r w:rsidRPr="004726F0">
        <w:rPr>
          <w:lang w:val="pt-BR"/>
        </w:rPr>
        <w:t xml:space="preserve"> </w:t>
      </w:r>
      <w:r w:rsidRPr="004726F0">
        <w:rPr>
          <w:lang w:val="pt-BR" w:eastAsia="zh-CN"/>
        </w:rPr>
        <w:t xml:space="preserve">EN 378 parte 1-4, las normas y el reglamento se adoptan en </w:t>
      </w:r>
      <w:r w:rsidRPr="004726F0">
        <w:rPr>
          <w:kern w:val="36"/>
          <w:lang w:val="pt-BR"/>
        </w:rPr>
        <w:t xml:space="preserve">Montenegro en el marco de MEST EN 378-1:2018 </w:t>
      </w:r>
      <w:r>
        <w:rPr>
          <w:kern w:val="36"/>
          <w:lang w:val="pt-BR"/>
        </w:rPr>
        <w:t xml:space="preserve">y el órgano competente de aplicación es el Instituto de Normalización de </w:t>
      </w:r>
      <w:r w:rsidRPr="004726F0">
        <w:rPr>
          <w:kern w:val="36"/>
          <w:lang w:val="pt-BR"/>
        </w:rPr>
        <w:t>Montenegro.</w:t>
      </w:r>
    </w:p>
  </w:footnote>
  <w:footnote w:id="7">
    <w:p w14:paraId="59C6F241" w14:textId="0446B5F6" w:rsidR="0078039C" w:rsidRPr="008701F9" w:rsidRDefault="0078039C" w:rsidP="00111CD9">
      <w:pPr>
        <w:rPr>
          <w:lang w:val="pt-BR"/>
        </w:rPr>
      </w:pPr>
      <w:r w:rsidRPr="00111CD9">
        <w:rPr>
          <w:rStyle w:val="FootnoteReference"/>
          <w:sz w:val="20"/>
          <w:szCs w:val="20"/>
        </w:rPr>
        <w:footnoteRef/>
      </w:r>
      <w:r w:rsidRPr="008701F9">
        <w:rPr>
          <w:sz w:val="20"/>
          <w:szCs w:val="20"/>
          <w:lang w:val="pt-BR"/>
        </w:rPr>
        <w:t xml:space="preserve"> </w:t>
      </w:r>
      <w:r w:rsidRPr="008701F9">
        <w:rPr>
          <w:sz w:val="20"/>
          <w:szCs w:val="20"/>
          <w:lang w:val="pt-BR"/>
        </w:rPr>
        <w:t>Las combinaciones propue</w:t>
      </w:r>
      <w:r>
        <w:rPr>
          <w:sz w:val="20"/>
          <w:szCs w:val="20"/>
          <w:lang w:val="pt-BR"/>
        </w:rPr>
        <w:t>s</w:t>
      </w:r>
      <w:r w:rsidRPr="008701F9">
        <w:rPr>
          <w:sz w:val="20"/>
          <w:szCs w:val="20"/>
          <w:lang w:val="pt-BR"/>
        </w:rPr>
        <w:t xml:space="preserve">tas contienen máquinas de recuperación portátiles, bomba de vacío, estación de </w:t>
      </w:r>
      <w:r>
        <w:rPr>
          <w:sz w:val="20"/>
          <w:szCs w:val="20"/>
          <w:lang w:val="pt-BR"/>
        </w:rPr>
        <w:t>carga</w:t>
      </w:r>
      <w:r w:rsidR="00202772">
        <w:rPr>
          <w:sz w:val="20"/>
          <w:szCs w:val="20"/>
          <w:lang w:val="pt-BR"/>
        </w:rPr>
        <w:t>, indicador digital de vacío</w:t>
      </w:r>
      <w:r w:rsidRPr="008701F9">
        <w:rPr>
          <w:sz w:val="20"/>
          <w:szCs w:val="20"/>
          <w:lang w:val="pt-BR"/>
        </w:rPr>
        <w:t xml:space="preserve">, </w:t>
      </w:r>
      <w:r w:rsidR="00202772">
        <w:rPr>
          <w:sz w:val="20"/>
          <w:szCs w:val="20"/>
          <w:lang w:val="pt-BR"/>
        </w:rPr>
        <w:t xml:space="preserve">balanza de </w:t>
      </w:r>
      <w:r>
        <w:rPr>
          <w:sz w:val="20"/>
          <w:szCs w:val="20"/>
          <w:lang w:val="pt-BR"/>
        </w:rPr>
        <w:t>carga</w:t>
      </w:r>
      <w:r w:rsidR="00202772">
        <w:rPr>
          <w:sz w:val="20"/>
          <w:szCs w:val="20"/>
          <w:lang w:val="pt-BR"/>
        </w:rPr>
        <w:t xml:space="preserve"> digital</w:t>
      </w:r>
      <w:r w:rsidRPr="008701F9">
        <w:rPr>
          <w:sz w:val="20"/>
          <w:szCs w:val="20"/>
          <w:lang w:val="pt-BR"/>
        </w:rPr>
        <w:t xml:space="preserve">, </w:t>
      </w:r>
      <w:r>
        <w:rPr>
          <w:sz w:val="20"/>
          <w:szCs w:val="20"/>
          <w:lang w:val="pt-BR"/>
        </w:rPr>
        <w:t>detectores de fugas sonoros portátiles</w:t>
      </w:r>
      <w:r w:rsidRPr="008701F9">
        <w:rPr>
          <w:sz w:val="20"/>
          <w:szCs w:val="20"/>
          <w:lang w:val="pt-BR"/>
        </w:rPr>
        <w:t xml:space="preserve">, </w:t>
      </w:r>
      <w:r>
        <w:rPr>
          <w:sz w:val="20"/>
          <w:szCs w:val="20"/>
          <w:lang w:val="pt-BR"/>
        </w:rPr>
        <w:t>cilindros de recuperación de refrigerantes</w:t>
      </w:r>
      <w:r w:rsidRPr="008701F9">
        <w:rPr>
          <w:sz w:val="20"/>
          <w:szCs w:val="20"/>
          <w:lang w:val="pt-BR"/>
        </w:rPr>
        <w:t xml:space="preserve">, </w:t>
      </w:r>
      <w:r w:rsidR="00941809">
        <w:rPr>
          <w:sz w:val="20"/>
          <w:szCs w:val="20"/>
          <w:lang w:val="pt-BR"/>
        </w:rPr>
        <w:t>y piezas de repue</w:t>
      </w:r>
      <w:r>
        <w:rPr>
          <w:sz w:val="20"/>
          <w:szCs w:val="20"/>
          <w:lang w:val="pt-BR"/>
        </w:rPr>
        <w:t xml:space="preserve">sto y </w:t>
      </w:r>
      <w:r w:rsidR="00941809">
        <w:rPr>
          <w:sz w:val="20"/>
          <w:szCs w:val="20"/>
          <w:lang w:val="pt-BR"/>
        </w:rPr>
        <w:t xml:space="preserve">bienes fungibles </w:t>
      </w:r>
      <w:r w:rsidRPr="008701F9">
        <w:rPr>
          <w:sz w:val="20"/>
          <w:szCs w:val="20"/>
          <w:lang w:val="pt-BR"/>
        </w:rPr>
        <w:t>(filt</w:t>
      </w:r>
      <w:r>
        <w:rPr>
          <w:sz w:val="20"/>
          <w:szCs w:val="20"/>
          <w:lang w:val="pt-BR"/>
        </w:rPr>
        <w:t>ros, co</w:t>
      </w:r>
      <w:r w:rsidRPr="008701F9">
        <w:rPr>
          <w:sz w:val="20"/>
          <w:szCs w:val="20"/>
          <w:lang w:val="pt-BR"/>
        </w:rPr>
        <w:t>nector</w:t>
      </w:r>
      <w:r>
        <w:rPr>
          <w:sz w:val="20"/>
          <w:szCs w:val="20"/>
          <w:lang w:val="pt-BR"/>
        </w:rPr>
        <w:t>e</w:t>
      </w:r>
      <w:r w:rsidRPr="008701F9">
        <w:rPr>
          <w:sz w:val="20"/>
          <w:szCs w:val="20"/>
          <w:lang w:val="pt-BR"/>
        </w:rPr>
        <w:t>s, v</w:t>
      </w:r>
      <w:r>
        <w:rPr>
          <w:sz w:val="20"/>
          <w:szCs w:val="20"/>
          <w:lang w:val="pt-BR"/>
        </w:rPr>
        <w:t>álvulas</w:t>
      </w:r>
      <w:r w:rsidRPr="008701F9">
        <w:rPr>
          <w:sz w:val="20"/>
          <w:szCs w:val="20"/>
          <w:lang w:val="pt-BR"/>
        </w:rPr>
        <w:t xml:space="preserve">, etc.), </w:t>
      </w:r>
      <w:r>
        <w:rPr>
          <w:sz w:val="20"/>
          <w:szCs w:val="20"/>
          <w:lang w:val="pt-BR"/>
        </w:rPr>
        <w:t>soldador portátil</w:t>
      </w:r>
      <w:r w:rsidRPr="008701F9">
        <w:rPr>
          <w:sz w:val="20"/>
          <w:szCs w:val="20"/>
          <w:lang w:val="pt-BR"/>
        </w:rPr>
        <w:t xml:space="preserve">, </w:t>
      </w:r>
      <w:r>
        <w:rPr>
          <w:sz w:val="20"/>
          <w:szCs w:val="20"/>
          <w:lang w:val="pt-BR"/>
        </w:rPr>
        <w:t>cilindro de nitrógeno</w:t>
      </w:r>
      <w:r w:rsidRPr="008701F9">
        <w:rPr>
          <w:sz w:val="20"/>
          <w:szCs w:val="20"/>
          <w:lang w:val="pt-BR"/>
        </w:rPr>
        <w:t xml:space="preserve">, </w:t>
      </w:r>
      <w:r w:rsidR="006F0560">
        <w:rPr>
          <w:sz w:val="20"/>
          <w:szCs w:val="20"/>
          <w:lang w:val="pt-BR"/>
        </w:rPr>
        <w:t>equip</w:t>
      </w:r>
      <w:r w:rsidRPr="008701F9">
        <w:rPr>
          <w:sz w:val="20"/>
          <w:szCs w:val="20"/>
          <w:lang w:val="pt-BR"/>
        </w:rPr>
        <w:t>o</w:t>
      </w:r>
      <w:r w:rsidR="006F0560">
        <w:rPr>
          <w:sz w:val="20"/>
          <w:szCs w:val="20"/>
          <w:lang w:val="pt-BR"/>
        </w:rPr>
        <w:t xml:space="preserve"> de ensayo  del aceite</w:t>
      </w:r>
      <w:r w:rsidRPr="008701F9">
        <w:rPr>
          <w:sz w:val="20"/>
          <w:szCs w:val="20"/>
          <w:lang w:val="pt-BR"/>
        </w:rPr>
        <w:t xml:space="preserve">, </w:t>
      </w:r>
      <w:r>
        <w:rPr>
          <w:sz w:val="20"/>
          <w:szCs w:val="20"/>
          <w:lang w:val="pt-BR"/>
        </w:rPr>
        <w:t>y caja de herramientas de mantenimiento</w:t>
      </w:r>
      <w:r w:rsidRPr="008701F9">
        <w:rPr>
          <w:sz w:val="20"/>
          <w:szCs w:val="20"/>
          <w:lang w:val="pt-BR"/>
        </w:rPr>
        <w:t xml:space="preserve"> (</w:t>
      </w:r>
      <w:r w:rsidR="00941809">
        <w:rPr>
          <w:sz w:val="20"/>
          <w:szCs w:val="20"/>
          <w:lang w:val="pt-BR"/>
        </w:rPr>
        <w:t>herramientas para tuberías</w:t>
      </w:r>
      <w:r w:rsidRPr="008701F9">
        <w:rPr>
          <w:sz w:val="20"/>
          <w:szCs w:val="20"/>
          <w:lang w:val="pt-BR"/>
        </w:rPr>
        <w:t xml:space="preserve">, </w:t>
      </w:r>
      <w:r w:rsidR="00941809">
        <w:rPr>
          <w:sz w:val="20"/>
          <w:szCs w:val="20"/>
          <w:lang w:val="pt-BR"/>
        </w:rPr>
        <w:t>tenazas, llaves inglesas</w:t>
      </w:r>
      <w:r w:rsidRPr="008701F9">
        <w:rPr>
          <w:sz w:val="20"/>
          <w:szCs w:val="20"/>
          <w:lang w:val="pt-BR"/>
        </w:rPr>
        <w:t>, etc.)</w:t>
      </w:r>
      <w:r w:rsidRPr="008701F9">
        <w:rPr>
          <w:lang w:val="pt-BR"/>
        </w:rPr>
        <w:t>.</w:t>
      </w:r>
    </w:p>
  </w:footnote>
  <w:footnote w:id="8">
    <w:p w14:paraId="2F704137" w14:textId="2C553526" w:rsidR="0078039C" w:rsidRPr="00F6067A" w:rsidRDefault="0078039C" w:rsidP="00D32A08">
      <w:pPr>
        <w:pStyle w:val="FootnoteText"/>
        <w:rPr>
          <w:lang w:val="es-ES"/>
        </w:rPr>
      </w:pPr>
      <w:r>
        <w:rPr>
          <w:rStyle w:val="FootnoteReference"/>
        </w:rPr>
        <w:footnoteRef/>
      </w:r>
      <w:r w:rsidRPr="00F6067A">
        <w:rPr>
          <w:lang w:val="es-ES"/>
        </w:rPr>
        <w:t xml:space="preserve"> En la decisión 84/92 d) se pidió a los organismos bilaterales y de ejecución que aplicaran la políti</w:t>
      </w:r>
      <w:r>
        <w:rPr>
          <w:lang w:val="es-ES"/>
        </w:rPr>
        <w:t>ca operacional sobre incorporac</w:t>
      </w:r>
      <w:r w:rsidRPr="00F6067A">
        <w:rPr>
          <w:lang w:val="es-ES"/>
        </w:rPr>
        <w:t>i</w:t>
      </w:r>
      <w:r>
        <w:rPr>
          <w:lang w:val="es-ES"/>
        </w:rPr>
        <w:t>ón de las cuestiones de género en todo el ciclo del proyecto</w:t>
      </w:r>
      <w:r w:rsidRPr="00F6067A">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3E697" w14:textId="66B41DE6" w:rsidR="0078039C" w:rsidRDefault="001C0BD0" w:rsidP="00C72EB0">
    <w:pPr>
      <w:jc w:val="left"/>
    </w:pPr>
    <w:r>
      <w:fldChar w:fldCharType="begin"/>
    </w:r>
    <w:r>
      <w:instrText xml:space="preserve"> DOCPROPERTY "Document number"  \* MERGEFORMAT </w:instrText>
    </w:r>
    <w:r>
      <w:fldChar w:fldCharType="separate"/>
    </w:r>
    <w:r w:rsidR="0078039C">
      <w:t>UNEP/</w:t>
    </w:r>
    <w:proofErr w:type="spellStart"/>
    <w:r w:rsidR="0078039C">
      <w:t>OzL.Pro</w:t>
    </w:r>
    <w:proofErr w:type="spellEnd"/>
    <w:r w:rsidR="0078039C">
      <w:t>/ExCom/85/39</w:t>
    </w:r>
    <w:r>
      <w:fldChar w:fldCharType="end"/>
    </w:r>
  </w:p>
  <w:p w14:paraId="64C1F1D7" w14:textId="77777777" w:rsidR="0078039C" w:rsidRDefault="0078039C" w:rsidP="00C72EB0">
    <w:pPr>
      <w:jc w:val="left"/>
    </w:pPr>
  </w:p>
  <w:p w14:paraId="7F67ADC7" w14:textId="77777777" w:rsidR="0078039C" w:rsidRDefault="00780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CE93B" w14:textId="2197607D" w:rsidR="0078039C" w:rsidRDefault="001C0BD0" w:rsidP="00C72EB0">
    <w:pPr>
      <w:jc w:val="right"/>
    </w:pPr>
    <w:r>
      <w:fldChar w:fldCharType="begin"/>
    </w:r>
    <w:r>
      <w:instrText xml:space="preserve"> DOCPROPERTY "Document number"  \* MERGEFORMAT </w:instrText>
    </w:r>
    <w:r>
      <w:fldChar w:fldCharType="separate"/>
    </w:r>
    <w:r w:rsidR="0078039C">
      <w:t>UNEP/</w:t>
    </w:r>
    <w:proofErr w:type="spellStart"/>
    <w:r w:rsidR="0078039C">
      <w:t>OzL.Pro</w:t>
    </w:r>
    <w:proofErr w:type="spellEnd"/>
    <w:r w:rsidR="0078039C">
      <w:t>/ExCom/85/39</w:t>
    </w:r>
    <w:r>
      <w:fldChar w:fldCharType="end"/>
    </w:r>
  </w:p>
  <w:p w14:paraId="2DDC6E7A" w14:textId="77777777" w:rsidR="0078039C" w:rsidRDefault="0078039C" w:rsidP="00C72EB0">
    <w:pPr>
      <w:jc w:val="right"/>
    </w:pPr>
  </w:p>
  <w:p w14:paraId="7C87037A" w14:textId="77777777" w:rsidR="0078039C" w:rsidRDefault="00780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67CF" w14:textId="7820B1EA" w:rsidR="0078039C" w:rsidRPr="0033525D" w:rsidRDefault="001C0BD0">
    <w:r>
      <w:fldChar w:fldCharType="begin"/>
    </w:r>
    <w:r>
      <w:instrText xml:space="preserve"> DOCPROPERTY "Document number"  \* MERGEFORMAT </w:instrText>
    </w:r>
    <w:r>
      <w:fldChar w:fldCharType="separate"/>
    </w:r>
    <w:r w:rsidR="0078039C">
      <w:t>UNEP/</w:t>
    </w:r>
    <w:proofErr w:type="spellStart"/>
    <w:r w:rsidR="0078039C">
      <w:t>OzL.Pro</w:t>
    </w:r>
    <w:proofErr w:type="spellEnd"/>
    <w:r w:rsidR="0078039C">
      <w:t>/ExCom/85/39</w:t>
    </w:r>
    <w:r>
      <w:fldChar w:fldCharType="end"/>
    </w:r>
  </w:p>
  <w:p w14:paraId="49A93FB3" w14:textId="77777777" w:rsidR="0078039C" w:rsidRDefault="0078039C">
    <w:r>
      <w:t>Annex I</w:t>
    </w:r>
  </w:p>
  <w:p w14:paraId="7CFD8526" w14:textId="77777777" w:rsidR="0078039C" w:rsidRPr="0033525D" w:rsidRDefault="0078039C"/>
  <w:p w14:paraId="24E9FBD1" w14:textId="77777777" w:rsidR="0078039C" w:rsidRPr="0033525D" w:rsidRDefault="007803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28DD1" w14:textId="2173B3BD" w:rsidR="0078039C" w:rsidRDefault="001C0BD0">
    <w:pPr>
      <w:jc w:val="right"/>
    </w:pPr>
    <w:r>
      <w:fldChar w:fldCharType="begin"/>
    </w:r>
    <w:r>
      <w:instrText xml:space="preserve"> DOCPROPERTY "Document number"  \* MERGEFORMAT </w:instrText>
    </w:r>
    <w:r>
      <w:fldChar w:fldCharType="separate"/>
    </w:r>
    <w:r w:rsidR="0078039C">
      <w:t>UNEP/</w:t>
    </w:r>
    <w:proofErr w:type="spellStart"/>
    <w:r w:rsidR="0078039C">
      <w:t>OzL.Pro</w:t>
    </w:r>
    <w:proofErr w:type="spellEnd"/>
    <w:r w:rsidR="0078039C">
      <w:t>/ExCom/85/39</w:t>
    </w:r>
    <w:r>
      <w:fldChar w:fldCharType="end"/>
    </w:r>
  </w:p>
  <w:p w14:paraId="25673111" w14:textId="68E1AB4A" w:rsidR="0078039C" w:rsidRPr="0033525D" w:rsidRDefault="0078039C">
    <w:pPr>
      <w:jc w:val="right"/>
    </w:pPr>
    <w:r>
      <w:t>Anexo I</w:t>
    </w:r>
  </w:p>
  <w:p w14:paraId="02D21E1D" w14:textId="77777777" w:rsidR="0078039C" w:rsidRPr="0033525D" w:rsidRDefault="0078039C"/>
  <w:p w14:paraId="51D9F635" w14:textId="77777777" w:rsidR="0078039C" w:rsidRPr="0033525D" w:rsidRDefault="007803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233E" w14:textId="77777777" w:rsidR="0078039C" w:rsidRDefault="00780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436E508"/>
    <w:lvl w:ilvl="0">
      <w:start w:val="1"/>
      <w:numFmt w:val="decimal"/>
      <w:pStyle w:val="Heading1"/>
      <w:lvlText w:val="%1."/>
      <w:lvlJc w:val="left"/>
      <w:pPr>
        <w:tabs>
          <w:tab w:val="num" w:pos="7655"/>
        </w:tabs>
        <w:ind w:left="7655" w:firstLine="0"/>
      </w:pPr>
      <w:rPr>
        <w:rFonts w:ascii="Times New Roman" w:eastAsia="Times New Roman" w:hAnsi="Times New Roman" w:cs="Times New Roman"/>
        <w:lang w:val="es-ES"/>
      </w:rPr>
    </w:lvl>
    <w:lvl w:ilvl="1">
      <w:start w:val="1"/>
      <w:numFmt w:val="lowerLetter"/>
      <w:pStyle w:val="Heading2"/>
      <w:lvlText w:val="%2)"/>
      <w:lvlJc w:val="left"/>
      <w:pPr>
        <w:tabs>
          <w:tab w:val="num" w:pos="-720"/>
        </w:tabs>
        <w:ind w:left="720" w:hanging="720"/>
      </w:pPr>
      <w:rPr>
        <w:rFonts w:ascii="Times New Roman" w:eastAsia="Times New Roman" w:hAnsi="Times New Roman" w:cs="Times New Roman"/>
        <w:lang w:val="es-ES"/>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01890949"/>
    <w:multiLevelType w:val="hybridMultilevel"/>
    <w:tmpl w:val="CC1255FE"/>
    <w:lvl w:ilvl="0" w:tplc="C7B64EE6">
      <w:start w:val="1"/>
      <w:numFmt w:val="bullet"/>
      <w:lvlText w:val="-"/>
      <w:lvlJc w:val="left"/>
      <w:pPr>
        <w:ind w:left="720" w:hanging="360"/>
      </w:pPr>
      <w:rPr>
        <w:rFonts w:ascii="Roboto" w:hAnsi="Roboto"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A9C4074"/>
    <w:multiLevelType w:val="hybridMultilevel"/>
    <w:tmpl w:val="F96EB8E8"/>
    <w:lvl w:ilvl="0" w:tplc="93CA555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D7861F2"/>
    <w:multiLevelType w:val="multilevel"/>
    <w:tmpl w:val="1E24B704"/>
    <w:lvl w:ilvl="0">
      <w:start w:val="1"/>
      <w:numFmt w:val="decimal"/>
      <w:pStyle w:val="Style1"/>
      <w:lvlText w:val="%1."/>
      <w:lvlJc w:val="left"/>
      <w:pPr>
        <w:tabs>
          <w:tab w:val="num" w:pos="0"/>
        </w:tabs>
        <w:ind w:left="0" w:firstLine="0"/>
      </w:pPr>
      <w:rPr>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4" w15:restartNumberingAfterBreak="0">
    <w:nsid w:val="16852DB0"/>
    <w:multiLevelType w:val="hybridMultilevel"/>
    <w:tmpl w:val="E258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D3F54"/>
    <w:multiLevelType w:val="hybridMultilevel"/>
    <w:tmpl w:val="7D2A133E"/>
    <w:lvl w:ilvl="0" w:tplc="240A0001">
      <w:start w:val="1"/>
      <w:numFmt w:val="bullet"/>
      <w:lvlText w:val=""/>
      <w:lvlJc w:val="left"/>
      <w:pPr>
        <w:ind w:left="2880" w:hanging="360"/>
      </w:pPr>
      <w:rPr>
        <w:rFonts w:ascii="Symbol" w:hAnsi="Symbol" w:hint="default"/>
      </w:rPr>
    </w:lvl>
    <w:lvl w:ilvl="1" w:tplc="240A0003" w:tentative="1">
      <w:start w:val="1"/>
      <w:numFmt w:val="bullet"/>
      <w:lvlText w:val="o"/>
      <w:lvlJc w:val="left"/>
      <w:pPr>
        <w:ind w:left="3600" w:hanging="360"/>
      </w:pPr>
      <w:rPr>
        <w:rFonts w:ascii="Courier New" w:hAnsi="Courier New" w:cs="Courier New" w:hint="default"/>
      </w:rPr>
    </w:lvl>
    <w:lvl w:ilvl="2" w:tplc="240A0005" w:tentative="1">
      <w:start w:val="1"/>
      <w:numFmt w:val="bullet"/>
      <w:lvlText w:val=""/>
      <w:lvlJc w:val="left"/>
      <w:pPr>
        <w:ind w:left="4320" w:hanging="360"/>
      </w:pPr>
      <w:rPr>
        <w:rFonts w:ascii="Wingdings" w:hAnsi="Wingdings" w:hint="default"/>
      </w:rPr>
    </w:lvl>
    <w:lvl w:ilvl="3" w:tplc="240A0001" w:tentative="1">
      <w:start w:val="1"/>
      <w:numFmt w:val="bullet"/>
      <w:lvlText w:val=""/>
      <w:lvlJc w:val="left"/>
      <w:pPr>
        <w:ind w:left="5040" w:hanging="360"/>
      </w:pPr>
      <w:rPr>
        <w:rFonts w:ascii="Symbol" w:hAnsi="Symbol" w:hint="default"/>
      </w:rPr>
    </w:lvl>
    <w:lvl w:ilvl="4" w:tplc="240A0003" w:tentative="1">
      <w:start w:val="1"/>
      <w:numFmt w:val="bullet"/>
      <w:lvlText w:val="o"/>
      <w:lvlJc w:val="left"/>
      <w:pPr>
        <w:ind w:left="5760" w:hanging="360"/>
      </w:pPr>
      <w:rPr>
        <w:rFonts w:ascii="Courier New" w:hAnsi="Courier New" w:cs="Courier New" w:hint="default"/>
      </w:rPr>
    </w:lvl>
    <w:lvl w:ilvl="5" w:tplc="240A0005" w:tentative="1">
      <w:start w:val="1"/>
      <w:numFmt w:val="bullet"/>
      <w:lvlText w:val=""/>
      <w:lvlJc w:val="left"/>
      <w:pPr>
        <w:ind w:left="6480" w:hanging="360"/>
      </w:pPr>
      <w:rPr>
        <w:rFonts w:ascii="Wingdings" w:hAnsi="Wingdings" w:hint="default"/>
      </w:rPr>
    </w:lvl>
    <w:lvl w:ilvl="6" w:tplc="240A0001" w:tentative="1">
      <w:start w:val="1"/>
      <w:numFmt w:val="bullet"/>
      <w:lvlText w:val=""/>
      <w:lvlJc w:val="left"/>
      <w:pPr>
        <w:ind w:left="7200" w:hanging="360"/>
      </w:pPr>
      <w:rPr>
        <w:rFonts w:ascii="Symbol" w:hAnsi="Symbol" w:hint="default"/>
      </w:rPr>
    </w:lvl>
    <w:lvl w:ilvl="7" w:tplc="240A0003" w:tentative="1">
      <w:start w:val="1"/>
      <w:numFmt w:val="bullet"/>
      <w:lvlText w:val="o"/>
      <w:lvlJc w:val="left"/>
      <w:pPr>
        <w:ind w:left="7920" w:hanging="360"/>
      </w:pPr>
      <w:rPr>
        <w:rFonts w:ascii="Courier New" w:hAnsi="Courier New" w:cs="Courier New" w:hint="default"/>
      </w:rPr>
    </w:lvl>
    <w:lvl w:ilvl="8" w:tplc="240A0005" w:tentative="1">
      <w:start w:val="1"/>
      <w:numFmt w:val="bullet"/>
      <w:lvlText w:val=""/>
      <w:lvlJc w:val="left"/>
      <w:pPr>
        <w:ind w:left="8640" w:hanging="360"/>
      </w:pPr>
      <w:rPr>
        <w:rFonts w:ascii="Wingdings" w:hAnsi="Wingdings" w:hint="default"/>
      </w:rPr>
    </w:lvl>
  </w:abstractNum>
  <w:abstractNum w:abstractNumId="1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38DD3053"/>
    <w:multiLevelType w:val="hybridMultilevel"/>
    <w:tmpl w:val="C8E0F678"/>
    <w:lvl w:ilvl="0" w:tplc="407431E0">
      <w:start w:val="1"/>
      <w:numFmt w:val="lowerRoman"/>
      <w:lvlText w:val="%1)"/>
      <w:lvlJc w:val="left"/>
      <w:pPr>
        <w:ind w:left="2160" w:hanging="720"/>
      </w:pPr>
      <w:rPr>
        <w:rFonts w:hint="default"/>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19" w15:restartNumberingAfterBreak="0">
    <w:nsid w:val="3E4E686D"/>
    <w:multiLevelType w:val="hybridMultilevel"/>
    <w:tmpl w:val="2D846A66"/>
    <w:lvl w:ilvl="0" w:tplc="537C4342">
      <w:start w:val="1"/>
      <w:numFmt w:val="bullet"/>
      <w:lvlText w:val=""/>
      <w:lvlJc w:val="left"/>
      <w:pPr>
        <w:ind w:left="1440" w:hanging="360"/>
      </w:pPr>
      <w:rPr>
        <w:rFonts w:ascii="Symbol" w:hAnsi="Symbol" w:hint="default"/>
        <w:color w:val="auto"/>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0" w15:restartNumberingAfterBreak="0">
    <w:nsid w:val="45A50DDF"/>
    <w:multiLevelType w:val="hybridMultilevel"/>
    <w:tmpl w:val="741018A2"/>
    <w:lvl w:ilvl="0" w:tplc="6A6637C4">
      <w:start w:val="1"/>
      <w:numFmt w:val="upperLetter"/>
      <w:lvlText w:val="%1."/>
      <w:lvlJc w:val="left"/>
      <w:pPr>
        <w:ind w:left="630" w:hanging="360"/>
      </w:pPr>
      <w:rPr>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15:restartNumberingAfterBreak="0">
    <w:nsid w:val="48E23EFA"/>
    <w:multiLevelType w:val="multilevel"/>
    <w:tmpl w:val="3D705D2E"/>
    <w:lvl w:ilvl="0">
      <w:start w:val="1"/>
      <w:numFmt w:val="decimal"/>
      <w:lvlText w:val="%1."/>
      <w:lvlJc w:val="left"/>
      <w:pPr>
        <w:ind w:left="1065" w:hanging="705"/>
      </w:pPr>
      <w:rPr>
        <w:rFonts w:hint="default"/>
      </w:rPr>
    </w:lvl>
    <w:lvl w:ilvl="1">
      <w:start w:val="2"/>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D001F91"/>
    <w:multiLevelType w:val="hybridMultilevel"/>
    <w:tmpl w:val="336661AE"/>
    <w:lvl w:ilvl="0" w:tplc="202A4C5E">
      <w:start w:val="4"/>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B1E3B9A"/>
    <w:multiLevelType w:val="hybridMultilevel"/>
    <w:tmpl w:val="D34C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F15AD"/>
    <w:multiLevelType w:val="hybridMultilevel"/>
    <w:tmpl w:val="3FCA9B8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7B7F34"/>
    <w:multiLevelType w:val="hybridMultilevel"/>
    <w:tmpl w:val="856E3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0" w15:restartNumberingAfterBreak="0">
    <w:nsid w:val="7F570F9D"/>
    <w:multiLevelType w:val="hybridMultilevel"/>
    <w:tmpl w:val="5336A510"/>
    <w:lvl w:ilvl="0" w:tplc="C7B64EE6">
      <w:start w:val="1"/>
      <w:numFmt w:val="bullet"/>
      <w:lvlText w:val="-"/>
      <w:lvlJc w:val="left"/>
      <w:pPr>
        <w:ind w:left="720" w:hanging="360"/>
      </w:pPr>
      <w:rPr>
        <w:rFonts w:ascii="Roboto" w:hAnsi="Roboto"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2"/>
  </w:num>
  <w:num w:numId="18">
    <w:abstractNumId w:val="23"/>
  </w:num>
  <w:num w:numId="19">
    <w:abstractNumId w:val="29"/>
  </w:num>
  <w:num w:numId="20">
    <w:abstractNumId w:val="17"/>
  </w:num>
  <w:num w:numId="21">
    <w:abstractNumId w:val="25"/>
  </w:num>
  <w:num w:numId="22">
    <w:abstractNumId w:val="15"/>
  </w:num>
  <w:num w:numId="23">
    <w:abstractNumId w:val="21"/>
  </w:num>
  <w:num w:numId="24">
    <w:abstractNumId w:val="13"/>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0"/>
  </w:num>
  <w:num w:numId="34">
    <w:abstractNumId w:val="2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6"/>
  </w:num>
  <w:num w:numId="38">
    <w:abstractNumId w:val="14"/>
  </w:num>
  <w:num w:numId="39">
    <w:abstractNumId w:val="24"/>
  </w:num>
  <w:num w:numId="40">
    <w:abstractNumId w:val="18"/>
  </w:num>
  <w:num w:numId="41">
    <w:abstractNumId w:val="12"/>
  </w:num>
  <w:num w:numId="42">
    <w:abstractNumId w:val="11"/>
  </w:num>
  <w:num w:numId="43">
    <w:abstractNumId w:val="3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10"/>
  </w:num>
  <w:num w:numId="52">
    <w:abstractNumId w:val="10"/>
  </w:num>
  <w:num w:numId="53">
    <w:abstractNumId w:val="10"/>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embedSystemFonts/>
  <w:activeWritingStyle w:appName="MSWord" w:lang="es-AR"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s-PA" w:vendorID="64" w:dllVersion="6"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es-PA" w:vendorID="64" w:dllVersion="0" w:nlCheck="1" w:checkStyle="0"/>
  <w:activeWritingStyle w:appName="MSWord" w:lang="es-AR" w:vendorID="64" w:dllVersion="0" w:nlCheck="1" w:checkStyle="0"/>
  <w:activeWritingStyle w:appName="MSWord" w:lang="en-GB" w:vendorID="64" w:dllVersion="4096" w:nlCheck="1" w:checkStyle="0"/>
  <w:activeWritingStyle w:appName="MSWord" w:lang="es-ES" w:vendorID="64" w:dllVersion="6" w:nlCheck="1" w:checkStyle="0"/>
  <w:activeWritingStyle w:appName="MSWord" w:lang="es-ES" w:vendorID="64" w:dllVersion="4096" w:nlCheck="1" w:checkStyle="0"/>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0E7DD6"/>
    <w:rsid w:val="00000FED"/>
    <w:rsid w:val="00002D0A"/>
    <w:rsid w:val="0000434E"/>
    <w:rsid w:val="00004831"/>
    <w:rsid w:val="000064A9"/>
    <w:rsid w:val="0001658C"/>
    <w:rsid w:val="000211A9"/>
    <w:rsid w:val="00022A70"/>
    <w:rsid w:val="00031260"/>
    <w:rsid w:val="000319A8"/>
    <w:rsid w:val="000366C6"/>
    <w:rsid w:val="0003681A"/>
    <w:rsid w:val="000372B7"/>
    <w:rsid w:val="00043C4D"/>
    <w:rsid w:val="00043ED0"/>
    <w:rsid w:val="00044E8D"/>
    <w:rsid w:val="000453C8"/>
    <w:rsid w:val="000465EA"/>
    <w:rsid w:val="00046D04"/>
    <w:rsid w:val="000554FF"/>
    <w:rsid w:val="0005739B"/>
    <w:rsid w:val="00057990"/>
    <w:rsid w:val="00061EC2"/>
    <w:rsid w:val="00062895"/>
    <w:rsid w:val="0006572F"/>
    <w:rsid w:val="000757FC"/>
    <w:rsid w:val="00080ECC"/>
    <w:rsid w:val="00080ED0"/>
    <w:rsid w:val="00085B8F"/>
    <w:rsid w:val="00086BCB"/>
    <w:rsid w:val="00087561"/>
    <w:rsid w:val="00090481"/>
    <w:rsid w:val="00092165"/>
    <w:rsid w:val="00092756"/>
    <w:rsid w:val="0009445D"/>
    <w:rsid w:val="0009587F"/>
    <w:rsid w:val="00097B20"/>
    <w:rsid w:val="000A02B8"/>
    <w:rsid w:val="000A082B"/>
    <w:rsid w:val="000A1B4A"/>
    <w:rsid w:val="000A2047"/>
    <w:rsid w:val="000A32F1"/>
    <w:rsid w:val="000A6C26"/>
    <w:rsid w:val="000B1E34"/>
    <w:rsid w:val="000B5C2B"/>
    <w:rsid w:val="000B6C5D"/>
    <w:rsid w:val="000C6E7A"/>
    <w:rsid w:val="000D080B"/>
    <w:rsid w:val="000D52A4"/>
    <w:rsid w:val="000E07BC"/>
    <w:rsid w:val="000E148C"/>
    <w:rsid w:val="000E1E4D"/>
    <w:rsid w:val="000E31CD"/>
    <w:rsid w:val="000E4D8C"/>
    <w:rsid w:val="000E62B3"/>
    <w:rsid w:val="000E79EF"/>
    <w:rsid w:val="000E7DD6"/>
    <w:rsid w:val="000F1CD4"/>
    <w:rsid w:val="000F4103"/>
    <w:rsid w:val="000F70A7"/>
    <w:rsid w:val="000F7EA8"/>
    <w:rsid w:val="00105D67"/>
    <w:rsid w:val="00105F67"/>
    <w:rsid w:val="00107A0D"/>
    <w:rsid w:val="0011010C"/>
    <w:rsid w:val="00110B5A"/>
    <w:rsid w:val="00110B60"/>
    <w:rsid w:val="00111CD9"/>
    <w:rsid w:val="001122C6"/>
    <w:rsid w:val="001134B8"/>
    <w:rsid w:val="00113CCA"/>
    <w:rsid w:val="001167BA"/>
    <w:rsid w:val="00120081"/>
    <w:rsid w:val="001215C6"/>
    <w:rsid w:val="00122F25"/>
    <w:rsid w:val="0012779F"/>
    <w:rsid w:val="00132DAB"/>
    <w:rsid w:val="00133721"/>
    <w:rsid w:val="00135980"/>
    <w:rsid w:val="00135B60"/>
    <w:rsid w:val="00135D25"/>
    <w:rsid w:val="00137FA5"/>
    <w:rsid w:val="00140EE1"/>
    <w:rsid w:val="00143866"/>
    <w:rsid w:val="001529A0"/>
    <w:rsid w:val="00152A7C"/>
    <w:rsid w:val="001557E2"/>
    <w:rsid w:val="00160BEE"/>
    <w:rsid w:val="00160EAC"/>
    <w:rsid w:val="00161F75"/>
    <w:rsid w:val="00164719"/>
    <w:rsid w:val="00166FC4"/>
    <w:rsid w:val="0016768F"/>
    <w:rsid w:val="001676EF"/>
    <w:rsid w:val="001677AC"/>
    <w:rsid w:val="001804EA"/>
    <w:rsid w:val="00181FE7"/>
    <w:rsid w:val="00184B2F"/>
    <w:rsid w:val="00190A61"/>
    <w:rsid w:val="00195BCA"/>
    <w:rsid w:val="00195C19"/>
    <w:rsid w:val="00197506"/>
    <w:rsid w:val="001A0451"/>
    <w:rsid w:val="001A1A51"/>
    <w:rsid w:val="001A1A6D"/>
    <w:rsid w:val="001A2318"/>
    <w:rsid w:val="001A3342"/>
    <w:rsid w:val="001A3E3D"/>
    <w:rsid w:val="001A5C5B"/>
    <w:rsid w:val="001A639E"/>
    <w:rsid w:val="001A7049"/>
    <w:rsid w:val="001A79C4"/>
    <w:rsid w:val="001A7C79"/>
    <w:rsid w:val="001A7E9E"/>
    <w:rsid w:val="001B1E40"/>
    <w:rsid w:val="001C0BD0"/>
    <w:rsid w:val="001C23F3"/>
    <w:rsid w:val="001C5BD1"/>
    <w:rsid w:val="001C764E"/>
    <w:rsid w:val="001D5017"/>
    <w:rsid w:val="001D60C7"/>
    <w:rsid w:val="001D6EAF"/>
    <w:rsid w:val="001E1052"/>
    <w:rsid w:val="001E21B1"/>
    <w:rsid w:val="001E2F93"/>
    <w:rsid w:val="001E347B"/>
    <w:rsid w:val="001E5E67"/>
    <w:rsid w:val="001E61E5"/>
    <w:rsid w:val="001F2159"/>
    <w:rsid w:val="001F4467"/>
    <w:rsid w:val="001F6204"/>
    <w:rsid w:val="001F6EAF"/>
    <w:rsid w:val="00201CEC"/>
    <w:rsid w:val="00202772"/>
    <w:rsid w:val="00206676"/>
    <w:rsid w:val="0021213D"/>
    <w:rsid w:val="00214863"/>
    <w:rsid w:val="002156B4"/>
    <w:rsid w:val="00222159"/>
    <w:rsid w:val="002429C7"/>
    <w:rsid w:val="00247016"/>
    <w:rsid w:val="00253222"/>
    <w:rsid w:val="00253BF1"/>
    <w:rsid w:val="00253E5A"/>
    <w:rsid w:val="00254AF5"/>
    <w:rsid w:val="00257269"/>
    <w:rsid w:val="00261A4E"/>
    <w:rsid w:val="00262847"/>
    <w:rsid w:val="002652F9"/>
    <w:rsid w:val="00281BB2"/>
    <w:rsid w:val="002865AB"/>
    <w:rsid w:val="00287582"/>
    <w:rsid w:val="00291487"/>
    <w:rsid w:val="00294F9F"/>
    <w:rsid w:val="002953B4"/>
    <w:rsid w:val="002A1640"/>
    <w:rsid w:val="002A18F8"/>
    <w:rsid w:val="002A562D"/>
    <w:rsid w:val="002A6368"/>
    <w:rsid w:val="002A6BAD"/>
    <w:rsid w:val="002B058D"/>
    <w:rsid w:val="002B2AA9"/>
    <w:rsid w:val="002B435A"/>
    <w:rsid w:val="002B72E9"/>
    <w:rsid w:val="002C2913"/>
    <w:rsid w:val="002C3249"/>
    <w:rsid w:val="002C5352"/>
    <w:rsid w:val="002C7998"/>
    <w:rsid w:val="002D0388"/>
    <w:rsid w:val="002D0B23"/>
    <w:rsid w:val="002D20BC"/>
    <w:rsid w:val="002D30E1"/>
    <w:rsid w:val="002D4C8C"/>
    <w:rsid w:val="002D51F5"/>
    <w:rsid w:val="002E1C6F"/>
    <w:rsid w:val="002E768C"/>
    <w:rsid w:val="002F1E53"/>
    <w:rsid w:val="002F2CAA"/>
    <w:rsid w:val="002F642F"/>
    <w:rsid w:val="0030052C"/>
    <w:rsid w:val="003016A3"/>
    <w:rsid w:val="00304B4D"/>
    <w:rsid w:val="00306EAB"/>
    <w:rsid w:val="00316753"/>
    <w:rsid w:val="0032051C"/>
    <w:rsid w:val="00322ECA"/>
    <w:rsid w:val="003306E1"/>
    <w:rsid w:val="00330934"/>
    <w:rsid w:val="003320E4"/>
    <w:rsid w:val="0033525D"/>
    <w:rsid w:val="00340D36"/>
    <w:rsid w:val="003414F3"/>
    <w:rsid w:val="003560FD"/>
    <w:rsid w:val="0035613E"/>
    <w:rsid w:val="00357950"/>
    <w:rsid w:val="0036161E"/>
    <w:rsid w:val="00363EE9"/>
    <w:rsid w:val="00364CF1"/>
    <w:rsid w:val="00366DBE"/>
    <w:rsid w:val="00373295"/>
    <w:rsid w:val="00376128"/>
    <w:rsid w:val="0037742E"/>
    <w:rsid w:val="00377D56"/>
    <w:rsid w:val="0038048D"/>
    <w:rsid w:val="00380D43"/>
    <w:rsid w:val="00381291"/>
    <w:rsid w:val="003817AA"/>
    <w:rsid w:val="0038245A"/>
    <w:rsid w:val="003838BE"/>
    <w:rsid w:val="003840E6"/>
    <w:rsid w:val="00385CFC"/>
    <w:rsid w:val="00386035"/>
    <w:rsid w:val="003863A7"/>
    <w:rsid w:val="00390BD3"/>
    <w:rsid w:val="00392C5B"/>
    <w:rsid w:val="0039337A"/>
    <w:rsid w:val="00394CE8"/>
    <w:rsid w:val="00394F8E"/>
    <w:rsid w:val="003A3189"/>
    <w:rsid w:val="003A3849"/>
    <w:rsid w:val="003A3CA7"/>
    <w:rsid w:val="003A56DA"/>
    <w:rsid w:val="003A5CD9"/>
    <w:rsid w:val="003B33BD"/>
    <w:rsid w:val="003B394D"/>
    <w:rsid w:val="003B569D"/>
    <w:rsid w:val="003B6A4A"/>
    <w:rsid w:val="003C3B94"/>
    <w:rsid w:val="003C3C0E"/>
    <w:rsid w:val="003C4EB4"/>
    <w:rsid w:val="003C7AE8"/>
    <w:rsid w:val="003D1CED"/>
    <w:rsid w:val="003D2E45"/>
    <w:rsid w:val="003D3616"/>
    <w:rsid w:val="003D42A6"/>
    <w:rsid w:val="003D4FAC"/>
    <w:rsid w:val="003D760B"/>
    <w:rsid w:val="003E7906"/>
    <w:rsid w:val="003F3C50"/>
    <w:rsid w:val="003F78C0"/>
    <w:rsid w:val="004032B1"/>
    <w:rsid w:val="004057F0"/>
    <w:rsid w:val="00405A9A"/>
    <w:rsid w:val="00406A6A"/>
    <w:rsid w:val="00406B22"/>
    <w:rsid w:val="004071AD"/>
    <w:rsid w:val="00413594"/>
    <w:rsid w:val="00414459"/>
    <w:rsid w:val="00414551"/>
    <w:rsid w:val="00426CE4"/>
    <w:rsid w:val="00432504"/>
    <w:rsid w:val="004328A7"/>
    <w:rsid w:val="0043434D"/>
    <w:rsid w:val="00434C74"/>
    <w:rsid w:val="00436A9D"/>
    <w:rsid w:val="00440DEE"/>
    <w:rsid w:val="00442C09"/>
    <w:rsid w:val="00443ACF"/>
    <w:rsid w:val="004459F1"/>
    <w:rsid w:val="004508D1"/>
    <w:rsid w:val="004559D3"/>
    <w:rsid w:val="00455F35"/>
    <w:rsid w:val="00456EB4"/>
    <w:rsid w:val="00457320"/>
    <w:rsid w:val="004718F3"/>
    <w:rsid w:val="00472462"/>
    <w:rsid w:val="004726F0"/>
    <w:rsid w:val="00475040"/>
    <w:rsid w:val="00483231"/>
    <w:rsid w:val="00484D67"/>
    <w:rsid w:val="00493918"/>
    <w:rsid w:val="00493D40"/>
    <w:rsid w:val="004967B6"/>
    <w:rsid w:val="004A47C1"/>
    <w:rsid w:val="004A504B"/>
    <w:rsid w:val="004A6911"/>
    <w:rsid w:val="004B2997"/>
    <w:rsid w:val="004B54E0"/>
    <w:rsid w:val="004B6C3E"/>
    <w:rsid w:val="004B7384"/>
    <w:rsid w:val="004C0D69"/>
    <w:rsid w:val="004C1361"/>
    <w:rsid w:val="004C4269"/>
    <w:rsid w:val="004C4818"/>
    <w:rsid w:val="004C54AE"/>
    <w:rsid w:val="004C6459"/>
    <w:rsid w:val="004D517C"/>
    <w:rsid w:val="004D6236"/>
    <w:rsid w:val="004D6F66"/>
    <w:rsid w:val="004D7F90"/>
    <w:rsid w:val="004E48FE"/>
    <w:rsid w:val="004E4ADE"/>
    <w:rsid w:val="004E4DBB"/>
    <w:rsid w:val="004E4E41"/>
    <w:rsid w:val="004E7F9C"/>
    <w:rsid w:val="004F00AC"/>
    <w:rsid w:val="004F0AB0"/>
    <w:rsid w:val="004F33D1"/>
    <w:rsid w:val="004F3493"/>
    <w:rsid w:val="004F4EC9"/>
    <w:rsid w:val="004F5143"/>
    <w:rsid w:val="004F75F9"/>
    <w:rsid w:val="005062E1"/>
    <w:rsid w:val="005076C5"/>
    <w:rsid w:val="00512B09"/>
    <w:rsid w:val="0051422D"/>
    <w:rsid w:val="00515B2C"/>
    <w:rsid w:val="00517416"/>
    <w:rsid w:val="005207C1"/>
    <w:rsid w:val="00533796"/>
    <w:rsid w:val="00535D31"/>
    <w:rsid w:val="00537343"/>
    <w:rsid w:val="00537A7A"/>
    <w:rsid w:val="00541981"/>
    <w:rsid w:val="005450CC"/>
    <w:rsid w:val="00551D3C"/>
    <w:rsid w:val="00552BD5"/>
    <w:rsid w:val="00553624"/>
    <w:rsid w:val="00554122"/>
    <w:rsid w:val="00555D75"/>
    <w:rsid w:val="005571D0"/>
    <w:rsid w:val="00560DF0"/>
    <w:rsid w:val="0056743E"/>
    <w:rsid w:val="0056759C"/>
    <w:rsid w:val="0057429B"/>
    <w:rsid w:val="00574E6A"/>
    <w:rsid w:val="005756C8"/>
    <w:rsid w:val="005901C9"/>
    <w:rsid w:val="005921CE"/>
    <w:rsid w:val="0059513E"/>
    <w:rsid w:val="005A20D6"/>
    <w:rsid w:val="005A4D72"/>
    <w:rsid w:val="005A5D59"/>
    <w:rsid w:val="005B48FF"/>
    <w:rsid w:val="005B58CA"/>
    <w:rsid w:val="005B7394"/>
    <w:rsid w:val="005C0A6A"/>
    <w:rsid w:val="005C4CDD"/>
    <w:rsid w:val="005D1F57"/>
    <w:rsid w:val="005D3E52"/>
    <w:rsid w:val="005D401D"/>
    <w:rsid w:val="005D7ECA"/>
    <w:rsid w:val="005E209D"/>
    <w:rsid w:val="005E2790"/>
    <w:rsid w:val="005E3093"/>
    <w:rsid w:val="005E30AB"/>
    <w:rsid w:val="005E33DE"/>
    <w:rsid w:val="005E519F"/>
    <w:rsid w:val="005F47AD"/>
    <w:rsid w:val="005F6B41"/>
    <w:rsid w:val="006044B0"/>
    <w:rsid w:val="00604B79"/>
    <w:rsid w:val="00604C15"/>
    <w:rsid w:val="00607A91"/>
    <w:rsid w:val="00613D1C"/>
    <w:rsid w:val="006158D5"/>
    <w:rsid w:val="0061699D"/>
    <w:rsid w:val="0062310C"/>
    <w:rsid w:val="00625076"/>
    <w:rsid w:val="00625D83"/>
    <w:rsid w:val="00626C14"/>
    <w:rsid w:val="00634CD6"/>
    <w:rsid w:val="0063557D"/>
    <w:rsid w:val="00654556"/>
    <w:rsid w:val="00657F9F"/>
    <w:rsid w:val="006623E7"/>
    <w:rsid w:val="00662B80"/>
    <w:rsid w:val="00670659"/>
    <w:rsid w:val="00670F6C"/>
    <w:rsid w:val="00671D33"/>
    <w:rsid w:val="00684F47"/>
    <w:rsid w:val="006852C7"/>
    <w:rsid w:val="006852CE"/>
    <w:rsid w:val="006905C7"/>
    <w:rsid w:val="00690731"/>
    <w:rsid w:val="00691121"/>
    <w:rsid w:val="006933D1"/>
    <w:rsid w:val="00694DC5"/>
    <w:rsid w:val="006B0C2C"/>
    <w:rsid w:val="006B3A8F"/>
    <w:rsid w:val="006C1003"/>
    <w:rsid w:val="006C1727"/>
    <w:rsid w:val="006C32FD"/>
    <w:rsid w:val="006C39CE"/>
    <w:rsid w:val="006C6C77"/>
    <w:rsid w:val="006D0FCC"/>
    <w:rsid w:val="006D3130"/>
    <w:rsid w:val="006D4E63"/>
    <w:rsid w:val="006D6E30"/>
    <w:rsid w:val="006E1FC3"/>
    <w:rsid w:val="006E77CE"/>
    <w:rsid w:val="006F0560"/>
    <w:rsid w:val="006F2B28"/>
    <w:rsid w:val="006F6C30"/>
    <w:rsid w:val="00700AA4"/>
    <w:rsid w:val="007039D3"/>
    <w:rsid w:val="0070616B"/>
    <w:rsid w:val="00706FDA"/>
    <w:rsid w:val="00711CC4"/>
    <w:rsid w:val="00711F9A"/>
    <w:rsid w:val="00713810"/>
    <w:rsid w:val="00720EEF"/>
    <w:rsid w:val="00721A5C"/>
    <w:rsid w:val="00723219"/>
    <w:rsid w:val="00725DD5"/>
    <w:rsid w:val="007303A5"/>
    <w:rsid w:val="00730B3E"/>
    <w:rsid w:val="0073420B"/>
    <w:rsid w:val="00737C39"/>
    <w:rsid w:val="00745CC3"/>
    <w:rsid w:val="0074760E"/>
    <w:rsid w:val="00754ABA"/>
    <w:rsid w:val="00757D88"/>
    <w:rsid w:val="00764BDF"/>
    <w:rsid w:val="007674A1"/>
    <w:rsid w:val="007726D1"/>
    <w:rsid w:val="00777B0D"/>
    <w:rsid w:val="0078039C"/>
    <w:rsid w:val="00781AE3"/>
    <w:rsid w:val="00782DC1"/>
    <w:rsid w:val="00786985"/>
    <w:rsid w:val="00787097"/>
    <w:rsid w:val="00787794"/>
    <w:rsid w:val="00790C9C"/>
    <w:rsid w:val="0079355C"/>
    <w:rsid w:val="00793E93"/>
    <w:rsid w:val="00796A2D"/>
    <w:rsid w:val="00796EBF"/>
    <w:rsid w:val="007A1252"/>
    <w:rsid w:val="007A1546"/>
    <w:rsid w:val="007A228C"/>
    <w:rsid w:val="007A368E"/>
    <w:rsid w:val="007A3FE3"/>
    <w:rsid w:val="007A43F1"/>
    <w:rsid w:val="007A5868"/>
    <w:rsid w:val="007A5B26"/>
    <w:rsid w:val="007A6564"/>
    <w:rsid w:val="007A7DD8"/>
    <w:rsid w:val="007B04CE"/>
    <w:rsid w:val="007B6871"/>
    <w:rsid w:val="007B7A2F"/>
    <w:rsid w:val="007C1B38"/>
    <w:rsid w:val="007C3D33"/>
    <w:rsid w:val="007C55ED"/>
    <w:rsid w:val="007C5EBA"/>
    <w:rsid w:val="007D294A"/>
    <w:rsid w:val="007D47D2"/>
    <w:rsid w:val="007D6B93"/>
    <w:rsid w:val="007D6EC0"/>
    <w:rsid w:val="007D7E1D"/>
    <w:rsid w:val="007F0403"/>
    <w:rsid w:val="007F4DD5"/>
    <w:rsid w:val="007F511D"/>
    <w:rsid w:val="008002D0"/>
    <w:rsid w:val="008009C5"/>
    <w:rsid w:val="00801AA1"/>
    <w:rsid w:val="00810C68"/>
    <w:rsid w:val="0081433D"/>
    <w:rsid w:val="00814701"/>
    <w:rsid w:val="00814D51"/>
    <w:rsid w:val="00815D2E"/>
    <w:rsid w:val="008169E8"/>
    <w:rsid w:val="00816B9B"/>
    <w:rsid w:val="008173C5"/>
    <w:rsid w:val="0081755F"/>
    <w:rsid w:val="00820570"/>
    <w:rsid w:val="008276E3"/>
    <w:rsid w:val="00831979"/>
    <w:rsid w:val="00842805"/>
    <w:rsid w:val="00844720"/>
    <w:rsid w:val="00846F3D"/>
    <w:rsid w:val="00851352"/>
    <w:rsid w:val="008545B2"/>
    <w:rsid w:val="0085510C"/>
    <w:rsid w:val="00855788"/>
    <w:rsid w:val="00856D53"/>
    <w:rsid w:val="00857077"/>
    <w:rsid w:val="00860465"/>
    <w:rsid w:val="00861F61"/>
    <w:rsid w:val="00863230"/>
    <w:rsid w:val="0086358A"/>
    <w:rsid w:val="00864C12"/>
    <w:rsid w:val="008701F9"/>
    <w:rsid w:val="008704A8"/>
    <w:rsid w:val="008717D8"/>
    <w:rsid w:val="0087215C"/>
    <w:rsid w:val="00876AA9"/>
    <w:rsid w:val="00880E35"/>
    <w:rsid w:val="00883ED4"/>
    <w:rsid w:val="0088461E"/>
    <w:rsid w:val="008875FE"/>
    <w:rsid w:val="00887F65"/>
    <w:rsid w:val="00887F8E"/>
    <w:rsid w:val="00891772"/>
    <w:rsid w:val="00891A2A"/>
    <w:rsid w:val="00892B29"/>
    <w:rsid w:val="00894C7B"/>
    <w:rsid w:val="00896179"/>
    <w:rsid w:val="00896234"/>
    <w:rsid w:val="00897E43"/>
    <w:rsid w:val="008A3344"/>
    <w:rsid w:val="008A41D6"/>
    <w:rsid w:val="008A4BBD"/>
    <w:rsid w:val="008B0906"/>
    <w:rsid w:val="008B7658"/>
    <w:rsid w:val="008C220F"/>
    <w:rsid w:val="008C54C5"/>
    <w:rsid w:val="008C5738"/>
    <w:rsid w:val="008C669C"/>
    <w:rsid w:val="008C7EAD"/>
    <w:rsid w:val="008D0CFE"/>
    <w:rsid w:val="008D2192"/>
    <w:rsid w:val="008D2B21"/>
    <w:rsid w:val="008D3CB3"/>
    <w:rsid w:val="008D6152"/>
    <w:rsid w:val="008F0F81"/>
    <w:rsid w:val="008F27BF"/>
    <w:rsid w:val="008F3948"/>
    <w:rsid w:val="008F3A55"/>
    <w:rsid w:val="00911EA0"/>
    <w:rsid w:val="00912105"/>
    <w:rsid w:val="009142EC"/>
    <w:rsid w:val="009154C3"/>
    <w:rsid w:val="009205E2"/>
    <w:rsid w:val="00921FA4"/>
    <w:rsid w:val="00923540"/>
    <w:rsid w:val="00926767"/>
    <w:rsid w:val="0092716E"/>
    <w:rsid w:val="00927A01"/>
    <w:rsid w:val="00932486"/>
    <w:rsid w:val="0093311C"/>
    <w:rsid w:val="00933E7C"/>
    <w:rsid w:val="009361D5"/>
    <w:rsid w:val="00936330"/>
    <w:rsid w:val="00941809"/>
    <w:rsid w:val="009428A4"/>
    <w:rsid w:val="00943A99"/>
    <w:rsid w:val="00946EBD"/>
    <w:rsid w:val="00947334"/>
    <w:rsid w:val="009508C2"/>
    <w:rsid w:val="00951F71"/>
    <w:rsid w:val="00954153"/>
    <w:rsid w:val="00955AEB"/>
    <w:rsid w:val="0096035D"/>
    <w:rsid w:val="00962DD5"/>
    <w:rsid w:val="009638E3"/>
    <w:rsid w:val="00964DF9"/>
    <w:rsid w:val="009659F4"/>
    <w:rsid w:val="00970D60"/>
    <w:rsid w:val="00972890"/>
    <w:rsid w:val="00973308"/>
    <w:rsid w:val="00973EF2"/>
    <w:rsid w:val="009777B3"/>
    <w:rsid w:val="009844C8"/>
    <w:rsid w:val="00986226"/>
    <w:rsid w:val="009960E5"/>
    <w:rsid w:val="00996B6B"/>
    <w:rsid w:val="009A56ED"/>
    <w:rsid w:val="009A7ADC"/>
    <w:rsid w:val="009B38E6"/>
    <w:rsid w:val="009B4B70"/>
    <w:rsid w:val="009B51CF"/>
    <w:rsid w:val="009C138A"/>
    <w:rsid w:val="009C19B7"/>
    <w:rsid w:val="009C5ABB"/>
    <w:rsid w:val="009D03CA"/>
    <w:rsid w:val="009D3E5C"/>
    <w:rsid w:val="009D3F89"/>
    <w:rsid w:val="009D4C27"/>
    <w:rsid w:val="009D5073"/>
    <w:rsid w:val="009D7C51"/>
    <w:rsid w:val="009E196C"/>
    <w:rsid w:val="009E273F"/>
    <w:rsid w:val="009E4D7D"/>
    <w:rsid w:val="009F2A28"/>
    <w:rsid w:val="009F2ECC"/>
    <w:rsid w:val="009F36BF"/>
    <w:rsid w:val="009F5112"/>
    <w:rsid w:val="009F61C6"/>
    <w:rsid w:val="009F7720"/>
    <w:rsid w:val="009F7B70"/>
    <w:rsid w:val="00A02C16"/>
    <w:rsid w:val="00A047C8"/>
    <w:rsid w:val="00A04C6C"/>
    <w:rsid w:val="00A07B0E"/>
    <w:rsid w:val="00A111B6"/>
    <w:rsid w:val="00A13BDB"/>
    <w:rsid w:val="00A166F6"/>
    <w:rsid w:val="00A22A4C"/>
    <w:rsid w:val="00A26906"/>
    <w:rsid w:val="00A26D27"/>
    <w:rsid w:val="00A30DF9"/>
    <w:rsid w:val="00A31C96"/>
    <w:rsid w:val="00A32910"/>
    <w:rsid w:val="00A33632"/>
    <w:rsid w:val="00A339BB"/>
    <w:rsid w:val="00A33AC2"/>
    <w:rsid w:val="00A34428"/>
    <w:rsid w:val="00A34472"/>
    <w:rsid w:val="00A376EE"/>
    <w:rsid w:val="00A378E6"/>
    <w:rsid w:val="00A41748"/>
    <w:rsid w:val="00A42A99"/>
    <w:rsid w:val="00A47573"/>
    <w:rsid w:val="00A5151A"/>
    <w:rsid w:val="00A51E27"/>
    <w:rsid w:val="00A55F6A"/>
    <w:rsid w:val="00A564EF"/>
    <w:rsid w:val="00A57E0A"/>
    <w:rsid w:val="00A628AC"/>
    <w:rsid w:val="00A62D61"/>
    <w:rsid w:val="00A637E3"/>
    <w:rsid w:val="00A64646"/>
    <w:rsid w:val="00A6578E"/>
    <w:rsid w:val="00A6655A"/>
    <w:rsid w:val="00A80CC4"/>
    <w:rsid w:val="00A81758"/>
    <w:rsid w:val="00A823F6"/>
    <w:rsid w:val="00A856D0"/>
    <w:rsid w:val="00A85714"/>
    <w:rsid w:val="00A8639A"/>
    <w:rsid w:val="00A8719E"/>
    <w:rsid w:val="00A91AD2"/>
    <w:rsid w:val="00A93BFB"/>
    <w:rsid w:val="00AA004E"/>
    <w:rsid w:val="00AA0A89"/>
    <w:rsid w:val="00AA3279"/>
    <w:rsid w:val="00AA6429"/>
    <w:rsid w:val="00AA67E3"/>
    <w:rsid w:val="00AB063B"/>
    <w:rsid w:val="00AB0A0A"/>
    <w:rsid w:val="00AB0D46"/>
    <w:rsid w:val="00AB2D1E"/>
    <w:rsid w:val="00AC01AA"/>
    <w:rsid w:val="00AC1873"/>
    <w:rsid w:val="00AC4F72"/>
    <w:rsid w:val="00AC5671"/>
    <w:rsid w:val="00AC78B4"/>
    <w:rsid w:val="00AD0486"/>
    <w:rsid w:val="00AD0DCC"/>
    <w:rsid w:val="00AD0DD8"/>
    <w:rsid w:val="00AD3207"/>
    <w:rsid w:val="00AD5DC3"/>
    <w:rsid w:val="00AD6957"/>
    <w:rsid w:val="00AD69E3"/>
    <w:rsid w:val="00AE0BD5"/>
    <w:rsid w:val="00AE413B"/>
    <w:rsid w:val="00AE78F3"/>
    <w:rsid w:val="00AF3E3F"/>
    <w:rsid w:val="00AF5B98"/>
    <w:rsid w:val="00AF741A"/>
    <w:rsid w:val="00B01ADB"/>
    <w:rsid w:val="00B04161"/>
    <w:rsid w:val="00B056F9"/>
    <w:rsid w:val="00B101DF"/>
    <w:rsid w:val="00B11903"/>
    <w:rsid w:val="00B11E3D"/>
    <w:rsid w:val="00B1395B"/>
    <w:rsid w:val="00B17E82"/>
    <w:rsid w:val="00B2568C"/>
    <w:rsid w:val="00B30237"/>
    <w:rsid w:val="00B30711"/>
    <w:rsid w:val="00B3699B"/>
    <w:rsid w:val="00B36D4E"/>
    <w:rsid w:val="00B36D6E"/>
    <w:rsid w:val="00B37CE7"/>
    <w:rsid w:val="00B446FA"/>
    <w:rsid w:val="00B4575A"/>
    <w:rsid w:val="00B45918"/>
    <w:rsid w:val="00B56E69"/>
    <w:rsid w:val="00B575BA"/>
    <w:rsid w:val="00B62968"/>
    <w:rsid w:val="00B62AA6"/>
    <w:rsid w:val="00B63892"/>
    <w:rsid w:val="00B65D0E"/>
    <w:rsid w:val="00B66638"/>
    <w:rsid w:val="00B67272"/>
    <w:rsid w:val="00B73DCD"/>
    <w:rsid w:val="00B7544E"/>
    <w:rsid w:val="00B76429"/>
    <w:rsid w:val="00B76592"/>
    <w:rsid w:val="00B91450"/>
    <w:rsid w:val="00B92C90"/>
    <w:rsid w:val="00B930C8"/>
    <w:rsid w:val="00B9372C"/>
    <w:rsid w:val="00B93A85"/>
    <w:rsid w:val="00B955DA"/>
    <w:rsid w:val="00B956D4"/>
    <w:rsid w:val="00B95DE6"/>
    <w:rsid w:val="00B97446"/>
    <w:rsid w:val="00BA1A1D"/>
    <w:rsid w:val="00BA3FE4"/>
    <w:rsid w:val="00BA6F90"/>
    <w:rsid w:val="00BA7432"/>
    <w:rsid w:val="00BA7F2F"/>
    <w:rsid w:val="00BB0D17"/>
    <w:rsid w:val="00BB39F0"/>
    <w:rsid w:val="00BB40EC"/>
    <w:rsid w:val="00BB6FE1"/>
    <w:rsid w:val="00BB7881"/>
    <w:rsid w:val="00BB79CD"/>
    <w:rsid w:val="00BC1AA0"/>
    <w:rsid w:val="00BC2495"/>
    <w:rsid w:val="00BC3FC8"/>
    <w:rsid w:val="00BC5E6B"/>
    <w:rsid w:val="00BC7EB9"/>
    <w:rsid w:val="00BD080C"/>
    <w:rsid w:val="00BD2643"/>
    <w:rsid w:val="00BD3B61"/>
    <w:rsid w:val="00BD56B1"/>
    <w:rsid w:val="00BD5ED7"/>
    <w:rsid w:val="00BD6558"/>
    <w:rsid w:val="00BD6B88"/>
    <w:rsid w:val="00BE0A75"/>
    <w:rsid w:val="00BE25E2"/>
    <w:rsid w:val="00BE2B33"/>
    <w:rsid w:val="00BE4CF9"/>
    <w:rsid w:val="00BF227F"/>
    <w:rsid w:val="00BF28AD"/>
    <w:rsid w:val="00BF2F76"/>
    <w:rsid w:val="00BF3022"/>
    <w:rsid w:val="00BF3214"/>
    <w:rsid w:val="00BF5573"/>
    <w:rsid w:val="00BF6491"/>
    <w:rsid w:val="00BF68CF"/>
    <w:rsid w:val="00BF6CE9"/>
    <w:rsid w:val="00C05BA5"/>
    <w:rsid w:val="00C0686A"/>
    <w:rsid w:val="00C15867"/>
    <w:rsid w:val="00C17CDF"/>
    <w:rsid w:val="00C21F2D"/>
    <w:rsid w:val="00C228BB"/>
    <w:rsid w:val="00C2296D"/>
    <w:rsid w:val="00C22FA6"/>
    <w:rsid w:val="00C23155"/>
    <w:rsid w:val="00C23F7A"/>
    <w:rsid w:val="00C23FDC"/>
    <w:rsid w:val="00C250C9"/>
    <w:rsid w:val="00C33D08"/>
    <w:rsid w:val="00C36CCD"/>
    <w:rsid w:val="00C37BEC"/>
    <w:rsid w:val="00C40C41"/>
    <w:rsid w:val="00C42E13"/>
    <w:rsid w:val="00C45885"/>
    <w:rsid w:val="00C464DA"/>
    <w:rsid w:val="00C50F22"/>
    <w:rsid w:val="00C5235D"/>
    <w:rsid w:val="00C528BD"/>
    <w:rsid w:val="00C54C33"/>
    <w:rsid w:val="00C55675"/>
    <w:rsid w:val="00C569DF"/>
    <w:rsid w:val="00C57971"/>
    <w:rsid w:val="00C64DCA"/>
    <w:rsid w:val="00C65BD7"/>
    <w:rsid w:val="00C66995"/>
    <w:rsid w:val="00C71F69"/>
    <w:rsid w:val="00C72EB0"/>
    <w:rsid w:val="00C73268"/>
    <w:rsid w:val="00C76BA4"/>
    <w:rsid w:val="00C83A48"/>
    <w:rsid w:val="00C85865"/>
    <w:rsid w:val="00C85E85"/>
    <w:rsid w:val="00C96ACB"/>
    <w:rsid w:val="00C971E6"/>
    <w:rsid w:val="00CA1301"/>
    <w:rsid w:val="00CA2EAE"/>
    <w:rsid w:val="00CA4AC1"/>
    <w:rsid w:val="00CB0316"/>
    <w:rsid w:val="00CB0B11"/>
    <w:rsid w:val="00CB1EBB"/>
    <w:rsid w:val="00CB5354"/>
    <w:rsid w:val="00CB6D18"/>
    <w:rsid w:val="00CB796D"/>
    <w:rsid w:val="00CC0D96"/>
    <w:rsid w:val="00CC315D"/>
    <w:rsid w:val="00CC35A3"/>
    <w:rsid w:val="00CC3C9E"/>
    <w:rsid w:val="00CC6A14"/>
    <w:rsid w:val="00CC70A3"/>
    <w:rsid w:val="00CC7E64"/>
    <w:rsid w:val="00CD1C90"/>
    <w:rsid w:val="00CD4442"/>
    <w:rsid w:val="00CD53C3"/>
    <w:rsid w:val="00CD574E"/>
    <w:rsid w:val="00CD5AA4"/>
    <w:rsid w:val="00CD5ED4"/>
    <w:rsid w:val="00CD6483"/>
    <w:rsid w:val="00CE1D2B"/>
    <w:rsid w:val="00CE341F"/>
    <w:rsid w:val="00CE3F26"/>
    <w:rsid w:val="00CE406A"/>
    <w:rsid w:val="00CE4C22"/>
    <w:rsid w:val="00CF04D2"/>
    <w:rsid w:val="00CF133B"/>
    <w:rsid w:val="00CF1B4F"/>
    <w:rsid w:val="00CF236C"/>
    <w:rsid w:val="00CF2438"/>
    <w:rsid w:val="00CF41EC"/>
    <w:rsid w:val="00CF5D04"/>
    <w:rsid w:val="00CF72E9"/>
    <w:rsid w:val="00D00D85"/>
    <w:rsid w:val="00D04DE4"/>
    <w:rsid w:val="00D063F1"/>
    <w:rsid w:val="00D06C3B"/>
    <w:rsid w:val="00D10556"/>
    <w:rsid w:val="00D126CA"/>
    <w:rsid w:val="00D12E0D"/>
    <w:rsid w:val="00D14D0F"/>
    <w:rsid w:val="00D14F22"/>
    <w:rsid w:val="00D17396"/>
    <w:rsid w:val="00D22D4E"/>
    <w:rsid w:val="00D24038"/>
    <w:rsid w:val="00D27153"/>
    <w:rsid w:val="00D32A08"/>
    <w:rsid w:val="00D35A40"/>
    <w:rsid w:val="00D35D7D"/>
    <w:rsid w:val="00D362D9"/>
    <w:rsid w:val="00D36C3C"/>
    <w:rsid w:val="00D41C90"/>
    <w:rsid w:val="00D4272E"/>
    <w:rsid w:val="00D439F8"/>
    <w:rsid w:val="00D43FF9"/>
    <w:rsid w:val="00D466C5"/>
    <w:rsid w:val="00D4741C"/>
    <w:rsid w:val="00D4755E"/>
    <w:rsid w:val="00D53802"/>
    <w:rsid w:val="00D55512"/>
    <w:rsid w:val="00D57918"/>
    <w:rsid w:val="00D57D31"/>
    <w:rsid w:val="00D6096B"/>
    <w:rsid w:val="00D61CDA"/>
    <w:rsid w:val="00D70381"/>
    <w:rsid w:val="00D73DC6"/>
    <w:rsid w:val="00D74C1A"/>
    <w:rsid w:val="00D754C1"/>
    <w:rsid w:val="00D7629A"/>
    <w:rsid w:val="00D76A77"/>
    <w:rsid w:val="00D77393"/>
    <w:rsid w:val="00D77A35"/>
    <w:rsid w:val="00D81B3E"/>
    <w:rsid w:val="00D8354F"/>
    <w:rsid w:val="00D90C70"/>
    <w:rsid w:val="00D90E49"/>
    <w:rsid w:val="00D9416E"/>
    <w:rsid w:val="00D9522F"/>
    <w:rsid w:val="00D95CE9"/>
    <w:rsid w:val="00D96ADE"/>
    <w:rsid w:val="00D97B61"/>
    <w:rsid w:val="00DA0CE2"/>
    <w:rsid w:val="00DA14A4"/>
    <w:rsid w:val="00DA14C9"/>
    <w:rsid w:val="00DA19A9"/>
    <w:rsid w:val="00DA3BC3"/>
    <w:rsid w:val="00DA3CA1"/>
    <w:rsid w:val="00DA4858"/>
    <w:rsid w:val="00DB08BE"/>
    <w:rsid w:val="00DB2160"/>
    <w:rsid w:val="00DB24D1"/>
    <w:rsid w:val="00DB24E5"/>
    <w:rsid w:val="00DB4CE9"/>
    <w:rsid w:val="00DC36D4"/>
    <w:rsid w:val="00DC38B9"/>
    <w:rsid w:val="00DC6A10"/>
    <w:rsid w:val="00DD3A9B"/>
    <w:rsid w:val="00DD63D7"/>
    <w:rsid w:val="00DE13AC"/>
    <w:rsid w:val="00DE657E"/>
    <w:rsid w:val="00DF05A4"/>
    <w:rsid w:val="00DF3AE6"/>
    <w:rsid w:val="00DF4704"/>
    <w:rsid w:val="00DF532D"/>
    <w:rsid w:val="00E024AA"/>
    <w:rsid w:val="00E03A32"/>
    <w:rsid w:val="00E05622"/>
    <w:rsid w:val="00E05D67"/>
    <w:rsid w:val="00E073DA"/>
    <w:rsid w:val="00E13701"/>
    <w:rsid w:val="00E16729"/>
    <w:rsid w:val="00E250F1"/>
    <w:rsid w:val="00E3110A"/>
    <w:rsid w:val="00E31D13"/>
    <w:rsid w:val="00E32C69"/>
    <w:rsid w:val="00E3550D"/>
    <w:rsid w:val="00E40D6A"/>
    <w:rsid w:val="00E43F5E"/>
    <w:rsid w:val="00E46038"/>
    <w:rsid w:val="00E4765B"/>
    <w:rsid w:val="00E5011C"/>
    <w:rsid w:val="00E50311"/>
    <w:rsid w:val="00E526FA"/>
    <w:rsid w:val="00E52B0D"/>
    <w:rsid w:val="00E614E0"/>
    <w:rsid w:val="00E63A37"/>
    <w:rsid w:val="00E71B5A"/>
    <w:rsid w:val="00E73F7F"/>
    <w:rsid w:val="00E76916"/>
    <w:rsid w:val="00E76E79"/>
    <w:rsid w:val="00E85409"/>
    <w:rsid w:val="00E93494"/>
    <w:rsid w:val="00E937C3"/>
    <w:rsid w:val="00E9589C"/>
    <w:rsid w:val="00E9738B"/>
    <w:rsid w:val="00EA2ECD"/>
    <w:rsid w:val="00EA429F"/>
    <w:rsid w:val="00EA4F9E"/>
    <w:rsid w:val="00EA5287"/>
    <w:rsid w:val="00EA63CA"/>
    <w:rsid w:val="00EA684F"/>
    <w:rsid w:val="00EA6895"/>
    <w:rsid w:val="00EA6D3B"/>
    <w:rsid w:val="00EA6F33"/>
    <w:rsid w:val="00EB00AD"/>
    <w:rsid w:val="00EB1320"/>
    <w:rsid w:val="00EB136C"/>
    <w:rsid w:val="00EB1DE4"/>
    <w:rsid w:val="00EB480E"/>
    <w:rsid w:val="00EB4A0E"/>
    <w:rsid w:val="00EB5EC6"/>
    <w:rsid w:val="00EB7E18"/>
    <w:rsid w:val="00EB7FC9"/>
    <w:rsid w:val="00EC53B4"/>
    <w:rsid w:val="00EC72D2"/>
    <w:rsid w:val="00EC7C6E"/>
    <w:rsid w:val="00ED1668"/>
    <w:rsid w:val="00ED27E8"/>
    <w:rsid w:val="00ED60EE"/>
    <w:rsid w:val="00ED62B2"/>
    <w:rsid w:val="00ED6388"/>
    <w:rsid w:val="00ED7137"/>
    <w:rsid w:val="00EE156E"/>
    <w:rsid w:val="00EF1823"/>
    <w:rsid w:val="00EF367F"/>
    <w:rsid w:val="00EF503C"/>
    <w:rsid w:val="00F019AF"/>
    <w:rsid w:val="00F02D4A"/>
    <w:rsid w:val="00F048A9"/>
    <w:rsid w:val="00F069C0"/>
    <w:rsid w:val="00F07710"/>
    <w:rsid w:val="00F078B1"/>
    <w:rsid w:val="00F07B7A"/>
    <w:rsid w:val="00F14D94"/>
    <w:rsid w:val="00F177DB"/>
    <w:rsid w:val="00F205F9"/>
    <w:rsid w:val="00F21088"/>
    <w:rsid w:val="00F23B13"/>
    <w:rsid w:val="00F25B70"/>
    <w:rsid w:val="00F25DE8"/>
    <w:rsid w:val="00F26DDE"/>
    <w:rsid w:val="00F327E7"/>
    <w:rsid w:val="00F35746"/>
    <w:rsid w:val="00F3642C"/>
    <w:rsid w:val="00F447C7"/>
    <w:rsid w:val="00F46352"/>
    <w:rsid w:val="00F5211B"/>
    <w:rsid w:val="00F52BE8"/>
    <w:rsid w:val="00F53DC5"/>
    <w:rsid w:val="00F55423"/>
    <w:rsid w:val="00F554A9"/>
    <w:rsid w:val="00F6067A"/>
    <w:rsid w:val="00F63C4E"/>
    <w:rsid w:val="00F716FD"/>
    <w:rsid w:val="00F72747"/>
    <w:rsid w:val="00F76C84"/>
    <w:rsid w:val="00F80355"/>
    <w:rsid w:val="00F807B9"/>
    <w:rsid w:val="00F8472D"/>
    <w:rsid w:val="00F84CDC"/>
    <w:rsid w:val="00F85F14"/>
    <w:rsid w:val="00F87C43"/>
    <w:rsid w:val="00F90534"/>
    <w:rsid w:val="00F92E29"/>
    <w:rsid w:val="00F9638A"/>
    <w:rsid w:val="00F97AA4"/>
    <w:rsid w:val="00FA235C"/>
    <w:rsid w:val="00FB0C81"/>
    <w:rsid w:val="00FB398E"/>
    <w:rsid w:val="00FB3E85"/>
    <w:rsid w:val="00FB69FF"/>
    <w:rsid w:val="00FB78B9"/>
    <w:rsid w:val="00FC2200"/>
    <w:rsid w:val="00FC2540"/>
    <w:rsid w:val="00FC2F85"/>
    <w:rsid w:val="00FC4C73"/>
    <w:rsid w:val="00FC78D7"/>
    <w:rsid w:val="00FC78FD"/>
    <w:rsid w:val="00FD0FC9"/>
    <w:rsid w:val="00FD4BC6"/>
    <w:rsid w:val="00FD63A1"/>
    <w:rsid w:val="00FE10B7"/>
    <w:rsid w:val="00FF007E"/>
    <w:rsid w:val="00FF0204"/>
    <w:rsid w:val="00FF3AED"/>
    <w:rsid w:val="00FF6507"/>
    <w:rsid w:val="00FF6B59"/>
  </w:rsids>
  <m:mathPr>
    <m:mathFont m:val="Cambria Math"/>
    <m:brkBin m:val="before"/>
    <m:brkBinSub m:val="--"/>
    <m:smallFrac m:val="0"/>
    <m:dispDef/>
    <m:lMargin m:val="0"/>
    <m:rMargin m:val="0"/>
    <m:defJc m:val="centerGroup"/>
    <m:wrapIndent m:val="1440"/>
    <m:intLim m:val="subSup"/>
    <m:naryLim m:val="undOvr"/>
  </m:mathPr>
  <w:themeFontLang w:val="en-US" w:eastAsia="zh-CN"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250F1"/>
  <w15:docId w15:val="{B7A60B9B-1641-4887-A287-38926792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25"/>
      </w:numPr>
      <w:tabs>
        <w:tab w:val="clear" w:pos="7655"/>
        <w:tab w:val="num" w:pos="0"/>
        <w:tab w:val="num" w:pos="1985"/>
      </w:tabs>
      <w:spacing w:after="240"/>
      <w:ind w:left="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5"/>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25"/>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25"/>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25"/>
      </w:numPr>
      <w:spacing w:before="240" w:after="60"/>
      <w:outlineLvl w:val="5"/>
    </w:pPr>
    <w:rPr>
      <w:rFonts w:ascii="Arial" w:hAnsi="Arial"/>
      <w:i/>
    </w:rPr>
  </w:style>
  <w:style w:type="paragraph" w:styleId="Heading7">
    <w:name w:val="heading 7"/>
    <w:basedOn w:val="Normal"/>
    <w:next w:val="Normal"/>
    <w:qFormat/>
    <w:rsid w:val="00A5151A"/>
    <w:pPr>
      <w:numPr>
        <w:ilvl w:val="6"/>
        <w:numId w:val="25"/>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2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aliases w:val="Ethy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link w:val="ListParagraphChar"/>
    <w:uiPriority w:val="34"/>
    <w:qFormat/>
    <w:rsid w:val="00DE13AC"/>
    <w:pPr>
      <w:ind w:left="720"/>
      <w:contextualSpacing/>
    </w:pPr>
  </w:style>
  <w:style w:type="paragraph" w:styleId="FootnoteText">
    <w:name w:val="footnote text"/>
    <w:aliases w:val="Char1,Char1 Char Char"/>
    <w:basedOn w:val="Normal"/>
    <w:link w:val="FootnoteTextChar"/>
    <w:uiPriority w:val="99"/>
    <w:unhideWhenUsed/>
    <w:qFormat/>
    <w:rsid w:val="00DE13AC"/>
    <w:rPr>
      <w:sz w:val="20"/>
      <w:szCs w:val="20"/>
    </w:rPr>
  </w:style>
  <w:style w:type="character" w:customStyle="1" w:styleId="FootnoteTextChar">
    <w:name w:val="Footnote Text Char"/>
    <w:aliases w:val="Char1 Char,Char1 Char Char Char"/>
    <w:basedOn w:val="DefaultParagraphFont"/>
    <w:link w:val="FootnoteText"/>
    <w:uiPriority w:val="99"/>
    <w:rsid w:val="00DE13AC"/>
    <w:rPr>
      <w:lang w:val="en-GB"/>
    </w:rPr>
  </w:style>
  <w:style w:type="character" w:styleId="FootnoteReference">
    <w:name w:val="footnote reference"/>
    <w:basedOn w:val="DefaultParagraphFont"/>
    <w:uiPriority w:val="99"/>
    <w:unhideWhenUsed/>
    <w:rsid w:val="00DE13AC"/>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DE13AC"/>
    <w:rPr>
      <w:sz w:val="22"/>
      <w:szCs w:val="22"/>
      <w:lang w:val="en-GB"/>
    </w:rPr>
  </w:style>
  <w:style w:type="table" w:customStyle="1" w:styleId="TableGrid10">
    <w:name w:val="Table Grid1"/>
    <w:basedOn w:val="TableNormal"/>
    <w:next w:val="TableGrid"/>
    <w:uiPriority w:val="59"/>
    <w:rsid w:val="00E40D6A"/>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DefaultParagraphFont"/>
    <w:rsid w:val="00787097"/>
  </w:style>
  <w:style w:type="paragraph" w:customStyle="1" w:styleId="Style1">
    <w:name w:val="Style1"/>
    <w:basedOn w:val="ListParagraph"/>
    <w:qFormat/>
    <w:rsid w:val="00787097"/>
    <w:pPr>
      <w:numPr>
        <w:numId w:val="24"/>
      </w:numPr>
      <w:spacing w:line="360" w:lineRule="auto"/>
    </w:p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link w:val="Heading3"/>
    <w:uiPriority w:val="9"/>
    <w:rsid w:val="00787097"/>
    <w:rPr>
      <w:sz w:val="22"/>
      <w:szCs w:val="22"/>
      <w:lang w:val="en-GB"/>
    </w:rPr>
  </w:style>
  <w:style w:type="character" w:customStyle="1" w:styleId="FooterChar">
    <w:name w:val="Footer Char"/>
    <w:basedOn w:val="DefaultParagraphFont"/>
    <w:link w:val="Footer"/>
    <w:uiPriority w:val="99"/>
    <w:rsid w:val="00787097"/>
    <w:rPr>
      <w:sz w:val="22"/>
      <w:szCs w:val="22"/>
      <w:lang w:val="en-GB"/>
    </w:rPr>
  </w:style>
  <w:style w:type="paragraph" w:customStyle="1" w:styleId="Default">
    <w:name w:val="Default"/>
    <w:rsid w:val="00787097"/>
    <w:pPr>
      <w:widowControl w:val="0"/>
      <w:autoSpaceDE w:val="0"/>
      <w:autoSpaceDN w:val="0"/>
      <w:adjustRightInd w:val="0"/>
    </w:pPr>
    <w:rPr>
      <w:color w:val="000000"/>
      <w:sz w:val="24"/>
      <w:szCs w:val="24"/>
    </w:rPr>
  </w:style>
  <w:style w:type="character" w:customStyle="1" w:styleId="HeaderChar">
    <w:name w:val="Header Char"/>
    <w:aliases w:val="EthylHeader Char"/>
    <w:basedOn w:val="DefaultParagraphFont"/>
    <w:link w:val="Header"/>
    <w:locked/>
    <w:rsid w:val="00787097"/>
    <w:rPr>
      <w:sz w:val="22"/>
      <w:szCs w:val="22"/>
      <w:lang w:val="en-GB"/>
    </w:rPr>
  </w:style>
  <w:style w:type="character" w:customStyle="1" w:styleId="ListParagraphChar">
    <w:name w:val="List Paragraph Char"/>
    <w:basedOn w:val="DefaultParagraphFont"/>
    <w:link w:val="ListParagraph"/>
    <w:uiPriority w:val="34"/>
    <w:locked/>
    <w:rsid w:val="00B56E69"/>
    <w:rPr>
      <w:sz w:val="22"/>
      <w:szCs w:val="22"/>
      <w:lang w:val="en-GB"/>
    </w:rPr>
  </w:style>
  <w:style w:type="paragraph" w:customStyle="1" w:styleId="Body">
    <w:name w:val="Body"/>
    <w:basedOn w:val="Normal"/>
    <w:rsid w:val="00A55F6A"/>
    <w:pPr>
      <w:suppressAutoHyphens/>
      <w:autoSpaceDE w:val="0"/>
      <w:autoSpaceDN w:val="0"/>
      <w:spacing w:before="120"/>
      <w:jc w:val="left"/>
    </w:pPr>
    <w:rPr>
      <w:sz w:val="24"/>
      <w:szCs w:val="24"/>
      <w:lang w:val="en-US"/>
    </w:rPr>
  </w:style>
  <w:style w:type="paragraph" w:styleId="Revision">
    <w:name w:val="Revision"/>
    <w:hidden/>
    <w:uiPriority w:val="99"/>
    <w:semiHidden/>
    <w:rsid w:val="007A6564"/>
    <w:rPr>
      <w:sz w:val="22"/>
      <w:szCs w:val="22"/>
      <w:lang w:val="en-GB"/>
    </w:rPr>
  </w:style>
  <w:style w:type="paragraph" w:styleId="NoSpacing">
    <w:name w:val="No Spacing"/>
    <w:uiPriority w:val="1"/>
    <w:qFormat/>
    <w:rsid w:val="00A04C6C"/>
    <w:rPr>
      <w:rFonts w:asciiTheme="minorHAnsi" w:eastAsiaTheme="minorHAnsi" w:hAnsiTheme="minorHAnsi" w:cstheme="minorBidi"/>
      <w:sz w:val="22"/>
      <w:szCs w:val="22"/>
    </w:rPr>
  </w:style>
  <w:style w:type="character" w:customStyle="1" w:styleId="gmaildefault">
    <w:name w:val="gmail_default"/>
    <w:basedOn w:val="DefaultParagraphFont"/>
    <w:rsid w:val="008A3344"/>
  </w:style>
  <w:style w:type="paragraph" w:styleId="EndnoteText">
    <w:name w:val="endnote text"/>
    <w:basedOn w:val="Normal"/>
    <w:link w:val="EndnoteTextChar"/>
    <w:uiPriority w:val="99"/>
    <w:semiHidden/>
    <w:unhideWhenUsed/>
    <w:rsid w:val="001E5E67"/>
    <w:rPr>
      <w:sz w:val="20"/>
      <w:szCs w:val="20"/>
    </w:rPr>
  </w:style>
  <w:style w:type="character" w:customStyle="1" w:styleId="EndnoteTextChar">
    <w:name w:val="Endnote Text Char"/>
    <w:basedOn w:val="DefaultParagraphFont"/>
    <w:link w:val="EndnoteText"/>
    <w:uiPriority w:val="99"/>
    <w:semiHidden/>
    <w:rsid w:val="001E5E67"/>
    <w:rPr>
      <w:lang w:val="en-GB"/>
    </w:rPr>
  </w:style>
  <w:style w:type="character" w:styleId="EndnoteReference">
    <w:name w:val="endnote reference"/>
    <w:basedOn w:val="DefaultParagraphFont"/>
    <w:uiPriority w:val="99"/>
    <w:semiHidden/>
    <w:unhideWhenUsed/>
    <w:rsid w:val="001E5E67"/>
    <w:rPr>
      <w:vertAlign w:val="superscript"/>
    </w:rPr>
  </w:style>
  <w:style w:type="character" w:styleId="Hyperlink">
    <w:name w:val="Hyperlink"/>
    <w:basedOn w:val="DefaultParagraphFont"/>
    <w:uiPriority w:val="99"/>
    <w:semiHidden/>
    <w:unhideWhenUsed/>
    <w:rsid w:val="00443ACF"/>
    <w:rPr>
      <w:color w:val="0000FF"/>
      <w:u w:val="single"/>
    </w:rPr>
  </w:style>
  <w:style w:type="character" w:styleId="FollowedHyperlink">
    <w:name w:val="FollowedHyperlink"/>
    <w:basedOn w:val="DefaultParagraphFont"/>
    <w:uiPriority w:val="99"/>
    <w:semiHidden/>
    <w:unhideWhenUsed/>
    <w:rsid w:val="00A80C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58180">
      <w:bodyDiv w:val="1"/>
      <w:marLeft w:val="0"/>
      <w:marRight w:val="0"/>
      <w:marTop w:val="0"/>
      <w:marBottom w:val="0"/>
      <w:divBdr>
        <w:top w:val="none" w:sz="0" w:space="0" w:color="auto"/>
        <w:left w:val="none" w:sz="0" w:space="0" w:color="auto"/>
        <w:bottom w:val="none" w:sz="0" w:space="0" w:color="auto"/>
        <w:right w:val="none" w:sz="0" w:space="0" w:color="auto"/>
      </w:divBdr>
    </w:div>
    <w:div w:id="220796179">
      <w:bodyDiv w:val="1"/>
      <w:marLeft w:val="0"/>
      <w:marRight w:val="0"/>
      <w:marTop w:val="0"/>
      <w:marBottom w:val="0"/>
      <w:divBdr>
        <w:top w:val="none" w:sz="0" w:space="0" w:color="auto"/>
        <w:left w:val="none" w:sz="0" w:space="0" w:color="auto"/>
        <w:bottom w:val="none" w:sz="0" w:space="0" w:color="auto"/>
        <w:right w:val="none" w:sz="0" w:space="0" w:color="auto"/>
      </w:divBdr>
    </w:div>
    <w:div w:id="307518237">
      <w:bodyDiv w:val="1"/>
      <w:marLeft w:val="0"/>
      <w:marRight w:val="0"/>
      <w:marTop w:val="0"/>
      <w:marBottom w:val="0"/>
      <w:divBdr>
        <w:top w:val="none" w:sz="0" w:space="0" w:color="auto"/>
        <w:left w:val="none" w:sz="0" w:space="0" w:color="auto"/>
        <w:bottom w:val="none" w:sz="0" w:space="0" w:color="auto"/>
        <w:right w:val="none" w:sz="0" w:space="0" w:color="auto"/>
      </w:divBdr>
    </w:div>
    <w:div w:id="336537318">
      <w:bodyDiv w:val="1"/>
      <w:marLeft w:val="0"/>
      <w:marRight w:val="0"/>
      <w:marTop w:val="0"/>
      <w:marBottom w:val="0"/>
      <w:divBdr>
        <w:top w:val="none" w:sz="0" w:space="0" w:color="auto"/>
        <w:left w:val="none" w:sz="0" w:space="0" w:color="auto"/>
        <w:bottom w:val="none" w:sz="0" w:space="0" w:color="auto"/>
        <w:right w:val="none" w:sz="0" w:space="0" w:color="auto"/>
      </w:divBdr>
    </w:div>
    <w:div w:id="490413606">
      <w:bodyDiv w:val="1"/>
      <w:marLeft w:val="0"/>
      <w:marRight w:val="0"/>
      <w:marTop w:val="0"/>
      <w:marBottom w:val="0"/>
      <w:divBdr>
        <w:top w:val="none" w:sz="0" w:space="0" w:color="auto"/>
        <w:left w:val="none" w:sz="0" w:space="0" w:color="auto"/>
        <w:bottom w:val="none" w:sz="0" w:space="0" w:color="auto"/>
        <w:right w:val="none" w:sz="0" w:space="0" w:color="auto"/>
      </w:divBdr>
    </w:div>
    <w:div w:id="679162147">
      <w:bodyDiv w:val="1"/>
      <w:marLeft w:val="0"/>
      <w:marRight w:val="0"/>
      <w:marTop w:val="0"/>
      <w:marBottom w:val="0"/>
      <w:divBdr>
        <w:top w:val="none" w:sz="0" w:space="0" w:color="auto"/>
        <w:left w:val="none" w:sz="0" w:space="0" w:color="auto"/>
        <w:bottom w:val="none" w:sz="0" w:space="0" w:color="auto"/>
        <w:right w:val="none" w:sz="0" w:space="0" w:color="auto"/>
      </w:divBdr>
    </w:div>
    <w:div w:id="893738049">
      <w:bodyDiv w:val="1"/>
      <w:marLeft w:val="0"/>
      <w:marRight w:val="0"/>
      <w:marTop w:val="0"/>
      <w:marBottom w:val="0"/>
      <w:divBdr>
        <w:top w:val="none" w:sz="0" w:space="0" w:color="auto"/>
        <w:left w:val="none" w:sz="0" w:space="0" w:color="auto"/>
        <w:bottom w:val="none" w:sz="0" w:space="0" w:color="auto"/>
        <w:right w:val="none" w:sz="0" w:space="0" w:color="auto"/>
      </w:divBdr>
    </w:div>
    <w:div w:id="900604077">
      <w:bodyDiv w:val="1"/>
      <w:marLeft w:val="0"/>
      <w:marRight w:val="0"/>
      <w:marTop w:val="0"/>
      <w:marBottom w:val="0"/>
      <w:divBdr>
        <w:top w:val="none" w:sz="0" w:space="0" w:color="auto"/>
        <w:left w:val="none" w:sz="0" w:space="0" w:color="auto"/>
        <w:bottom w:val="none" w:sz="0" w:space="0" w:color="auto"/>
        <w:right w:val="none" w:sz="0" w:space="0" w:color="auto"/>
      </w:divBdr>
    </w:div>
    <w:div w:id="992559681">
      <w:bodyDiv w:val="1"/>
      <w:marLeft w:val="0"/>
      <w:marRight w:val="0"/>
      <w:marTop w:val="0"/>
      <w:marBottom w:val="0"/>
      <w:divBdr>
        <w:top w:val="none" w:sz="0" w:space="0" w:color="auto"/>
        <w:left w:val="none" w:sz="0" w:space="0" w:color="auto"/>
        <w:bottom w:val="none" w:sz="0" w:space="0" w:color="auto"/>
        <w:right w:val="none" w:sz="0" w:space="0" w:color="auto"/>
      </w:divBdr>
    </w:div>
    <w:div w:id="1347901464">
      <w:bodyDiv w:val="1"/>
      <w:marLeft w:val="0"/>
      <w:marRight w:val="0"/>
      <w:marTop w:val="0"/>
      <w:marBottom w:val="0"/>
      <w:divBdr>
        <w:top w:val="none" w:sz="0" w:space="0" w:color="auto"/>
        <w:left w:val="none" w:sz="0" w:space="0" w:color="auto"/>
        <w:bottom w:val="none" w:sz="0" w:space="0" w:color="auto"/>
        <w:right w:val="none" w:sz="0" w:space="0" w:color="auto"/>
      </w:divBdr>
    </w:div>
    <w:div w:id="1519738935">
      <w:bodyDiv w:val="1"/>
      <w:marLeft w:val="0"/>
      <w:marRight w:val="0"/>
      <w:marTop w:val="0"/>
      <w:marBottom w:val="0"/>
      <w:divBdr>
        <w:top w:val="none" w:sz="0" w:space="0" w:color="auto"/>
        <w:left w:val="none" w:sz="0" w:space="0" w:color="auto"/>
        <w:bottom w:val="none" w:sz="0" w:space="0" w:color="auto"/>
        <w:right w:val="none" w:sz="0" w:space="0" w:color="auto"/>
      </w:divBdr>
    </w:div>
    <w:div w:id="1600719374">
      <w:bodyDiv w:val="1"/>
      <w:marLeft w:val="0"/>
      <w:marRight w:val="0"/>
      <w:marTop w:val="0"/>
      <w:marBottom w:val="0"/>
      <w:divBdr>
        <w:top w:val="none" w:sz="0" w:space="0" w:color="auto"/>
        <w:left w:val="none" w:sz="0" w:space="0" w:color="auto"/>
        <w:bottom w:val="none" w:sz="0" w:space="0" w:color="auto"/>
        <w:right w:val="none" w:sz="0" w:space="0" w:color="auto"/>
      </w:divBdr>
    </w:div>
    <w:div w:id="1619724593">
      <w:bodyDiv w:val="1"/>
      <w:marLeft w:val="0"/>
      <w:marRight w:val="0"/>
      <w:marTop w:val="0"/>
      <w:marBottom w:val="0"/>
      <w:divBdr>
        <w:top w:val="none" w:sz="0" w:space="0" w:color="auto"/>
        <w:left w:val="none" w:sz="0" w:space="0" w:color="auto"/>
        <w:bottom w:val="none" w:sz="0" w:space="0" w:color="auto"/>
        <w:right w:val="none" w:sz="0" w:space="0" w:color="auto"/>
      </w:divBdr>
    </w:div>
    <w:div w:id="1747070795">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886747253">
      <w:bodyDiv w:val="1"/>
      <w:marLeft w:val="0"/>
      <w:marRight w:val="0"/>
      <w:marTop w:val="0"/>
      <w:marBottom w:val="0"/>
      <w:divBdr>
        <w:top w:val="none" w:sz="0" w:space="0" w:color="auto"/>
        <w:left w:val="none" w:sz="0" w:space="0" w:color="auto"/>
        <w:bottom w:val="none" w:sz="0" w:space="0" w:color="auto"/>
        <w:right w:val="none" w:sz="0" w:space="0" w:color="auto"/>
      </w:divBdr>
    </w:div>
    <w:div w:id="1957786019">
      <w:bodyDiv w:val="1"/>
      <w:marLeft w:val="0"/>
      <w:marRight w:val="0"/>
      <w:marTop w:val="0"/>
      <w:marBottom w:val="0"/>
      <w:divBdr>
        <w:top w:val="none" w:sz="0" w:space="0" w:color="auto"/>
        <w:left w:val="none" w:sz="0" w:space="0" w:color="auto"/>
        <w:bottom w:val="none" w:sz="0" w:space="0" w:color="auto"/>
        <w:right w:val="none" w:sz="0" w:space="0" w:color="auto"/>
      </w:divBdr>
    </w:div>
    <w:div w:id="20042362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7F0387FBADCE48895CD566B8CC264C" ma:contentTypeVersion="1" ma:contentTypeDescription="Create a new document." ma:contentTypeScope="" ma:versionID="6923f52c6458c6a1846340aec431b4a1">
  <xsd:schema xmlns:xsd="http://www.w3.org/2001/XMLSchema" xmlns:p="http://schemas.microsoft.com/office/2006/metadata/properties" xmlns:ns2="e6e1f9e0-8f48-4721-871b-80b3d7694360" targetNamespace="http://schemas.microsoft.com/office/2006/metadata/properties" ma:root="true" ma:fieldsID="a04bb900c1e3e8207ded36cae9e10746"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UNEP/OzL.Pro/ExCom/85/39</Document_x0020_Number>
  </documentManagement>
</p:properties>
</file>

<file path=customXml/itemProps1.xml><?xml version="1.0" encoding="utf-8"?>
<ds:datastoreItem xmlns:ds="http://schemas.openxmlformats.org/officeDocument/2006/customXml" ds:itemID="{C7C49D35-5331-4D1B-BCE5-E9A7711B6866}"/>
</file>

<file path=customXml/itemProps2.xml><?xml version="1.0" encoding="utf-8"?>
<ds:datastoreItem xmlns:ds="http://schemas.openxmlformats.org/officeDocument/2006/customXml" ds:itemID="{E1785319-FD38-4F36-874D-B83E78A1052E}"/>
</file>

<file path=customXml/itemProps3.xml><?xml version="1.0" encoding="utf-8"?>
<ds:datastoreItem xmlns:ds="http://schemas.openxmlformats.org/officeDocument/2006/customXml" ds:itemID="{A387C7DA-E769-4AB1-A364-0658CE3972A4}"/>
</file>

<file path=customXml/itemProps4.xml><?xml version="1.0" encoding="utf-8"?>
<ds:datastoreItem xmlns:ds="http://schemas.openxmlformats.org/officeDocument/2006/customXml" ds:itemID="{588E693C-769D-420F-AB12-3C7745154DBC}"/>
</file>

<file path=docProps/app.xml><?xml version="1.0" encoding="utf-8"?>
<Properties xmlns="http://schemas.openxmlformats.org/officeDocument/2006/extended-properties" xmlns:vt="http://schemas.openxmlformats.org/officeDocument/2006/docPropsVTypes">
  <Template>Normal</Template>
  <TotalTime>3</TotalTime>
  <Pages>17</Pages>
  <Words>5830</Words>
  <Characters>33231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Propuestas de proyecto: Montenegro</vt:lpstr>
    </vt:vector>
  </TitlesOfParts>
  <Company>UNMFS</Company>
  <LinksUpToDate>false</LinksUpToDate>
  <CharactersWithSpaces>38984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Propuestas de proyecto: Montenegro</dc:title>
  <dc:subject>85th</dc:subject>
  <dc:creator>Patricia Chau</dc:creator>
  <dc:description>FSM/MV</dc:description>
  <cp:lastModifiedBy>Lynda</cp:lastModifiedBy>
  <cp:revision>3</cp:revision>
  <cp:lastPrinted>2020-02-21T19:23:00Z</cp:lastPrinted>
  <dcterms:created xsi:type="dcterms:W3CDTF">2020-05-26T14:26:00Z</dcterms:created>
  <dcterms:modified xsi:type="dcterms:W3CDTF">2020-06-10T20:29:00Z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UNEP/OzL.Pro/ExCom/85/39</vt:lpwstr>
  </property>
  <property fmtid="{D5CDD505-2E9C-101B-9397-08002B2CF9AE}" pid="3" name="Revision date">
    <vt:lpwstr>4 de mayo de 2020</vt:lpwstr>
  </property>
  <property fmtid="{D5CDD505-2E9C-101B-9397-08002B2CF9AE}" pid="4" name="ContentTypeId">
    <vt:lpwstr>0x010100BC7F0387FBADCE48895CD566B8CC264C</vt:lpwstr>
  </property>
</Properties>
</file>