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3B10C" w14:textId="77777777" w:rsidR="00B87EC5" w:rsidRPr="003F6D7F" w:rsidRDefault="00810E08">
      <w:pPr>
        <w:jc w:val="center"/>
        <w:rPr>
          <w:b/>
          <w:lang w:val="es-ES"/>
        </w:rPr>
      </w:pPr>
      <w:r w:rsidRPr="003F6D7F">
        <w:rPr>
          <w:b/>
          <w:bCs/>
          <w:lang w:val="es"/>
        </w:rPr>
        <w:t xml:space="preserve">Anexo </w:t>
      </w:r>
      <w:r w:rsidR="00856673" w:rsidRPr="003F6D7F">
        <w:rPr>
          <w:b/>
          <w:bCs/>
          <w:lang w:val="es"/>
        </w:rPr>
        <w:t>I</w:t>
      </w:r>
    </w:p>
    <w:p w14:paraId="23EBEB8F" w14:textId="1C91EBE7" w:rsidR="00B87EC5" w:rsidRPr="003F6D7F" w:rsidRDefault="00B87EC5">
      <w:pPr>
        <w:rPr>
          <w:lang w:val="es-ES"/>
        </w:rPr>
      </w:pPr>
    </w:p>
    <w:p w14:paraId="2CB88A64" w14:textId="29F89339" w:rsidR="00793C7F" w:rsidRPr="003F6D7F" w:rsidRDefault="008535A6" w:rsidP="00E17538">
      <w:pPr>
        <w:jc w:val="center"/>
        <w:rPr>
          <w:b/>
          <w:bCs/>
          <w:lang w:val="es"/>
        </w:rPr>
      </w:pPr>
      <w:r w:rsidRPr="003F6D7F">
        <w:rPr>
          <w:b/>
          <w:bCs/>
          <w:lang w:val="es"/>
        </w:rPr>
        <w:t xml:space="preserve">PROYECTO DE </w:t>
      </w:r>
      <w:r w:rsidR="00E51001" w:rsidRPr="003F6D7F">
        <w:rPr>
          <w:b/>
          <w:bCs/>
          <w:lang w:val="es"/>
        </w:rPr>
        <w:t xml:space="preserve">ACUERDO </w:t>
      </w:r>
      <w:r w:rsidR="00810E08" w:rsidRPr="003F6D7F">
        <w:rPr>
          <w:b/>
          <w:bCs/>
          <w:lang w:val="es"/>
        </w:rPr>
        <w:t xml:space="preserve">ENTRE EL GOBIERNO DE </w:t>
      </w:r>
      <w:r w:rsidR="00195333" w:rsidRPr="003F6D7F">
        <w:rPr>
          <w:b/>
          <w:bCs/>
          <w:lang w:val="es"/>
        </w:rPr>
        <w:t xml:space="preserve">LA </w:t>
      </w:r>
      <w:r w:rsidR="00A81B69" w:rsidRPr="003F6D7F">
        <w:rPr>
          <w:b/>
          <w:bCs/>
          <w:lang w:val="es"/>
        </w:rPr>
        <w:t>REPÚBLICA</w:t>
      </w:r>
      <w:r w:rsidR="00195333" w:rsidRPr="003F6D7F">
        <w:rPr>
          <w:b/>
          <w:bCs/>
          <w:lang w:val="es"/>
        </w:rPr>
        <w:t xml:space="preserve"> DE MALAWI</w:t>
      </w:r>
      <w:r w:rsidR="00C900F9" w:rsidRPr="003F6D7F">
        <w:rPr>
          <w:b/>
          <w:bCs/>
          <w:lang w:val="es"/>
        </w:rPr>
        <w:t xml:space="preserve"> </w:t>
      </w:r>
      <w:r w:rsidR="00810E08" w:rsidRPr="003F6D7F">
        <w:rPr>
          <w:b/>
          <w:bCs/>
          <w:lang w:val="es"/>
        </w:rPr>
        <w:t xml:space="preserve">Y EL COMITÉ EJECUTIVO DEL FONDO MULTILATERAL PARA LA REDUCCIÓN DEL CONSUMO DE HIDROCLOROFLUOROCARBONOS EN EL MARCO DE LA ETAPA II </w:t>
      </w:r>
    </w:p>
    <w:p w14:paraId="3EA1F612" w14:textId="77777777" w:rsidR="00B87EC5" w:rsidRPr="003F6D7F" w:rsidRDefault="00810E08" w:rsidP="00E17538">
      <w:pPr>
        <w:jc w:val="center"/>
        <w:rPr>
          <w:b/>
          <w:lang w:val="es-ES"/>
        </w:rPr>
      </w:pPr>
      <w:r w:rsidRPr="003F6D7F">
        <w:rPr>
          <w:b/>
          <w:bCs/>
          <w:lang w:val="es"/>
        </w:rPr>
        <w:t>DEL PLAN DE GESTIÓN DE ELIMINACIÓN DE LOS HCFC</w:t>
      </w:r>
    </w:p>
    <w:p w14:paraId="6669DEE9" w14:textId="77777777" w:rsidR="00B87EC5" w:rsidRPr="003F6D7F" w:rsidRDefault="00B87EC5">
      <w:pPr>
        <w:rPr>
          <w:lang w:val="es-ES"/>
        </w:rPr>
      </w:pPr>
    </w:p>
    <w:p w14:paraId="069990B3" w14:textId="77777777" w:rsidR="00B97D3F" w:rsidRPr="003F6D7F" w:rsidRDefault="00B97D3F">
      <w:pPr>
        <w:rPr>
          <w:lang w:val="es-ES"/>
        </w:rPr>
      </w:pPr>
    </w:p>
    <w:p w14:paraId="4C50E6C3" w14:textId="77777777" w:rsidR="00C900F9" w:rsidRPr="003F6D7F" w:rsidRDefault="00C900F9">
      <w:pPr>
        <w:rPr>
          <w:b/>
          <w:lang w:val="es-ES"/>
        </w:rPr>
      </w:pPr>
      <w:r w:rsidRPr="003F6D7F">
        <w:rPr>
          <w:b/>
          <w:lang w:val="es-ES"/>
        </w:rPr>
        <w:t>Finalidad</w:t>
      </w:r>
    </w:p>
    <w:p w14:paraId="56B1A878" w14:textId="77777777" w:rsidR="00C900F9" w:rsidRPr="003F6D7F" w:rsidRDefault="00C900F9">
      <w:pPr>
        <w:rPr>
          <w:lang w:val="es-ES"/>
        </w:rPr>
      </w:pPr>
    </w:p>
    <w:p w14:paraId="7898F76E" w14:textId="56144A5A" w:rsidR="00B87EC5" w:rsidRPr="003F6D7F" w:rsidRDefault="00810E08">
      <w:pPr>
        <w:pStyle w:val="Heading1"/>
        <w:rPr>
          <w:lang w:val="es-ES"/>
        </w:rPr>
      </w:pPr>
      <w:r w:rsidRPr="003F6D7F">
        <w:rPr>
          <w:lang w:val="es"/>
        </w:rPr>
        <w:t xml:space="preserve">El presente Acuerdo representa el entendimiento a que han llegado el Gobierno de </w:t>
      </w:r>
      <w:r w:rsidR="00195333" w:rsidRPr="003F6D7F">
        <w:rPr>
          <w:lang w:val="es"/>
        </w:rPr>
        <w:t xml:space="preserve">Malawi </w:t>
      </w:r>
      <w:r w:rsidRPr="003F6D7F">
        <w:rPr>
          <w:lang w:val="es"/>
        </w:rPr>
        <w:t xml:space="preserve">(el “País”) y el Comité Ejecutivo respecto a la reducción del uso controlado de las sustancias que agotan la </w:t>
      </w:r>
      <w:r w:rsidR="00166F6B" w:rsidRPr="003F6D7F">
        <w:rPr>
          <w:lang w:val="es"/>
        </w:rPr>
        <w:t>cero</w:t>
      </w:r>
      <w:r w:rsidRPr="003F6D7F">
        <w:rPr>
          <w:lang w:val="es"/>
        </w:rPr>
        <w:t xml:space="preserve"> toneladas PAO </w:t>
      </w:r>
      <w:r w:rsidR="00C900F9" w:rsidRPr="003F6D7F">
        <w:rPr>
          <w:lang w:val="es"/>
        </w:rPr>
        <w:t xml:space="preserve">para </w:t>
      </w:r>
      <w:r w:rsidRPr="003F6D7F">
        <w:rPr>
          <w:lang w:val="es"/>
        </w:rPr>
        <w:t>el 1 de enero de 20</w:t>
      </w:r>
      <w:r w:rsidR="00166F6B" w:rsidRPr="003F6D7F">
        <w:rPr>
          <w:lang w:val="es"/>
        </w:rPr>
        <w:t>30</w:t>
      </w:r>
      <w:r w:rsidRPr="003F6D7F">
        <w:rPr>
          <w:lang w:val="es"/>
        </w:rPr>
        <w:t xml:space="preserve"> en cumplimiento del calendario del Protocolo de Montreal. </w:t>
      </w:r>
    </w:p>
    <w:p w14:paraId="1F59301F" w14:textId="79CC8409" w:rsidR="00B87EC5" w:rsidRPr="003F6D7F" w:rsidRDefault="00810E08">
      <w:pPr>
        <w:pStyle w:val="Heading1"/>
        <w:rPr>
          <w:lang w:val="es-ES"/>
        </w:rPr>
      </w:pPr>
      <w:r w:rsidRPr="003F6D7F">
        <w:rPr>
          <w:lang w:val="es"/>
        </w:rPr>
        <w:t>El País conviene en cumplir con los límites anuales de consumo de las Sustancias tal como se establecen en la fila 1.2 del Apéndice 2</w:t>
      </w:r>
      <w:r w:rsidRPr="003F6D7F">
        <w:rPr>
          <w:lang w:val="es"/>
        </w:rPr>
        <w:noBreakHyphen/>
        <w:t>A (los “Objetivos y la Financiación”) del presente Acuerdo, así como en el calendario de reducción del Protocolo de Montreal para todas las Sustancias mencionadas en el Apéndice 1</w:t>
      </w:r>
      <w:r w:rsidRPr="003F6D7F">
        <w:rPr>
          <w:lang w:val="es"/>
        </w:rPr>
        <w:noBreakHyphen/>
        <w:t xml:space="preserve">A.  El País acepta que, en virtud de su aceptación del presente Acuerdo y del </w:t>
      </w:r>
      <w:r w:rsidR="002170E7" w:rsidRPr="003F6D7F">
        <w:rPr>
          <w:lang w:val="es"/>
        </w:rPr>
        <w:t xml:space="preserve">cumplimiento </w:t>
      </w:r>
      <w:r w:rsidRPr="003F6D7F">
        <w:rPr>
          <w:lang w:val="es"/>
        </w:rPr>
        <w:t xml:space="preserve">por parte del Comité Ejecutivo de sus obligaciones de financiación descritas en el párrafo 3, se le impide solicitar o recibir </w:t>
      </w:r>
      <w:r w:rsidR="006A5922" w:rsidRPr="003F6D7F">
        <w:rPr>
          <w:lang w:val="es"/>
        </w:rPr>
        <w:t xml:space="preserve">más </w:t>
      </w:r>
      <w:r w:rsidRPr="003F6D7F">
        <w:rPr>
          <w:lang w:val="es"/>
        </w:rPr>
        <w:t>fondos del Fondo Multilateral en relación con ningún consumo de las Sustancias que supere el nivel definido en la fila 1.2 del Apéndice 2</w:t>
      </w:r>
      <w:r w:rsidRPr="003F6D7F">
        <w:rPr>
          <w:lang w:val="es"/>
        </w:rPr>
        <w:noBreakHyphen/>
        <w:t xml:space="preserve">A como </w:t>
      </w:r>
      <w:r w:rsidR="006A5922" w:rsidRPr="003F6D7F">
        <w:rPr>
          <w:lang w:val="es"/>
        </w:rPr>
        <w:t xml:space="preserve">último paso de </w:t>
      </w:r>
      <w:r w:rsidRPr="003F6D7F">
        <w:rPr>
          <w:lang w:val="es"/>
        </w:rPr>
        <w:t>reducción conforme a este Acuerdo para todas las Sustancias especificadas en el Apéndice 1</w:t>
      </w:r>
      <w:r w:rsidRPr="003F6D7F">
        <w:rPr>
          <w:lang w:val="es"/>
        </w:rPr>
        <w:noBreakHyphen/>
        <w:t>A y en relación con ningún consumo de</w:t>
      </w:r>
      <w:r w:rsidR="006A5922" w:rsidRPr="003F6D7F">
        <w:rPr>
          <w:lang w:val="es"/>
        </w:rPr>
        <w:t xml:space="preserve"> cada una de</w:t>
      </w:r>
      <w:r w:rsidRPr="003F6D7F">
        <w:rPr>
          <w:lang w:val="es"/>
        </w:rPr>
        <w:t xml:space="preserve"> las Sustancias que supere el nivel definido en la fila 4.1.3 (consumo restante admisible para la financiación).</w:t>
      </w:r>
    </w:p>
    <w:p w14:paraId="3B97E429" w14:textId="77777777" w:rsidR="00B87EC5" w:rsidRPr="003F6D7F" w:rsidRDefault="00810E08">
      <w:pPr>
        <w:pStyle w:val="Heading1"/>
        <w:rPr>
          <w:lang w:val="es-ES"/>
        </w:rPr>
      </w:pPr>
      <w:r w:rsidRPr="003F6D7F">
        <w:rPr>
          <w:lang w:val="es"/>
        </w:rPr>
        <w:t>Con sujeción al cumplimiento por parte del País de las obligaciones estipuladas en el presente Acuerdo, el Comité Ejecutivo conviene, en principio, en proporcionar</w:t>
      </w:r>
      <w:r w:rsidR="006A5922" w:rsidRPr="003F6D7F">
        <w:rPr>
          <w:lang w:val="es"/>
        </w:rPr>
        <w:t xml:space="preserve"> al País</w:t>
      </w:r>
      <w:r w:rsidRPr="003F6D7F">
        <w:rPr>
          <w:lang w:val="es"/>
        </w:rPr>
        <w:t xml:space="preserve"> la financiación indicada en</w:t>
      </w:r>
      <w:r w:rsidR="006A5922" w:rsidRPr="003F6D7F">
        <w:rPr>
          <w:lang w:val="es"/>
        </w:rPr>
        <w:t xml:space="preserve"> la fila 3.1 del Apéndice 2-A. E</w:t>
      </w:r>
      <w:r w:rsidRPr="003F6D7F">
        <w:rPr>
          <w:lang w:val="es"/>
        </w:rPr>
        <w:t>l Comité Ejecutivo proporcionará esta financiación, en principio, en las reuniones del Comité Ejecutivo especificadas en el Apéndice 3</w:t>
      </w:r>
      <w:r w:rsidRPr="003F6D7F">
        <w:rPr>
          <w:lang w:val="es"/>
        </w:rPr>
        <w:noBreakHyphen/>
        <w:t>A (“Calendario de Aprobación de la Financiación”).</w:t>
      </w:r>
    </w:p>
    <w:p w14:paraId="4D18DD00" w14:textId="77777777" w:rsidR="00B87EC5" w:rsidRPr="003F6D7F" w:rsidRDefault="00810E08">
      <w:pPr>
        <w:pStyle w:val="Heading1"/>
        <w:rPr>
          <w:lang w:val="es"/>
        </w:rPr>
      </w:pPr>
      <w:r w:rsidRPr="003F6D7F">
        <w:rPr>
          <w:lang w:val="es"/>
        </w:rPr>
        <w:t>El País acepta aplicar este Acuerdo conforme a la etapa II del plan de gestión de la eliminación de los HCFC (HPMP) aprobado (“el Plan”). Conforme al inciso 5 b) de este Acuerdo, el País aceptará la verificación independiente del logro de los límites anuales de consumo de las Sustancias que se estipulan en la fila 1.2 del Apéndice 2-A de este Acuerdo. La verificación antes mencionada será encomendada por el organismo bilateral o de ejecución pertinente.</w:t>
      </w:r>
    </w:p>
    <w:p w14:paraId="4DE31640" w14:textId="77777777" w:rsidR="005262FC" w:rsidRPr="003F6D7F" w:rsidRDefault="005262FC" w:rsidP="005262FC">
      <w:pPr>
        <w:rPr>
          <w:b/>
          <w:lang w:val="es"/>
        </w:rPr>
      </w:pPr>
      <w:r w:rsidRPr="003F6D7F">
        <w:rPr>
          <w:b/>
          <w:lang w:val="es"/>
        </w:rPr>
        <w:t>Condici</w:t>
      </w:r>
      <w:r w:rsidR="008535A6" w:rsidRPr="003F6D7F">
        <w:rPr>
          <w:b/>
          <w:lang w:val="es"/>
        </w:rPr>
        <w:t>ones</w:t>
      </w:r>
      <w:r w:rsidRPr="003F6D7F">
        <w:rPr>
          <w:b/>
          <w:lang w:val="es"/>
        </w:rPr>
        <w:t xml:space="preserve"> para la liberación de los fondos</w:t>
      </w:r>
    </w:p>
    <w:p w14:paraId="1BD97982" w14:textId="77777777" w:rsidR="005262FC" w:rsidRPr="003F6D7F" w:rsidRDefault="005262FC" w:rsidP="005262FC">
      <w:pPr>
        <w:rPr>
          <w:lang w:val="es"/>
        </w:rPr>
      </w:pPr>
    </w:p>
    <w:p w14:paraId="0117250E" w14:textId="77777777" w:rsidR="00B87EC5" w:rsidRPr="003F6D7F" w:rsidRDefault="00810E08">
      <w:pPr>
        <w:pStyle w:val="Heading1"/>
        <w:rPr>
          <w:lang w:val="es-ES"/>
        </w:rPr>
      </w:pPr>
      <w:r w:rsidRPr="003F6D7F">
        <w:rPr>
          <w:lang w:val="es"/>
        </w:rPr>
        <w:t xml:space="preserve">El Comité Ejecutivo proporcionará la Financiación conforme al Calendario de Aprobación de la Financiación </w:t>
      </w:r>
      <w:r w:rsidR="005262FC" w:rsidRPr="003F6D7F">
        <w:rPr>
          <w:lang w:val="es"/>
        </w:rPr>
        <w:t xml:space="preserve">sólo cuando </w:t>
      </w:r>
      <w:r w:rsidRPr="003F6D7F">
        <w:rPr>
          <w:lang w:val="es"/>
        </w:rPr>
        <w:t xml:space="preserve">el País satisfaga las siguientes condiciones con una antelación de ocho semanas </w:t>
      </w:r>
      <w:r w:rsidR="005262FC" w:rsidRPr="003F6D7F">
        <w:rPr>
          <w:lang w:val="es"/>
        </w:rPr>
        <w:t xml:space="preserve">como mínimo </w:t>
      </w:r>
      <w:r w:rsidRPr="003F6D7F">
        <w:rPr>
          <w:lang w:val="es"/>
        </w:rPr>
        <w:t>a la reunión del Comité Ejecutivo correspondiente indicada en el Calendario de Aprobación de la Financiación:</w:t>
      </w:r>
    </w:p>
    <w:p w14:paraId="6FF53FBB" w14:textId="77777777" w:rsidR="00B87EC5" w:rsidRPr="003F6D7F" w:rsidRDefault="00810E08">
      <w:pPr>
        <w:pStyle w:val="Heading2"/>
        <w:rPr>
          <w:lang w:val="es-ES"/>
        </w:rPr>
      </w:pPr>
      <w:r w:rsidRPr="003F6D7F">
        <w:rPr>
          <w:lang w:val="es"/>
        </w:rPr>
        <w:t xml:space="preserve">Que el </w:t>
      </w:r>
      <w:r w:rsidR="005262FC" w:rsidRPr="003F6D7F">
        <w:rPr>
          <w:lang w:val="es"/>
        </w:rPr>
        <w:t>País</w:t>
      </w:r>
      <w:r w:rsidRPr="003F6D7F">
        <w:rPr>
          <w:lang w:val="es"/>
        </w:rPr>
        <w:t xml:space="preserve"> haya cumplido con los Objetivos estipulados en la fila 1.2 del Apéndice 2-A para todos los años pertinentes. Los años pertinentes son todos los años desde el año en que se aprobó el presente Acuerdo. Los años para los que no deban presentarse informes de ejecución del programa de </w:t>
      </w:r>
      <w:r w:rsidR="005262FC" w:rsidRPr="003F6D7F">
        <w:rPr>
          <w:lang w:val="es"/>
        </w:rPr>
        <w:t>País</w:t>
      </w:r>
      <w:r w:rsidRPr="003F6D7F">
        <w:rPr>
          <w:lang w:val="es"/>
        </w:rPr>
        <w:t xml:space="preserve"> para la fecha de celebración de la reunión del Comité Ejecutivo en la que se presente la solicitud de financiación están exentos; </w:t>
      </w:r>
    </w:p>
    <w:p w14:paraId="2E9AEB3D" w14:textId="77777777" w:rsidR="00B87EC5" w:rsidRPr="003F6D7F" w:rsidRDefault="00810E08" w:rsidP="00B97D3F">
      <w:pPr>
        <w:pStyle w:val="Heading2"/>
        <w:keepNext/>
        <w:keepLines/>
        <w:rPr>
          <w:lang w:val="es-ES"/>
        </w:rPr>
      </w:pPr>
      <w:r w:rsidRPr="003F6D7F">
        <w:rPr>
          <w:lang w:val="es"/>
        </w:rPr>
        <w:lastRenderedPageBreak/>
        <w:t xml:space="preserve">Que el </w:t>
      </w:r>
      <w:r w:rsidR="002170E7" w:rsidRPr="003F6D7F">
        <w:rPr>
          <w:lang w:val="es"/>
        </w:rPr>
        <w:t xml:space="preserve">logro </w:t>
      </w:r>
      <w:r w:rsidRPr="003F6D7F">
        <w:rPr>
          <w:lang w:val="es"/>
        </w:rPr>
        <w:t>de estos Objetivos haya sido verificado independientemente</w:t>
      </w:r>
      <w:r w:rsidR="005262FC" w:rsidRPr="003F6D7F">
        <w:rPr>
          <w:lang w:val="es"/>
        </w:rPr>
        <w:t xml:space="preserve"> para todos los años pertinentes</w:t>
      </w:r>
      <w:r w:rsidRPr="003F6D7F">
        <w:rPr>
          <w:lang w:val="es"/>
        </w:rPr>
        <w:t>, a menos que el Comité Ejecutivo decidiese que no se requiere dicha verificación;</w:t>
      </w:r>
    </w:p>
    <w:p w14:paraId="083F3D62" w14:textId="77777777" w:rsidR="00B87EC5" w:rsidRPr="003F6D7F" w:rsidRDefault="00810E08">
      <w:pPr>
        <w:pStyle w:val="Heading2"/>
        <w:keepNext/>
        <w:keepLines/>
        <w:rPr>
          <w:lang w:val="es-ES"/>
        </w:rPr>
      </w:pPr>
      <w:r w:rsidRPr="003F6D7F">
        <w:rPr>
          <w:lang w:val="es"/>
        </w:rPr>
        <w:t>Que el País haya presentado Informes de Ejecución de Tramos en el formulario del Apéndice 4</w:t>
      </w:r>
      <w:r w:rsidRPr="003F6D7F">
        <w:rPr>
          <w:lang w:val="es"/>
        </w:rPr>
        <w:noBreakHyphen/>
        <w:t>A (“Formato de informes y planes de ejecución de tramos”) que cubran cada año civil anterior; que haya logrado un nivel importante de ejecución de las actividades iniciadas con tramos aprobados anteriormente; y que la tasa de desembolso de financiación disponible del tramo aprobado anterior</w:t>
      </w:r>
      <w:r w:rsidR="00235C64" w:rsidRPr="003F6D7F">
        <w:rPr>
          <w:lang w:val="es"/>
        </w:rPr>
        <w:t>mente</w:t>
      </w:r>
      <w:r w:rsidRPr="003F6D7F">
        <w:rPr>
          <w:lang w:val="es"/>
        </w:rPr>
        <w:t xml:space="preserve"> sea de más del 20 por ciento; y</w:t>
      </w:r>
    </w:p>
    <w:p w14:paraId="7D22913E" w14:textId="77777777" w:rsidR="00B87EC5" w:rsidRPr="003F6D7F" w:rsidRDefault="00810E08">
      <w:pPr>
        <w:pStyle w:val="Heading2"/>
        <w:rPr>
          <w:lang w:val="es"/>
        </w:rPr>
      </w:pPr>
      <w:r w:rsidRPr="003F6D7F">
        <w:rPr>
          <w:lang w:val="es"/>
        </w:rPr>
        <w:t xml:space="preserve">Que el </w:t>
      </w:r>
      <w:r w:rsidR="005262FC" w:rsidRPr="003F6D7F">
        <w:rPr>
          <w:lang w:val="es"/>
        </w:rPr>
        <w:t>País</w:t>
      </w:r>
      <w:r w:rsidRPr="003F6D7F">
        <w:rPr>
          <w:lang w:val="es"/>
        </w:rPr>
        <w:t xml:space="preserve"> haya presentado un Plan de Ejecución de Tramos en el formulario del Apéndice 4</w:t>
      </w:r>
      <w:r w:rsidRPr="003F6D7F">
        <w:rPr>
          <w:lang w:val="es"/>
        </w:rPr>
        <w:noBreakHyphen/>
        <w:t>A para cada año civil hasta el año en que el calendario de financiación prevea la presentación del tramo siguiente, dicho año inclusive o, en el caso del último tramo, hasta que se hayan completado todas las actividades previstas.</w:t>
      </w:r>
    </w:p>
    <w:p w14:paraId="322B0404" w14:textId="77777777" w:rsidR="00DE3690" w:rsidRPr="003F6D7F" w:rsidRDefault="000E08C5" w:rsidP="00DE3690">
      <w:pPr>
        <w:rPr>
          <w:b/>
          <w:lang w:val="es"/>
        </w:rPr>
      </w:pPr>
      <w:r w:rsidRPr="003F6D7F">
        <w:rPr>
          <w:b/>
          <w:lang w:val="es"/>
        </w:rPr>
        <w:t>Supervisión</w:t>
      </w:r>
    </w:p>
    <w:p w14:paraId="3745D71C" w14:textId="77777777" w:rsidR="000E08C5" w:rsidRPr="003F6D7F" w:rsidRDefault="000E08C5" w:rsidP="00DE3690">
      <w:pPr>
        <w:rPr>
          <w:b/>
          <w:lang w:val="es"/>
        </w:rPr>
      </w:pPr>
    </w:p>
    <w:p w14:paraId="0D5A15DB" w14:textId="77777777" w:rsidR="00B87EC5" w:rsidRPr="003F6D7F" w:rsidRDefault="00810E08">
      <w:pPr>
        <w:pStyle w:val="Heading1"/>
        <w:rPr>
          <w:lang w:val="es"/>
        </w:rPr>
      </w:pPr>
      <w:r w:rsidRPr="003F6D7F">
        <w:rPr>
          <w:lang w:val="es"/>
        </w:rPr>
        <w:t>El País garantizará que realiza una supervisión precisa de sus actividades en virtud del presente Acuerdo. Las instituciones indicadas en el Apéndice 5</w:t>
      </w:r>
      <w:r w:rsidRPr="003F6D7F">
        <w:rPr>
          <w:lang w:val="es"/>
        </w:rPr>
        <w:noBreakHyphen/>
        <w:t>A (“Instituciones de Supervisión y Funciones”) supervisarán e informarán sobre la ejecución de las actividades de los Planes de Ejecución de Tramos anteriores, de conformidad con sus funciones y responsabilidades estipuladas</w:t>
      </w:r>
      <w:r w:rsidR="008167FE" w:rsidRPr="003F6D7F">
        <w:rPr>
          <w:lang w:val="es"/>
        </w:rPr>
        <w:t xml:space="preserve"> en</w:t>
      </w:r>
      <w:r w:rsidRPr="003F6D7F">
        <w:rPr>
          <w:lang w:val="es"/>
        </w:rPr>
        <w:t xml:space="preserve"> </w:t>
      </w:r>
      <w:r w:rsidR="000E08C5" w:rsidRPr="003F6D7F">
        <w:rPr>
          <w:lang w:val="es"/>
        </w:rPr>
        <w:t xml:space="preserve">dicho </w:t>
      </w:r>
      <w:r w:rsidRPr="003F6D7F">
        <w:rPr>
          <w:lang w:val="es"/>
        </w:rPr>
        <w:t>Apéndice.</w:t>
      </w:r>
    </w:p>
    <w:p w14:paraId="54052D60" w14:textId="77777777" w:rsidR="000E08C5" w:rsidRPr="003F6D7F" w:rsidRDefault="000E08C5" w:rsidP="000E08C5">
      <w:pPr>
        <w:rPr>
          <w:b/>
          <w:lang w:val="es"/>
        </w:rPr>
      </w:pPr>
      <w:r w:rsidRPr="003F6D7F">
        <w:rPr>
          <w:b/>
          <w:lang w:val="es"/>
        </w:rPr>
        <w:t>Flexibilidad para la reasignación de los fondos</w:t>
      </w:r>
    </w:p>
    <w:p w14:paraId="65AAAC44" w14:textId="77777777" w:rsidR="000E08C5" w:rsidRPr="003F6D7F" w:rsidRDefault="000E08C5" w:rsidP="000E08C5">
      <w:pPr>
        <w:rPr>
          <w:b/>
          <w:lang w:val="es"/>
        </w:rPr>
      </w:pPr>
    </w:p>
    <w:p w14:paraId="5F9F9839" w14:textId="77777777" w:rsidR="00B87EC5" w:rsidRPr="003F6D7F" w:rsidRDefault="00810E08">
      <w:pPr>
        <w:pStyle w:val="Heading1"/>
        <w:rPr>
          <w:lang w:val="es-ES"/>
        </w:rPr>
      </w:pPr>
      <w:r w:rsidRPr="003F6D7F">
        <w:rPr>
          <w:lang w:val="es"/>
        </w:rPr>
        <w:t>El Comité Ejecutivo conviene en que el País p</w:t>
      </w:r>
      <w:r w:rsidR="000E08C5" w:rsidRPr="003F6D7F">
        <w:rPr>
          <w:lang w:val="es"/>
        </w:rPr>
        <w:t xml:space="preserve">uede </w:t>
      </w:r>
      <w:r w:rsidRPr="003F6D7F">
        <w:rPr>
          <w:lang w:val="es"/>
        </w:rPr>
        <w:t xml:space="preserve">tener flexibilidad para reasignar </w:t>
      </w:r>
      <w:r w:rsidR="000E08C5" w:rsidRPr="003F6D7F">
        <w:rPr>
          <w:lang w:val="es"/>
        </w:rPr>
        <w:t xml:space="preserve">en parte o en su totalidad </w:t>
      </w:r>
      <w:r w:rsidRPr="003F6D7F">
        <w:rPr>
          <w:lang w:val="es"/>
        </w:rPr>
        <w:t>los fondos aprobados</w:t>
      </w:r>
      <w:r w:rsidR="000E08C5" w:rsidRPr="003F6D7F">
        <w:rPr>
          <w:lang w:val="es"/>
        </w:rPr>
        <w:t>,</w:t>
      </w:r>
      <w:r w:rsidRPr="003F6D7F">
        <w:rPr>
          <w:lang w:val="es"/>
        </w:rPr>
        <w:t xml:space="preserve"> según la evolución de las circunstancias, para lograr la reducción del consumo y la eliminación gradual más ágil posible de las Sustancias especificadas en el Apéndice 1</w:t>
      </w:r>
      <w:r w:rsidRPr="003F6D7F">
        <w:rPr>
          <w:lang w:val="es"/>
        </w:rPr>
        <w:noBreakHyphen/>
        <w:t>A:</w:t>
      </w:r>
    </w:p>
    <w:p w14:paraId="089FB5A7" w14:textId="77777777" w:rsidR="00B87EC5" w:rsidRPr="003F6D7F" w:rsidRDefault="00810E08">
      <w:pPr>
        <w:pStyle w:val="Heading2"/>
        <w:rPr>
          <w:lang w:val="es-MX"/>
        </w:rPr>
      </w:pPr>
      <w:r w:rsidRPr="003F6D7F">
        <w:rPr>
          <w:lang w:val="es"/>
        </w:rPr>
        <w:t>Las reasignaciones que se consideren cambios importantes deben documentarse por adelantado, ya sea en un Plan de Ejecución de Tramo</w:t>
      </w:r>
      <w:r w:rsidR="00CD07E0" w:rsidRPr="003F6D7F">
        <w:rPr>
          <w:lang w:val="es"/>
        </w:rPr>
        <w:t>,</w:t>
      </w:r>
      <w:r w:rsidRPr="003F6D7F">
        <w:rPr>
          <w:lang w:val="es"/>
        </w:rPr>
        <w:t xml:space="preserve"> presentado según lo descrito en el inciso 5 d) </w:t>
      </w:r>
      <w:r w:rsidRPr="003F6D7F">
        <w:rPr>
          <w:i/>
          <w:lang w:val="es"/>
        </w:rPr>
        <w:t>supra</w:t>
      </w:r>
      <w:r w:rsidRPr="003F6D7F">
        <w:rPr>
          <w:lang w:val="es"/>
        </w:rPr>
        <w:t>, o bien como una revisión de un Plan de Ejecución de Tramo existente</w:t>
      </w:r>
      <w:r w:rsidR="0076262E" w:rsidRPr="003F6D7F">
        <w:rPr>
          <w:lang w:val="es"/>
        </w:rPr>
        <w:t>,</w:t>
      </w:r>
      <w:r w:rsidRPr="003F6D7F">
        <w:rPr>
          <w:lang w:val="es"/>
        </w:rPr>
        <w:t xml:space="preserve"> a presentarse ocho semanas antes de cualquier reunión del Comité Ejecutivo para su aprobación. Los cambios importantes se relacionarían con:</w:t>
      </w:r>
    </w:p>
    <w:p w14:paraId="72086D34" w14:textId="77777777" w:rsidR="00B87EC5" w:rsidRPr="003F6D7F" w:rsidRDefault="00810E08">
      <w:pPr>
        <w:pStyle w:val="Heading3"/>
        <w:rPr>
          <w:lang w:val="es-ES"/>
        </w:rPr>
      </w:pPr>
      <w:r w:rsidRPr="003F6D7F">
        <w:rPr>
          <w:lang w:val="es"/>
        </w:rPr>
        <w:t xml:space="preserve">Asuntos que pudieran afectar al reglamento y las políticas del Fondo Multilateral; </w:t>
      </w:r>
    </w:p>
    <w:p w14:paraId="4852642B" w14:textId="77777777" w:rsidR="00B87EC5" w:rsidRPr="003F6D7F" w:rsidRDefault="00810E08">
      <w:pPr>
        <w:pStyle w:val="Heading3"/>
        <w:rPr>
          <w:lang w:val="es-ES"/>
        </w:rPr>
      </w:pPr>
      <w:r w:rsidRPr="003F6D7F">
        <w:rPr>
          <w:lang w:val="es"/>
        </w:rPr>
        <w:t xml:space="preserve">Cambios que modificarían cualquier cláusula de este Acuerdo; </w:t>
      </w:r>
    </w:p>
    <w:p w14:paraId="1BD99E44" w14:textId="77777777" w:rsidR="00B87EC5" w:rsidRPr="003F6D7F" w:rsidRDefault="00810E08">
      <w:pPr>
        <w:pStyle w:val="Heading3"/>
        <w:rPr>
          <w:lang w:val="es-ES"/>
        </w:rPr>
      </w:pPr>
      <w:r w:rsidRPr="003F6D7F">
        <w:rPr>
          <w:lang w:val="es"/>
        </w:rPr>
        <w:t xml:space="preserve">Cambios en los niveles anuales de financiación asignados a organismos bilaterales o de ejecución individuales para los diferentes tramos; </w:t>
      </w:r>
    </w:p>
    <w:p w14:paraId="0699459D" w14:textId="77777777" w:rsidR="008535A6" w:rsidRPr="003F6D7F" w:rsidRDefault="00810E08">
      <w:pPr>
        <w:pStyle w:val="Heading3"/>
        <w:rPr>
          <w:lang w:val="es-ES"/>
        </w:rPr>
      </w:pPr>
      <w:r w:rsidRPr="003F6D7F">
        <w:rPr>
          <w:lang w:val="es"/>
        </w:rPr>
        <w:t>Suministro de financiación para actividades no incluid</w:t>
      </w:r>
      <w:r w:rsidR="00CD07E0" w:rsidRPr="003F6D7F">
        <w:rPr>
          <w:lang w:val="es"/>
        </w:rPr>
        <w:t>a</w:t>
      </w:r>
      <w:r w:rsidRPr="003F6D7F">
        <w:rPr>
          <w:lang w:val="es"/>
        </w:rPr>
        <w:t>s en el Plan de Ejecución de Tramos avalado actual, o supresión de una actividad incluida en el Plan de Ejecución de Tramo, cuyo costo exceda el 30 por ciento del costo total del último tramo aprobado;</w:t>
      </w:r>
      <w:r w:rsidR="00CD07E0" w:rsidRPr="003F6D7F">
        <w:rPr>
          <w:lang w:val="es"/>
        </w:rPr>
        <w:t xml:space="preserve"> </w:t>
      </w:r>
    </w:p>
    <w:p w14:paraId="41104046" w14:textId="77777777" w:rsidR="00B87EC5" w:rsidRPr="003F6D7F" w:rsidRDefault="008535A6">
      <w:pPr>
        <w:pStyle w:val="Heading3"/>
        <w:rPr>
          <w:lang w:val="es-ES"/>
        </w:rPr>
      </w:pPr>
      <w:r w:rsidRPr="003F6D7F">
        <w:rPr>
          <w:lang w:val="es"/>
        </w:rPr>
        <w:t xml:space="preserve">Cambios en las tecnologías alternativas, </w:t>
      </w:r>
      <w:r w:rsidR="00F23D20" w:rsidRPr="003F6D7F">
        <w:rPr>
          <w:lang w:val="es"/>
        </w:rPr>
        <w:t xml:space="preserve">quedando entendido que cualquier presentación para tal pedido identificaría los costos adicionales conexos, el posible impacto en el clima, </w:t>
      </w:r>
      <w:r w:rsidR="00CD07E0" w:rsidRPr="003F6D7F">
        <w:rPr>
          <w:lang w:val="es"/>
        </w:rPr>
        <w:t>y</w:t>
      </w:r>
      <w:r w:rsidR="00F23D20" w:rsidRPr="003F6D7F">
        <w:rPr>
          <w:lang w:val="es"/>
        </w:rPr>
        <w:t xml:space="preserve"> cualquier diferencia en las toneladas PAO por eliminar, si procede, así como confirmaría que el País acuerda que los ahorros potenciales relacionados con el cambio de tecnología reducirían el nivel de financiamiento general bajo este Acuerdo, en consecuencia; </w:t>
      </w:r>
    </w:p>
    <w:p w14:paraId="277E85AA" w14:textId="77777777" w:rsidR="00F23D20" w:rsidRPr="003F6D7F" w:rsidRDefault="008A169B">
      <w:pPr>
        <w:pStyle w:val="Heading2"/>
        <w:rPr>
          <w:lang w:val="es-ES"/>
        </w:rPr>
      </w:pPr>
      <w:r w:rsidRPr="003F6D7F">
        <w:rPr>
          <w:lang w:val="es"/>
        </w:rPr>
        <w:lastRenderedPageBreak/>
        <w:t>Las reasignaciones no clasificadas como cambios importantes puede</w:t>
      </w:r>
      <w:r w:rsidR="00971DA0" w:rsidRPr="003F6D7F">
        <w:rPr>
          <w:lang w:val="es"/>
        </w:rPr>
        <w:t>n incorporarse al Plan </w:t>
      </w:r>
      <w:r w:rsidRPr="003F6D7F">
        <w:rPr>
          <w:lang w:val="es"/>
        </w:rPr>
        <w:t>de Ejecución de Tramo aprobado que esté en curso de ejecución en esa fecha, y notificarse al Comité Ejecutivo en el Informe de Ejecución de Tramo subsiguiente</w:t>
      </w:r>
      <w:r w:rsidR="00F23D20" w:rsidRPr="003F6D7F">
        <w:rPr>
          <w:lang w:val="es-ES"/>
        </w:rPr>
        <w:t>;</w:t>
      </w:r>
    </w:p>
    <w:p w14:paraId="51E5393D" w14:textId="068714BF" w:rsidR="00166F6B" w:rsidRPr="003F6D7F" w:rsidRDefault="00C261F2" w:rsidP="00C261F2">
      <w:pPr>
        <w:pStyle w:val="Heading2"/>
        <w:rPr>
          <w:lang w:val="es-MX"/>
        </w:rPr>
      </w:pPr>
      <w:r w:rsidRPr="003F6D7F">
        <w:rPr>
          <w:lang w:val="es-ES"/>
        </w:rPr>
        <w:t>E</w:t>
      </w:r>
      <w:r w:rsidRPr="003F6D7F">
        <w:rPr>
          <w:lang w:val="es-MX"/>
        </w:rPr>
        <w:t xml:space="preserve">l </w:t>
      </w:r>
      <w:r w:rsidR="00277344" w:rsidRPr="003F6D7F">
        <w:rPr>
          <w:lang w:val="es-MX"/>
        </w:rPr>
        <w:t>P</w:t>
      </w:r>
      <w:r w:rsidRPr="003F6D7F">
        <w:rPr>
          <w:lang w:val="es-MX"/>
        </w:rPr>
        <w:t xml:space="preserve">aís acepta, en caso de que las tecnologías con HFC hayan sido elegidas como alternativa de los HCFC, y teniendo en cuenta las circunstancias nacionales relacionadas con la salud y la seguridad: supervisar la disponibilidad de los sucedáneos y las alternativas que reduzcan aún más los impactos en el clima; estudiar, </w:t>
      </w:r>
      <w:r w:rsidR="003875FD" w:rsidRPr="003F6D7F">
        <w:rPr>
          <w:lang w:val="es-MX"/>
        </w:rPr>
        <w:t xml:space="preserve">al examinar </w:t>
      </w:r>
      <w:r w:rsidRPr="003F6D7F">
        <w:rPr>
          <w:lang w:val="es-MX"/>
        </w:rPr>
        <w:t>las reglamentaciones</w:t>
      </w:r>
      <w:r w:rsidR="00784F97" w:rsidRPr="003F6D7F">
        <w:rPr>
          <w:lang w:val="es-MX"/>
        </w:rPr>
        <w:t>,</w:t>
      </w:r>
      <w:r w:rsidRPr="003F6D7F">
        <w:rPr>
          <w:lang w:val="es-MX"/>
        </w:rPr>
        <w:t xml:space="preserve"> normas </w:t>
      </w:r>
      <w:r w:rsidR="00784F97" w:rsidRPr="003F6D7F">
        <w:rPr>
          <w:lang w:val="es-MX"/>
        </w:rPr>
        <w:t>e</w:t>
      </w:r>
      <w:r w:rsidRPr="003F6D7F">
        <w:rPr>
          <w:lang w:val="es-MX"/>
        </w:rPr>
        <w:t xml:space="preserve"> incentivos</w:t>
      </w:r>
      <w:r w:rsidR="00784F97" w:rsidRPr="003F6D7F">
        <w:rPr>
          <w:lang w:val="es-MX"/>
        </w:rPr>
        <w:t>, las disposiciones adecuadas que fomenten</w:t>
      </w:r>
      <w:r w:rsidRPr="003F6D7F">
        <w:rPr>
          <w:lang w:val="es-MX"/>
        </w:rPr>
        <w:t xml:space="preserve"> la introducción de </w:t>
      </w:r>
      <w:r w:rsidR="00784F97" w:rsidRPr="003F6D7F">
        <w:rPr>
          <w:lang w:val="es-MX"/>
        </w:rPr>
        <w:t xml:space="preserve">dichas </w:t>
      </w:r>
      <w:r w:rsidRPr="003F6D7F">
        <w:rPr>
          <w:lang w:val="es-MX"/>
        </w:rPr>
        <w:t xml:space="preserve">alternativas; y </w:t>
      </w:r>
      <w:r w:rsidR="00784F97" w:rsidRPr="003F6D7F">
        <w:rPr>
          <w:lang w:val="es-MX"/>
        </w:rPr>
        <w:t xml:space="preserve">estudiar </w:t>
      </w:r>
      <w:r w:rsidRPr="003F6D7F">
        <w:rPr>
          <w:lang w:val="es-MX"/>
        </w:rPr>
        <w:t>el potencial para la adopción de alternativas eficaces en función de los costos que minimi</w:t>
      </w:r>
      <w:r w:rsidR="00784F97" w:rsidRPr="003F6D7F">
        <w:rPr>
          <w:lang w:val="es-MX"/>
        </w:rPr>
        <w:t>cen</w:t>
      </w:r>
      <w:r w:rsidRPr="003F6D7F">
        <w:rPr>
          <w:lang w:val="es-MX"/>
        </w:rPr>
        <w:t xml:space="preserve"> el impacto </w:t>
      </w:r>
      <w:r w:rsidR="003875FD" w:rsidRPr="003F6D7F">
        <w:rPr>
          <w:lang w:val="es-MX"/>
        </w:rPr>
        <w:t xml:space="preserve">en </w:t>
      </w:r>
      <w:r w:rsidRPr="003F6D7F">
        <w:rPr>
          <w:lang w:val="es-MX"/>
        </w:rPr>
        <w:t>el clima</w:t>
      </w:r>
      <w:r w:rsidR="00784F97" w:rsidRPr="003F6D7F">
        <w:rPr>
          <w:lang w:val="es-MX"/>
        </w:rPr>
        <w:t xml:space="preserve"> al ejecutar </w:t>
      </w:r>
      <w:r w:rsidRPr="003F6D7F">
        <w:rPr>
          <w:lang w:val="es-MX"/>
        </w:rPr>
        <w:t xml:space="preserve">el </w:t>
      </w:r>
      <w:r w:rsidR="003875FD" w:rsidRPr="003F6D7F">
        <w:rPr>
          <w:lang w:val="es-MX"/>
        </w:rPr>
        <w:t>P</w:t>
      </w:r>
      <w:r w:rsidRPr="003F6D7F">
        <w:rPr>
          <w:lang w:val="es-MX"/>
        </w:rPr>
        <w:t xml:space="preserve">lan de gestión de eliminación de </w:t>
      </w:r>
      <w:r w:rsidR="00784F97" w:rsidRPr="003F6D7F">
        <w:rPr>
          <w:lang w:val="es-MX"/>
        </w:rPr>
        <w:t xml:space="preserve">los </w:t>
      </w:r>
      <w:r w:rsidRPr="003F6D7F">
        <w:rPr>
          <w:lang w:val="es-MX"/>
        </w:rPr>
        <w:t xml:space="preserve">HCFC, </w:t>
      </w:r>
      <w:r w:rsidR="00784F97" w:rsidRPr="003F6D7F">
        <w:rPr>
          <w:lang w:val="es-MX"/>
        </w:rPr>
        <w:t>según proceda</w:t>
      </w:r>
      <w:r w:rsidRPr="003F6D7F">
        <w:rPr>
          <w:lang w:val="es-MX"/>
        </w:rPr>
        <w:t>, e informa</w:t>
      </w:r>
      <w:r w:rsidR="00784F97" w:rsidRPr="003F6D7F">
        <w:rPr>
          <w:lang w:val="es-MX"/>
        </w:rPr>
        <w:t>r</w:t>
      </w:r>
      <w:r w:rsidRPr="003F6D7F">
        <w:rPr>
          <w:lang w:val="es-MX"/>
        </w:rPr>
        <w:t xml:space="preserve"> al Comité Ejecutivo el progreso </w:t>
      </w:r>
      <w:r w:rsidR="00784F97" w:rsidRPr="003F6D7F">
        <w:rPr>
          <w:lang w:val="es-MX"/>
        </w:rPr>
        <w:t xml:space="preserve">correspondiente </w:t>
      </w:r>
      <w:r w:rsidRPr="003F6D7F">
        <w:rPr>
          <w:lang w:val="es-MX"/>
        </w:rPr>
        <w:t>en</w:t>
      </w:r>
      <w:r w:rsidR="00784F97" w:rsidRPr="003F6D7F">
        <w:rPr>
          <w:lang w:val="es-MX"/>
        </w:rPr>
        <w:t xml:space="preserve"> los</w:t>
      </w:r>
      <w:r w:rsidRPr="003F6D7F">
        <w:rPr>
          <w:lang w:val="es-MX"/>
        </w:rPr>
        <w:t xml:space="preserve"> informes de </w:t>
      </w:r>
      <w:r w:rsidR="00784F97" w:rsidRPr="003F6D7F">
        <w:rPr>
          <w:lang w:val="es-MX"/>
        </w:rPr>
        <w:t>ejecución de tramos</w:t>
      </w:r>
      <w:r w:rsidR="00166F6B" w:rsidRPr="003F6D7F">
        <w:rPr>
          <w:lang w:val="es-MX"/>
        </w:rPr>
        <w:t xml:space="preserve">; </w:t>
      </w:r>
      <w:r w:rsidR="00784F97" w:rsidRPr="003F6D7F">
        <w:rPr>
          <w:lang w:val="es-MX"/>
        </w:rPr>
        <w:t>y</w:t>
      </w:r>
    </w:p>
    <w:p w14:paraId="64A5784C" w14:textId="77777777" w:rsidR="00B87EC5" w:rsidRPr="003F6D7F" w:rsidRDefault="00810E08">
      <w:pPr>
        <w:pStyle w:val="Heading2"/>
        <w:rPr>
          <w:lang w:val="es"/>
        </w:rPr>
      </w:pPr>
      <w:r w:rsidRPr="003F6D7F">
        <w:rPr>
          <w:lang w:val="es"/>
        </w:rPr>
        <w:t>Todos los fondos remanentes retenidos por los organismos de ejecución o</w:t>
      </w:r>
      <w:r w:rsidR="00CD07E0" w:rsidRPr="003F6D7F">
        <w:rPr>
          <w:lang w:val="es"/>
        </w:rPr>
        <w:t xml:space="preserve"> bilaterales o</w:t>
      </w:r>
      <w:r w:rsidR="00971DA0" w:rsidRPr="003F6D7F">
        <w:rPr>
          <w:lang w:val="es"/>
        </w:rPr>
        <w:t xml:space="preserve"> el </w:t>
      </w:r>
      <w:r w:rsidR="005262FC" w:rsidRPr="003F6D7F">
        <w:rPr>
          <w:lang w:val="es"/>
        </w:rPr>
        <w:t>País</w:t>
      </w:r>
      <w:r w:rsidR="00CD07E0" w:rsidRPr="003F6D7F">
        <w:rPr>
          <w:lang w:val="es"/>
        </w:rPr>
        <w:t>, bajo este Plan,</w:t>
      </w:r>
      <w:r w:rsidRPr="003F6D7F">
        <w:rPr>
          <w:lang w:val="es"/>
        </w:rPr>
        <w:t xml:space="preserve"> serán devueltos al Fondo Multilateral al concluirse el último tramo previsto conforme a este Acuerdo. </w:t>
      </w:r>
    </w:p>
    <w:p w14:paraId="3B04DD51" w14:textId="77777777" w:rsidR="00F052E4" w:rsidRPr="003F6D7F" w:rsidRDefault="00F052E4" w:rsidP="000B78BE">
      <w:pPr>
        <w:keepNext/>
        <w:rPr>
          <w:b/>
          <w:lang w:val="es"/>
        </w:rPr>
      </w:pPr>
      <w:r w:rsidRPr="003F6D7F">
        <w:rPr>
          <w:b/>
          <w:lang w:val="es"/>
        </w:rPr>
        <w:t>Consideraciones para el sector de servicio y mantenimiento de equipos de refrigeración</w:t>
      </w:r>
    </w:p>
    <w:p w14:paraId="44AB40DF" w14:textId="77777777" w:rsidR="00F052E4" w:rsidRPr="003F6D7F" w:rsidRDefault="00F052E4" w:rsidP="000B78BE">
      <w:pPr>
        <w:keepNext/>
        <w:rPr>
          <w:lang w:val="es"/>
        </w:rPr>
      </w:pPr>
    </w:p>
    <w:p w14:paraId="78E479AF" w14:textId="77777777" w:rsidR="00B87EC5" w:rsidRPr="003F6D7F" w:rsidRDefault="00810E08" w:rsidP="000B78BE">
      <w:pPr>
        <w:pStyle w:val="Heading1"/>
        <w:keepNext/>
        <w:rPr>
          <w:lang w:val="es-ES"/>
        </w:rPr>
      </w:pPr>
      <w:r w:rsidRPr="003F6D7F">
        <w:rPr>
          <w:lang w:val="es"/>
        </w:rPr>
        <w:t>Se prestará especial atención a la ejecución de las actividades en el subsector de servicio y mantenimiento de equipos de refrigeración incluidas en el Plan, en particular:</w:t>
      </w:r>
    </w:p>
    <w:p w14:paraId="701D2422" w14:textId="77777777" w:rsidR="00B87EC5" w:rsidRPr="003F6D7F" w:rsidRDefault="00810E08" w:rsidP="000B78BE">
      <w:pPr>
        <w:pStyle w:val="Heading2"/>
        <w:keepNext/>
        <w:widowControl/>
        <w:rPr>
          <w:lang w:val="es-ES"/>
        </w:rPr>
      </w:pPr>
      <w:r w:rsidRPr="003F6D7F">
        <w:rPr>
          <w:lang w:val="es"/>
        </w:rPr>
        <w:t>El País utilizaría la flexibilidad disponible conforme a este Acuerdo para atender a las necesidades específicas que pudieran presentarse durante la ejecución del proyecto; y</w:t>
      </w:r>
    </w:p>
    <w:p w14:paraId="29002C68" w14:textId="77777777" w:rsidR="00B87EC5" w:rsidRPr="003F6D7F" w:rsidRDefault="00810E08" w:rsidP="000B78BE">
      <w:pPr>
        <w:pStyle w:val="Heading2"/>
        <w:keepNext/>
        <w:widowControl/>
        <w:rPr>
          <w:lang w:val="es"/>
        </w:rPr>
      </w:pPr>
      <w:r w:rsidRPr="003F6D7F">
        <w:rPr>
          <w:lang w:val="es"/>
        </w:rPr>
        <w:t>El País y los organismos bilaterales y/o de ejecución pertinentes tomarán en consideración la</w:t>
      </w:r>
      <w:r w:rsidR="00F052E4" w:rsidRPr="003F6D7F">
        <w:rPr>
          <w:lang w:val="es"/>
        </w:rPr>
        <w:t xml:space="preserve">s decisiones pertinentes sobre el sector de servicio y mantenimiento de equipos de refrigeración durante </w:t>
      </w:r>
      <w:r w:rsidRPr="003F6D7F">
        <w:rPr>
          <w:lang w:val="es"/>
        </w:rPr>
        <w:t>la ejecución del plan.</w:t>
      </w:r>
    </w:p>
    <w:p w14:paraId="06B45598" w14:textId="77777777" w:rsidR="00F052E4" w:rsidRPr="003F6D7F" w:rsidRDefault="00F052E4" w:rsidP="000B78BE">
      <w:pPr>
        <w:keepNext/>
        <w:rPr>
          <w:b/>
          <w:lang w:val="es"/>
        </w:rPr>
      </w:pPr>
      <w:r w:rsidRPr="003F6D7F">
        <w:rPr>
          <w:b/>
          <w:lang w:val="es"/>
        </w:rPr>
        <w:t>Organismos de ejecución y bilaterales</w:t>
      </w:r>
    </w:p>
    <w:p w14:paraId="4F446A74" w14:textId="77777777" w:rsidR="00F052E4" w:rsidRPr="003F6D7F" w:rsidRDefault="00F052E4" w:rsidP="000B78BE">
      <w:pPr>
        <w:keepNext/>
        <w:rPr>
          <w:b/>
          <w:lang w:val="es"/>
        </w:rPr>
      </w:pPr>
    </w:p>
    <w:p w14:paraId="0EB4D3DD" w14:textId="7FD373D1" w:rsidR="00B87EC5" w:rsidRPr="003F6D7F" w:rsidRDefault="00810E08" w:rsidP="005249C1">
      <w:pPr>
        <w:pStyle w:val="Heading1"/>
        <w:rPr>
          <w:lang w:val="es-ES"/>
        </w:rPr>
      </w:pPr>
      <w:r w:rsidRPr="003F6D7F">
        <w:rPr>
          <w:lang w:val="es-ES_tradnl"/>
        </w:rPr>
        <w:t xml:space="preserve">El País conviene en asumir la responsabilidad general por la gestión y aplicación de este Acuerdo y de todas las actividades emprendidas por el País o en su nombre en cumplimiento de las obligaciones en virtud del presente Acuerdo.  </w:t>
      </w:r>
      <w:r w:rsidR="00D85DA6" w:rsidRPr="003F6D7F">
        <w:rPr>
          <w:lang w:val="es-ES_tradnl"/>
        </w:rPr>
        <w:t>El PNUMA</w:t>
      </w:r>
      <w:r w:rsidR="008A169B" w:rsidRPr="003F6D7F">
        <w:rPr>
          <w:lang w:val="es-ES_tradnl"/>
        </w:rPr>
        <w:t xml:space="preserve"> </w:t>
      </w:r>
      <w:r w:rsidRPr="003F6D7F">
        <w:rPr>
          <w:lang w:val="es-ES_tradnl"/>
        </w:rPr>
        <w:t>ha acordado ser el “Organis</w:t>
      </w:r>
      <w:r w:rsidR="00971DA0" w:rsidRPr="003F6D7F">
        <w:rPr>
          <w:lang w:val="es-ES_tradnl"/>
        </w:rPr>
        <w:t>mo de Ejecución Principal” y l</w:t>
      </w:r>
      <w:r w:rsidR="00D85DA6" w:rsidRPr="003F6D7F">
        <w:rPr>
          <w:lang w:val="es-ES_tradnl"/>
        </w:rPr>
        <w:t>a ONUDI</w:t>
      </w:r>
      <w:r w:rsidR="008A169B" w:rsidRPr="003F6D7F">
        <w:rPr>
          <w:lang w:val="es-ES_tradnl"/>
        </w:rPr>
        <w:t xml:space="preserve"> </w:t>
      </w:r>
      <w:r w:rsidRPr="003F6D7F">
        <w:rPr>
          <w:lang w:val="es-ES_tradnl"/>
        </w:rPr>
        <w:t xml:space="preserve">ha acordado ser </w:t>
      </w:r>
      <w:r w:rsidR="00F052E4" w:rsidRPr="003F6D7F">
        <w:rPr>
          <w:lang w:val="es-ES_tradnl"/>
        </w:rPr>
        <w:t>el</w:t>
      </w:r>
      <w:r w:rsidRPr="003F6D7F">
        <w:rPr>
          <w:lang w:val="es-ES_tradnl"/>
        </w:rPr>
        <w:t xml:space="preserve"> “Organismo de Ejecución Cooperante” bajo la dirección del Organismo de Ejecución Principal en lo relativo a las actividades del País en virtud de este Acuerdo. El País acepta que se lleven a cabo evaluaciones, que </w:t>
      </w:r>
      <w:r w:rsidR="00F052E4" w:rsidRPr="003F6D7F">
        <w:rPr>
          <w:lang w:val="es-ES_tradnl"/>
        </w:rPr>
        <w:t xml:space="preserve">podrían </w:t>
      </w:r>
      <w:r w:rsidRPr="003F6D7F">
        <w:rPr>
          <w:lang w:val="es-ES_tradnl"/>
        </w:rPr>
        <w:t>ser realizadas en el marco de los programas de trabajo de supervisión y evaluación del Fondo Multilateral o en el marco del programa de evaluación del Organismo de Ejecución Principal que participan en este Acuerdo.</w:t>
      </w:r>
    </w:p>
    <w:p w14:paraId="4A307218" w14:textId="77777777" w:rsidR="00B87EC5" w:rsidRPr="003F6D7F" w:rsidRDefault="00810E08">
      <w:pPr>
        <w:pStyle w:val="Heading1"/>
        <w:rPr>
          <w:lang w:val="es-ES_tradnl"/>
        </w:rPr>
      </w:pPr>
      <w:r w:rsidRPr="003F6D7F">
        <w:rPr>
          <w:lang w:val="es-ES_tradnl"/>
        </w:rPr>
        <w:t xml:space="preserve">El Organismo de Ejecución Principal tendrá la responsabilidad de </w:t>
      </w:r>
      <w:r w:rsidR="00F052E4" w:rsidRPr="003F6D7F">
        <w:rPr>
          <w:lang w:val="es-ES_tradnl"/>
        </w:rPr>
        <w:t xml:space="preserve">asegurar </w:t>
      </w:r>
      <w:r w:rsidRPr="003F6D7F">
        <w:rPr>
          <w:lang w:val="es-ES_tradnl"/>
        </w:rPr>
        <w:t>la planificación, ejecución y presentación de informes coordinadas de todas las actividades comprendidas en el presente Acuerdo, incluida entre otras cosas y sin limitaciones la verificación independiente a realizarse conforme al inciso 5 b). El Organismo de Ejecución Cooperante apoyará al Organismo de Ejecución Principal ejecutando</w:t>
      </w:r>
      <w:r w:rsidR="00F052E4" w:rsidRPr="003F6D7F">
        <w:rPr>
          <w:lang w:val="es-ES_tradnl"/>
        </w:rPr>
        <w:t xml:space="preserve"> el Plan bajo la coordinación general del Organismo de Ejecución Principal.  Las funciones del Organismo de Ejecución Principal y del Organismo de Ejecución Cooperante figuran en el Apéndice 6-A y 6-B, respectivamente. </w:t>
      </w:r>
      <w:r w:rsidRPr="003F6D7F">
        <w:rPr>
          <w:lang w:val="es-ES_tradnl"/>
        </w:rPr>
        <w:t>El Comité Ejecutivo acuerda, en principio, otorgar al Organismo de Ejecución Principal y</w:t>
      </w:r>
      <w:r w:rsidR="00371BBF" w:rsidRPr="003F6D7F">
        <w:rPr>
          <w:lang w:val="es-ES_tradnl"/>
        </w:rPr>
        <w:t xml:space="preserve"> al Organismo de Ejecución Cooperante</w:t>
      </w:r>
      <w:r w:rsidRPr="003F6D7F">
        <w:rPr>
          <w:lang w:val="es-ES_tradnl"/>
        </w:rPr>
        <w:t xml:space="preserve"> los honorarios estipulados en las filas 2.2</w:t>
      </w:r>
      <w:r w:rsidR="00F052E4" w:rsidRPr="003F6D7F">
        <w:rPr>
          <w:lang w:val="es-ES_tradnl"/>
        </w:rPr>
        <w:t xml:space="preserve"> y</w:t>
      </w:r>
      <w:r w:rsidRPr="003F6D7F">
        <w:rPr>
          <w:lang w:val="es-ES_tradnl"/>
        </w:rPr>
        <w:t xml:space="preserve"> 2.4, del Apéndice 2</w:t>
      </w:r>
      <w:r w:rsidRPr="003F6D7F">
        <w:rPr>
          <w:lang w:val="es-ES_tradnl"/>
        </w:rPr>
        <w:noBreakHyphen/>
        <w:t>A.</w:t>
      </w:r>
    </w:p>
    <w:p w14:paraId="3F95CE06" w14:textId="77777777" w:rsidR="00542EB7" w:rsidRPr="003F6D7F" w:rsidRDefault="00542EB7" w:rsidP="00971DA0">
      <w:pPr>
        <w:keepNext/>
        <w:keepLines/>
        <w:rPr>
          <w:b/>
          <w:lang w:val="es-ES_tradnl"/>
        </w:rPr>
      </w:pPr>
      <w:r w:rsidRPr="003F6D7F">
        <w:rPr>
          <w:b/>
          <w:lang w:val="es-ES_tradnl"/>
        </w:rPr>
        <w:lastRenderedPageBreak/>
        <w:t>Incumplimiento del Acuerdo</w:t>
      </w:r>
    </w:p>
    <w:p w14:paraId="710D84B5" w14:textId="77777777" w:rsidR="00542EB7" w:rsidRPr="003F6D7F" w:rsidRDefault="00542EB7" w:rsidP="00971DA0">
      <w:pPr>
        <w:keepNext/>
        <w:keepLines/>
        <w:rPr>
          <w:b/>
          <w:lang w:val="es-ES_tradnl"/>
        </w:rPr>
      </w:pPr>
    </w:p>
    <w:p w14:paraId="2EA90D5D" w14:textId="77777777" w:rsidR="00B87EC5" w:rsidRPr="003F6D7F" w:rsidRDefault="00810E08" w:rsidP="00971DA0">
      <w:pPr>
        <w:pStyle w:val="Heading1"/>
        <w:keepNext/>
        <w:keepLines/>
        <w:rPr>
          <w:lang w:val="es-ES"/>
        </w:rPr>
      </w:pPr>
      <w:r w:rsidRPr="003F6D7F">
        <w:rPr>
          <w:lang w:val="es"/>
        </w:rPr>
        <w:t xml:space="preserve">Si, por cualquier motivo, el País no alcanzara los Objetivos de eliminación de las Sustancias establecidos en la fila 1.2 del Apéndice 2–A o no cumpliera de cualquier otro modo lo estipulado en el presente Acuerdo, el País </w:t>
      </w:r>
      <w:r w:rsidR="00371BBF" w:rsidRPr="003F6D7F">
        <w:rPr>
          <w:lang w:val="es"/>
        </w:rPr>
        <w:t xml:space="preserve">conviene en </w:t>
      </w:r>
      <w:r w:rsidRPr="003F6D7F">
        <w:rPr>
          <w:lang w:val="es"/>
        </w:rPr>
        <w:t xml:space="preserve">que no tendrá derecho a recibir la Financiación de acuerdo con el Calendario de Aprobación de la Financiación. A juicio del Comité Ejecutivo, se reanudará la Financiación según un Calendario de Aprobación de la Financiación revisado </w:t>
      </w:r>
      <w:r w:rsidR="00371BBF" w:rsidRPr="003F6D7F">
        <w:rPr>
          <w:lang w:val="es"/>
        </w:rPr>
        <w:t xml:space="preserve">y determinado por </w:t>
      </w:r>
      <w:r w:rsidRPr="003F6D7F">
        <w:rPr>
          <w:lang w:val="es"/>
        </w:rPr>
        <w:t xml:space="preserve">el Comité Ejecutivo después de que el País haya demostrado que ha cumplido con todas las obligaciones que debía cumplir antes de la recepción del siguiente tramo de financiación de acuerdo con el Calendario de Aprobación de la misma. El País reconoce que el Comité Ejecutivo puede reducir el monto de la Financiación en el monto precisado en el Apéndice 7-A (“Reducciones de la Financiación en caso de Incumplimiento”) por cada kilogramo PAO de reducciones del consumo no alcanzado en cualquiera de los años establecidos. El Comité Ejecutivo analizará cada caso específico en que el País no haya cumplido con este Acuerdo y adoptará las decisiones que correspondan. Una vez que se adopten dichas decisiones, el caso específico </w:t>
      </w:r>
      <w:r w:rsidR="00371BBF" w:rsidRPr="003F6D7F">
        <w:rPr>
          <w:lang w:val="es"/>
        </w:rPr>
        <w:t xml:space="preserve">de incumplimiento de este Acuerdo </w:t>
      </w:r>
      <w:r w:rsidRPr="003F6D7F">
        <w:rPr>
          <w:lang w:val="es"/>
        </w:rPr>
        <w:t xml:space="preserve">no constituirá un impedimento para </w:t>
      </w:r>
      <w:r w:rsidR="00371BBF" w:rsidRPr="003F6D7F">
        <w:rPr>
          <w:lang w:val="es"/>
        </w:rPr>
        <w:t>el suministro de la financia</w:t>
      </w:r>
      <w:r w:rsidR="00DA5DFE" w:rsidRPr="003F6D7F">
        <w:rPr>
          <w:lang w:val="es"/>
        </w:rPr>
        <w:t>ción</w:t>
      </w:r>
      <w:r w:rsidR="00371BBF" w:rsidRPr="003F6D7F">
        <w:rPr>
          <w:lang w:val="es"/>
        </w:rPr>
        <w:t xml:space="preserve"> de </w:t>
      </w:r>
      <w:r w:rsidRPr="003F6D7F">
        <w:rPr>
          <w:lang w:val="es"/>
        </w:rPr>
        <w:t xml:space="preserve">los tramos siguientes conforme al párrafo 5 </w:t>
      </w:r>
      <w:r w:rsidRPr="003F6D7F">
        <w:rPr>
          <w:i/>
          <w:iCs/>
          <w:lang w:val="es"/>
        </w:rPr>
        <w:t>supra</w:t>
      </w:r>
      <w:r w:rsidRPr="003F6D7F">
        <w:rPr>
          <w:lang w:val="es"/>
        </w:rPr>
        <w:t>.</w:t>
      </w:r>
    </w:p>
    <w:p w14:paraId="26727B22" w14:textId="77777777" w:rsidR="00B87EC5" w:rsidRPr="003F6D7F" w:rsidRDefault="00810E08">
      <w:pPr>
        <w:pStyle w:val="Heading1"/>
        <w:rPr>
          <w:lang w:val="es-ES"/>
        </w:rPr>
      </w:pPr>
      <w:r w:rsidRPr="003F6D7F">
        <w:rPr>
          <w:lang w:val="es"/>
        </w:rPr>
        <w:t>No se modificará la Financiación del presente Acuerdo en virtud d</w:t>
      </w:r>
      <w:r w:rsidR="00971DA0" w:rsidRPr="003F6D7F">
        <w:rPr>
          <w:lang w:val="es"/>
        </w:rPr>
        <w:t>e decisiones futuras del Comité </w:t>
      </w:r>
      <w:r w:rsidRPr="003F6D7F">
        <w:rPr>
          <w:lang w:val="es"/>
        </w:rPr>
        <w:t>Ejecutivo que pudieran afectar a la financiación de cualquier otro proyecto en el sector de consumo o de otras actividades afines en el País.</w:t>
      </w:r>
    </w:p>
    <w:p w14:paraId="10EA92BC" w14:textId="77777777" w:rsidR="00B87EC5" w:rsidRPr="003F6D7F" w:rsidRDefault="00810E08">
      <w:pPr>
        <w:pStyle w:val="Heading1"/>
        <w:rPr>
          <w:lang w:val="es"/>
        </w:rPr>
      </w:pPr>
      <w:r w:rsidRPr="003F6D7F">
        <w:rPr>
          <w:lang w:val="es"/>
        </w:rPr>
        <w:t xml:space="preserve">El País satisfará cualquier solicitud razonable del Comité Ejecutivo, el Organismo de Ejecución Principal y </w:t>
      </w:r>
      <w:r w:rsidR="00371BBF" w:rsidRPr="003F6D7F">
        <w:rPr>
          <w:lang w:val="es"/>
        </w:rPr>
        <w:t>el Organismo de Ejecución Cooperante</w:t>
      </w:r>
      <w:r w:rsidRPr="003F6D7F">
        <w:rPr>
          <w:lang w:val="es"/>
        </w:rPr>
        <w:t xml:space="preserve"> para facilitar la aplicación del presente Acuerdo. En particular, proporcionará al Organismo de Ejecución Principal y a</w:t>
      </w:r>
      <w:r w:rsidR="00371BBF" w:rsidRPr="003F6D7F">
        <w:rPr>
          <w:lang w:val="es"/>
        </w:rPr>
        <w:t>l Organismo de Ejecución Cooperante</w:t>
      </w:r>
      <w:r w:rsidRPr="003F6D7F">
        <w:rPr>
          <w:lang w:val="es"/>
        </w:rPr>
        <w:t xml:space="preserve"> el acceso a la información necesaria para verificar el cumplimiento del presente Acuerdo.</w:t>
      </w:r>
    </w:p>
    <w:p w14:paraId="120BDF70" w14:textId="77777777" w:rsidR="00371BBF" w:rsidRPr="003F6D7F" w:rsidRDefault="00371BBF" w:rsidP="00371BBF">
      <w:pPr>
        <w:rPr>
          <w:b/>
          <w:lang w:val="es"/>
        </w:rPr>
      </w:pPr>
      <w:r w:rsidRPr="003F6D7F">
        <w:rPr>
          <w:b/>
          <w:lang w:val="es"/>
        </w:rPr>
        <w:t>Fecha de conclusión</w:t>
      </w:r>
    </w:p>
    <w:p w14:paraId="6C877472" w14:textId="77777777" w:rsidR="00371BBF" w:rsidRPr="003F6D7F" w:rsidRDefault="00371BBF" w:rsidP="00371BBF">
      <w:pPr>
        <w:rPr>
          <w:lang w:val="es"/>
        </w:rPr>
      </w:pPr>
    </w:p>
    <w:p w14:paraId="238B326D" w14:textId="77777777" w:rsidR="00B87EC5" w:rsidRPr="003F6D7F" w:rsidRDefault="00810E08">
      <w:pPr>
        <w:pStyle w:val="Heading1"/>
        <w:rPr>
          <w:lang w:val="es"/>
        </w:rPr>
      </w:pPr>
      <w:r w:rsidRPr="003F6D7F">
        <w:rPr>
          <w:lang w:val="es"/>
        </w:rPr>
        <w:t>El Plan y el Acuerdo relacionado concluirán al final del año siguiente al último año para el que se haya especificado un nivel de consumo total máximo permitido en el Apéndice 2</w:t>
      </w:r>
      <w:r w:rsidRPr="003F6D7F">
        <w:rPr>
          <w:lang w:val="es"/>
        </w:rPr>
        <w:noBreakHyphen/>
        <w:t>A. En el caso de que para ese entonces hubiera actividades aún pendientes que estuvieran previstas en el último Plan de Ejecución de Tramo y sus revisiones posteriores conforme al inciso 5 d) y el párrafo 7, la conclusión del Plan se aplazará hasta el final del año siguiente a la ejecución de las actividades remanentes. Los requisitos de presentación de informes conforme a los incisos 1 a), 1 b), 1 d) y 1 e) del Apéndice 4</w:t>
      </w:r>
      <w:r w:rsidRPr="003F6D7F">
        <w:rPr>
          <w:lang w:val="es"/>
        </w:rPr>
        <w:noBreakHyphen/>
        <w:t>A continuarán vigentes hasta la conclusión del Plan, a menos que el Comité Ejecutivo estipule otra cosa.</w:t>
      </w:r>
    </w:p>
    <w:p w14:paraId="2E1A4090" w14:textId="77777777" w:rsidR="0099703B" w:rsidRPr="003F6D7F" w:rsidRDefault="00306F9E" w:rsidP="0099703B">
      <w:pPr>
        <w:rPr>
          <w:b/>
          <w:lang w:val="es"/>
        </w:rPr>
      </w:pPr>
      <w:r w:rsidRPr="003F6D7F">
        <w:rPr>
          <w:b/>
          <w:lang w:val="es"/>
        </w:rPr>
        <w:t>Validez</w:t>
      </w:r>
    </w:p>
    <w:p w14:paraId="402B9A4C" w14:textId="77777777" w:rsidR="00306F9E" w:rsidRPr="003F6D7F" w:rsidRDefault="00306F9E" w:rsidP="0099703B">
      <w:pPr>
        <w:rPr>
          <w:b/>
          <w:lang w:val="es"/>
        </w:rPr>
      </w:pPr>
    </w:p>
    <w:p w14:paraId="63CB221C" w14:textId="77777777" w:rsidR="00B87EC5" w:rsidRPr="003F6D7F" w:rsidRDefault="00810E08">
      <w:pPr>
        <w:pStyle w:val="Heading1"/>
        <w:rPr>
          <w:lang w:val="es-ES"/>
        </w:rPr>
      </w:pPr>
      <w:r w:rsidRPr="003F6D7F">
        <w:rPr>
          <w:lang w:val="es"/>
        </w:rPr>
        <w:t>Todas las condiciones del presente Acuerdo han de ser aplicadas exclusivamente en el contexto del Protocolo de Montreal y tal como se las estipula en este Acuerdo. Todos los términos utilizados en el presente Acuerdo tienen el significado que se les atribuye en el Protocolo de Montreal, a no ser que se definan de otro modo en este documento.</w:t>
      </w:r>
    </w:p>
    <w:p w14:paraId="02E87779" w14:textId="77777777" w:rsidR="00B87EC5" w:rsidRPr="003F6D7F" w:rsidRDefault="00810E08" w:rsidP="002B3924">
      <w:pPr>
        <w:pStyle w:val="Heading1"/>
        <w:rPr>
          <w:lang w:val="es-ES"/>
        </w:rPr>
      </w:pPr>
      <w:r w:rsidRPr="003F6D7F">
        <w:rPr>
          <w:lang w:val="es"/>
        </w:rPr>
        <w:t xml:space="preserve"> </w:t>
      </w:r>
      <w:r w:rsidR="002B3924" w:rsidRPr="003F6D7F">
        <w:rPr>
          <w:lang w:val="es"/>
        </w:rPr>
        <w:t xml:space="preserve">El presente Acuerdo </w:t>
      </w:r>
      <w:r w:rsidR="00306F9E" w:rsidRPr="003F6D7F">
        <w:rPr>
          <w:lang w:val="es"/>
        </w:rPr>
        <w:t xml:space="preserve">puede ser modificado o </w:t>
      </w:r>
      <w:r w:rsidR="00F450B8" w:rsidRPr="003F6D7F">
        <w:rPr>
          <w:lang w:val="es"/>
        </w:rPr>
        <w:t xml:space="preserve">darse por terminado </w:t>
      </w:r>
      <w:r w:rsidR="006564FB" w:rsidRPr="003F6D7F">
        <w:rPr>
          <w:lang w:val="es"/>
        </w:rPr>
        <w:t xml:space="preserve">por escrito y </w:t>
      </w:r>
      <w:r w:rsidR="00F450B8" w:rsidRPr="003F6D7F">
        <w:rPr>
          <w:lang w:val="es"/>
        </w:rPr>
        <w:t xml:space="preserve">por acuerdo mutuo del </w:t>
      </w:r>
      <w:r w:rsidR="006C3115" w:rsidRPr="003F6D7F">
        <w:rPr>
          <w:lang w:val="es"/>
        </w:rPr>
        <w:t xml:space="preserve">País y </w:t>
      </w:r>
      <w:r w:rsidR="002B3924" w:rsidRPr="003F6D7F">
        <w:rPr>
          <w:lang w:val="es"/>
        </w:rPr>
        <w:t xml:space="preserve">el Comité Ejecutivo </w:t>
      </w:r>
      <w:r w:rsidR="006C3115" w:rsidRPr="003F6D7F">
        <w:rPr>
          <w:lang w:val="es"/>
        </w:rPr>
        <w:t>del Fondo Multilateral</w:t>
      </w:r>
      <w:r w:rsidR="002B3924" w:rsidRPr="003F6D7F">
        <w:rPr>
          <w:lang w:val="es"/>
        </w:rPr>
        <w:t>.</w:t>
      </w:r>
    </w:p>
    <w:p w14:paraId="2B3C14A1" w14:textId="77777777" w:rsidR="00B87EC5" w:rsidRPr="003F6D7F" w:rsidRDefault="00B87EC5">
      <w:pPr>
        <w:rPr>
          <w:lang w:val="es-ES"/>
        </w:rPr>
      </w:pPr>
    </w:p>
    <w:p w14:paraId="3AF03CC2" w14:textId="1A663DC4" w:rsidR="00B87EC5" w:rsidRPr="003F6D7F" w:rsidRDefault="00810E08">
      <w:pPr>
        <w:rPr>
          <w:b/>
          <w:bCs/>
          <w:lang w:val="es"/>
        </w:rPr>
      </w:pPr>
      <w:r w:rsidRPr="003F6D7F">
        <w:rPr>
          <w:b/>
          <w:bCs/>
          <w:lang w:val="es"/>
        </w:rPr>
        <w:br w:type="page"/>
      </w:r>
      <w:r w:rsidRPr="003F6D7F">
        <w:rPr>
          <w:b/>
          <w:bCs/>
          <w:lang w:val="es"/>
        </w:rPr>
        <w:lastRenderedPageBreak/>
        <w:t xml:space="preserve">APÉNDICES </w:t>
      </w:r>
    </w:p>
    <w:p w14:paraId="5F5C492A" w14:textId="77777777" w:rsidR="00A87F84" w:rsidRPr="003F6D7F" w:rsidRDefault="00A87F84">
      <w:pPr>
        <w:rPr>
          <w:b/>
        </w:rPr>
      </w:pPr>
    </w:p>
    <w:p w14:paraId="2D57A7E8" w14:textId="77777777" w:rsidR="00B87EC5" w:rsidRPr="003F6D7F" w:rsidRDefault="00810E08">
      <w:pPr>
        <w:rPr>
          <w:b/>
          <w:bCs/>
          <w:lang w:val="es"/>
        </w:rPr>
      </w:pPr>
      <w:r w:rsidRPr="003F6D7F">
        <w:rPr>
          <w:b/>
          <w:bCs/>
          <w:lang w:val="es"/>
        </w:rPr>
        <w:t>APÉNDICE 1-A: LAS SUSTANCIAS</w:t>
      </w:r>
    </w:p>
    <w:p w14:paraId="16D1496C" w14:textId="77777777" w:rsidR="006C3115" w:rsidRPr="003F6D7F" w:rsidRDefault="006C3115">
      <w:pPr>
        <w:rPr>
          <w:b/>
          <w:bCs/>
          <w:lang w:val="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750"/>
        <w:gridCol w:w="755"/>
        <w:gridCol w:w="4860"/>
      </w:tblGrid>
      <w:tr w:rsidR="006C3115" w:rsidRPr="003F6D7F" w14:paraId="50C0E038" w14:textId="77777777" w:rsidTr="00527504">
        <w:tc>
          <w:tcPr>
            <w:tcW w:w="1596" w:type="pct"/>
          </w:tcPr>
          <w:p w14:paraId="75FA7B6A" w14:textId="77777777" w:rsidR="006C3115" w:rsidRPr="003F6D7F" w:rsidRDefault="006C3115" w:rsidP="006C3115">
            <w:pPr>
              <w:jc w:val="center"/>
              <w:rPr>
                <w:sz w:val="20"/>
                <w:szCs w:val="20"/>
              </w:rPr>
            </w:pPr>
            <w:proofErr w:type="spellStart"/>
            <w:r w:rsidRPr="003F6D7F">
              <w:rPr>
                <w:sz w:val="20"/>
                <w:szCs w:val="20"/>
              </w:rPr>
              <w:t>Sustancias</w:t>
            </w:r>
            <w:proofErr w:type="spellEnd"/>
          </w:p>
        </w:tc>
        <w:tc>
          <w:tcPr>
            <w:tcW w:w="401" w:type="pct"/>
          </w:tcPr>
          <w:p w14:paraId="255D80C7" w14:textId="77777777" w:rsidR="006C3115" w:rsidRPr="003F6D7F" w:rsidRDefault="006C3115" w:rsidP="006C3115">
            <w:pPr>
              <w:jc w:val="center"/>
              <w:rPr>
                <w:sz w:val="20"/>
                <w:szCs w:val="20"/>
              </w:rPr>
            </w:pPr>
            <w:r w:rsidRPr="003F6D7F">
              <w:rPr>
                <w:sz w:val="20"/>
                <w:szCs w:val="20"/>
              </w:rPr>
              <w:t>Anexo</w:t>
            </w:r>
          </w:p>
        </w:tc>
        <w:tc>
          <w:tcPr>
            <w:tcW w:w="404" w:type="pct"/>
          </w:tcPr>
          <w:p w14:paraId="0F222218" w14:textId="77777777" w:rsidR="006C3115" w:rsidRPr="003F6D7F" w:rsidRDefault="006C3115" w:rsidP="006C3115">
            <w:pPr>
              <w:jc w:val="center"/>
              <w:rPr>
                <w:sz w:val="20"/>
                <w:szCs w:val="20"/>
              </w:rPr>
            </w:pPr>
            <w:r w:rsidRPr="003F6D7F">
              <w:rPr>
                <w:sz w:val="20"/>
                <w:szCs w:val="20"/>
              </w:rPr>
              <w:t>Grupo</w:t>
            </w:r>
          </w:p>
        </w:tc>
        <w:tc>
          <w:tcPr>
            <w:tcW w:w="2599" w:type="pct"/>
            <w:tcBorders>
              <w:bottom w:val="single" w:sz="4" w:space="0" w:color="auto"/>
            </w:tcBorders>
          </w:tcPr>
          <w:p w14:paraId="2B82B75B" w14:textId="77777777" w:rsidR="006C3115" w:rsidRPr="003F6D7F" w:rsidRDefault="006C3115" w:rsidP="00E367BA">
            <w:pPr>
              <w:keepNext/>
              <w:autoSpaceDE w:val="0"/>
              <w:autoSpaceDN w:val="0"/>
              <w:adjustRightInd w:val="0"/>
              <w:jc w:val="center"/>
              <w:rPr>
                <w:sz w:val="20"/>
                <w:szCs w:val="20"/>
                <w:lang w:val="es-MX"/>
              </w:rPr>
            </w:pPr>
            <w:r w:rsidRPr="003F6D7F">
              <w:rPr>
                <w:sz w:val="20"/>
                <w:szCs w:val="20"/>
                <w:lang w:val="es-AR"/>
              </w:rPr>
              <w:t>Punto de partida para las reducciones acumulativas del consumo</w:t>
            </w:r>
            <w:r w:rsidR="00E367BA" w:rsidRPr="003F6D7F">
              <w:rPr>
                <w:sz w:val="20"/>
                <w:szCs w:val="20"/>
                <w:lang w:val="es-AR"/>
              </w:rPr>
              <w:t xml:space="preserve"> </w:t>
            </w:r>
            <w:r w:rsidRPr="003F6D7F">
              <w:rPr>
                <w:sz w:val="20"/>
                <w:szCs w:val="20"/>
                <w:lang w:val="es-MX"/>
              </w:rPr>
              <w:t>(toneladas PAO)</w:t>
            </w:r>
          </w:p>
        </w:tc>
      </w:tr>
      <w:tr w:rsidR="006C3115" w:rsidRPr="003F6D7F" w14:paraId="5C27C67F" w14:textId="77777777" w:rsidTr="00527504">
        <w:tc>
          <w:tcPr>
            <w:tcW w:w="1596" w:type="pct"/>
          </w:tcPr>
          <w:p w14:paraId="1266AD19" w14:textId="77777777" w:rsidR="006C3115" w:rsidRPr="003F6D7F" w:rsidRDefault="006C3115" w:rsidP="006C3115">
            <w:pPr>
              <w:keepNext/>
              <w:rPr>
                <w:sz w:val="20"/>
                <w:szCs w:val="20"/>
                <w:lang w:val="en-CA"/>
              </w:rPr>
            </w:pPr>
            <w:r w:rsidRPr="003F6D7F">
              <w:rPr>
                <w:sz w:val="20"/>
                <w:szCs w:val="20"/>
                <w:lang w:val="en-CA"/>
              </w:rPr>
              <w:t>HCFC-22</w:t>
            </w:r>
          </w:p>
        </w:tc>
        <w:tc>
          <w:tcPr>
            <w:tcW w:w="401" w:type="pct"/>
          </w:tcPr>
          <w:p w14:paraId="080B4904" w14:textId="77777777" w:rsidR="006C3115" w:rsidRPr="003F6D7F" w:rsidRDefault="006C3115" w:rsidP="006C3115">
            <w:pPr>
              <w:keepNext/>
              <w:rPr>
                <w:sz w:val="20"/>
                <w:szCs w:val="20"/>
                <w:lang w:val="en-CA"/>
              </w:rPr>
            </w:pPr>
            <w:r w:rsidRPr="003F6D7F">
              <w:rPr>
                <w:sz w:val="20"/>
                <w:szCs w:val="20"/>
                <w:lang w:val="en-CA"/>
              </w:rPr>
              <w:t>C</w:t>
            </w:r>
          </w:p>
        </w:tc>
        <w:tc>
          <w:tcPr>
            <w:tcW w:w="404" w:type="pct"/>
          </w:tcPr>
          <w:p w14:paraId="33FCC305" w14:textId="77777777" w:rsidR="006C3115" w:rsidRPr="003F6D7F" w:rsidRDefault="006C3115" w:rsidP="006C3115">
            <w:pPr>
              <w:rPr>
                <w:sz w:val="20"/>
                <w:szCs w:val="20"/>
                <w:lang w:val="en-CA"/>
              </w:rPr>
            </w:pPr>
            <w:r w:rsidRPr="003F6D7F">
              <w:rPr>
                <w:sz w:val="20"/>
                <w:szCs w:val="20"/>
                <w:lang w:val="en-CA"/>
              </w:rPr>
              <w:t>I</w:t>
            </w:r>
          </w:p>
        </w:tc>
        <w:tc>
          <w:tcPr>
            <w:tcW w:w="2599" w:type="pct"/>
            <w:shd w:val="clear" w:color="auto" w:fill="auto"/>
          </w:tcPr>
          <w:p w14:paraId="02D262DF" w14:textId="2A361103" w:rsidR="006C3115" w:rsidRPr="003F6D7F" w:rsidRDefault="00527504" w:rsidP="006C3115">
            <w:pPr>
              <w:jc w:val="right"/>
              <w:rPr>
                <w:sz w:val="20"/>
                <w:lang w:val="en-CA"/>
              </w:rPr>
            </w:pPr>
            <w:r w:rsidRPr="003F6D7F">
              <w:rPr>
                <w:sz w:val="20"/>
                <w:lang w:val="en-CA"/>
              </w:rPr>
              <w:t>10,80</w:t>
            </w:r>
          </w:p>
        </w:tc>
      </w:tr>
    </w:tbl>
    <w:p w14:paraId="5AD4D699" w14:textId="77777777" w:rsidR="006C3115" w:rsidRPr="003F6D7F" w:rsidRDefault="006C3115">
      <w:pPr>
        <w:rPr>
          <w:b/>
          <w:lang w:val="es-MX"/>
        </w:rPr>
      </w:pPr>
    </w:p>
    <w:p w14:paraId="3239971B" w14:textId="0E41FD05" w:rsidR="00B87EC5" w:rsidRPr="003F6D7F" w:rsidRDefault="00810E08">
      <w:pPr>
        <w:keepNext/>
        <w:keepLines/>
        <w:rPr>
          <w:b/>
          <w:bCs/>
          <w:lang w:val="es"/>
        </w:rPr>
      </w:pPr>
      <w:r w:rsidRPr="003F6D7F">
        <w:rPr>
          <w:b/>
          <w:bCs/>
          <w:lang w:val="es"/>
        </w:rPr>
        <w:t>APÉNDICE 2-A: LOS OBJETIVOS Y LA FINANCIACIÓN</w:t>
      </w:r>
    </w:p>
    <w:p w14:paraId="14945AA6" w14:textId="77777777" w:rsidR="00A87F84" w:rsidRPr="003F6D7F" w:rsidRDefault="00A87F84">
      <w:pPr>
        <w:keepNext/>
        <w:keepLines/>
        <w:rPr>
          <w:b/>
          <w:bCs/>
          <w:lang w:val="es"/>
        </w:rPr>
      </w:pPr>
    </w:p>
    <w:tbl>
      <w:tblPr>
        <w:tblW w:w="5000" w:type="pct"/>
        <w:jc w:val="center"/>
        <w:tblCellMar>
          <w:left w:w="10" w:type="dxa"/>
          <w:right w:w="10" w:type="dxa"/>
        </w:tblCellMar>
        <w:tblLook w:val="04A0" w:firstRow="1" w:lastRow="0" w:firstColumn="1" w:lastColumn="0" w:noHBand="0" w:noVBand="1"/>
      </w:tblPr>
      <w:tblGrid>
        <w:gridCol w:w="576"/>
        <w:gridCol w:w="3472"/>
        <w:gridCol w:w="882"/>
        <w:gridCol w:w="883"/>
        <w:gridCol w:w="883"/>
        <w:gridCol w:w="883"/>
        <w:gridCol w:w="873"/>
        <w:gridCol w:w="898"/>
      </w:tblGrid>
      <w:tr w:rsidR="00A87F84" w:rsidRPr="003F6D7F" w14:paraId="268EF5AE" w14:textId="77777777" w:rsidTr="00A87F84">
        <w:trPr>
          <w:trHeight w:val="98"/>
          <w:tblHeader/>
          <w:jc w:val="center"/>
        </w:trPr>
        <w:tc>
          <w:tcPr>
            <w:tcW w:w="30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ECDB2" w14:textId="57579AC0" w:rsidR="00A87F84" w:rsidRPr="003F6D7F" w:rsidRDefault="00A87F84" w:rsidP="00840B38">
            <w:pPr>
              <w:keepNext/>
              <w:tabs>
                <w:tab w:val="left" w:pos="720"/>
              </w:tabs>
              <w:overflowPunct w:val="0"/>
              <w:adjustRightInd w:val="0"/>
              <w:jc w:val="center"/>
              <w:rPr>
                <w:kern w:val="28"/>
                <w:sz w:val="18"/>
                <w:szCs w:val="18"/>
              </w:rPr>
            </w:pPr>
            <w:r w:rsidRPr="003F6D7F">
              <w:rPr>
                <w:b/>
                <w:color w:val="000000"/>
                <w:kern w:val="28"/>
                <w:sz w:val="18"/>
                <w:szCs w:val="18"/>
              </w:rPr>
              <w:t>Fila</w:t>
            </w:r>
          </w:p>
        </w:tc>
        <w:tc>
          <w:tcPr>
            <w:tcW w:w="1857" w:type="pct"/>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2215F9F6" w14:textId="0F74850E" w:rsidR="00A87F84" w:rsidRPr="003F6D7F" w:rsidRDefault="00A87F84" w:rsidP="00840B38">
            <w:pPr>
              <w:keepNext/>
              <w:tabs>
                <w:tab w:val="left" w:pos="720"/>
              </w:tabs>
              <w:overflowPunct w:val="0"/>
              <w:adjustRightInd w:val="0"/>
              <w:jc w:val="center"/>
              <w:rPr>
                <w:b/>
                <w:bCs/>
                <w:kern w:val="28"/>
                <w:sz w:val="18"/>
                <w:szCs w:val="18"/>
              </w:rPr>
            </w:pPr>
            <w:proofErr w:type="spellStart"/>
            <w:r w:rsidRPr="003F6D7F">
              <w:rPr>
                <w:b/>
                <w:bCs/>
                <w:kern w:val="28"/>
                <w:sz w:val="18"/>
                <w:szCs w:val="18"/>
              </w:rPr>
              <w:t>Detalles</w:t>
            </w:r>
            <w:proofErr w:type="spellEnd"/>
          </w:p>
        </w:tc>
        <w:tc>
          <w:tcPr>
            <w:tcW w:w="472" w:type="pct"/>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023131B" w14:textId="77777777" w:rsidR="00A87F84" w:rsidRPr="003F6D7F" w:rsidRDefault="00A87F84" w:rsidP="00840B38">
            <w:pPr>
              <w:keepNext/>
              <w:tabs>
                <w:tab w:val="left" w:pos="720"/>
              </w:tabs>
              <w:overflowPunct w:val="0"/>
              <w:adjustRightInd w:val="0"/>
              <w:jc w:val="center"/>
              <w:rPr>
                <w:b/>
                <w:bCs/>
                <w:kern w:val="28"/>
                <w:sz w:val="18"/>
                <w:szCs w:val="18"/>
              </w:rPr>
            </w:pPr>
            <w:r w:rsidRPr="003F6D7F">
              <w:rPr>
                <w:b/>
                <w:bCs/>
                <w:kern w:val="28"/>
                <w:sz w:val="18"/>
                <w:szCs w:val="18"/>
              </w:rPr>
              <w:t>2020</w:t>
            </w:r>
          </w:p>
        </w:tc>
        <w:tc>
          <w:tcPr>
            <w:tcW w:w="472" w:type="pct"/>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1CA0CA41" w14:textId="77777777" w:rsidR="00A87F84" w:rsidRPr="003F6D7F" w:rsidRDefault="00A87F84" w:rsidP="00840B38">
            <w:pPr>
              <w:keepNext/>
              <w:tabs>
                <w:tab w:val="left" w:pos="720"/>
              </w:tabs>
              <w:overflowPunct w:val="0"/>
              <w:adjustRightInd w:val="0"/>
              <w:jc w:val="center"/>
              <w:rPr>
                <w:b/>
                <w:bCs/>
                <w:kern w:val="28"/>
                <w:sz w:val="18"/>
                <w:szCs w:val="18"/>
              </w:rPr>
            </w:pPr>
            <w:r w:rsidRPr="003F6D7F">
              <w:rPr>
                <w:b/>
                <w:bCs/>
                <w:kern w:val="28"/>
                <w:sz w:val="18"/>
                <w:szCs w:val="18"/>
              </w:rPr>
              <w:t>2021-2024</w:t>
            </w:r>
          </w:p>
        </w:tc>
        <w:tc>
          <w:tcPr>
            <w:tcW w:w="472" w:type="pct"/>
            <w:tcBorders>
              <w:top w:val="single" w:sz="4" w:space="0" w:color="000000"/>
              <w:left w:val="single" w:sz="2" w:space="0" w:color="000000"/>
              <w:bottom w:val="single" w:sz="4" w:space="0" w:color="000000"/>
              <w:right w:val="single" w:sz="2" w:space="0" w:color="000000"/>
            </w:tcBorders>
            <w:hideMark/>
          </w:tcPr>
          <w:p w14:paraId="5F7BD21D" w14:textId="77777777" w:rsidR="00A87F84" w:rsidRPr="003F6D7F" w:rsidRDefault="00A87F84" w:rsidP="00840B38">
            <w:pPr>
              <w:keepNext/>
              <w:tabs>
                <w:tab w:val="left" w:pos="720"/>
              </w:tabs>
              <w:overflowPunct w:val="0"/>
              <w:adjustRightInd w:val="0"/>
              <w:jc w:val="center"/>
              <w:rPr>
                <w:kern w:val="28"/>
                <w:sz w:val="18"/>
                <w:szCs w:val="18"/>
              </w:rPr>
            </w:pPr>
            <w:r w:rsidRPr="003F6D7F">
              <w:rPr>
                <w:b/>
                <w:bCs/>
                <w:kern w:val="28"/>
                <w:sz w:val="18"/>
                <w:szCs w:val="18"/>
              </w:rPr>
              <w:t>2025</w:t>
            </w:r>
          </w:p>
        </w:tc>
        <w:tc>
          <w:tcPr>
            <w:tcW w:w="472" w:type="pct"/>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2C388CB6" w14:textId="77777777" w:rsidR="00A87F84" w:rsidRPr="003F6D7F" w:rsidRDefault="00A87F84" w:rsidP="00840B38">
            <w:pPr>
              <w:keepNext/>
              <w:tabs>
                <w:tab w:val="left" w:pos="720"/>
              </w:tabs>
              <w:overflowPunct w:val="0"/>
              <w:adjustRightInd w:val="0"/>
              <w:jc w:val="center"/>
              <w:rPr>
                <w:b/>
                <w:bCs/>
                <w:kern w:val="28"/>
                <w:sz w:val="18"/>
                <w:szCs w:val="18"/>
              </w:rPr>
            </w:pPr>
            <w:r w:rsidRPr="003F6D7F">
              <w:rPr>
                <w:b/>
                <w:bCs/>
                <w:kern w:val="28"/>
                <w:sz w:val="18"/>
                <w:szCs w:val="18"/>
              </w:rPr>
              <w:t>2026-2029</w:t>
            </w:r>
          </w:p>
        </w:tc>
        <w:tc>
          <w:tcPr>
            <w:tcW w:w="467" w:type="pct"/>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107AE45B" w14:textId="77777777" w:rsidR="00A87F84" w:rsidRPr="003F6D7F" w:rsidRDefault="00A87F84" w:rsidP="00840B38">
            <w:pPr>
              <w:keepNext/>
              <w:tabs>
                <w:tab w:val="left" w:pos="720"/>
              </w:tabs>
              <w:overflowPunct w:val="0"/>
              <w:adjustRightInd w:val="0"/>
              <w:jc w:val="center"/>
              <w:rPr>
                <w:kern w:val="28"/>
                <w:sz w:val="18"/>
                <w:szCs w:val="18"/>
              </w:rPr>
            </w:pPr>
            <w:r w:rsidRPr="003F6D7F">
              <w:rPr>
                <w:b/>
                <w:color w:val="000000"/>
                <w:kern w:val="28"/>
                <w:sz w:val="18"/>
                <w:szCs w:val="18"/>
              </w:rPr>
              <w:t>2030</w:t>
            </w:r>
          </w:p>
        </w:tc>
        <w:tc>
          <w:tcPr>
            <w:tcW w:w="480" w:type="pct"/>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5597406A" w14:textId="77777777" w:rsidR="00A87F84" w:rsidRPr="003F6D7F" w:rsidRDefault="00A87F84" w:rsidP="00840B38">
            <w:pPr>
              <w:keepNext/>
              <w:tabs>
                <w:tab w:val="left" w:pos="720"/>
              </w:tabs>
              <w:overflowPunct w:val="0"/>
              <w:adjustRightInd w:val="0"/>
              <w:jc w:val="center"/>
              <w:rPr>
                <w:kern w:val="28"/>
                <w:sz w:val="18"/>
                <w:szCs w:val="18"/>
              </w:rPr>
            </w:pPr>
            <w:r w:rsidRPr="003F6D7F">
              <w:rPr>
                <w:b/>
                <w:color w:val="000000"/>
                <w:kern w:val="28"/>
                <w:sz w:val="18"/>
                <w:szCs w:val="18"/>
              </w:rPr>
              <w:t>Total</w:t>
            </w:r>
          </w:p>
        </w:tc>
      </w:tr>
      <w:tr w:rsidR="00A87F84" w:rsidRPr="003F6D7F" w14:paraId="5F5FC631" w14:textId="77777777" w:rsidTr="00A87F84">
        <w:trPr>
          <w:trHeight w:val="408"/>
          <w:jc w:val="center"/>
        </w:trPr>
        <w:tc>
          <w:tcPr>
            <w:tcW w:w="308" w:type="pct"/>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3DF83" w14:textId="77777777" w:rsidR="00A87F84" w:rsidRPr="003F6D7F" w:rsidRDefault="00A87F84" w:rsidP="00A87F84">
            <w:pPr>
              <w:keepNext/>
              <w:tabs>
                <w:tab w:val="left" w:pos="720"/>
              </w:tabs>
              <w:overflowPunct w:val="0"/>
              <w:adjustRightInd w:val="0"/>
              <w:rPr>
                <w:kern w:val="28"/>
                <w:sz w:val="18"/>
                <w:szCs w:val="18"/>
              </w:rPr>
            </w:pPr>
            <w:r w:rsidRPr="003F6D7F">
              <w:rPr>
                <w:color w:val="000000"/>
                <w:kern w:val="28"/>
                <w:sz w:val="18"/>
                <w:szCs w:val="18"/>
              </w:rPr>
              <w:t>1.1</w:t>
            </w:r>
          </w:p>
        </w:tc>
        <w:tc>
          <w:tcPr>
            <w:tcW w:w="1857"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5952937C" w14:textId="667DF2E6" w:rsidR="00A87F84" w:rsidRPr="003F6D7F" w:rsidRDefault="00A87F84" w:rsidP="00A87F84">
            <w:pPr>
              <w:keepNext/>
              <w:tabs>
                <w:tab w:val="left" w:pos="720"/>
              </w:tabs>
              <w:overflowPunct w:val="0"/>
              <w:adjustRightInd w:val="0"/>
              <w:rPr>
                <w:kern w:val="28"/>
                <w:sz w:val="18"/>
                <w:szCs w:val="18"/>
                <w:lang w:val="es-MX"/>
              </w:rPr>
            </w:pPr>
            <w:r w:rsidRPr="003F6D7F">
              <w:rPr>
                <w:color w:val="000000"/>
                <w:sz w:val="18"/>
                <w:szCs w:val="18"/>
                <w:lang w:val="es-MX" w:eastAsia="en-CA"/>
              </w:rPr>
              <w:t>Calendario del Protocolo de Montreal para la reducción de las sustancias del Anexo C, Grupo I (toneladas PAO</w:t>
            </w:r>
            <w:r w:rsidRPr="003F6D7F">
              <w:rPr>
                <w:color w:val="000000"/>
                <w:sz w:val="18"/>
                <w:szCs w:val="18"/>
                <w:lang w:val="es-MX" w:bidi="th-TH"/>
              </w:rPr>
              <w:t xml:space="preserve"> </w:t>
            </w:r>
          </w:p>
        </w:tc>
        <w:tc>
          <w:tcPr>
            <w:tcW w:w="472" w:type="pct"/>
            <w:tcBorders>
              <w:top w:val="single" w:sz="2"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FF0CF4B" w14:textId="77777777" w:rsidR="00A87F84" w:rsidRPr="003F6D7F" w:rsidRDefault="00A87F84" w:rsidP="00A87F84">
            <w:pPr>
              <w:keepNext/>
              <w:tabs>
                <w:tab w:val="left" w:pos="720"/>
              </w:tabs>
              <w:overflowPunct w:val="0"/>
              <w:adjustRightInd w:val="0"/>
              <w:jc w:val="right"/>
              <w:rPr>
                <w:bCs/>
                <w:kern w:val="28"/>
                <w:sz w:val="18"/>
                <w:szCs w:val="18"/>
              </w:rPr>
            </w:pPr>
            <w:r w:rsidRPr="003F6D7F">
              <w:rPr>
                <w:bCs/>
                <w:kern w:val="28"/>
                <w:sz w:val="18"/>
                <w:szCs w:val="18"/>
              </w:rPr>
              <w:t>7.02</w:t>
            </w:r>
          </w:p>
        </w:tc>
        <w:tc>
          <w:tcPr>
            <w:tcW w:w="472"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644D4284" w14:textId="77777777" w:rsidR="00A87F84" w:rsidRPr="003F6D7F" w:rsidRDefault="00A87F84" w:rsidP="00A87F84">
            <w:pPr>
              <w:keepNext/>
              <w:tabs>
                <w:tab w:val="left" w:pos="720"/>
              </w:tabs>
              <w:overflowPunct w:val="0"/>
              <w:adjustRightInd w:val="0"/>
              <w:jc w:val="right"/>
              <w:rPr>
                <w:kern w:val="28"/>
                <w:sz w:val="18"/>
                <w:szCs w:val="18"/>
              </w:rPr>
            </w:pPr>
            <w:r w:rsidRPr="003F6D7F">
              <w:rPr>
                <w:kern w:val="28"/>
                <w:sz w:val="18"/>
                <w:szCs w:val="18"/>
              </w:rPr>
              <w:t>7.02</w:t>
            </w:r>
          </w:p>
        </w:tc>
        <w:tc>
          <w:tcPr>
            <w:tcW w:w="472" w:type="pct"/>
            <w:tcBorders>
              <w:top w:val="single" w:sz="2" w:space="0" w:color="000000"/>
              <w:left w:val="single" w:sz="2" w:space="0" w:color="000000"/>
              <w:bottom w:val="single" w:sz="4" w:space="0" w:color="000000"/>
              <w:right w:val="single" w:sz="2" w:space="0" w:color="000000"/>
            </w:tcBorders>
            <w:hideMark/>
          </w:tcPr>
          <w:p w14:paraId="02FDACBB" w14:textId="77777777" w:rsidR="00A87F84" w:rsidRPr="003F6D7F" w:rsidRDefault="00A87F84" w:rsidP="00A87F84">
            <w:pPr>
              <w:keepNext/>
              <w:tabs>
                <w:tab w:val="left" w:pos="720"/>
              </w:tabs>
              <w:overflowPunct w:val="0"/>
              <w:adjustRightInd w:val="0"/>
              <w:jc w:val="right"/>
              <w:rPr>
                <w:kern w:val="28"/>
                <w:sz w:val="18"/>
                <w:szCs w:val="18"/>
              </w:rPr>
            </w:pPr>
            <w:r w:rsidRPr="003F6D7F">
              <w:rPr>
                <w:kern w:val="28"/>
                <w:sz w:val="18"/>
                <w:szCs w:val="18"/>
              </w:rPr>
              <w:t>3.51</w:t>
            </w:r>
          </w:p>
        </w:tc>
        <w:tc>
          <w:tcPr>
            <w:tcW w:w="472"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58D82F30" w14:textId="77777777" w:rsidR="00A87F84" w:rsidRPr="003F6D7F" w:rsidRDefault="00A87F84" w:rsidP="00A87F84">
            <w:pPr>
              <w:keepNext/>
              <w:tabs>
                <w:tab w:val="left" w:pos="720"/>
              </w:tabs>
              <w:overflowPunct w:val="0"/>
              <w:adjustRightInd w:val="0"/>
              <w:jc w:val="right"/>
              <w:rPr>
                <w:kern w:val="28"/>
                <w:sz w:val="18"/>
                <w:szCs w:val="18"/>
              </w:rPr>
            </w:pPr>
            <w:r w:rsidRPr="003F6D7F">
              <w:rPr>
                <w:kern w:val="28"/>
                <w:sz w:val="18"/>
                <w:szCs w:val="18"/>
              </w:rPr>
              <w:t>3.51</w:t>
            </w:r>
          </w:p>
        </w:tc>
        <w:tc>
          <w:tcPr>
            <w:tcW w:w="467"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7897398D" w14:textId="77777777" w:rsidR="00A87F84" w:rsidRPr="003F6D7F" w:rsidRDefault="00A87F84" w:rsidP="00A87F84">
            <w:pPr>
              <w:keepNext/>
              <w:tabs>
                <w:tab w:val="left" w:pos="720"/>
              </w:tabs>
              <w:overflowPunct w:val="0"/>
              <w:adjustRightInd w:val="0"/>
              <w:jc w:val="right"/>
              <w:rPr>
                <w:kern w:val="28"/>
                <w:sz w:val="18"/>
                <w:szCs w:val="18"/>
              </w:rPr>
            </w:pPr>
            <w:r w:rsidRPr="003F6D7F">
              <w:rPr>
                <w:kern w:val="28"/>
                <w:sz w:val="18"/>
                <w:szCs w:val="18"/>
              </w:rPr>
              <w:t>0.27</w:t>
            </w:r>
          </w:p>
        </w:tc>
        <w:tc>
          <w:tcPr>
            <w:tcW w:w="480"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tcPr>
          <w:p w14:paraId="5C87C364" w14:textId="77777777" w:rsidR="00A87F84" w:rsidRPr="003F6D7F" w:rsidRDefault="00A87F84" w:rsidP="00A87F84">
            <w:pPr>
              <w:keepNext/>
              <w:tabs>
                <w:tab w:val="left" w:pos="720"/>
              </w:tabs>
              <w:overflowPunct w:val="0"/>
              <w:adjustRightInd w:val="0"/>
              <w:jc w:val="right"/>
              <w:rPr>
                <w:kern w:val="28"/>
                <w:sz w:val="18"/>
                <w:szCs w:val="18"/>
              </w:rPr>
            </w:pPr>
            <w:r w:rsidRPr="003F6D7F">
              <w:rPr>
                <w:kern w:val="28"/>
                <w:sz w:val="18"/>
                <w:szCs w:val="18"/>
              </w:rPr>
              <w:t>n/a</w:t>
            </w:r>
          </w:p>
        </w:tc>
      </w:tr>
      <w:tr w:rsidR="00A87F84" w:rsidRPr="003F6D7F" w14:paraId="20687449" w14:textId="77777777" w:rsidTr="00A87F84">
        <w:trPr>
          <w:trHeight w:val="408"/>
          <w:jc w:val="center"/>
        </w:trPr>
        <w:tc>
          <w:tcPr>
            <w:tcW w:w="308" w:type="pct"/>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33118" w14:textId="77777777" w:rsidR="00A87F84" w:rsidRPr="003F6D7F" w:rsidRDefault="00A87F84" w:rsidP="00A87F84">
            <w:pPr>
              <w:keepNext/>
              <w:tabs>
                <w:tab w:val="left" w:pos="720"/>
              </w:tabs>
              <w:overflowPunct w:val="0"/>
              <w:adjustRightInd w:val="0"/>
              <w:rPr>
                <w:kern w:val="28"/>
                <w:sz w:val="18"/>
                <w:szCs w:val="18"/>
              </w:rPr>
            </w:pPr>
            <w:r w:rsidRPr="003F6D7F">
              <w:rPr>
                <w:color w:val="000000"/>
                <w:kern w:val="28"/>
                <w:sz w:val="18"/>
                <w:szCs w:val="18"/>
              </w:rPr>
              <w:t>1.2</w:t>
            </w:r>
          </w:p>
        </w:tc>
        <w:tc>
          <w:tcPr>
            <w:tcW w:w="1857"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44BF6A1E" w14:textId="07F8942A" w:rsidR="00A87F84" w:rsidRPr="003F6D7F" w:rsidRDefault="00A87F84" w:rsidP="00A87F84">
            <w:pPr>
              <w:keepNext/>
              <w:tabs>
                <w:tab w:val="left" w:pos="720"/>
              </w:tabs>
              <w:overflowPunct w:val="0"/>
              <w:adjustRightInd w:val="0"/>
              <w:rPr>
                <w:kern w:val="28"/>
                <w:sz w:val="18"/>
                <w:szCs w:val="18"/>
                <w:lang w:val="es-MX"/>
              </w:rPr>
            </w:pPr>
            <w:proofErr w:type="gramStart"/>
            <w:r w:rsidRPr="003F6D7F">
              <w:rPr>
                <w:color w:val="000000"/>
                <w:sz w:val="18"/>
                <w:szCs w:val="18"/>
                <w:lang w:val="es-MX" w:eastAsia="en-CA"/>
              </w:rPr>
              <w:t>Total</w:t>
            </w:r>
            <w:proofErr w:type="gramEnd"/>
            <w:r w:rsidRPr="003F6D7F">
              <w:rPr>
                <w:color w:val="000000"/>
                <w:sz w:val="18"/>
                <w:szCs w:val="18"/>
                <w:lang w:val="es-MX" w:eastAsia="en-CA"/>
              </w:rPr>
              <w:t xml:space="preserve"> de consumo máximo permitido para las sustancias del Anexo C, Grupo I (toneladas PAO)</w:t>
            </w:r>
          </w:p>
        </w:tc>
        <w:tc>
          <w:tcPr>
            <w:tcW w:w="472" w:type="pct"/>
            <w:tcBorders>
              <w:top w:val="single" w:sz="2"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E56D93C" w14:textId="77777777" w:rsidR="00A87F84" w:rsidRPr="003F6D7F" w:rsidRDefault="00A87F84" w:rsidP="00A87F84">
            <w:pPr>
              <w:keepNext/>
              <w:tabs>
                <w:tab w:val="left" w:pos="720"/>
              </w:tabs>
              <w:overflowPunct w:val="0"/>
              <w:adjustRightInd w:val="0"/>
              <w:jc w:val="right"/>
              <w:rPr>
                <w:bCs/>
                <w:kern w:val="28"/>
                <w:sz w:val="18"/>
                <w:szCs w:val="18"/>
              </w:rPr>
            </w:pPr>
            <w:r w:rsidRPr="003F6D7F">
              <w:rPr>
                <w:bCs/>
                <w:kern w:val="28"/>
                <w:sz w:val="18"/>
                <w:szCs w:val="18"/>
              </w:rPr>
              <w:t>7.02</w:t>
            </w:r>
          </w:p>
        </w:tc>
        <w:tc>
          <w:tcPr>
            <w:tcW w:w="472"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64D8D8EB" w14:textId="77777777" w:rsidR="00A87F84" w:rsidRPr="003F6D7F" w:rsidRDefault="00A87F84" w:rsidP="00A87F84">
            <w:pPr>
              <w:keepNext/>
              <w:tabs>
                <w:tab w:val="left" w:pos="720"/>
              </w:tabs>
              <w:overflowPunct w:val="0"/>
              <w:adjustRightInd w:val="0"/>
              <w:jc w:val="right"/>
              <w:rPr>
                <w:kern w:val="28"/>
                <w:sz w:val="18"/>
                <w:szCs w:val="18"/>
              </w:rPr>
            </w:pPr>
            <w:r w:rsidRPr="003F6D7F">
              <w:rPr>
                <w:kern w:val="28"/>
                <w:sz w:val="18"/>
                <w:szCs w:val="18"/>
              </w:rPr>
              <w:t>7.02</w:t>
            </w:r>
          </w:p>
        </w:tc>
        <w:tc>
          <w:tcPr>
            <w:tcW w:w="472" w:type="pct"/>
            <w:tcBorders>
              <w:top w:val="single" w:sz="2" w:space="0" w:color="000000"/>
              <w:left w:val="single" w:sz="2" w:space="0" w:color="000000"/>
              <w:bottom w:val="single" w:sz="4" w:space="0" w:color="000000"/>
              <w:right w:val="single" w:sz="2" w:space="0" w:color="000000"/>
            </w:tcBorders>
            <w:hideMark/>
          </w:tcPr>
          <w:p w14:paraId="6E068E9A" w14:textId="77777777" w:rsidR="00A87F84" w:rsidRPr="003F6D7F" w:rsidRDefault="00A87F84" w:rsidP="00A87F84">
            <w:pPr>
              <w:keepNext/>
              <w:tabs>
                <w:tab w:val="left" w:pos="720"/>
              </w:tabs>
              <w:overflowPunct w:val="0"/>
              <w:adjustRightInd w:val="0"/>
              <w:jc w:val="right"/>
              <w:rPr>
                <w:kern w:val="28"/>
                <w:sz w:val="18"/>
                <w:szCs w:val="18"/>
              </w:rPr>
            </w:pPr>
            <w:r w:rsidRPr="003F6D7F">
              <w:rPr>
                <w:kern w:val="28"/>
                <w:sz w:val="18"/>
                <w:szCs w:val="18"/>
              </w:rPr>
              <w:t>3.51</w:t>
            </w:r>
          </w:p>
        </w:tc>
        <w:tc>
          <w:tcPr>
            <w:tcW w:w="472"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0C99A4FB" w14:textId="77777777" w:rsidR="00A87F84" w:rsidRPr="003F6D7F" w:rsidRDefault="00A87F84" w:rsidP="00A87F84">
            <w:pPr>
              <w:keepNext/>
              <w:tabs>
                <w:tab w:val="left" w:pos="720"/>
              </w:tabs>
              <w:overflowPunct w:val="0"/>
              <w:adjustRightInd w:val="0"/>
              <w:jc w:val="right"/>
              <w:rPr>
                <w:kern w:val="28"/>
                <w:sz w:val="18"/>
                <w:szCs w:val="18"/>
              </w:rPr>
            </w:pPr>
            <w:r w:rsidRPr="003F6D7F">
              <w:rPr>
                <w:kern w:val="28"/>
                <w:sz w:val="18"/>
                <w:szCs w:val="18"/>
              </w:rPr>
              <w:t>3.51</w:t>
            </w:r>
          </w:p>
        </w:tc>
        <w:tc>
          <w:tcPr>
            <w:tcW w:w="467"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7D5AEE8C" w14:textId="77777777" w:rsidR="00A87F84" w:rsidRPr="003F6D7F" w:rsidRDefault="00A87F84" w:rsidP="00A87F84">
            <w:pPr>
              <w:keepNext/>
              <w:tabs>
                <w:tab w:val="left" w:pos="720"/>
              </w:tabs>
              <w:overflowPunct w:val="0"/>
              <w:adjustRightInd w:val="0"/>
              <w:jc w:val="right"/>
              <w:rPr>
                <w:kern w:val="28"/>
                <w:sz w:val="18"/>
                <w:szCs w:val="18"/>
              </w:rPr>
            </w:pPr>
            <w:r w:rsidRPr="003F6D7F">
              <w:rPr>
                <w:kern w:val="28"/>
                <w:sz w:val="18"/>
                <w:szCs w:val="18"/>
              </w:rPr>
              <w:t>0.00</w:t>
            </w:r>
          </w:p>
        </w:tc>
        <w:tc>
          <w:tcPr>
            <w:tcW w:w="480"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tcPr>
          <w:p w14:paraId="247E67FF" w14:textId="77777777" w:rsidR="00A87F84" w:rsidRPr="003F6D7F" w:rsidRDefault="00A87F84" w:rsidP="00A87F84">
            <w:pPr>
              <w:keepNext/>
              <w:tabs>
                <w:tab w:val="left" w:pos="720"/>
              </w:tabs>
              <w:overflowPunct w:val="0"/>
              <w:adjustRightInd w:val="0"/>
              <w:jc w:val="right"/>
              <w:rPr>
                <w:kern w:val="28"/>
                <w:sz w:val="18"/>
                <w:szCs w:val="18"/>
              </w:rPr>
            </w:pPr>
            <w:r w:rsidRPr="003F6D7F">
              <w:rPr>
                <w:kern w:val="28"/>
                <w:sz w:val="18"/>
                <w:szCs w:val="18"/>
              </w:rPr>
              <w:t>n/a</w:t>
            </w:r>
          </w:p>
        </w:tc>
      </w:tr>
      <w:tr w:rsidR="00A87F84" w:rsidRPr="003F6D7F" w14:paraId="2BC4619C" w14:textId="77777777" w:rsidTr="00A87F84">
        <w:trPr>
          <w:trHeight w:val="116"/>
          <w:jc w:val="center"/>
        </w:trPr>
        <w:tc>
          <w:tcPr>
            <w:tcW w:w="308" w:type="pct"/>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1D568" w14:textId="77777777" w:rsidR="00A87F84" w:rsidRPr="003F6D7F" w:rsidRDefault="00A87F84" w:rsidP="00A87F84">
            <w:pPr>
              <w:keepNext/>
              <w:tabs>
                <w:tab w:val="left" w:pos="720"/>
              </w:tabs>
              <w:overflowPunct w:val="0"/>
              <w:adjustRightInd w:val="0"/>
              <w:rPr>
                <w:kern w:val="28"/>
                <w:sz w:val="18"/>
                <w:szCs w:val="18"/>
              </w:rPr>
            </w:pPr>
            <w:r w:rsidRPr="003F6D7F">
              <w:rPr>
                <w:color w:val="000000"/>
                <w:kern w:val="28"/>
                <w:sz w:val="18"/>
                <w:szCs w:val="18"/>
              </w:rPr>
              <w:t>2.1</w:t>
            </w:r>
          </w:p>
        </w:tc>
        <w:tc>
          <w:tcPr>
            <w:tcW w:w="1857"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12A4DC2A" w14:textId="4FDBF4B9" w:rsidR="00A87F84" w:rsidRPr="003F6D7F" w:rsidRDefault="00A87F84" w:rsidP="00A87F84">
            <w:pPr>
              <w:keepNext/>
              <w:tabs>
                <w:tab w:val="left" w:pos="720"/>
              </w:tabs>
              <w:overflowPunct w:val="0"/>
              <w:adjustRightInd w:val="0"/>
              <w:rPr>
                <w:kern w:val="28"/>
                <w:sz w:val="18"/>
                <w:szCs w:val="18"/>
                <w:lang w:val="es-MX"/>
              </w:rPr>
            </w:pPr>
            <w:r w:rsidRPr="003F6D7F">
              <w:rPr>
                <w:color w:val="000000"/>
                <w:sz w:val="18"/>
                <w:szCs w:val="18"/>
                <w:lang w:val="es-MX" w:eastAsia="en-CA"/>
              </w:rPr>
              <w:t>Financiación convenida para el Organismo de Ejecución Principal (PNUMA) ($EUA)</w:t>
            </w:r>
          </w:p>
        </w:tc>
        <w:tc>
          <w:tcPr>
            <w:tcW w:w="472" w:type="pct"/>
            <w:tcBorders>
              <w:top w:val="single" w:sz="2"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99EE184" w14:textId="77777777" w:rsidR="00A87F84" w:rsidRPr="003F6D7F" w:rsidRDefault="00A87F84" w:rsidP="00A87F84">
            <w:pPr>
              <w:keepNext/>
              <w:tabs>
                <w:tab w:val="left" w:pos="720"/>
              </w:tabs>
              <w:overflowPunct w:val="0"/>
              <w:adjustRightInd w:val="0"/>
              <w:jc w:val="right"/>
              <w:rPr>
                <w:bCs/>
                <w:kern w:val="28"/>
                <w:sz w:val="18"/>
                <w:szCs w:val="18"/>
              </w:rPr>
            </w:pPr>
            <w:r w:rsidRPr="003F6D7F">
              <w:rPr>
                <w:bCs/>
                <w:kern w:val="28"/>
                <w:sz w:val="18"/>
                <w:szCs w:val="18"/>
              </w:rPr>
              <w:t>205,000</w:t>
            </w:r>
          </w:p>
        </w:tc>
        <w:tc>
          <w:tcPr>
            <w:tcW w:w="472"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tcPr>
          <w:p w14:paraId="3F3E6FE0" w14:textId="77777777" w:rsidR="00A87F84" w:rsidRPr="003F6D7F" w:rsidRDefault="00A87F84" w:rsidP="00A87F84">
            <w:pPr>
              <w:keepNext/>
              <w:tabs>
                <w:tab w:val="left" w:pos="720"/>
              </w:tabs>
              <w:overflowPunct w:val="0"/>
              <w:adjustRightInd w:val="0"/>
              <w:jc w:val="right"/>
              <w:rPr>
                <w:kern w:val="28"/>
                <w:sz w:val="18"/>
                <w:szCs w:val="18"/>
              </w:rPr>
            </w:pPr>
            <w:r w:rsidRPr="003F6D7F">
              <w:rPr>
                <w:kern w:val="28"/>
                <w:sz w:val="18"/>
                <w:szCs w:val="18"/>
              </w:rPr>
              <w:t>0</w:t>
            </w:r>
          </w:p>
        </w:tc>
        <w:tc>
          <w:tcPr>
            <w:tcW w:w="472" w:type="pct"/>
            <w:tcBorders>
              <w:top w:val="single" w:sz="2" w:space="0" w:color="000000"/>
              <w:left w:val="single" w:sz="2" w:space="0" w:color="000000"/>
              <w:bottom w:val="single" w:sz="4" w:space="0" w:color="000000"/>
              <w:right w:val="single" w:sz="2" w:space="0" w:color="000000"/>
            </w:tcBorders>
          </w:tcPr>
          <w:p w14:paraId="5956C5EE" w14:textId="77777777" w:rsidR="00A87F84" w:rsidRPr="003F6D7F" w:rsidRDefault="00A87F84" w:rsidP="00A87F84">
            <w:pPr>
              <w:keepNext/>
              <w:tabs>
                <w:tab w:val="left" w:pos="720"/>
              </w:tabs>
              <w:overflowPunct w:val="0"/>
              <w:adjustRightInd w:val="0"/>
              <w:jc w:val="right"/>
              <w:rPr>
                <w:kern w:val="28"/>
                <w:sz w:val="18"/>
                <w:szCs w:val="18"/>
              </w:rPr>
            </w:pPr>
            <w:r w:rsidRPr="003F6D7F">
              <w:rPr>
                <w:kern w:val="28"/>
                <w:sz w:val="18"/>
                <w:szCs w:val="18"/>
              </w:rPr>
              <w:t>160,000</w:t>
            </w:r>
          </w:p>
        </w:tc>
        <w:tc>
          <w:tcPr>
            <w:tcW w:w="472"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tcPr>
          <w:p w14:paraId="70F42854" w14:textId="77777777" w:rsidR="00A87F84" w:rsidRPr="003F6D7F" w:rsidRDefault="00A87F84" w:rsidP="00A87F84">
            <w:pPr>
              <w:keepNext/>
              <w:tabs>
                <w:tab w:val="left" w:pos="720"/>
              </w:tabs>
              <w:overflowPunct w:val="0"/>
              <w:adjustRightInd w:val="0"/>
              <w:jc w:val="right"/>
              <w:rPr>
                <w:kern w:val="28"/>
                <w:sz w:val="18"/>
                <w:szCs w:val="18"/>
              </w:rPr>
            </w:pPr>
            <w:r w:rsidRPr="003F6D7F">
              <w:rPr>
                <w:kern w:val="28"/>
                <w:sz w:val="18"/>
                <w:szCs w:val="18"/>
              </w:rPr>
              <w:t>0</w:t>
            </w:r>
          </w:p>
        </w:tc>
        <w:tc>
          <w:tcPr>
            <w:tcW w:w="467"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61BC1BCB" w14:textId="77777777" w:rsidR="00A87F84" w:rsidRPr="003F6D7F" w:rsidRDefault="00A87F84" w:rsidP="00A87F84">
            <w:pPr>
              <w:keepNext/>
              <w:tabs>
                <w:tab w:val="left" w:pos="720"/>
              </w:tabs>
              <w:overflowPunct w:val="0"/>
              <w:adjustRightInd w:val="0"/>
              <w:jc w:val="right"/>
              <w:rPr>
                <w:kern w:val="28"/>
                <w:sz w:val="18"/>
                <w:szCs w:val="18"/>
              </w:rPr>
            </w:pPr>
            <w:r w:rsidRPr="003F6D7F">
              <w:rPr>
                <w:kern w:val="28"/>
                <w:sz w:val="18"/>
                <w:szCs w:val="18"/>
              </w:rPr>
              <w:t>85,000</w:t>
            </w:r>
          </w:p>
        </w:tc>
        <w:tc>
          <w:tcPr>
            <w:tcW w:w="480"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08832F90" w14:textId="77777777" w:rsidR="00A87F84" w:rsidRPr="003F6D7F" w:rsidRDefault="00A87F84" w:rsidP="00A87F84">
            <w:pPr>
              <w:keepNext/>
              <w:tabs>
                <w:tab w:val="left" w:pos="720"/>
              </w:tabs>
              <w:overflowPunct w:val="0"/>
              <w:adjustRightInd w:val="0"/>
              <w:jc w:val="right"/>
              <w:rPr>
                <w:kern w:val="28"/>
                <w:sz w:val="18"/>
                <w:szCs w:val="18"/>
              </w:rPr>
            </w:pPr>
            <w:r w:rsidRPr="003F6D7F">
              <w:rPr>
                <w:kern w:val="28"/>
                <w:sz w:val="18"/>
                <w:szCs w:val="18"/>
              </w:rPr>
              <w:t>450,000</w:t>
            </w:r>
          </w:p>
        </w:tc>
      </w:tr>
      <w:tr w:rsidR="00A87F84" w:rsidRPr="003F6D7F" w14:paraId="5A3648B8" w14:textId="77777777" w:rsidTr="00A87F84">
        <w:trPr>
          <w:trHeight w:val="56"/>
          <w:jc w:val="center"/>
        </w:trPr>
        <w:tc>
          <w:tcPr>
            <w:tcW w:w="308" w:type="pct"/>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15D4A" w14:textId="77777777" w:rsidR="00A87F84" w:rsidRPr="003F6D7F" w:rsidRDefault="00A87F84" w:rsidP="00A87F84">
            <w:pPr>
              <w:widowControl w:val="0"/>
              <w:tabs>
                <w:tab w:val="left" w:pos="720"/>
              </w:tabs>
              <w:overflowPunct w:val="0"/>
              <w:adjustRightInd w:val="0"/>
              <w:rPr>
                <w:kern w:val="28"/>
                <w:sz w:val="18"/>
                <w:szCs w:val="18"/>
              </w:rPr>
            </w:pPr>
            <w:r w:rsidRPr="003F6D7F">
              <w:rPr>
                <w:color w:val="000000"/>
                <w:kern w:val="28"/>
                <w:sz w:val="18"/>
                <w:szCs w:val="18"/>
              </w:rPr>
              <w:t>2.2</w:t>
            </w:r>
          </w:p>
        </w:tc>
        <w:tc>
          <w:tcPr>
            <w:tcW w:w="1857"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0BC49B87" w14:textId="0A50825D" w:rsidR="00A87F84" w:rsidRPr="003F6D7F" w:rsidRDefault="00A87F84" w:rsidP="00A87F84">
            <w:pPr>
              <w:widowControl w:val="0"/>
              <w:tabs>
                <w:tab w:val="left" w:pos="720"/>
              </w:tabs>
              <w:overflowPunct w:val="0"/>
              <w:adjustRightInd w:val="0"/>
              <w:rPr>
                <w:kern w:val="28"/>
                <w:sz w:val="18"/>
                <w:szCs w:val="18"/>
                <w:lang w:val="es-MX"/>
              </w:rPr>
            </w:pPr>
            <w:r w:rsidRPr="003F6D7F">
              <w:rPr>
                <w:color w:val="000000"/>
                <w:sz w:val="18"/>
                <w:szCs w:val="18"/>
                <w:lang w:val="es-MX" w:eastAsia="en-CA"/>
              </w:rPr>
              <w:t>Gastos de apoyo para el Organismo de Ejecución Principal ($EUA)</w:t>
            </w:r>
          </w:p>
        </w:tc>
        <w:tc>
          <w:tcPr>
            <w:tcW w:w="472" w:type="pct"/>
            <w:tcBorders>
              <w:top w:val="single" w:sz="2"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08F5400" w14:textId="77777777" w:rsidR="00A87F84" w:rsidRPr="003F6D7F" w:rsidRDefault="00A87F84" w:rsidP="00A87F84">
            <w:pPr>
              <w:keepNext/>
              <w:tabs>
                <w:tab w:val="left" w:pos="720"/>
              </w:tabs>
              <w:overflowPunct w:val="0"/>
              <w:adjustRightInd w:val="0"/>
              <w:jc w:val="right"/>
              <w:rPr>
                <w:bCs/>
                <w:kern w:val="28"/>
                <w:sz w:val="18"/>
                <w:szCs w:val="18"/>
              </w:rPr>
            </w:pPr>
            <w:r w:rsidRPr="003F6D7F">
              <w:rPr>
                <w:bCs/>
                <w:kern w:val="28"/>
                <w:sz w:val="18"/>
                <w:szCs w:val="18"/>
              </w:rPr>
              <w:t>26,650</w:t>
            </w:r>
          </w:p>
        </w:tc>
        <w:tc>
          <w:tcPr>
            <w:tcW w:w="472"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tcPr>
          <w:p w14:paraId="65964230"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0</w:t>
            </w:r>
          </w:p>
        </w:tc>
        <w:tc>
          <w:tcPr>
            <w:tcW w:w="472" w:type="pct"/>
            <w:tcBorders>
              <w:top w:val="single" w:sz="2" w:space="0" w:color="000000"/>
              <w:left w:val="single" w:sz="2" w:space="0" w:color="000000"/>
              <w:bottom w:val="single" w:sz="4" w:space="0" w:color="000000"/>
              <w:right w:val="single" w:sz="2" w:space="0" w:color="000000"/>
            </w:tcBorders>
          </w:tcPr>
          <w:p w14:paraId="5076227F"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20,800</w:t>
            </w:r>
          </w:p>
        </w:tc>
        <w:tc>
          <w:tcPr>
            <w:tcW w:w="472"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tcPr>
          <w:p w14:paraId="5F165407"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0</w:t>
            </w:r>
          </w:p>
        </w:tc>
        <w:tc>
          <w:tcPr>
            <w:tcW w:w="467"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76A26DFA"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11,050</w:t>
            </w:r>
          </w:p>
        </w:tc>
        <w:tc>
          <w:tcPr>
            <w:tcW w:w="480"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5061FD11"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58,500</w:t>
            </w:r>
          </w:p>
        </w:tc>
      </w:tr>
      <w:tr w:rsidR="00A87F84" w:rsidRPr="003F6D7F" w14:paraId="3CB1D1B8" w14:textId="77777777" w:rsidTr="00A87F84">
        <w:trPr>
          <w:trHeight w:val="161"/>
          <w:jc w:val="center"/>
        </w:trPr>
        <w:tc>
          <w:tcPr>
            <w:tcW w:w="308" w:type="pct"/>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0A8FC" w14:textId="77777777" w:rsidR="00A87F84" w:rsidRPr="003F6D7F" w:rsidRDefault="00A87F84" w:rsidP="00A87F84">
            <w:pPr>
              <w:widowControl w:val="0"/>
              <w:tabs>
                <w:tab w:val="left" w:pos="720"/>
              </w:tabs>
              <w:overflowPunct w:val="0"/>
              <w:adjustRightInd w:val="0"/>
              <w:rPr>
                <w:kern w:val="28"/>
                <w:sz w:val="18"/>
                <w:szCs w:val="18"/>
              </w:rPr>
            </w:pPr>
            <w:r w:rsidRPr="003F6D7F">
              <w:rPr>
                <w:color w:val="000000"/>
                <w:kern w:val="28"/>
                <w:sz w:val="18"/>
                <w:szCs w:val="18"/>
              </w:rPr>
              <w:t>2.3</w:t>
            </w:r>
          </w:p>
        </w:tc>
        <w:tc>
          <w:tcPr>
            <w:tcW w:w="1857"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1BAFCC34" w14:textId="27E42C10" w:rsidR="00A87F84" w:rsidRPr="003F6D7F" w:rsidRDefault="00A87F84" w:rsidP="00A87F84">
            <w:pPr>
              <w:widowControl w:val="0"/>
              <w:tabs>
                <w:tab w:val="left" w:pos="720"/>
              </w:tabs>
              <w:overflowPunct w:val="0"/>
              <w:adjustRightInd w:val="0"/>
              <w:rPr>
                <w:kern w:val="28"/>
                <w:sz w:val="18"/>
                <w:szCs w:val="18"/>
                <w:lang w:val="es-MX"/>
              </w:rPr>
            </w:pPr>
            <w:r w:rsidRPr="003F6D7F">
              <w:rPr>
                <w:color w:val="000000"/>
                <w:sz w:val="18"/>
                <w:szCs w:val="18"/>
                <w:lang w:val="es-MX" w:eastAsia="en-CA"/>
              </w:rPr>
              <w:t>Financiación convenida par el Organismo de Ejecución Cooperante (ONUDI) ($EUA)</w:t>
            </w:r>
          </w:p>
        </w:tc>
        <w:tc>
          <w:tcPr>
            <w:tcW w:w="472" w:type="pct"/>
            <w:tcBorders>
              <w:top w:val="single" w:sz="2"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23995B9" w14:textId="77777777" w:rsidR="00A87F84" w:rsidRPr="003F6D7F" w:rsidRDefault="00A87F84" w:rsidP="00A87F84">
            <w:pPr>
              <w:keepNext/>
              <w:tabs>
                <w:tab w:val="left" w:pos="720"/>
              </w:tabs>
              <w:overflowPunct w:val="0"/>
              <w:adjustRightInd w:val="0"/>
              <w:jc w:val="right"/>
              <w:rPr>
                <w:bCs/>
                <w:kern w:val="28"/>
                <w:sz w:val="18"/>
                <w:szCs w:val="18"/>
              </w:rPr>
            </w:pPr>
            <w:r w:rsidRPr="003F6D7F">
              <w:rPr>
                <w:bCs/>
                <w:kern w:val="28"/>
                <w:sz w:val="18"/>
                <w:szCs w:val="18"/>
              </w:rPr>
              <w:t>100,000</w:t>
            </w:r>
          </w:p>
        </w:tc>
        <w:tc>
          <w:tcPr>
            <w:tcW w:w="472"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tcPr>
          <w:p w14:paraId="3631A1D7"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0</w:t>
            </w:r>
          </w:p>
        </w:tc>
        <w:tc>
          <w:tcPr>
            <w:tcW w:w="472" w:type="pct"/>
            <w:tcBorders>
              <w:top w:val="single" w:sz="2" w:space="0" w:color="000000"/>
              <w:left w:val="single" w:sz="2" w:space="0" w:color="000000"/>
              <w:bottom w:val="single" w:sz="4" w:space="0" w:color="000000"/>
              <w:right w:val="single" w:sz="2" w:space="0" w:color="000000"/>
            </w:tcBorders>
            <w:hideMark/>
          </w:tcPr>
          <w:p w14:paraId="291A8176"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100,000</w:t>
            </w:r>
          </w:p>
        </w:tc>
        <w:tc>
          <w:tcPr>
            <w:tcW w:w="472"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tcPr>
          <w:p w14:paraId="78E542DD"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0</w:t>
            </w:r>
          </w:p>
        </w:tc>
        <w:tc>
          <w:tcPr>
            <w:tcW w:w="467"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tcPr>
          <w:p w14:paraId="0E42FE91" w14:textId="77777777" w:rsidR="00A87F84" w:rsidRPr="003F6D7F" w:rsidRDefault="00A87F84" w:rsidP="00A87F84">
            <w:pPr>
              <w:widowControl w:val="0"/>
              <w:tabs>
                <w:tab w:val="left" w:pos="720"/>
              </w:tabs>
              <w:overflowPunct w:val="0"/>
              <w:adjustRightInd w:val="0"/>
              <w:jc w:val="right"/>
              <w:rPr>
                <w:kern w:val="28"/>
                <w:sz w:val="18"/>
                <w:szCs w:val="18"/>
              </w:rPr>
            </w:pPr>
          </w:p>
        </w:tc>
        <w:tc>
          <w:tcPr>
            <w:tcW w:w="480"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3B2CB1E7"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200,000</w:t>
            </w:r>
          </w:p>
        </w:tc>
      </w:tr>
      <w:tr w:rsidR="00A87F84" w:rsidRPr="003F6D7F" w14:paraId="511DC5A6" w14:textId="77777777" w:rsidTr="00A87F84">
        <w:trPr>
          <w:trHeight w:val="60"/>
          <w:jc w:val="center"/>
        </w:trPr>
        <w:tc>
          <w:tcPr>
            <w:tcW w:w="308" w:type="pct"/>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C761C7" w14:textId="77777777" w:rsidR="00A87F84" w:rsidRPr="003F6D7F" w:rsidRDefault="00A87F84" w:rsidP="00A87F84">
            <w:pPr>
              <w:widowControl w:val="0"/>
              <w:tabs>
                <w:tab w:val="left" w:pos="720"/>
              </w:tabs>
              <w:overflowPunct w:val="0"/>
              <w:adjustRightInd w:val="0"/>
              <w:rPr>
                <w:kern w:val="28"/>
                <w:sz w:val="18"/>
                <w:szCs w:val="18"/>
              </w:rPr>
            </w:pPr>
            <w:r w:rsidRPr="003F6D7F">
              <w:rPr>
                <w:color w:val="000000"/>
                <w:kern w:val="28"/>
                <w:sz w:val="18"/>
                <w:szCs w:val="18"/>
              </w:rPr>
              <w:t>2.4</w:t>
            </w:r>
          </w:p>
        </w:tc>
        <w:tc>
          <w:tcPr>
            <w:tcW w:w="1857"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57FED247" w14:textId="2C0BF1D7" w:rsidR="00A87F84" w:rsidRPr="003F6D7F" w:rsidRDefault="00A87F84" w:rsidP="00A87F84">
            <w:pPr>
              <w:widowControl w:val="0"/>
              <w:tabs>
                <w:tab w:val="left" w:pos="720"/>
              </w:tabs>
              <w:overflowPunct w:val="0"/>
              <w:adjustRightInd w:val="0"/>
              <w:rPr>
                <w:kern w:val="28"/>
                <w:sz w:val="18"/>
                <w:szCs w:val="18"/>
                <w:lang w:val="es-MX"/>
              </w:rPr>
            </w:pPr>
            <w:r w:rsidRPr="003F6D7F">
              <w:rPr>
                <w:color w:val="000000"/>
                <w:sz w:val="18"/>
                <w:szCs w:val="18"/>
                <w:lang w:val="es-MX" w:eastAsia="en-CA"/>
              </w:rPr>
              <w:t>Gastos de apoyo para el Organismo de Ejecución Cooperante ($EUA)</w:t>
            </w:r>
          </w:p>
        </w:tc>
        <w:tc>
          <w:tcPr>
            <w:tcW w:w="472" w:type="pct"/>
            <w:tcBorders>
              <w:top w:val="single" w:sz="2"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5D5D677" w14:textId="77777777" w:rsidR="00A87F84" w:rsidRPr="003F6D7F" w:rsidRDefault="00A87F84" w:rsidP="00A87F84">
            <w:pPr>
              <w:keepNext/>
              <w:tabs>
                <w:tab w:val="left" w:pos="720"/>
              </w:tabs>
              <w:overflowPunct w:val="0"/>
              <w:adjustRightInd w:val="0"/>
              <w:jc w:val="right"/>
              <w:rPr>
                <w:bCs/>
                <w:kern w:val="28"/>
                <w:sz w:val="18"/>
                <w:szCs w:val="18"/>
              </w:rPr>
            </w:pPr>
            <w:r w:rsidRPr="003F6D7F">
              <w:rPr>
                <w:bCs/>
                <w:kern w:val="28"/>
                <w:sz w:val="18"/>
                <w:szCs w:val="18"/>
              </w:rPr>
              <w:t>9,000</w:t>
            </w:r>
          </w:p>
        </w:tc>
        <w:tc>
          <w:tcPr>
            <w:tcW w:w="472"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tcPr>
          <w:p w14:paraId="579189EA"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0</w:t>
            </w:r>
          </w:p>
        </w:tc>
        <w:tc>
          <w:tcPr>
            <w:tcW w:w="472" w:type="pct"/>
            <w:tcBorders>
              <w:top w:val="single" w:sz="2" w:space="0" w:color="000000"/>
              <w:left w:val="single" w:sz="2" w:space="0" w:color="000000"/>
              <w:bottom w:val="single" w:sz="4" w:space="0" w:color="000000"/>
              <w:right w:val="single" w:sz="2" w:space="0" w:color="000000"/>
            </w:tcBorders>
            <w:hideMark/>
          </w:tcPr>
          <w:p w14:paraId="0564CB6D"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9,000</w:t>
            </w:r>
          </w:p>
        </w:tc>
        <w:tc>
          <w:tcPr>
            <w:tcW w:w="472"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tcPr>
          <w:p w14:paraId="06DCB9EA"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0</w:t>
            </w:r>
          </w:p>
        </w:tc>
        <w:tc>
          <w:tcPr>
            <w:tcW w:w="467"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tcPr>
          <w:p w14:paraId="5CD50B04" w14:textId="77777777" w:rsidR="00A87F84" w:rsidRPr="003F6D7F" w:rsidRDefault="00A87F84" w:rsidP="00A87F84">
            <w:pPr>
              <w:widowControl w:val="0"/>
              <w:tabs>
                <w:tab w:val="left" w:pos="720"/>
              </w:tabs>
              <w:overflowPunct w:val="0"/>
              <w:adjustRightInd w:val="0"/>
              <w:jc w:val="right"/>
              <w:rPr>
                <w:kern w:val="28"/>
                <w:sz w:val="18"/>
                <w:szCs w:val="18"/>
              </w:rPr>
            </w:pPr>
          </w:p>
        </w:tc>
        <w:tc>
          <w:tcPr>
            <w:tcW w:w="480"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74147D74"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18,000</w:t>
            </w:r>
          </w:p>
        </w:tc>
      </w:tr>
      <w:tr w:rsidR="00A87F84" w:rsidRPr="003F6D7F" w14:paraId="3A74909F" w14:textId="77777777" w:rsidTr="00A87F84">
        <w:trPr>
          <w:trHeight w:val="62"/>
          <w:jc w:val="center"/>
        </w:trPr>
        <w:tc>
          <w:tcPr>
            <w:tcW w:w="308" w:type="pct"/>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44A8A" w14:textId="77777777" w:rsidR="00A87F84" w:rsidRPr="003F6D7F" w:rsidRDefault="00A87F84" w:rsidP="00A87F84">
            <w:pPr>
              <w:widowControl w:val="0"/>
              <w:tabs>
                <w:tab w:val="left" w:pos="720"/>
              </w:tabs>
              <w:overflowPunct w:val="0"/>
              <w:adjustRightInd w:val="0"/>
              <w:rPr>
                <w:kern w:val="28"/>
                <w:sz w:val="18"/>
                <w:szCs w:val="18"/>
              </w:rPr>
            </w:pPr>
            <w:r w:rsidRPr="003F6D7F">
              <w:rPr>
                <w:color w:val="000000"/>
                <w:kern w:val="28"/>
                <w:sz w:val="18"/>
                <w:szCs w:val="18"/>
              </w:rPr>
              <w:t>3.1</w:t>
            </w:r>
          </w:p>
        </w:tc>
        <w:tc>
          <w:tcPr>
            <w:tcW w:w="1857"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371C9D26" w14:textId="5D3E9FCC" w:rsidR="00A87F84" w:rsidRPr="003F6D7F" w:rsidRDefault="00A87F84" w:rsidP="00A87F84">
            <w:pPr>
              <w:widowControl w:val="0"/>
              <w:tabs>
                <w:tab w:val="left" w:pos="720"/>
              </w:tabs>
              <w:overflowPunct w:val="0"/>
              <w:adjustRightInd w:val="0"/>
              <w:rPr>
                <w:kern w:val="28"/>
                <w:sz w:val="18"/>
                <w:szCs w:val="18"/>
                <w:lang w:val="es-MX"/>
              </w:rPr>
            </w:pPr>
            <w:proofErr w:type="gramStart"/>
            <w:r w:rsidRPr="003F6D7F">
              <w:rPr>
                <w:color w:val="000000"/>
                <w:sz w:val="18"/>
                <w:szCs w:val="18"/>
                <w:lang w:val="es-MX" w:eastAsia="en-CA"/>
              </w:rPr>
              <w:t>Total</w:t>
            </w:r>
            <w:proofErr w:type="gramEnd"/>
            <w:r w:rsidRPr="003F6D7F">
              <w:rPr>
                <w:color w:val="000000"/>
                <w:sz w:val="18"/>
                <w:szCs w:val="18"/>
                <w:lang w:val="es-MX" w:eastAsia="en-CA"/>
              </w:rPr>
              <w:t xml:space="preserve"> de financiación convenida ($EUA)</w:t>
            </w:r>
          </w:p>
        </w:tc>
        <w:tc>
          <w:tcPr>
            <w:tcW w:w="472" w:type="pct"/>
            <w:tcBorders>
              <w:top w:val="single" w:sz="2"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14:paraId="5FC58EF3" w14:textId="77777777" w:rsidR="00A87F84" w:rsidRPr="003F6D7F" w:rsidRDefault="00A87F84" w:rsidP="00A87F84">
            <w:pPr>
              <w:keepNext/>
              <w:tabs>
                <w:tab w:val="left" w:pos="720"/>
              </w:tabs>
              <w:overflowPunct w:val="0"/>
              <w:adjustRightInd w:val="0"/>
              <w:jc w:val="right"/>
              <w:rPr>
                <w:bCs/>
                <w:kern w:val="28"/>
                <w:sz w:val="18"/>
                <w:szCs w:val="18"/>
              </w:rPr>
            </w:pPr>
            <w:r w:rsidRPr="003F6D7F">
              <w:rPr>
                <w:bCs/>
                <w:kern w:val="28"/>
                <w:sz w:val="18"/>
                <w:szCs w:val="18"/>
              </w:rPr>
              <w:t>305,000</w:t>
            </w:r>
          </w:p>
        </w:tc>
        <w:tc>
          <w:tcPr>
            <w:tcW w:w="472"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tcPr>
          <w:p w14:paraId="3909D971"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0</w:t>
            </w:r>
          </w:p>
        </w:tc>
        <w:tc>
          <w:tcPr>
            <w:tcW w:w="472" w:type="pct"/>
            <w:tcBorders>
              <w:top w:val="single" w:sz="2" w:space="0" w:color="000000"/>
              <w:left w:val="single" w:sz="2" w:space="0" w:color="000000"/>
              <w:bottom w:val="single" w:sz="4" w:space="0" w:color="000000"/>
              <w:right w:val="single" w:sz="2" w:space="0" w:color="000000"/>
            </w:tcBorders>
          </w:tcPr>
          <w:p w14:paraId="49E7A3BC"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260,000</w:t>
            </w:r>
          </w:p>
        </w:tc>
        <w:tc>
          <w:tcPr>
            <w:tcW w:w="472"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tcPr>
          <w:p w14:paraId="56813B69"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0</w:t>
            </w:r>
          </w:p>
        </w:tc>
        <w:tc>
          <w:tcPr>
            <w:tcW w:w="467"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tcPr>
          <w:p w14:paraId="36D11C5D"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85,000</w:t>
            </w:r>
          </w:p>
        </w:tc>
        <w:tc>
          <w:tcPr>
            <w:tcW w:w="480"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0F39E0DF"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650,000</w:t>
            </w:r>
          </w:p>
        </w:tc>
      </w:tr>
      <w:tr w:rsidR="00A87F84" w:rsidRPr="003F6D7F" w14:paraId="6C009AC2" w14:textId="77777777" w:rsidTr="00A87F84">
        <w:trPr>
          <w:trHeight w:val="62"/>
          <w:jc w:val="center"/>
        </w:trPr>
        <w:tc>
          <w:tcPr>
            <w:tcW w:w="308" w:type="pct"/>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DCF3CA" w14:textId="77777777" w:rsidR="00A87F84" w:rsidRPr="003F6D7F" w:rsidRDefault="00A87F84" w:rsidP="00A87F84">
            <w:pPr>
              <w:widowControl w:val="0"/>
              <w:tabs>
                <w:tab w:val="left" w:pos="720"/>
              </w:tabs>
              <w:overflowPunct w:val="0"/>
              <w:adjustRightInd w:val="0"/>
              <w:rPr>
                <w:kern w:val="28"/>
                <w:sz w:val="18"/>
                <w:szCs w:val="18"/>
              </w:rPr>
            </w:pPr>
            <w:r w:rsidRPr="003F6D7F">
              <w:rPr>
                <w:color w:val="000000"/>
                <w:kern w:val="28"/>
                <w:sz w:val="18"/>
                <w:szCs w:val="18"/>
              </w:rPr>
              <w:t>3.2</w:t>
            </w:r>
          </w:p>
        </w:tc>
        <w:tc>
          <w:tcPr>
            <w:tcW w:w="1857"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4B813F8F" w14:textId="7EC8AD8C" w:rsidR="00A87F84" w:rsidRPr="003F6D7F" w:rsidRDefault="00A87F84" w:rsidP="00A87F84">
            <w:pPr>
              <w:widowControl w:val="0"/>
              <w:tabs>
                <w:tab w:val="left" w:pos="720"/>
              </w:tabs>
              <w:overflowPunct w:val="0"/>
              <w:adjustRightInd w:val="0"/>
              <w:rPr>
                <w:kern w:val="28"/>
                <w:sz w:val="18"/>
                <w:szCs w:val="18"/>
                <w:lang w:val="es-MX"/>
              </w:rPr>
            </w:pPr>
            <w:proofErr w:type="gramStart"/>
            <w:r w:rsidRPr="003F6D7F">
              <w:rPr>
                <w:color w:val="000000"/>
                <w:sz w:val="20"/>
                <w:szCs w:val="20"/>
                <w:lang w:val="es-MX" w:eastAsia="en-CA"/>
              </w:rPr>
              <w:t>Total</w:t>
            </w:r>
            <w:proofErr w:type="gramEnd"/>
            <w:r w:rsidRPr="003F6D7F">
              <w:rPr>
                <w:color w:val="000000"/>
                <w:sz w:val="20"/>
                <w:szCs w:val="20"/>
                <w:lang w:val="es-MX" w:eastAsia="en-CA"/>
              </w:rPr>
              <w:t xml:space="preserve"> de gastos de apoyo ($EUA)</w:t>
            </w:r>
          </w:p>
        </w:tc>
        <w:tc>
          <w:tcPr>
            <w:tcW w:w="472" w:type="pct"/>
            <w:tcBorders>
              <w:top w:val="single" w:sz="2"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14:paraId="38702D1D" w14:textId="77777777" w:rsidR="00A87F84" w:rsidRPr="003F6D7F" w:rsidRDefault="00A87F84" w:rsidP="00A87F84">
            <w:pPr>
              <w:keepNext/>
              <w:tabs>
                <w:tab w:val="left" w:pos="720"/>
              </w:tabs>
              <w:overflowPunct w:val="0"/>
              <w:adjustRightInd w:val="0"/>
              <w:jc w:val="right"/>
              <w:rPr>
                <w:bCs/>
                <w:kern w:val="28"/>
                <w:sz w:val="18"/>
                <w:szCs w:val="18"/>
              </w:rPr>
            </w:pPr>
            <w:r w:rsidRPr="003F6D7F">
              <w:rPr>
                <w:bCs/>
                <w:kern w:val="28"/>
                <w:sz w:val="18"/>
                <w:szCs w:val="18"/>
              </w:rPr>
              <w:t>35,650</w:t>
            </w:r>
          </w:p>
        </w:tc>
        <w:tc>
          <w:tcPr>
            <w:tcW w:w="472"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tcPr>
          <w:p w14:paraId="427F750C"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0</w:t>
            </w:r>
          </w:p>
        </w:tc>
        <w:tc>
          <w:tcPr>
            <w:tcW w:w="472" w:type="pct"/>
            <w:tcBorders>
              <w:top w:val="single" w:sz="2" w:space="0" w:color="000000"/>
              <w:left w:val="single" w:sz="2" w:space="0" w:color="000000"/>
              <w:bottom w:val="single" w:sz="4" w:space="0" w:color="000000"/>
              <w:right w:val="single" w:sz="2" w:space="0" w:color="000000"/>
            </w:tcBorders>
          </w:tcPr>
          <w:p w14:paraId="2EBA1A16"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29,800</w:t>
            </w:r>
          </w:p>
        </w:tc>
        <w:tc>
          <w:tcPr>
            <w:tcW w:w="472"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tcPr>
          <w:p w14:paraId="348797D5"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0</w:t>
            </w:r>
          </w:p>
        </w:tc>
        <w:tc>
          <w:tcPr>
            <w:tcW w:w="467"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tcPr>
          <w:p w14:paraId="50D8980D"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11,050</w:t>
            </w:r>
          </w:p>
        </w:tc>
        <w:tc>
          <w:tcPr>
            <w:tcW w:w="480"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tcPr>
          <w:p w14:paraId="204E041D"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76,500</w:t>
            </w:r>
          </w:p>
        </w:tc>
      </w:tr>
      <w:tr w:rsidR="00A87F84" w:rsidRPr="003F6D7F" w14:paraId="2EB48125" w14:textId="77777777" w:rsidTr="00A87F84">
        <w:trPr>
          <w:trHeight w:val="53"/>
          <w:jc w:val="center"/>
        </w:trPr>
        <w:tc>
          <w:tcPr>
            <w:tcW w:w="308" w:type="pct"/>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DF697" w14:textId="77777777" w:rsidR="00A87F84" w:rsidRPr="003F6D7F" w:rsidRDefault="00A87F84" w:rsidP="00A87F84">
            <w:pPr>
              <w:widowControl w:val="0"/>
              <w:tabs>
                <w:tab w:val="left" w:pos="720"/>
              </w:tabs>
              <w:overflowPunct w:val="0"/>
              <w:adjustRightInd w:val="0"/>
              <w:rPr>
                <w:kern w:val="28"/>
                <w:sz w:val="18"/>
                <w:szCs w:val="18"/>
              </w:rPr>
            </w:pPr>
            <w:r w:rsidRPr="003F6D7F">
              <w:rPr>
                <w:color w:val="000000"/>
                <w:kern w:val="28"/>
                <w:sz w:val="18"/>
                <w:szCs w:val="18"/>
              </w:rPr>
              <w:t>3.3</w:t>
            </w:r>
          </w:p>
        </w:tc>
        <w:tc>
          <w:tcPr>
            <w:tcW w:w="1857"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5A29F145" w14:textId="49E0A551" w:rsidR="00A87F84" w:rsidRPr="003F6D7F" w:rsidRDefault="00A87F84" w:rsidP="00A87F84">
            <w:pPr>
              <w:widowControl w:val="0"/>
              <w:tabs>
                <w:tab w:val="left" w:pos="720"/>
              </w:tabs>
              <w:overflowPunct w:val="0"/>
              <w:adjustRightInd w:val="0"/>
              <w:rPr>
                <w:kern w:val="28"/>
                <w:sz w:val="18"/>
                <w:szCs w:val="18"/>
                <w:lang w:val="es-MX"/>
              </w:rPr>
            </w:pPr>
            <w:proofErr w:type="gramStart"/>
            <w:r w:rsidRPr="003F6D7F">
              <w:rPr>
                <w:color w:val="000000"/>
                <w:sz w:val="20"/>
                <w:szCs w:val="20"/>
                <w:lang w:val="es-MX" w:eastAsia="en-CA"/>
              </w:rPr>
              <w:t>Total</w:t>
            </w:r>
            <w:proofErr w:type="gramEnd"/>
            <w:r w:rsidRPr="003F6D7F">
              <w:rPr>
                <w:color w:val="000000"/>
                <w:sz w:val="20"/>
                <w:szCs w:val="20"/>
                <w:lang w:val="es-MX" w:eastAsia="en-CA"/>
              </w:rPr>
              <w:t xml:space="preserve"> de costos acordados ($EUA)</w:t>
            </w:r>
          </w:p>
        </w:tc>
        <w:tc>
          <w:tcPr>
            <w:tcW w:w="472" w:type="pct"/>
            <w:tcBorders>
              <w:top w:val="single" w:sz="2"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14:paraId="1619CBFF" w14:textId="77777777" w:rsidR="00A87F84" w:rsidRPr="003F6D7F" w:rsidRDefault="00A87F84" w:rsidP="00A87F84">
            <w:pPr>
              <w:keepNext/>
              <w:tabs>
                <w:tab w:val="left" w:pos="720"/>
              </w:tabs>
              <w:overflowPunct w:val="0"/>
              <w:adjustRightInd w:val="0"/>
              <w:jc w:val="right"/>
              <w:rPr>
                <w:bCs/>
                <w:kern w:val="28"/>
                <w:sz w:val="18"/>
                <w:szCs w:val="18"/>
              </w:rPr>
            </w:pPr>
            <w:r w:rsidRPr="003F6D7F">
              <w:rPr>
                <w:bCs/>
                <w:kern w:val="28"/>
                <w:sz w:val="18"/>
                <w:szCs w:val="18"/>
              </w:rPr>
              <w:t>340,650</w:t>
            </w:r>
          </w:p>
        </w:tc>
        <w:tc>
          <w:tcPr>
            <w:tcW w:w="472"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tcPr>
          <w:p w14:paraId="76B3A6A3"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0</w:t>
            </w:r>
          </w:p>
        </w:tc>
        <w:tc>
          <w:tcPr>
            <w:tcW w:w="472" w:type="pct"/>
            <w:tcBorders>
              <w:top w:val="single" w:sz="2" w:space="0" w:color="000000"/>
              <w:left w:val="single" w:sz="2" w:space="0" w:color="000000"/>
              <w:bottom w:val="single" w:sz="4" w:space="0" w:color="000000"/>
              <w:right w:val="single" w:sz="2" w:space="0" w:color="000000"/>
            </w:tcBorders>
          </w:tcPr>
          <w:p w14:paraId="650CB379"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289,800</w:t>
            </w:r>
          </w:p>
        </w:tc>
        <w:tc>
          <w:tcPr>
            <w:tcW w:w="472"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tcPr>
          <w:p w14:paraId="334E1754"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0</w:t>
            </w:r>
          </w:p>
        </w:tc>
        <w:tc>
          <w:tcPr>
            <w:tcW w:w="467"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tcPr>
          <w:p w14:paraId="55E1BA58"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96,050</w:t>
            </w:r>
          </w:p>
        </w:tc>
        <w:tc>
          <w:tcPr>
            <w:tcW w:w="480"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tcPr>
          <w:p w14:paraId="4FB6B116"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726,500</w:t>
            </w:r>
          </w:p>
        </w:tc>
      </w:tr>
      <w:tr w:rsidR="00A87F84" w:rsidRPr="003F6D7F" w14:paraId="0AFA7113" w14:textId="77777777" w:rsidTr="00840B38">
        <w:trPr>
          <w:trHeight w:val="53"/>
          <w:jc w:val="center"/>
        </w:trPr>
        <w:tc>
          <w:tcPr>
            <w:tcW w:w="30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B2E59" w14:textId="77777777" w:rsidR="00A87F84" w:rsidRPr="003F6D7F" w:rsidRDefault="00A87F84" w:rsidP="00A87F84">
            <w:pPr>
              <w:widowControl w:val="0"/>
              <w:tabs>
                <w:tab w:val="left" w:pos="720"/>
              </w:tabs>
              <w:overflowPunct w:val="0"/>
              <w:adjustRightInd w:val="0"/>
              <w:rPr>
                <w:kern w:val="28"/>
                <w:sz w:val="18"/>
                <w:szCs w:val="18"/>
              </w:rPr>
            </w:pPr>
            <w:r w:rsidRPr="003F6D7F">
              <w:rPr>
                <w:color w:val="000000"/>
                <w:kern w:val="28"/>
                <w:sz w:val="18"/>
                <w:szCs w:val="18"/>
              </w:rPr>
              <w:t>4.1.1</w:t>
            </w:r>
          </w:p>
        </w:tc>
        <w:tc>
          <w:tcPr>
            <w:tcW w:w="4212" w:type="pct"/>
            <w:gridSpan w:val="6"/>
            <w:tcBorders>
              <w:top w:val="single" w:sz="4" w:space="0" w:color="000000"/>
              <w:left w:val="single" w:sz="2" w:space="0" w:color="000000"/>
              <w:bottom w:val="single" w:sz="4" w:space="0" w:color="000000"/>
              <w:right w:val="single" w:sz="4" w:space="0" w:color="000000"/>
            </w:tcBorders>
          </w:tcPr>
          <w:p w14:paraId="56BDF83A" w14:textId="685E0B66" w:rsidR="00A87F84" w:rsidRPr="003F6D7F" w:rsidRDefault="00A87F84" w:rsidP="00A87F84">
            <w:pPr>
              <w:widowControl w:val="0"/>
              <w:tabs>
                <w:tab w:val="left" w:pos="720"/>
              </w:tabs>
              <w:overflowPunct w:val="0"/>
              <w:adjustRightInd w:val="0"/>
              <w:rPr>
                <w:color w:val="000000"/>
                <w:kern w:val="28"/>
                <w:sz w:val="18"/>
                <w:szCs w:val="18"/>
                <w:lang w:val="es-MX"/>
              </w:rPr>
            </w:pPr>
            <w:proofErr w:type="gramStart"/>
            <w:r w:rsidRPr="003F6D7F">
              <w:rPr>
                <w:sz w:val="20"/>
                <w:szCs w:val="20"/>
                <w:lang w:val="es-MX" w:eastAsia="en-CA"/>
              </w:rPr>
              <w:t>Total</w:t>
            </w:r>
            <w:proofErr w:type="gramEnd"/>
            <w:r w:rsidRPr="003F6D7F">
              <w:rPr>
                <w:sz w:val="20"/>
                <w:szCs w:val="20"/>
                <w:lang w:val="es-MX" w:eastAsia="en-CA"/>
              </w:rPr>
              <w:t xml:space="preserve"> de eliminación de HCFC-22 acordada que se logrará bajo este Acuerdo (toneladas PAO)</w:t>
            </w:r>
          </w:p>
        </w:tc>
        <w:tc>
          <w:tcPr>
            <w:tcW w:w="480" w:type="pct"/>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50E8B87D"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7.02</w:t>
            </w:r>
          </w:p>
        </w:tc>
      </w:tr>
      <w:tr w:rsidR="00A87F84" w:rsidRPr="003F6D7F" w14:paraId="72C727C4" w14:textId="77777777" w:rsidTr="00840B38">
        <w:trPr>
          <w:trHeight w:val="116"/>
          <w:jc w:val="center"/>
        </w:trPr>
        <w:tc>
          <w:tcPr>
            <w:tcW w:w="308" w:type="pct"/>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09B54" w14:textId="77777777" w:rsidR="00A87F84" w:rsidRPr="003F6D7F" w:rsidRDefault="00A87F84" w:rsidP="00A87F84">
            <w:pPr>
              <w:widowControl w:val="0"/>
              <w:tabs>
                <w:tab w:val="left" w:pos="720"/>
              </w:tabs>
              <w:overflowPunct w:val="0"/>
              <w:adjustRightInd w:val="0"/>
              <w:rPr>
                <w:kern w:val="28"/>
                <w:sz w:val="18"/>
                <w:szCs w:val="18"/>
              </w:rPr>
            </w:pPr>
            <w:r w:rsidRPr="003F6D7F">
              <w:rPr>
                <w:color w:val="000000"/>
                <w:kern w:val="28"/>
                <w:sz w:val="18"/>
                <w:szCs w:val="18"/>
              </w:rPr>
              <w:t>4.1.2</w:t>
            </w:r>
          </w:p>
        </w:tc>
        <w:tc>
          <w:tcPr>
            <w:tcW w:w="4212" w:type="pct"/>
            <w:gridSpan w:val="6"/>
            <w:tcBorders>
              <w:top w:val="single" w:sz="4" w:space="0" w:color="000000"/>
              <w:left w:val="single" w:sz="2" w:space="0" w:color="000000"/>
              <w:bottom w:val="single" w:sz="4" w:space="0" w:color="000000"/>
              <w:right w:val="single" w:sz="4" w:space="0" w:color="000000"/>
            </w:tcBorders>
          </w:tcPr>
          <w:p w14:paraId="11E3AC8D" w14:textId="3910FD2A" w:rsidR="00A87F84" w:rsidRPr="003F6D7F" w:rsidRDefault="00A87F84" w:rsidP="00A87F84">
            <w:pPr>
              <w:widowControl w:val="0"/>
              <w:tabs>
                <w:tab w:val="left" w:pos="720"/>
              </w:tabs>
              <w:overflowPunct w:val="0"/>
              <w:adjustRightInd w:val="0"/>
              <w:rPr>
                <w:kern w:val="28"/>
                <w:sz w:val="18"/>
                <w:szCs w:val="18"/>
                <w:lang w:val="es-MX"/>
              </w:rPr>
            </w:pPr>
            <w:r w:rsidRPr="003F6D7F">
              <w:rPr>
                <w:sz w:val="20"/>
                <w:szCs w:val="20"/>
                <w:lang w:val="es-MX" w:eastAsia="en-CA"/>
              </w:rPr>
              <w:t>Eliminación de HCFC-22 que se logrará en la etapa anterior (toneladas PAO)</w:t>
            </w:r>
          </w:p>
        </w:tc>
        <w:tc>
          <w:tcPr>
            <w:tcW w:w="480"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665F5830"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3.78</w:t>
            </w:r>
          </w:p>
        </w:tc>
      </w:tr>
      <w:tr w:rsidR="00A87F84" w:rsidRPr="003F6D7F" w14:paraId="25BFAB42" w14:textId="77777777" w:rsidTr="00840B38">
        <w:trPr>
          <w:trHeight w:val="98"/>
          <w:jc w:val="center"/>
        </w:trPr>
        <w:tc>
          <w:tcPr>
            <w:tcW w:w="308" w:type="pct"/>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D6D7B" w14:textId="77777777" w:rsidR="00A87F84" w:rsidRPr="003F6D7F" w:rsidRDefault="00A87F84" w:rsidP="00A87F84">
            <w:pPr>
              <w:widowControl w:val="0"/>
              <w:tabs>
                <w:tab w:val="left" w:pos="720"/>
              </w:tabs>
              <w:overflowPunct w:val="0"/>
              <w:adjustRightInd w:val="0"/>
              <w:rPr>
                <w:kern w:val="28"/>
                <w:sz w:val="18"/>
                <w:szCs w:val="18"/>
              </w:rPr>
            </w:pPr>
            <w:r w:rsidRPr="003F6D7F">
              <w:rPr>
                <w:color w:val="000000"/>
                <w:kern w:val="28"/>
                <w:sz w:val="18"/>
                <w:szCs w:val="18"/>
              </w:rPr>
              <w:t>4.1.3</w:t>
            </w:r>
          </w:p>
        </w:tc>
        <w:tc>
          <w:tcPr>
            <w:tcW w:w="4212" w:type="pct"/>
            <w:gridSpan w:val="6"/>
            <w:tcBorders>
              <w:top w:val="single" w:sz="4" w:space="0" w:color="000000"/>
              <w:left w:val="single" w:sz="2" w:space="0" w:color="000000"/>
              <w:bottom w:val="single" w:sz="4" w:space="0" w:color="000000"/>
              <w:right w:val="single" w:sz="4" w:space="0" w:color="000000"/>
            </w:tcBorders>
          </w:tcPr>
          <w:p w14:paraId="7E6DFB72" w14:textId="72625F77" w:rsidR="00A87F84" w:rsidRPr="003F6D7F" w:rsidRDefault="00A87F84" w:rsidP="00A87F84">
            <w:pPr>
              <w:widowControl w:val="0"/>
              <w:tabs>
                <w:tab w:val="left" w:pos="720"/>
              </w:tabs>
              <w:overflowPunct w:val="0"/>
              <w:adjustRightInd w:val="0"/>
              <w:rPr>
                <w:kern w:val="28"/>
                <w:sz w:val="18"/>
                <w:szCs w:val="18"/>
                <w:lang w:val="es-MX"/>
              </w:rPr>
            </w:pPr>
            <w:r w:rsidRPr="003F6D7F">
              <w:rPr>
                <w:sz w:val="20"/>
                <w:szCs w:val="20"/>
                <w:lang w:val="es-MX" w:eastAsia="en-CA"/>
              </w:rPr>
              <w:t>Consumo restante admisible para HCFC-22 (toneladas PAO)</w:t>
            </w:r>
          </w:p>
        </w:tc>
        <w:tc>
          <w:tcPr>
            <w:tcW w:w="480" w:type="pct"/>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hideMark/>
          </w:tcPr>
          <w:p w14:paraId="5C54369A" w14:textId="77777777" w:rsidR="00A87F84" w:rsidRPr="003F6D7F" w:rsidRDefault="00A87F84" w:rsidP="00A87F84">
            <w:pPr>
              <w:widowControl w:val="0"/>
              <w:tabs>
                <w:tab w:val="left" w:pos="720"/>
              </w:tabs>
              <w:overflowPunct w:val="0"/>
              <w:adjustRightInd w:val="0"/>
              <w:jc w:val="right"/>
              <w:rPr>
                <w:kern w:val="28"/>
                <w:sz w:val="18"/>
                <w:szCs w:val="18"/>
              </w:rPr>
            </w:pPr>
            <w:r w:rsidRPr="003F6D7F">
              <w:rPr>
                <w:kern w:val="28"/>
                <w:sz w:val="18"/>
                <w:szCs w:val="18"/>
              </w:rPr>
              <w:t>0.0</w:t>
            </w:r>
          </w:p>
        </w:tc>
      </w:tr>
    </w:tbl>
    <w:p w14:paraId="2800767B" w14:textId="0DA6ED3E" w:rsidR="00A87F84" w:rsidRPr="003F6D7F" w:rsidRDefault="00A87F84" w:rsidP="00A87F84">
      <w:pPr>
        <w:pStyle w:val="Heading1"/>
        <w:numPr>
          <w:ilvl w:val="0"/>
          <w:numId w:val="0"/>
        </w:numPr>
        <w:spacing w:after="0"/>
        <w:rPr>
          <w:sz w:val="20"/>
          <w:szCs w:val="20"/>
          <w:lang w:val="es-MX"/>
        </w:rPr>
      </w:pPr>
      <w:r w:rsidRPr="003F6D7F">
        <w:rPr>
          <w:sz w:val="20"/>
          <w:szCs w:val="20"/>
          <w:lang w:val="es-MX"/>
        </w:rPr>
        <w:t>*Fecha de terminación de la etapa I conforme al Acuerdo para dicha etapa: 31 de diciembre de 2021</w:t>
      </w:r>
    </w:p>
    <w:p w14:paraId="63B96043" w14:textId="77777777" w:rsidR="00A87F84" w:rsidRPr="003F6D7F" w:rsidRDefault="00A87F84" w:rsidP="009D39C0">
      <w:pPr>
        <w:rPr>
          <w:sz w:val="20"/>
          <w:szCs w:val="20"/>
          <w:lang w:val="es-MX"/>
        </w:rPr>
      </w:pPr>
    </w:p>
    <w:p w14:paraId="12C9777F" w14:textId="77777777" w:rsidR="00B87EC5" w:rsidRPr="003F6D7F" w:rsidRDefault="00810E08">
      <w:pPr>
        <w:keepNext/>
        <w:rPr>
          <w:b/>
          <w:lang w:val="es-ES"/>
        </w:rPr>
      </w:pPr>
      <w:r w:rsidRPr="003F6D7F">
        <w:rPr>
          <w:b/>
          <w:bCs/>
          <w:lang w:val="es"/>
        </w:rPr>
        <w:t>APÉNDICE 3-A: CALENDARIO DE APROBACIÓN DE LA FINANCIACIÓN</w:t>
      </w:r>
    </w:p>
    <w:p w14:paraId="55FA0F7D" w14:textId="77777777" w:rsidR="00B87EC5" w:rsidRPr="003F6D7F" w:rsidRDefault="00B87EC5">
      <w:pPr>
        <w:keepNext/>
        <w:rPr>
          <w:lang w:val="es-ES"/>
        </w:rPr>
      </w:pPr>
    </w:p>
    <w:p w14:paraId="75310BC5" w14:textId="39904362" w:rsidR="00B87EC5" w:rsidRPr="003F6D7F" w:rsidRDefault="00810E08">
      <w:pPr>
        <w:pStyle w:val="Heading1"/>
        <w:keepNext/>
        <w:numPr>
          <w:ilvl w:val="0"/>
          <w:numId w:val="21"/>
        </w:numPr>
        <w:rPr>
          <w:lang w:val="es-ES"/>
        </w:rPr>
      </w:pPr>
      <w:r w:rsidRPr="003F6D7F">
        <w:rPr>
          <w:lang w:val="es"/>
        </w:rPr>
        <w:t xml:space="preserve">La financiación para los tramos futuros se considerará para aprobación en la </w:t>
      </w:r>
      <w:r w:rsidR="00527504" w:rsidRPr="003F6D7F">
        <w:rPr>
          <w:lang w:val="es"/>
        </w:rPr>
        <w:t>primera</w:t>
      </w:r>
      <w:r w:rsidR="00AF63C4" w:rsidRPr="003F6D7F">
        <w:rPr>
          <w:lang w:val="es"/>
        </w:rPr>
        <w:t xml:space="preserve"> </w:t>
      </w:r>
      <w:r w:rsidRPr="003F6D7F">
        <w:rPr>
          <w:lang w:val="es"/>
        </w:rPr>
        <w:t>reunión del año especificado en el Apéndice 2</w:t>
      </w:r>
      <w:r w:rsidRPr="003F6D7F">
        <w:rPr>
          <w:lang w:val="es"/>
        </w:rPr>
        <w:noBreakHyphen/>
        <w:t>A.</w:t>
      </w:r>
    </w:p>
    <w:p w14:paraId="759D6AD7" w14:textId="77777777" w:rsidR="00B87EC5" w:rsidRPr="003F6D7F" w:rsidRDefault="00810E08">
      <w:pPr>
        <w:keepNext/>
        <w:rPr>
          <w:b/>
          <w:lang w:val="es-ES"/>
        </w:rPr>
      </w:pPr>
      <w:r w:rsidRPr="003F6D7F">
        <w:rPr>
          <w:b/>
          <w:bCs/>
          <w:lang w:val="es"/>
        </w:rPr>
        <w:t>APÉNDICE 4-A: FORMATO DE LOS INFORMES Y PLANES DE EJECUCIÓN DE TRAMOS</w:t>
      </w:r>
    </w:p>
    <w:p w14:paraId="3318B810" w14:textId="77777777" w:rsidR="00B87EC5" w:rsidRPr="003F6D7F" w:rsidRDefault="00B87EC5">
      <w:pPr>
        <w:keepNext/>
        <w:rPr>
          <w:lang w:val="es-ES"/>
        </w:rPr>
      </w:pPr>
    </w:p>
    <w:p w14:paraId="5659FE53" w14:textId="77777777" w:rsidR="00B87EC5" w:rsidRPr="003F6D7F" w:rsidRDefault="00810E08">
      <w:pPr>
        <w:pStyle w:val="Heading1"/>
        <w:keepNext/>
        <w:numPr>
          <w:ilvl w:val="0"/>
          <w:numId w:val="22"/>
        </w:numPr>
        <w:rPr>
          <w:lang w:val="es-ES"/>
        </w:rPr>
      </w:pPr>
      <w:r w:rsidRPr="003F6D7F">
        <w:rPr>
          <w:lang w:val="es"/>
        </w:rPr>
        <w:t>La presentación del Informe de Ejecución de Tramo y de los Planes para cada tramo solicitado constará de cinco partes:</w:t>
      </w:r>
    </w:p>
    <w:p w14:paraId="557E9F0D" w14:textId="77777777" w:rsidR="00B87EC5" w:rsidRPr="003F6D7F" w:rsidRDefault="00810E08" w:rsidP="005E07FD">
      <w:pPr>
        <w:pStyle w:val="Heading2"/>
        <w:widowControl/>
        <w:spacing w:after="0"/>
        <w:rPr>
          <w:lang w:val="es"/>
        </w:rPr>
      </w:pPr>
      <w:r w:rsidRPr="003F6D7F">
        <w:rPr>
          <w:lang w:val="es"/>
        </w:rPr>
        <w:t xml:space="preserve">Un informe descriptivo, que proporcione datos </w:t>
      </w:r>
      <w:r w:rsidR="001835E2" w:rsidRPr="003F6D7F">
        <w:rPr>
          <w:lang w:val="es"/>
        </w:rPr>
        <w:t>por tramo</w:t>
      </w:r>
      <w:r w:rsidRPr="003F6D7F">
        <w:rPr>
          <w:lang w:val="es"/>
        </w:rPr>
        <w:t xml:space="preserve">, </w:t>
      </w:r>
      <w:r w:rsidR="001835E2" w:rsidRPr="003F6D7F">
        <w:rPr>
          <w:lang w:val="es"/>
        </w:rPr>
        <w:t xml:space="preserve">que indique </w:t>
      </w:r>
      <w:r w:rsidRPr="003F6D7F">
        <w:rPr>
          <w:lang w:val="es"/>
        </w:rPr>
        <w:t xml:space="preserve">el progreso </w:t>
      </w:r>
      <w:r w:rsidR="006564FB" w:rsidRPr="003F6D7F">
        <w:rPr>
          <w:lang w:val="es"/>
        </w:rPr>
        <w:t xml:space="preserve">logrado </w:t>
      </w:r>
      <w:r w:rsidRPr="003F6D7F">
        <w:rPr>
          <w:lang w:val="es"/>
        </w:rPr>
        <w:t xml:space="preserve">desde el informe anterior, que refleje la situación del País respecto a la eliminación de las Sustancias, cómo las diferentes actividades contribuyen a la misma y cómo se relacionan entre sí. El informe debería incluir la </w:t>
      </w:r>
      <w:r w:rsidR="00A17B97" w:rsidRPr="003F6D7F">
        <w:rPr>
          <w:lang w:val="es"/>
        </w:rPr>
        <w:t xml:space="preserve">cantidad de </w:t>
      </w:r>
      <w:r w:rsidRPr="003F6D7F">
        <w:rPr>
          <w:lang w:val="es"/>
        </w:rPr>
        <w:t xml:space="preserve">SAO </w:t>
      </w:r>
      <w:r w:rsidR="00A17B97" w:rsidRPr="003F6D7F">
        <w:rPr>
          <w:lang w:val="es"/>
        </w:rPr>
        <w:t xml:space="preserve">eliminadas </w:t>
      </w:r>
      <w:r w:rsidRPr="003F6D7F">
        <w:rPr>
          <w:lang w:val="es"/>
        </w:rPr>
        <w:t xml:space="preserve">como resultado directo de la ejecución de las actividades, por sustancia, y la tecnología alternativa utilizada y la incorporación gradual de dichas alternativas, a fin de que la Secretaría pueda proporcionar al Comité Ejecutivo información acerca del cambio resultante en las emisiones que afectan al clima. </w:t>
      </w:r>
      <w:r w:rsidR="00A17B97" w:rsidRPr="003F6D7F">
        <w:rPr>
          <w:lang w:val="es"/>
        </w:rPr>
        <w:t>Además, e</w:t>
      </w:r>
      <w:r w:rsidRPr="003F6D7F">
        <w:rPr>
          <w:lang w:val="es"/>
        </w:rPr>
        <w:t xml:space="preserve">l informe debería destacar los logros, experiencias y problemas relacionados con las diferentes actividades incluidas en el Plan, reflejando los cambios que pudiera haber en las circunstancias del País, y proporcionar toda otra información pertinente. El informe también debería incluir información y una justificación de los cambios respecto al Plan o a los Planes de Ejecución de Tramo presentado/s anteriormente, </w:t>
      </w:r>
      <w:r w:rsidRPr="003F6D7F">
        <w:rPr>
          <w:lang w:val="es"/>
        </w:rPr>
        <w:lastRenderedPageBreak/>
        <w:t xml:space="preserve">tales como demoras, uso de la flexibilidad para reasignar fondos durante la ejecución de un tramo, como se estipula en el párrafo 7 de este Acuerdo, u otros cambios; </w:t>
      </w:r>
    </w:p>
    <w:p w14:paraId="75A89AF3" w14:textId="77777777" w:rsidR="000B78BE" w:rsidRPr="003F6D7F" w:rsidRDefault="000B78BE" w:rsidP="000B78BE">
      <w:pPr>
        <w:rPr>
          <w:lang w:val="es"/>
        </w:rPr>
      </w:pPr>
    </w:p>
    <w:p w14:paraId="604D4553" w14:textId="77777777" w:rsidR="00B87EC5" w:rsidRPr="003F6D7F" w:rsidRDefault="00810E08" w:rsidP="005E07FD">
      <w:pPr>
        <w:pStyle w:val="Heading2"/>
        <w:spacing w:after="0"/>
        <w:rPr>
          <w:lang w:val="es"/>
        </w:rPr>
      </w:pPr>
      <w:r w:rsidRPr="003F6D7F">
        <w:rPr>
          <w:lang w:val="es"/>
        </w:rPr>
        <w:t>Un informe de verificación independiente de los resultados y el consumo de las Sustancias, conforme al inciso 5 b) del Acuerdo. Excepto que el Comité Ejecutivo decida otra cosa, dicha verificación se deberá suministrar junto con cada solicitud de tramo y deberá abarcar el consumo para todos los años pertinentes tal como se especifica en el inciso 5 a) del Acuerdo para los que el Comité Ejecutivo no haya recibido aún un informe de verificación;</w:t>
      </w:r>
    </w:p>
    <w:p w14:paraId="0F697478" w14:textId="77777777" w:rsidR="005E07FD" w:rsidRPr="003F6D7F" w:rsidRDefault="005E07FD" w:rsidP="005E07FD">
      <w:pPr>
        <w:rPr>
          <w:lang w:val="es"/>
        </w:rPr>
      </w:pPr>
    </w:p>
    <w:p w14:paraId="5BA5E7F9" w14:textId="77777777" w:rsidR="00B87EC5" w:rsidRPr="003F6D7F" w:rsidRDefault="00810E08">
      <w:pPr>
        <w:pStyle w:val="Heading2"/>
        <w:rPr>
          <w:lang w:val="es-ES"/>
        </w:rPr>
      </w:pPr>
      <w:r w:rsidRPr="003F6D7F">
        <w:rPr>
          <w:lang w:val="es"/>
        </w:rPr>
        <w:t xml:space="preserve">Una descripción por escrito de las actividades por llevar a cabo </w:t>
      </w:r>
      <w:r w:rsidR="00F03797" w:rsidRPr="003F6D7F">
        <w:rPr>
          <w:lang w:val="es"/>
        </w:rPr>
        <w:t>durante el período cubierto por el tramo solicitado</w:t>
      </w:r>
      <w:r w:rsidRPr="003F6D7F">
        <w:rPr>
          <w:lang w:val="es"/>
        </w:rPr>
        <w:t xml:space="preserve">, destacando </w:t>
      </w:r>
      <w:r w:rsidR="004A5A71" w:rsidRPr="003F6D7F">
        <w:rPr>
          <w:lang w:val="es"/>
        </w:rPr>
        <w:t>los hitos de ejecución</w:t>
      </w:r>
      <w:r w:rsidR="009F246C" w:rsidRPr="003F6D7F">
        <w:rPr>
          <w:lang w:val="es"/>
        </w:rPr>
        <w:t xml:space="preserve">, la fecha de terminación y la interdependencia de las actividades, </w:t>
      </w:r>
      <w:r w:rsidRPr="003F6D7F">
        <w:rPr>
          <w:lang w:val="es"/>
        </w:rPr>
        <w:t>y tomando en cuenta la</w:t>
      </w:r>
      <w:r w:rsidR="00971DA0" w:rsidRPr="003F6D7F">
        <w:rPr>
          <w:lang w:val="es"/>
        </w:rPr>
        <w:t xml:space="preserve"> experiencia adquirida y el </w:t>
      </w:r>
      <w:r w:rsidRPr="003F6D7F">
        <w:rPr>
          <w:lang w:val="es"/>
        </w:rPr>
        <w:t xml:space="preserve">progreso logrado en la ejecución de los tramos anteriores; los datos del plan se proporcionarán por año civil. La descripción debería incluir asimismo una referencia al plan general y los progresos logrados, así como a los posibles cambios al plan general que se prevén. </w:t>
      </w:r>
      <w:r w:rsidR="002649CE" w:rsidRPr="003F6D7F">
        <w:rPr>
          <w:lang w:val="es"/>
        </w:rPr>
        <w:t>De igual modo</w:t>
      </w:r>
      <w:r w:rsidRPr="003F6D7F">
        <w:rPr>
          <w:lang w:val="es"/>
        </w:rPr>
        <w:t xml:space="preserve">, debería especificar y explicar con detalle tales cambios al plan general. La descripción de las actividades futuras se puede presentar como parte del mismo documento donde figure el informe descriptivo previsto en el inciso b) </w:t>
      </w:r>
      <w:r w:rsidRPr="003F6D7F">
        <w:rPr>
          <w:i/>
          <w:iCs/>
          <w:lang w:val="es"/>
        </w:rPr>
        <w:t>supra</w:t>
      </w:r>
      <w:r w:rsidRPr="003F6D7F">
        <w:rPr>
          <w:lang w:val="es"/>
        </w:rPr>
        <w:t xml:space="preserve">; </w:t>
      </w:r>
    </w:p>
    <w:p w14:paraId="06C12722" w14:textId="77777777" w:rsidR="00B87EC5" w:rsidRPr="003F6D7F" w:rsidRDefault="00810E08">
      <w:pPr>
        <w:pStyle w:val="Heading2"/>
        <w:rPr>
          <w:lang w:val="es-ES"/>
        </w:rPr>
      </w:pPr>
      <w:r w:rsidRPr="003F6D7F">
        <w:rPr>
          <w:lang w:val="es"/>
        </w:rPr>
        <w:t>Un conjunto de información cuantitativa para todos los Informes y Planes de Ejecución de Tramos, presentada a través de una base de datos en Internet</w:t>
      </w:r>
      <w:r w:rsidR="009F246C" w:rsidRPr="003F6D7F">
        <w:rPr>
          <w:lang w:val="es"/>
        </w:rPr>
        <w:t xml:space="preserve">; y </w:t>
      </w:r>
    </w:p>
    <w:p w14:paraId="3B06F781" w14:textId="77777777" w:rsidR="00B87EC5" w:rsidRPr="003F6D7F" w:rsidRDefault="00810E08">
      <w:pPr>
        <w:pStyle w:val="Heading2"/>
        <w:rPr>
          <w:lang w:val="es-ES"/>
        </w:rPr>
      </w:pPr>
      <w:r w:rsidRPr="003F6D7F">
        <w:rPr>
          <w:lang w:val="es"/>
        </w:rPr>
        <w:t xml:space="preserve">Un Resumen Ejecutivo de </w:t>
      </w:r>
      <w:r w:rsidR="008E6476" w:rsidRPr="003F6D7F">
        <w:rPr>
          <w:lang w:val="es"/>
        </w:rPr>
        <w:t xml:space="preserve">unos </w:t>
      </w:r>
      <w:r w:rsidRPr="003F6D7F">
        <w:rPr>
          <w:lang w:val="es"/>
        </w:rPr>
        <w:t xml:space="preserve">cinco párrafos con un resumen de la información estipulada en los incisos 1 a) a 1 d) </w:t>
      </w:r>
      <w:r w:rsidRPr="003F6D7F">
        <w:rPr>
          <w:i/>
          <w:iCs/>
          <w:lang w:val="es"/>
        </w:rPr>
        <w:t>supra</w:t>
      </w:r>
      <w:r w:rsidRPr="003F6D7F">
        <w:rPr>
          <w:lang w:val="es"/>
        </w:rPr>
        <w:t xml:space="preserve">. </w:t>
      </w:r>
    </w:p>
    <w:p w14:paraId="1551D387" w14:textId="77777777" w:rsidR="00B87EC5" w:rsidRPr="003F6D7F" w:rsidRDefault="00810E08">
      <w:pPr>
        <w:pStyle w:val="Heading1"/>
        <w:rPr>
          <w:lang w:val="es-ES"/>
        </w:rPr>
      </w:pPr>
      <w:r w:rsidRPr="003F6D7F">
        <w:rPr>
          <w:lang w:val="es"/>
        </w:rPr>
        <w:t>En el caso en que en un año en particular se ejecute</w:t>
      </w:r>
      <w:r w:rsidR="002649CE" w:rsidRPr="003F6D7F">
        <w:rPr>
          <w:lang w:val="es"/>
        </w:rPr>
        <w:t>n</w:t>
      </w:r>
      <w:r w:rsidRPr="003F6D7F">
        <w:rPr>
          <w:lang w:val="es"/>
        </w:rPr>
        <w:t xml:space="preserve"> en forma par</w:t>
      </w:r>
      <w:r w:rsidR="007061B4" w:rsidRPr="003F6D7F">
        <w:rPr>
          <w:lang w:val="es"/>
        </w:rPr>
        <w:t>a</w:t>
      </w:r>
      <w:r w:rsidRPr="003F6D7F">
        <w:rPr>
          <w:lang w:val="es"/>
        </w:rPr>
        <w:t>l</w:t>
      </w:r>
      <w:r w:rsidR="007061B4" w:rsidRPr="003F6D7F">
        <w:rPr>
          <w:lang w:val="es"/>
        </w:rPr>
        <w:t>e</w:t>
      </w:r>
      <w:r w:rsidRPr="003F6D7F">
        <w:rPr>
          <w:lang w:val="es"/>
        </w:rPr>
        <w:t xml:space="preserve">la </w:t>
      </w:r>
      <w:proofErr w:type="gramStart"/>
      <w:r w:rsidR="007061B4" w:rsidRPr="003F6D7F">
        <w:rPr>
          <w:lang w:val="es"/>
        </w:rPr>
        <w:t xml:space="preserve">dos </w:t>
      </w:r>
      <w:r w:rsidRPr="003F6D7F">
        <w:rPr>
          <w:lang w:val="es"/>
        </w:rPr>
        <w:t>etapa</w:t>
      </w:r>
      <w:proofErr w:type="gramEnd"/>
      <w:r w:rsidRPr="003F6D7F">
        <w:rPr>
          <w:lang w:val="es"/>
        </w:rPr>
        <w:t xml:space="preserve"> del plan de gestión de la eliminación de los HCFC, </w:t>
      </w:r>
      <w:r w:rsidR="007061B4" w:rsidRPr="003F6D7F">
        <w:rPr>
          <w:lang w:val="es"/>
        </w:rPr>
        <w:t xml:space="preserve">al elaborar el Informe y los Planes de Ejecución </w:t>
      </w:r>
      <w:r w:rsidRPr="003F6D7F">
        <w:rPr>
          <w:lang w:val="es"/>
        </w:rPr>
        <w:t>deberían tenerse en cuenta las siguientes consideraciones:</w:t>
      </w:r>
    </w:p>
    <w:p w14:paraId="7F2C9657" w14:textId="77777777" w:rsidR="00B87EC5" w:rsidRPr="003F6D7F" w:rsidRDefault="007061B4" w:rsidP="00B97D3F">
      <w:pPr>
        <w:pStyle w:val="Heading2"/>
        <w:keepNext/>
        <w:keepLines/>
        <w:rPr>
          <w:lang w:val="es-ES"/>
        </w:rPr>
      </w:pPr>
      <w:r w:rsidRPr="003F6D7F">
        <w:rPr>
          <w:lang w:val="es"/>
        </w:rPr>
        <w:t>Los</w:t>
      </w:r>
      <w:r w:rsidR="00810E08" w:rsidRPr="003F6D7F">
        <w:rPr>
          <w:lang w:val="es"/>
        </w:rPr>
        <w:t xml:space="preserve"> Informe</w:t>
      </w:r>
      <w:r w:rsidRPr="003F6D7F">
        <w:rPr>
          <w:lang w:val="es"/>
        </w:rPr>
        <w:t>s</w:t>
      </w:r>
      <w:r w:rsidR="00810E08" w:rsidRPr="003F6D7F">
        <w:rPr>
          <w:lang w:val="es"/>
        </w:rPr>
        <w:t xml:space="preserve"> y los Planes de Ejecución</w:t>
      </w:r>
      <w:r w:rsidRPr="003F6D7F">
        <w:rPr>
          <w:lang w:val="es"/>
        </w:rPr>
        <w:t xml:space="preserve"> de tramos</w:t>
      </w:r>
      <w:r w:rsidR="00810E08" w:rsidRPr="003F6D7F">
        <w:rPr>
          <w:lang w:val="es"/>
        </w:rPr>
        <w:t xml:space="preserve"> a los que se haga referencia como parte de este Acuerdo harán referencia exclusivamente a las actividades y fondos cubiertos por este Acuerdo; y</w:t>
      </w:r>
    </w:p>
    <w:p w14:paraId="6C907F90" w14:textId="77777777" w:rsidR="00B87EC5" w:rsidRPr="003F6D7F" w:rsidRDefault="00810E08">
      <w:pPr>
        <w:pStyle w:val="Heading2"/>
        <w:rPr>
          <w:lang w:val="es-ES"/>
        </w:rPr>
      </w:pPr>
      <w:r w:rsidRPr="003F6D7F">
        <w:rPr>
          <w:lang w:val="es"/>
        </w:rPr>
        <w:t xml:space="preserve">Si las etapas en curso de ejecución tuvieran diferentes objetivos de eliminación de consumo de HCFC </w:t>
      </w:r>
      <w:r w:rsidR="007061B4" w:rsidRPr="003F6D7F">
        <w:rPr>
          <w:lang w:val="es"/>
        </w:rPr>
        <w:t xml:space="preserve">de los establecidos en el Apéndice 2-A de cada Acuerdo </w:t>
      </w:r>
      <w:r w:rsidRPr="003F6D7F">
        <w:rPr>
          <w:lang w:val="es"/>
        </w:rPr>
        <w:t>en un año en particular, se utilizará</w:t>
      </w:r>
      <w:r w:rsidR="002649CE" w:rsidRPr="003F6D7F">
        <w:rPr>
          <w:lang w:val="es"/>
        </w:rPr>
        <w:t xml:space="preserve"> el más bajo</w:t>
      </w:r>
      <w:r w:rsidRPr="003F6D7F">
        <w:rPr>
          <w:lang w:val="es"/>
        </w:rPr>
        <w:t xml:space="preserve"> como referencia para los fines del cumplimiento de </w:t>
      </w:r>
      <w:r w:rsidR="007061B4" w:rsidRPr="003F6D7F">
        <w:rPr>
          <w:lang w:val="es"/>
        </w:rPr>
        <w:t>esos A</w:t>
      </w:r>
      <w:r w:rsidRPr="003F6D7F">
        <w:rPr>
          <w:lang w:val="es"/>
        </w:rPr>
        <w:t xml:space="preserve">cuerdos y </w:t>
      </w:r>
      <w:r w:rsidR="007061B4" w:rsidRPr="003F6D7F">
        <w:rPr>
          <w:lang w:val="es"/>
        </w:rPr>
        <w:t xml:space="preserve">será la base </w:t>
      </w:r>
      <w:r w:rsidRPr="003F6D7F">
        <w:rPr>
          <w:lang w:val="es"/>
        </w:rPr>
        <w:t>para la verificación independiente.</w:t>
      </w:r>
    </w:p>
    <w:p w14:paraId="7E7AB02B" w14:textId="77777777" w:rsidR="00B87EC5" w:rsidRPr="003F6D7F" w:rsidRDefault="00B87EC5">
      <w:pPr>
        <w:rPr>
          <w:lang w:val="es-ES"/>
        </w:rPr>
      </w:pPr>
    </w:p>
    <w:p w14:paraId="43C56160" w14:textId="77777777" w:rsidR="00B87EC5" w:rsidRPr="003F6D7F" w:rsidRDefault="00810E08">
      <w:pPr>
        <w:rPr>
          <w:b/>
          <w:lang w:val="es-ES"/>
        </w:rPr>
      </w:pPr>
      <w:r w:rsidRPr="003F6D7F">
        <w:rPr>
          <w:b/>
          <w:bCs/>
          <w:lang w:val="es"/>
        </w:rPr>
        <w:t xml:space="preserve">APÉNDICE 5-A: INSTITUCIONES DE SUPERVISIÓN Y FUNCIONES </w:t>
      </w:r>
    </w:p>
    <w:p w14:paraId="06356E2E" w14:textId="77777777" w:rsidR="00B87EC5" w:rsidRPr="003F6D7F" w:rsidRDefault="00B87EC5">
      <w:pPr>
        <w:rPr>
          <w:lang w:val="es-ES"/>
        </w:rPr>
      </w:pPr>
    </w:p>
    <w:p w14:paraId="6D988ED6" w14:textId="6DF6406B" w:rsidR="00527504" w:rsidRPr="003F6D7F" w:rsidRDefault="00855DAC" w:rsidP="00855DAC">
      <w:pPr>
        <w:pStyle w:val="Heading1"/>
        <w:numPr>
          <w:ilvl w:val="0"/>
          <w:numId w:val="38"/>
        </w:numPr>
        <w:rPr>
          <w:lang w:val="es-MX"/>
        </w:rPr>
      </w:pPr>
      <w:r w:rsidRPr="003F6D7F">
        <w:rPr>
          <w:lang w:val="es-MX"/>
        </w:rPr>
        <w:t>La Dependencia Nacional del Ozono presentará anualmente al organismo de ejecución principal informes sobre la marcha de las actividades relativ</w:t>
      </w:r>
      <w:r w:rsidR="003875FD" w:rsidRPr="003F6D7F">
        <w:rPr>
          <w:lang w:val="es-MX"/>
        </w:rPr>
        <w:t>o</w:t>
      </w:r>
      <w:r w:rsidRPr="003F6D7F">
        <w:rPr>
          <w:lang w:val="es-MX"/>
        </w:rPr>
        <w:t xml:space="preserve"> al estado de ejecución del </w:t>
      </w:r>
      <w:r w:rsidR="003875FD" w:rsidRPr="003F6D7F">
        <w:rPr>
          <w:lang w:val="es-MX"/>
        </w:rPr>
        <w:t>P</w:t>
      </w:r>
      <w:r w:rsidRPr="003F6D7F">
        <w:rPr>
          <w:lang w:val="es-MX"/>
        </w:rPr>
        <w:t>lan de gestión de eliminación de HCFC</w:t>
      </w:r>
      <w:r w:rsidR="00527504" w:rsidRPr="003F6D7F">
        <w:rPr>
          <w:lang w:val="es-MX"/>
        </w:rPr>
        <w:t>.</w:t>
      </w:r>
    </w:p>
    <w:p w14:paraId="7862A272" w14:textId="6B6C823A" w:rsidR="00855DAC" w:rsidRPr="003F6D7F" w:rsidRDefault="00855DAC" w:rsidP="00855DAC">
      <w:pPr>
        <w:pStyle w:val="Heading1"/>
        <w:numPr>
          <w:ilvl w:val="0"/>
          <w:numId w:val="38"/>
        </w:numPr>
        <w:rPr>
          <w:lang w:val="es-MX"/>
        </w:rPr>
      </w:pPr>
      <w:r w:rsidRPr="003F6D7F">
        <w:rPr>
          <w:lang w:val="es-MX"/>
        </w:rPr>
        <w:t xml:space="preserve">El </w:t>
      </w:r>
      <w:r w:rsidR="003875FD" w:rsidRPr="003F6D7F">
        <w:rPr>
          <w:lang w:val="es-MX"/>
        </w:rPr>
        <w:t>O</w:t>
      </w:r>
      <w:r w:rsidRPr="003F6D7F">
        <w:rPr>
          <w:lang w:val="es-MX"/>
        </w:rPr>
        <w:t xml:space="preserve">rganismo de </w:t>
      </w:r>
      <w:r w:rsidR="003875FD" w:rsidRPr="003F6D7F">
        <w:rPr>
          <w:lang w:val="es-MX"/>
        </w:rPr>
        <w:t>E</w:t>
      </w:r>
      <w:r w:rsidRPr="003F6D7F">
        <w:rPr>
          <w:lang w:val="es-MX"/>
        </w:rPr>
        <w:t xml:space="preserve">jecución </w:t>
      </w:r>
      <w:r w:rsidR="003875FD" w:rsidRPr="003F6D7F">
        <w:rPr>
          <w:lang w:val="es-MX"/>
        </w:rPr>
        <w:t>P</w:t>
      </w:r>
      <w:r w:rsidRPr="003F6D7F">
        <w:rPr>
          <w:lang w:val="es-MX"/>
        </w:rPr>
        <w:t xml:space="preserve">rincipal asignará la supervisión del desarrollo del </w:t>
      </w:r>
      <w:r w:rsidR="003875FD" w:rsidRPr="003F6D7F">
        <w:rPr>
          <w:lang w:val="es-MX"/>
        </w:rPr>
        <w:t>P</w:t>
      </w:r>
      <w:r w:rsidRPr="003F6D7F">
        <w:rPr>
          <w:lang w:val="es-MX"/>
        </w:rPr>
        <w:t xml:space="preserve">lan de gestión de eliminación de HCFC y la verificación del logro de los objetivos de desempeño, especificados en el </w:t>
      </w:r>
      <w:r w:rsidR="003875FD" w:rsidRPr="003F6D7F">
        <w:rPr>
          <w:lang w:val="es-MX"/>
        </w:rPr>
        <w:t>P</w:t>
      </w:r>
      <w:r w:rsidRPr="003F6D7F">
        <w:rPr>
          <w:lang w:val="es-MX"/>
        </w:rPr>
        <w:t>lan, a una compañía local independiente o a consultores locales independientes.</w:t>
      </w:r>
    </w:p>
    <w:p w14:paraId="3CCE858B" w14:textId="77777777" w:rsidR="002221CB" w:rsidRPr="003F6D7F" w:rsidRDefault="002221CB">
      <w:pPr>
        <w:jc w:val="left"/>
        <w:rPr>
          <w:b/>
          <w:bCs/>
          <w:lang w:val="es"/>
        </w:rPr>
      </w:pPr>
      <w:r w:rsidRPr="003F6D7F">
        <w:rPr>
          <w:b/>
          <w:bCs/>
          <w:lang w:val="es"/>
        </w:rPr>
        <w:br w:type="page"/>
      </w:r>
    </w:p>
    <w:p w14:paraId="339724F1" w14:textId="4E5C0F94" w:rsidR="00B87EC5" w:rsidRPr="003F6D7F" w:rsidRDefault="00810E08" w:rsidP="00BD2395">
      <w:pPr>
        <w:pStyle w:val="Heading1"/>
        <w:numPr>
          <w:ilvl w:val="0"/>
          <w:numId w:val="0"/>
        </w:numPr>
        <w:rPr>
          <w:b/>
          <w:lang w:val="es-ES"/>
        </w:rPr>
      </w:pPr>
      <w:r w:rsidRPr="003F6D7F">
        <w:rPr>
          <w:b/>
          <w:bCs/>
          <w:lang w:val="es"/>
        </w:rPr>
        <w:lastRenderedPageBreak/>
        <w:t xml:space="preserve">APÉNDICE 6-A: FUNCIÓN DEL ORGANISMO DE EJECUCIÓN PRINCIPAL </w:t>
      </w:r>
    </w:p>
    <w:p w14:paraId="48710326" w14:textId="77777777" w:rsidR="00B87EC5" w:rsidRPr="003F6D7F" w:rsidRDefault="00810E08">
      <w:pPr>
        <w:pStyle w:val="Heading1"/>
        <w:keepNext/>
        <w:keepLines/>
        <w:numPr>
          <w:ilvl w:val="0"/>
          <w:numId w:val="24"/>
        </w:numPr>
        <w:rPr>
          <w:lang w:val="es-ES"/>
        </w:rPr>
      </w:pPr>
      <w:r w:rsidRPr="003F6D7F">
        <w:rPr>
          <w:lang w:val="es"/>
        </w:rPr>
        <w:t>El Organismo de Ejecución Principal tendrá a su cargo diversas responsabilidades, entre las que se incluyen como mínimo las siguientes:</w:t>
      </w:r>
    </w:p>
    <w:p w14:paraId="32929B3A" w14:textId="77777777" w:rsidR="00B87EC5" w:rsidRPr="003F6D7F" w:rsidRDefault="00810E08">
      <w:pPr>
        <w:pStyle w:val="Heading2"/>
        <w:keepNext/>
        <w:keepLines/>
        <w:rPr>
          <w:lang w:val="es-ES"/>
        </w:rPr>
      </w:pPr>
      <w:r w:rsidRPr="003F6D7F">
        <w:rPr>
          <w:lang w:val="es"/>
        </w:rPr>
        <w:t>Asegurar la verificación del desempeño y de los aspectos financieros de conformidad con el presente Acuerdo y con sus procedimientos y requisitos internos específicos, establecidos en el plan de gestión de la eliminación de los HCFC del País;</w:t>
      </w:r>
    </w:p>
    <w:p w14:paraId="3D59D26B" w14:textId="77777777" w:rsidR="00B87EC5" w:rsidRPr="003F6D7F" w:rsidRDefault="00810E08">
      <w:pPr>
        <w:pStyle w:val="Heading2"/>
        <w:rPr>
          <w:lang w:val="es-ES"/>
        </w:rPr>
      </w:pPr>
      <w:r w:rsidRPr="003F6D7F">
        <w:rPr>
          <w:lang w:val="es"/>
        </w:rPr>
        <w:t>Brindar asistencia al País para preparar los Informes y Planes de Ejecución de Tramos conforme al Apéndice 4</w:t>
      </w:r>
      <w:r w:rsidRPr="003F6D7F">
        <w:rPr>
          <w:lang w:val="es"/>
        </w:rPr>
        <w:noBreakHyphen/>
        <w:t>A;</w:t>
      </w:r>
    </w:p>
    <w:p w14:paraId="39EA1E40" w14:textId="77777777" w:rsidR="00B87EC5" w:rsidRPr="003F6D7F" w:rsidRDefault="00810E08">
      <w:pPr>
        <w:pStyle w:val="Heading2"/>
        <w:rPr>
          <w:lang w:val="es-ES"/>
        </w:rPr>
      </w:pPr>
      <w:r w:rsidRPr="003F6D7F">
        <w:rPr>
          <w:lang w:val="es"/>
        </w:rPr>
        <w:t>Proporcionar al Comité Ejecutivo una verificación independiente de que se han alcanzado los Objetivos y se han completado las correspondientes actividades previstas en los tramos</w:t>
      </w:r>
      <w:r w:rsidR="001A02D0" w:rsidRPr="003F6D7F">
        <w:rPr>
          <w:lang w:val="es"/>
        </w:rPr>
        <w:t>,</w:t>
      </w:r>
      <w:r w:rsidRPr="003F6D7F">
        <w:rPr>
          <w:lang w:val="es"/>
        </w:rPr>
        <w:t xml:space="preserve"> según lo indicado en el Plan de Ejecución de Tramo de conformidad con el Apéndice 4</w:t>
      </w:r>
      <w:r w:rsidRPr="003F6D7F">
        <w:rPr>
          <w:lang w:val="es"/>
        </w:rPr>
        <w:noBreakHyphen/>
        <w:t xml:space="preserve">A; </w:t>
      </w:r>
    </w:p>
    <w:p w14:paraId="65974CBF" w14:textId="77777777" w:rsidR="00B87EC5" w:rsidRPr="003F6D7F" w:rsidRDefault="008D0EFD">
      <w:pPr>
        <w:pStyle w:val="Heading2"/>
        <w:rPr>
          <w:lang w:val="es-ES"/>
        </w:rPr>
      </w:pPr>
      <w:r w:rsidRPr="003F6D7F">
        <w:rPr>
          <w:lang w:val="es"/>
        </w:rPr>
        <w:t>Asegurar que las experiencias y</w:t>
      </w:r>
      <w:r w:rsidR="00F8352E" w:rsidRPr="003F6D7F">
        <w:rPr>
          <w:lang w:val="es"/>
        </w:rPr>
        <w:t xml:space="preserve"> </w:t>
      </w:r>
      <w:r w:rsidR="00810E08" w:rsidRPr="003F6D7F">
        <w:rPr>
          <w:lang w:val="es"/>
        </w:rPr>
        <w:t>logros se reflejen en actualizaciones del plan general y en los Planes de Ejecución de Tramos futuros, de conformidad con los incisos 1 c) y 1 d) del Apéndice 4</w:t>
      </w:r>
      <w:r w:rsidR="00810E08" w:rsidRPr="003F6D7F">
        <w:rPr>
          <w:lang w:val="es"/>
        </w:rPr>
        <w:noBreakHyphen/>
        <w:t>A;</w:t>
      </w:r>
    </w:p>
    <w:p w14:paraId="786830DF" w14:textId="77777777" w:rsidR="0017762B" w:rsidRPr="003F6D7F" w:rsidRDefault="00810E08" w:rsidP="001A02D0">
      <w:pPr>
        <w:pStyle w:val="Heading2"/>
        <w:rPr>
          <w:lang w:val="es-MX" w:bidi="th-TH"/>
        </w:rPr>
      </w:pPr>
      <w:r w:rsidRPr="003F6D7F">
        <w:rPr>
          <w:lang w:val="es"/>
        </w:rPr>
        <w:t>Cumplir los requisitos de información respecto de los Informes y Planes de Ejecución de Tramos y el plan general especificados en el Apéndice 4</w:t>
      </w:r>
      <w:r w:rsidRPr="003F6D7F">
        <w:rPr>
          <w:lang w:val="es"/>
        </w:rPr>
        <w:noBreakHyphen/>
        <w:t xml:space="preserve">A que se deben presentar al Comité Ejecutivo. Los requisitos de información </w:t>
      </w:r>
      <w:r w:rsidR="0017762B" w:rsidRPr="003F6D7F">
        <w:rPr>
          <w:lang w:val="es"/>
        </w:rPr>
        <w:t xml:space="preserve">deberían incluir </w:t>
      </w:r>
      <w:r w:rsidRPr="003F6D7F">
        <w:rPr>
          <w:lang w:val="es"/>
        </w:rPr>
        <w:t xml:space="preserve">las actividades desempeñadas por </w:t>
      </w:r>
      <w:r w:rsidR="00371BBF" w:rsidRPr="003F6D7F">
        <w:rPr>
          <w:lang w:val="es"/>
        </w:rPr>
        <w:t>el Organismo de Ejecución Cooperante</w:t>
      </w:r>
      <w:r w:rsidRPr="003F6D7F">
        <w:rPr>
          <w:lang w:val="es"/>
        </w:rPr>
        <w:t>;</w:t>
      </w:r>
    </w:p>
    <w:p w14:paraId="5027D405" w14:textId="77777777" w:rsidR="0017762B" w:rsidRPr="003F6D7F" w:rsidRDefault="00DF6B88" w:rsidP="00DF6B88">
      <w:pPr>
        <w:pStyle w:val="Heading2"/>
        <w:rPr>
          <w:lang w:val="es-MX" w:bidi="th-TH"/>
        </w:rPr>
      </w:pPr>
      <w:r w:rsidRPr="003F6D7F">
        <w:rPr>
          <w:lang w:val="es-MX" w:bidi="th-TH"/>
        </w:rPr>
        <w:t xml:space="preserve">En caso </w:t>
      </w:r>
      <w:r w:rsidR="001A02D0" w:rsidRPr="003F6D7F">
        <w:rPr>
          <w:lang w:val="es-MX" w:bidi="th-TH"/>
        </w:rPr>
        <w:t xml:space="preserve">de </w:t>
      </w:r>
      <w:r w:rsidRPr="003F6D7F">
        <w:rPr>
          <w:lang w:val="es-MX" w:bidi="th-TH"/>
        </w:rPr>
        <w:t xml:space="preserve">que el último tramo de financiamiento se pida con uno o más años de antelación al último año para el cual se había establecido un objetivo de consumo, los informes anuales de ejecución del tramo y, en caso pertinente, los informes de verificación de la etapa actual del </w:t>
      </w:r>
      <w:r w:rsidR="001A02D0" w:rsidRPr="003F6D7F">
        <w:rPr>
          <w:lang w:val="es-MX" w:bidi="th-TH"/>
        </w:rPr>
        <w:t>P</w:t>
      </w:r>
      <w:r w:rsidRPr="003F6D7F">
        <w:rPr>
          <w:lang w:val="es-MX" w:bidi="th-TH"/>
        </w:rPr>
        <w:t>lan se deberían presentar hasta que se hayan terminado todas las actividades previstas y que los objetivos del consumo HCFC se hayan alcanzado;</w:t>
      </w:r>
    </w:p>
    <w:p w14:paraId="22FDAB25" w14:textId="77777777" w:rsidR="00B87EC5" w:rsidRPr="003F6D7F" w:rsidRDefault="00810E08">
      <w:pPr>
        <w:pStyle w:val="Heading2"/>
        <w:rPr>
          <w:lang w:val="es-ES"/>
        </w:rPr>
      </w:pPr>
      <w:r w:rsidRPr="003F6D7F">
        <w:rPr>
          <w:lang w:val="es"/>
        </w:rPr>
        <w:t>Asegurar que expertos técnicos independientes competentes lleven a cabo las revisiones técnicas;</w:t>
      </w:r>
    </w:p>
    <w:p w14:paraId="789B706C" w14:textId="77777777" w:rsidR="00B87EC5" w:rsidRPr="003F6D7F" w:rsidRDefault="00810E08">
      <w:pPr>
        <w:pStyle w:val="Heading2"/>
        <w:rPr>
          <w:lang w:val="es-ES"/>
        </w:rPr>
      </w:pPr>
      <w:r w:rsidRPr="003F6D7F">
        <w:rPr>
          <w:lang w:val="es"/>
        </w:rPr>
        <w:t>Emprender las misiones de supervisión requeridas;</w:t>
      </w:r>
    </w:p>
    <w:p w14:paraId="7E34D219" w14:textId="77777777" w:rsidR="00B87EC5" w:rsidRPr="003F6D7F" w:rsidRDefault="00810E08">
      <w:pPr>
        <w:pStyle w:val="Heading2"/>
        <w:rPr>
          <w:lang w:val="es-ES"/>
        </w:rPr>
      </w:pPr>
      <w:r w:rsidRPr="003F6D7F">
        <w:rPr>
          <w:lang w:val="es"/>
        </w:rPr>
        <w:t xml:space="preserve">Asegurar la existencia de un mecanismo operativo que permita la ejecución eficaz y transparente del Plan de Ejecución de Tramo y la presentación de datos </w:t>
      </w:r>
      <w:r w:rsidR="001A02D0" w:rsidRPr="003F6D7F">
        <w:rPr>
          <w:lang w:val="es"/>
        </w:rPr>
        <w:t>precisos</w:t>
      </w:r>
      <w:r w:rsidRPr="003F6D7F">
        <w:rPr>
          <w:lang w:val="es"/>
        </w:rPr>
        <w:t>;</w:t>
      </w:r>
    </w:p>
    <w:p w14:paraId="4B6CF474" w14:textId="77777777" w:rsidR="00B87EC5" w:rsidRPr="003F6D7F" w:rsidRDefault="00810E08" w:rsidP="005E07FD">
      <w:pPr>
        <w:pStyle w:val="Heading2"/>
        <w:keepNext/>
        <w:keepLines/>
        <w:rPr>
          <w:lang w:val="es-ES"/>
        </w:rPr>
      </w:pPr>
      <w:r w:rsidRPr="003F6D7F">
        <w:rPr>
          <w:lang w:val="es"/>
        </w:rPr>
        <w:t>Coordinar las actividades de</w:t>
      </w:r>
      <w:r w:rsidR="00371BBF" w:rsidRPr="003F6D7F">
        <w:rPr>
          <w:lang w:val="es"/>
        </w:rPr>
        <w:t>l Organismo de Ejecución Cooperante</w:t>
      </w:r>
      <w:r w:rsidRPr="003F6D7F">
        <w:rPr>
          <w:lang w:val="es"/>
        </w:rPr>
        <w:t xml:space="preserve"> y asegurar que las actividades se ejecuten en la secuencia apropiada; </w:t>
      </w:r>
    </w:p>
    <w:p w14:paraId="2DEAEB38" w14:textId="77777777" w:rsidR="00B87EC5" w:rsidRPr="003F6D7F" w:rsidRDefault="00810E08" w:rsidP="005E07FD">
      <w:pPr>
        <w:pStyle w:val="Heading2"/>
        <w:keepNext/>
        <w:keepLines/>
        <w:rPr>
          <w:lang w:val="es-ES"/>
        </w:rPr>
      </w:pPr>
      <w:r w:rsidRPr="003F6D7F">
        <w:rPr>
          <w:lang w:val="es"/>
        </w:rPr>
        <w:t xml:space="preserve">En el caso de que se reduzca la financiación por falta de cumplimiento conforme al párrafo 11 del Acuerdo, determinar, en consulta con el País y </w:t>
      </w:r>
      <w:r w:rsidR="00371BBF" w:rsidRPr="003F6D7F">
        <w:rPr>
          <w:lang w:val="es"/>
        </w:rPr>
        <w:t>el Organismo de Ejecución Cooperante</w:t>
      </w:r>
      <w:r w:rsidRPr="003F6D7F">
        <w:rPr>
          <w:lang w:val="es"/>
        </w:rPr>
        <w:t xml:space="preserve">, la asignación de las reducciones a las diferentes partidas presupuestarias y a la financiación del Organismo de Ejecución Principal y </w:t>
      </w:r>
      <w:r w:rsidR="0017762B" w:rsidRPr="003F6D7F">
        <w:rPr>
          <w:lang w:val="es"/>
        </w:rPr>
        <w:t xml:space="preserve">al </w:t>
      </w:r>
      <w:r w:rsidR="00371BBF" w:rsidRPr="003F6D7F">
        <w:rPr>
          <w:lang w:val="es"/>
        </w:rPr>
        <w:t>Organismo de Ejecución Cooperante</w:t>
      </w:r>
      <w:r w:rsidRPr="003F6D7F">
        <w:rPr>
          <w:lang w:val="es"/>
        </w:rPr>
        <w:t xml:space="preserve">; </w:t>
      </w:r>
    </w:p>
    <w:p w14:paraId="284E9E75" w14:textId="77777777" w:rsidR="00B87EC5" w:rsidRPr="003F6D7F" w:rsidRDefault="00810E08">
      <w:pPr>
        <w:pStyle w:val="Heading2"/>
        <w:rPr>
          <w:lang w:val="es-ES"/>
        </w:rPr>
      </w:pPr>
      <w:r w:rsidRPr="003F6D7F">
        <w:rPr>
          <w:lang w:val="es"/>
        </w:rPr>
        <w:t>Asegurar que los desembolsos a favor del País se basen</w:t>
      </w:r>
      <w:r w:rsidR="0017762B" w:rsidRPr="003F6D7F">
        <w:rPr>
          <w:lang w:val="es"/>
        </w:rPr>
        <w:t xml:space="preserve"> en el uso de los indicadores; </w:t>
      </w:r>
    </w:p>
    <w:p w14:paraId="6B21C38C" w14:textId="77777777" w:rsidR="0017762B" w:rsidRPr="003F6D7F" w:rsidRDefault="00810E08" w:rsidP="00DF6B88">
      <w:pPr>
        <w:pStyle w:val="Heading2"/>
        <w:rPr>
          <w:lang w:val="es"/>
        </w:rPr>
      </w:pPr>
      <w:r w:rsidRPr="003F6D7F">
        <w:rPr>
          <w:lang w:val="es"/>
        </w:rPr>
        <w:t>Brindar asistencia respecto de políticas, gestión y apoyo técnico, cuando sea necesario</w:t>
      </w:r>
      <w:r w:rsidR="0017762B" w:rsidRPr="003F6D7F">
        <w:rPr>
          <w:lang w:val="es"/>
        </w:rPr>
        <w:t>;</w:t>
      </w:r>
    </w:p>
    <w:p w14:paraId="0957B1EC" w14:textId="77777777" w:rsidR="000B7196" w:rsidRPr="003F6D7F" w:rsidRDefault="00DF6B88" w:rsidP="00DF6B88">
      <w:pPr>
        <w:pStyle w:val="Heading2"/>
        <w:rPr>
          <w:lang w:val="es-MX" w:bidi="th-TH"/>
        </w:rPr>
      </w:pPr>
      <w:r w:rsidRPr="003F6D7F">
        <w:rPr>
          <w:lang w:val="es-MX" w:bidi="th-TH"/>
        </w:rPr>
        <w:t xml:space="preserve">Lograr un consenso con el Organismo de </w:t>
      </w:r>
      <w:r w:rsidR="00432A5F" w:rsidRPr="003F6D7F">
        <w:rPr>
          <w:lang w:val="es-MX" w:bidi="th-TH"/>
        </w:rPr>
        <w:t>E</w:t>
      </w:r>
      <w:r w:rsidRPr="003F6D7F">
        <w:rPr>
          <w:lang w:val="es-MX" w:bidi="th-TH"/>
        </w:rPr>
        <w:t xml:space="preserve">jecución </w:t>
      </w:r>
      <w:r w:rsidR="00432A5F" w:rsidRPr="003F6D7F">
        <w:rPr>
          <w:lang w:val="es-MX" w:bidi="th-TH"/>
        </w:rPr>
        <w:t xml:space="preserve">Cooperante sobre </w:t>
      </w:r>
      <w:r w:rsidRPr="003F6D7F">
        <w:rPr>
          <w:lang w:val="es-MX" w:bidi="th-TH"/>
        </w:rPr>
        <w:t xml:space="preserve">cualquier </w:t>
      </w:r>
      <w:r w:rsidRPr="003F6D7F">
        <w:rPr>
          <w:lang w:val="es-MX" w:bidi="th-TH"/>
        </w:rPr>
        <w:lastRenderedPageBreak/>
        <w:t>plan</w:t>
      </w:r>
      <w:r w:rsidR="000B7196" w:rsidRPr="003F6D7F">
        <w:rPr>
          <w:lang w:val="es-MX" w:bidi="th-TH"/>
        </w:rPr>
        <w:t>ificación</w:t>
      </w:r>
      <w:r w:rsidRPr="003F6D7F">
        <w:rPr>
          <w:lang w:val="es-MX" w:bidi="th-TH"/>
        </w:rPr>
        <w:t xml:space="preserve">, coordinación y </w:t>
      </w:r>
      <w:r w:rsidR="000B7196" w:rsidRPr="003F6D7F">
        <w:rPr>
          <w:lang w:val="es-MX" w:bidi="th-TH"/>
        </w:rPr>
        <w:t xml:space="preserve">presentación de informes necesarios </w:t>
      </w:r>
      <w:r w:rsidRPr="003F6D7F">
        <w:rPr>
          <w:lang w:val="es-MX" w:bidi="th-TH"/>
        </w:rPr>
        <w:t xml:space="preserve">para facilitar la </w:t>
      </w:r>
      <w:r w:rsidR="000B7196" w:rsidRPr="003F6D7F">
        <w:rPr>
          <w:lang w:val="es-MX" w:bidi="th-TH"/>
        </w:rPr>
        <w:t>ejecución del plan</w:t>
      </w:r>
      <w:r w:rsidRPr="003F6D7F">
        <w:rPr>
          <w:lang w:val="es-MX" w:bidi="th-TH"/>
        </w:rPr>
        <w:t>;</w:t>
      </w:r>
      <w:r w:rsidR="000B7196" w:rsidRPr="003F6D7F">
        <w:rPr>
          <w:lang w:val="es-MX" w:bidi="th-TH"/>
        </w:rPr>
        <w:t xml:space="preserve"> y</w:t>
      </w:r>
    </w:p>
    <w:p w14:paraId="0451591E" w14:textId="77777777" w:rsidR="0017762B" w:rsidRPr="003F6D7F" w:rsidRDefault="00907F89" w:rsidP="00DF6B88">
      <w:pPr>
        <w:pStyle w:val="Heading2"/>
        <w:rPr>
          <w:lang w:val="es-MX" w:bidi="th-TH"/>
        </w:rPr>
      </w:pPr>
      <w:r w:rsidRPr="003F6D7F">
        <w:rPr>
          <w:lang w:val="es-MX" w:bidi="th-TH"/>
        </w:rPr>
        <w:t>Liberar</w:t>
      </w:r>
      <w:r w:rsidR="00626121" w:rsidRPr="003F6D7F">
        <w:rPr>
          <w:lang w:val="es-MX" w:bidi="th-TH"/>
        </w:rPr>
        <w:t xml:space="preserve"> puntualmente</w:t>
      </w:r>
      <w:r w:rsidRPr="003F6D7F">
        <w:rPr>
          <w:lang w:val="es-MX" w:bidi="th-TH"/>
        </w:rPr>
        <w:t xml:space="preserve"> los fondos al País</w:t>
      </w:r>
      <w:r w:rsidR="0017762B" w:rsidRPr="003F6D7F">
        <w:rPr>
          <w:lang w:val="es-MX" w:bidi="th-TH"/>
        </w:rPr>
        <w:t>/</w:t>
      </w:r>
      <w:r w:rsidRPr="003F6D7F">
        <w:rPr>
          <w:lang w:val="es-MX" w:bidi="th-TH"/>
        </w:rPr>
        <w:t xml:space="preserve">empresas participantes para terminar las </w:t>
      </w:r>
      <w:r w:rsidR="00626121" w:rsidRPr="003F6D7F">
        <w:rPr>
          <w:lang w:val="es-MX" w:bidi="th-TH"/>
        </w:rPr>
        <w:t xml:space="preserve">actividades </w:t>
      </w:r>
      <w:r w:rsidRPr="003F6D7F">
        <w:rPr>
          <w:lang w:val="es-MX" w:bidi="th-TH"/>
        </w:rPr>
        <w:t>relacionadas con el proyecto</w:t>
      </w:r>
      <w:r w:rsidR="0017762B" w:rsidRPr="003F6D7F">
        <w:rPr>
          <w:lang w:val="es-MX" w:bidi="th-TH"/>
        </w:rPr>
        <w:t>.</w:t>
      </w:r>
    </w:p>
    <w:p w14:paraId="3FD49815" w14:textId="77777777" w:rsidR="00B87EC5" w:rsidRPr="003F6D7F" w:rsidRDefault="00810E08">
      <w:pPr>
        <w:pStyle w:val="Heading1"/>
        <w:rPr>
          <w:lang w:val="es-ES"/>
        </w:rPr>
      </w:pPr>
      <w:r w:rsidRPr="003F6D7F">
        <w:rPr>
          <w:lang w:val="es"/>
        </w:rPr>
        <w:t>Tras consultar con el País y teniendo en cuenta las opiniones que pudieran expresarse, el Organismo de Ejecución Principal seleccionará y encomendará a una entidad independiente la verificación de los resultados del plan de gestión de la eliminación de los HCFC y el consumo de las Sustancias mencionadas en el Apéndice 1</w:t>
      </w:r>
      <w:r w:rsidRPr="003F6D7F">
        <w:rPr>
          <w:lang w:val="es"/>
        </w:rPr>
        <w:noBreakHyphen/>
        <w:t>A, conforme al inciso 5 b) del Acuerdo y el inciso 1 b) del Apéndice 4</w:t>
      </w:r>
      <w:r w:rsidRPr="003F6D7F">
        <w:rPr>
          <w:lang w:val="es"/>
        </w:rPr>
        <w:noBreakHyphen/>
        <w:t>A.</w:t>
      </w:r>
    </w:p>
    <w:p w14:paraId="59DB42B5" w14:textId="7802928E" w:rsidR="00B87EC5" w:rsidRPr="003F6D7F" w:rsidRDefault="00810E08" w:rsidP="008D298D">
      <w:pPr>
        <w:keepNext/>
        <w:keepLines/>
        <w:rPr>
          <w:b/>
          <w:lang w:val="es-ES"/>
        </w:rPr>
      </w:pPr>
      <w:r w:rsidRPr="003F6D7F">
        <w:rPr>
          <w:b/>
          <w:bCs/>
          <w:lang w:val="es"/>
        </w:rPr>
        <w:t>APÉNDICE 6</w:t>
      </w:r>
      <w:r w:rsidRPr="003F6D7F">
        <w:rPr>
          <w:b/>
          <w:bCs/>
          <w:lang w:val="es"/>
        </w:rPr>
        <w:noBreakHyphen/>
        <w:t>B: FUNCIÓN DE</w:t>
      </w:r>
      <w:r w:rsidR="008D298D" w:rsidRPr="003F6D7F">
        <w:rPr>
          <w:rFonts w:hint="cs"/>
          <w:b/>
          <w:bCs/>
          <w:rtl/>
          <w:lang w:val="es"/>
        </w:rPr>
        <w:t xml:space="preserve"> </w:t>
      </w:r>
      <w:r w:rsidRPr="003F6D7F">
        <w:rPr>
          <w:b/>
          <w:bCs/>
          <w:lang w:val="es"/>
        </w:rPr>
        <w:t>L</w:t>
      </w:r>
      <w:r w:rsidR="008D298D" w:rsidRPr="003F6D7F">
        <w:rPr>
          <w:b/>
          <w:bCs/>
          <w:lang w:val="es-MX"/>
        </w:rPr>
        <w:t>OS</w:t>
      </w:r>
      <w:r w:rsidRPr="003F6D7F">
        <w:rPr>
          <w:b/>
          <w:bCs/>
          <w:lang w:val="es"/>
        </w:rPr>
        <w:t xml:space="preserve"> </w:t>
      </w:r>
      <w:r w:rsidR="0017762B" w:rsidRPr="003F6D7F">
        <w:rPr>
          <w:b/>
          <w:bCs/>
          <w:lang w:val="es"/>
        </w:rPr>
        <w:t>OR</w:t>
      </w:r>
      <w:r w:rsidRPr="003F6D7F">
        <w:rPr>
          <w:b/>
          <w:bCs/>
          <w:lang w:val="es"/>
        </w:rPr>
        <w:t>GANISMO</w:t>
      </w:r>
      <w:r w:rsidR="008D298D" w:rsidRPr="003F6D7F">
        <w:rPr>
          <w:b/>
          <w:bCs/>
          <w:lang w:val="es"/>
        </w:rPr>
        <w:t>S</w:t>
      </w:r>
      <w:r w:rsidRPr="003F6D7F">
        <w:rPr>
          <w:b/>
          <w:bCs/>
          <w:lang w:val="es"/>
        </w:rPr>
        <w:t xml:space="preserve"> DE EJECUCIÓN COOPERANTE</w:t>
      </w:r>
      <w:r w:rsidR="008D298D" w:rsidRPr="003F6D7F">
        <w:rPr>
          <w:b/>
          <w:bCs/>
          <w:lang w:val="es"/>
        </w:rPr>
        <w:t>S</w:t>
      </w:r>
      <w:r w:rsidR="00AF4A8B" w:rsidRPr="003F6D7F">
        <w:rPr>
          <w:b/>
          <w:bCs/>
          <w:lang w:val="es"/>
        </w:rPr>
        <w:t xml:space="preserve"> </w:t>
      </w:r>
    </w:p>
    <w:p w14:paraId="4B9AF4DE" w14:textId="77777777" w:rsidR="00B87EC5" w:rsidRPr="003F6D7F" w:rsidRDefault="00B87EC5">
      <w:pPr>
        <w:keepNext/>
        <w:keepLines/>
        <w:rPr>
          <w:lang w:val="es-ES"/>
        </w:rPr>
      </w:pPr>
    </w:p>
    <w:p w14:paraId="12B0BDB2" w14:textId="343CAD47" w:rsidR="00B87EC5" w:rsidRPr="003F6D7F" w:rsidRDefault="00371BBF">
      <w:pPr>
        <w:pStyle w:val="Heading1"/>
        <w:keepNext/>
        <w:keepLines/>
        <w:numPr>
          <w:ilvl w:val="0"/>
          <w:numId w:val="25"/>
        </w:numPr>
        <w:rPr>
          <w:lang w:val="es-ES"/>
        </w:rPr>
      </w:pPr>
      <w:r w:rsidRPr="003F6D7F">
        <w:rPr>
          <w:lang w:val="es"/>
        </w:rPr>
        <w:t>El Organismo de Ejecución Cooperante</w:t>
      </w:r>
      <w:r w:rsidR="00810E08" w:rsidRPr="003F6D7F">
        <w:rPr>
          <w:lang w:val="es"/>
        </w:rPr>
        <w:t xml:space="preserve"> tendrá a su cargo diversas actividades. Estas se especifican con más detalle en el Plan, e incluyen como mínimo las siguientes: </w:t>
      </w:r>
    </w:p>
    <w:p w14:paraId="216A0F5C" w14:textId="77777777" w:rsidR="00B87EC5" w:rsidRPr="003F6D7F" w:rsidRDefault="00810E08">
      <w:pPr>
        <w:pStyle w:val="Heading2"/>
        <w:rPr>
          <w:lang w:val="es-ES"/>
        </w:rPr>
      </w:pPr>
      <w:r w:rsidRPr="003F6D7F">
        <w:rPr>
          <w:lang w:val="es"/>
        </w:rPr>
        <w:t>Proporcionar asistencia para la elaboración de políticas</w:t>
      </w:r>
      <w:r w:rsidR="00626121" w:rsidRPr="003F6D7F">
        <w:rPr>
          <w:lang w:val="es"/>
        </w:rPr>
        <w:t>,</w:t>
      </w:r>
      <w:r w:rsidRPr="003F6D7F">
        <w:rPr>
          <w:lang w:val="es"/>
        </w:rPr>
        <w:t xml:space="preserve"> cuando se requiera; </w:t>
      </w:r>
    </w:p>
    <w:p w14:paraId="7CDC1103" w14:textId="77777777" w:rsidR="00B87EC5" w:rsidRPr="003F6D7F" w:rsidRDefault="00810E08">
      <w:pPr>
        <w:pStyle w:val="Heading2"/>
        <w:rPr>
          <w:lang w:val="es-ES"/>
        </w:rPr>
      </w:pPr>
      <w:r w:rsidRPr="003F6D7F">
        <w:rPr>
          <w:lang w:val="es"/>
        </w:rPr>
        <w:t xml:space="preserve">Brindar asistencia al País en la ejecución y evaluación de las actividades que financie </w:t>
      </w:r>
      <w:r w:rsidR="00371BBF" w:rsidRPr="003F6D7F">
        <w:rPr>
          <w:lang w:val="es"/>
        </w:rPr>
        <w:t>el Organismo de Ejecución Cooperante</w:t>
      </w:r>
      <w:r w:rsidRPr="003F6D7F">
        <w:rPr>
          <w:lang w:val="es"/>
        </w:rPr>
        <w:t>, remitiéndose al Organismo de Ejecución Principal para asegurar que las actividades se ejecuten en una secuencia coordinada; y</w:t>
      </w:r>
    </w:p>
    <w:p w14:paraId="2185A311" w14:textId="77777777" w:rsidR="00B87EC5" w:rsidRPr="003F6D7F" w:rsidRDefault="0017762B">
      <w:pPr>
        <w:pStyle w:val="Heading2"/>
        <w:rPr>
          <w:lang w:val="es"/>
        </w:rPr>
      </w:pPr>
      <w:r w:rsidRPr="003F6D7F">
        <w:rPr>
          <w:lang w:val="es-ES"/>
        </w:rPr>
        <w:t xml:space="preserve">Suministrar </w:t>
      </w:r>
      <w:r w:rsidR="00810E08" w:rsidRPr="003F6D7F">
        <w:rPr>
          <w:lang w:val="es"/>
        </w:rPr>
        <w:t xml:space="preserve">informes al Organismo de Ejecución Principal sobre estas actividades para su inclusión en los informes refundidos </w:t>
      </w:r>
      <w:r w:rsidR="00626121" w:rsidRPr="003F6D7F">
        <w:rPr>
          <w:lang w:val="es"/>
        </w:rPr>
        <w:t>de conformidad con e</w:t>
      </w:r>
      <w:r w:rsidR="00810E08" w:rsidRPr="003F6D7F">
        <w:rPr>
          <w:lang w:val="es"/>
        </w:rPr>
        <w:t>l Apéndice 4</w:t>
      </w:r>
      <w:r w:rsidR="00810E08" w:rsidRPr="003F6D7F">
        <w:rPr>
          <w:lang w:val="es"/>
        </w:rPr>
        <w:noBreakHyphen/>
        <w:t>A</w:t>
      </w:r>
      <w:r w:rsidR="00EF361D" w:rsidRPr="003F6D7F">
        <w:rPr>
          <w:lang w:val="es"/>
        </w:rPr>
        <w:t>.</w:t>
      </w:r>
    </w:p>
    <w:p w14:paraId="02A39FE7" w14:textId="0AFCBCB5" w:rsidR="00527504" w:rsidRPr="003F6D7F" w:rsidRDefault="00855DAC" w:rsidP="00527504">
      <w:pPr>
        <w:pStyle w:val="Heading2"/>
        <w:rPr>
          <w:lang w:val="es"/>
        </w:rPr>
      </w:pPr>
      <w:r w:rsidRPr="003F6D7F">
        <w:rPr>
          <w:lang w:val="es"/>
        </w:rPr>
        <w:t xml:space="preserve">Lograr un consenso con el </w:t>
      </w:r>
      <w:r w:rsidR="003875FD" w:rsidRPr="003F6D7F">
        <w:rPr>
          <w:lang w:val="es"/>
        </w:rPr>
        <w:t>O</w:t>
      </w:r>
      <w:r w:rsidRPr="003F6D7F">
        <w:rPr>
          <w:lang w:val="es"/>
        </w:rPr>
        <w:t xml:space="preserve">rganismo de </w:t>
      </w:r>
      <w:r w:rsidR="003875FD" w:rsidRPr="003F6D7F">
        <w:rPr>
          <w:lang w:val="es"/>
        </w:rPr>
        <w:t>E</w:t>
      </w:r>
      <w:r w:rsidRPr="003F6D7F">
        <w:rPr>
          <w:lang w:val="es"/>
        </w:rPr>
        <w:t xml:space="preserve">jecución </w:t>
      </w:r>
      <w:r w:rsidR="003875FD" w:rsidRPr="003F6D7F">
        <w:rPr>
          <w:lang w:val="es"/>
        </w:rPr>
        <w:t>P</w:t>
      </w:r>
      <w:r w:rsidRPr="003F6D7F">
        <w:rPr>
          <w:lang w:val="es"/>
        </w:rPr>
        <w:t xml:space="preserve">rincipal sobre la planificación, coordinación y acuerdos de presentación de informes necesarios para facilitar la ejecución del </w:t>
      </w:r>
      <w:r w:rsidR="003875FD" w:rsidRPr="003F6D7F">
        <w:rPr>
          <w:lang w:val="es"/>
        </w:rPr>
        <w:t>P</w:t>
      </w:r>
      <w:r w:rsidRPr="003F6D7F">
        <w:rPr>
          <w:lang w:val="es"/>
        </w:rPr>
        <w:t>lan</w:t>
      </w:r>
      <w:r w:rsidR="00527504" w:rsidRPr="003F6D7F">
        <w:rPr>
          <w:lang w:val="es"/>
        </w:rPr>
        <w:t>.</w:t>
      </w:r>
    </w:p>
    <w:p w14:paraId="525A68FB" w14:textId="6E75D80C" w:rsidR="00AB287A" w:rsidRPr="003F6D7F" w:rsidRDefault="00AB287A">
      <w:pPr>
        <w:jc w:val="left"/>
        <w:rPr>
          <w:b/>
          <w:bCs/>
          <w:lang w:val="es"/>
        </w:rPr>
      </w:pPr>
    </w:p>
    <w:p w14:paraId="717A3F65" w14:textId="4397C9CE" w:rsidR="00B87EC5" w:rsidRPr="003F6D7F" w:rsidRDefault="00810E08">
      <w:pPr>
        <w:rPr>
          <w:b/>
          <w:lang w:val="es-ES"/>
        </w:rPr>
      </w:pPr>
      <w:r w:rsidRPr="003F6D7F">
        <w:rPr>
          <w:b/>
          <w:bCs/>
          <w:lang w:val="es"/>
        </w:rPr>
        <w:t>APÉNDICE 7-A: REDUCCIONES DE LA FINANCIACIÓN EN CASO DE INCUMPLIMIENTO</w:t>
      </w:r>
    </w:p>
    <w:p w14:paraId="79DEFA34" w14:textId="77777777" w:rsidR="00B87EC5" w:rsidRPr="003F6D7F" w:rsidRDefault="00B87EC5">
      <w:pPr>
        <w:rPr>
          <w:lang w:val="es-ES"/>
        </w:rPr>
      </w:pPr>
    </w:p>
    <w:p w14:paraId="76A4ABB1" w14:textId="468DC914" w:rsidR="00527504" w:rsidRPr="003F6D7F" w:rsidRDefault="00810E08" w:rsidP="00E47B8C">
      <w:pPr>
        <w:pStyle w:val="Heading1"/>
        <w:numPr>
          <w:ilvl w:val="0"/>
          <w:numId w:val="39"/>
        </w:numPr>
        <w:rPr>
          <w:lang w:val="es-MX"/>
        </w:rPr>
      </w:pPr>
      <w:r w:rsidRPr="003F6D7F">
        <w:rPr>
          <w:lang w:val="es"/>
        </w:rPr>
        <w:t>De conformidad con el párrafo 11 del Acuerdo, el monto de financiación proporcionada podrá reducirse</w:t>
      </w:r>
      <w:r w:rsidR="00081BA0" w:rsidRPr="003F6D7F">
        <w:rPr>
          <w:lang w:val="es"/>
        </w:rPr>
        <w:t xml:space="preserve"> </w:t>
      </w:r>
      <w:r w:rsidRPr="003F6D7F">
        <w:rPr>
          <w:lang w:val="es"/>
        </w:rPr>
        <w:t>en 1</w:t>
      </w:r>
      <w:r w:rsidR="00393AA3" w:rsidRPr="003F6D7F">
        <w:rPr>
          <w:lang w:val="es"/>
        </w:rPr>
        <w:t>29</w:t>
      </w:r>
      <w:r w:rsidRPr="003F6D7F">
        <w:rPr>
          <w:lang w:val="es"/>
        </w:rPr>
        <w:t> $EUA por kg</w:t>
      </w:r>
      <w:r w:rsidR="00626121" w:rsidRPr="003F6D7F">
        <w:rPr>
          <w:lang w:val="es"/>
        </w:rPr>
        <w:t xml:space="preserve"> </w:t>
      </w:r>
      <w:r w:rsidRPr="003F6D7F">
        <w:rPr>
          <w:lang w:val="es"/>
        </w:rPr>
        <w:t>PAO de consumo que supere el nivel definido en la fila 1.2 del Apéndice 2</w:t>
      </w:r>
      <w:r w:rsidRPr="003F6D7F">
        <w:rPr>
          <w:lang w:val="es"/>
        </w:rPr>
        <w:noBreakHyphen/>
        <w:t>A para cada año en que no se haya cumplido el objetivo especificado en la fila 1.2 del Apéndice 2-A</w:t>
      </w:r>
      <w:r w:rsidR="00527504" w:rsidRPr="003F6D7F">
        <w:rPr>
          <w:lang w:val="es-MX" w:bidi="th-TH"/>
        </w:rPr>
        <w:t xml:space="preserve">, </w:t>
      </w:r>
      <w:r w:rsidR="00855DAC" w:rsidRPr="003F6D7F">
        <w:rPr>
          <w:lang w:val="es-MX" w:bidi="th-TH"/>
        </w:rPr>
        <w:t>quedando entendido que la reducción máxima de la financiación no sobrepasaría el nivel de financiación del tramo que se solicita</w:t>
      </w:r>
      <w:r w:rsidR="00527504" w:rsidRPr="003F6D7F">
        <w:rPr>
          <w:lang w:val="es-MX"/>
        </w:rPr>
        <w:t xml:space="preserve">. </w:t>
      </w:r>
      <w:r w:rsidR="00855DAC" w:rsidRPr="003F6D7F">
        <w:rPr>
          <w:lang w:val="es-MX"/>
        </w:rPr>
        <w:t>Podrían estudiarse otras medidas en casos en que el incumplimiento se extendiese dos años consecutivos</w:t>
      </w:r>
      <w:r w:rsidR="00527504" w:rsidRPr="003F6D7F">
        <w:rPr>
          <w:lang w:val="es-MX"/>
        </w:rPr>
        <w:t>.</w:t>
      </w:r>
    </w:p>
    <w:p w14:paraId="265BA787" w14:textId="4D95ADC0" w:rsidR="00527504" w:rsidRPr="003F6D7F" w:rsidRDefault="00EC047A" w:rsidP="00EC047A">
      <w:pPr>
        <w:pStyle w:val="Heading1"/>
        <w:rPr>
          <w:lang w:val="es-MX"/>
        </w:rPr>
      </w:pPr>
      <w:r w:rsidRPr="003F6D7F">
        <w:rPr>
          <w:lang w:val="es-MX"/>
        </w:rPr>
        <w:t xml:space="preserve">En caso </w:t>
      </w:r>
      <w:r w:rsidR="00D4534C" w:rsidRPr="003F6D7F">
        <w:rPr>
          <w:lang w:val="es-MX"/>
        </w:rPr>
        <w:t xml:space="preserve">de </w:t>
      </w:r>
      <w:r w:rsidRPr="003F6D7F">
        <w:rPr>
          <w:lang w:val="es-MX"/>
        </w:rPr>
        <w:t xml:space="preserve">que se necesite aplicar una sanción económica para un año en el cual hay dos Acuerdos vigentes (dos etapas del </w:t>
      </w:r>
      <w:r w:rsidR="00D4534C" w:rsidRPr="003F6D7F">
        <w:rPr>
          <w:lang w:val="es-MX"/>
        </w:rPr>
        <w:t>P</w:t>
      </w:r>
      <w:r w:rsidRPr="003F6D7F">
        <w:rPr>
          <w:lang w:val="es-MX"/>
        </w:rPr>
        <w:t xml:space="preserve">lan de gestión de eliminación de HCFC que se ejecuten paralelamente) con diferentes niveles de sanción económica, la aplicación de dicha sanción se determinará caso por caso, tomando en consideración los sectores específicos que llevan al incumplimiento. Si no es posible determinar un sector o ambas etapas </w:t>
      </w:r>
      <w:r w:rsidR="00D4534C" w:rsidRPr="003F6D7F">
        <w:rPr>
          <w:lang w:val="es-MX"/>
        </w:rPr>
        <w:t xml:space="preserve">abordan </w:t>
      </w:r>
      <w:r w:rsidRPr="003F6D7F">
        <w:rPr>
          <w:lang w:val="es-MX"/>
        </w:rPr>
        <w:t>el mismo sector, el nivel de</w:t>
      </w:r>
      <w:r w:rsidR="003875FD" w:rsidRPr="003F6D7F">
        <w:rPr>
          <w:lang w:val="es-MX"/>
        </w:rPr>
        <w:t xml:space="preserve"> </w:t>
      </w:r>
      <w:r w:rsidRPr="003F6D7F">
        <w:rPr>
          <w:lang w:val="es-MX"/>
        </w:rPr>
        <w:t xml:space="preserve">sanción económica que se aplicará sería el </w:t>
      </w:r>
      <w:r w:rsidR="003875FD" w:rsidRPr="003F6D7F">
        <w:rPr>
          <w:lang w:val="es-MX"/>
        </w:rPr>
        <w:t>mayor de los dos</w:t>
      </w:r>
      <w:r w:rsidRPr="003F6D7F">
        <w:rPr>
          <w:lang w:val="es-MX"/>
        </w:rPr>
        <w:t>.</w:t>
      </w:r>
    </w:p>
    <w:p w14:paraId="2536B432" w14:textId="77777777" w:rsidR="00527504" w:rsidRPr="00EC047A" w:rsidRDefault="00527504" w:rsidP="00527504">
      <w:pPr>
        <w:rPr>
          <w:lang w:val="es-MX"/>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527504" w:rsidRPr="002221CB" w14:paraId="11D84D39" w14:textId="77777777" w:rsidTr="00840B38">
        <w:tc>
          <w:tcPr>
            <w:tcW w:w="1871" w:type="dxa"/>
          </w:tcPr>
          <w:p w14:paraId="3EABA6F3" w14:textId="77777777" w:rsidR="00527504" w:rsidRPr="00EC047A" w:rsidRDefault="00527504" w:rsidP="00840B38">
            <w:pPr>
              <w:rPr>
                <w:sz w:val="20"/>
                <w:szCs w:val="20"/>
                <w:lang w:val="es-MX"/>
              </w:rPr>
            </w:pPr>
          </w:p>
        </w:tc>
        <w:tc>
          <w:tcPr>
            <w:tcW w:w="1872" w:type="dxa"/>
          </w:tcPr>
          <w:p w14:paraId="5A308860" w14:textId="77777777" w:rsidR="00527504" w:rsidRPr="00EC047A" w:rsidRDefault="00527504" w:rsidP="00840B38">
            <w:pPr>
              <w:rPr>
                <w:sz w:val="20"/>
                <w:szCs w:val="20"/>
                <w:lang w:val="es-MX"/>
              </w:rPr>
            </w:pPr>
          </w:p>
        </w:tc>
        <w:tc>
          <w:tcPr>
            <w:tcW w:w="1872" w:type="dxa"/>
            <w:tcBorders>
              <w:bottom w:val="single" w:sz="4" w:space="0" w:color="auto"/>
            </w:tcBorders>
          </w:tcPr>
          <w:p w14:paraId="12ECAB63" w14:textId="77777777" w:rsidR="00527504" w:rsidRPr="00EC047A" w:rsidRDefault="00527504" w:rsidP="00840B38">
            <w:pPr>
              <w:rPr>
                <w:sz w:val="20"/>
                <w:szCs w:val="20"/>
                <w:lang w:val="es-MX"/>
              </w:rPr>
            </w:pPr>
          </w:p>
        </w:tc>
        <w:tc>
          <w:tcPr>
            <w:tcW w:w="1872" w:type="dxa"/>
          </w:tcPr>
          <w:p w14:paraId="1C77A6A5" w14:textId="77777777" w:rsidR="00527504" w:rsidRPr="00EC047A" w:rsidRDefault="00527504" w:rsidP="00840B38">
            <w:pPr>
              <w:rPr>
                <w:sz w:val="20"/>
                <w:szCs w:val="20"/>
                <w:lang w:val="es-MX"/>
              </w:rPr>
            </w:pPr>
          </w:p>
        </w:tc>
        <w:tc>
          <w:tcPr>
            <w:tcW w:w="1873" w:type="dxa"/>
          </w:tcPr>
          <w:p w14:paraId="3540CBD4" w14:textId="77777777" w:rsidR="00527504" w:rsidRPr="00EC047A" w:rsidRDefault="00527504" w:rsidP="00840B38">
            <w:pPr>
              <w:rPr>
                <w:sz w:val="20"/>
                <w:szCs w:val="20"/>
                <w:lang w:val="es-MX"/>
              </w:rPr>
            </w:pPr>
          </w:p>
        </w:tc>
      </w:tr>
    </w:tbl>
    <w:p w14:paraId="321748F1" w14:textId="77777777" w:rsidR="00527504" w:rsidRPr="00EC047A" w:rsidRDefault="00527504" w:rsidP="00527504">
      <w:pPr>
        <w:rPr>
          <w:lang w:val="es-MX"/>
        </w:rPr>
      </w:pPr>
    </w:p>
    <w:p w14:paraId="42561919" w14:textId="77777777" w:rsidR="00527504" w:rsidRPr="00EC047A" w:rsidRDefault="00527504" w:rsidP="00527504">
      <w:pPr>
        <w:spacing w:after="240"/>
        <w:rPr>
          <w:lang w:val="es-MX"/>
        </w:rPr>
      </w:pPr>
    </w:p>
    <w:p w14:paraId="7A31881C" w14:textId="7C0D9BDC" w:rsidR="00B87EC5" w:rsidRPr="00EC047A" w:rsidRDefault="00B87EC5" w:rsidP="0056735D">
      <w:pPr>
        <w:pStyle w:val="Heading1"/>
        <w:numPr>
          <w:ilvl w:val="0"/>
          <w:numId w:val="0"/>
        </w:numPr>
        <w:rPr>
          <w:lang w:val="es-MX" w:bidi="th-TH"/>
        </w:rPr>
      </w:pPr>
    </w:p>
    <w:p w14:paraId="593F97AD" w14:textId="77777777" w:rsidR="00AA07F5" w:rsidRPr="00EC047A" w:rsidRDefault="00AA07F5" w:rsidP="00AA07F5">
      <w:pPr>
        <w:rPr>
          <w:lang w:val="es-MX" w:bidi="th-TH"/>
        </w:rPr>
      </w:pPr>
    </w:p>
    <w:sectPr w:rsidR="00AA07F5" w:rsidRPr="00EC047A">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864" w:left="1440" w:header="720" w:footer="4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0332A" w14:textId="77777777" w:rsidR="00D2328B" w:rsidRDefault="00D2328B">
      <w:r>
        <w:separator/>
      </w:r>
    </w:p>
  </w:endnote>
  <w:endnote w:type="continuationSeparator" w:id="0">
    <w:p w14:paraId="32FED0B3" w14:textId="77777777" w:rsidR="00D2328B" w:rsidRDefault="00D2328B">
      <w:r>
        <w:continuationSeparator/>
      </w:r>
    </w:p>
  </w:endnote>
  <w:endnote w:type="continuationNotice" w:id="1">
    <w:p w14:paraId="35F49FFE" w14:textId="77777777" w:rsidR="00D2328B" w:rsidRDefault="00D23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1950685"/>
      <w:docPartObj>
        <w:docPartGallery w:val="Page Numbers (Bottom of Page)"/>
        <w:docPartUnique/>
      </w:docPartObj>
    </w:sdtPr>
    <w:sdtEndPr>
      <w:rPr>
        <w:noProof/>
      </w:rPr>
    </w:sdtEndPr>
    <w:sdtContent>
      <w:p w14:paraId="72D30EB2" w14:textId="1A9AD938" w:rsidR="006125D7" w:rsidRDefault="006125D7">
        <w:pPr>
          <w:pStyle w:val="Footer"/>
          <w:jc w:val="center"/>
        </w:pPr>
        <w:r>
          <w:fldChar w:fldCharType="begin"/>
        </w:r>
        <w:r>
          <w:instrText xml:space="preserve"> PAGE   \* MERGEFORMAT </w:instrText>
        </w:r>
        <w:r>
          <w:fldChar w:fldCharType="separate"/>
        </w:r>
        <w:r w:rsidR="00AC7835">
          <w:rPr>
            <w:noProof/>
          </w:rPr>
          <w:t>8</w:t>
        </w:r>
        <w:r>
          <w:rPr>
            <w:noProof/>
          </w:rPr>
          <w:fldChar w:fldCharType="end"/>
        </w:r>
      </w:p>
    </w:sdtContent>
  </w:sdt>
  <w:p w14:paraId="25E7BEBF" w14:textId="77777777" w:rsidR="006125D7" w:rsidRDefault="00612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454135"/>
      <w:docPartObj>
        <w:docPartGallery w:val="Page Numbers (Bottom of Page)"/>
        <w:docPartUnique/>
      </w:docPartObj>
    </w:sdtPr>
    <w:sdtEndPr>
      <w:rPr>
        <w:noProof/>
      </w:rPr>
    </w:sdtEndPr>
    <w:sdtContent>
      <w:p w14:paraId="3C2BB331" w14:textId="001C667B" w:rsidR="006125D7" w:rsidRDefault="006125D7">
        <w:pPr>
          <w:pStyle w:val="Footer"/>
          <w:jc w:val="center"/>
        </w:pPr>
        <w:r>
          <w:fldChar w:fldCharType="begin"/>
        </w:r>
        <w:r>
          <w:instrText xml:space="preserve"> PAGE   \* MERGEFORMAT </w:instrText>
        </w:r>
        <w:r>
          <w:fldChar w:fldCharType="separate"/>
        </w:r>
        <w:r w:rsidR="00ED39F2">
          <w:rPr>
            <w:noProof/>
          </w:rPr>
          <w:t>1</w:t>
        </w:r>
        <w:r>
          <w:rPr>
            <w:noProof/>
          </w:rPr>
          <w:fldChar w:fldCharType="end"/>
        </w:r>
      </w:p>
    </w:sdtContent>
  </w:sdt>
  <w:p w14:paraId="73863EC8" w14:textId="77777777" w:rsidR="006125D7" w:rsidRDefault="00612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CC7EF" w14:textId="77777777" w:rsidR="006125D7" w:rsidRDefault="006125D7">
    <w:pPr>
      <w:pStyle w:val="Footer"/>
      <w:jc w:val="center"/>
    </w:pPr>
  </w:p>
  <w:p w14:paraId="59AEF97C" w14:textId="77777777" w:rsidR="006125D7" w:rsidRDefault="006125D7">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8B314" w14:textId="77777777" w:rsidR="00D2328B" w:rsidRDefault="00D2328B">
      <w:r>
        <w:separator/>
      </w:r>
    </w:p>
  </w:footnote>
  <w:footnote w:type="continuationSeparator" w:id="0">
    <w:p w14:paraId="01511D4C" w14:textId="77777777" w:rsidR="00D2328B" w:rsidRDefault="00D2328B">
      <w:r>
        <w:continuationSeparator/>
      </w:r>
    </w:p>
  </w:footnote>
  <w:footnote w:type="continuationNotice" w:id="1">
    <w:p w14:paraId="16B4A240" w14:textId="77777777" w:rsidR="00D2328B" w:rsidRDefault="00D232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F3AF" w14:textId="3B5F83A1" w:rsidR="006125D7" w:rsidRDefault="006125D7">
    <w:pPr>
      <w:jc w:val="left"/>
    </w:pPr>
    <w:r>
      <w:rPr>
        <w:lang w:val="es"/>
      </w:rPr>
      <w:fldChar w:fldCharType="begin"/>
    </w:r>
    <w:r>
      <w:rPr>
        <w:lang w:val="en-CA"/>
      </w:rPr>
      <w:instrText xml:space="preserve"> DOCPROPERTY "Document number"  \* MERGEFORMAT </w:instrText>
    </w:r>
    <w:r>
      <w:rPr>
        <w:lang w:val="es"/>
      </w:rPr>
      <w:fldChar w:fldCharType="separate"/>
    </w:r>
    <w:r w:rsidR="00672613">
      <w:rPr>
        <w:lang w:val="en-CA"/>
      </w:rPr>
      <w:t>UNEP/</w:t>
    </w:r>
    <w:proofErr w:type="spellStart"/>
    <w:r w:rsidR="00672613">
      <w:rPr>
        <w:lang w:val="en-CA"/>
      </w:rPr>
      <w:t>OzL.Pro</w:t>
    </w:r>
    <w:proofErr w:type="spellEnd"/>
    <w:r w:rsidR="00672613">
      <w:rPr>
        <w:lang w:val="en-CA"/>
      </w:rPr>
      <w:t>/ExCom/85/37</w:t>
    </w:r>
    <w:r>
      <w:rPr>
        <w:lang w:val="es"/>
      </w:rPr>
      <w:fldChar w:fldCharType="end"/>
    </w:r>
  </w:p>
  <w:p w14:paraId="369F2823" w14:textId="77777777" w:rsidR="006125D7" w:rsidRDefault="006125D7">
    <w:pPr>
      <w:pStyle w:val="Header"/>
      <w:jc w:val="left"/>
      <w:rPr>
        <w:lang w:val="en-CA"/>
      </w:rPr>
    </w:pPr>
    <w:r>
      <w:rPr>
        <w:lang w:val="en-CA"/>
      </w:rPr>
      <w:t>Anexo I</w:t>
    </w:r>
  </w:p>
  <w:p w14:paraId="12D39CF6" w14:textId="77777777" w:rsidR="006125D7" w:rsidRDefault="006125D7">
    <w:pP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4979D" w14:textId="038DFF9E" w:rsidR="006125D7" w:rsidRDefault="006125D7">
    <w:pPr>
      <w:jc w:val="right"/>
    </w:pPr>
    <w:r>
      <w:rPr>
        <w:lang w:val="es"/>
      </w:rPr>
      <w:fldChar w:fldCharType="begin"/>
    </w:r>
    <w:r>
      <w:rPr>
        <w:lang w:val="en-CA"/>
      </w:rPr>
      <w:instrText xml:space="preserve"> DOCPROPERTY "Document number"  \* MERGEFORMAT </w:instrText>
    </w:r>
    <w:r>
      <w:rPr>
        <w:lang w:val="es"/>
      </w:rPr>
      <w:fldChar w:fldCharType="separate"/>
    </w:r>
    <w:r w:rsidR="00672613">
      <w:rPr>
        <w:lang w:val="en-CA"/>
      </w:rPr>
      <w:t>UNEP/</w:t>
    </w:r>
    <w:proofErr w:type="spellStart"/>
    <w:r w:rsidR="00672613">
      <w:rPr>
        <w:lang w:val="en-CA"/>
      </w:rPr>
      <w:t>OzL.Pro</w:t>
    </w:r>
    <w:proofErr w:type="spellEnd"/>
    <w:r w:rsidR="00672613">
      <w:rPr>
        <w:lang w:val="en-CA"/>
      </w:rPr>
      <w:t>/ExCom/85/37</w:t>
    </w:r>
    <w:r>
      <w:rPr>
        <w:lang w:val="es"/>
      </w:rPr>
      <w:fldChar w:fldCharType="end"/>
    </w:r>
  </w:p>
  <w:p w14:paraId="687944A3" w14:textId="77777777" w:rsidR="006125D7" w:rsidRDefault="006125D7">
    <w:pPr>
      <w:pStyle w:val="Header"/>
      <w:jc w:val="right"/>
      <w:rPr>
        <w:lang w:val="en-CA"/>
      </w:rPr>
    </w:pPr>
    <w:r>
      <w:rPr>
        <w:lang w:val="en-CA"/>
      </w:rPr>
      <w:t>Anexo I</w:t>
    </w:r>
  </w:p>
  <w:p w14:paraId="0F4B22EB" w14:textId="77777777" w:rsidR="006125D7" w:rsidRDefault="00612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04AC" w14:textId="77777777" w:rsidR="006125D7" w:rsidRDefault="006125D7">
    <w:pPr>
      <w:jc w:val="right"/>
    </w:pPr>
  </w:p>
  <w:p w14:paraId="61AA276E" w14:textId="77777777" w:rsidR="006125D7" w:rsidRDefault="006125D7">
    <w:pPr>
      <w:pStyle w:val="Header"/>
      <w:jc w:val="right"/>
    </w:pPr>
  </w:p>
  <w:p w14:paraId="57B7933B" w14:textId="77777777" w:rsidR="006125D7" w:rsidRDefault="00612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DA618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C493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022A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7ADF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146D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F27D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CC27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FA11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B67E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76DE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6B0A4E4"/>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16852CDB"/>
    <w:multiLevelType w:val="hybridMultilevel"/>
    <w:tmpl w:val="840EB0CC"/>
    <w:lvl w:ilvl="0" w:tplc="664AA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C1280"/>
    <w:multiLevelType w:val="multilevel"/>
    <w:tmpl w:val="635C46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3E4F186C"/>
    <w:multiLevelType w:val="multilevel"/>
    <w:tmpl w:val="FFFFFFFF"/>
    <w:lvl w:ilvl="0">
      <w:start w:val="1"/>
      <w:numFmt w:val="upperRoman"/>
      <w:lvlText w:val="Artículo%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8716DBF"/>
    <w:multiLevelType w:val="hybridMultilevel"/>
    <w:tmpl w:val="AF665A78"/>
    <w:lvl w:ilvl="0" w:tplc="034CB59C">
      <w:start w:val="1"/>
      <w:numFmt w:val="low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443C9E"/>
    <w:multiLevelType w:val="multilevel"/>
    <w:tmpl w:val="D5A49A7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FC15EE6"/>
    <w:multiLevelType w:val="hybridMultilevel"/>
    <w:tmpl w:val="E4CA9C6A"/>
    <w:lvl w:ilvl="0" w:tplc="94B213D8">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0" w15:restartNumberingAfterBreak="0">
    <w:nsid w:val="51C54623"/>
    <w:multiLevelType w:val="multilevel"/>
    <w:tmpl w:val="0409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73D4CA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6282610"/>
    <w:multiLevelType w:val="multilevel"/>
    <w:tmpl w:val="FFFFFFFF"/>
    <w:lvl w:ilvl="0">
      <w:start w:val="1"/>
      <w:numFmt w:val="decimal"/>
      <w:pStyle w:val="StyleHeader4Para4Left0Firstline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2450EA"/>
    <w:multiLevelType w:val="hybridMultilevel"/>
    <w:tmpl w:val="CD46B66E"/>
    <w:lvl w:ilvl="0" w:tplc="20F2538C">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20"/>
  </w:num>
  <w:num w:numId="19">
    <w:abstractNumId w:val="24"/>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2"/>
  </w:num>
  <w:num w:numId="30">
    <w:abstractNumId w:val="21"/>
  </w:num>
  <w:num w:numId="31">
    <w:abstractNumId w:val="15"/>
  </w:num>
  <w:num w:numId="32">
    <w:abstractNumId w:val="23"/>
  </w:num>
  <w:num w:numId="33">
    <w:abstractNumId w:val="10"/>
    <w:lvlOverride w:ilvl="0">
      <w:startOverride w:val="1"/>
    </w:lvlOverride>
  </w:num>
  <w:num w:numId="34">
    <w:abstractNumId w:val="17"/>
  </w:num>
  <w:num w:numId="35">
    <w:abstractNumId w:val="12"/>
  </w:num>
  <w:num w:numId="36">
    <w:abstractNumId w:val="16"/>
  </w:num>
  <w:num w:numId="37">
    <w:abstractNumId w:val="11"/>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EC5"/>
    <w:rsid w:val="00000E96"/>
    <w:rsid w:val="000018D5"/>
    <w:rsid w:val="00070B9E"/>
    <w:rsid w:val="00081BA0"/>
    <w:rsid w:val="0008436B"/>
    <w:rsid w:val="000A6546"/>
    <w:rsid w:val="000B62B0"/>
    <w:rsid w:val="000B7196"/>
    <w:rsid w:val="000B78BE"/>
    <w:rsid w:val="000E08C5"/>
    <w:rsid w:val="00102246"/>
    <w:rsid w:val="00166F6B"/>
    <w:rsid w:val="0017762B"/>
    <w:rsid w:val="001835E2"/>
    <w:rsid w:val="00195333"/>
    <w:rsid w:val="001A02D0"/>
    <w:rsid w:val="002010B8"/>
    <w:rsid w:val="0020414F"/>
    <w:rsid w:val="002170E7"/>
    <w:rsid w:val="002221CB"/>
    <w:rsid w:val="00235C64"/>
    <w:rsid w:val="0026439B"/>
    <w:rsid w:val="002649CE"/>
    <w:rsid w:val="00277344"/>
    <w:rsid w:val="002B3924"/>
    <w:rsid w:val="002E7179"/>
    <w:rsid w:val="00306460"/>
    <w:rsid w:val="00306F9E"/>
    <w:rsid w:val="003518D4"/>
    <w:rsid w:val="00371BBF"/>
    <w:rsid w:val="003875FD"/>
    <w:rsid w:val="003930A3"/>
    <w:rsid w:val="00393AA3"/>
    <w:rsid w:val="003F105A"/>
    <w:rsid w:val="003F6D7F"/>
    <w:rsid w:val="00402EDF"/>
    <w:rsid w:val="00432A5F"/>
    <w:rsid w:val="00464F24"/>
    <w:rsid w:val="004A5A71"/>
    <w:rsid w:val="00512D35"/>
    <w:rsid w:val="0052388B"/>
    <w:rsid w:val="005249C1"/>
    <w:rsid w:val="005262FC"/>
    <w:rsid w:val="00527504"/>
    <w:rsid w:val="00542EB7"/>
    <w:rsid w:val="0056735D"/>
    <w:rsid w:val="00567D43"/>
    <w:rsid w:val="0058060B"/>
    <w:rsid w:val="005B0C4C"/>
    <w:rsid w:val="005E07FD"/>
    <w:rsid w:val="006125D7"/>
    <w:rsid w:val="00626121"/>
    <w:rsid w:val="006564FB"/>
    <w:rsid w:val="00661010"/>
    <w:rsid w:val="00672613"/>
    <w:rsid w:val="006843D6"/>
    <w:rsid w:val="006A5922"/>
    <w:rsid w:val="006C3115"/>
    <w:rsid w:val="007061B4"/>
    <w:rsid w:val="00726576"/>
    <w:rsid w:val="0073295A"/>
    <w:rsid w:val="0076262E"/>
    <w:rsid w:val="00784F97"/>
    <w:rsid w:val="007905FB"/>
    <w:rsid w:val="00793ADD"/>
    <w:rsid w:val="00793C7F"/>
    <w:rsid w:val="007C16C6"/>
    <w:rsid w:val="00810E08"/>
    <w:rsid w:val="008167FE"/>
    <w:rsid w:val="00843DFA"/>
    <w:rsid w:val="008535A6"/>
    <w:rsid w:val="00855DAC"/>
    <w:rsid w:val="00856673"/>
    <w:rsid w:val="008765C8"/>
    <w:rsid w:val="00881C1B"/>
    <w:rsid w:val="00893BDB"/>
    <w:rsid w:val="008A169B"/>
    <w:rsid w:val="008C0F68"/>
    <w:rsid w:val="008D0EFD"/>
    <w:rsid w:val="008D298D"/>
    <w:rsid w:val="008E6476"/>
    <w:rsid w:val="008F49E9"/>
    <w:rsid w:val="00907F89"/>
    <w:rsid w:val="00971DA0"/>
    <w:rsid w:val="0099703B"/>
    <w:rsid w:val="009D1547"/>
    <w:rsid w:val="009D39C0"/>
    <w:rsid w:val="009F246C"/>
    <w:rsid w:val="00A17B97"/>
    <w:rsid w:val="00A77BDD"/>
    <w:rsid w:val="00A81B69"/>
    <w:rsid w:val="00A87F84"/>
    <w:rsid w:val="00AA058E"/>
    <w:rsid w:val="00AA07F5"/>
    <w:rsid w:val="00AB287A"/>
    <w:rsid w:val="00AC7835"/>
    <w:rsid w:val="00AD1C50"/>
    <w:rsid w:val="00AF4A8B"/>
    <w:rsid w:val="00AF63C4"/>
    <w:rsid w:val="00B17DC2"/>
    <w:rsid w:val="00B44B09"/>
    <w:rsid w:val="00B4569F"/>
    <w:rsid w:val="00B60A32"/>
    <w:rsid w:val="00B87EC5"/>
    <w:rsid w:val="00B97D3F"/>
    <w:rsid w:val="00BB5065"/>
    <w:rsid w:val="00BD2395"/>
    <w:rsid w:val="00BE5042"/>
    <w:rsid w:val="00C261F2"/>
    <w:rsid w:val="00C900F9"/>
    <w:rsid w:val="00CC53AB"/>
    <w:rsid w:val="00CD07E0"/>
    <w:rsid w:val="00CD1524"/>
    <w:rsid w:val="00D1587B"/>
    <w:rsid w:val="00D2328B"/>
    <w:rsid w:val="00D4534C"/>
    <w:rsid w:val="00D85DA6"/>
    <w:rsid w:val="00D957B2"/>
    <w:rsid w:val="00DA5DFE"/>
    <w:rsid w:val="00DE3690"/>
    <w:rsid w:val="00DF1B3E"/>
    <w:rsid w:val="00DF6B88"/>
    <w:rsid w:val="00E17538"/>
    <w:rsid w:val="00E32EF8"/>
    <w:rsid w:val="00E367BA"/>
    <w:rsid w:val="00E47B8C"/>
    <w:rsid w:val="00E51001"/>
    <w:rsid w:val="00EA18B4"/>
    <w:rsid w:val="00EA506D"/>
    <w:rsid w:val="00EA7B9A"/>
    <w:rsid w:val="00EB1954"/>
    <w:rsid w:val="00EC047A"/>
    <w:rsid w:val="00ED39F2"/>
    <w:rsid w:val="00EF361D"/>
    <w:rsid w:val="00F03797"/>
    <w:rsid w:val="00F03BC8"/>
    <w:rsid w:val="00F052E4"/>
    <w:rsid w:val="00F23D20"/>
    <w:rsid w:val="00F450B8"/>
    <w:rsid w:val="00F46549"/>
    <w:rsid w:val="00F64F28"/>
    <w:rsid w:val="00F8352E"/>
    <w:rsid w:val="00FC749C"/>
    <w:rsid w:val="00FD1E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4D2C62"/>
  <w15:docId w15:val="{30970D5B-F141-4F72-9EBE-F6CE4B00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 Char"/>
    <w:basedOn w:val="Normal"/>
    <w:next w:val="Normal"/>
    <w:link w:val="Heading2Char1"/>
    <w:qFormat/>
    <w:pPr>
      <w:widowControl w:val="0"/>
      <w:numPr>
        <w:ilvl w:val="1"/>
        <w:numId w:val="1"/>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 Char,Heading 3 Char Char1"/>
    <w:basedOn w:val="Normal"/>
    <w:next w:val="Normal"/>
    <w:link w:val="Heading3Char"/>
    <w:qFormat/>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link w:val="Heading4Char"/>
    <w:qFormat/>
    <w:pPr>
      <w:keepNext/>
      <w:numPr>
        <w:ilvl w:val="3"/>
        <w:numId w:val="1"/>
      </w:numPr>
      <w:spacing w:before="240" w:after="60"/>
      <w:outlineLvl w:val="3"/>
    </w:pPr>
  </w:style>
  <w:style w:type="paragraph" w:styleId="Heading5">
    <w:name w:val="heading 5"/>
    <w:basedOn w:val="Normal"/>
    <w:next w:val="Normal"/>
    <w:link w:val="Heading5Char"/>
    <w:uiPriority w:val="99"/>
    <w:qFormat/>
    <w:pPr>
      <w:keepNext/>
      <w:numPr>
        <w:numId w:val="20"/>
      </w:numPr>
      <w:spacing w:after="240"/>
      <w:ind w:left="3600" w:hanging="720"/>
      <w:outlineLvl w:val="4"/>
    </w:pPr>
  </w:style>
  <w:style w:type="paragraph" w:styleId="Heading6">
    <w:name w:val="heading 6"/>
    <w:basedOn w:val="Normal"/>
    <w:next w:val="Normal"/>
    <w:link w:val="Heading6Char"/>
    <w:qFormat/>
    <w:pPr>
      <w:numPr>
        <w:ilvl w:val="5"/>
        <w:numId w:val="1"/>
      </w:numPr>
      <w:spacing w:before="240" w:after="60"/>
      <w:outlineLvl w:val="5"/>
    </w:pPr>
    <w:rPr>
      <w:rFonts w:ascii="Arial" w:hAnsi="Arial"/>
      <w:i/>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pPr>
      <w:outlineLvl w:val="7"/>
    </w:pPr>
    <w:rPr>
      <w:b/>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link w:val="HeaderChar"/>
    <w:uiPriority w:val="99"/>
    <w:pPr>
      <w:tabs>
        <w:tab w:val="center" w:pos="4320"/>
        <w:tab w:val="right" w:pos="8640"/>
      </w:tabs>
    </w:pPr>
  </w:style>
  <w:style w:type="paragraph" w:customStyle="1" w:styleId="sub-title">
    <w:name w:val="sub-title"/>
    <w:uiPriority w:val="99"/>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uiPriority w:val="99"/>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uiPriority w:val="99"/>
    <w:semiHidden/>
    <w:pPr>
      <w:numPr>
        <w:numId w:val="17"/>
      </w:numPr>
    </w:pPr>
  </w:style>
  <w:style w:type="numbering" w:styleId="ArticleSection">
    <w:name w:val="Outline List 3"/>
    <w:basedOn w:val="NoList"/>
    <w:uiPriority w:val="99"/>
    <w:semiHidden/>
    <w:pPr>
      <w:numPr>
        <w:numId w:val="18"/>
      </w:numPr>
    </w:pPr>
  </w:style>
  <w:style w:type="paragraph" w:styleId="BlockText">
    <w:name w:val="Block Text"/>
    <w:basedOn w:val="Normal"/>
    <w:uiPriority w:val="99"/>
    <w:semiHidden/>
    <w:pPr>
      <w:spacing w:after="120"/>
      <w:ind w:left="1440" w:right="1440"/>
    </w:pPr>
  </w:style>
  <w:style w:type="paragraph" w:styleId="BodyText3">
    <w:name w:val="Body Text 3"/>
    <w:basedOn w:val="Normal"/>
    <w:link w:val="BodyText3Char"/>
    <w:uiPriority w:val="99"/>
    <w:semiHidden/>
    <w:pPr>
      <w:spacing w:after="120"/>
    </w:pPr>
    <w:rPr>
      <w:sz w:val="16"/>
      <w:szCs w:val="16"/>
    </w:rPr>
  </w:style>
  <w:style w:type="paragraph" w:styleId="BodyTextIndent3">
    <w:name w:val="Body Text Indent 3"/>
    <w:basedOn w:val="Normal"/>
    <w:link w:val="BodyTextIndent3Char"/>
    <w:uiPriority w:val="99"/>
    <w:semiHidden/>
    <w:pPr>
      <w:spacing w:after="120"/>
      <w:ind w:left="360"/>
    </w:pPr>
    <w:rPr>
      <w:sz w:val="16"/>
      <w:szCs w:val="16"/>
    </w:rPr>
  </w:style>
  <w:style w:type="paragraph" w:styleId="PlainText">
    <w:name w:val="Plain Text"/>
    <w:basedOn w:val="Normal"/>
    <w:link w:val="PlainTextChar"/>
    <w:uiPriority w:val="99"/>
    <w:semiHidden/>
    <w:rPr>
      <w:rFonts w:ascii="Courier New" w:hAnsi="Courier New" w:cs="Courier New"/>
      <w:sz w:val="20"/>
    </w:rPr>
  </w:style>
  <w:style w:type="table" w:styleId="Table3Deffects1">
    <w:name w:val="Table 3D effects 1"/>
    <w:basedOn w:val="TableNormal"/>
    <w:uiPriority w:val="99"/>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link w:val="Heading1"/>
    <w:rPr>
      <w:sz w:val="22"/>
      <w:szCs w:val="22"/>
      <w:lang w:val="en-GB"/>
    </w:rPr>
  </w:style>
  <w:style w:type="paragraph" w:customStyle="1" w:styleId="Header4">
    <w:name w:val="Header4"/>
    <w:aliases w:val="Para 4"/>
    <w:basedOn w:val="Normal"/>
    <w:next w:val="Normal"/>
    <w:uiPriority w:val="99"/>
    <w:pPr>
      <w:widowControl w:val="0"/>
      <w:numPr>
        <w:numId w:val="19"/>
      </w:numPr>
      <w:tabs>
        <w:tab w:val="left" w:pos="2880"/>
        <w:tab w:val="left" w:pos="5760"/>
      </w:tabs>
      <w:spacing w:after="240"/>
      <w:ind w:left="2880" w:hanging="720"/>
    </w:pPr>
  </w:style>
  <w:style w:type="character" w:styleId="CommentReference">
    <w:name w:val="annotation reference"/>
    <w:uiPriority w:val="99"/>
    <w:semiHidden/>
    <w:unhideWhenUsed/>
    <w:rPr>
      <w:sz w:val="16"/>
      <w:szCs w:val="16"/>
    </w:rPr>
  </w:style>
  <w:style w:type="paragraph" w:styleId="Subtitle">
    <w:name w:val="Subtitle"/>
    <w:basedOn w:val="Normal"/>
    <w:link w:val="SubtitleChar"/>
    <w:uiPriority w:val="99"/>
    <w:qFormat/>
    <w:pPr>
      <w:spacing w:after="60"/>
      <w:jc w:val="center"/>
      <w:outlineLvl w:val="1"/>
    </w:pPr>
    <w:rPr>
      <w:rFonts w:ascii="Arial" w:hAnsi="Arial" w:cs="Arial"/>
    </w:rPr>
  </w:style>
  <w:style w:type="paragraph" w:styleId="Title">
    <w:name w:val="Title"/>
    <w:basedOn w:val="Normal"/>
    <w:link w:val="TitleChar"/>
    <w:uiPriority w:val="99"/>
    <w:qFormat/>
    <w:pPr>
      <w:spacing w:before="240" w:after="60"/>
      <w:jc w:val="center"/>
      <w:outlineLvl w:val="0"/>
    </w:pPr>
    <w:rPr>
      <w:rFonts w:ascii="Arial" w:hAnsi="Arial" w:cs="Arial"/>
      <w:b/>
      <w:bCs/>
      <w:kern w:val="28"/>
    </w:rPr>
  </w:style>
  <w:style w:type="paragraph" w:styleId="Date">
    <w:name w:val="Date"/>
    <w:basedOn w:val="Normal"/>
    <w:next w:val="Normal"/>
    <w:link w:val="DateChar"/>
    <w:uiPriority w:val="99"/>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GB"/>
    </w:rPr>
  </w:style>
  <w:style w:type="paragraph" w:customStyle="1" w:styleId="Default">
    <w:name w:val="Default"/>
    <w:pPr>
      <w:widowControl w:val="0"/>
      <w:autoSpaceDE w:val="0"/>
      <w:autoSpaceDN w:val="0"/>
      <w:adjustRightInd w:val="0"/>
    </w:pPr>
    <w:rPr>
      <w:color w:val="000000"/>
      <w:sz w:val="24"/>
      <w:szCs w:val="24"/>
    </w:rPr>
  </w:style>
  <w:style w:type="character" w:customStyle="1" w:styleId="Heading2Char1">
    <w:name w:val="Heading 2 Char1"/>
    <w:aliases w:val="SubPara (a) Char1,Heading 2 Char3 Char1,Heading 2 Char Char2 Char1,Heading 2 Char1 Char Char1 Char1,SubPara (a) Char Char Char1 Char1,Heading 2 Char Char Char Char1 Char1,Heading 2 Char1 Char Char Char Char1 Char1"/>
    <w:link w:val="Heading2"/>
    <w:locked/>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ocked/>
    <w:rPr>
      <w:lang w:val="en-GB" w:eastAsia="en-US"/>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basedOn w:val="DefaultParagraphFont"/>
    <w:link w:val="Heading3"/>
    <w:uiPriority w:val="99"/>
    <w:locked/>
    <w:rPr>
      <w:sz w:val="22"/>
      <w:szCs w:val="22"/>
      <w:lang w:val="en-GB"/>
    </w:rPr>
  </w:style>
  <w:style w:type="character" w:customStyle="1" w:styleId="Heading4Char">
    <w:name w:val="Heading 4 Char"/>
    <w:aliases w:val="Heading 11 Char,para 4 Char,Título 41 Char,heading 4 Char,Heading 41 Char,标题 41 Char"/>
    <w:basedOn w:val="DefaultParagraphFont"/>
    <w:link w:val="Heading4"/>
    <w:uiPriority w:val="99"/>
    <w:locked/>
    <w:rPr>
      <w:sz w:val="22"/>
      <w:szCs w:val="22"/>
      <w:lang w:val="en-GB"/>
    </w:rPr>
  </w:style>
  <w:style w:type="character" w:customStyle="1" w:styleId="Heading5Char">
    <w:name w:val="Heading 5 Char"/>
    <w:basedOn w:val="DefaultParagraphFont"/>
    <w:link w:val="Heading5"/>
    <w:uiPriority w:val="99"/>
    <w:locked/>
    <w:rPr>
      <w:sz w:val="22"/>
      <w:szCs w:val="22"/>
      <w:lang w:val="en-GB"/>
    </w:rPr>
  </w:style>
  <w:style w:type="character" w:customStyle="1" w:styleId="Heading6Char">
    <w:name w:val="Heading 6 Char"/>
    <w:basedOn w:val="DefaultParagraphFont"/>
    <w:link w:val="Heading6"/>
    <w:uiPriority w:val="99"/>
    <w:locked/>
    <w:rPr>
      <w:rFonts w:ascii="Arial" w:hAnsi="Arial"/>
      <w:i/>
      <w:sz w:val="22"/>
      <w:szCs w:val="22"/>
      <w:lang w:val="en-GB"/>
    </w:rPr>
  </w:style>
  <w:style w:type="character" w:customStyle="1" w:styleId="Heading7Char">
    <w:name w:val="Heading 7 Char"/>
    <w:basedOn w:val="DefaultParagraphFont"/>
    <w:link w:val="Heading7"/>
    <w:uiPriority w:val="99"/>
    <w:locked/>
    <w:rPr>
      <w:rFonts w:ascii="Arial" w:hAnsi="Arial"/>
      <w:sz w:val="22"/>
      <w:szCs w:val="22"/>
      <w:lang w:val="en-GB"/>
    </w:rPr>
  </w:style>
  <w:style w:type="character" w:customStyle="1" w:styleId="Heading8Char">
    <w:name w:val="Heading 8 Char"/>
    <w:basedOn w:val="DefaultParagraphFont"/>
    <w:link w:val="Heading8"/>
    <w:uiPriority w:val="99"/>
    <w:locked/>
    <w:rPr>
      <w:b/>
      <w:sz w:val="22"/>
      <w:szCs w:val="22"/>
      <w:lang w:val="en-GB"/>
    </w:rPr>
  </w:style>
  <w:style w:type="character" w:customStyle="1" w:styleId="Heading9Char">
    <w:name w:val="Heading 9 Char"/>
    <w:basedOn w:val="DefaultParagraphFont"/>
    <w:link w:val="Heading9"/>
    <w:uiPriority w:val="99"/>
    <w:locked/>
    <w:rPr>
      <w:rFonts w:ascii="Arial" w:hAnsi="Arial"/>
      <w:i/>
      <w:sz w:val="18"/>
      <w:szCs w:val="22"/>
      <w:lang w:val="en-GB"/>
    </w:rPr>
  </w:style>
  <w:style w:type="character" w:customStyle="1" w:styleId="HeaderChar">
    <w:name w:val="Header Char"/>
    <w:basedOn w:val="DefaultParagraphFont"/>
    <w:link w:val="Header"/>
    <w:uiPriority w:val="99"/>
    <w:locked/>
    <w:rPr>
      <w:sz w:val="22"/>
      <w:szCs w:val="22"/>
      <w:lang w:val="en-GB"/>
    </w:rPr>
  </w:style>
  <w:style w:type="character" w:styleId="PageNumber">
    <w:name w:val="page number"/>
    <w:basedOn w:val="DefaultParagraphFont"/>
    <w:uiPriority w:val="99"/>
    <w:rPr>
      <w:rFonts w:cs="Times New Roman"/>
      <w:sz w:val="22"/>
      <w:szCs w:val="22"/>
    </w:rPr>
  </w:style>
  <w:style w:type="paragraph" w:customStyle="1" w:styleId="Title10">
    <w:name w:val="Title1"/>
    <w:uiPriority w:val="99"/>
    <w:pPr>
      <w:jc w:val="center"/>
      <w:outlineLvl w:val="0"/>
    </w:pPr>
    <w:rPr>
      <w:b/>
      <w:caps/>
      <w:sz w:val="22"/>
      <w:szCs w:val="22"/>
      <w:lang w:val="en-GB"/>
    </w:rPr>
  </w:style>
  <w:style w:type="character" w:customStyle="1" w:styleId="FooterChar">
    <w:name w:val="Footer Char"/>
    <w:basedOn w:val="DefaultParagraphFont"/>
    <w:link w:val="Footer"/>
    <w:uiPriority w:val="99"/>
    <w:locked/>
    <w:rPr>
      <w:sz w:val="22"/>
      <w:szCs w:val="22"/>
      <w:lang w:val="en-GB"/>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Pr>
      <w:sz w:val="22"/>
      <w:szCs w:val="22"/>
      <w:lang w:val="en-GB"/>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rPr>
      <w:sz w:val="22"/>
      <w:szCs w:val="22"/>
      <w:lang w:val="en-GB"/>
    </w:rPr>
  </w:style>
  <w:style w:type="character" w:customStyle="1" w:styleId="BodyText3Char">
    <w:name w:val="Body Text 3 Char"/>
    <w:basedOn w:val="DefaultParagraphFont"/>
    <w:link w:val="BodyText3"/>
    <w:uiPriority w:val="99"/>
    <w:semiHidden/>
    <w:locked/>
    <w:rPr>
      <w:sz w:val="16"/>
      <w:szCs w:val="16"/>
      <w:lang w:val="en-GB"/>
    </w:rPr>
  </w:style>
  <w:style w:type="paragraph" w:styleId="BodyTextFirstIndent">
    <w:name w:val="Body Text First Indent"/>
    <w:basedOn w:val="BodyText"/>
    <w:link w:val="BodyTextFirstIndentChar"/>
    <w:uiPriority w:val="99"/>
    <w:semiHidden/>
    <w:pPr>
      <w:ind w:firstLine="210"/>
    </w:pPr>
  </w:style>
  <w:style w:type="character" w:customStyle="1" w:styleId="BodyTextFirstIndentChar">
    <w:name w:val="Body Text First Indent Char"/>
    <w:basedOn w:val="BodyTextChar"/>
    <w:link w:val="BodyTextFirstIndent"/>
    <w:uiPriority w:val="99"/>
    <w:semiHidden/>
    <w:rPr>
      <w:sz w:val="22"/>
      <w:szCs w:val="22"/>
      <w:lang w:val="en-GB"/>
    </w:r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rPr>
      <w:sz w:val="22"/>
      <w:szCs w:val="22"/>
      <w:lang w:val="en-GB"/>
    </w:rPr>
  </w:style>
  <w:style w:type="paragraph" w:styleId="BodyTextFirstIndent2">
    <w:name w:val="Body Text First Indent 2"/>
    <w:basedOn w:val="BodyTextIndent"/>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Pr>
      <w:sz w:val="22"/>
      <w:szCs w:val="22"/>
      <w:lang w:val="en-GB"/>
    </w:rPr>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basedOn w:val="DefaultParagraphFont"/>
    <w:link w:val="BodyTextIndent2"/>
    <w:uiPriority w:val="99"/>
    <w:semiHidden/>
    <w:rPr>
      <w:sz w:val="22"/>
      <w:szCs w:val="22"/>
      <w:lang w:val="en-GB"/>
    </w:rPr>
  </w:style>
  <w:style w:type="character" w:customStyle="1" w:styleId="BodyTextIndent3Char">
    <w:name w:val="Body Text Indent 3 Char"/>
    <w:basedOn w:val="DefaultParagraphFont"/>
    <w:link w:val="BodyTextIndent3"/>
    <w:uiPriority w:val="99"/>
    <w:semiHidden/>
    <w:locked/>
    <w:rPr>
      <w:sz w:val="16"/>
      <w:szCs w:val="16"/>
      <w:lang w:val="en-GB"/>
    </w:rPr>
  </w:style>
  <w:style w:type="paragraph" w:styleId="Closing">
    <w:name w:val="Closing"/>
    <w:basedOn w:val="Normal"/>
    <w:link w:val="ClosingChar"/>
    <w:uiPriority w:val="99"/>
    <w:semiHidden/>
    <w:pPr>
      <w:ind w:left="4320"/>
    </w:pPr>
  </w:style>
  <w:style w:type="character" w:customStyle="1" w:styleId="ClosingChar">
    <w:name w:val="Closing Char"/>
    <w:basedOn w:val="DefaultParagraphFont"/>
    <w:link w:val="Closing"/>
    <w:uiPriority w:val="99"/>
    <w:semiHidden/>
    <w:rPr>
      <w:sz w:val="22"/>
      <w:szCs w:val="22"/>
      <w:lang w:val="en-GB"/>
    </w:rPr>
  </w:style>
  <w:style w:type="paragraph" w:styleId="E-mailSignature">
    <w:name w:val="E-mail Signature"/>
    <w:basedOn w:val="Normal"/>
    <w:link w:val="E-mailSignatureChar"/>
    <w:uiPriority w:val="99"/>
    <w:semiHidden/>
  </w:style>
  <w:style w:type="character" w:customStyle="1" w:styleId="E-mailSignatureChar">
    <w:name w:val="E-mail Signature Char"/>
    <w:basedOn w:val="DefaultParagraphFont"/>
    <w:link w:val="E-mailSignature"/>
    <w:uiPriority w:val="99"/>
    <w:semiHidden/>
    <w:rPr>
      <w:sz w:val="22"/>
      <w:szCs w:val="22"/>
      <w:lang w:val="en-GB"/>
    </w:rPr>
  </w:style>
  <w:style w:type="character" w:styleId="Emphasis">
    <w:name w:val="Emphasis"/>
    <w:basedOn w:val="DefaultParagraphFont"/>
    <w:uiPriority w:val="99"/>
    <w:qFormat/>
    <w:rPr>
      <w:rFonts w:cs="Times New Roman"/>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Pr>
      <w:rFonts w:ascii="Arial" w:hAnsi="Arial" w:cs="Arial"/>
      <w:sz w:val="20"/>
    </w:rPr>
  </w:style>
  <w:style w:type="character" w:styleId="FollowedHyperlink">
    <w:name w:val="FollowedHyperlink"/>
    <w:basedOn w:val="DefaultParagraphFont"/>
    <w:uiPriority w:val="99"/>
    <w:semiHidden/>
    <w:rPr>
      <w:rFonts w:cs="Times New Roman"/>
      <w:color w:val="800080"/>
      <w:u w:val="single"/>
    </w:rPr>
  </w:style>
  <w:style w:type="character" w:styleId="HTMLAcronym">
    <w:name w:val="HTML Acronym"/>
    <w:basedOn w:val="DefaultParagraphFont"/>
    <w:uiPriority w:val="99"/>
    <w:semiHidden/>
    <w:rPr>
      <w:rFonts w:cs="Times New Roman"/>
    </w:rPr>
  </w:style>
  <w:style w:type="paragraph" w:styleId="HTMLAddress">
    <w:name w:val="HTML Address"/>
    <w:basedOn w:val="Normal"/>
    <w:link w:val="HTMLAddressChar"/>
    <w:uiPriority w:val="99"/>
    <w:semiHidden/>
    <w:rPr>
      <w:i/>
      <w:iCs/>
    </w:rPr>
  </w:style>
  <w:style w:type="character" w:customStyle="1" w:styleId="HTMLAddressChar">
    <w:name w:val="HTML Address Char"/>
    <w:basedOn w:val="DefaultParagraphFont"/>
    <w:link w:val="HTMLAddress"/>
    <w:uiPriority w:val="99"/>
    <w:semiHidden/>
    <w:rPr>
      <w:i/>
      <w:iCs/>
      <w:sz w:val="22"/>
      <w:szCs w:val="22"/>
      <w:lang w:val="en-GB"/>
    </w:rPr>
  </w:style>
  <w:style w:type="character" w:styleId="HTMLCite">
    <w:name w:val="HTML Cite"/>
    <w:basedOn w:val="DefaultParagraphFont"/>
    <w:uiPriority w:val="99"/>
    <w:semiHidden/>
    <w:rPr>
      <w:rFonts w:cs="Times New Roman"/>
      <w:i/>
      <w:iCs/>
    </w:rPr>
  </w:style>
  <w:style w:type="character" w:styleId="HTMLCode">
    <w:name w:val="HTML Code"/>
    <w:basedOn w:val="DefaultParagraphFont"/>
    <w:uiPriority w:val="99"/>
    <w:semiHidden/>
    <w:rPr>
      <w:rFonts w:ascii="Courier New" w:hAnsi="Courier New" w:cs="Courier New"/>
      <w:sz w:val="20"/>
      <w:szCs w:val="20"/>
    </w:rPr>
  </w:style>
  <w:style w:type="character" w:styleId="HTMLDefinition">
    <w:name w:val="HTML Definition"/>
    <w:basedOn w:val="DefaultParagraphFont"/>
    <w:uiPriority w:val="99"/>
    <w:semiHidden/>
    <w:rPr>
      <w:rFonts w:cs="Times New Roman"/>
      <w:i/>
      <w:iCs/>
    </w:rPr>
  </w:style>
  <w:style w:type="character" w:styleId="HTMLKeyboard">
    <w:name w:val="HTML Keyboard"/>
    <w:basedOn w:val="DefaultParagraphFont"/>
    <w:uiPriority w:val="99"/>
    <w:semiHidden/>
    <w:rPr>
      <w:rFonts w:ascii="Courier New" w:hAnsi="Courier New" w:cs="Courier New"/>
      <w:sz w:val="20"/>
      <w:szCs w:val="20"/>
    </w:rPr>
  </w:style>
  <w:style w:type="paragraph" w:styleId="HTMLPreformatted">
    <w:name w:val="HTML Preformatted"/>
    <w:basedOn w:val="Normal"/>
    <w:link w:val="HTMLPreformattedChar"/>
    <w:uiPriority w:val="99"/>
    <w:semiHidden/>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szCs w:val="22"/>
      <w:lang w:val="en-GB"/>
    </w:rPr>
  </w:style>
  <w:style w:type="character" w:styleId="HTMLSample">
    <w:name w:val="HTML Sample"/>
    <w:basedOn w:val="DefaultParagraphFont"/>
    <w:uiPriority w:val="99"/>
    <w:semiHidden/>
    <w:rPr>
      <w:rFonts w:ascii="Courier New" w:hAnsi="Courier New" w:cs="Courier New"/>
    </w:rPr>
  </w:style>
  <w:style w:type="character" w:styleId="HTMLTypewriter">
    <w:name w:val="HTML Typewriter"/>
    <w:basedOn w:val="DefaultParagraphFont"/>
    <w:uiPriority w:val="99"/>
    <w:semiHidden/>
    <w:rPr>
      <w:rFonts w:ascii="Courier New" w:hAnsi="Courier New" w:cs="Courier New"/>
      <w:sz w:val="20"/>
      <w:szCs w:val="20"/>
    </w:rPr>
  </w:style>
  <w:style w:type="character" w:styleId="HTMLVariable">
    <w:name w:val="HTML Variable"/>
    <w:basedOn w:val="DefaultParagraphFont"/>
    <w:uiPriority w:val="99"/>
    <w:semiHidden/>
    <w:rPr>
      <w:rFonts w:cs="Times New Roman"/>
      <w:i/>
      <w:iCs/>
    </w:rPr>
  </w:style>
  <w:style w:type="character" w:styleId="Hyperlink">
    <w:name w:val="Hyperlink"/>
    <w:basedOn w:val="DefaultParagraphFont"/>
    <w:uiPriority w:val="99"/>
    <w:semiHidden/>
    <w:rPr>
      <w:rFonts w:cs="Times New Roman"/>
      <w:color w:val="0000FF"/>
      <w:u w:val="single"/>
    </w:rPr>
  </w:style>
  <w:style w:type="character" w:styleId="LineNumber">
    <w:name w:val="line number"/>
    <w:basedOn w:val="DefaultParagraphFont"/>
    <w:uiPriority w:val="99"/>
    <w:semiHidden/>
    <w:rPr>
      <w:rFonts w:cs="Times New Roman"/>
    </w:rPr>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
    <w:name w:val="List Bullet"/>
    <w:basedOn w:val="Normal"/>
    <w:autoRedefine/>
    <w:uiPriority w:val="99"/>
    <w:semiHidden/>
    <w:pPr>
      <w:tabs>
        <w:tab w:val="num" w:pos="360"/>
      </w:tabs>
    </w:pPr>
  </w:style>
  <w:style w:type="paragraph" w:styleId="ListBullet2">
    <w:name w:val="List Bullet 2"/>
    <w:basedOn w:val="Normal"/>
    <w:autoRedefine/>
    <w:uiPriority w:val="99"/>
    <w:semiHidden/>
    <w:pPr>
      <w:tabs>
        <w:tab w:val="num" w:pos="720"/>
      </w:tabs>
    </w:pPr>
  </w:style>
  <w:style w:type="paragraph" w:styleId="ListBullet3">
    <w:name w:val="List Bullet 3"/>
    <w:basedOn w:val="Normal"/>
    <w:autoRedefine/>
    <w:uiPriority w:val="99"/>
    <w:semiHidden/>
    <w:pPr>
      <w:tabs>
        <w:tab w:val="num" w:pos="1080"/>
      </w:tabs>
    </w:pPr>
  </w:style>
  <w:style w:type="paragraph" w:styleId="ListBullet4">
    <w:name w:val="List Bullet 4"/>
    <w:basedOn w:val="Normal"/>
    <w:autoRedefine/>
    <w:uiPriority w:val="99"/>
    <w:semiHidden/>
    <w:pPr>
      <w:tabs>
        <w:tab w:val="num" w:pos="1440"/>
      </w:tabs>
    </w:pPr>
  </w:style>
  <w:style w:type="paragraph" w:styleId="ListBullet5">
    <w:name w:val="List Bullet 5"/>
    <w:basedOn w:val="Normal"/>
    <w:autoRedefine/>
    <w:uiPriority w:val="99"/>
    <w:semiHidden/>
    <w:pPr>
      <w:tabs>
        <w:tab w:val="num" w:pos="1800"/>
      </w:tabs>
    </w:pPr>
  </w:style>
  <w:style w:type="paragraph" w:styleId="ListContinue">
    <w:name w:val="List Continue"/>
    <w:basedOn w:val="Normal"/>
    <w:uiPriority w:val="99"/>
    <w:semiHidden/>
    <w:pPr>
      <w:spacing w:after="120"/>
      <w:ind w:left="360"/>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
    <w:name w:val="List Number"/>
    <w:basedOn w:val="Normal"/>
    <w:uiPriority w:val="99"/>
    <w:semiHidden/>
    <w:pPr>
      <w:tabs>
        <w:tab w:val="num" w:pos="360"/>
      </w:tabs>
    </w:pPr>
  </w:style>
  <w:style w:type="paragraph" w:styleId="ListNumber2">
    <w:name w:val="List Number 2"/>
    <w:basedOn w:val="Normal"/>
    <w:uiPriority w:val="99"/>
    <w:semiHidden/>
    <w:pPr>
      <w:tabs>
        <w:tab w:val="num" w:pos="720"/>
      </w:tabs>
      <w:ind w:left="720" w:hanging="360"/>
    </w:pPr>
  </w:style>
  <w:style w:type="paragraph" w:styleId="ListNumber3">
    <w:name w:val="List Number 3"/>
    <w:basedOn w:val="Normal"/>
    <w:uiPriority w:val="99"/>
    <w:semiHidden/>
    <w:pPr>
      <w:tabs>
        <w:tab w:val="num" w:pos="1080"/>
      </w:tabs>
      <w:ind w:left="1080" w:hanging="360"/>
    </w:pPr>
  </w:style>
  <w:style w:type="paragraph" w:styleId="ListNumber4">
    <w:name w:val="List Number 4"/>
    <w:basedOn w:val="Normal"/>
    <w:uiPriority w:val="99"/>
    <w:semiHidden/>
    <w:pPr>
      <w:tabs>
        <w:tab w:val="num" w:pos="1440"/>
      </w:tabs>
      <w:ind w:left="1440" w:hanging="360"/>
    </w:pPr>
  </w:style>
  <w:style w:type="paragraph" w:styleId="ListNumber5">
    <w:name w:val="List Number 5"/>
    <w:basedOn w:val="Normal"/>
    <w:uiPriority w:val="99"/>
    <w:semiHidden/>
    <w:pPr>
      <w:tabs>
        <w:tab w:val="num" w:pos="1800"/>
      </w:tabs>
      <w:ind w:left="1800" w:hanging="360"/>
    </w:p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rPr>
      <w:rFonts w:ascii="Arial" w:hAnsi="Arial" w:cs="Arial"/>
      <w:sz w:val="22"/>
      <w:szCs w:val="24"/>
      <w:shd w:val="pct20" w:color="auto" w:fill="auto"/>
      <w:lang w:val="en-GB"/>
    </w:rPr>
  </w:style>
  <w:style w:type="paragraph" w:styleId="NormalWeb">
    <w:name w:val="Normal (Web)"/>
    <w:basedOn w:val="Normal"/>
    <w:uiPriority w:val="99"/>
    <w:semiHidden/>
    <w:rPr>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style>
  <w:style w:type="character" w:customStyle="1" w:styleId="NoteHeadingChar">
    <w:name w:val="Note Heading Char"/>
    <w:basedOn w:val="DefaultParagraphFont"/>
    <w:link w:val="NoteHeading"/>
    <w:uiPriority w:val="99"/>
    <w:semiHidden/>
    <w:rPr>
      <w:sz w:val="22"/>
      <w:szCs w:val="22"/>
      <w:lang w:val="en-GB"/>
    </w:rPr>
  </w:style>
  <w:style w:type="character" w:customStyle="1" w:styleId="PlainTextChar">
    <w:name w:val="Plain Text Char"/>
    <w:basedOn w:val="DefaultParagraphFont"/>
    <w:link w:val="PlainText"/>
    <w:uiPriority w:val="99"/>
    <w:semiHidden/>
    <w:locked/>
    <w:rPr>
      <w:rFonts w:ascii="Courier New" w:hAnsi="Courier New" w:cs="Courier New"/>
      <w:szCs w:val="22"/>
      <w:lang w:val="en-GB"/>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rPr>
      <w:sz w:val="22"/>
      <w:szCs w:val="22"/>
      <w:lang w:val="en-GB"/>
    </w:rPr>
  </w:style>
  <w:style w:type="paragraph" w:styleId="Signature">
    <w:name w:val="Signature"/>
    <w:basedOn w:val="Normal"/>
    <w:link w:val="SignatureChar"/>
    <w:uiPriority w:val="99"/>
    <w:semiHidden/>
    <w:pPr>
      <w:ind w:left="4320"/>
    </w:pPr>
  </w:style>
  <w:style w:type="character" w:customStyle="1" w:styleId="SignatureChar">
    <w:name w:val="Signature Char"/>
    <w:basedOn w:val="DefaultParagraphFont"/>
    <w:link w:val="Signature"/>
    <w:uiPriority w:val="99"/>
    <w:semiHidden/>
    <w:rPr>
      <w:sz w:val="22"/>
      <w:szCs w:val="22"/>
      <w:lang w:val="en-GB"/>
    </w:rPr>
  </w:style>
  <w:style w:type="character" w:styleId="Strong">
    <w:name w:val="Strong"/>
    <w:basedOn w:val="DefaultParagraphFont"/>
    <w:uiPriority w:val="99"/>
    <w:qFormat/>
    <w:rPr>
      <w:rFonts w:cs="Times New Roman"/>
      <w:b/>
      <w:bCs/>
    </w:rPr>
  </w:style>
  <w:style w:type="paragraph" w:customStyle="1" w:styleId="StyleHeader4Para4Left0Firstline0">
    <w:name w:val="Style Header4Para 4 + Left:  0&quot; First line:  0&quot;"/>
    <w:basedOn w:val="Header4"/>
    <w:uiPriority w:val="99"/>
    <w:pPr>
      <w:numPr>
        <w:numId w:val="29"/>
      </w:numPr>
      <w:ind w:left="0" w:firstLine="0"/>
    </w:pPr>
    <w:rPr>
      <w:sz w:val="20"/>
    </w:rPr>
  </w:style>
  <w:style w:type="character" w:customStyle="1" w:styleId="SubtitleChar">
    <w:name w:val="Subtitle Char"/>
    <w:basedOn w:val="DefaultParagraphFont"/>
    <w:link w:val="Subtitle"/>
    <w:uiPriority w:val="99"/>
    <w:locked/>
    <w:rPr>
      <w:rFonts w:ascii="Arial" w:hAnsi="Arial" w:cs="Arial"/>
      <w:sz w:val="22"/>
      <w:szCs w:val="22"/>
      <w:lang w:val="en-GB"/>
    </w:rPr>
  </w:style>
  <w:style w:type="character" w:customStyle="1" w:styleId="TitleChar">
    <w:name w:val="Title Char"/>
    <w:basedOn w:val="DefaultParagraphFont"/>
    <w:link w:val="Title"/>
    <w:uiPriority w:val="99"/>
    <w:locked/>
    <w:rPr>
      <w:rFonts w:ascii="Arial" w:hAnsi="Arial" w:cs="Arial"/>
      <w:b/>
      <w:bCs/>
      <w:kern w:val="28"/>
      <w:sz w:val="22"/>
      <w:szCs w:val="22"/>
      <w:lang w:val="en-GB"/>
    </w:rPr>
  </w:style>
  <w:style w:type="character" w:customStyle="1" w:styleId="DateChar">
    <w:name w:val="Date Char"/>
    <w:basedOn w:val="DefaultParagraphFont"/>
    <w:link w:val="Date"/>
    <w:uiPriority w:val="99"/>
    <w:locked/>
    <w:rPr>
      <w:sz w:val="22"/>
      <w:szCs w:val="22"/>
      <w:lang w:val="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2"/>
      <w:szCs w:val="22"/>
      <w:lang w:val="en-GB"/>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lang w:val="en-GB"/>
    </w:rPr>
  </w:style>
  <w:style w:type="character" w:styleId="FootnoteReference">
    <w:name w:val="footnote reference"/>
    <w:basedOn w:val="DefaultParagraphFont"/>
    <w:uiPriority w:val="99"/>
    <w:semiHidden/>
    <w:unhideWhenUsed/>
    <w:rPr>
      <w:vertAlign w:val="superscript"/>
    </w:rPr>
  </w:style>
  <w:style w:type="table" w:customStyle="1" w:styleId="TableGrid11">
    <w:name w:val="Table Grid11"/>
    <w:basedOn w:val="TableNormal"/>
    <w:next w:val="TableGrid"/>
    <w:rsid w:val="0052750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579558">
      <w:marLeft w:val="0"/>
      <w:marRight w:val="0"/>
      <w:marTop w:val="0"/>
      <w:marBottom w:val="0"/>
      <w:divBdr>
        <w:top w:val="none" w:sz="0" w:space="0" w:color="auto"/>
        <w:left w:val="none" w:sz="0" w:space="0" w:color="auto"/>
        <w:bottom w:val="none" w:sz="0" w:space="0" w:color="auto"/>
        <w:right w:val="none" w:sz="0" w:space="0" w:color="auto"/>
      </w:divBdr>
      <w:divsChild>
        <w:div w:id="265579557">
          <w:marLeft w:val="0"/>
          <w:marRight w:val="0"/>
          <w:marTop w:val="0"/>
          <w:marBottom w:val="600"/>
          <w:divBdr>
            <w:top w:val="none" w:sz="0" w:space="0" w:color="auto"/>
            <w:left w:val="none" w:sz="0" w:space="0" w:color="auto"/>
            <w:bottom w:val="none" w:sz="0" w:space="0" w:color="auto"/>
            <w:right w:val="none" w:sz="0" w:space="0" w:color="auto"/>
          </w:divBdr>
        </w:div>
      </w:divsChild>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858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ocument_x0020_Number xmlns="e6e1f9e0-8f48-4721-871b-80b3d7694360">UNEP/OzL.Pro/ExCom/85/37</Document_x0020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7F0387FBADCE48895CD566B8CC264C" ma:contentTypeVersion="1" ma:contentTypeDescription="Create a new document." ma:contentTypeScope="" ma:versionID="6923f52c6458c6a1846340aec431b4a1">
  <xsd:schema xmlns:xsd="http://www.w3.org/2001/XMLSchema" xmlns:p="http://schemas.microsoft.com/office/2006/metadata/properties" xmlns:ns2="e6e1f9e0-8f48-4721-871b-80b3d7694360" targetNamespace="http://schemas.microsoft.com/office/2006/metadata/properties" ma:root="true" ma:fieldsID="a04bb900c1e3e8207ded36cae9e10746"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8630D04-6FD3-49DF-9D63-D5953640C30F}"/>
</file>

<file path=customXml/itemProps2.xml><?xml version="1.0" encoding="utf-8"?>
<ds:datastoreItem xmlns:ds="http://schemas.openxmlformats.org/officeDocument/2006/customXml" ds:itemID="{D4676587-AD90-4A65-B096-695A8B4FBAF4}"/>
</file>

<file path=customXml/itemProps3.xml><?xml version="1.0" encoding="utf-8"?>
<ds:datastoreItem xmlns:ds="http://schemas.openxmlformats.org/officeDocument/2006/customXml" ds:itemID="{29DA7956-AD5F-4F5E-ABCA-10C3E0CEB476}"/>
</file>

<file path=customXml/itemProps4.xml><?xml version="1.0" encoding="utf-8"?>
<ds:datastoreItem xmlns:ds="http://schemas.openxmlformats.org/officeDocument/2006/customXml" ds:itemID="{4D78F39A-D50F-4448-9FE4-C47E134F1A30}"/>
</file>

<file path=docProps/app.xml><?xml version="1.0" encoding="utf-8"?>
<Properties xmlns="http://schemas.openxmlformats.org/officeDocument/2006/extended-properties" xmlns:vt="http://schemas.openxmlformats.org/officeDocument/2006/docPropsVTypes">
  <Template>Normal</Template>
  <TotalTime>1</TotalTime>
  <Pages>9</Pages>
  <Words>3655</Words>
  <Characters>20838</Characters>
  <Application>Microsoft Office Word</Application>
  <DocSecurity>0</DocSecurity>
  <Lines>173</Lines>
  <Paragraphs>48</Paragraphs>
  <ScaleCrop>false</ScaleCrop>
  <HeadingPairs>
    <vt:vector size="6" baseType="variant">
      <vt:variant>
        <vt:lpstr>Title</vt:lpstr>
      </vt:variant>
      <vt:variant>
        <vt:i4>1</vt:i4>
      </vt:variant>
      <vt:variant>
        <vt:lpstr>Headings</vt:lpstr>
      </vt:variant>
      <vt:variant>
        <vt:i4>70</vt:i4>
      </vt:variant>
      <vt:variant>
        <vt:lpstr>Título</vt:lpstr>
      </vt:variant>
      <vt:variant>
        <vt:i4>1</vt:i4>
      </vt:variant>
    </vt:vector>
  </HeadingPairs>
  <TitlesOfParts>
    <vt:vector size="72" baseType="lpstr">
      <vt:lpstr>Propuesta de proyecto: Malawi</vt:lpstr>
      <vt:lpstr>El presente Acuerdo representa el entendimiento a que han llegado el Gobierno de</vt:lpstr>
      <vt:lpstr>El País conviene en cumplir con los límites anuales de consumo de las Sustancias</vt:lpstr>
      <vt:lpstr>Con sujeción al cumplimiento por parte del País de las obligaciones estipuladas </vt:lpstr>
      <vt:lpstr>El País acepta aplicar este Acuerdo conforme a la etapa II del plan de gestión d</vt:lpstr>
      <vt:lpstr>El Comité Ejecutivo proporcionará la Financiación conforme al Calendario de Apro</vt:lpstr>
      <vt:lpstr>    Que el País haya cumplido con los Objetivos estipulados en la fila 1.2 del Apénd</vt:lpstr>
      <vt:lpstr>    Que el logro de estos Objetivos haya sido verificado independientemente para tod</vt:lpstr>
      <vt:lpstr>    Que el País haya presentado Informes de Ejecución de Tramos en el formulario del</vt:lpstr>
      <vt:lpstr>    Que el País haya presentado un Plan de Ejecución de Tramos en el formulario del </vt:lpstr>
      <vt:lpstr>El País garantizará que realiza una supervisión precisa de sus actividades en vi</vt:lpstr>
      <vt:lpstr>El Comité Ejecutivo conviene en que el País puede tener flexibilidad para reasig</vt:lpstr>
      <vt:lpstr>    Las reasignaciones que se consideren cambios importantes deben documentarse por </vt:lpstr>
      <vt:lpstr>        Asuntos que pudieran afectar al reglamento y las políticas del Fondo Multilatera</vt:lpstr>
      <vt:lpstr>        Cambios que modificarían cualquier cláusula de este Acuerdo; </vt:lpstr>
      <vt:lpstr>        Cambios en los niveles anuales de financiación asignados a organismos bilaterale</vt:lpstr>
      <vt:lpstr>        Suministro de financiación para actividades no incluidas en el Plan de Ejecución</vt:lpstr>
      <vt:lpstr>        Cambios en las tecnologías alternativas, quedando entendido que cualquier presen</vt:lpstr>
      <vt:lpstr>    Las reasignaciones no clasificadas como cambios importantes pueden incorporarse </vt:lpstr>
      <vt:lpstr>    El País acepta, en caso de que las tecnologías con HFC hayan sido elegidas como </vt:lpstr>
      <vt:lpstr>    Todos los fondos remanentes retenidos por los organismos de ejecución o bilatera</vt:lpstr>
      <vt:lpstr>Se prestará especial atención a la ejecución de las actividades en el subsector </vt:lpstr>
      <vt:lpstr>    El País utilizaría la flexibilidad disponible conforme a este Acuerdo para atend</vt:lpstr>
      <vt:lpstr>    El País y los organismos bilaterales y/o de ejecución pertinentes tomarán en con</vt:lpstr>
      <vt:lpstr>El País conviene en asumir la responsabilidad general por la gestión y aplicació</vt:lpstr>
      <vt:lpstr>El Organismo de Ejecución Principal tendrá la responsabilidad de asegurar la pla</vt:lpstr>
      <vt:lpstr>Si, por cualquier motivo, el País no alcanzara los Objetivos de eliminación de l</vt:lpstr>
      <vt:lpstr>No se modificará la Financiación del presente Acuerdo en virtud de decisiones fu</vt:lpstr>
      <vt:lpstr>El País satisfará cualquier solicitud razonable del Comité Ejecutivo, el Organis</vt:lpstr>
      <vt:lpstr>El Plan y el Acuerdo relacionado concluirán al final del año siguiente al último</vt:lpstr>
      <vt:lpstr>Todas las condiciones del presente Acuerdo han de ser aplicadas exclusivamente e</vt:lpstr>
      <vt:lpstr>El presente Acuerdo puede ser modificado o darse por terminado por escrito y po</vt:lpstr>
      <vt:lpstr>*Fecha de terminación de la etapa I conforme al Acuerdo para dicha etapa: 31 de </vt:lpstr>
      <vt:lpstr>La financiación para los tramos futuros se considerará para aprobación en la pri</vt:lpstr>
      <vt:lpstr>La presentación del Informe de Ejecución de Tramo y de los Planes para cada tram</vt:lpstr>
      <vt:lpstr>    Un informe descriptivo, que proporcione datos por tramo, que indique el progreso</vt:lpstr>
      <vt:lpstr>    Un informe de verificación independiente de los resultados y el consumo de las S</vt:lpstr>
      <vt:lpstr>    Una descripción por escrito de las actividades por llevar a cabo durante el perí</vt:lpstr>
      <vt:lpstr>    Un conjunto de información cuantitativa para todos los Informes y Planes de Ejec</vt:lpstr>
      <vt:lpstr>    Un Resumen Ejecutivo de unos cinco párrafos con un resumen de la información est</vt:lpstr>
      <vt:lpstr>En el caso en que en un año en particular se ejecuten en forma paralela dos etap</vt:lpstr>
      <vt:lpstr>    Los Informes y los Planes de Ejecución de tramos a los que se haga referencia co</vt:lpstr>
      <vt:lpstr>    Si las etapas en curso de ejecución tuvieran diferentes objetivos de eliminación</vt:lpstr>
      <vt:lpstr>La Dependencia Nacional del Ozono presentará anualmente al organismo de ejecució</vt:lpstr>
      <vt:lpstr>El Organismo de Ejecución Principal asignará la supervisión del desarrollo del P</vt:lpstr>
      <vt:lpstr>APÉNDICE 6-A: FUNCIÓN DEL ORGANISMO DE EJECUCIÓN PRINCIPAL </vt:lpstr>
      <vt:lpstr>El Organismo de Ejecución Principal tendrá a su cargo diversas responsabilidades</vt:lpstr>
      <vt:lpstr>    Asegurar la verificación del desempeño y de los aspectos financieros de conformi</vt:lpstr>
      <vt:lpstr>    Brindar asistencia al País para preparar los Informes y Planes de Ejecución de T</vt:lpstr>
      <vt:lpstr>    Proporcionar al Comité Ejecutivo una verificación independiente de que se han al</vt:lpstr>
      <vt:lpstr>    Asegurar que las experiencias y logros se reflejen en actualizaciones del plan g</vt:lpstr>
      <vt:lpstr>    Cumplir los requisitos de información respecto de los Informes y Planes de Ejecu</vt:lpstr>
      <vt:lpstr>    En caso de que el último tramo de financiamiento se pida con uno o más años de a</vt:lpstr>
      <vt:lpstr>    Asegurar que expertos técnicos independientes competentes lleven a cabo las revi</vt:lpstr>
      <vt:lpstr>    Emprender las misiones de supervisión requeridas;</vt:lpstr>
      <vt:lpstr>    Asegurar la existencia de un mecanismo operativo que permita la ejecución eficaz</vt:lpstr>
      <vt:lpstr>    Coordinar las actividades del Organismo de Ejecución Cooperante y asegurar que l</vt:lpstr>
      <vt:lpstr>    En el caso de que se reduzca la financiación por falta de cumplimiento conforme </vt:lpstr>
      <vt:lpstr>    Asegurar que los desembolsos a favor del País se basen en el uso de los indicado</vt:lpstr>
      <vt:lpstr>    Brindar asistencia respecto de políticas, gestión y apoyo técnico, cuando sea ne</vt:lpstr>
      <vt:lpstr>    Lograr un consenso con el Organismo de Ejecución Cooperante sobre cualquier plan</vt:lpstr>
      <vt:lpstr>    Liberar puntualmente los fondos al País/empresas participantes para terminar las</vt:lpstr>
      <vt:lpstr>Tras consultar con el País y teniendo en cuenta las opiniones que pudieran expre</vt:lpstr>
      <vt:lpstr>El Organismo de Ejecución Cooperante tendrá a su cargo diversas actividades. Est</vt:lpstr>
      <vt:lpstr>    Proporcionar asistencia para la elaboración de políticas, cuando se requiera; </vt:lpstr>
      <vt:lpstr>    Brindar asistencia al País en la ejecución y evaluación de las actividades que f</vt:lpstr>
      <vt:lpstr>    Suministrar informes al Organismo de Ejecución Principal sobre estas actividades</vt:lpstr>
      <vt:lpstr>    Lograr un consenso con el Organismo de Ejecución Principal sobre la planificació</vt:lpstr>
      <vt:lpstr>De conformidad con el párrafo 11 del Acuerdo, el monto de financiación proporcio</vt:lpstr>
      <vt:lpstr>En caso de que se necesite aplicar una sanción económica para un año en el cual </vt:lpstr>
      <vt:lpstr/>
      <vt:lpstr>Draft HPMP Agreement</vt:lpstr>
    </vt:vector>
  </TitlesOfParts>
  <Company/>
  <LinksUpToDate>false</LinksUpToDate>
  <CharactersWithSpaces>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proyecto: Malawi</dc:title>
  <dc:subject>UNEP/OzL.Pro/ExCom/80/59</dc:subject>
  <dc:creator>User</dc:creator>
  <dc:description>_x000d_
_x000d_
</dc:description>
  <cp:lastModifiedBy>Lynda</cp:lastModifiedBy>
  <cp:revision>6</cp:revision>
  <cp:lastPrinted>2014-10-26T19:41:00Z</cp:lastPrinted>
  <dcterms:created xsi:type="dcterms:W3CDTF">2020-06-06T13:55:00Z</dcterms:created>
  <dcterms:modified xsi:type="dcterms:W3CDTF">2020-06-08T04:03:00Z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UNEP/OzL.Pro/ExCom/85/37</vt:lpwstr>
  </property>
  <property fmtid="{D5CDD505-2E9C-101B-9397-08002B2CF9AE}" pid="3" name="Revision date">
    <vt:lpwstr>11/07/2017</vt:lpwstr>
  </property>
  <property fmtid="{D5CDD505-2E9C-101B-9397-08002B2CF9AE}" pid="4" name="ContentTypeId">
    <vt:lpwstr>0x010100BC7F0387FBADCE48895CD566B8CC264C</vt:lpwstr>
  </property>
</Properties>
</file>